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FA0A7" w14:textId="77777777" w:rsidR="00A77B3E" w:rsidRDefault="004325C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6E31CFA" w14:textId="77777777" w:rsidR="00A77B3E" w:rsidRDefault="004325C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62066</w:t>
      </w:r>
    </w:p>
    <w:p w14:paraId="31DB9BC1" w14:textId="77777777" w:rsidR="00A77B3E" w:rsidRDefault="004325C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F31B65" w14:textId="77777777" w:rsidR="00A77B3E" w:rsidRDefault="00A77B3E">
      <w:pPr>
        <w:spacing w:line="360" w:lineRule="auto"/>
        <w:jc w:val="both"/>
      </w:pPr>
    </w:p>
    <w:p w14:paraId="196EDB31" w14:textId="77777777" w:rsidR="00A77B3E" w:rsidRDefault="004325C3">
      <w:pPr>
        <w:spacing w:line="360" w:lineRule="auto"/>
        <w:jc w:val="both"/>
      </w:pPr>
      <w:r>
        <w:rPr>
          <w:rFonts w:ascii="Book Antiqua" w:eastAsia="Book Antiqua" w:hAnsi="Book Antiqua" w:cs="Book Antiqua"/>
          <w:b/>
          <w:i/>
          <w:color w:val="000000"/>
        </w:rPr>
        <w:t>Retrospective Study</w:t>
      </w:r>
    </w:p>
    <w:p w14:paraId="4CDBB70C" w14:textId="4D83C1C7" w:rsidR="00A77B3E" w:rsidRDefault="004325C3">
      <w:pPr>
        <w:spacing w:line="360" w:lineRule="auto"/>
        <w:jc w:val="both"/>
      </w:pPr>
      <w:r>
        <w:rPr>
          <w:rFonts w:ascii="Book Antiqua" w:eastAsia="Book Antiqua" w:hAnsi="Book Antiqua" w:cs="Book Antiqua"/>
          <w:b/>
          <w:bCs/>
          <w:color w:val="000000"/>
        </w:rPr>
        <w:t xml:space="preserve">Why </w:t>
      </w:r>
      <w:r w:rsidRPr="001E23FE">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lead to a better prognosis: A study based on</w:t>
      </w:r>
      <w:r w:rsidR="001E23FE">
        <w:rPr>
          <w:rFonts w:ascii="Book Antiqua" w:eastAsia="Book Antiqua" w:hAnsi="Book Antiqua" w:cs="Book Antiqua"/>
          <w:b/>
          <w:bCs/>
          <w:color w:val="000000"/>
        </w:rPr>
        <w:t xml:space="preserve"> </w:t>
      </w:r>
      <w:r>
        <w:rPr>
          <w:rFonts w:ascii="Book Antiqua" w:eastAsia="Book Antiqua" w:hAnsi="Book Antiqua" w:cs="Book Antiqua"/>
          <w:b/>
          <w:bCs/>
          <w:color w:val="000000"/>
        </w:rPr>
        <w:t>The Cancer Genome Atlas gastric cancer cohort</w:t>
      </w:r>
    </w:p>
    <w:p w14:paraId="240A35CE" w14:textId="77777777" w:rsidR="00A77B3E" w:rsidRDefault="00A77B3E">
      <w:pPr>
        <w:spacing w:line="360" w:lineRule="auto"/>
        <w:jc w:val="both"/>
      </w:pPr>
    </w:p>
    <w:p w14:paraId="36BEEFA3" w14:textId="086B93AA" w:rsidR="00A77B3E" w:rsidRDefault="001E23FE">
      <w:pPr>
        <w:spacing w:line="360" w:lineRule="auto"/>
        <w:jc w:val="both"/>
      </w:pPr>
      <w:r>
        <w:rPr>
          <w:rFonts w:ascii="Book Antiqua" w:eastAsia="Book Antiqua" w:hAnsi="Book Antiqua" w:cs="Book Antiqua"/>
          <w:color w:val="000000"/>
        </w:rPr>
        <w:t xml:space="preserve">Huang YJ </w:t>
      </w:r>
      <w:r w:rsidRPr="001E23F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4325C3" w:rsidRPr="001E23FE">
        <w:rPr>
          <w:rFonts w:ascii="Book Antiqua" w:eastAsia="Book Antiqua" w:hAnsi="Book Antiqua" w:cs="Book Antiqua"/>
          <w:i/>
          <w:iCs/>
          <w:color w:val="000000"/>
        </w:rPr>
        <w:t>MUC16</w:t>
      </w:r>
      <w:r w:rsidR="004325C3">
        <w:rPr>
          <w:rFonts w:ascii="Book Antiqua" w:eastAsia="Book Antiqua" w:hAnsi="Book Antiqua" w:cs="Book Antiqua"/>
          <w:color w:val="000000"/>
        </w:rPr>
        <w:t xml:space="preserve"> mutations in GC prognosis</w:t>
      </w:r>
    </w:p>
    <w:p w14:paraId="55FC04D9" w14:textId="77777777" w:rsidR="00A77B3E" w:rsidRDefault="00A77B3E">
      <w:pPr>
        <w:spacing w:line="360" w:lineRule="auto"/>
        <w:jc w:val="both"/>
      </w:pPr>
    </w:p>
    <w:p w14:paraId="4052E15B" w14:textId="77777777" w:rsidR="00A77B3E" w:rsidRDefault="004325C3">
      <w:pPr>
        <w:spacing w:line="360" w:lineRule="auto"/>
        <w:jc w:val="both"/>
      </w:pPr>
      <w:r>
        <w:rPr>
          <w:rFonts w:ascii="Book Antiqua" w:eastAsia="Book Antiqua" w:hAnsi="Book Antiqua" w:cs="Book Antiqua"/>
          <w:color w:val="000000"/>
        </w:rPr>
        <w:t>Yu-Jie Huang, Zhi-Fei Cao, Jie Wang, Jian Yang, Yi-Jun Wei, Yu-Chen Tang, Yin-Xiang Cheng, Jian Zhou, Zi-Xiang Zhang</w:t>
      </w:r>
    </w:p>
    <w:p w14:paraId="469C48CF" w14:textId="77777777" w:rsidR="00A77B3E" w:rsidRDefault="00A77B3E">
      <w:pPr>
        <w:spacing w:line="360" w:lineRule="auto"/>
        <w:jc w:val="both"/>
      </w:pPr>
    </w:p>
    <w:p w14:paraId="74A2047D" w14:textId="77777777" w:rsidR="00A77B3E" w:rsidRDefault="004325C3">
      <w:pPr>
        <w:spacing w:line="360" w:lineRule="auto"/>
        <w:jc w:val="both"/>
      </w:pPr>
      <w:r>
        <w:rPr>
          <w:rFonts w:ascii="Book Antiqua" w:eastAsia="Book Antiqua" w:hAnsi="Book Antiqua" w:cs="Book Antiqua"/>
          <w:b/>
          <w:bCs/>
          <w:color w:val="000000"/>
        </w:rPr>
        <w:t xml:space="preserve">Yu-Jie Huang, Jie Wang, Jian Yang, Yi-Jun Wei, Yu-Chen Tang, Yin-Xiang Cheng, Jian Zhou, Zi-Xiang Zhang, </w:t>
      </w:r>
      <w:r>
        <w:rPr>
          <w:rFonts w:ascii="Book Antiqua" w:eastAsia="Book Antiqua" w:hAnsi="Book Antiqua" w:cs="Book Antiqua"/>
          <w:color w:val="000000"/>
        </w:rPr>
        <w:t>Department of General Surgery, The First Affiliated Hospital of Soochow University, Suzhou 215006, Jiangsu Province, China</w:t>
      </w:r>
    </w:p>
    <w:p w14:paraId="069320B5" w14:textId="77777777" w:rsidR="00A77B3E" w:rsidRDefault="00A77B3E">
      <w:pPr>
        <w:spacing w:line="360" w:lineRule="auto"/>
        <w:jc w:val="both"/>
      </w:pPr>
    </w:p>
    <w:p w14:paraId="555A6571" w14:textId="77777777" w:rsidR="00A77B3E" w:rsidRDefault="004325C3">
      <w:pPr>
        <w:spacing w:line="360" w:lineRule="auto"/>
        <w:jc w:val="both"/>
      </w:pPr>
      <w:r>
        <w:rPr>
          <w:rFonts w:ascii="Book Antiqua" w:eastAsia="Book Antiqua" w:hAnsi="Book Antiqua" w:cs="Book Antiqua"/>
          <w:b/>
          <w:bCs/>
          <w:color w:val="000000"/>
        </w:rPr>
        <w:t xml:space="preserve">Zhi-Fei Cao, </w:t>
      </w:r>
      <w:r>
        <w:rPr>
          <w:rFonts w:ascii="Book Antiqua" w:eastAsia="Book Antiqua" w:hAnsi="Book Antiqua" w:cs="Book Antiqua"/>
          <w:color w:val="000000"/>
        </w:rPr>
        <w:t>Department of Pathology, The Second Affiliated Hospital of Soochow University, Suzhou 215004, Jiangsu Province, China</w:t>
      </w:r>
    </w:p>
    <w:p w14:paraId="07F287E8" w14:textId="77777777" w:rsidR="00A77B3E" w:rsidRDefault="00A77B3E">
      <w:pPr>
        <w:spacing w:line="360" w:lineRule="auto"/>
        <w:jc w:val="both"/>
      </w:pPr>
    </w:p>
    <w:p w14:paraId="7E547950" w14:textId="761F68EF" w:rsidR="00A77B3E" w:rsidRDefault="004325C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Huang YJ and Cao ZF contributed equally to this work; Huang YJ</w:t>
      </w:r>
      <w:r w:rsidR="001E23FE">
        <w:rPr>
          <w:rFonts w:ascii="Book Antiqua" w:eastAsia="Book Antiqua" w:hAnsi="Book Antiqua" w:cs="Book Antiqua"/>
          <w:color w:val="000000"/>
        </w:rPr>
        <w:t xml:space="preserve"> and</w:t>
      </w:r>
      <w:r>
        <w:rPr>
          <w:rFonts w:ascii="Book Antiqua" w:eastAsia="Book Antiqua" w:hAnsi="Book Antiqua" w:cs="Book Antiqua"/>
          <w:color w:val="000000"/>
        </w:rPr>
        <w:t xml:space="preserve"> Cao ZF were responsible for conceptualization, data curation, methodology, and wr</w:t>
      </w:r>
      <w:r w:rsidR="001E23FE">
        <w:rPr>
          <w:rFonts w:ascii="Book Antiqua" w:eastAsia="Book Antiqua" w:hAnsi="Book Antiqua" w:cs="Book Antiqua"/>
          <w:color w:val="000000"/>
        </w:rPr>
        <w:t>o</w:t>
      </w:r>
      <w:r>
        <w:rPr>
          <w:rFonts w:ascii="Book Antiqua" w:eastAsia="Book Antiqua" w:hAnsi="Book Antiqua" w:cs="Book Antiqua"/>
          <w:color w:val="000000"/>
        </w:rPr>
        <w:t>t</w:t>
      </w:r>
      <w:r w:rsidR="001E23FE">
        <w:rPr>
          <w:rFonts w:ascii="Book Antiqua" w:eastAsia="Book Antiqua" w:hAnsi="Book Antiqua" w:cs="Book Antiqua"/>
          <w:color w:val="000000"/>
        </w:rPr>
        <w:t>e</w:t>
      </w:r>
      <w:r>
        <w:rPr>
          <w:rFonts w:ascii="Book Antiqua" w:eastAsia="Book Antiqua" w:hAnsi="Book Antiqua" w:cs="Book Antiqua"/>
          <w:color w:val="000000"/>
        </w:rPr>
        <w:t xml:space="preserve"> </w:t>
      </w:r>
      <w:r w:rsidR="006A3DCA">
        <w:rPr>
          <w:rFonts w:ascii="Book Antiqua" w:eastAsia="Book Antiqua" w:hAnsi="Book Antiqua" w:cs="Book Antiqua"/>
          <w:color w:val="000000"/>
        </w:rPr>
        <w:t xml:space="preserve">the </w:t>
      </w:r>
      <w:r>
        <w:rPr>
          <w:rFonts w:ascii="Book Antiqua" w:eastAsia="Book Antiqua" w:hAnsi="Book Antiqua" w:cs="Book Antiqua"/>
          <w:color w:val="000000"/>
        </w:rPr>
        <w:t>original draft</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Wang J, Yang J, Wei YJ, Tang YC, Cheng YX</w:t>
      </w:r>
      <w:r w:rsidR="001E23FE">
        <w:rPr>
          <w:rFonts w:ascii="Book Antiqua" w:eastAsia="Book Antiqua" w:hAnsi="Book Antiqua" w:cs="Book Antiqua"/>
          <w:color w:val="000000"/>
        </w:rPr>
        <w:t xml:space="preserve"> and</w:t>
      </w:r>
      <w:r>
        <w:rPr>
          <w:rFonts w:ascii="Book Antiqua" w:eastAsia="Book Antiqua" w:hAnsi="Book Antiqua" w:cs="Book Antiqua"/>
          <w:color w:val="000000"/>
        </w:rPr>
        <w:t xml:space="preserve"> Zhou J</w:t>
      </w:r>
      <w:r w:rsidR="001E23FE">
        <w:rPr>
          <w:rFonts w:ascii="Book Antiqua" w:eastAsia="Book Antiqua" w:hAnsi="Book Antiqua" w:cs="Book Antiqua"/>
          <w:color w:val="000000"/>
        </w:rPr>
        <w:t xml:space="preserve"> </w:t>
      </w:r>
      <w:r>
        <w:rPr>
          <w:rFonts w:ascii="Book Antiqua" w:eastAsia="Book Antiqua" w:hAnsi="Book Antiqua" w:cs="Book Antiqua"/>
          <w:color w:val="000000"/>
        </w:rPr>
        <w:t>were responsible for visualization and software</w:t>
      </w:r>
      <w:r w:rsidR="001E23FE">
        <w:rPr>
          <w:rFonts w:ascii="Book Antiqua" w:eastAsia="Book Antiqua" w:hAnsi="Book Antiqua" w:cs="Book Antiqua"/>
          <w:color w:val="000000"/>
        </w:rPr>
        <w:t>;</w:t>
      </w:r>
      <w:r>
        <w:rPr>
          <w:rFonts w:ascii="Book Antiqua" w:eastAsia="Book Antiqua" w:hAnsi="Book Antiqua" w:cs="Book Antiqua"/>
          <w:color w:val="000000"/>
        </w:rPr>
        <w:t xml:space="preserve"> Zhang ZX was responsible for validation, supervision, review</w:t>
      </w:r>
      <w:r w:rsidR="001E23FE">
        <w:rPr>
          <w:rFonts w:ascii="Book Antiqua" w:eastAsia="Book Antiqua" w:hAnsi="Book Antiqua" w:cs="Book Antiqua"/>
          <w:color w:val="000000"/>
        </w:rPr>
        <w:t>ed</w:t>
      </w:r>
      <w:r>
        <w:rPr>
          <w:rFonts w:ascii="Book Antiqua" w:eastAsia="Book Antiqua" w:hAnsi="Book Antiqua" w:cs="Book Antiqua"/>
          <w:color w:val="000000"/>
        </w:rPr>
        <w:t xml:space="preserve"> </w:t>
      </w:r>
      <w:r w:rsidR="001E23FE">
        <w:rPr>
          <w:rFonts w:ascii="Book Antiqua" w:eastAsia="Book Antiqua" w:hAnsi="Book Antiqua" w:cs="Book Antiqua"/>
          <w:color w:val="000000"/>
        </w:rPr>
        <w:t>and</w:t>
      </w:r>
      <w:r>
        <w:rPr>
          <w:rFonts w:ascii="Book Antiqua" w:eastAsia="Book Antiqua" w:hAnsi="Book Antiqua" w:cs="Book Antiqua"/>
          <w:color w:val="000000"/>
        </w:rPr>
        <w:t xml:space="preserve"> edit</w:t>
      </w:r>
      <w:r w:rsidR="001E23FE">
        <w:rPr>
          <w:rFonts w:ascii="Book Antiqua" w:eastAsia="Book Antiqua" w:hAnsi="Book Antiqua" w:cs="Book Antiqua"/>
          <w:color w:val="000000"/>
        </w:rPr>
        <w:t>ed the manuscript;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a</w:t>
      </w:r>
      <w:r>
        <w:rPr>
          <w:rFonts w:ascii="Book Antiqua" w:eastAsia="Book Antiqua" w:hAnsi="Book Antiqua" w:cs="Book Antiqua"/>
          <w:color w:val="000000"/>
        </w:rPr>
        <w:t>ll authors approved the final submission.</w:t>
      </w:r>
    </w:p>
    <w:p w14:paraId="09BEEE72" w14:textId="77777777" w:rsidR="00A77B3E" w:rsidRDefault="00A77B3E">
      <w:pPr>
        <w:spacing w:line="360" w:lineRule="auto"/>
        <w:jc w:val="both"/>
      </w:pPr>
    </w:p>
    <w:p w14:paraId="7CCE52F8" w14:textId="1C9C9CE9" w:rsidR="00A77B3E" w:rsidRDefault="004325C3">
      <w:pPr>
        <w:spacing w:line="360" w:lineRule="auto"/>
        <w:jc w:val="both"/>
      </w:pPr>
      <w:r>
        <w:rPr>
          <w:rFonts w:ascii="Book Antiqua" w:eastAsia="Book Antiqua" w:hAnsi="Book Antiqua" w:cs="Book Antiqua"/>
          <w:b/>
          <w:bCs/>
          <w:color w:val="000000"/>
        </w:rPr>
        <w:t>Supported by</w:t>
      </w:r>
      <w:r w:rsidR="001E23FE">
        <w:rPr>
          <w:rFonts w:ascii="Book Antiqua" w:eastAsia="Book Antiqua" w:hAnsi="Book Antiqua" w:cs="Book Antiqua"/>
          <w:color w:val="000000"/>
        </w:rPr>
        <w:t xml:space="preserve"> </w:t>
      </w:r>
      <w:r>
        <w:rPr>
          <w:rFonts w:ascii="Book Antiqua" w:eastAsia="Book Antiqua" w:hAnsi="Book Antiqua" w:cs="Book Antiqua"/>
          <w:color w:val="000000"/>
        </w:rPr>
        <w:t>National Natural Science Foundation of China</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 xml:space="preserve">No. </w:t>
      </w:r>
      <w:r>
        <w:rPr>
          <w:rFonts w:ascii="Book Antiqua" w:eastAsia="Book Antiqua" w:hAnsi="Book Antiqua" w:cs="Book Antiqua"/>
          <w:color w:val="000000"/>
        </w:rPr>
        <w:t>81902385</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T</w:t>
      </w:r>
      <w:r>
        <w:rPr>
          <w:rFonts w:ascii="Book Antiqua" w:eastAsia="Book Antiqua" w:hAnsi="Book Antiqua" w:cs="Book Antiqua"/>
          <w:color w:val="000000"/>
        </w:rPr>
        <w:t>he Project of Suzhou People's Livelihood Science and Technology</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SYS2018037</w:t>
      </w:r>
      <w:r w:rsidR="001E23FE">
        <w:rPr>
          <w:rFonts w:ascii="Book Antiqua" w:eastAsia="Book Antiqua" w:hAnsi="Book Antiqua" w:cs="Book Antiqua"/>
          <w:color w:val="000000"/>
        </w:rPr>
        <w:t xml:space="preserve"> and No.</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SYS201739</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1E23FE">
        <w:rPr>
          <w:rFonts w:ascii="Book Antiqua" w:eastAsia="Book Antiqua" w:hAnsi="Book Antiqua" w:cs="Book Antiqua"/>
          <w:color w:val="000000"/>
        </w:rPr>
        <w:t>T</w:t>
      </w:r>
      <w:r>
        <w:rPr>
          <w:rFonts w:ascii="Book Antiqua" w:eastAsia="Book Antiqua" w:hAnsi="Book Antiqua" w:cs="Book Antiqua"/>
          <w:color w:val="000000"/>
        </w:rPr>
        <w:t>he Six Talent Peaks Project in Jiangsu Province</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WSW-059</w:t>
      </w:r>
      <w:r w:rsidR="001E23FE">
        <w:rPr>
          <w:rFonts w:ascii="Book Antiqua" w:eastAsia="Book Antiqua" w:hAnsi="Book Antiqua" w:cs="Book Antiqua"/>
          <w:color w:val="000000"/>
        </w:rPr>
        <w:t>;</w:t>
      </w:r>
      <w:r>
        <w:rPr>
          <w:rFonts w:ascii="Book Antiqua" w:eastAsia="Book Antiqua" w:hAnsi="Book Antiqua" w:cs="Book Antiqua"/>
          <w:color w:val="000000"/>
        </w:rPr>
        <w:t xml:space="preserve"> Postgraduate Research &amp; Practice Innovation Program of Jiangsu Province</w:t>
      </w:r>
      <w:r w:rsidR="001E23FE">
        <w:rPr>
          <w:rFonts w:ascii="Book Antiqua" w:eastAsia="Book Antiqua" w:hAnsi="Book Antiqua" w:cs="Book Antiqua"/>
          <w:color w:val="000000"/>
        </w:rPr>
        <w:t>, No.</w:t>
      </w:r>
      <w:r>
        <w:rPr>
          <w:rFonts w:ascii="Book Antiqua" w:eastAsia="Book Antiqua" w:hAnsi="Book Antiqua" w:cs="Book Antiqua"/>
          <w:color w:val="000000"/>
        </w:rPr>
        <w:t xml:space="preserve"> SJCX20_1073</w:t>
      </w:r>
      <w:r w:rsidR="001E23FE">
        <w:rPr>
          <w:rFonts w:ascii="Book Antiqua" w:eastAsia="Book Antiqua" w:hAnsi="Book Antiqua" w:cs="Book Antiqua"/>
          <w:color w:val="000000"/>
        </w:rPr>
        <w:t>;</w:t>
      </w:r>
      <w:r>
        <w:rPr>
          <w:rFonts w:ascii="Book Antiqua" w:eastAsia="Book Antiqua" w:hAnsi="Book Antiqua" w:cs="Book Antiqua"/>
          <w:color w:val="000000"/>
        </w:rPr>
        <w:t xml:space="preserve"> Medical Research Programs of Health Commission Foundation of Jiangsu Province</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H2019071</w:t>
      </w:r>
      <w:r w:rsidR="001E23FE">
        <w:rPr>
          <w:rFonts w:ascii="Book Antiqua" w:eastAsia="Book Antiqua" w:hAnsi="Book Antiqua" w:cs="Book Antiqua"/>
          <w:color w:val="000000"/>
        </w:rPr>
        <w:t>;</w:t>
      </w:r>
      <w:r>
        <w:rPr>
          <w:rFonts w:ascii="Book Antiqua" w:eastAsia="Book Antiqua" w:hAnsi="Book Antiqua" w:cs="Book Antiqua"/>
          <w:color w:val="000000"/>
        </w:rPr>
        <w:t xml:space="preserve"> </w:t>
      </w:r>
      <w:r w:rsidR="00E866EC">
        <w:rPr>
          <w:rFonts w:ascii="Book Antiqua" w:eastAsia="Book Antiqua" w:hAnsi="Book Antiqua" w:cs="Book Antiqua"/>
          <w:color w:val="000000"/>
        </w:rPr>
        <w:t xml:space="preserve">and </w:t>
      </w:r>
      <w:r w:rsidR="001E23FE">
        <w:rPr>
          <w:rFonts w:ascii="Book Antiqua" w:eastAsia="Book Antiqua" w:hAnsi="Book Antiqua" w:cs="Book Antiqua"/>
          <w:color w:val="000000"/>
        </w:rPr>
        <w:t>T</w:t>
      </w:r>
      <w:r>
        <w:rPr>
          <w:rFonts w:ascii="Book Antiqua" w:eastAsia="Book Antiqua" w:hAnsi="Book Antiqua" w:cs="Book Antiqua"/>
          <w:color w:val="000000"/>
        </w:rPr>
        <w:t>he Project of Medical Research of Jiangsu Province</w:t>
      </w:r>
      <w:r w:rsidR="001E23FE">
        <w:rPr>
          <w:rFonts w:ascii="Book Antiqua" w:eastAsia="Book Antiqua" w:hAnsi="Book Antiqua" w:cs="Book Antiqua"/>
          <w:color w:val="000000"/>
        </w:rPr>
        <w:t xml:space="preserve">, No. </w:t>
      </w:r>
      <w:r>
        <w:rPr>
          <w:rFonts w:ascii="Book Antiqua" w:eastAsia="Book Antiqua" w:hAnsi="Book Antiqua" w:cs="Book Antiqua"/>
          <w:color w:val="000000"/>
        </w:rPr>
        <w:t>Y2018094</w:t>
      </w:r>
      <w:r w:rsidR="001E23FE">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1E23FE">
        <w:rPr>
          <w:rFonts w:ascii="Book Antiqua" w:eastAsia="Book Antiqua" w:hAnsi="Book Antiqua" w:cs="Book Antiqua"/>
          <w:color w:val="000000"/>
        </w:rPr>
        <w:t xml:space="preserve">No. </w:t>
      </w:r>
      <w:r>
        <w:rPr>
          <w:rFonts w:ascii="Book Antiqua" w:eastAsia="Book Antiqua" w:hAnsi="Book Antiqua" w:cs="Book Antiqua"/>
          <w:color w:val="000000"/>
        </w:rPr>
        <w:t>H2018056.</w:t>
      </w:r>
    </w:p>
    <w:p w14:paraId="1251DFD8" w14:textId="77777777" w:rsidR="00A77B3E" w:rsidRDefault="00A77B3E">
      <w:pPr>
        <w:spacing w:line="360" w:lineRule="auto"/>
        <w:jc w:val="both"/>
      </w:pPr>
    </w:p>
    <w:p w14:paraId="6A051CBC" w14:textId="77777777" w:rsidR="00A77B3E" w:rsidRDefault="004325C3">
      <w:pPr>
        <w:spacing w:line="360" w:lineRule="auto"/>
        <w:jc w:val="both"/>
      </w:pPr>
      <w:r>
        <w:rPr>
          <w:rFonts w:ascii="Book Antiqua" w:eastAsia="Book Antiqua" w:hAnsi="Book Antiqua" w:cs="Book Antiqua"/>
          <w:b/>
          <w:bCs/>
          <w:color w:val="000000"/>
        </w:rPr>
        <w:t xml:space="preserve">Corresponding author: Zi-Xiang Zhang, PhD, Associate Professor, </w:t>
      </w:r>
      <w:r>
        <w:rPr>
          <w:rFonts w:ascii="Book Antiqua" w:eastAsia="Book Antiqua" w:hAnsi="Book Antiqua" w:cs="Book Antiqua"/>
          <w:color w:val="000000"/>
        </w:rPr>
        <w:t>Department of General Surgery, The First Affiliated Hospital of Soochow University, No. 188 Shizi Street, Suzhou 215006, Jiangsu Province, China. zixiangzhang@163.com</w:t>
      </w:r>
    </w:p>
    <w:p w14:paraId="612C4C22" w14:textId="77777777" w:rsidR="00A77B3E" w:rsidRDefault="00A77B3E">
      <w:pPr>
        <w:spacing w:line="360" w:lineRule="auto"/>
        <w:jc w:val="both"/>
      </w:pPr>
    </w:p>
    <w:p w14:paraId="7B71AD82" w14:textId="77777777" w:rsidR="00A77B3E" w:rsidRDefault="004325C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28, 2020</w:t>
      </w:r>
    </w:p>
    <w:p w14:paraId="531A496A" w14:textId="77777777" w:rsidR="00A77B3E" w:rsidRDefault="004325C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25, 2021</w:t>
      </w:r>
    </w:p>
    <w:p w14:paraId="327F44A5" w14:textId="5BF1AF42" w:rsidR="00A77B3E" w:rsidRDefault="004325C3">
      <w:pPr>
        <w:spacing w:line="360" w:lineRule="auto"/>
        <w:jc w:val="both"/>
      </w:pPr>
      <w:r>
        <w:rPr>
          <w:rFonts w:ascii="Book Antiqua" w:eastAsia="Book Antiqua" w:hAnsi="Book Antiqua" w:cs="Book Antiqua"/>
          <w:b/>
          <w:bCs/>
          <w:color w:val="000000"/>
        </w:rPr>
        <w:t xml:space="preserve">Accepted: </w:t>
      </w:r>
      <w:r w:rsidR="0011413C" w:rsidRPr="0011413C">
        <w:rPr>
          <w:rFonts w:ascii="Book Antiqua" w:eastAsia="Book Antiqua" w:hAnsi="Book Antiqua" w:cs="Book Antiqua"/>
          <w:color w:val="000000"/>
        </w:rPr>
        <w:t>March 5, 2021</w:t>
      </w:r>
    </w:p>
    <w:p w14:paraId="57793F50" w14:textId="5BAEA8E5" w:rsidR="00A77B3E" w:rsidRDefault="004325C3">
      <w:pPr>
        <w:spacing w:line="360" w:lineRule="auto"/>
        <w:jc w:val="both"/>
      </w:pPr>
      <w:r>
        <w:rPr>
          <w:rFonts w:ascii="Book Antiqua" w:eastAsia="Book Antiqua" w:hAnsi="Book Antiqua" w:cs="Book Antiqua"/>
          <w:b/>
          <w:bCs/>
          <w:color w:val="000000"/>
        </w:rPr>
        <w:t>Published online:</w:t>
      </w:r>
      <w:r w:rsidR="00E60828">
        <w:rPr>
          <w:rFonts w:ascii="Book Antiqua" w:hAnsi="Book Antiqua" w:cs="Book Antiqua" w:hint="eastAsia"/>
          <w:b/>
          <w:bCs/>
          <w:color w:val="000000"/>
          <w:lang w:eastAsia="zh-CN"/>
        </w:rPr>
        <w:t xml:space="preserve"> </w:t>
      </w:r>
      <w:r w:rsidR="00E60828">
        <w:rPr>
          <w:rFonts w:ascii="Book Antiqua" w:hAnsi="Book Antiqua" w:cs="Book Antiqua" w:hint="eastAsia"/>
          <w:color w:val="000000"/>
          <w:lang w:eastAsia="zh-CN"/>
        </w:rPr>
        <w:t>June 1</w:t>
      </w:r>
      <w:r w:rsidR="00E60828" w:rsidRPr="00564C29">
        <w:rPr>
          <w:rFonts w:ascii="Book Antiqua" w:eastAsia="Book Antiqua" w:hAnsi="Book Antiqua" w:cs="Book Antiqua"/>
          <w:color w:val="000000"/>
        </w:rPr>
        <w:t>6,</w:t>
      </w:r>
      <w:r w:rsidR="00E60828">
        <w:rPr>
          <w:rFonts w:ascii="Book Antiqua" w:eastAsia="Book Antiqua" w:hAnsi="Book Antiqua" w:cs="Book Antiqua"/>
          <w:color w:val="000000"/>
        </w:rPr>
        <w:t xml:space="preserve"> </w:t>
      </w:r>
      <w:r w:rsidR="00E60828" w:rsidRPr="00564C29">
        <w:rPr>
          <w:rFonts w:ascii="Book Antiqua" w:eastAsia="Book Antiqua" w:hAnsi="Book Antiqua" w:cs="Book Antiqua"/>
          <w:color w:val="000000"/>
        </w:rPr>
        <w:t>2021</w:t>
      </w:r>
      <w:r>
        <w:rPr>
          <w:rFonts w:ascii="Book Antiqua" w:eastAsia="Book Antiqua" w:hAnsi="Book Antiqua" w:cs="Book Antiqua"/>
          <w:b/>
          <w:bCs/>
          <w:color w:val="000000"/>
        </w:rPr>
        <w:t xml:space="preserve"> </w:t>
      </w:r>
    </w:p>
    <w:p w14:paraId="617EC3F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72FD342" w14:textId="77777777" w:rsidR="00A77B3E" w:rsidRDefault="004325C3">
      <w:pPr>
        <w:spacing w:line="360" w:lineRule="auto"/>
        <w:jc w:val="both"/>
      </w:pPr>
      <w:r>
        <w:rPr>
          <w:rFonts w:ascii="Book Antiqua" w:eastAsia="Book Antiqua" w:hAnsi="Book Antiqua" w:cs="Book Antiqua"/>
          <w:b/>
          <w:color w:val="000000"/>
        </w:rPr>
        <w:lastRenderedPageBreak/>
        <w:t>Abstract</w:t>
      </w:r>
    </w:p>
    <w:p w14:paraId="60C87B98" w14:textId="77777777" w:rsidR="00A77B3E" w:rsidRDefault="004325C3">
      <w:pPr>
        <w:spacing w:line="360" w:lineRule="auto"/>
        <w:jc w:val="both"/>
      </w:pPr>
      <w:r>
        <w:rPr>
          <w:rFonts w:ascii="Book Antiqua" w:eastAsia="Book Antiqua" w:hAnsi="Book Antiqua" w:cs="Book Antiqua"/>
          <w:color w:val="000000"/>
        </w:rPr>
        <w:t>BACKGROUND</w:t>
      </w:r>
    </w:p>
    <w:p w14:paraId="063A5049" w14:textId="4A6C4B86" w:rsidR="00A77B3E" w:rsidRDefault="004325C3">
      <w:pPr>
        <w:spacing w:line="360" w:lineRule="auto"/>
        <w:jc w:val="both"/>
      </w:pP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encoding cancer antigen 125, is a frequently mutated gene in gastric cancer. In addition,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seem to result in a better prognosis in gastric cancer. However, the mechanisms that lead to a better prognosis by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have not yet been clarified.</w:t>
      </w:r>
    </w:p>
    <w:p w14:paraId="0626C0BD" w14:textId="77777777" w:rsidR="00A77B3E" w:rsidRDefault="00A77B3E">
      <w:pPr>
        <w:spacing w:line="360" w:lineRule="auto"/>
        <w:jc w:val="both"/>
      </w:pPr>
    </w:p>
    <w:p w14:paraId="17BCB953" w14:textId="77777777" w:rsidR="00A77B3E" w:rsidRDefault="004325C3">
      <w:pPr>
        <w:spacing w:line="360" w:lineRule="auto"/>
        <w:jc w:val="both"/>
      </w:pPr>
      <w:r>
        <w:rPr>
          <w:rFonts w:ascii="Book Antiqua" w:eastAsia="Book Antiqua" w:hAnsi="Book Antiqua" w:cs="Book Antiqua"/>
          <w:color w:val="000000"/>
        </w:rPr>
        <w:t>AIM</w:t>
      </w:r>
    </w:p>
    <w:p w14:paraId="3E1E7480" w14:textId="506465EB" w:rsidR="00A77B3E" w:rsidRDefault="00F605BF">
      <w:pPr>
        <w:spacing w:line="360" w:lineRule="auto"/>
        <w:jc w:val="both"/>
      </w:pPr>
      <w:r>
        <w:rPr>
          <w:rFonts w:ascii="Book Antiqua" w:eastAsia="Book Antiqua" w:hAnsi="Book Antiqua" w:cs="Book Antiqua"/>
          <w:color w:val="000000"/>
        </w:rPr>
        <w:t>T</w:t>
      </w:r>
      <w:r w:rsidR="004325C3">
        <w:rPr>
          <w:rFonts w:ascii="Book Antiqua" w:eastAsia="Book Antiqua" w:hAnsi="Book Antiqua" w:cs="Book Antiqua"/>
          <w:color w:val="000000"/>
        </w:rPr>
        <w:t xml:space="preserve">o delve deeper into the underlying mechanisms that explain why </w:t>
      </w:r>
      <w:r w:rsidR="004325C3" w:rsidRPr="00F605BF">
        <w:rPr>
          <w:rFonts w:ascii="Book Antiqua" w:eastAsia="Book Antiqua" w:hAnsi="Book Antiqua" w:cs="Book Antiqua"/>
          <w:i/>
          <w:iCs/>
          <w:color w:val="000000"/>
        </w:rPr>
        <w:t>MUC16</w:t>
      </w:r>
      <w:r w:rsidR="004325C3">
        <w:rPr>
          <w:rFonts w:ascii="Book Antiqua" w:eastAsia="Book Antiqua" w:hAnsi="Book Antiqua" w:cs="Book Antiqua"/>
          <w:color w:val="000000"/>
        </w:rPr>
        <w:t xml:space="preserve"> mutations signal a better prognosis in gastric cancer.</w:t>
      </w:r>
    </w:p>
    <w:p w14:paraId="31683A0D" w14:textId="77777777" w:rsidR="00A77B3E" w:rsidRDefault="00A77B3E">
      <w:pPr>
        <w:spacing w:line="360" w:lineRule="auto"/>
        <w:jc w:val="both"/>
      </w:pPr>
    </w:p>
    <w:p w14:paraId="0687DF9D" w14:textId="77777777" w:rsidR="00A77B3E" w:rsidRDefault="004325C3">
      <w:pPr>
        <w:spacing w:line="360" w:lineRule="auto"/>
        <w:jc w:val="both"/>
      </w:pPr>
      <w:r>
        <w:rPr>
          <w:rFonts w:ascii="Book Antiqua" w:eastAsia="Book Antiqua" w:hAnsi="Book Antiqua" w:cs="Book Antiqua"/>
          <w:color w:val="000000"/>
        </w:rPr>
        <w:t>METHODS</w:t>
      </w:r>
    </w:p>
    <w:p w14:paraId="259A4A2D" w14:textId="785724F8" w:rsidR="00A77B3E" w:rsidRDefault="004325C3">
      <w:pPr>
        <w:spacing w:line="360" w:lineRule="auto"/>
        <w:jc w:val="both"/>
      </w:pPr>
      <w:r>
        <w:rPr>
          <w:rFonts w:ascii="Book Antiqua" w:eastAsia="Book Antiqua" w:hAnsi="Book Antiqua" w:cs="Book Antiqua"/>
          <w:color w:val="000000"/>
        </w:rPr>
        <w:t xml:space="preserve">We used multi-omics data, including mRNA, simple nucleotide variation, </w:t>
      </w:r>
      <w:bookmarkStart w:id="0" w:name="_Hlk65075429"/>
      <w:r>
        <w:rPr>
          <w:rFonts w:ascii="Book Antiqua" w:eastAsia="Book Antiqua" w:hAnsi="Book Antiqua" w:cs="Book Antiqua"/>
          <w:color w:val="000000"/>
        </w:rPr>
        <w:t>copy number variation</w:t>
      </w:r>
      <w:bookmarkEnd w:id="0"/>
      <w:r>
        <w:rPr>
          <w:rFonts w:ascii="Book Antiqua" w:eastAsia="Book Antiqua" w:hAnsi="Book Antiqua" w:cs="Book Antiqua"/>
          <w:color w:val="000000"/>
        </w:rPr>
        <w:t xml:space="preserve"> and methylation data from The Cancer Genome Atlas, to explore the relationship between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and prognosis. Cox regression and random survival forest algorithms were applied to search for hub genes. </w:t>
      </w:r>
      <w:bookmarkStart w:id="1" w:name="_Hlk65074389"/>
      <w:r>
        <w:rPr>
          <w:rFonts w:ascii="Book Antiqua" w:eastAsia="Book Antiqua" w:hAnsi="Book Antiqua" w:cs="Book Antiqua"/>
          <w:color w:val="000000"/>
        </w:rPr>
        <w:t>Gene set enrichment analysis</w:t>
      </w:r>
      <w:bookmarkEnd w:id="1"/>
      <w:r>
        <w:rPr>
          <w:rFonts w:ascii="Book Antiqua" w:eastAsia="Book Antiqua" w:hAnsi="Book Antiqua" w:cs="Book Antiqua"/>
          <w:color w:val="000000"/>
        </w:rPr>
        <w:t xml:space="preserve"> was used to elucidate the molecular mechanisms. Single-sample </w:t>
      </w:r>
      <w:r w:rsidR="006E4BCF">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and “EpiDISH” were used to assess immune cells infiltration, and “ESTIMATE” for analysis of the tumor microenvironment.</w:t>
      </w:r>
    </w:p>
    <w:p w14:paraId="2B1C6668" w14:textId="77777777" w:rsidR="00A77B3E" w:rsidRDefault="00A77B3E">
      <w:pPr>
        <w:spacing w:line="360" w:lineRule="auto"/>
        <w:jc w:val="both"/>
      </w:pPr>
    </w:p>
    <w:p w14:paraId="7B917740" w14:textId="77777777" w:rsidR="00A77B3E" w:rsidRDefault="004325C3">
      <w:pPr>
        <w:spacing w:line="360" w:lineRule="auto"/>
        <w:jc w:val="both"/>
      </w:pPr>
      <w:r>
        <w:rPr>
          <w:rFonts w:ascii="Book Antiqua" w:eastAsia="Book Antiqua" w:hAnsi="Book Antiqua" w:cs="Book Antiqua"/>
          <w:color w:val="000000"/>
        </w:rPr>
        <w:t>RESULTS</w:t>
      </w:r>
    </w:p>
    <w:p w14:paraId="1698B96E" w14:textId="671AA1E2" w:rsidR="00A77B3E" w:rsidRDefault="004325C3">
      <w:pPr>
        <w:spacing w:line="360" w:lineRule="auto"/>
        <w:jc w:val="both"/>
      </w:pPr>
      <w:r>
        <w:rPr>
          <w:rFonts w:ascii="Book Antiqua" w:eastAsia="Book Antiqua" w:hAnsi="Book Antiqua" w:cs="Book Antiqua"/>
          <w:color w:val="000000"/>
        </w:rPr>
        <w:t>Our study found that compared to the wild</w:t>
      </w:r>
      <w:r w:rsidR="00E37F25">
        <w:rPr>
          <w:rFonts w:ascii="Book Antiqua" w:eastAsia="Book Antiqua" w:hAnsi="Book Antiqua" w:cs="Book Antiqua"/>
          <w:color w:val="000000"/>
        </w:rPr>
        <w:t>-type</w:t>
      </w:r>
      <w:r>
        <w:rPr>
          <w:rFonts w:ascii="Book Antiqua" w:eastAsia="Book Antiqua" w:hAnsi="Book Antiqua" w:cs="Book Antiqua"/>
          <w:color w:val="000000"/>
        </w:rPr>
        <w:t xml:space="preserve"> group, the mutation group had a better prognosis. Additional analysis indicated that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appear to activate the DNA repair and p53 pathways to act as an anti-tumor agent. We also identified a key gene, </w:t>
      </w:r>
      <w:r w:rsidRPr="00F605BF">
        <w:rPr>
          <w:rFonts w:ascii="Book Antiqua" w:eastAsia="Book Antiqua" w:hAnsi="Book Antiqua" w:cs="Book Antiqua"/>
          <w:i/>
          <w:iCs/>
          <w:color w:val="000000"/>
        </w:rPr>
        <w:t>NPY1R</w:t>
      </w:r>
      <w:r w:rsidR="00592FF4">
        <w:rPr>
          <w:rFonts w:ascii="Book Antiqua" w:eastAsia="Book Antiqua" w:hAnsi="Book Antiqua" w:cs="Book Antiqua"/>
          <w:color w:val="000000"/>
        </w:rPr>
        <w:t xml:space="preserve"> (neuropeptide Y receptor Y1)</w:t>
      </w:r>
      <w:r>
        <w:rPr>
          <w:rFonts w:ascii="Book Antiqua" w:eastAsia="Book Antiqua" w:hAnsi="Book Antiqua" w:cs="Book Antiqua"/>
          <w:color w:val="000000"/>
        </w:rPr>
        <w:t xml:space="preserve">, which was significantly more highly expressed in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group than in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E37F25">
        <w:rPr>
          <w:rFonts w:ascii="Book Antiqua" w:eastAsia="Book Antiqua" w:hAnsi="Book Antiqua" w:cs="Book Antiqua"/>
          <w:color w:val="000000"/>
        </w:rPr>
        <w:t>-type</w:t>
      </w:r>
      <w:r>
        <w:rPr>
          <w:rFonts w:ascii="Book Antiqua" w:eastAsia="Book Antiqua" w:hAnsi="Book Antiqua" w:cs="Book Antiqua"/>
          <w:color w:val="000000"/>
        </w:rPr>
        <w:t xml:space="preserve"> group. The high expression of </w:t>
      </w:r>
      <w:r w:rsidRPr="00F605BF">
        <w:rPr>
          <w:rFonts w:ascii="Book Antiqua" w:eastAsia="Book Antiqua" w:hAnsi="Book Antiqua" w:cs="Book Antiqua"/>
          <w:i/>
          <w:iCs/>
          <w:color w:val="000000"/>
        </w:rPr>
        <w:t>NPY1R</w:t>
      </w:r>
      <w:r>
        <w:rPr>
          <w:rFonts w:ascii="Book Antiqua" w:eastAsia="Book Antiqua" w:hAnsi="Book Antiqua" w:cs="Book Antiqua"/>
          <w:color w:val="000000"/>
        </w:rPr>
        <w:t xml:space="preserve"> predicted a poorer prognosis, which was also confirmed in a separate </w:t>
      </w:r>
      <w:r w:rsidR="00F605BF">
        <w:rPr>
          <w:rFonts w:ascii="Book Antiqua" w:eastAsia="Book Antiqua" w:hAnsi="Book Antiqua" w:cs="Book Antiqua"/>
          <w:color w:val="000000"/>
        </w:rPr>
        <w:t>Gene Expression Omnibus</w:t>
      </w:r>
      <w:r>
        <w:rPr>
          <w:rFonts w:ascii="Book Antiqua" w:eastAsia="Book Antiqua" w:hAnsi="Book Antiqua" w:cs="Book Antiqua"/>
          <w:color w:val="000000"/>
        </w:rPr>
        <w:t xml:space="preserve"> cohort. Further susceptibility analysis revealed that </w:t>
      </w:r>
      <w:r w:rsidRPr="00F605BF">
        <w:rPr>
          <w:rFonts w:ascii="Book Antiqua" w:eastAsia="Book Antiqua" w:hAnsi="Book Antiqua" w:cs="Book Antiqua"/>
          <w:i/>
          <w:iCs/>
          <w:color w:val="000000"/>
        </w:rPr>
        <w:t>NPY1R</w:t>
      </w:r>
      <w:r>
        <w:rPr>
          <w:rFonts w:ascii="Book Antiqua" w:eastAsia="Book Antiqua" w:hAnsi="Book Antiqua" w:cs="Book Antiqua"/>
          <w:color w:val="000000"/>
        </w:rPr>
        <w:t xml:space="preserve"> might be a potential drug target for gastric cancer. </w:t>
      </w:r>
      <w:r>
        <w:rPr>
          <w:rFonts w:ascii="Book Antiqua" w:eastAsia="Book Antiqua" w:hAnsi="Book Antiqua" w:cs="Book Antiqua"/>
          <w:color w:val="000000"/>
        </w:rPr>
        <w:lastRenderedPageBreak/>
        <w:t xml:space="preserve">Furthermore, in the analysis of the tumor microenvironment, we found that immune cells in the mutation group exhibited higher anti-tumor effects. In addition, the </w:t>
      </w:r>
      <w:bookmarkStart w:id="2" w:name="_Hlk65070577"/>
      <w:r>
        <w:rPr>
          <w:rFonts w:ascii="Book Antiqua" w:eastAsia="Book Antiqua" w:hAnsi="Book Antiqua" w:cs="Book Antiqua"/>
          <w:color w:val="000000"/>
        </w:rPr>
        <w:t>tumor mutation burden</w:t>
      </w:r>
      <w:bookmarkEnd w:id="2"/>
      <w:r>
        <w:rPr>
          <w:rFonts w:ascii="Book Antiqua" w:eastAsia="Book Antiqua" w:hAnsi="Book Antiqua" w:cs="Book Antiqua"/>
          <w:color w:val="000000"/>
        </w:rPr>
        <w:t xml:space="preserve"> and cancer stem cells index were also higher in the mutation group than in the wild</w:t>
      </w:r>
      <w:r w:rsidR="001324CC">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7C0E6914" w14:textId="77777777" w:rsidR="00A77B3E" w:rsidRDefault="00A77B3E">
      <w:pPr>
        <w:spacing w:line="360" w:lineRule="auto"/>
        <w:jc w:val="both"/>
      </w:pPr>
    </w:p>
    <w:p w14:paraId="4FE22657" w14:textId="77777777" w:rsidR="00A77B3E" w:rsidRDefault="004325C3">
      <w:pPr>
        <w:spacing w:line="360" w:lineRule="auto"/>
        <w:jc w:val="both"/>
      </w:pPr>
      <w:r>
        <w:rPr>
          <w:rFonts w:ascii="Book Antiqua" w:eastAsia="Book Antiqua" w:hAnsi="Book Antiqua" w:cs="Book Antiqua"/>
          <w:color w:val="000000"/>
        </w:rPr>
        <w:t>CONCLUSION</w:t>
      </w:r>
    </w:p>
    <w:p w14:paraId="31E5BE09" w14:textId="77777777" w:rsidR="00A77B3E" w:rsidRDefault="004325C3">
      <w:pPr>
        <w:spacing w:line="360" w:lineRule="auto"/>
        <w:jc w:val="both"/>
      </w:pPr>
      <w:r>
        <w:rPr>
          <w:rFonts w:ascii="Book Antiqua" w:eastAsia="Book Antiqua" w:hAnsi="Book Antiqua" w:cs="Book Antiqua"/>
          <w:color w:val="000000"/>
        </w:rPr>
        <w:t xml:space="preserve">We speculated that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might activate the p53 pathway and DNA repair pathway: alternatively, the tumor microenvironment may be involved.</w:t>
      </w:r>
    </w:p>
    <w:p w14:paraId="55B81E5C" w14:textId="77777777" w:rsidR="00A77B3E" w:rsidRDefault="00A77B3E">
      <w:pPr>
        <w:spacing w:line="360" w:lineRule="auto"/>
        <w:jc w:val="both"/>
      </w:pPr>
    </w:p>
    <w:p w14:paraId="13718704" w14:textId="28D28FF6" w:rsidR="00A77B3E" w:rsidRDefault="004325C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Gastric cancer;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 </w:t>
      </w:r>
      <w:r w:rsidR="00F605BF">
        <w:rPr>
          <w:rFonts w:ascii="Book Antiqua" w:eastAsia="Book Antiqua" w:hAnsi="Book Antiqua" w:cs="Book Antiqua"/>
          <w:color w:val="000000"/>
        </w:rPr>
        <w:t>Cancer antigen 125</w:t>
      </w:r>
      <w:r>
        <w:rPr>
          <w:rFonts w:ascii="Book Antiqua" w:eastAsia="Book Antiqua" w:hAnsi="Book Antiqua" w:cs="Book Antiqua"/>
          <w:color w:val="000000"/>
        </w:rPr>
        <w:t>; Prognosis; The Cancer Genome Atlas; Gene Expression Omnibus</w:t>
      </w:r>
    </w:p>
    <w:p w14:paraId="784C1F5D" w14:textId="77777777" w:rsidR="008A1010" w:rsidRDefault="008A1010" w:rsidP="008A1010">
      <w:pPr>
        <w:spacing w:line="360" w:lineRule="auto"/>
        <w:jc w:val="both"/>
        <w:rPr>
          <w:lang w:eastAsia="zh-CN"/>
        </w:rPr>
      </w:pPr>
    </w:p>
    <w:p w14:paraId="1B5C18FD" w14:textId="77777777" w:rsidR="008A1010" w:rsidRDefault="008A1010" w:rsidP="008A101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37377275" w14:textId="77777777" w:rsidR="008A1010" w:rsidRDefault="008A1010" w:rsidP="008A1010">
      <w:pPr>
        <w:spacing w:line="360" w:lineRule="auto"/>
        <w:jc w:val="both"/>
        <w:rPr>
          <w:lang w:eastAsia="zh-CN"/>
        </w:rPr>
      </w:pPr>
    </w:p>
    <w:p w14:paraId="49389E72" w14:textId="6C6005E5" w:rsidR="00ED0D6E" w:rsidRDefault="008A1010" w:rsidP="008A1010">
      <w:pPr>
        <w:spacing w:line="360" w:lineRule="auto"/>
        <w:jc w:val="both"/>
        <w:rPr>
          <w:rFonts w:ascii="Book Antiqua" w:hAnsi="Book Antiqua"/>
          <w:iCs/>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4325C3">
        <w:rPr>
          <w:rFonts w:ascii="Book Antiqua" w:eastAsia="Book Antiqua" w:hAnsi="Book Antiqua" w:cs="Book Antiqua"/>
          <w:color w:val="000000"/>
        </w:rPr>
        <w:t xml:space="preserve">Huang YJ, Cao ZF, Wang J, Yang J, Wei YJ, Tang YC, Cheng YX, Zhou J, Zhang ZX. Why </w:t>
      </w:r>
      <w:r w:rsidR="004325C3" w:rsidRPr="0078285D">
        <w:rPr>
          <w:rFonts w:ascii="Book Antiqua" w:eastAsia="Book Antiqua" w:hAnsi="Book Antiqua" w:cs="Book Antiqua"/>
          <w:i/>
          <w:iCs/>
          <w:color w:val="000000"/>
        </w:rPr>
        <w:t>MUC16</w:t>
      </w:r>
      <w:r w:rsidR="004325C3">
        <w:rPr>
          <w:rFonts w:ascii="Book Antiqua" w:eastAsia="Book Antiqua" w:hAnsi="Book Antiqua" w:cs="Book Antiqua"/>
          <w:color w:val="000000"/>
        </w:rPr>
        <w:t xml:space="preserve"> mutations lead to a better prognosis: A study based on</w:t>
      </w:r>
      <w:r w:rsidR="001E23FE">
        <w:rPr>
          <w:rFonts w:ascii="Book Antiqua" w:eastAsia="Book Antiqua" w:hAnsi="Book Antiqua" w:cs="Book Antiqua"/>
          <w:color w:val="000000"/>
        </w:rPr>
        <w:t xml:space="preserve"> </w:t>
      </w:r>
      <w:r w:rsidR="004325C3">
        <w:rPr>
          <w:rFonts w:ascii="Book Antiqua" w:eastAsia="Book Antiqua" w:hAnsi="Book Antiqua" w:cs="Book Antiqua"/>
          <w:color w:val="000000"/>
        </w:rPr>
        <w:t xml:space="preserve">The Cancer Genome Atlas gastric cancer cohort. </w:t>
      </w:r>
      <w:r w:rsidR="004325C3">
        <w:rPr>
          <w:rFonts w:ascii="Book Antiqua" w:eastAsia="Book Antiqua" w:hAnsi="Book Antiqua" w:cs="Book Antiqua"/>
          <w:i/>
          <w:iCs/>
          <w:color w:val="000000"/>
        </w:rPr>
        <w:t>World J Clin Cases</w:t>
      </w:r>
      <w:r w:rsidR="004325C3">
        <w:rPr>
          <w:rFonts w:ascii="Book Antiqua" w:eastAsia="Book Antiqua" w:hAnsi="Book Antiqua" w:cs="Book Antiqua"/>
          <w:color w:val="000000"/>
        </w:rPr>
        <w:t xml:space="preserve"> </w:t>
      </w:r>
      <w:r w:rsidR="00E60828" w:rsidRPr="00651643">
        <w:rPr>
          <w:rFonts w:ascii="Book Antiqua" w:hAnsi="Book Antiqua"/>
          <w:iCs/>
        </w:rPr>
        <w:t>202</w:t>
      </w:r>
      <w:r w:rsidR="00E60828">
        <w:rPr>
          <w:rFonts w:ascii="Book Antiqua" w:hAnsi="Book Antiqua" w:hint="eastAsia"/>
          <w:iCs/>
          <w:lang w:eastAsia="zh-CN"/>
        </w:rPr>
        <w:t>1</w:t>
      </w:r>
      <w:r w:rsidR="00E60828" w:rsidRPr="00651643">
        <w:rPr>
          <w:rFonts w:ascii="Book Antiqua" w:hAnsi="Book Antiqua"/>
          <w:iCs/>
        </w:rPr>
        <w:t>;</w:t>
      </w:r>
      <w:r w:rsidR="00E60828">
        <w:rPr>
          <w:rFonts w:ascii="Book Antiqua" w:hAnsi="Book Antiqua"/>
          <w:iCs/>
        </w:rPr>
        <w:t xml:space="preserve"> </w:t>
      </w:r>
      <w:r w:rsidR="00E60828">
        <w:rPr>
          <w:rFonts w:ascii="Book Antiqua" w:hAnsi="Book Antiqua" w:hint="eastAsia"/>
          <w:iCs/>
          <w:lang w:eastAsia="zh-CN"/>
        </w:rPr>
        <w:t>9</w:t>
      </w:r>
      <w:r w:rsidR="00E60828" w:rsidRPr="00651643">
        <w:rPr>
          <w:rFonts w:ascii="Book Antiqua" w:hAnsi="Book Antiqua"/>
          <w:iCs/>
        </w:rPr>
        <w:t>(</w:t>
      </w:r>
      <w:r w:rsidR="00E60828">
        <w:rPr>
          <w:rFonts w:ascii="Book Antiqua" w:hAnsi="Book Antiqua" w:hint="eastAsia"/>
          <w:iCs/>
          <w:lang w:eastAsia="zh-CN"/>
        </w:rPr>
        <w:t>17</w:t>
      </w:r>
      <w:r w:rsidR="00E60828" w:rsidRPr="00651643">
        <w:rPr>
          <w:rFonts w:ascii="Book Antiqua" w:hAnsi="Book Antiqua"/>
          <w:iCs/>
        </w:rPr>
        <w:t>):</w:t>
      </w:r>
      <w:r w:rsidR="00E60828">
        <w:rPr>
          <w:rFonts w:ascii="Book Antiqua" w:hAnsi="Book Antiqua"/>
          <w:iCs/>
        </w:rPr>
        <w:t xml:space="preserve"> </w:t>
      </w:r>
      <w:bookmarkStart w:id="3" w:name="_Hlk72826921"/>
      <w:r w:rsidR="008F6433" w:rsidRPr="008F6433">
        <w:rPr>
          <w:rFonts w:ascii="Book Antiqua" w:hAnsi="Book Antiqua"/>
          <w:iCs/>
        </w:rPr>
        <w:t>4143</w:t>
      </w:r>
      <w:bookmarkEnd w:id="3"/>
      <w:r w:rsidR="008F6433" w:rsidRPr="008F6433">
        <w:rPr>
          <w:rFonts w:ascii="Book Antiqua" w:hAnsi="Book Antiqua"/>
          <w:iCs/>
        </w:rPr>
        <w:t>-4158</w:t>
      </w:r>
    </w:p>
    <w:p w14:paraId="50B891A5" w14:textId="37956B31" w:rsidR="000C1389" w:rsidRDefault="00E60828" w:rsidP="008A1010">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hyperlink r:id="rId7" w:history="1">
        <w:r w:rsidR="00ED0D6E" w:rsidRPr="0022546F">
          <w:rPr>
            <w:rStyle w:val="ac"/>
            <w:rFonts w:ascii="Book Antiqua" w:hAnsi="Book Antiqua"/>
            <w:iCs/>
          </w:rPr>
          <w:t>https://www.wjgnet.com/2307-8960/full/v</w:t>
        </w:r>
        <w:r w:rsidR="00ED0D6E" w:rsidRPr="0022546F">
          <w:rPr>
            <w:rStyle w:val="ac"/>
            <w:rFonts w:ascii="Book Antiqua" w:hAnsi="Book Antiqua" w:hint="eastAsia"/>
            <w:iCs/>
            <w:lang w:eastAsia="zh-CN"/>
          </w:rPr>
          <w:t>9</w:t>
        </w:r>
        <w:r w:rsidR="00ED0D6E" w:rsidRPr="0022546F">
          <w:rPr>
            <w:rStyle w:val="ac"/>
            <w:rFonts w:ascii="Book Antiqua" w:hAnsi="Book Antiqua"/>
            <w:iCs/>
          </w:rPr>
          <w:t>/i</w:t>
        </w:r>
        <w:r w:rsidR="00ED0D6E" w:rsidRPr="0022546F">
          <w:rPr>
            <w:rStyle w:val="ac"/>
            <w:rFonts w:ascii="Book Antiqua" w:hAnsi="Book Antiqua" w:hint="eastAsia"/>
            <w:iCs/>
            <w:lang w:eastAsia="zh-CN"/>
          </w:rPr>
          <w:t>17</w:t>
        </w:r>
        <w:r w:rsidR="00ED0D6E" w:rsidRPr="0022546F">
          <w:rPr>
            <w:rStyle w:val="ac"/>
            <w:rFonts w:ascii="Book Antiqua" w:hAnsi="Book Antiqua"/>
            <w:iCs/>
          </w:rPr>
          <w:t>/</w:t>
        </w:r>
        <w:r w:rsidR="008F6433" w:rsidRPr="008F6433">
          <w:rPr>
            <w:rFonts w:ascii="Book Antiqua" w:hAnsi="Book Antiqua"/>
            <w:iCs/>
          </w:rPr>
          <w:t>4143</w:t>
        </w:r>
        <w:r w:rsidR="00ED0D6E" w:rsidRPr="0022546F">
          <w:rPr>
            <w:rStyle w:val="ac"/>
            <w:rFonts w:ascii="Book Antiqua" w:hAnsi="Book Antiqua"/>
            <w:iCs/>
          </w:rPr>
          <w:t>.htm</w:t>
        </w:r>
      </w:hyperlink>
    </w:p>
    <w:p w14:paraId="380C60C3" w14:textId="2C915018" w:rsidR="00A77B3E" w:rsidRDefault="00E60828" w:rsidP="008A1010">
      <w:pPr>
        <w:spacing w:line="360" w:lineRule="auto"/>
        <w:jc w:val="both"/>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17</w:t>
      </w:r>
      <w:r w:rsidRPr="00651643">
        <w:rPr>
          <w:rFonts w:ascii="Book Antiqua" w:hAnsi="Book Antiqua"/>
          <w:iCs/>
        </w:rPr>
        <w:t>.</w:t>
      </w:r>
      <w:r w:rsidR="008F6433" w:rsidRPr="008F6433">
        <w:rPr>
          <w:rFonts w:ascii="Book Antiqua" w:hAnsi="Book Antiqua"/>
          <w:iCs/>
        </w:rPr>
        <w:t>4143</w:t>
      </w:r>
    </w:p>
    <w:p w14:paraId="4DE8DBD3" w14:textId="77777777" w:rsidR="00A77B3E" w:rsidRDefault="00A77B3E">
      <w:pPr>
        <w:spacing w:line="360" w:lineRule="auto"/>
        <w:jc w:val="both"/>
      </w:pPr>
    </w:p>
    <w:p w14:paraId="79461653" w14:textId="03C14DD2" w:rsidR="00F605BF"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Our study utilized multi-omics data from </w:t>
      </w:r>
      <w:r w:rsidR="00F605BF">
        <w:rPr>
          <w:rFonts w:ascii="Book Antiqua" w:eastAsia="Book Antiqua" w:hAnsi="Book Antiqua" w:cs="Book Antiqua"/>
          <w:color w:val="000000"/>
        </w:rPr>
        <w:t>The Cancer Genome Atlas</w:t>
      </w:r>
      <w:r>
        <w:rPr>
          <w:rFonts w:ascii="Book Antiqua" w:eastAsia="Book Antiqua" w:hAnsi="Book Antiqua" w:cs="Book Antiqua"/>
          <w:color w:val="000000"/>
        </w:rPr>
        <w:t xml:space="preserve">, by analyzing these data, we found that the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may activate the p53 pathway and DNA repair pathway on the one hand, on the other hand, the tumor microenvironment may be involved, with higher tumor killer cells and lower stromal score together building the unique tumor microenvironment of the mutation group.</w:t>
      </w:r>
    </w:p>
    <w:p w14:paraId="18D05B28" w14:textId="04FBEFC0" w:rsidR="00A77B3E" w:rsidRDefault="00F605BF">
      <w:pPr>
        <w:spacing w:line="360" w:lineRule="auto"/>
        <w:jc w:val="both"/>
      </w:pPr>
      <w:r>
        <w:rPr>
          <w:rFonts w:ascii="Book Antiqua" w:eastAsia="Book Antiqua" w:hAnsi="Book Antiqua" w:cs="Book Antiqua"/>
          <w:color w:val="000000"/>
        </w:rPr>
        <w:br w:type="page"/>
      </w:r>
      <w:r w:rsidR="004325C3">
        <w:rPr>
          <w:rFonts w:ascii="Book Antiqua" w:eastAsia="Book Antiqua" w:hAnsi="Book Antiqua" w:cs="Book Antiqua"/>
          <w:b/>
          <w:caps/>
          <w:color w:val="000000"/>
          <w:u w:val="single"/>
        </w:rPr>
        <w:lastRenderedPageBreak/>
        <w:t>INTRODUCTION</w:t>
      </w:r>
    </w:p>
    <w:p w14:paraId="0C45D936" w14:textId="53848CE1" w:rsidR="00A77B3E" w:rsidRDefault="004325C3">
      <w:pPr>
        <w:spacing w:line="360" w:lineRule="auto"/>
        <w:jc w:val="both"/>
      </w:pPr>
      <w:r>
        <w:rPr>
          <w:rFonts w:ascii="Book Antiqua" w:eastAsia="Book Antiqua" w:hAnsi="Book Antiqua" w:cs="Book Antiqua"/>
          <w:color w:val="000000"/>
        </w:rPr>
        <w:t>As the fourth most common cancer worldwide, gastric cancer is a major cause of cancer-related death</w:t>
      </w:r>
      <w:r>
        <w:rPr>
          <w:rFonts w:ascii="Book Antiqua" w:eastAsia="Book Antiqua" w:hAnsi="Book Antiqua" w:cs="Book Antiqua"/>
          <w:color w:val="000000"/>
          <w:szCs w:val="30"/>
          <w:vertAlign w:val="superscript"/>
        </w:rPr>
        <w:t>[1]</w:t>
      </w:r>
      <w:r w:rsidRPr="00F605BF">
        <w:rPr>
          <w:rFonts w:ascii="Book Antiqua" w:eastAsia="Book Antiqua" w:hAnsi="Book Antiqua" w:cs="Book Antiqua"/>
          <w:color w:val="000000"/>
          <w:szCs w:val="30"/>
        </w:rPr>
        <w:t>.</w:t>
      </w:r>
      <w:r>
        <w:rPr>
          <w:rFonts w:ascii="Book Antiqua" w:eastAsia="Book Antiqua" w:hAnsi="Book Antiqua" w:cs="Book Antiqua"/>
          <w:color w:val="000000"/>
        </w:rPr>
        <w:t xml:space="preserve"> Currently, the number of new gastric cancer cases reported globally accounts for 5.7% of all cancer cases, with 8.2% of patients dying as a result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 China, there were approximately 679100 new cases, with 498000 deaths</w:t>
      </w:r>
      <w:r w:rsidR="001324CC" w:rsidRPr="001324CC">
        <w:rPr>
          <w:rFonts w:ascii="Book Antiqua" w:eastAsia="Book Antiqua" w:hAnsi="Book Antiqua" w:cs="Book Antiqua"/>
          <w:color w:val="000000"/>
        </w:rPr>
        <w:t xml:space="preserve"> </w:t>
      </w:r>
      <w:r w:rsidR="001324CC">
        <w:rPr>
          <w:rFonts w:ascii="Book Antiqua" w:eastAsia="Book Antiqua" w:hAnsi="Book Antiqua" w:cs="Book Antiqua"/>
          <w:color w:val="000000"/>
        </w:rPr>
        <w:t>in 2015</w:t>
      </w:r>
      <w:r>
        <w:rPr>
          <w:rFonts w:ascii="Book Antiqua" w:eastAsia="Book Antiqua" w:hAnsi="Book Antiqua" w:cs="Book Antiqua"/>
          <w:color w:val="000000"/>
        </w:rPr>
        <w:t>. The five-year survival rate of patients with gastric cancer is less than 25% due to resistance to chemotherapy drugs and tumor recurrence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6EAAB1A0" w14:textId="0001E610" w:rsidR="00A77B3E" w:rsidRDefault="004325C3" w:rsidP="00F605BF">
      <w:pPr>
        <w:spacing w:line="360" w:lineRule="auto"/>
        <w:ind w:firstLineChars="100" w:firstLine="240"/>
        <w:jc w:val="both"/>
      </w:pP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is a type I transmembrane mucin that encodes cancer antigen 125 (CA-125). It consists of a C-terminal domain, a tandem repeat region, and an extracellular N-terminal section, of which CA-125 is part of the tandem repeat domain. In ovarian cancer, CA-125 is used to monitor cancer progression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Previous studies have shown that </w:t>
      </w:r>
      <w:r w:rsidRPr="00F605B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are associated with a longer survival time in patients with gastric cancer, although the reasons for this are not well understood.</w:t>
      </w:r>
    </w:p>
    <w:p w14:paraId="256D2C21" w14:textId="1F1D7D04" w:rsidR="00A77B3E" w:rsidRDefault="004325C3" w:rsidP="00F605BF">
      <w:pPr>
        <w:spacing w:line="360" w:lineRule="auto"/>
        <w:ind w:firstLineChars="100" w:firstLine="240"/>
        <w:jc w:val="both"/>
      </w:pPr>
      <w:r>
        <w:rPr>
          <w:rFonts w:ascii="Book Antiqua" w:eastAsia="Book Antiqua" w:hAnsi="Book Antiqua" w:cs="Book Antiqua"/>
          <w:color w:val="000000"/>
        </w:rPr>
        <w:t xml:space="preserve">Our study aimed to explore in greater depth the underlying mechanisms as to why MUC16 mutations lead to a better prognosis </w:t>
      </w:r>
      <w:r w:rsidR="001324CC">
        <w:rPr>
          <w:rFonts w:ascii="Book Antiqua" w:eastAsia="Book Antiqua" w:hAnsi="Book Antiqua" w:cs="Book Antiqua"/>
          <w:color w:val="000000"/>
        </w:rPr>
        <w:t>in</w:t>
      </w:r>
      <w:r>
        <w:rPr>
          <w:rFonts w:ascii="Book Antiqua" w:eastAsia="Book Antiqua" w:hAnsi="Book Antiqua" w:cs="Book Antiqua"/>
          <w:color w:val="000000"/>
        </w:rPr>
        <w:t xml:space="preserve"> patients with gastric cancer.</w:t>
      </w:r>
    </w:p>
    <w:p w14:paraId="6842C221" w14:textId="77777777" w:rsidR="00A77B3E" w:rsidRDefault="00A77B3E">
      <w:pPr>
        <w:spacing w:line="360" w:lineRule="auto"/>
        <w:jc w:val="both"/>
      </w:pPr>
    </w:p>
    <w:p w14:paraId="641E6B84" w14:textId="77777777" w:rsidR="00A77B3E" w:rsidRDefault="004325C3">
      <w:pPr>
        <w:spacing w:line="360" w:lineRule="auto"/>
        <w:jc w:val="both"/>
      </w:pPr>
      <w:r>
        <w:rPr>
          <w:rFonts w:ascii="Book Antiqua" w:eastAsia="Book Antiqua" w:hAnsi="Book Antiqua" w:cs="Book Antiqua"/>
          <w:b/>
          <w:caps/>
          <w:color w:val="000000"/>
          <w:u w:val="single"/>
        </w:rPr>
        <w:t>MATERIALS AND METHODS</w:t>
      </w:r>
    </w:p>
    <w:p w14:paraId="7E0F86A2" w14:textId="77777777" w:rsidR="00A77B3E" w:rsidRDefault="004325C3">
      <w:pPr>
        <w:spacing w:line="360" w:lineRule="auto"/>
        <w:jc w:val="both"/>
      </w:pPr>
      <w:r>
        <w:rPr>
          <w:rFonts w:ascii="Book Antiqua" w:eastAsia="Book Antiqua" w:hAnsi="Book Antiqua" w:cs="Book Antiqua"/>
          <w:b/>
          <w:bCs/>
          <w:i/>
          <w:iCs/>
          <w:color w:val="000000"/>
        </w:rPr>
        <w:t>Acquisition of patient data</w:t>
      </w:r>
    </w:p>
    <w:p w14:paraId="34ACF355" w14:textId="2A730951" w:rsidR="00A77B3E" w:rsidRDefault="004325C3">
      <w:pPr>
        <w:spacing w:line="360" w:lineRule="auto"/>
        <w:jc w:val="both"/>
      </w:pPr>
      <w:r>
        <w:rPr>
          <w:rFonts w:ascii="Book Antiqua" w:eastAsia="Book Antiqua" w:hAnsi="Book Antiqua" w:cs="Book Antiqua"/>
          <w:color w:val="000000"/>
        </w:rPr>
        <w:t xml:space="preserve">We obtained multi-omics data, including mRNA, methylation, and </w:t>
      </w:r>
      <w:r w:rsidR="00F605BF">
        <w:rPr>
          <w:rFonts w:ascii="Book Antiqua" w:eastAsia="Book Antiqua" w:hAnsi="Book Antiqua" w:cs="Book Antiqua"/>
          <w:color w:val="000000"/>
        </w:rPr>
        <w:t>simple nucleotide variation (SNP)</w:t>
      </w:r>
      <w:r>
        <w:rPr>
          <w:rFonts w:ascii="Book Antiqua" w:eastAsia="Book Antiqua" w:hAnsi="Book Antiqua" w:cs="Book Antiqua"/>
          <w:color w:val="000000"/>
        </w:rPr>
        <w:t xml:space="preserve"> data from The Cancer Genome Atlas (TCGA) (https://portal.gdc.Cancer.gov/) and </w:t>
      </w:r>
      <w:r w:rsidR="00F605BF">
        <w:rPr>
          <w:rFonts w:ascii="Book Antiqua" w:eastAsia="Book Antiqua" w:hAnsi="Book Antiqua" w:cs="Book Antiqua"/>
          <w:color w:val="000000"/>
        </w:rPr>
        <w:t>copy number variation (CNV)</w:t>
      </w:r>
      <w:r>
        <w:rPr>
          <w:rFonts w:ascii="Book Antiqua" w:eastAsia="Book Antiqua" w:hAnsi="Book Antiqua" w:cs="Book Antiqua"/>
          <w:color w:val="000000"/>
        </w:rPr>
        <w:t xml:space="preserve"> data from </w:t>
      </w:r>
      <w:r w:rsidR="001324CC">
        <w:rPr>
          <w:rFonts w:ascii="Book Antiqua" w:eastAsia="Book Antiqua" w:hAnsi="Book Antiqua" w:cs="Book Antiqua"/>
          <w:color w:val="000000"/>
        </w:rPr>
        <w:t xml:space="preserve">the </w:t>
      </w:r>
      <w:r w:rsidR="00F605BF">
        <w:rPr>
          <w:rFonts w:ascii="Book Antiqua" w:eastAsia="Book Antiqua" w:hAnsi="Book Antiqua" w:cs="Book Antiqua"/>
          <w:color w:val="000000"/>
        </w:rPr>
        <w:t xml:space="preserve">University </w:t>
      </w:r>
      <w:r w:rsidR="006E4BCF">
        <w:rPr>
          <w:rFonts w:ascii="Book Antiqua" w:eastAsia="Book Antiqua" w:hAnsi="Book Antiqua" w:cs="Book Antiqua"/>
          <w:color w:val="000000"/>
        </w:rPr>
        <w:t>of California Santa Cruz</w:t>
      </w:r>
      <w:r>
        <w:rPr>
          <w:rFonts w:ascii="Book Antiqua" w:eastAsia="Book Antiqua" w:hAnsi="Book Antiqua" w:cs="Book Antiqua"/>
          <w:color w:val="000000"/>
        </w:rPr>
        <w:t xml:space="preserve"> (http://xena.ucsc.edu/) for gastric cancer patients, and we also downloaded the matching clinical data. The mRNA data of </w:t>
      </w:r>
      <w:r w:rsidR="001324CC">
        <w:rPr>
          <w:rFonts w:ascii="Book Antiqua" w:eastAsia="Book Antiqua" w:hAnsi="Book Antiqua" w:cs="Book Antiqua"/>
          <w:color w:val="000000"/>
        </w:rPr>
        <w:t xml:space="preserve">a </w:t>
      </w:r>
      <w:r>
        <w:rPr>
          <w:rFonts w:ascii="Book Antiqua" w:eastAsia="Book Antiqua" w:hAnsi="Book Antiqua" w:cs="Book Antiqua"/>
          <w:color w:val="000000"/>
        </w:rPr>
        <w:t xml:space="preserve">separate gastric cancer cohort (GSE62254) and its corresponding clinical data were obtained from </w:t>
      </w:r>
      <w:r w:rsidR="001324CC">
        <w:rPr>
          <w:rFonts w:ascii="Book Antiqua" w:eastAsia="Book Antiqua" w:hAnsi="Book Antiqua" w:cs="Book Antiqua"/>
          <w:color w:val="000000"/>
        </w:rPr>
        <w:t xml:space="preserve">the </w:t>
      </w:r>
      <w:r>
        <w:rPr>
          <w:rFonts w:ascii="Book Antiqua" w:eastAsia="Book Antiqua" w:hAnsi="Book Antiqua" w:cs="Book Antiqua"/>
          <w:color w:val="000000"/>
        </w:rPr>
        <w:t>Gene Expression Omnibus (GEO) (https://www.ncbi.nlm.nih.gov/geo/).</w:t>
      </w:r>
    </w:p>
    <w:p w14:paraId="69FFCEBB" w14:textId="77777777" w:rsidR="00A77B3E" w:rsidRDefault="00A77B3E">
      <w:pPr>
        <w:spacing w:line="360" w:lineRule="auto"/>
        <w:jc w:val="both"/>
      </w:pPr>
    </w:p>
    <w:p w14:paraId="15AAC762" w14:textId="4C67F56D" w:rsidR="00A77B3E" w:rsidRDefault="00F605BF">
      <w:pPr>
        <w:spacing w:line="360" w:lineRule="auto"/>
        <w:jc w:val="both"/>
      </w:pPr>
      <w:r>
        <w:rPr>
          <w:rFonts w:ascii="Book Antiqua" w:eastAsia="Book Antiqua" w:hAnsi="Book Antiqua" w:cs="Book Antiqua"/>
          <w:b/>
          <w:bCs/>
          <w:i/>
          <w:iCs/>
          <w:color w:val="000000"/>
        </w:rPr>
        <w:t>T</w:t>
      </w:r>
      <w:r w:rsidRPr="00F605BF">
        <w:rPr>
          <w:rFonts w:ascii="Book Antiqua" w:eastAsia="Book Antiqua" w:hAnsi="Book Antiqua" w:cs="Book Antiqua"/>
          <w:b/>
          <w:bCs/>
          <w:i/>
          <w:iCs/>
          <w:color w:val="000000"/>
        </w:rPr>
        <w:t>umor mutation burden</w:t>
      </w:r>
      <w:r>
        <w:rPr>
          <w:rFonts w:ascii="Book Antiqua" w:eastAsia="Book Antiqua" w:hAnsi="Book Antiqua" w:cs="Book Antiqua"/>
          <w:b/>
          <w:bCs/>
          <w:i/>
          <w:iCs/>
          <w:color w:val="000000"/>
        </w:rPr>
        <w:t xml:space="preserve"> s</w:t>
      </w:r>
      <w:r w:rsidR="004325C3">
        <w:rPr>
          <w:rFonts w:ascii="Book Antiqua" w:eastAsia="Book Antiqua" w:hAnsi="Book Antiqua" w:cs="Book Antiqua"/>
          <w:b/>
          <w:bCs/>
          <w:i/>
          <w:iCs/>
          <w:color w:val="000000"/>
        </w:rPr>
        <w:t>cores</w:t>
      </w:r>
    </w:p>
    <w:p w14:paraId="53AFC036" w14:textId="4951BDCC" w:rsidR="00A77B3E" w:rsidRDefault="00F605B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Tumor mutation burden (</w:t>
      </w:r>
      <w:r w:rsidR="004325C3">
        <w:rPr>
          <w:rFonts w:ascii="Book Antiqua" w:eastAsia="Book Antiqua" w:hAnsi="Book Antiqua" w:cs="Book Antiqua"/>
          <w:color w:val="000000"/>
        </w:rPr>
        <w:t>TMB</w:t>
      </w:r>
      <w:r>
        <w:rPr>
          <w:rFonts w:ascii="Book Antiqua" w:eastAsia="Book Antiqua" w:hAnsi="Book Antiqua" w:cs="Book Antiqua"/>
          <w:color w:val="000000"/>
        </w:rPr>
        <w:t>)</w:t>
      </w:r>
      <w:r w:rsidR="004325C3">
        <w:rPr>
          <w:rFonts w:ascii="Book Antiqua" w:eastAsia="Book Antiqua" w:hAnsi="Book Antiqua" w:cs="Book Antiqua"/>
          <w:color w:val="000000"/>
        </w:rPr>
        <w:t xml:space="preserve"> is generally defined as the total number of replacement and insertion/deletion (indel) mutations per basic group in the exon coding region of </w:t>
      </w:r>
      <w:r w:rsidR="004325C3">
        <w:rPr>
          <w:rFonts w:ascii="Book Antiqua" w:eastAsia="Book Antiqua" w:hAnsi="Book Antiqua" w:cs="Book Antiqua"/>
          <w:color w:val="000000"/>
        </w:rPr>
        <w:lastRenderedPageBreak/>
        <w:t xml:space="preserve">the assessed gene in a tumor cell's genome. In our study, the following formula </w:t>
      </w:r>
      <w:r w:rsidR="001324CC">
        <w:rPr>
          <w:rFonts w:ascii="Book Antiqua" w:eastAsia="Book Antiqua" w:hAnsi="Book Antiqua" w:cs="Book Antiqua"/>
          <w:color w:val="000000"/>
        </w:rPr>
        <w:t xml:space="preserve">was used </w:t>
      </w:r>
      <w:r w:rsidR="004325C3">
        <w:rPr>
          <w:rFonts w:ascii="Book Antiqua" w:eastAsia="Book Antiqua" w:hAnsi="Book Antiqua" w:cs="Book Antiqua"/>
          <w:color w:val="000000"/>
        </w:rPr>
        <w:t>to calculate</w:t>
      </w:r>
      <w:r w:rsidR="001324CC">
        <w:rPr>
          <w:rFonts w:ascii="Book Antiqua" w:eastAsia="Book Antiqua" w:hAnsi="Book Antiqua" w:cs="Book Antiqua"/>
          <w:color w:val="000000"/>
        </w:rPr>
        <w:t xml:space="preserve"> TMB</w:t>
      </w:r>
      <w:r w:rsidR="006E4BCF">
        <w:rPr>
          <w:rFonts w:ascii="Book Antiqua" w:hAnsi="Book Antiqua" w:cs="Book Antiqua" w:hint="eastAsia"/>
          <w:color w:val="000000"/>
          <w:lang w:eastAsia="zh-CN"/>
        </w:rPr>
        <w:t>:</w:t>
      </w:r>
      <w:r w:rsidR="006E4BCF">
        <w:rPr>
          <w:rFonts w:ascii="Book Antiqua" w:hAnsi="Book Antiqua" w:cs="Book Antiqua"/>
          <w:color w:val="000000"/>
          <w:lang w:eastAsia="zh-CN"/>
        </w:rPr>
        <w:t xml:space="preserve"> </w:t>
      </w:r>
      <w:r w:rsidR="004325C3">
        <w:rPr>
          <w:rFonts w:ascii="Book Antiqua" w:eastAsia="Book Antiqua" w:hAnsi="Book Antiqua" w:cs="Book Antiqua"/>
          <w:color w:val="000000"/>
        </w:rPr>
        <w:t>the number</w:t>
      </w:r>
      <w:r w:rsidR="006E4BCF">
        <w:rPr>
          <w:rFonts w:ascii="Book Antiqua" w:eastAsia="Book Antiqua" w:hAnsi="Book Antiqua" w:cs="Book Antiqua"/>
          <w:color w:val="000000"/>
        </w:rPr>
        <w:t>s</w:t>
      </w:r>
      <w:r w:rsidR="004325C3">
        <w:rPr>
          <w:rFonts w:ascii="Book Antiqua" w:eastAsia="Book Antiqua" w:hAnsi="Book Antiqua" w:cs="Book Antiqua"/>
          <w:color w:val="000000"/>
        </w:rPr>
        <w:t xml:space="preserve"> of mutations/</w:t>
      </w:r>
      <w:r w:rsidR="006E4BCF">
        <w:rPr>
          <w:rFonts w:ascii="Book Antiqua" w:eastAsia="Book Antiqua" w:hAnsi="Book Antiqua" w:cs="Book Antiqua"/>
          <w:color w:val="000000"/>
        </w:rPr>
        <w:t>l</w:t>
      </w:r>
      <w:r w:rsidR="004325C3">
        <w:rPr>
          <w:rFonts w:ascii="Book Antiqua" w:eastAsia="Book Antiqua" w:hAnsi="Book Antiqua" w:cs="Book Antiqua"/>
          <w:color w:val="000000"/>
        </w:rPr>
        <w:t>ength of exons (38</w:t>
      </w:r>
      <w:r w:rsidR="006E4BCF">
        <w:rPr>
          <w:rFonts w:ascii="Book Antiqua" w:eastAsia="Book Antiqua" w:hAnsi="Book Antiqua" w:cs="Book Antiqua"/>
          <w:color w:val="000000"/>
        </w:rPr>
        <w:t xml:space="preserve"> </w:t>
      </w:r>
      <w:r w:rsidR="004325C3">
        <w:rPr>
          <w:rFonts w:ascii="Book Antiqua" w:eastAsia="Book Antiqua" w:hAnsi="Book Antiqua" w:cs="Book Antiqua"/>
          <w:color w:val="000000"/>
        </w:rPr>
        <w:t>mb).</w:t>
      </w:r>
    </w:p>
    <w:p w14:paraId="1D5368CD" w14:textId="77777777" w:rsidR="006E4BCF" w:rsidRDefault="006E4BCF">
      <w:pPr>
        <w:spacing w:line="360" w:lineRule="auto"/>
        <w:jc w:val="both"/>
      </w:pPr>
    </w:p>
    <w:p w14:paraId="186DA7A5" w14:textId="77777777" w:rsidR="00A77B3E" w:rsidRDefault="004325C3">
      <w:pPr>
        <w:spacing w:line="360" w:lineRule="auto"/>
        <w:jc w:val="both"/>
      </w:pPr>
      <w:r>
        <w:rPr>
          <w:rFonts w:ascii="Book Antiqua" w:eastAsia="Book Antiqua" w:hAnsi="Book Antiqua" w:cs="Book Antiqua"/>
          <w:b/>
          <w:bCs/>
          <w:i/>
          <w:iCs/>
          <w:color w:val="000000"/>
        </w:rPr>
        <w:t>Cancer stem cell</w:t>
      </w:r>
    </w:p>
    <w:p w14:paraId="41C5181E" w14:textId="5FEB0F8D" w:rsidR="00A77B3E" w:rsidRDefault="004325C3">
      <w:pPr>
        <w:spacing w:line="360" w:lineRule="auto"/>
        <w:jc w:val="both"/>
      </w:pPr>
      <w:r>
        <w:rPr>
          <w:rFonts w:ascii="Book Antiqua" w:eastAsia="Book Antiqua" w:hAnsi="Book Antiqua" w:cs="Book Antiqua"/>
          <w:color w:val="000000"/>
        </w:rPr>
        <w:t>As research on tumors has progressed, growing numbers of academics have begun to recognize the heterogeneity of tumors and have proposed the cancer stem cell hypothesis. They argue that the tumor cells, even in the same tumor tissue, c</w:t>
      </w:r>
      <w:r w:rsidR="001324CC">
        <w:rPr>
          <w:rFonts w:ascii="Book Antiqua" w:eastAsia="Book Antiqua" w:hAnsi="Book Antiqua" w:cs="Book Antiqua"/>
          <w:color w:val="000000"/>
        </w:rPr>
        <w:t>an</w:t>
      </w:r>
      <w:r>
        <w:rPr>
          <w:rFonts w:ascii="Book Antiqua" w:eastAsia="Book Antiqua" w:hAnsi="Book Antiqua" w:cs="Book Antiqua"/>
          <w:color w:val="000000"/>
        </w:rPr>
        <w:t xml:space="preserve"> be divided into different clusters, one of which is cancer stem cells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Malta </w:t>
      </w:r>
      <w:r>
        <w:rPr>
          <w:rFonts w:ascii="Book Antiqua" w:eastAsia="Book Antiqua" w:hAnsi="Book Antiqua" w:cs="Book Antiqua"/>
          <w:i/>
          <w:iCs/>
          <w:color w:val="000000"/>
        </w:rPr>
        <w:t>et al</w:t>
      </w:r>
      <w:r w:rsidR="006E4BCF">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proposed two cancer stem cell indices, mRNAsi and mDNAsi. The former reflects gene expression and the latter reflects epigenetic features, using a one-class logistic regression machine learning algorithm based on transcriptomic and epigenetic feature set information. For this reason, we also used their calculated mRNAsi in our study.</w:t>
      </w:r>
    </w:p>
    <w:p w14:paraId="413B130F" w14:textId="77777777" w:rsidR="00A77B3E" w:rsidRDefault="00A77B3E">
      <w:pPr>
        <w:spacing w:line="360" w:lineRule="auto"/>
        <w:jc w:val="both"/>
      </w:pPr>
    </w:p>
    <w:p w14:paraId="12571053" w14:textId="48F4FEA8" w:rsidR="00A77B3E" w:rsidRDefault="004325C3">
      <w:pPr>
        <w:spacing w:line="360" w:lineRule="auto"/>
        <w:jc w:val="both"/>
      </w:pPr>
      <w:r>
        <w:rPr>
          <w:rFonts w:ascii="Book Antiqua" w:eastAsia="Book Antiqua" w:hAnsi="Book Antiqua" w:cs="Book Antiqua"/>
          <w:b/>
          <w:bCs/>
          <w:i/>
          <w:iCs/>
          <w:color w:val="000000"/>
        </w:rPr>
        <w:t>Acquisition of differentially expressed genes and construction of a model</w:t>
      </w:r>
    </w:p>
    <w:p w14:paraId="311A0CE1" w14:textId="57C08942" w:rsidR="00A77B3E" w:rsidRDefault="004325C3">
      <w:pPr>
        <w:spacing w:line="360" w:lineRule="auto"/>
        <w:jc w:val="both"/>
      </w:pPr>
      <w:r>
        <w:rPr>
          <w:rFonts w:ascii="Book Antiqua" w:eastAsia="Book Antiqua" w:hAnsi="Book Antiqua" w:cs="Book Antiqua"/>
          <w:color w:val="000000"/>
        </w:rPr>
        <w:t xml:space="preserve">To investigate differentially expressed genes due to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mutations, we first classified the TCGA cohort into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1324CC">
        <w:rPr>
          <w:rFonts w:ascii="Book Antiqua" w:eastAsia="Book Antiqua" w:hAnsi="Book Antiqua" w:cs="Book Antiqua"/>
          <w:color w:val="000000"/>
        </w:rPr>
        <w:t xml:space="preserve">-type </w:t>
      </w:r>
      <w:r>
        <w:rPr>
          <w:rFonts w:ascii="Book Antiqua" w:eastAsia="Book Antiqua" w:hAnsi="Book Antiqua" w:cs="Book Antiqua"/>
          <w:color w:val="000000"/>
        </w:rPr>
        <w:t xml:space="preserve">group and then analyzed them using 'edgeR' (an R package), where we defined logFC&gt;1 (logFC&lt;-1) and </w:t>
      </w:r>
      <w:r w:rsidR="006E4BCF" w:rsidRPr="006E4BCF">
        <w:rPr>
          <w:rFonts w:ascii="Book Antiqua" w:eastAsia="Book Antiqua" w:hAnsi="Book Antiqua" w:cs="Book Antiqua"/>
          <w:color w:val="000000"/>
        </w:rPr>
        <w:t>false discovery rate</w:t>
      </w:r>
      <w:r w:rsidR="006E4BCF">
        <w:rPr>
          <w:rFonts w:ascii="Book Antiqua" w:eastAsia="Book Antiqua" w:hAnsi="Book Antiqua" w:cs="Book Antiqua"/>
          <w:color w:val="000000"/>
        </w:rPr>
        <w:t xml:space="preserve"> (</w:t>
      </w:r>
      <w:r>
        <w:rPr>
          <w:rFonts w:ascii="Book Antiqua" w:eastAsia="Book Antiqua" w:hAnsi="Book Antiqua" w:cs="Book Antiqua"/>
          <w:color w:val="000000"/>
        </w:rPr>
        <w:t>FDR</w:t>
      </w:r>
      <w:r w:rsidR="006E4BCF">
        <w:rPr>
          <w:rFonts w:ascii="Book Antiqua" w:eastAsia="Book Antiqua" w:hAnsi="Book Antiqua" w:cs="Book Antiqua"/>
          <w:color w:val="000000"/>
        </w:rPr>
        <w:t xml:space="preserve">) </w:t>
      </w:r>
      <w:r>
        <w:rPr>
          <w:rFonts w:ascii="Book Antiqua" w:eastAsia="Book Antiqua" w:hAnsi="Book Antiqua" w:cs="Book Antiqua"/>
          <w:color w:val="000000"/>
        </w:rPr>
        <w:t>&lt;</w:t>
      </w:r>
      <w:r w:rsidR="006E4BCF">
        <w:rPr>
          <w:rFonts w:ascii="Book Antiqua" w:eastAsia="Book Antiqua" w:hAnsi="Book Antiqua" w:cs="Book Antiqua"/>
          <w:color w:val="000000"/>
        </w:rPr>
        <w:t xml:space="preserve"> </w:t>
      </w:r>
      <w:r>
        <w:rPr>
          <w:rFonts w:ascii="Book Antiqua" w:eastAsia="Book Antiqua" w:hAnsi="Book Antiqua" w:cs="Book Antiqua"/>
          <w:color w:val="000000"/>
        </w:rPr>
        <w:t>0.05 as differentially expressed genes in these two groups. To validate the GEO cohort, the differentially expressed genes obtained in TCGA were taken to intersect with all genes in the GEO cohort. The intersected genes were used in our subsequent model construction.</w:t>
      </w:r>
    </w:p>
    <w:p w14:paraId="4F6CED94" w14:textId="3E84DCC2" w:rsidR="00A77B3E" w:rsidRDefault="004325C3" w:rsidP="006E4BCF">
      <w:pPr>
        <w:spacing w:line="360" w:lineRule="auto"/>
        <w:ind w:firstLineChars="100" w:firstLine="240"/>
        <w:jc w:val="both"/>
      </w:pPr>
      <w:r>
        <w:rPr>
          <w:rFonts w:ascii="Book Antiqua" w:eastAsia="Book Antiqua" w:hAnsi="Book Antiqua" w:cs="Book Antiqua"/>
          <w:color w:val="000000"/>
        </w:rPr>
        <w:t xml:space="preserve">We used univariate Cox regression to identify prognostically related genes, where we took </w:t>
      </w:r>
      <w:r w:rsidR="006E4BCF" w:rsidRPr="006E4BCF">
        <w:rPr>
          <w:rFonts w:ascii="Book Antiqua" w:eastAsia="Book Antiqua" w:hAnsi="Book Antiqua" w:cs="Book Antiqua"/>
          <w:i/>
          <w:iCs/>
          <w:color w:val="000000"/>
        </w:rPr>
        <w:t>P</w:t>
      </w:r>
      <w:r>
        <w:rPr>
          <w:rFonts w:ascii="Book Antiqua" w:eastAsia="Book Antiqua" w:hAnsi="Book Antiqua" w:cs="Book Antiqua"/>
          <w:color w:val="000000"/>
        </w:rPr>
        <w:t xml:space="preserve"> &lt; 0.05 as the cutoff value and ranked the importance of the obtained genes using a random survival forest algorithm (nrep = 100, nstep = 5). We defined genes with relative importance &gt; 0.65 as our target genes. The entire random survival forest algorithm was implemented using the two R packages “randomForestSR” and “randomSurvivalForest”.</w:t>
      </w:r>
    </w:p>
    <w:p w14:paraId="20E31871" w14:textId="77777777" w:rsidR="00A77B3E" w:rsidRDefault="00A77B3E">
      <w:pPr>
        <w:spacing w:line="360" w:lineRule="auto"/>
        <w:jc w:val="both"/>
      </w:pPr>
    </w:p>
    <w:p w14:paraId="432D5A14" w14:textId="77777777" w:rsidR="00A77B3E" w:rsidRDefault="004325C3">
      <w:pPr>
        <w:spacing w:line="360" w:lineRule="auto"/>
        <w:jc w:val="both"/>
      </w:pPr>
      <w:r>
        <w:rPr>
          <w:rFonts w:ascii="Book Antiqua" w:eastAsia="Book Antiqua" w:hAnsi="Book Antiqua" w:cs="Book Antiqua"/>
          <w:b/>
          <w:bCs/>
          <w:i/>
          <w:iCs/>
          <w:color w:val="000000"/>
        </w:rPr>
        <w:t>Estimation of immune cells infiltration</w:t>
      </w:r>
    </w:p>
    <w:p w14:paraId="3DE57F7E" w14:textId="105E9E8B" w:rsidR="00A77B3E"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Two different methods were applied to estimate the infiltration of immune cells according to the type of data; for mRNA data, we used </w:t>
      </w:r>
      <w:r w:rsidR="00F605BF">
        <w:rPr>
          <w:rFonts w:ascii="Book Antiqua" w:eastAsia="Book Antiqua" w:hAnsi="Book Antiqua" w:cs="Book Antiqua"/>
          <w:color w:val="000000"/>
        </w:rPr>
        <w:t xml:space="preserve">single-sample </w:t>
      </w:r>
      <w:r w:rsidR="006E4BCF">
        <w:rPr>
          <w:rFonts w:ascii="Book Antiqua" w:eastAsia="Book Antiqua" w:hAnsi="Book Antiqua" w:cs="Book Antiqua"/>
          <w:color w:val="000000"/>
        </w:rPr>
        <w:t>gene set enrichment analysis</w:t>
      </w:r>
      <w:r w:rsidR="00F605BF">
        <w:rPr>
          <w:rFonts w:ascii="Book Antiqua" w:eastAsia="Book Antiqua" w:hAnsi="Book Antiqua" w:cs="Book Antiqua"/>
          <w:color w:val="000000"/>
        </w:rPr>
        <w:t xml:space="preserve"> (</w:t>
      </w:r>
      <w:r>
        <w:rPr>
          <w:rFonts w:ascii="Book Antiqua" w:eastAsia="Book Antiqua" w:hAnsi="Book Antiqua" w:cs="Book Antiqua"/>
          <w:color w:val="000000"/>
        </w:rPr>
        <w:t>ssGSEA</w:t>
      </w:r>
      <w:r w:rsidR="00F605BF">
        <w:rPr>
          <w:rFonts w:ascii="Book Antiqua" w:eastAsia="Book Antiqua" w:hAnsi="Book Antiqua" w:cs="Book Antiqua"/>
          <w:color w:val="000000"/>
        </w:rPr>
        <w:t>)</w:t>
      </w:r>
      <w:r>
        <w:rPr>
          <w:rFonts w:ascii="Book Antiqua" w:eastAsia="Book Antiqua" w:hAnsi="Book Antiqua" w:cs="Book Antiqua"/>
          <w:color w:val="000000"/>
        </w:rPr>
        <w:t xml:space="preserve"> to calculate the infiltration of 28 different immune cells and EpiDISH was used for methylation data, to estimate the infiltration of six different immune cells.</w:t>
      </w:r>
    </w:p>
    <w:p w14:paraId="0115E440" w14:textId="77777777" w:rsidR="006E4BCF" w:rsidRDefault="006E4BCF">
      <w:pPr>
        <w:spacing w:line="360" w:lineRule="auto"/>
        <w:jc w:val="both"/>
      </w:pPr>
    </w:p>
    <w:p w14:paraId="2858D087" w14:textId="171ABB12" w:rsidR="00A77B3E" w:rsidRDefault="004325C3">
      <w:pPr>
        <w:spacing w:line="360" w:lineRule="auto"/>
        <w:jc w:val="both"/>
      </w:pPr>
      <w:r>
        <w:rPr>
          <w:rFonts w:ascii="Book Antiqua" w:eastAsia="Book Antiqua" w:hAnsi="Book Antiqua" w:cs="Book Antiqua"/>
          <w:b/>
          <w:bCs/>
          <w:i/>
          <w:iCs/>
          <w:color w:val="000000"/>
        </w:rPr>
        <w:t>Gene set enrichment analysis</w:t>
      </w:r>
    </w:p>
    <w:p w14:paraId="72449704" w14:textId="31B8D550" w:rsidR="00A77B3E" w:rsidRDefault="004325C3">
      <w:pPr>
        <w:spacing w:line="360" w:lineRule="auto"/>
        <w:jc w:val="both"/>
      </w:pPr>
      <w:r>
        <w:rPr>
          <w:rFonts w:ascii="Book Antiqua" w:eastAsia="Book Antiqua" w:hAnsi="Book Antiqua" w:cs="Book Antiqua"/>
          <w:color w:val="000000"/>
        </w:rPr>
        <w:t>Gene set enrichment analysis</w:t>
      </w:r>
      <w:r w:rsidR="006E4BCF">
        <w:rPr>
          <w:rFonts w:ascii="Book Antiqua" w:eastAsia="Book Antiqua" w:hAnsi="Book Antiqua" w:cs="Book Antiqua"/>
          <w:color w:val="000000"/>
        </w:rPr>
        <w:t xml:space="preserve"> </w:t>
      </w:r>
      <w:r w:rsidR="006E4BCF" w:rsidRPr="006E4BCF">
        <w:rPr>
          <w:rFonts w:ascii="Book Antiqua" w:eastAsia="Book Antiqua" w:hAnsi="Book Antiqua" w:cs="Book Antiqua"/>
          <w:color w:val="000000"/>
        </w:rPr>
        <w:t>(GSEA)</w:t>
      </w:r>
      <w:r w:rsidR="006E4BCF">
        <w:rPr>
          <w:rFonts w:ascii="Book Antiqua" w:eastAsia="Book Antiqua" w:hAnsi="Book Antiqua" w:cs="Book Antiqua"/>
          <w:color w:val="000000"/>
        </w:rPr>
        <w:t xml:space="preserve"> </w:t>
      </w:r>
      <w:r>
        <w:rPr>
          <w:rFonts w:ascii="Book Antiqua" w:eastAsia="Book Antiqua" w:hAnsi="Book Antiqua" w:cs="Book Antiqua"/>
          <w:color w:val="000000"/>
        </w:rPr>
        <w:t>was performed to elucidate molecular mechanisms and pathways using two different tools to achieve this. In the case of multiple genes, we used the “clusterProfiler” (an R package). For a single gene, we used javaGSEA v. 4.0 software based on the data from C2 (c2.cp.kegg.v7.1.symbols).</w:t>
      </w:r>
    </w:p>
    <w:p w14:paraId="4C627BB3" w14:textId="77777777" w:rsidR="00A77B3E" w:rsidRDefault="00A77B3E">
      <w:pPr>
        <w:spacing w:line="360" w:lineRule="auto"/>
        <w:jc w:val="both"/>
      </w:pPr>
    </w:p>
    <w:p w14:paraId="7930569E" w14:textId="77777777" w:rsidR="00A77B3E" w:rsidRDefault="004325C3">
      <w:pPr>
        <w:spacing w:line="360" w:lineRule="auto"/>
        <w:jc w:val="both"/>
      </w:pPr>
      <w:r>
        <w:rPr>
          <w:rFonts w:ascii="Book Antiqua" w:eastAsia="Book Antiqua" w:hAnsi="Book Antiqua" w:cs="Book Antiqua"/>
          <w:b/>
          <w:bCs/>
          <w:i/>
          <w:iCs/>
          <w:color w:val="000000"/>
        </w:rPr>
        <w:t>Assessment of immune score, tumor purity, and stromal score</w:t>
      </w:r>
    </w:p>
    <w:p w14:paraId="4E77EE5F" w14:textId="09E4B257" w:rsidR="00A77B3E" w:rsidRDefault="004325C3">
      <w:pPr>
        <w:spacing w:line="360" w:lineRule="auto"/>
        <w:jc w:val="both"/>
      </w:pPr>
      <w:r>
        <w:rPr>
          <w:rFonts w:ascii="Book Antiqua" w:eastAsia="Book Antiqua" w:hAnsi="Book Antiqua" w:cs="Book Antiqua"/>
          <w:color w:val="000000"/>
        </w:rPr>
        <w:t xml:space="preserve">In order to evaluate the immune score, tumor purity, and stromal score, we analyzed the TCGA cohort using ESTIMATE (an R package). The ESTIMATE algorithm was designed by Yoshihara </w:t>
      </w:r>
      <w:r>
        <w:rPr>
          <w:rFonts w:ascii="Book Antiqua" w:eastAsia="Book Antiqua" w:hAnsi="Book Antiqua" w:cs="Book Antiqua"/>
          <w:i/>
          <w:iCs/>
          <w:color w:val="000000"/>
        </w:rPr>
        <w:t>et al</w:t>
      </w:r>
      <w:r w:rsidR="006E4BCF">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to calculate stromal score and immune score in tumor tissues using expression data. In recent years, this algorithm has been used in tumors such as breast cancer and glioblastoma multiforme and has shown unique appeal</w:t>
      </w:r>
      <w:r>
        <w:rPr>
          <w:rFonts w:ascii="Book Antiqua" w:eastAsia="Book Antiqua" w:hAnsi="Book Antiqua" w:cs="Book Antiqua"/>
          <w:color w:val="000000"/>
          <w:szCs w:val="30"/>
          <w:vertAlign w:val="superscript"/>
        </w:rPr>
        <w:t>[10</w:t>
      </w:r>
      <w:r w:rsidR="006E4BC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Kruskal-Wallis test compared stromal and immune scores in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6E4BCF">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6A009FD4" w14:textId="77777777" w:rsidR="00A77B3E" w:rsidRDefault="00A77B3E">
      <w:pPr>
        <w:spacing w:line="360" w:lineRule="auto"/>
        <w:jc w:val="both"/>
      </w:pPr>
    </w:p>
    <w:p w14:paraId="350088BE" w14:textId="77777777" w:rsidR="00A77B3E" w:rsidRDefault="004325C3">
      <w:pPr>
        <w:spacing w:line="360" w:lineRule="auto"/>
        <w:jc w:val="both"/>
      </w:pPr>
      <w:r>
        <w:rPr>
          <w:rFonts w:ascii="Book Antiqua" w:eastAsia="Book Antiqua" w:hAnsi="Book Antiqua" w:cs="Book Antiqua"/>
          <w:b/>
          <w:bCs/>
          <w:i/>
          <w:iCs/>
          <w:color w:val="000000"/>
        </w:rPr>
        <w:t>Statistical analysis</w:t>
      </w:r>
    </w:p>
    <w:p w14:paraId="708ABD1C" w14:textId="259A69B5" w:rsidR="00A77B3E" w:rsidRDefault="004325C3">
      <w:pPr>
        <w:spacing w:line="360" w:lineRule="auto"/>
        <w:jc w:val="both"/>
      </w:pPr>
      <w:r>
        <w:rPr>
          <w:rFonts w:ascii="Book Antiqua" w:eastAsia="Book Antiqua" w:hAnsi="Book Antiqua" w:cs="Book Antiqua"/>
          <w:color w:val="000000"/>
        </w:rPr>
        <w:t>Continuous variables between</w:t>
      </w:r>
      <w:r w:rsidR="000926AE">
        <w:rPr>
          <w:rFonts w:ascii="Book Antiqua" w:eastAsia="Book Antiqua" w:hAnsi="Book Antiqua" w:cs="Book Antiqua"/>
          <w:color w:val="000000"/>
        </w:rPr>
        <w:t xml:space="preserve"> the</w:t>
      </w:r>
      <w:r>
        <w:rPr>
          <w:rFonts w:ascii="Book Antiqua" w:eastAsia="Book Antiqua" w:hAnsi="Book Antiqua" w:cs="Book Antiqua"/>
          <w:color w:val="000000"/>
        </w:rPr>
        <w:t xml:space="preserve"> two groups were compared utilizing the Wilcoxon rank-sum test, and the Kruskal-Wallis test applied to compare more than two categories. Kaplan-Meier survival analysis was performed and tested using the log-rank test. Heatmaps and correlation matrices were plotted using “pheatmap” and “corrplot” packages, respectively, and “maftools” was used to analyze somatic mutation profiles. We completed all statistical analyses using R software (version 3.6.2). All </w:t>
      </w:r>
      <w:r w:rsidR="006E4BCF" w:rsidRPr="006E4BCF">
        <w:rPr>
          <w:rFonts w:ascii="Book Antiqua" w:eastAsia="Book Antiqua" w:hAnsi="Book Antiqua" w:cs="Book Antiqua"/>
          <w:i/>
          <w:iCs/>
          <w:color w:val="000000"/>
        </w:rPr>
        <w:t>P</w:t>
      </w:r>
      <w:r w:rsidR="006E4BCF">
        <w:rPr>
          <w:rFonts w:ascii="Book Antiqua" w:eastAsia="Book Antiqua" w:hAnsi="Book Antiqua" w:cs="Book Antiqua"/>
          <w:color w:val="000000"/>
        </w:rPr>
        <w:t xml:space="preserve"> </w:t>
      </w:r>
      <w:r>
        <w:rPr>
          <w:rFonts w:ascii="Book Antiqua" w:eastAsia="Book Antiqua" w:hAnsi="Book Antiqua" w:cs="Book Antiqua"/>
          <w:color w:val="000000"/>
        </w:rPr>
        <w:t xml:space="preserve">values are two-sided and </w:t>
      </w:r>
      <w:r w:rsidR="006E4BCF" w:rsidRPr="006E4BCF">
        <w:rPr>
          <w:rFonts w:ascii="Book Antiqua" w:eastAsia="Book Antiqua" w:hAnsi="Book Antiqua" w:cs="Book Antiqua"/>
          <w:i/>
          <w:iCs/>
          <w:color w:val="000000"/>
        </w:rPr>
        <w:t>P</w:t>
      </w:r>
      <w:r w:rsidR="006E4BCF">
        <w:rPr>
          <w:rFonts w:ascii="Book Antiqua" w:eastAsia="Book Antiqua" w:hAnsi="Book Antiqua" w:cs="Book Antiqua"/>
          <w:color w:val="000000"/>
        </w:rPr>
        <w:t xml:space="preserve"> </w:t>
      </w:r>
      <w:r>
        <w:rPr>
          <w:rFonts w:ascii="Book Antiqua" w:eastAsia="Book Antiqua" w:hAnsi="Book Antiqua" w:cs="Book Antiqua"/>
          <w:color w:val="000000"/>
        </w:rPr>
        <w:t>&lt;</w:t>
      </w:r>
      <w:r w:rsidR="006E4BCF">
        <w:rPr>
          <w:rFonts w:ascii="Book Antiqua" w:eastAsia="Book Antiqua" w:hAnsi="Book Antiqua" w:cs="Book Antiqua"/>
          <w:color w:val="000000"/>
        </w:rPr>
        <w:t xml:space="preserve"> </w:t>
      </w:r>
      <w:r>
        <w:rPr>
          <w:rFonts w:ascii="Book Antiqua" w:eastAsia="Book Antiqua" w:hAnsi="Book Antiqua" w:cs="Book Antiqua"/>
          <w:color w:val="000000"/>
        </w:rPr>
        <w:t>0.05 is considered statistically significant.</w:t>
      </w:r>
    </w:p>
    <w:p w14:paraId="1585BE15" w14:textId="77777777" w:rsidR="00A77B3E" w:rsidRDefault="00A77B3E">
      <w:pPr>
        <w:spacing w:line="360" w:lineRule="auto"/>
        <w:jc w:val="both"/>
      </w:pPr>
    </w:p>
    <w:p w14:paraId="46D9D61D" w14:textId="77777777" w:rsidR="00A77B3E" w:rsidRDefault="004325C3">
      <w:pPr>
        <w:spacing w:line="360" w:lineRule="auto"/>
        <w:jc w:val="both"/>
      </w:pPr>
      <w:r>
        <w:rPr>
          <w:rFonts w:ascii="Book Antiqua" w:eastAsia="Book Antiqua" w:hAnsi="Book Antiqua" w:cs="Book Antiqua"/>
          <w:b/>
          <w:caps/>
          <w:color w:val="000000"/>
          <w:u w:val="single"/>
        </w:rPr>
        <w:t>RESULTS</w:t>
      </w:r>
    </w:p>
    <w:p w14:paraId="2DF7F000" w14:textId="77777777" w:rsidR="00A77B3E" w:rsidRDefault="004325C3">
      <w:pPr>
        <w:spacing w:line="360" w:lineRule="auto"/>
        <w:jc w:val="both"/>
      </w:pPr>
      <w:r>
        <w:rPr>
          <w:rFonts w:ascii="Book Antiqua" w:eastAsia="Book Antiqua" w:hAnsi="Book Antiqua" w:cs="Book Antiqua"/>
          <w:b/>
          <w:bCs/>
          <w:i/>
          <w:iCs/>
          <w:color w:val="000000"/>
        </w:rPr>
        <w:t>MUC16 mutations in relation to prognosis and TMB</w:t>
      </w:r>
    </w:p>
    <w:p w14:paraId="1BBF0532" w14:textId="07519B85" w:rsidR="00A77B3E" w:rsidRDefault="004325C3">
      <w:pPr>
        <w:spacing w:line="360" w:lineRule="auto"/>
        <w:jc w:val="both"/>
      </w:pPr>
      <w:r>
        <w:rPr>
          <w:rFonts w:ascii="Book Antiqua" w:eastAsia="Book Antiqua" w:hAnsi="Book Antiqua" w:cs="Book Antiqua"/>
          <w:color w:val="000000"/>
        </w:rPr>
        <w:t xml:space="preserve">We obtained 437 samples of gastric cancer patients containing mutation data in TCGA and visualized them using maftools. We found that the top ten mutations in the TCGA cohort were </w:t>
      </w:r>
      <w:r w:rsidRPr="00BE446B">
        <w:rPr>
          <w:rFonts w:ascii="Book Antiqua" w:eastAsia="Book Antiqua" w:hAnsi="Book Antiqua" w:cs="Book Antiqua"/>
          <w:i/>
          <w:iCs/>
          <w:color w:val="000000"/>
        </w:rPr>
        <w:t>TTN</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TP53</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LRP1B</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SYNE1</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ARID1A</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CSMD3</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FAT4</w:t>
      </w:r>
      <w:r>
        <w:rPr>
          <w:rFonts w:ascii="Book Antiqua" w:eastAsia="Book Antiqua" w:hAnsi="Book Antiqua" w:cs="Book Antiqua"/>
          <w:color w:val="000000"/>
        </w:rPr>
        <w:t xml:space="preserve">, </w:t>
      </w:r>
      <w:r w:rsidRPr="00BE446B">
        <w:rPr>
          <w:rFonts w:ascii="Book Antiqua" w:eastAsia="Book Antiqua" w:hAnsi="Book Antiqua" w:cs="Book Antiqua"/>
          <w:i/>
          <w:iCs/>
          <w:color w:val="000000"/>
        </w:rPr>
        <w:t>FLG</w:t>
      </w:r>
      <w:r>
        <w:rPr>
          <w:rFonts w:ascii="Book Antiqua" w:eastAsia="Book Antiqua" w:hAnsi="Book Antiqua" w:cs="Book Antiqua"/>
          <w:color w:val="000000"/>
        </w:rPr>
        <w:t xml:space="preserve">, </w:t>
      </w:r>
      <w:r w:rsidR="000926AE">
        <w:rPr>
          <w:rFonts w:ascii="Book Antiqua" w:eastAsia="Book Antiqua" w:hAnsi="Book Antiqua" w:cs="Book Antiqua"/>
          <w:color w:val="000000"/>
        </w:rPr>
        <w:t xml:space="preserve">and </w:t>
      </w:r>
      <w:r w:rsidRPr="00BE446B">
        <w:rPr>
          <w:rFonts w:ascii="Book Antiqua" w:eastAsia="Book Antiqua" w:hAnsi="Book Antiqua" w:cs="Book Antiqua"/>
          <w:i/>
          <w:iCs/>
          <w:color w:val="000000"/>
        </w:rPr>
        <w:t>PCLO</w:t>
      </w:r>
      <w:r>
        <w:rPr>
          <w:rFonts w:ascii="Book Antiqua" w:eastAsia="Book Antiqua" w:hAnsi="Book Antiqua" w:cs="Book Antiqua"/>
          <w:color w:val="000000"/>
        </w:rPr>
        <w:t xml:space="preserve"> (Figure 1A). </w:t>
      </w:r>
      <w:r w:rsidR="000926AE">
        <w:rPr>
          <w:rFonts w:ascii="Book Antiqua" w:eastAsia="Book Antiqua" w:hAnsi="Book Antiqua" w:cs="Book Antiqua"/>
          <w:color w:val="000000"/>
        </w:rPr>
        <w:t>In</w:t>
      </w:r>
      <w:r>
        <w:rPr>
          <w:rFonts w:ascii="Book Antiqua" w:eastAsia="Book Antiqua" w:hAnsi="Book Antiqua" w:cs="Book Antiqua"/>
          <w:color w:val="000000"/>
        </w:rPr>
        <w:t xml:space="preserve"> the mutation types analysis, we observed that missense mutations were predominant and that C&gt;T was the most common SNV class (Supplementary Figure 1A). Supplementary Figure 1B show</w:t>
      </w:r>
      <w:r w:rsidR="000926AE">
        <w:rPr>
          <w:rFonts w:ascii="Book Antiqua" w:eastAsia="Book Antiqua" w:hAnsi="Book Antiqua" w:cs="Book Antiqua"/>
          <w:color w:val="000000"/>
        </w:rPr>
        <w:t>s</w:t>
      </w:r>
      <w:r>
        <w:rPr>
          <w:rFonts w:ascii="Book Antiqua" w:eastAsia="Book Antiqua" w:hAnsi="Book Antiqua" w:cs="Book Antiqua"/>
          <w:color w:val="000000"/>
        </w:rPr>
        <w:t xml:space="preserve"> the correlation between the top 20 mutations.</w:t>
      </w:r>
    </w:p>
    <w:p w14:paraId="0A3716CD" w14:textId="60C7FCB4" w:rsidR="00A77B3E" w:rsidRDefault="004325C3" w:rsidP="00BE446B">
      <w:pPr>
        <w:spacing w:line="360" w:lineRule="auto"/>
        <w:ind w:firstLineChars="100" w:firstLine="240"/>
        <w:jc w:val="both"/>
      </w:pPr>
      <w:r>
        <w:rPr>
          <w:rFonts w:ascii="Book Antiqua" w:eastAsia="Book Antiqua" w:hAnsi="Book Antiqua" w:cs="Book Antiqua"/>
          <w:color w:val="000000"/>
        </w:rPr>
        <w:t xml:space="preserve">Following further survival analysis of the 389 samples with complete survival data, we noted that only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0.020) had a strong correlation with prognosis (Figure 1B).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had a better prognosis, and after calculating the TMB, a significantly higher TMB score was found in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than in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(Figure 1C).</w:t>
      </w:r>
    </w:p>
    <w:p w14:paraId="7E725C75" w14:textId="77777777" w:rsidR="00A77B3E" w:rsidRDefault="00A77B3E" w:rsidP="00BE446B">
      <w:pPr>
        <w:spacing w:line="360" w:lineRule="auto"/>
        <w:jc w:val="both"/>
      </w:pPr>
    </w:p>
    <w:p w14:paraId="0451F83B" w14:textId="77777777" w:rsidR="00A77B3E" w:rsidRDefault="004325C3">
      <w:pPr>
        <w:spacing w:line="360" w:lineRule="auto"/>
        <w:jc w:val="both"/>
      </w:pPr>
      <w:r>
        <w:rPr>
          <w:rFonts w:ascii="Book Antiqua" w:eastAsia="Book Antiqua" w:hAnsi="Book Antiqua" w:cs="Book Antiqua"/>
          <w:b/>
          <w:bCs/>
          <w:i/>
          <w:iCs/>
          <w:color w:val="000000"/>
        </w:rPr>
        <w:t>MUC16 mutations and the tumor microenvironment</w:t>
      </w:r>
    </w:p>
    <w:p w14:paraId="57ACAF7F" w14:textId="733678DA" w:rsidR="00A77B3E" w:rsidRDefault="004325C3">
      <w:pPr>
        <w:spacing w:line="360" w:lineRule="auto"/>
        <w:jc w:val="both"/>
      </w:pPr>
      <w:r>
        <w:rPr>
          <w:rFonts w:ascii="Book Antiqua" w:eastAsia="Book Antiqua" w:hAnsi="Book Antiqua" w:cs="Book Antiqua"/>
          <w:color w:val="000000"/>
        </w:rPr>
        <w:t xml:space="preserve">We obtained three scores of immune score, tumor purity, and stromal score in the TCGA cohort using ESTIMATE (Figure 2A-C). The Wilcoxon test was applied to evaluate the differences between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We found that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differed from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in the stromal score, in that the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exhibited a higher stromal score, while there was no significant difference between an immune score and tumor purity. The result</w:t>
      </w:r>
      <w:r w:rsidR="000926AE">
        <w:rPr>
          <w:rFonts w:ascii="Book Antiqua" w:eastAsia="Book Antiqua" w:hAnsi="Book Antiqua" w:cs="Book Antiqua"/>
          <w:color w:val="000000"/>
        </w:rPr>
        <w:t>s</w:t>
      </w:r>
      <w:r>
        <w:rPr>
          <w:rFonts w:ascii="Book Antiqua" w:eastAsia="Book Antiqua" w:hAnsi="Book Antiqua" w:cs="Book Antiqua"/>
          <w:color w:val="000000"/>
        </w:rPr>
        <w:t xml:space="preserve"> showed that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w:t>
      </w:r>
      <w:r w:rsidR="000926AE">
        <w:rPr>
          <w:rFonts w:ascii="Book Antiqua" w:eastAsia="Book Antiqua" w:hAnsi="Book Antiqua" w:cs="Book Antiqua"/>
          <w:color w:val="000000"/>
        </w:rPr>
        <w:t>demonstrated</w:t>
      </w:r>
      <w:r>
        <w:rPr>
          <w:rFonts w:ascii="Book Antiqua" w:eastAsia="Book Antiqua" w:hAnsi="Book Antiqua" w:cs="Book Antiqua"/>
          <w:color w:val="000000"/>
        </w:rPr>
        <w:t xml:space="preserve"> a higher cancer stem cell index when we introduced the previously calculated cancer stem cell index (Figure 2D). Thus, we inferred that when the stromal score was too high, and the cancer stem cell index too low, it might impact prognosis.</w:t>
      </w:r>
    </w:p>
    <w:p w14:paraId="16D58098" w14:textId="3A375519" w:rsidR="00A77B3E" w:rsidRDefault="004325C3" w:rsidP="00BE446B">
      <w:pPr>
        <w:spacing w:line="360" w:lineRule="auto"/>
        <w:ind w:firstLineChars="100" w:firstLine="240"/>
        <w:jc w:val="both"/>
      </w:pPr>
      <w:r>
        <w:rPr>
          <w:rFonts w:ascii="Book Antiqua" w:eastAsia="Book Antiqua" w:hAnsi="Book Antiqua" w:cs="Book Antiqua"/>
          <w:color w:val="000000"/>
        </w:rPr>
        <w:t>In addition</w:t>
      </w:r>
      <w:r w:rsidR="00BE446B">
        <w:rPr>
          <w:rFonts w:ascii="Book Antiqua" w:eastAsia="Book Antiqua" w:hAnsi="Book Antiqua" w:cs="Book Antiqua"/>
          <w:color w:val="000000"/>
        </w:rPr>
        <w:t>,</w:t>
      </w:r>
      <w:r>
        <w:rPr>
          <w:rFonts w:ascii="Book Antiqua" w:eastAsia="Book Antiqua" w:hAnsi="Book Antiqua" w:cs="Book Antiqua"/>
          <w:color w:val="000000"/>
        </w:rPr>
        <w:t xml:space="preserve"> we calculated the infiltration of 28 different immune cells using ssGSEA, and the data showed that activated CD4T cell</w:t>
      </w:r>
      <w:r w:rsidR="000926AE">
        <w:rPr>
          <w:rFonts w:ascii="Book Antiqua" w:eastAsia="Book Antiqua" w:hAnsi="Book Antiqua" w:cs="Book Antiqua"/>
          <w:color w:val="000000"/>
        </w:rPr>
        <w:t>s and</w:t>
      </w:r>
      <w:r>
        <w:rPr>
          <w:rFonts w:ascii="Book Antiqua" w:eastAsia="Book Antiqua" w:hAnsi="Book Antiqua" w:cs="Book Antiqua"/>
          <w:color w:val="000000"/>
        </w:rPr>
        <w:t xml:space="preserve"> CD56dimNK cell</w:t>
      </w:r>
      <w:r w:rsidR="000926AE">
        <w:rPr>
          <w:rFonts w:ascii="Book Antiqua" w:eastAsia="Book Antiqua" w:hAnsi="Book Antiqua" w:cs="Book Antiqua"/>
          <w:color w:val="000000"/>
        </w:rPr>
        <w:t>s were</w:t>
      </w:r>
      <w:r>
        <w:rPr>
          <w:rFonts w:ascii="Book Antiqua" w:eastAsia="Book Antiqua" w:hAnsi="Book Antiqua" w:cs="Book Antiqua"/>
          <w:color w:val="000000"/>
        </w:rPr>
        <w:t xml:space="preserve"> more </w:t>
      </w:r>
      <w:r>
        <w:rPr>
          <w:rFonts w:ascii="Book Antiqua" w:eastAsia="Book Antiqua" w:hAnsi="Book Antiqua" w:cs="Book Antiqua"/>
          <w:color w:val="000000"/>
        </w:rPr>
        <w:lastRenderedPageBreak/>
        <w:t>abundant in the mutation group, but effector memory CD4T cell</w:t>
      </w:r>
      <w:r w:rsidR="000926AE">
        <w:rPr>
          <w:rFonts w:ascii="Book Antiqua" w:eastAsia="Book Antiqua" w:hAnsi="Book Antiqua" w:cs="Book Antiqua"/>
          <w:color w:val="000000"/>
        </w:rPr>
        <w:t>s and</w:t>
      </w:r>
      <w:r>
        <w:rPr>
          <w:rFonts w:ascii="Book Antiqua" w:eastAsia="Book Antiqua" w:hAnsi="Book Antiqua" w:cs="Book Antiqua"/>
          <w:color w:val="000000"/>
        </w:rPr>
        <w:t xml:space="preserve"> plasmacytoid dendritic cell</w:t>
      </w:r>
      <w:r w:rsidR="000926AE">
        <w:rPr>
          <w:rFonts w:ascii="Book Antiqua" w:eastAsia="Book Antiqua" w:hAnsi="Book Antiqua" w:cs="Book Antiqua"/>
          <w:color w:val="000000"/>
        </w:rPr>
        <w:t>s</w:t>
      </w:r>
      <w:r>
        <w:rPr>
          <w:rFonts w:ascii="Book Antiqua" w:eastAsia="Book Antiqua" w:hAnsi="Book Antiqua" w:cs="Book Antiqua"/>
          <w:color w:val="000000"/>
        </w:rPr>
        <w:t xml:space="preserve"> were more enriched in the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compared to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(Figure 2E).</w:t>
      </w:r>
    </w:p>
    <w:p w14:paraId="17B2F873" w14:textId="77777777" w:rsidR="00A77B3E" w:rsidRDefault="00A77B3E" w:rsidP="00BE446B">
      <w:pPr>
        <w:spacing w:line="360" w:lineRule="auto"/>
        <w:jc w:val="both"/>
      </w:pPr>
    </w:p>
    <w:p w14:paraId="47F21437" w14:textId="77777777" w:rsidR="00A77B3E" w:rsidRDefault="004325C3">
      <w:pPr>
        <w:spacing w:line="360" w:lineRule="auto"/>
        <w:jc w:val="both"/>
      </w:pPr>
      <w:r>
        <w:rPr>
          <w:rFonts w:ascii="Book Antiqua" w:eastAsia="Book Antiqua" w:hAnsi="Book Antiqua" w:cs="Book Antiqua"/>
          <w:b/>
          <w:bCs/>
          <w:i/>
          <w:iCs/>
          <w:color w:val="000000"/>
        </w:rPr>
        <w:t>Differentially expressed genes and drug sensitivity</w:t>
      </w:r>
    </w:p>
    <w:p w14:paraId="2CFE63EA" w14:textId="69EE5F8B" w:rsidR="00A77B3E" w:rsidRDefault="004325C3">
      <w:pPr>
        <w:spacing w:line="360" w:lineRule="auto"/>
        <w:jc w:val="both"/>
      </w:pPr>
      <w:r>
        <w:rPr>
          <w:rFonts w:ascii="Book Antiqua" w:eastAsia="Book Antiqua" w:hAnsi="Book Antiqua" w:cs="Book Antiqua"/>
          <w:color w:val="000000"/>
        </w:rPr>
        <w:t xml:space="preserve">To explore the differentially expressed genes, we combined the mRNA data from TCGA, which we divided into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BE446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0926AE">
        <w:rPr>
          <w:rFonts w:ascii="Book Antiqua" w:eastAsia="Book Antiqua" w:hAnsi="Book Antiqua" w:cs="Book Antiqua"/>
          <w:color w:val="000000"/>
        </w:rPr>
        <w:t>-type</w:t>
      </w:r>
      <w:r>
        <w:rPr>
          <w:rFonts w:ascii="Book Antiqua" w:eastAsia="Book Antiqua" w:hAnsi="Book Antiqua" w:cs="Book Antiqua"/>
          <w:color w:val="000000"/>
        </w:rPr>
        <w:t xml:space="preserve"> group and analyzed </w:t>
      </w:r>
      <w:r w:rsidR="000926AE">
        <w:rPr>
          <w:rFonts w:ascii="Book Antiqua" w:eastAsia="Book Antiqua" w:hAnsi="Book Antiqua" w:cs="Book Antiqua"/>
          <w:color w:val="000000"/>
        </w:rPr>
        <w:t xml:space="preserve">them </w:t>
      </w:r>
      <w:r>
        <w:rPr>
          <w:rFonts w:ascii="Book Antiqua" w:eastAsia="Book Antiqua" w:hAnsi="Book Antiqua" w:cs="Book Antiqua"/>
          <w:color w:val="000000"/>
        </w:rPr>
        <w:t>using "edgeR". We defined logFC&gt;1 (logFC&lt;-1) and FDR</w:t>
      </w:r>
      <w:r w:rsidR="00DF5214">
        <w:rPr>
          <w:rFonts w:ascii="Book Antiqua" w:eastAsia="Book Antiqua" w:hAnsi="Book Antiqua" w:cs="Book Antiqua"/>
          <w:color w:val="000000"/>
        </w:rPr>
        <w:t xml:space="preserve"> </w:t>
      </w:r>
      <w:r>
        <w:rPr>
          <w:rFonts w:ascii="Book Antiqua" w:eastAsia="Book Antiqua" w:hAnsi="Book Antiqua" w:cs="Book Antiqua"/>
          <w:color w:val="000000"/>
        </w:rPr>
        <w:t>&lt;</w:t>
      </w:r>
      <w:r w:rsidR="00DF5214">
        <w:rPr>
          <w:rFonts w:ascii="Book Antiqua" w:eastAsia="Book Antiqua" w:hAnsi="Book Antiqua" w:cs="Book Antiqua"/>
          <w:color w:val="000000"/>
        </w:rPr>
        <w:t xml:space="preserve"> </w:t>
      </w:r>
      <w:r>
        <w:rPr>
          <w:rFonts w:ascii="Book Antiqua" w:eastAsia="Book Antiqua" w:hAnsi="Book Antiqua" w:cs="Book Antiqua"/>
          <w:color w:val="000000"/>
        </w:rPr>
        <w:t xml:space="preserve">0.05 as the differentially expressed genes in these two groups and intersected with all genes in the GEO cohort (Figure 3A), and then further screened genes associated with prognosis using univariate Cox, with </w:t>
      </w:r>
      <w:r w:rsidRPr="00DF5214">
        <w:rPr>
          <w:rFonts w:ascii="Book Antiqua" w:eastAsia="Book Antiqua" w:hAnsi="Book Antiqua" w:cs="Book Antiqua"/>
          <w:i/>
          <w:iCs/>
          <w:color w:val="000000"/>
        </w:rPr>
        <w:t>P</w:t>
      </w:r>
      <w:r w:rsidR="00DF5214">
        <w:rPr>
          <w:rFonts w:ascii="Book Antiqua" w:eastAsia="Book Antiqua" w:hAnsi="Book Antiqua" w:cs="Book Antiqua"/>
          <w:color w:val="000000"/>
        </w:rPr>
        <w:t xml:space="preserve"> </w:t>
      </w:r>
      <w:r>
        <w:rPr>
          <w:rFonts w:ascii="Book Antiqua" w:eastAsia="Book Antiqua" w:hAnsi="Book Antiqua" w:cs="Book Antiqua"/>
          <w:color w:val="000000"/>
        </w:rPr>
        <w:t>&lt;</w:t>
      </w:r>
      <w:r w:rsidR="00DF5214">
        <w:rPr>
          <w:rFonts w:ascii="Book Antiqua" w:eastAsia="Book Antiqua" w:hAnsi="Book Antiqua" w:cs="Book Antiqua"/>
          <w:color w:val="000000"/>
        </w:rPr>
        <w:t xml:space="preserve"> </w:t>
      </w:r>
      <w:r>
        <w:rPr>
          <w:rFonts w:ascii="Book Antiqua" w:eastAsia="Book Antiqua" w:hAnsi="Book Antiqua" w:cs="Book Antiqua"/>
          <w:color w:val="000000"/>
        </w:rPr>
        <w:t xml:space="preserve">0.05 in univariate Cox analysis as input genes for the random survival forest algorithm. The random survival forest algorithm was used to further define and analyze the data, and the genes with relative importance greater than 0.65 were defined as our target genes. Finally, the gene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w:t>
      </w:r>
      <w:r w:rsidR="00592FF4">
        <w:rPr>
          <w:rFonts w:ascii="Book Antiqua" w:eastAsia="Book Antiqua" w:hAnsi="Book Antiqua" w:cs="Book Antiqua"/>
          <w:color w:val="000000"/>
        </w:rPr>
        <w:t xml:space="preserve">(neuropeptide Y receptor Y1) </w:t>
      </w:r>
      <w:r>
        <w:rPr>
          <w:rFonts w:ascii="Book Antiqua" w:eastAsia="Book Antiqua" w:hAnsi="Book Antiqua" w:cs="Book Antiqua"/>
          <w:color w:val="000000"/>
        </w:rPr>
        <w:t>was obtained (Figure 3B-C).</w:t>
      </w:r>
    </w:p>
    <w:p w14:paraId="364BCAFF" w14:textId="72A144B7" w:rsidR="00A77B3E" w:rsidRDefault="004325C3" w:rsidP="00DF5214">
      <w:pPr>
        <w:spacing w:line="360" w:lineRule="auto"/>
        <w:ind w:firstLineChars="100" w:firstLine="240"/>
        <w:jc w:val="both"/>
      </w:pPr>
      <w:r>
        <w:rPr>
          <w:rFonts w:ascii="Book Antiqua" w:eastAsia="Book Antiqua" w:hAnsi="Book Antiqua" w:cs="Book Antiqua"/>
          <w:color w:val="000000"/>
        </w:rPr>
        <w:t xml:space="preserve">Next, we attempted to predict possible drug targets for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by browsing the Genomics of Drug Sensitivity in Cancer</w:t>
      </w:r>
      <w:r w:rsidR="00DF5214">
        <w:rPr>
          <w:rFonts w:ascii="Book Antiqua" w:eastAsia="Book Antiqua" w:hAnsi="Book Antiqua" w:cs="Book Antiqua"/>
          <w:color w:val="000000"/>
        </w:rPr>
        <w:t xml:space="preserve"> </w:t>
      </w:r>
      <w:r>
        <w:rPr>
          <w:rFonts w:ascii="Book Antiqua" w:eastAsia="Book Antiqua" w:hAnsi="Book Antiqua" w:cs="Book Antiqua"/>
          <w:color w:val="000000"/>
        </w:rPr>
        <w:t>(</w:t>
      </w:r>
      <w:r w:rsidR="00DF5214" w:rsidRPr="00DF5214">
        <w:rPr>
          <w:rFonts w:ascii="Book Antiqua" w:eastAsia="Book Antiqua" w:hAnsi="Book Antiqua" w:cs="Book Antiqua"/>
          <w:color w:val="000000"/>
          <w:u w:val="single"/>
        </w:rPr>
        <w:t>https://www.cancerrxgene.org/</w:t>
      </w:r>
      <w:r>
        <w:rPr>
          <w:rFonts w:ascii="Book Antiqua" w:eastAsia="Book Antiqua" w:hAnsi="Book Antiqua" w:cs="Book Antiqua"/>
          <w:color w:val="000000"/>
        </w:rPr>
        <w:t xml:space="preserve">) database and downloading the relevant data. We analyzed the relationship between the expression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and the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(natural log half maximal inhibitory concentration) values of several targeted drugs in gastric cancer cell lines. A positive correlation between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and IC</w:t>
      </w:r>
      <w:r>
        <w:rPr>
          <w:rFonts w:ascii="Book Antiqua" w:eastAsia="Book Antiqua" w:hAnsi="Book Antiqua" w:cs="Book Antiqua"/>
          <w:color w:val="000000"/>
          <w:szCs w:val="30"/>
          <w:vertAlign w:val="subscript"/>
        </w:rPr>
        <w:t>50</w:t>
      </w:r>
      <w:r>
        <w:rPr>
          <w:rFonts w:ascii="Book Antiqua" w:eastAsia="Book Antiqua" w:hAnsi="Book Antiqua" w:cs="Book Antiqua"/>
          <w:color w:val="000000"/>
        </w:rPr>
        <w:t xml:space="preserve"> value implied increased drug resistance in gastric cancer cell lines. Conversely, it implied that the drug could inhibit the expression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Three drugs that showed a strong negative correlation with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were obtained, including WH-4-023, WZ-184, and Roscovitine (Figure 3D).</w:t>
      </w:r>
    </w:p>
    <w:p w14:paraId="14B75AF4" w14:textId="77777777" w:rsidR="00A77B3E" w:rsidRDefault="00A77B3E" w:rsidP="00DF5214">
      <w:pPr>
        <w:spacing w:line="360" w:lineRule="auto"/>
        <w:jc w:val="both"/>
      </w:pPr>
    </w:p>
    <w:p w14:paraId="5928EC99" w14:textId="77777777" w:rsidR="00A77B3E" w:rsidRDefault="004325C3">
      <w:pPr>
        <w:spacing w:line="360" w:lineRule="auto"/>
        <w:jc w:val="both"/>
      </w:pPr>
      <w:r>
        <w:rPr>
          <w:rFonts w:ascii="Book Antiqua" w:eastAsia="Book Antiqua" w:hAnsi="Book Antiqua" w:cs="Book Antiqua"/>
          <w:b/>
          <w:bCs/>
          <w:i/>
          <w:iCs/>
          <w:color w:val="000000"/>
        </w:rPr>
        <w:t>Prognosis and GSEA analysis</w:t>
      </w:r>
    </w:p>
    <w:p w14:paraId="12099EFF" w14:textId="2D8EFC7E" w:rsidR="00A77B3E" w:rsidRDefault="004325C3">
      <w:pPr>
        <w:spacing w:line="360" w:lineRule="auto"/>
        <w:jc w:val="both"/>
      </w:pPr>
      <w:r>
        <w:rPr>
          <w:rFonts w:ascii="Book Antiqua" w:eastAsia="Book Antiqua" w:hAnsi="Book Antiqua" w:cs="Book Antiqua"/>
          <w:color w:val="000000"/>
        </w:rPr>
        <w:t xml:space="preserve">We used the TCGA cohort as a training group with the median value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as a cutoff value and divided the TCGA cohort into high-risk and low-risk groups. The GEO cohort was used as external validation to test our model. Kaplan-Meier survival </w:t>
      </w:r>
      <w:r>
        <w:rPr>
          <w:rFonts w:ascii="Book Antiqua" w:eastAsia="Book Antiqua" w:hAnsi="Book Antiqua" w:cs="Book Antiqua"/>
          <w:color w:val="000000"/>
        </w:rPr>
        <w:lastRenderedPageBreak/>
        <w:t xml:space="preserve">analysis showed that high expression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led to poorer prognosis, whether in the TCGA cohort or the GEO cohort (Figure 4A</w:t>
      </w:r>
      <w:r w:rsidR="00DF5214">
        <w:rPr>
          <w:rFonts w:ascii="Book Antiqua" w:eastAsia="Book Antiqua" w:hAnsi="Book Antiqua" w:cs="Book Antiqua"/>
          <w:color w:val="000000"/>
        </w:rPr>
        <w:t xml:space="preserve"> and </w:t>
      </w:r>
      <w:r>
        <w:rPr>
          <w:rFonts w:ascii="Book Antiqua" w:eastAsia="Book Antiqua" w:hAnsi="Book Antiqua" w:cs="Book Antiqua"/>
          <w:color w:val="000000"/>
        </w:rPr>
        <w:t>B). Moreover, the frequency of poorer prognosis was higher in the high-risk group (Figure 4C</w:t>
      </w:r>
      <w:r w:rsidR="00DF5214">
        <w:rPr>
          <w:rFonts w:ascii="Book Antiqua" w:eastAsia="Book Antiqua" w:hAnsi="Book Antiqua" w:cs="Book Antiqua"/>
          <w:color w:val="000000"/>
        </w:rPr>
        <w:t>-</w:t>
      </w:r>
      <w:r>
        <w:rPr>
          <w:rFonts w:ascii="Book Antiqua" w:eastAsia="Book Antiqua" w:hAnsi="Book Antiqua" w:cs="Book Antiqua"/>
          <w:color w:val="000000"/>
        </w:rPr>
        <w:t>F).</w:t>
      </w:r>
    </w:p>
    <w:p w14:paraId="16256851" w14:textId="77777777" w:rsidR="00A77B3E" w:rsidRDefault="004325C3" w:rsidP="00DF5214">
      <w:pPr>
        <w:spacing w:line="360" w:lineRule="auto"/>
        <w:ind w:firstLineChars="100" w:firstLine="240"/>
        <w:jc w:val="both"/>
      </w:pPr>
      <w:r>
        <w:rPr>
          <w:rFonts w:ascii="Book Antiqua" w:eastAsia="Book Antiqua" w:hAnsi="Book Antiqua" w:cs="Book Antiqua"/>
          <w:color w:val="000000"/>
        </w:rPr>
        <w:t>GSEA was used to elucidate molecular mechanisms and pathways. The Kyoto Encyclopedia of Genes and Genomes enrichment (KEGG) showed that the low-risk group showed more enrichment on DNA repair, while the high-risk group showed little enrichment, whether in the TCGA cohort or the GEO cohort (Figure 4G-H).</w:t>
      </w:r>
    </w:p>
    <w:p w14:paraId="341FB070" w14:textId="77777777" w:rsidR="00A77B3E" w:rsidRDefault="00A77B3E" w:rsidP="00DF5214">
      <w:pPr>
        <w:spacing w:line="360" w:lineRule="auto"/>
        <w:jc w:val="both"/>
      </w:pPr>
    </w:p>
    <w:p w14:paraId="3EC07754" w14:textId="77777777" w:rsidR="00A77B3E" w:rsidRDefault="004325C3">
      <w:pPr>
        <w:spacing w:line="360" w:lineRule="auto"/>
        <w:jc w:val="both"/>
      </w:pPr>
      <w:r>
        <w:rPr>
          <w:rFonts w:ascii="Book Antiqua" w:eastAsia="Book Antiqua" w:hAnsi="Book Antiqua" w:cs="Book Antiqua"/>
          <w:b/>
          <w:bCs/>
          <w:i/>
          <w:iCs/>
          <w:color w:val="000000"/>
        </w:rPr>
        <w:t>NPY1R and immune infiltration</w:t>
      </w:r>
    </w:p>
    <w:p w14:paraId="78AEA5A8" w14:textId="617942E4" w:rsidR="00A77B3E" w:rsidRDefault="004325C3">
      <w:pPr>
        <w:spacing w:line="360" w:lineRule="auto"/>
        <w:jc w:val="both"/>
      </w:pPr>
      <w:r>
        <w:rPr>
          <w:rFonts w:ascii="Book Antiqua" w:eastAsia="Book Antiqua" w:hAnsi="Book Antiqua" w:cs="Book Antiqua"/>
          <w:color w:val="000000"/>
        </w:rPr>
        <w:t xml:space="preserve">To further explore the relationship between </w:t>
      </w:r>
      <w:r w:rsidRPr="00DF5214">
        <w:rPr>
          <w:rFonts w:ascii="Book Antiqua" w:eastAsia="Book Antiqua" w:hAnsi="Book Antiqua" w:cs="Book Antiqua"/>
          <w:i/>
          <w:iCs/>
          <w:color w:val="000000"/>
        </w:rPr>
        <w:t>NPY1R</w:t>
      </w:r>
      <w:r>
        <w:rPr>
          <w:rFonts w:ascii="Book Antiqua" w:eastAsia="Book Antiqua" w:hAnsi="Book Antiqua" w:cs="Book Antiqua"/>
          <w:color w:val="000000"/>
        </w:rPr>
        <w:t xml:space="preserve"> and immune infiltration, we used EpiDISH to evaluate the infiltration of six immune cells based on methylation data. The percentage of six immune cells in each sample is shown in the plots (Figure 5A). Next, we divided them into the high-risk group and the low-risk group according to the median value of </w:t>
      </w:r>
      <w:r w:rsidRPr="00DF5214">
        <w:rPr>
          <w:rFonts w:ascii="Book Antiqua" w:eastAsia="Book Antiqua" w:hAnsi="Book Antiqua" w:cs="Book Antiqua"/>
          <w:i/>
          <w:iCs/>
          <w:color w:val="000000"/>
        </w:rPr>
        <w:t>NPY1R</w:t>
      </w:r>
      <w:r>
        <w:rPr>
          <w:rFonts w:ascii="Book Antiqua" w:eastAsia="Book Antiqua" w:hAnsi="Book Antiqua" w:cs="Book Antiqua"/>
          <w:color w:val="000000"/>
        </w:rPr>
        <w:t>, and the Wilcoxon test was applied to compare whether there was a difference in immune cell infiltration between the two groups. The results were visualized in violin plots.</w:t>
      </w:r>
    </w:p>
    <w:p w14:paraId="5F161D8F" w14:textId="04E1F9D6" w:rsidR="00A77B3E" w:rsidRDefault="004325C3" w:rsidP="00DF5214">
      <w:pPr>
        <w:spacing w:line="360" w:lineRule="auto"/>
        <w:ind w:firstLineChars="100" w:firstLine="240"/>
        <w:jc w:val="both"/>
      </w:pPr>
      <w:r>
        <w:rPr>
          <w:rFonts w:ascii="Book Antiqua" w:eastAsia="Book Antiqua" w:hAnsi="Book Antiqua" w:cs="Book Antiqua"/>
          <w:color w:val="000000"/>
        </w:rPr>
        <w:t>We found that the content</w:t>
      </w:r>
      <w:r w:rsidR="00B24E60">
        <w:rPr>
          <w:rFonts w:ascii="Book Antiqua" w:eastAsia="Book Antiqua" w:hAnsi="Book Antiqua" w:cs="Book Antiqua"/>
          <w:color w:val="000000"/>
        </w:rPr>
        <w:t>s</w:t>
      </w:r>
      <w:r>
        <w:rPr>
          <w:rFonts w:ascii="Book Antiqua" w:eastAsia="Book Antiqua" w:hAnsi="Book Antiqua" w:cs="Book Antiqua"/>
          <w:color w:val="000000"/>
        </w:rPr>
        <w:t xml:space="preserve"> of B cell</w:t>
      </w:r>
      <w:r w:rsidR="00B24E60">
        <w:rPr>
          <w:rFonts w:ascii="Book Antiqua" w:eastAsia="Book Antiqua" w:hAnsi="Book Antiqua" w:cs="Book Antiqua"/>
          <w:color w:val="000000"/>
        </w:rPr>
        <w:t>s and</w:t>
      </w:r>
      <w:r>
        <w:rPr>
          <w:rFonts w:ascii="Book Antiqua" w:eastAsia="Book Antiqua" w:hAnsi="Book Antiqua" w:cs="Book Antiqua"/>
          <w:color w:val="000000"/>
        </w:rPr>
        <w:t xml:space="preserve"> CD4T cells were higher in the high-risk group than in the low-risk group. However, </w:t>
      </w:r>
      <w:r w:rsidR="00DF5214" w:rsidRPr="00DF5214">
        <w:rPr>
          <w:rFonts w:ascii="Book Antiqua" w:eastAsia="Book Antiqua" w:hAnsi="Book Antiqua" w:cs="Book Antiqua"/>
          <w:color w:val="000000"/>
        </w:rPr>
        <w:t>natural killer</w:t>
      </w:r>
      <w:r w:rsidR="00DF5214">
        <w:rPr>
          <w:rFonts w:ascii="Book Antiqua" w:eastAsia="Book Antiqua" w:hAnsi="Book Antiqua" w:cs="Book Antiqua"/>
          <w:color w:val="000000"/>
        </w:rPr>
        <w:t xml:space="preserve"> (</w:t>
      </w:r>
      <w:r>
        <w:rPr>
          <w:rFonts w:ascii="Book Antiqua" w:eastAsia="Book Antiqua" w:hAnsi="Book Antiqua" w:cs="Book Antiqua"/>
          <w:color w:val="000000"/>
        </w:rPr>
        <w:t>NK</w:t>
      </w:r>
      <w:r w:rsidR="00DF5214">
        <w:rPr>
          <w:rFonts w:ascii="Book Antiqua" w:eastAsia="Book Antiqua" w:hAnsi="Book Antiqua" w:cs="Book Antiqua"/>
          <w:color w:val="000000"/>
        </w:rPr>
        <w:t>)</w:t>
      </w:r>
      <w:r>
        <w:rPr>
          <w:rFonts w:ascii="Book Antiqua" w:eastAsia="Book Antiqua" w:hAnsi="Book Antiqua" w:cs="Book Antiqua"/>
          <w:color w:val="000000"/>
        </w:rPr>
        <w:t xml:space="preserve"> cells and neutrophils were more abundant in the low-risk group (Figure 5B). We also plotted the correlation matrix of these six immune cells. In the correlation matrix, we noted that CD4T cells negatively correlated with neutrophil</w:t>
      </w:r>
      <w:r w:rsidR="00B24E60">
        <w:rPr>
          <w:rFonts w:ascii="Book Antiqua" w:eastAsia="Book Antiqua" w:hAnsi="Book Antiqua" w:cs="Book Antiqua"/>
          <w:color w:val="000000"/>
        </w:rPr>
        <w:t>s</w:t>
      </w:r>
      <w:r>
        <w:rPr>
          <w:rFonts w:ascii="Book Antiqua" w:eastAsia="Book Antiqua" w:hAnsi="Book Antiqua" w:cs="Book Antiqua"/>
          <w:color w:val="000000"/>
        </w:rPr>
        <w:t xml:space="preserve"> and CD8T cells, and B cells also showed a negative correlation with NK cells (Figure 5C). At the same time we plotted the heatmap to show the content</w:t>
      </w:r>
      <w:r w:rsidR="00B24E60">
        <w:rPr>
          <w:rFonts w:ascii="Book Antiqua" w:eastAsia="Book Antiqua" w:hAnsi="Book Antiqua" w:cs="Book Antiqua"/>
          <w:color w:val="000000"/>
        </w:rPr>
        <w:t>s</w:t>
      </w:r>
      <w:r>
        <w:rPr>
          <w:rFonts w:ascii="Book Antiqua" w:eastAsia="Book Antiqua" w:hAnsi="Book Antiqua" w:cs="Book Antiqua"/>
          <w:color w:val="000000"/>
        </w:rPr>
        <w:t xml:space="preserve"> of these six immune cells between the two groups (Figure 5D).</w:t>
      </w:r>
    </w:p>
    <w:p w14:paraId="6E78D6C8" w14:textId="45750913" w:rsidR="00A77B3E" w:rsidRDefault="00A77B3E" w:rsidP="00DF5214">
      <w:pPr>
        <w:spacing w:line="360" w:lineRule="auto"/>
        <w:jc w:val="both"/>
        <w:rPr>
          <w:lang w:eastAsia="zh-CN"/>
        </w:rPr>
      </w:pPr>
    </w:p>
    <w:p w14:paraId="2CD49CB6" w14:textId="77777777" w:rsidR="00A77B3E" w:rsidRDefault="004325C3">
      <w:pPr>
        <w:spacing w:line="360" w:lineRule="auto"/>
        <w:jc w:val="both"/>
      </w:pPr>
      <w:r>
        <w:rPr>
          <w:rFonts w:ascii="Book Antiqua" w:eastAsia="Book Antiqua" w:hAnsi="Book Antiqua" w:cs="Book Antiqua"/>
          <w:b/>
          <w:bCs/>
          <w:i/>
          <w:iCs/>
          <w:color w:val="000000"/>
        </w:rPr>
        <w:t>MUC16 mutations and CNVs</w:t>
      </w:r>
    </w:p>
    <w:p w14:paraId="738CB4E0" w14:textId="1C8E7A04" w:rsidR="00A77B3E" w:rsidRDefault="004325C3">
      <w:pPr>
        <w:spacing w:line="360" w:lineRule="auto"/>
        <w:jc w:val="both"/>
      </w:pPr>
      <w:r>
        <w:rPr>
          <w:rFonts w:ascii="Book Antiqua" w:eastAsia="Book Antiqua" w:hAnsi="Book Antiqua" w:cs="Book Antiqua"/>
          <w:color w:val="000000"/>
        </w:rPr>
        <w:t xml:space="preserve">To explore the relationship between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and CNVs, we downloaded CNV data. The two groups were divided similarly, according to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mutation status. Using the </w:t>
      </w:r>
      <w:bookmarkStart w:id="4" w:name="_Hlk65071737"/>
      <w:r>
        <w:rPr>
          <w:rFonts w:ascii="Book Antiqua" w:eastAsia="Book Antiqua" w:hAnsi="Book Antiqua" w:cs="Book Antiqua"/>
          <w:i/>
          <w:iCs/>
          <w:color w:val="000000"/>
        </w:rPr>
        <w:t>χ</w:t>
      </w:r>
      <w:r>
        <w:rPr>
          <w:rFonts w:ascii="Book Antiqua" w:eastAsia="Book Antiqua" w:hAnsi="Book Antiqua" w:cs="Book Antiqua"/>
          <w:i/>
          <w:iCs/>
          <w:color w:val="000000"/>
          <w:szCs w:val="20"/>
          <w:vertAlign w:val="superscript"/>
        </w:rPr>
        <w:t>2</w:t>
      </w:r>
      <w:r>
        <w:rPr>
          <w:rFonts w:ascii="Book Antiqua" w:eastAsia="Book Antiqua" w:hAnsi="Book Antiqua" w:cs="Book Antiqua"/>
          <w:color w:val="000000"/>
        </w:rPr>
        <w:t xml:space="preserve"> test</w:t>
      </w:r>
      <w:bookmarkEnd w:id="4"/>
      <w:r>
        <w:rPr>
          <w:rFonts w:ascii="Book Antiqua" w:eastAsia="Book Antiqua" w:hAnsi="Book Antiqua" w:cs="Book Antiqua"/>
          <w:color w:val="000000"/>
        </w:rPr>
        <w:t xml:space="preserve">, we assessed whether there was a difference in CNV between </w:t>
      </w:r>
      <w:r>
        <w:rPr>
          <w:rFonts w:ascii="Book Antiqua" w:eastAsia="Book Antiqua" w:hAnsi="Book Antiqua" w:cs="Book Antiqua"/>
          <w:color w:val="000000"/>
        </w:rPr>
        <w:lastRenderedPageBreak/>
        <w:t xml:space="preserve">the two groups, and we defined </w:t>
      </w:r>
      <w:r w:rsidRPr="00DF5214">
        <w:rPr>
          <w:rFonts w:ascii="Book Antiqua" w:eastAsia="Book Antiqua" w:hAnsi="Book Antiqua" w:cs="Book Antiqua"/>
          <w:i/>
          <w:iCs/>
          <w:color w:val="000000"/>
        </w:rPr>
        <w:t>P</w:t>
      </w:r>
      <w:r>
        <w:rPr>
          <w:rFonts w:ascii="Book Antiqua" w:eastAsia="Book Antiqua" w:hAnsi="Book Antiqua" w:cs="Book Antiqua"/>
          <w:color w:val="000000"/>
        </w:rPr>
        <w:t xml:space="preserve"> &lt; 0.05 as differential CNVs, displayed by the circle plot (Figure 6A). The circle plot illustrates CNVs at chromosomal locations. The relationship between CNV and mRNA expression was further analyzed.</w:t>
      </w:r>
    </w:p>
    <w:p w14:paraId="7803EF81" w14:textId="58A18918" w:rsidR="00A77B3E" w:rsidRDefault="004325C3" w:rsidP="00DF5214">
      <w:pPr>
        <w:spacing w:line="360" w:lineRule="auto"/>
        <w:ind w:firstLineChars="100" w:firstLine="240"/>
        <w:jc w:val="both"/>
      </w:pPr>
      <w:r>
        <w:rPr>
          <w:rFonts w:ascii="Book Antiqua" w:eastAsia="Book Antiqua" w:hAnsi="Book Antiqua" w:cs="Book Antiqua"/>
          <w:color w:val="000000"/>
        </w:rPr>
        <w:t xml:space="preserve">We assessed this using the Kruskal-Wallis test: </w:t>
      </w:r>
      <w:r w:rsidR="00DF5214" w:rsidRPr="00DF5214">
        <w:rPr>
          <w:rFonts w:ascii="Book Antiqua" w:eastAsia="Book Antiqua" w:hAnsi="Book Antiqua" w:cs="Book Antiqua"/>
          <w:i/>
          <w:iCs/>
          <w:color w:val="000000"/>
        </w:rPr>
        <w:t>P</w:t>
      </w:r>
      <w:r w:rsidR="00DF5214">
        <w:rPr>
          <w:rFonts w:ascii="Book Antiqua" w:eastAsia="Book Antiqua" w:hAnsi="Book Antiqua" w:cs="Book Antiqua"/>
          <w:color w:val="000000"/>
        </w:rPr>
        <w:t xml:space="preserve"> &lt; </w:t>
      </w:r>
      <w:r>
        <w:rPr>
          <w:rFonts w:ascii="Book Antiqua" w:eastAsia="Book Antiqua" w:hAnsi="Book Antiqua" w:cs="Book Antiqua"/>
          <w:color w:val="000000"/>
        </w:rPr>
        <w:t xml:space="preserve">0.05 was defined as the differential. In particular, we found that </w:t>
      </w:r>
      <w:r w:rsidR="00DF5214" w:rsidRPr="00DF5214">
        <w:rPr>
          <w:rFonts w:ascii="Book Antiqua" w:eastAsia="Book Antiqua" w:hAnsi="Book Antiqua" w:cs="Book Antiqua"/>
          <w:color w:val="000000"/>
        </w:rPr>
        <w:t>inhibitor of growth gene 2</w:t>
      </w:r>
      <w:r w:rsidR="00DF5214">
        <w:rPr>
          <w:rFonts w:ascii="Book Antiqua" w:eastAsia="Book Antiqua" w:hAnsi="Book Antiqua" w:cs="Book Antiqua"/>
          <w:color w:val="000000"/>
        </w:rPr>
        <w:t xml:space="preserve"> (</w:t>
      </w:r>
      <w:r w:rsidRPr="00DF5214">
        <w:rPr>
          <w:rFonts w:ascii="Book Antiqua" w:eastAsia="Book Antiqua" w:hAnsi="Book Antiqua" w:cs="Book Antiqua"/>
          <w:i/>
          <w:iCs/>
          <w:color w:val="000000"/>
        </w:rPr>
        <w:t>ING2</w:t>
      </w:r>
      <w:r w:rsidR="00DF5214">
        <w:rPr>
          <w:rFonts w:ascii="Book Antiqua" w:eastAsia="Book Antiqua" w:hAnsi="Book Antiqua" w:cs="Book Antiqua"/>
          <w:color w:val="000000"/>
        </w:rPr>
        <w:t>)</w:t>
      </w:r>
      <w:r>
        <w:rPr>
          <w:rFonts w:ascii="Book Antiqua" w:eastAsia="Book Antiqua" w:hAnsi="Book Antiqua" w:cs="Book Antiqua"/>
          <w:color w:val="000000"/>
        </w:rPr>
        <w:t xml:space="preserve">, with its CNV gain and deletion, mRNA expression also changed, and that </w:t>
      </w:r>
      <w:r w:rsidRPr="00DF5214">
        <w:rPr>
          <w:rFonts w:ascii="Book Antiqua" w:eastAsia="Book Antiqua" w:hAnsi="Book Antiqua" w:cs="Book Antiqua"/>
          <w:i/>
          <w:iCs/>
          <w:color w:val="000000"/>
        </w:rPr>
        <w:t>ING2</w:t>
      </w:r>
      <w:r>
        <w:rPr>
          <w:rFonts w:ascii="Book Antiqua" w:eastAsia="Book Antiqua" w:hAnsi="Book Antiqua" w:cs="Book Antiqua"/>
          <w:color w:val="000000"/>
        </w:rPr>
        <w:t xml:space="preserve"> is involved in DNA damage repair (Figure 6B</w:t>
      </w:r>
      <w:r w:rsidR="00DF5214">
        <w:rPr>
          <w:rFonts w:ascii="Book Antiqua" w:eastAsia="Book Antiqua" w:hAnsi="Book Antiqua" w:cs="Book Antiqua"/>
          <w:color w:val="000000"/>
        </w:rPr>
        <w:t xml:space="preserve"> and </w:t>
      </w:r>
      <w:r>
        <w:rPr>
          <w:rFonts w:ascii="Book Antiqua" w:eastAsia="Book Antiqua" w:hAnsi="Book Antiqua" w:cs="Book Antiqua"/>
          <w:color w:val="000000"/>
        </w:rPr>
        <w:t>C).</w:t>
      </w:r>
    </w:p>
    <w:p w14:paraId="4A082B10" w14:textId="77777777" w:rsidR="00A77B3E" w:rsidRDefault="004325C3" w:rsidP="00DF5214">
      <w:pPr>
        <w:spacing w:line="360" w:lineRule="auto"/>
        <w:ind w:firstLineChars="100" w:firstLine="240"/>
        <w:jc w:val="both"/>
      </w:pPr>
      <w:r>
        <w:rPr>
          <w:rFonts w:ascii="Book Antiqua" w:eastAsia="Book Antiqua" w:hAnsi="Book Antiqua" w:cs="Book Antiqua"/>
          <w:color w:val="000000"/>
        </w:rPr>
        <w:t>In addition, we undertook GSEA to utilize differential CNVs and used the clusterProfiler to perform enrichment analysis and visualize the results. KEGG pathways showed enrichment in colorectal cancer, B-cell receptor signaling pathways, apoptosis-multi-species, apoptosis, and p53 signaling pathways (Figure 7A). GO analysis seemed to be more focused on the two processes of apoptosis and anti-apoptosis (Figure 7B-D).</w:t>
      </w:r>
    </w:p>
    <w:p w14:paraId="3668E0C0" w14:textId="77777777" w:rsidR="00A77B3E" w:rsidRDefault="00A77B3E" w:rsidP="00DF5214">
      <w:pPr>
        <w:spacing w:line="360" w:lineRule="auto"/>
        <w:jc w:val="both"/>
      </w:pPr>
    </w:p>
    <w:p w14:paraId="7082FAB7" w14:textId="77777777" w:rsidR="00A77B3E" w:rsidRDefault="004325C3">
      <w:pPr>
        <w:spacing w:line="360" w:lineRule="auto"/>
        <w:jc w:val="both"/>
      </w:pPr>
      <w:r>
        <w:rPr>
          <w:rFonts w:ascii="Book Antiqua" w:eastAsia="Book Antiqua" w:hAnsi="Book Antiqua" w:cs="Book Antiqua"/>
          <w:b/>
          <w:caps/>
          <w:color w:val="000000"/>
          <w:u w:val="single"/>
        </w:rPr>
        <w:t>DISCUSSION</w:t>
      </w:r>
    </w:p>
    <w:p w14:paraId="6BD93DEE" w14:textId="46A20726" w:rsidR="00A77B3E" w:rsidRDefault="004325C3">
      <w:pPr>
        <w:spacing w:line="360" w:lineRule="auto"/>
        <w:jc w:val="both"/>
      </w:pP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(OMIM606154) is the most frequently mutated gene in gastric cancer and the prognosis of the mutation group </w:t>
      </w:r>
      <w:r w:rsidR="00B24E60">
        <w:rPr>
          <w:rFonts w:ascii="Book Antiqua" w:eastAsia="Book Antiqua" w:hAnsi="Book Antiqua" w:cs="Book Antiqua"/>
          <w:color w:val="000000"/>
        </w:rPr>
        <w:t>was</w:t>
      </w:r>
      <w:r>
        <w:rPr>
          <w:rFonts w:ascii="Book Antiqua" w:eastAsia="Book Antiqua" w:hAnsi="Book Antiqua" w:cs="Book Antiqua"/>
          <w:color w:val="000000"/>
        </w:rPr>
        <w:t xml:space="preserve"> better than that of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However, it is not well understood why the mutation in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sidR="00DF5214">
        <w:rPr>
          <w:rFonts w:ascii="Book Antiqua" w:eastAsia="Book Antiqua" w:hAnsi="Book Antiqua" w:cs="Book Antiqua"/>
          <w:color w:val="000000"/>
        </w:rPr>
        <w:t>l</w:t>
      </w:r>
      <w:r>
        <w:rPr>
          <w:rFonts w:ascii="Book Antiqua" w:eastAsia="Book Antiqua" w:hAnsi="Book Antiqua" w:cs="Book Antiqua"/>
          <w:color w:val="000000"/>
        </w:rPr>
        <w:t>eads to a better prognosis</w:t>
      </w:r>
      <w:r>
        <w:rPr>
          <w:rFonts w:ascii="Book Antiqua" w:eastAsia="Book Antiqua" w:hAnsi="Book Antiqua" w:cs="Book Antiqua"/>
          <w:color w:val="000000"/>
          <w:szCs w:val="30"/>
          <w:vertAlign w:val="superscript"/>
        </w:rPr>
        <w:t>[5]</w:t>
      </w:r>
      <w:r w:rsidR="00B24E60">
        <w:rPr>
          <w:rFonts w:ascii="Book Antiqua" w:eastAsia="Book Antiqua" w:hAnsi="Book Antiqua" w:cs="Book Antiqua"/>
          <w:color w:val="000000"/>
        </w:rPr>
        <w:t>;</w:t>
      </w:r>
      <w:r>
        <w:rPr>
          <w:rFonts w:ascii="Book Antiqua" w:eastAsia="Book Antiqua" w:hAnsi="Book Antiqua" w:cs="Book Antiqua"/>
          <w:color w:val="000000"/>
        </w:rPr>
        <w:t xml:space="preserve"> </w:t>
      </w:r>
      <w:r w:rsidR="00B24E60">
        <w:rPr>
          <w:rFonts w:ascii="Book Antiqua" w:eastAsia="Book Antiqua" w:hAnsi="Book Antiqua" w:cs="Book Antiqua"/>
          <w:color w:val="000000"/>
        </w:rPr>
        <w:t>thus,</w:t>
      </w:r>
      <w:r>
        <w:rPr>
          <w:rFonts w:ascii="Book Antiqua" w:eastAsia="Book Antiqua" w:hAnsi="Book Antiqua" w:cs="Book Antiqua"/>
          <w:color w:val="000000"/>
        </w:rPr>
        <w:t xml:space="preserve"> we explored the possible mechanisms through multi-omics data, including SNP, CNV, mRNA, and methylation data.</w:t>
      </w:r>
    </w:p>
    <w:p w14:paraId="0829D29E" w14:textId="2DD0D582" w:rsidR="00A77B3E" w:rsidRDefault="004325C3" w:rsidP="00DF5214">
      <w:pPr>
        <w:spacing w:line="360" w:lineRule="auto"/>
        <w:ind w:firstLineChars="100" w:firstLine="240"/>
        <w:jc w:val="both"/>
      </w:pPr>
      <w:r>
        <w:rPr>
          <w:rFonts w:ascii="Book Antiqua" w:eastAsia="Book Antiqua" w:hAnsi="Book Antiqua" w:cs="Book Antiqua"/>
          <w:color w:val="000000"/>
        </w:rPr>
        <w:t xml:space="preserve">We first analyzed the gene mutation landscape in the TCGA cohort, and found that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had the third-highest mutation frequency, after </w:t>
      </w:r>
      <w:r w:rsidRPr="00DF5214">
        <w:rPr>
          <w:rFonts w:ascii="Book Antiqua" w:eastAsia="Book Antiqua" w:hAnsi="Book Antiqua" w:cs="Book Antiqua"/>
          <w:i/>
          <w:iCs/>
          <w:color w:val="000000"/>
        </w:rPr>
        <w:t>TTN</w:t>
      </w:r>
      <w:r>
        <w:rPr>
          <w:rFonts w:ascii="Book Antiqua" w:eastAsia="Book Antiqua" w:hAnsi="Book Antiqua" w:cs="Book Antiqua"/>
          <w:color w:val="000000"/>
        </w:rPr>
        <w:t xml:space="preserve"> and </w:t>
      </w:r>
      <w:r w:rsidRPr="00DF5214">
        <w:rPr>
          <w:rFonts w:ascii="Book Antiqua" w:eastAsia="Book Antiqua" w:hAnsi="Book Antiqua" w:cs="Book Antiqua"/>
          <w:i/>
          <w:iCs/>
          <w:color w:val="000000"/>
        </w:rPr>
        <w:t>TP53</w:t>
      </w:r>
      <w:r>
        <w:rPr>
          <w:rFonts w:ascii="Book Antiqua" w:eastAsia="Book Antiqua" w:hAnsi="Book Antiqua" w:cs="Book Antiqua"/>
          <w:color w:val="000000"/>
        </w:rPr>
        <w:t xml:space="preserve">, and was dominated by missense mutations. Survival analysis showed that the </w:t>
      </w:r>
      <w:r w:rsidRPr="00DF5214">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had a better prognosis than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Moreover, we found higher TMB scores in the mutation group. As a marker for predicting immune checkpoint blockade, TMB has shown unique prognostic value in immunotherapy in several tumors and was included in the </w:t>
      </w:r>
      <w:r w:rsidR="00592FF4" w:rsidRPr="00592FF4">
        <w:rPr>
          <w:rFonts w:ascii="Book Antiqua" w:eastAsia="Book Antiqua" w:hAnsi="Book Antiqua" w:cs="Book Antiqua"/>
          <w:color w:val="000000"/>
        </w:rPr>
        <w:t>National Comprehensive Cancer Network (NCCN)</w:t>
      </w:r>
      <w:r>
        <w:rPr>
          <w:rFonts w:ascii="Book Antiqua" w:eastAsia="Book Antiqua" w:hAnsi="Book Antiqua" w:cs="Book Antiqua"/>
          <w:color w:val="000000"/>
        </w:rPr>
        <w:t xml:space="preserve"> guidelines for non-small cell lung cancer in 2019</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 xml:space="preserve">. Studies in melanoma, neuroendocrine cervical cancer, and colorectal cancer have also found that patients with </w:t>
      </w:r>
      <w:r>
        <w:rPr>
          <w:rFonts w:ascii="Book Antiqua" w:eastAsia="Book Antiqua" w:hAnsi="Book Antiqua" w:cs="Book Antiqua"/>
          <w:color w:val="000000"/>
        </w:rPr>
        <w:lastRenderedPageBreak/>
        <w:t>high TMB scores have a better prognosis after treatment with immune checkpoint inhibitors (ICI)</w:t>
      </w:r>
      <w:r>
        <w:rPr>
          <w:rFonts w:ascii="Book Antiqua" w:eastAsia="Book Antiqua" w:hAnsi="Book Antiqua" w:cs="Book Antiqua"/>
          <w:color w:val="000000"/>
          <w:szCs w:val="30"/>
          <w:vertAlign w:val="superscript"/>
        </w:rPr>
        <w:t>[15,17</w:t>
      </w:r>
      <w:r w:rsidR="00592FF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Therefore, we speculated that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is more likely to benefit from ICI treatment.</w:t>
      </w:r>
    </w:p>
    <w:p w14:paraId="4781B451" w14:textId="50F92302"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We also investigated the tumor microenvironment and found no statistically significant differences in the remaining immune score and tumor purity, except for the stromal score, which was higher in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Thus, a higher stromal score seems to predict a worse prognosis, and Gong</w:t>
      </w:r>
      <w:r w:rsidR="00592FF4">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92FF4">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also found that a higher stromal score was always associated with poor prognosis in patients with melanoma. mRNAsi in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 and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groups was also compared, and mRNAsi </w:t>
      </w:r>
      <w:r w:rsidR="00B24E60">
        <w:rPr>
          <w:rFonts w:ascii="Book Antiqua" w:eastAsia="Book Antiqua" w:hAnsi="Book Antiqua" w:cs="Book Antiqua"/>
          <w:color w:val="000000"/>
        </w:rPr>
        <w:t xml:space="preserve">was </w:t>
      </w:r>
      <w:r>
        <w:rPr>
          <w:rFonts w:ascii="Book Antiqua" w:eastAsia="Book Antiqua" w:hAnsi="Book Antiqua" w:cs="Book Antiqua"/>
          <w:color w:val="000000"/>
        </w:rPr>
        <w:t>found to be much higher in the mutation group than in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Previous studies have shown that cancer stem cells appear to be associated with tumor recurrence and drug resistance in bladder cancer</w:t>
      </w:r>
      <w:r w:rsidR="00B24E60">
        <w:rPr>
          <w:rFonts w:ascii="Book Antiqua" w:eastAsia="Book Antiqua" w:hAnsi="Book Antiqua" w:cs="Book Antiqua"/>
          <w:color w:val="000000"/>
        </w:rPr>
        <w:t>; therefore</w:t>
      </w:r>
      <w:r>
        <w:rPr>
          <w:rFonts w:ascii="Book Antiqua" w:eastAsia="Book Antiqua" w:hAnsi="Book Antiqua" w:cs="Book Antiqua"/>
          <w:color w:val="000000"/>
        </w:rPr>
        <w:t>, more in-depth studies are needed on the relationship between mRNAsi and gastric cancer</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55EF54C0" w14:textId="009C6563" w:rsidR="00A77B3E" w:rsidRDefault="004325C3" w:rsidP="00592FF4">
      <w:pPr>
        <w:spacing w:line="360" w:lineRule="auto"/>
        <w:ind w:firstLineChars="100" w:firstLine="240"/>
        <w:jc w:val="both"/>
      </w:pPr>
      <w:r>
        <w:rPr>
          <w:rFonts w:ascii="Book Antiqua" w:eastAsia="Book Antiqua" w:hAnsi="Book Antiqua" w:cs="Book Antiqua"/>
          <w:color w:val="000000"/>
        </w:rPr>
        <w:t>Additionally, in assessing the infiltration of 28 immune cells, we found that activated CD4T cells and CD56dimNK cells were more abundant in the mutation group, whereas effector memory CD4T cells and plasmacytoid dendritic cells were more abundant in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 Several studies have shown that CD4T cells are useful for tumor suppression. Belisle</w:t>
      </w:r>
      <w:r w:rsidR="00592FF4">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92FF4">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found that in ovarian cancer,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specifically binds to CD56dimNK cells, thereby causing immunosuppression, and a similar situation occurred in our study. It has been suggested that plasmacytoid dendritic cells may contribute to the development of Tregs in a colorectal cancer-resistant environment, thus leading to a poor prognosis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The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exhibited higher tumor-killing cells and lower immunosuppression cells</w:t>
      </w:r>
      <w:r w:rsidR="00B24E60">
        <w:rPr>
          <w:rFonts w:ascii="Book Antiqua" w:eastAsia="Book Antiqua" w:hAnsi="Book Antiqua" w:cs="Book Antiqua"/>
          <w:color w:val="000000"/>
        </w:rPr>
        <w:t>; thus</w:t>
      </w:r>
      <w:r>
        <w:rPr>
          <w:rFonts w:ascii="Book Antiqua" w:eastAsia="Book Antiqua" w:hAnsi="Book Antiqua" w:cs="Book Antiqua"/>
          <w:color w:val="000000"/>
        </w:rPr>
        <w:t>, we speculate that the infiltration of immune cells may also be a non-negligible factor contributing to better prognosis in the mutation group than the wild</w:t>
      </w:r>
      <w:r w:rsidR="00B24E60">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599334F9" w14:textId="443510CF"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In the subsequent analysis, we applied the random survival forest algorithm and Cox regression to investigate the differentially expressed genes associated with prognosis due to </w:t>
      </w:r>
      <w:r w:rsidRPr="00592FF4">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After screening, we found </w:t>
      </w:r>
      <w:r w:rsidRPr="00592FF4">
        <w:rPr>
          <w:rFonts w:ascii="Book Antiqua" w:eastAsia="Book Antiqua" w:hAnsi="Book Antiqua" w:cs="Book Antiqua"/>
          <w:color w:val="000000"/>
        </w:rPr>
        <w:t>NPY1R</w:t>
      </w:r>
      <w:r>
        <w:rPr>
          <w:rFonts w:ascii="Book Antiqua" w:eastAsia="Book Antiqua" w:hAnsi="Book Antiqua" w:cs="Book Antiqua"/>
          <w:color w:val="000000"/>
        </w:rPr>
        <w:t xml:space="preserve">, which belongs to the G protein-coupled receptor superfamily. It encodes a transmembrane protein that </w:t>
      </w:r>
      <w:r>
        <w:rPr>
          <w:rFonts w:ascii="Book Antiqua" w:eastAsia="Book Antiqua" w:hAnsi="Book Antiqua" w:cs="Book Antiqua"/>
          <w:color w:val="000000"/>
        </w:rPr>
        <w:lastRenderedPageBreak/>
        <w:t>functions as neuropeptide Y (NPY, a neurotransmitter), and peptide YY (PYY, a gastrointestinal hormone). It has been suggested that NPY1R has a unique role in gastric acid secretion and anti-tumorigenesis</w:t>
      </w:r>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w:t>
      </w:r>
    </w:p>
    <w:p w14:paraId="7F640B85" w14:textId="0AEA4649"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We noted that high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was always associated with a poor prognosis in the study of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and breast cancer, where Liu</w:t>
      </w:r>
      <w:r w:rsidR="00592FF4">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592FF4">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found that high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was associated with a poorer prognosis. There, immune infiltration based on methylation data showed that NK cells</w:t>
      </w:r>
      <w:bookmarkStart w:id="5" w:name="_Hlk61967700"/>
      <w:r w:rsidR="00592FF4" w:rsidRPr="008D1AA7">
        <w:rPr>
          <w:rFonts w:ascii="Book Antiqua" w:eastAsia="Book Antiqua" w:hAnsi="Book Antiqua" w:cs="Book Antiqua"/>
          <w:bCs/>
          <w:color w:val="000000"/>
        </w:rPr>
        <w:t>—</w:t>
      </w:r>
      <w:bookmarkEnd w:id="5"/>
      <w:r>
        <w:rPr>
          <w:rFonts w:ascii="Book Antiqua" w:eastAsia="Book Antiqua" w:hAnsi="Book Antiqua" w:cs="Book Antiqua"/>
          <w:color w:val="000000"/>
        </w:rPr>
        <w:t>neutrophils</w:t>
      </w:r>
      <w:r w:rsidR="00592FF4" w:rsidRPr="008D1AA7">
        <w:rPr>
          <w:rFonts w:ascii="Book Antiqua" w:eastAsia="Book Antiqua" w:hAnsi="Book Antiqua" w:cs="Book Antiqua"/>
          <w:bCs/>
          <w:color w:val="000000"/>
        </w:rPr>
        <w:t>—</w:t>
      </w:r>
      <w:r>
        <w:rPr>
          <w:rFonts w:ascii="Book Antiqua" w:eastAsia="Book Antiqua" w:hAnsi="Book Antiqua" w:cs="Book Antiqua"/>
          <w:color w:val="000000"/>
        </w:rPr>
        <w:t xml:space="preserve">were more evident in the low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group, while there were more B cells and CD4T cells in the high expression group. N</w:t>
      </w:r>
      <w:r w:rsidR="00592FF4">
        <w:rPr>
          <w:rFonts w:ascii="Book Antiqua" w:eastAsia="Book Antiqua" w:hAnsi="Book Antiqua" w:cs="Book Antiqua"/>
          <w:color w:val="000000"/>
        </w:rPr>
        <w:t>K</w:t>
      </w:r>
      <w:r>
        <w:rPr>
          <w:rFonts w:ascii="Book Antiqua" w:eastAsia="Book Antiqua" w:hAnsi="Book Antiqua" w:cs="Book Antiqua"/>
          <w:color w:val="000000"/>
        </w:rPr>
        <w:t xml:space="preserve"> cells act as tumor-killing cells, leading to a better prognosis. In addition, neutrophils potentially influence the clinical outcome of gastric cancer by modulating immune response; it has been shown that enriched neutrophils can induce NK cell activation through receptor-ligand interaction and interleukin</w:t>
      </w:r>
      <w:r w:rsidR="00B85234">
        <w:rPr>
          <w:rFonts w:ascii="Book Antiqua" w:eastAsia="Book Antiqua" w:hAnsi="Book Antiqua" w:cs="Book Antiqua"/>
          <w:color w:val="000000"/>
        </w:rPr>
        <w:t xml:space="preserve"> </w:t>
      </w:r>
      <w:r>
        <w:rPr>
          <w:rFonts w:ascii="Book Antiqua" w:eastAsia="Book Antiqua" w:hAnsi="Book Antiqua" w:cs="Book Antiqua"/>
          <w:color w:val="000000"/>
        </w:rPr>
        <w:t>18 production</w:t>
      </w:r>
      <w:r>
        <w:rPr>
          <w:rFonts w:ascii="Book Antiqua" w:eastAsia="Book Antiqua" w:hAnsi="Book Antiqua" w:cs="Book Antiqua"/>
          <w:color w:val="000000"/>
          <w:szCs w:val="30"/>
          <w:vertAlign w:val="superscript"/>
        </w:rPr>
        <w:t>[27</w:t>
      </w:r>
      <w:r w:rsidR="00592FF4">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It has also been pointed out that CD4T may be involved in breast tumor progression</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and that B cells may be associated with a better prognosis of the esophagogastric junction</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3C1AF011" w14:textId="589709C9" w:rsidR="00A77B3E" w:rsidRDefault="004325C3" w:rsidP="00592FF4">
      <w:pPr>
        <w:spacing w:line="360" w:lineRule="auto"/>
        <w:ind w:firstLineChars="100" w:firstLine="240"/>
        <w:jc w:val="both"/>
      </w:pPr>
      <w:r>
        <w:rPr>
          <w:rFonts w:ascii="Book Antiqua" w:eastAsia="Book Antiqua" w:hAnsi="Book Antiqua" w:cs="Book Antiqua"/>
          <w:color w:val="000000"/>
        </w:rPr>
        <w:t xml:space="preserve">As we discovered that high expression of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was associated with worse outcomes, we hypothesized that if we could reduce the expression of </w:t>
      </w:r>
      <w:r w:rsidRPr="00592FF4">
        <w:rPr>
          <w:rFonts w:ascii="Book Antiqua" w:eastAsia="Book Antiqua" w:hAnsi="Book Antiqua" w:cs="Book Antiqua"/>
          <w:i/>
          <w:iCs/>
          <w:color w:val="000000"/>
        </w:rPr>
        <w:t>NPY1R</w:t>
      </w:r>
      <w:r>
        <w:rPr>
          <w:rFonts w:ascii="Book Antiqua" w:eastAsia="Book Antiqua" w:hAnsi="Book Antiqua" w:cs="Book Antiqua"/>
          <w:color w:val="000000"/>
        </w:rPr>
        <w:t>, then we might be able to improve the prognosis</w:t>
      </w:r>
      <w:r w:rsidR="00CD7F0B">
        <w:rPr>
          <w:rFonts w:ascii="Book Antiqua" w:eastAsia="Book Antiqua" w:hAnsi="Book Antiqua" w:cs="Book Antiqua"/>
          <w:color w:val="000000"/>
        </w:rPr>
        <w:t>; thus</w:t>
      </w:r>
      <w:r>
        <w:rPr>
          <w:rFonts w:ascii="Book Antiqua" w:eastAsia="Book Antiqua" w:hAnsi="Book Antiqua" w:cs="Book Antiqua"/>
          <w:color w:val="000000"/>
        </w:rPr>
        <w:t xml:space="preserve">, we have identified a drug that has the potential to benefit patients with high </w:t>
      </w:r>
      <w:r w:rsidRPr="00592FF4">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Roscovitine. </w:t>
      </w:r>
    </w:p>
    <w:p w14:paraId="707894AA" w14:textId="5B980884" w:rsidR="00A77B3E" w:rsidRDefault="004325C3" w:rsidP="00592FF4">
      <w:pPr>
        <w:spacing w:line="360" w:lineRule="auto"/>
        <w:ind w:firstLineChars="100" w:firstLine="240"/>
        <w:jc w:val="both"/>
      </w:pPr>
      <w:r>
        <w:rPr>
          <w:rFonts w:ascii="Book Antiqua" w:eastAsia="Book Antiqua" w:hAnsi="Book Antiqua" w:cs="Book Antiqua"/>
          <w:color w:val="000000"/>
        </w:rPr>
        <w:t>Roscovitine, is a selective cyclin-dependent kinase inhibitor. Iseki</w:t>
      </w:r>
      <w:r w:rsidR="00E23E4A">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1A438B">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found that it inhibit</w:t>
      </w:r>
      <w:r w:rsidR="00CD7F0B">
        <w:rPr>
          <w:rFonts w:ascii="Book Antiqua" w:eastAsia="Book Antiqua" w:hAnsi="Book Antiqua" w:cs="Book Antiqua"/>
          <w:color w:val="000000"/>
        </w:rPr>
        <w:t>ed</w:t>
      </w:r>
      <w:r>
        <w:rPr>
          <w:rFonts w:ascii="Book Antiqua" w:eastAsia="Book Antiqua" w:hAnsi="Book Antiqua" w:cs="Book Antiqua"/>
          <w:color w:val="000000"/>
        </w:rPr>
        <w:t xml:space="preserve"> the growth of gastric cancer cells. Roscovitine has been reported in many articles to increase p53, and p53 also enhances the effects of Roscovitine</w:t>
      </w:r>
      <w:r>
        <w:rPr>
          <w:rFonts w:ascii="Book Antiqua" w:eastAsia="Book Antiqua" w:hAnsi="Book Antiqua" w:cs="Book Antiqua"/>
          <w:color w:val="000000"/>
          <w:szCs w:val="30"/>
          <w:vertAlign w:val="superscript"/>
        </w:rPr>
        <w:t>[32</w:t>
      </w:r>
      <w:r w:rsidR="001A438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Interestingly, our GSEA analysis showed that the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low expression group had more DNA repair pathways and p53 pathways, while it was rarely present in the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high expression group. A similar result emerged when further KEGG and GO analyses were performed on differential CNVs, which were more involved in the p53 pathway, B-cell response pathway in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while GO analysis showed that they were more enriched in p53-mediated apoptosis and anti-apoptosis. This may suggest that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may activate the p53 pathway and DNA </w:t>
      </w:r>
      <w:r>
        <w:rPr>
          <w:rFonts w:ascii="Book Antiqua" w:eastAsia="Book Antiqua" w:hAnsi="Book Antiqua" w:cs="Book Antiqua"/>
          <w:color w:val="000000"/>
        </w:rPr>
        <w:lastRenderedPageBreak/>
        <w:t xml:space="preserve">damage repair, leading to a better prognosis. Therefore, we speculate that the use of </w:t>
      </w:r>
      <w:r w:rsidR="001A438B">
        <w:rPr>
          <w:rFonts w:ascii="Book Antiqua" w:eastAsia="Book Antiqua" w:hAnsi="Book Antiqua" w:cs="Book Antiqua"/>
          <w:color w:val="000000"/>
        </w:rPr>
        <w:t>Roscovitine</w:t>
      </w:r>
      <w:r>
        <w:rPr>
          <w:rFonts w:ascii="Book Antiqua" w:eastAsia="Book Antiqua" w:hAnsi="Book Antiqua" w:cs="Book Antiqua"/>
          <w:color w:val="000000"/>
        </w:rPr>
        <w:t xml:space="preserve"> may be able to increase p53 expression to promote apoptosis in tumor cells, and perhaps also inhibit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which may be a possible direction for patients with high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Also, when examining the differences in CNVs between the wild</w:t>
      </w:r>
      <w:r w:rsidR="00CD7F0B">
        <w:rPr>
          <w:rFonts w:ascii="Book Antiqua" w:eastAsia="Book Antiqua" w:hAnsi="Book Antiqua" w:cs="Book Antiqua"/>
          <w:color w:val="000000"/>
        </w:rPr>
        <w:t>-type</w:t>
      </w:r>
      <w:r>
        <w:rPr>
          <w:rFonts w:ascii="Book Antiqua" w:eastAsia="Book Antiqua" w:hAnsi="Book Antiqua" w:cs="Book Antiqua"/>
          <w:color w:val="000000"/>
        </w:rPr>
        <w:t xml:space="preserve"> group and the mutation group, we found that ING2, with its CNV gain and deletion, mRNA expression also changed. ING2, a member of the ING protein family, contains a highly conserved plant homeodomain and nuclear localization sequences</w:t>
      </w:r>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w:t>
      </w:r>
      <w:r w:rsidR="00CD7F0B">
        <w:rPr>
          <w:rFonts w:ascii="Book Antiqua" w:eastAsia="Book Antiqua" w:hAnsi="Book Antiqua" w:cs="Book Antiqua"/>
          <w:color w:val="000000"/>
        </w:rPr>
        <w:t>In addition</w:t>
      </w:r>
      <w:r>
        <w:rPr>
          <w:rFonts w:ascii="Book Antiqua" w:eastAsia="Book Antiqua" w:hAnsi="Book Antiqua" w:cs="Book Antiqua"/>
          <w:color w:val="000000"/>
        </w:rPr>
        <w:t>, ING2 is involved in DNA damage repair. It is considered to be a tumor suppressor gene. The expression of ING2 is decreased in several cancers including lung cancer, hepatocellular carcinoma, and breast cancer</w:t>
      </w:r>
      <w:r>
        <w:rPr>
          <w:rFonts w:ascii="Book Antiqua" w:eastAsia="Book Antiqua" w:hAnsi="Book Antiqua" w:cs="Book Antiqua"/>
          <w:color w:val="000000"/>
          <w:szCs w:val="30"/>
          <w:vertAlign w:val="superscript"/>
        </w:rPr>
        <w:t>[37</w:t>
      </w:r>
      <w:r w:rsidR="001A438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As a tumor suppressor gene, we found higher expression in the mutation group, suggesting that the high expression of ING2 in the mutation group may indicate stronger DNA damage repair.</w:t>
      </w:r>
    </w:p>
    <w:p w14:paraId="5CEC2B74" w14:textId="77777777" w:rsidR="00A77B3E" w:rsidRDefault="004325C3" w:rsidP="001A438B">
      <w:pPr>
        <w:spacing w:line="360" w:lineRule="auto"/>
        <w:ind w:firstLineChars="100" w:firstLine="240"/>
        <w:jc w:val="both"/>
      </w:pPr>
      <w:r>
        <w:rPr>
          <w:rFonts w:ascii="Book Antiqua" w:eastAsia="Book Antiqua" w:hAnsi="Book Antiqua" w:cs="Book Antiqua"/>
          <w:color w:val="000000"/>
        </w:rPr>
        <w:t xml:space="preserve">Therefore, we speculate that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may activate the p53 pathway and DNA repair pathway on the one hand, and the immune microenvironment may also be involved on the other hand, with higher tumor killer cells and fewer tumor suppressor cells jointly constructing the tumor immune microenvironment of the mutation group. Perhaps, it is these characteristics exhibited by the mutation group that makes their prognosis better.</w:t>
      </w:r>
    </w:p>
    <w:p w14:paraId="6B4BD7FB" w14:textId="77777777" w:rsidR="00A77B3E" w:rsidRDefault="00A77B3E" w:rsidP="001A438B">
      <w:pPr>
        <w:spacing w:line="360" w:lineRule="auto"/>
        <w:jc w:val="both"/>
      </w:pPr>
    </w:p>
    <w:p w14:paraId="57A9A607" w14:textId="77777777" w:rsidR="00A77B3E" w:rsidRDefault="004325C3">
      <w:pPr>
        <w:spacing w:line="360" w:lineRule="auto"/>
        <w:jc w:val="both"/>
      </w:pPr>
      <w:r>
        <w:rPr>
          <w:rFonts w:ascii="Book Antiqua" w:eastAsia="Book Antiqua" w:hAnsi="Book Antiqua" w:cs="Book Antiqua"/>
          <w:b/>
          <w:caps/>
          <w:color w:val="000000"/>
          <w:u w:val="single"/>
        </w:rPr>
        <w:t>CONCLUSION</w:t>
      </w:r>
    </w:p>
    <w:p w14:paraId="22533F79" w14:textId="19D097BF" w:rsidR="00A77B3E" w:rsidRDefault="004325C3">
      <w:pPr>
        <w:spacing w:line="360" w:lineRule="auto"/>
        <w:jc w:val="both"/>
      </w:pPr>
      <w:r>
        <w:rPr>
          <w:rFonts w:ascii="Book Antiqua" w:eastAsia="Book Antiqua" w:hAnsi="Book Antiqua" w:cs="Book Antiqua"/>
          <w:color w:val="000000"/>
        </w:rPr>
        <w:t xml:space="preserve">Using multi-omics data, we investigated possible mechanisms leading to a better prognosis of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from different aspects, and the results implied that the immune microenvironment and DNA repair are possible underlying mechanisms. More importantly, we also identified a gene</w:t>
      </w:r>
      <w:r w:rsidR="001A438B" w:rsidRPr="008D1AA7">
        <w:rPr>
          <w:rFonts w:ascii="Book Antiqua" w:eastAsia="Book Antiqua" w:hAnsi="Book Antiqua" w:cs="Book Antiqua"/>
          <w:bCs/>
          <w:color w:val="000000"/>
        </w:rPr>
        <w:t>—</w:t>
      </w:r>
      <w:r w:rsidRPr="001A438B">
        <w:rPr>
          <w:rFonts w:ascii="Book Antiqua" w:eastAsia="Book Antiqua" w:hAnsi="Book Antiqua" w:cs="Book Antiqua"/>
          <w:i/>
          <w:iCs/>
          <w:color w:val="000000"/>
        </w:rPr>
        <w:t>NPY1R</w:t>
      </w:r>
      <w:r w:rsidR="001A438B" w:rsidRPr="008D1AA7">
        <w:rPr>
          <w:rFonts w:ascii="Book Antiqua" w:eastAsia="Book Antiqua" w:hAnsi="Book Antiqua" w:cs="Book Antiqua"/>
          <w:bCs/>
          <w:color w:val="000000"/>
        </w:rPr>
        <w:t>—</w:t>
      </w:r>
      <w:r>
        <w:rPr>
          <w:rFonts w:ascii="Book Antiqua" w:eastAsia="Book Antiqua" w:hAnsi="Book Antiqua" w:cs="Book Antiqua"/>
          <w:color w:val="000000"/>
        </w:rPr>
        <w:t xml:space="preserve">that was significantly differentially expressed in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CD7F0B">
        <w:rPr>
          <w:rFonts w:ascii="Book Antiqua" w:eastAsia="Book Antiqua" w:hAnsi="Book Antiqua" w:cs="Book Antiqua"/>
          <w:color w:val="000000"/>
        </w:rPr>
        <w:t>-type</w:t>
      </w:r>
      <w:r>
        <w:rPr>
          <w:rFonts w:ascii="Book Antiqua" w:eastAsia="Book Antiqua" w:hAnsi="Book Antiqua" w:cs="Book Antiqua"/>
          <w:color w:val="000000"/>
        </w:rPr>
        <w:t xml:space="preserve"> group, and also discovered a potential drug</w:t>
      </w:r>
      <w:r w:rsidR="00FA7164">
        <w:rPr>
          <w:rFonts w:ascii="Book Antiqua" w:eastAsia="Book Antiqua" w:hAnsi="Book Antiqua" w:cs="Book Antiqua"/>
          <w:color w:val="000000"/>
        </w:rPr>
        <w:t xml:space="preserve"> </w:t>
      </w:r>
      <w:r w:rsidR="001A438B" w:rsidRPr="008D1AA7">
        <w:rPr>
          <w:rFonts w:ascii="Book Antiqua" w:eastAsia="Book Antiqua" w:hAnsi="Book Antiqua" w:cs="Book Antiqua"/>
          <w:bCs/>
          <w:color w:val="000000"/>
        </w:rPr>
        <w:t>—</w:t>
      </w:r>
      <w:r w:rsidR="00FA7164">
        <w:rPr>
          <w:rFonts w:ascii="Book Antiqua" w:eastAsia="Book Antiqua" w:hAnsi="Book Antiqua" w:cs="Book Antiqua"/>
          <w:bCs/>
          <w:color w:val="000000"/>
        </w:rPr>
        <w:t xml:space="preserve"> </w:t>
      </w:r>
      <w:r>
        <w:rPr>
          <w:rFonts w:ascii="Book Antiqua" w:eastAsia="Book Antiqua" w:hAnsi="Book Antiqua" w:cs="Book Antiqua"/>
          <w:color w:val="000000"/>
        </w:rPr>
        <w:t>Roscovitine</w:t>
      </w:r>
      <w:r w:rsidR="00FA7164">
        <w:rPr>
          <w:rFonts w:ascii="Book Antiqua" w:eastAsia="Book Antiqua" w:hAnsi="Book Antiqua" w:cs="Book Antiqua"/>
          <w:color w:val="000000"/>
        </w:rPr>
        <w:t xml:space="preserve"> </w:t>
      </w:r>
      <w:r w:rsidR="001A438B" w:rsidRPr="008D1AA7">
        <w:rPr>
          <w:rFonts w:ascii="Book Antiqua" w:eastAsia="Book Antiqua" w:hAnsi="Book Antiqua" w:cs="Book Antiqua"/>
          <w:bCs/>
          <w:color w:val="000000"/>
        </w:rPr>
        <w:t>—</w:t>
      </w:r>
      <w:r w:rsidR="00FA7164">
        <w:rPr>
          <w:rFonts w:ascii="Book Antiqua" w:eastAsia="Book Antiqua" w:hAnsi="Book Antiqua" w:cs="Book Antiqua"/>
          <w:bCs/>
          <w:color w:val="000000"/>
        </w:rPr>
        <w:t xml:space="preserve"> </w:t>
      </w:r>
      <w:r>
        <w:rPr>
          <w:rFonts w:ascii="Book Antiqua" w:eastAsia="Book Antiqua" w:hAnsi="Book Antiqua" w:cs="Book Antiqua"/>
          <w:color w:val="000000"/>
        </w:rPr>
        <w:t xml:space="preserve">that inhibits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expression and may even improve the prognosis of gastric cancer patients.</w:t>
      </w:r>
    </w:p>
    <w:p w14:paraId="6EB6D221" w14:textId="77777777" w:rsidR="00A77B3E" w:rsidRDefault="00A77B3E">
      <w:pPr>
        <w:spacing w:line="360" w:lineRule="auto"/>
        <w:jc w:val="both"/>
      </w:pPr>
    </w:p>
    <w:p w14:paraId="76A83FA2" w14:textId="77777777" w:rsidR="00A77B3E" w:rsidRDefault="004325C3">
      <w:pPr>
        <w:spacing w:line="360" w:lineRule="auto"/>
        <w:jc w:val="both"/>
      </w:pPr>
      <w:r>
        <w:rPr>
          <w:rFonts w:ascii="Book Antiqua" w:eastAsia="Book Antiqua" w:hAnsi="Book Antiqua" w:cs="Book Antiqua"/>
          <w:b/>
          <w:caps/>
          <w:color w:val="000000"/>
          <w:u w:val="single"/>
        </w:rPr>
        <w:lastRenderedPageBreak/>
        <w:t>ARTICLE HIGHLIGHTS</w:t>
      </w:r>
    </w:p>
    <w:p w14:paraId="2F9E2F9A" w14:textId="77777777" w:rsidR="00A77B3E" w:rsidRDefault="004325C3">
      <w:pPr>
        <w:spacing w:line="360" w:lineRule="auto"/>
        <w:jc w:val="both"/>
      </w:pPr>
      <w:r>
        <w:rPr>
          <w:rFonts w:ascii="Book Antiqua" w:eastAsia="Book Antiqua" w:hAnsi="Book Antiqua" w:cs="Book Antiqua"/>
          <w:b/>
          <w:i/>
          <w:color w:val="000000"/>
        </w:rPr>
        <w:t>Research background</w:t>
      </w:r>
    </w:p>
    <w:p w14:paraId="6294E343" w14:textId="77777777" w:rsidR="00A77B3E" w:rsidRDefault="004325C3">
      <w:pPr>
        <w:spacing w:line="360" w:lineRule="auto"/>
        <w:jc w:val="both"/>
      </w:pP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is a frequently mutated gene in gastric cancer and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seem to result in a better prognosis in gastric cancer. Unfortunately, the mechanism that leads to a better prognosis with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is less clear.</w:t>
      </w:r>
    </w:p>
    <w:p w14:paraId="04DF63A6" w14:textId="77777777" w:rsidR="00A77B3E" w:rsidRDefault="00A77B3E">
      <w:pPr>
        <w:spacing w:line="360" w:lineRule="auto"/>
        <w:jc w:val="both"/>
      </w:pPr>
    </w:p>
    <w:p w14:paraId="08FE96C6" w14:textId="77777777" w:rsidR="00A77B3E" w:rsidRDefault="004325C3">
      <w:pPr>
        <w:spacing w:line="360" w:lineRule="auto"/>
        <w:jc w:val="both"/>
      </w:pPr>
      <w:r>
        <w:rPr>
          <w:rFonts w:ascii="Book Antiqua" w:eastAsia="Book Antiqua" w:hAnsi="Book Antiqua" w:cs="Book Antiqua"/>
          <w:b/>
          <w:i/>
          <w:color w:val="000000"/>
        </w:rPr>
        <w:t>Research motivation</w:t>
      </w:r>
    </w:p>
    <w:p w14:paraId="29EAD7A3" w14:textId="728B8E6F" w:rsidR="00A77B3E" w:rsidRDefault="004325C3">
      <w:pPr>
        <w:spacing w:line="360" w:lineRule="auto"/>
        <w:jc w:val="both"/>
      </w:pPr>
      <w:r>
        <w:rPr>
          <w:rFonts w:ascii="Book Antiqua" w:eastAsia="Book Antiqua" w:hAnsi="Book Antiqua" w:cs="Book Antiqua"/>
          <w:color w:val="000000"/>
        </w:rPr>
        <w:t xml:space="preserve">Among gastric cancer patients,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were associated with better prognosis; however, the mechanism of this is not well understood.</w:t>
      </w:r>
    </w:p>
    <w:p w14:paraId="315F5A6A" w14:textId="77777777" w:rsidR="00A77B3E" w:rsidRDefault="00A77B3E">
      <w:pPr>
        <w:spacing w:line="360" w:lineRule="auto"/>
        <w:jc w:val="both"/>
      </w:pPr>
    </w:p>
    <w:p w14:paraId="321C51F3" w14:textId="77777777" w:rsidR="00A77B3E" w:rsidRDefault="004325C3">
      <w:pPr>
        <w:spacing w:line="360" w:lineRule="auto"/>
        <w:jc w:val="both"/>
      </w:pPr>
      <w:r>
        <w:rPr>
          <w:rFonts w:ascii="Book Antiqua" w:eastAsia="Book Antiqua" w:hAnsi="Book Antiqua" w:cs="Book Antiqua"/>
          <w:b/>
          <w:i/>
          <w:color w:val="000000"/>
        </w:rPr>
        <w:t>Research objectives</w:t>
      </w:r>
    </w:p>
    <w:p w14:paraId="0380AF06" w14:textId="44A1417B" w:rsidR="00A77B3E" w:rsidRDefault="004325C3">
      <w:pPr>
        <w:spacing w:line="360" w:lineRule="auto"/>
        <w:jc w:val="both"/>
      </w:pPr>
      <w:r>
        <w:rPr>
          <w:rFonts w:ascii="Book Antiqua" w:eastAsia="Book Antiqua" w:hAnsi="Book Antiqua" w:cs="Book Antiqua"/>
          <w:color w:val="000000"/>
        </w:rPr>
        <w:t xml:space="preserve">To explore in greater depth the underlying mechanisms </w:t>
      </w:r>
      <w:r w:rsidR="006B046E">
        <w:rPr>
          <w:rFonts w:ascii="Book Antiqua" w:eastAsia="Book Antiqua" w:hAnsi="Book Antiqua" w:cs="Book Antiqua"/>
          <w:color w:val="000000"/>
        </w:rPr>
        <w:t>as to</w:t>
      </w:r>
      <w:r>
        <w:rPr>
          <w:rFonts w:ascii="Book Antiqua" w:eastAsia="Book Antiqua" w:hAnsi="Book Antiqua" w:cs="Book Antiqua"/>
          <w:color w:val="000000"/>
        </w:rPr>
        <w:t xml:space="preserve"> why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lead to a better prognosis </w:t>
      </w:r>
      <w:r w:rsidR="006B046E">
        <w:rPr>
          <w:rFonts w:ascii="Book Antiqua" w:eastAsia="Book Antiqua" w:hAnsi="Book Antiqua" w:cs="Book Antiqua"/>
          <w:color w:val="000000"/>
        </w:rPr>
        <w:t>in</w:t>
      </w:r>
      <w:r>
        <w:rPr>
          <w:rFonts w:ascii="Book Antiqua" w:eastAsia="Book Antiqua" w:hAnsi="Book Antiqua" w:cs="Book Antiqua"/>
          <w:color w:val="000000"/>
        </w:rPr>
        <w:t xml:space="preserve"> gastric cancer patients.</w:t>
      </w:r>
    </w:p>
    <w:p w14:paraId="7AC72130" w14:textId="77777777" w:rsidR="00A77B3E" w:rsidRDefault="00A77B3E">
      <w:pPr>
        <w:spacing w:line="360" w:lineRule="auto"/>
        <w:jc w:val="both"/>
      </w:pPr>
    </w:p>
    <w:p w14:paraId="44512E7D" w14:textId="77777777" w:rsidR="00A77B3E" w:rsidRDefault="004325C3">
      <w:pPr>
        <w:spacing w:line="360" w:lineRule="auto"/>
        <w:jc w:val="both"/>
      </w:pPr>
      <w:r>
        <w:rPr>
          <w:rFonts w:ascii="Book Antiqua" w:eastAsia="Book Antiqua" w:hAnsi="Book Antiqua" w:cs="Book Antiqua"/>
          <w:b/>
          <w:i/>
          <w:color w:val="000000"/>
        </w:rPr>
        <w:t>Research methods</w:t>
      </w:r>
    </w:p>
    <w:p w14:paraId="79715B95" w14:textId="77EFAECD" w:rsidR="00A77B3E" w:rsidRDefault="004325C3">
      <w:pPr>
        <w:spacing w:line="360" w:lineRule="auto"/>
        <w:jc w:val="both"/>
      </w:pPr>
      <w:r>
        <w:rPr>
          <w:rFonts w:ascii="Book Antiqua" w:eastAsia="Book Antiqua" w:hAnsi="Book Antiqua" w:cs="Book Antiqua"/>
          <w:color w:val="000000"/>
        </w:rPr>
        <w:t xml:space="preserve">Based on gastric cancer data from </w:t>
      </w:r>
      <w:r w:rsidR="001A438B">
        <w:rPr>
          <w:rFonts w:ascii="Book Antiqua" w:eastAsia="Book Antiqua" w:hAnsi="Book Antiqua" w:cs="Book Antiqua"/>
          <w:color w:val="000000"/>
        </w:rPr>
        <w:t>The Cancer Genome Atlas (</w:t>
      </w:r>
      <w:r>
        <w:rPr>
          <w:rFonts w:ascii="Book Antiqua" w:eastAsia="Book Antiqua" w:hAnsi="Book Antiqua" w:cs="Book Antiqua"/>
          <w:color w:val="000000"/>
        </w:rPr>
        <w:t>TCGA</w:t>
      </w:r>
      <w:r w:rsidR="001A438B">
        <w:rPr>
          <w:rFonts w:ascii="Book Antiqua" w:eastAsia="Book Antiqua" w:hAnsi="Book Antiqua" w:cs="Book Antiqua"/>
          <w:color w:val="000000"/>
        </w:rPr>
        <w:t>)</w:t>
      </w:r>
      <w:r>
        <w:rPr>
          <w:rFonts w:ascii="Book Antiqua" w:eastAsia="Book Antiqua" w:hAnsi="Book Antiqua" w:cs="Book Antiqua"/>
          <w:color w:val="000000"/>
        </w:rPr>
        <w:t xml:space="preserve"> and </w:t>
      </w:r>
      <w:r w:rsidR="001A438B">
        <w:rPr>
          <w:rFonts w:ascii="Book Antiqua" w:eastAsia="Book Antiqua" w:hAnsi="Book Antiqua" w:cs="Book Antiqua"/>
          <w:color w:val="000000"/>
        </w:rPr>
        <w:t>Gene Expression Omnibus (</w:t>
      </w:r>
      <w:r>
        <w:rPr>
          <w:rFonts w:ascii="Book Antiqua" w:eastAsia="Book Antiqua" w:hAnsi="Book Antiqua" w:cs="Book Antiqua"/>
          <w:color w:val="000000"/>
        </w:rPr>
        <w:t>GEO</w:t>
      </w:r>
      <w:r w:rsidR="001A438B">
        <w:rPr>
          <w:rFonts w:ascii="Book Antiqua" w:eastAsia="Book Antiqua" w:hAnsi="Book Antiqua" w:cs="Book Antiqua"/>
          <w:color w:val="000000"/>
        </w:rPr>
        <w:t>)</w:t>
      </w:r>
      <w:r>
        <w:rPr>
          <w:rFonts w:ascii="Book Antiqua" w:eastAsia="Book Antiqua" w:hAnsi="Book Antiqua" w:cs="Book Antiqua"/>
          <w:color w:val="000000"/>
        </w:rPr>
        <w:t xml:space="preserve">, which were performed to explore the relationship between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and prognosis, Cox regression and random survival forest algorithms were applied to search for hub genes. Gene set enrichment analysis was used to elucidate the molecular mechanisms. Single sample </w:t>
      </w:r>
      <w:r w:rsidR="001A438B">
        <w:rPr>
          <w:rFonts w:ascii="Book Antiqua" w:eastAsia="Book Antiqua" w:hAnsi="Book Antiqua" w:cs="Book Antiqua"/>
          <w:color w:val="000000"/>
        </w:rPr>
        <w:t>gene set enrichment a</w:t>
      </w:r>
      <w:r>
        <w:rPr>
          <w:rFonts w:ascii="Book Antiqua" w:eastAsia="Book Antiqua" w:hAnsi="Book Antiqua" w:cs="Book Antiqua"/>
          <w:color w:val="000000"/>
        </w:rPr>
        <w:t>nalysis and EpiDISH were used to assess immune cells infiltration, and ESTIMATE analyzed the tumor microenvironment.</w:t>
      </w:r>
    </w:p>
    <w:p w14:paraId="0CD34BBB" w14:textId="77777777" w:rsidR="00A77B3E" w:rsidRDefault="00A77B3E">
      <w:pPr>
        <w:spacing w:line="360" w:lineRule="auto"/>
        <w:jc w:val="both"/>
      </w:pPr>
    </w:p>
    <w:p w14:paraId="210D0E4A" w14:textId="77777777" w:rsidR="00A77B3E" w:rsidRDefault="004325C3">
      <w:pPr>
        <w:spacing w:line="360" w:lineRule="auto"/>
        <w:jc w:val="both"/>
      </w:pPr>
      <w:r>
        <w:rPr>
          <w:rFonts w:ascii="Book Antiqua" w:eastAsia="Book Antiqua" w:hAnsi="Book Antiqua" w:cs="Book Antiqua"/>
          <w:b/>
          <w:i/>
          <w:color w:val="000000"/>
        </w:rPr>
        <w:t>Research results</w:t>
      </w:r>
    </w:p>
    <w:p w14:paraId="0810E465" w14:textId="0A87832E" w:rsidR="00A77B3E" w:rsidRDefault="004325C3" w:rsidP="001A438B">
      <w:pPr>
        <w:spacing w:line="360" w:lineRule="auto"/>
        <w:jc w:val="both"/>
      </w:pPr>
      <w:r>
        <w:rPr>
          <w:rFonts w:ascii="Book Antiqua" w:eastAsia="Book Antiqua" w:hAnsi="Book Antiqua" w:cs="Book Antiqua"/>
          <w:color w:val="000000"/>
        </w:rPr>
        <w:t xml:space="preserve">Our study shows that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appear to activate the DNA repair and p53 pathways </w:t>
      </w:r>
      <w:r w:rsidR="006B046E">
        <w:rPr>
          <w:rFonts w:ascii="Book Antiqua" w:eastAsia="Book Antiqua" w:hAnsi="Book Antiqua" w:cs="Book Antiqua"/>
          <w:color w:val="000000"/>
        </w:rPr>
        <w:t>and</w:t>
      </w:r>
      <w:r>
        <w:rPr>
          <w:rFonts w:ascii="Book Antiqua" w:eastAsia="Book Antiqua" w:hAnsi="Book Antiqua" w:cs="Book Antiqua"/>
          <w:color w:val="000000"/>
        </w:rPr>
        <w:t xml:space="preserve"> act as an anti-tumor agent. We also identified a key gene, </w:t>
      </w:r>
      <w:r w:rsidRPr="001A438B">
        <w:rPr>
          <w:rFonts w:ascii="Book Antiqua" w:eastAsia="Book Antiqua" w:hAnsi="Book Antiqua" w:cs="Book Antiqua"/>
          <w:i/>
          <w:iCs/>
          <w:color w:val="000000"/>
        </w:rPr>
        <w:t>NPY1R</w:t>
      </w:r>
      <w:r w:rsidR="001A438B">
        <w:rPr>
          <w:rFonts w:ascii="Book Antiqua" w:eastAsia="Book Antiqua" w:hAnsi="Book Antiqua" w:cs="Book Antiqua"/>
          <w:i/>
          <w:iCs/>
          <w:color w:val="000000"/>
        </w:rPr>
        <w:t xml:space="preserve"> </w:t>
      </w:r>
      <w:r w:rsidR="001A438B">
        <w:rPr>
          <w:rFonts w:ascii="Book Antiqua" w:eastAsia="Book Antiqua" w:hAnsi="Book Antiqua" w:cs="Book Antiqua"/>
          <w:color w:val="000000"/>
        </w:rPr>
        <w:t>(neuropeptide Y receptor Y1)</w:t>
      </w:r>
      <w:r>
        <w:rPr>
          <w:rFonts w:ascii="Book Antiqua" w:eastAsia="Book Antiqua" w:hAnsi="Book Antiqua" w:cs="Book Antiqua"/>
          <w:color w:val="000000"/>
        </w:rPr>
        <w:t xml:space="preserve">, with high expression of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predicting a poorer prognosis, which was confirmed in a separate GEO cohort. Further susceptibility analysis also revealed that </w:t>
      </w:r>
      <w:r w:rsidRPr="001A438B">
        <w:rPr>
          <w:rFonts w:ascii="Book Antiqua" w:eastAsia="Book Antiqua" w:hAnsi="Book Antiqua" w:cs="Book Antiqua"/>
          <w:i/>
          <w:iCs/>
          <w:color w:val="000000"/>
        </w:rPr>
        <w:t>NPY1R</w:t>
      </w:r>
      <w:r>
        <w:rPr>
          <w:rFonts w:ascii="Book Antiqua" w:eastAsia="Book Antiqua" w:hAnsi="Book Antiqua" w:cs="Book Antiqua"/>
          <w:color w:val="000000"/>
        </w:rPr>
        <w:t xml:space="preserve"> might be a potential drug target for gastric cancer.</w:t>
      </w:r>
      <w:r w:rsidR="001A438B">
        <w:rPr>
          <w:rFonts w:hint="eastAsia"/>
          <w:lang w:eastAsia="zh-CN"/>
        </w:rPr>
        <w:t xml:space="preserve"> </w:t>
      </w:r>
      <w:r>
        <w:rPr>
          <w:rFonts w:ascii="Book Antiqua" w:eastAsia="Book Antiqua" w:hAnsi="Book Antiqua" w:cs="Book Antiqua"/>
          <w:color w:val="000000"/>
        </w:rPr>
        <w:t xml:space="preserve">In </w:t>
      </w:r>
      <w:r>
        <w:rPr>
          <w:rFonts w:ascii="Book Antiqua" w:eastAsia="Book Antiqua" w:hAnsi="Book Antiqua" w:cs="Book Antiqua"/>
          <w:color w:val="000000"/>
        </w:rPr>
        <w:lastRenderedPageBreak/>
        <w:t>analyzing the tumor microenvironment, we found that immune cells in the mutation group exhibited higher anti-tumor effects. In addition, the tumor mutation burden and cancer stem cells index were also higher in the mutation group.</w:t>
      </w:r>
    </w:p>
    <w:p w14:paraId="0B1698DD" w14:textId="77777777" w:rsidR="00A77B3E" w:rsidRDefault="00A77B3E" w:rsidP="001A438B">
      <w:pPr>
        <w:spacing w:line="360" w:lineRule="auto"/>
        <w:jc w:val="both"/>
      </w:pPr>
    </w:p>
    <w:p w14:paraId="7CF3032A" w14:textId="77777777" w:rsidR="00A77B3E" w:rsidRDefault="004325C3">
      <w:pPr>
        <w:spacing w:line="360" w:lineRule="auto"/>
        <w:jc w:val="both"/>
      </w:pPr>
      <w:r>
        <w:rPr>
          <w:rFonts w:ascii="Book Antiqua" w:eastAsia="Book Antiqua" w:hAnsi="Book Antiqua" w:cs="Book Antiqua"/>
          <w:b/>
          <w:i/>
          <w:color w:val="000000"/>
        </w:rPr>
        <w:t>Research conclusions</w:t>
      </w:r>
    </w:p>
    <w:p w14:paraId="11CD5AE5" w14:textId="0BC03808" w:rsidR="00A77B3E" w:rsidRDefault="004325C3">
      <w:pPr>
        <w:spacing w:line="360" w:lineRule="auto"/>
        <w:jc w:val="both"/>
      </w:pPr>
      <w:r>
        <w:rPr>
          <w:rFonts w:ascii="Book Antiqua" w:eastAsia="Book Antiqua" w:hAnsi="Book Antiqua" w:cs="Book Antiqua"/>
          <w:color w:val="000000"/>
        </w:rPr>
        <w:t xml:space="preserve">By analyzing the gastric cancer data from TCGA and GEO, we speculate that the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 may activate the p53 pathway and DNA repair pathway on the one hand. On the other hand, the tumor microenvironment may be involved, with higher tumor killer cells and lower stromal scores together building the unique tumor microenvironment </w:t>
      </w:r>
      <w:r w:rsidR="006B046E">
        <w:rPr>
          <w:rFonts w:ascii="Book Antiqua" w:eastAsia="Book Antiqua" w:hAnsi="Book Antiqua" w:cs="Book Antiqua"/>
          <w:color w:val="000000"/>
        </w:rPr>
        <w:t>in</w:t>
      </w:r>
      <w:r>
        <w:rPr>
          <w:rFonts w:ascii="Book Antiqua" w:eastAsia="Book Antiqua" w:hAnsi="Book Antiqua" w:cs="Book Antiqua"/>
          <w:color w:val="000000"/>
        </w:rPr>
        <w:t xml:space="preserve"> the mutation group.</w:t>
      </w:r>
    </w:p>
    <w:p w14:paraId="0E24C7C1" w14:textId="77777777" w:rsidR="00A77B3E" w:rsidRDefault="00A77B3E">
      <w:pPr>
        <w:spacing w:line="360" w:lineRule="auto"/>
        <w:jc w:val="both"/>
      </w:pPr>
    </w:p>
    <w:p w14:paraId="340FF24F" w14:textId="77777777" w:rsidR="00A77B3E" w:rsidRDefault="004325C3">
      <w:pPr>
        <w:spacing w:line="360" w:lineRule="auto"/>
        <w:jc w:val="both"/>
      </w:pPr>
      <w:r>
        <w:rPr>
          <w:rFonts w:ascii="Book Antiqua" w:eastAsia="Book Antiqua" w:hAnsi="Book Antiqua" w:cs="Book Antiqua"/>
          <w:b/>
          <w:i/>
          <w:color w:val="000000"/>
        </w:rPr>
        <w:t>Research perspectives</w:t>
      </w:r>
    </w:p>
    <w:p w14:paraId="62CF8734" w14:textId="77777777" w:rsidR="00A77B3E" w:rsidRDefault="004325C3">
      <w:pPr>
        <w:spacing w:line="360" w:lineRule="auto"/>
        <w:jc w:val="both"/>
      </w:pPr>
      <w:r>
        <w:rPr>
          <w:rFonts w:ascii="Book Antiqua" w:eastAsia="Book Antiqua" w:hAnsi="Book Antiqua" w:cs="Book Antiqua"/>
          <w:color w:val="000000"/>
        </w:rPr>
        <w:t xml:space="preserve">In gastric cancer patients, </w:t>
      </w:r>
      <w:r w:rsidRPr="001A438B">
        <w:rPr>
          <w:rFonts w:ascii="Book Antiqua" w:eastAsia="Book Antiqua" w:hAnsi="Book Antiqua" w:cs="Book Antiqua"/>
          <w:i/>
          <w:iCs/>
          <w:color w:val="000000"/>
        </w:rPr>
        <w:t>MUC16</w:t>
      </w:r>
      <w:r>
        <w:rPr>
          <w:rFonts w:ascii="Book Antiqua" w:eastAsia="Book Antiqua" w:hAnsi="Book Antiqua" w:cs="Book Antiqua"/>
          <w:color w:val="000000"/>
        </w:rPr>
        <w:t xml:space="preserve"> mutations predict a better prognosis.</w:t>
      </w:r>
    </w:p>
    <w:p w14:paraId="4E82D32C" w14:textId="77777777" w:rsidR="00A77B3E" w:rsidRDefault="00A77B3E">
      <w:pPr>
        <w:spacing w:line="360" w:lineRule="auto"/>
        <w:jc w:val="both"/>
      </w:pPr>
    </w:p>
    <w:p w14:paraId="0BEC0D70" w14:textId="77777777" w:rsidR="00A77B3E" w:rsidRDefault="004325C3">
      <w:pPr>
        <w:spacing w:line="360" w:lineRule="auto"/>
        <w:jc w:val="both"/>
      </w:pPr>
      <w:r>
        <w:rPr>
          <w:rFonts w:ascii="Book Antiqua" w:eastAsia="Book Antiqua" w:hAnsi="Book Antiqua" w:cs="Book Antiqua"/>
          <w:b/>
          <w:color w:val="000000"/>
        </w:rPr>
        <w:t>REFERENCES</w:t>
      </w:r>
    </w:p>
    <w:p w14:paraId="79CC3BFA" w14:textId="77777777" w:rsidR="00A77B3E" w:rsidRDefault="004325C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Zhang J</w:t>
      </w:r>
      <w:r>
        <w:rPr>
          <w:rFonts w:ascii="Book Antiqua" w:eastAsia="Book Antiqua" w:hAnsi="Book Antiqua" w:cs="Book Antiqua"/>
          <w:color w:val="000000"/>
        </w:rPr>
        <w:t xml:space="preserve">, Piao HY, Wang Y, Meng XY, Yang D, Zhao Y, Zheng ZC. To Develop and Validate the Combination of RNA Methylation Regulators for the Prognosis of Patients with Gastric Cancer.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10785-10795 [PMID: 33122917 DOI: 10.2147/OTT.S276239]</w:t>
      </w:r>
    </w:p>
    <w:p w14:paraId="2B25F22A" w14:textId="77777777" w:rsidR="00A77B3E" w:rsidRDefault="004325C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X</w:t>
      </w:r>
      <w:r>
        <w:rPr>
          <w:rFonts w:ascii="Book Antiqua" w:eastAsia="Book Antiqua" w:hAnsi="Book Antiqua" w:cs="Book Antiqua"/>
          <w:color w:val="000000"/>
        </w:rPr>
        <w:t xml:space="preserve">, Zhang D, Jiang F, Shen Y, Li X, Hu X, Wei P, Shen X. Prognostic Prediction Using a Stemness Index-Related Signature in a Cohort of Gastric Cancer. </w:t>
      </w:r>
      <w:r>
        <w:rPr>
          <w:rFonts w:ascii="Book Antiqua" w:eastAsia="Book Antiqua" w:hAnsi="Book Antiqua" w:cs="Book Antiqua"/>
          <w:i/>
          <w:iCs/>
          <w:color w:val="000000"/>
        </w:rPr>
        <w:t>Front Mol Biosci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570702 [PMID: 33134315 DOI: 10.3389/fmolb.2020.570702]</w:t>
      </w:r>
    </w:p>
    <w:p w14:paraId="69C7F0F9" w14:textId="77777777" w:rsidR="00A77B3E" w:rsidRDefault="004325C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367477BE" w14:textId="77777777" w:rsidR="00A77B3E" w:rsidRDefault="004325C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Van Cutsem E</w:t>
      </w:r>
      <w:r>
        <w:rPr>
          <w:rFonts w:ascii="Book Antiqua" w:eastAsia="Book Antiqua" w:hAnsi="Book Antiqua" w:cs="Book Antiqua"/>
          <w:color w:val="000000"/>
        </w:rPr>
        <w:t xml:space="preserve">, Sagaert X, Topal B, Haustermans K, Prenen H. Gastric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2654-2664 [PMID: 27156933 DOI: 10.1016/S0140-6736(16)30354-3]</w:t>
      </w:r>
    </w:p>
    <w:p w14:paraId="2D229475" w14:textId="77777777" w:rsidR="00A77B3E" w:rsidRDefault="004325C3">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Li X</w:t>
      </w:r>
      <w:r>
        <w:rPr>
          <w:rFonts w:ascii="Book Antiqua" w:eastAsia="Book Antiqua" w:hAnsi="Book Antiqua" w:cs="Book Antiqua"/>
          <w:color w:val="000000"/>
        </w:rPr>
        <w:t xml:space="preserve">, Pasche B, Zhang W, Chen K. Association of MUC16 Mutation With Tumor Mutation Load and Outcomes in Patients With Gastric Cancer.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4</w:t>
      </w:r>
      <w:r>
        <w:rPr>
          <w:rFonts w:ascii="Book Antiqua" w:eastAsia="Book Antiqua" w:hAnsi="Book Antiqua" w:cs="Book Antiqua"/>
          <w:color w:val="000000"/>
        </w:rPr>
        <w:t>: 1691-1698 [PMID: 30098163 DOI: 10.1001/jamaoncol.2018.2805]</w:t>
      </w:r>
    </w:p>
    <w:p w14:paraId="22A61D94" w14:textId="77777777" w:rsidR="00A77B3E" w:rsidRDefault="004325C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Kim C</w:t>
      </w:r>
      <w:r>
        <w:rPr>
          <w:rFonts w:ascii="Book Antiqua" w:eastAsia="Book Antiqua" w:hAnsi="Book Antiqua" w:cs="Book Antiqua"/>
          <w:color w:val="000000"/>
        </w:rPr>
        <w:t xml:space="preserve">, Gao R, Sei E, Brandt R, Hartman J, Hatschek T, Crosetto N, Foukakis T, Navin NE. Chemoresistance Evolution in Triple-Negative Breast Cancer Delineated by Single-Cell Sequencing.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879-893.e13 [PMID: 29681456 DOI: 10.1016/j.cell.2018.03.041]</w:t>
      </w:r>
    </w:p>
    <w:p w14:paraId="59C97EC5" w14:textId="77777777" w:rsidR="00A77B3E" w:rsidRDefault="004325C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Karaayvaz M</w:t>
      </w:r>
      <w:r>
        <w:rPr>
          <w:rFonts w:ascii="Book Antiqua" w:eastAsia="Book Antiqua" w:hAnsi="Book Antiqua" w:cs="Book Antiqua"/>
          <w:color w:val="000000"/>
        </w:rPr>
        <w:t xml:space="preserve">, Cristea S, Gillespie SM, Patel AP, Mylvaganam R, Luo CC, Specht MC, Bernstein BE, Michor F, Ellisen LW. Unravelling subclonal heterogeneity and aggressive disease states in TNBC through single-cell RNA-seq.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3588 [PMID: 30181541 DOI: 10.1038/s41467-018-06052-0]</w:t>
      </w:r>
    </w:p>
    <w:p w14:paraId="22113AC3" w14:textId="77777777" w:rsidR="00A77B3E" w:rsidRDefault="004325C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Malta TM</w:t>
      </w:r>
      <w:r>
        <w:rPr>
          <w:rFonts w:ascii="Book Antiqua" w:eastAsia="Book Antiqua" w:hAnsi="Book Antiqua" w:cs="Book Antiqua"/>
          <w:color w:val="000000"/>
        </w:rPr>
        <w:t xml:space="preserve">, Sokolov A, Gentles AJ, Burzykowski T, Poisson L, Weinstein JN, Kamińska B, Huelsken J, Omberg L, Gevaert O, Colaprico A, Czerwińska P, Mazurek S, Mishra L, Heyn H, Krasnitz A, Godwin AK, Lazar AJ; Cancer Genome Atlas Research Network, Stuart JM, Hoadley KA, Laird PW, Noushmehr H, Wiznerowicz M. Machine Learning Identifies Stemness Features Associated with Oncogenic Dedifferentiation.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338-354.e15 [PMID: 29625051 DOI: 10.1016/j.cell.2018.03.034]</w:t>
      </w:r>
    </w:p>
    <w:p w14:paraId="0A081399" w14:textId="77777777" w:rsidR="00A77B3E" w:rsidRDefault="004325C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Yoshihara K</w:t>
      </w:r>
      <w:r>
        <w:rPr>
          <w:rFonts w:ascii="Book Antiqua" w:eastAsia="Book Antiqua" w:hAnsi="Book Antiqua" w:cs="Book Antiqua"/>
          <w:color w:val="000000"/>
        </w:rPr>
        <w:t xml:space="preserve">, Shahmoradgoli M, Martínez E, Vegesna R, Kim H, Torres-Garcia W, Treviño V, Shen H, Laird PW, Levine DA, Carter SL, Getz G, Stemke-Hale K, Mills GB, Verhaak RG. Inferring tumour purity and stromal and immune cell admixture from expression data.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2612 [PMID: 24113773 DOI: 10.1038/ncomms3612]</w:t>
      </w:r>
    </w:p>
    <w:p w14:paraId="72E4965E" w14:textId="77777777" w:rsidR="00A77B3E" w:rsidRDefault="004325C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Jia D</w:t>
      </w:r>
      <w:r>
        <w:rPr>
          <w:rFonts w:ascii="Book Antiqua" w:eastAsia="Book Antiqua" w:hAnsi="Book Antiqua" w:cs="Book Antiqua"/>
          <w:color w:val="000000"/>
        </w:rPr>
        <w:t xml:space="preserve">, Li S, Li D, Xue H, Yang D, Liu Y. Mining TCGA database for genes of prognostic value in glioblastoma microenvironment.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592-605 [PMID: 29676997 DOI: 10.18632/aging.101415]</w:t>
      </w:r>
    </w:p>
    <w:p w14:paraId="4669806B" w14:textId="77777777" w:rsidR="00A77B3E" w:rsidRDefault="004325C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Priedigkeit N</w:t>
      </w:r>
      <w:r>
        <w:rPr>
          <w:rFonts w:ascii="Book Antiqua" w:eastAsia="Book Antiqua" w:hAnsi="Book Antiqua" w:cs="Book Antiqua"/>
          <w:color w:val="000000"/>
        </w:rPr>
        <w:t xml:space="preserve">, Watters RJ, Lucas PC, Basudan A, Bhargava R, Horne W, Kolls JK, Fang Z, Rosenzweig MQ, Brufsky AM, Weiss KR, Oesterreich S, Lee AV. Exome-capture RNA sequencing of decade-old breast cancers and matched decalcified bone metastases.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2017; </w:t>
      </w:r>
      <w:r>
        <w:rPr>
          <w:rFonts w:ascii="Book Antiqua" w:eastAsia="Book Antiqua" w:hAnsi="Book Antiqua" w:cs="Book Antiqua"/>
          <w:b/>
          <w:bCs/>
          <w:color w:val="000000"/>
        </w:rPr>
        <w:t>2</w:t>
      </w:r>
      <w:r>
        <w:rPr>
          <w:rFonts w:ascii="Book Antiqua" w:eastAsia="Book Antiqua" w:hAnsi="Book Antiqua" w:cs="Book Antiqua"/>
          <w:color w:val="000000"/>
        </w:rPr>
        <w:t xml:space="preserve"> [PMID: 28878133 DOI: 10.1172/jci.insight.95703]</w:t>
      </w:r>
    </w:p>
    <w:p w14:paraId="587074D7" w14:textId="77777777" w:rsidR="00A77B3E" w:rsidRDefault="004325C3">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Zeng D</w:t>
      </w:r>
      <w:r>
        <w:rPr>
          <w:rFonts w:ascii="Book Antiqua" w:eastAsia="Book Antiqua" w:hAnsi="Book Antiqua" w:cs="Book Antiqua"/>
          <w:color w:val="000000"/>
        </w:rPr>
        <w:t xml:space="preserve">, Li M, Zhou R, Zhang J, Sun H, Shi M, Bin J, Liao Y, Rao J, Liao W. Tumor Microenvironment Characterization in Gastric Cancer Identifies Prognostic and Immunotherapeutically Relevant Gene Signatures. </w:t>
      </w:r>
      <w:r>
        <w:rPr>
          <w:rFonts w:ascii="Book Antiqua" w:eastAsia="Book Antiqua" w:hAnsi="Book Antiqua" w:cs="Book Antiqua"/>
          <w:i/>
          <w:iCs/>
          <w:color w:val="000000"/>
        </w:rPr>
        <w:t>Cancer Immunol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737-750 [PMID: 30842092 DOI: 10.1158/2326-6066.CIR-18-0436]</w:t>
      </w:r>
    </w:p>
    <w:p w14:paraId="6D3F527D" w14:textId="77777777" w:rsidR="00A77B3E" w:rsidRDefault="004325C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Carbone DP</w:t>
      </w:r>
      <w:r>
        <w:rPr>
          <w:rFonts w:ascii="Book Antiqua" w:eastAsia="Book Antiqua" w:hAnsi="Book Antiqua" w:cs="Book Antiqua"/>
          <w:color w:val="000000"/>
        </w:rPr>
        <w:t xml:space="preserve">, Reck M, Paz-Ares L, Creelan B, Horn L, Steins M, Felip E, van den Heuvel MM, Ciuleanu TE, Badin F, Ready N, Hiltermann TJN, Nair S, Juergens R, Peters S, Minenza E, Wrangle JM, Rodriguez-Abreu D, Borghaei H, Blumenschein GR Jr, Villaruz LC, Havel L, Krejci J, Corral Jaime J, Chang H, Geese WJ, Bhagavatheeswaran P, Chen AC, Socinski MA; CheckMate 026 Investigators. First-Line Nivolumab in Stage IV or Recurrent Non-Small-Cell Lung Cancer.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2415-2426 [PMID: 28636851 DOI: 10.1056/NEJMoa1613493]</w:t>
      </w:r>
    </w:p>
    <w:p w14:paraId="314C8550" w14:textId="77777777" w:rsidR="00A77B3E" w:rsidRDefault="004325C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Hellmann MD</w:t>
      </w:r>
      <w:r>
        <w:rPr>
          <w:rFonts w:ascii="Book Antiqua" w:eastAsia="Book Antiqua" w:hAnsi="Book Antiqua" w:cs="Book Antiqua"/>
          <w:color w:val="000000"/>
        </w:rPr>
        <w:t xml:space="preserve">, Ciuleanu TE, Pluzanski A, Lee JS, Otterson GA, Audigier-Valette C, Minenza E, Linardou H, Burgers S, Salman P, Borghaei H, Ramalingam SS, Brahmer J, Reck M, O'Byrne KJ, Geese WJ, Green G, Chang H, Szustakowski J, Bhagavatheeswaran P, Healey D, Fu Y, Nathan F, Paz-Ares L. Nivolumab plus Ipilimumab in Lung Cancer with a High Tumor Mutational Burden.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2093-2104 [PMID: 29658845 DOI: 10.1056/NEJMoa1801946]</w:t>
      </w:r>
    </w:p>
    <w:p w14:paraId="5FA32A4C" w14:textId="77777777" w:rsidR="00A77B3E" w:rsidRDefault="004325C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Chan TA</w:t>
      </w:r>
      <w:r>
        <w:rPr>
          <w:rFonts w:ascii="Book Antiqua" w:eastAsia="Book Antiqua" w:hAnsi="Book Antiqua" w:cs="Book Antiqua"/>
          <w:color w:val="000000"/>
        </w:rPr>
        <w:t xml:space="preserve">, Wolchok JD, Snyder A. Genetic Basis for Clinical Response to CTLA-4 Blockade in Melanoma.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1984 [PMID: 26559592 DOI: 10.1056/NEJMc1508163]</w:t>
      </w:r>
    </w:p>
    <w:p w14:paraId="119A9674" w14:textId="77777777" w:rsidR="00A77B3E" w:rsidRDefault="004325C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Yarchoan M</w:t>
      </w:r>
      <w:r>
        <w:rPr>
          <w:rFonts w:ascii="Book Antiqua" w:eastAsia="Book Antiqua" w:hAnsi="Book Antiqua" w:cs="Book Antiqua"/>
          <w:color w:val="000000"/>
        </w:rPr>
        <w:t xml:space="preserve">, Hopkins A, Jaffee EM. Tumor Mutational Burden and Response Rate to PD-1 Inhibition.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2500-2501 [PMID: 29262275 DOI: 10.1056/NEJMc1713444]</w:t>
      </w:r>
    </w:p>
    <w:p w14:paraId="728AA8BE" w14:textId="77777777" w:rsidR="00A77B3E" w:rsidRDefault="004325C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Van Allen EM</w:t>
      </w:r>
      <w:r>
        <w:rPr>
          <w:rFonts w:ascii="Book Antiqua" w:eastAsia="Book Antiqua" w:hAnsi="Book Antiqua" w:cs="Book Antiqua"/>
          <w:color w:val="000000"/>
        </w:rPr>
        <w:t xml:space="preserve">, Miao D, Schilling B, Shukla SA, Blank C, Zimmer L, Sucker A, Hillen U, Foppen MHG, Goldinger SM, Utikal J, Hassel JC, Weide B, Kaehler KC, Loquai C, Mohr P, Gutzmer R, Dummer R, Gabriel S, Wu CJ, Schadendorf D, Garraway LA. Genomic correlates of response to CTLA-4 blockade in metastatic melanoma.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2015; </w:t>
      </w:r>
      <w:r>
        <w:rPr>
          <w:rFonts w:ascii="Book Antiqua" w:eastAsia="Book Antiqua" w:hAnsi="Book Antiqua" w:cs="Book Antiqua"/>
          <w:b/>
          <w:bCs/>
          <w:color w:val="000000"/>
        </w:rPr>
        <w:t>350</w:t>
      </w:r>
      <w:r>
        <w:rPr>
          <w:rFonts w:ascii="Book Antiqua" w:eastAsia="Book Antiqua" w:hAnsi="Book Antiqua" w:cs="Book Antiqua"/>
          <w:color w:val="000000"/>
        </w:rPr>
        <w:t>: 207-211 [PMID: 26359337 DOI: 10.1126/science.aad0095]</w:t>
      </w:r>
    </w:p>
    <w:p w14:paraId="4C78819A" w14:textId="77777777" w:rsidR="00A77B3E" w:rsidRDefault="004325C3">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Sharabi A</w:t>
      </w:r>
      <w:r>
        <w:rPr>
          <w:rFonts w:ascii="Book Antiqua" w:eastAsia="Book Antiqua" w:hAnsi="Book Antiqua" w:cs="Book Antiqua"/>
          <w:color w:val="000000"/>
        </w:rPr>
        <w:t xml:space="preserve">, Kim SS, Kato S, Sanders PD, Patel SP, Sanghvi P, Weihe E, Kurzrock R. Exceptional Response to Nivolumab and Stereotactic Body Radiation Therapy (SBRT) in Neuroendocrine Cervical Carcinoma with High Tumor Mutational Burden: Management Considerations from the Center For Personalized Cancer Therapy at UC San Diego Moores Cancer Center.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631-637 [PMID: 28550027 DOI: 10.1634/theoncologist.2016-0517]</w:t>
      </w:r>
    </w:p>
    <w:p w14:paraId="4610BF18" w14:textId="77777777" w:rsidR="00A77B3E" w:rsidRDefault="004325C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Domingo E</w:t>
      </w:r>
      <w:r>
        <w:rPr>
          <w:rFonts w:ascii="Book Antiqua" w:eastAsia="Book Antiqua" w:hAnsi="Book Antiqua" w:cs="Book Antiqua"/>
          <w:color w:val="000000"/>
        </w:rPr>
        <w:t xml:space="preserve">, Camps C, Kaisaki PJ, Parsons MJ, Mouradov D, Pentony MM, Makino S, Palmieri M, Ward RL, Hawkins NJ, Gibbs P, Askautrud H, Oukrif D, Wang H, Wood J, Tomlinson E, Bark Y, Kaur K, Johnstone EC, Palles C, Church DN, Novelli M, Danielsen HE, Sherlock J, Kerr D, Kerr R, Sieber O, Taylor JC, Tomlinson I. Mutation burden and other molecular markers of prognosis in colorectal cancer treated with curative intent: results from the QUASAR 2 clinical trial and an Australian community-based series.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w:t>
      </w:r>
      <w:r>
        <w:rPr>
          <w:rFonts w:ascii="Book Antiqua" w:eastAsia="Book Antiqua" w:hAnsi="Book Antiqua" w:cs="Book Antiqua"/>
          <w:color w:val="000000"/>
        </w:rPr>
        <w:t>: 635-643 [PMID: 30042065 DOI: 10.1016/S2468-1253(18)30117-1]</w:t>
      </w:r>
    </w:p>
    <w:p w14:paraId="0B7FE6DF" w14:textId="77777777" w:rsidR="00A77B3E" w:rsidRDefault="004325C3">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Gong Q</w:t>
      </w:r>
      <w:r>
        <w:rPr>
          <w:rFonts w:ascii="Book Antiqua" w:eastAsia="Book Antiqua" w:hAnsi="Book Antiqua" w:cs="Book Antiqua"/>
          <w:color w:val="000000"/>
        </w:rPr>
        <w:t xml:space="preserve">, Wan Q, Li A, Yu Y, Ding X, Lin L, Qi X, Hu L. Development and validation of an immune and stromal prognostic signature in uveal melanoma to guide clinical therapy. </w:t>
      </w:r>
      <w:r>
        <w:rPr>
          <w:rFonts w:ascii="Book Antiqua" w:eastAsia="Book Antiqua" w:hAnsi="Book Antiqua" w:cs="Book Antiqua"/>
          <w:i/>
          <w:iCs/>
          <w:color w:val="000000"/>
        </w:rPr>
        <w:t>Aging (Albany NY)</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20254-20267 [PMID: 33100273 DOI: 10.18632/aging.103779]</w:t>
      </w:r>
    </w:p>
    <w:p w14:paraId="44C8A2BF" w14:textId="77777777" w:rsidR="00A77B3E" w:rsidRDefault="004325C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Aghaalikhani N</w:t>
      </w:r>
      <w:r>
        <w:rPr>
          <w:rFonts w:ascii="Book Antiqua" w:eastAsia="Book Antiqua" w:hAnsi="Book Antiqua" w:cs="Book Antiqua"/>
          <w:color w:val="000000"/>
        </w:rPr>
        <w:t xml:space="preserve">, Rashtchizadeh N, Shadpour P, Allameh A, Mahmoodi M. Cancer stem cells as a therapeutic target in bladder cancer.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3197-3206 [PMID: 30471107 DOI: 10.1002/jcp.26916]</w:t>
      </w:r>
    </w:p>
    <w:p w14:paraId="601859E5" w14:textId="77777777" w:rsidR="00A77B3E" w:rsidRDefault="004325C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Belisle JA</w:t>
      </w:r>
      <w:r>
        <w:rPr>
          <w:rFonts w:ascii="Book Antiqua" w:eastAsia="Book Antiqua" w:hAnsi="Book Antiqua" w:cs="Book Antiqua"/>
          <w:color w:val="000000"/>
        </w:rPr>
        <w:t xml:space="preserve">, Gubbels JA, Raphael CA, Migneault M, Rancourt C, Connor JP, Patankar MS. Peritoneal natural killer cells from epithelial ovarian cancer patients show an altered phenotype and bind to the tumour marker MUC16 (CA125).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122</w:t>
      </w:r>
      <w:r>
        <w:rPr>
          <w:rFonts w:ascii="Book Antiqua" w:eastAsia="Book Antiqua" w:hAnsi="Book Antiqua" w:cs="Book Antiqua"/>
          <w:color w:val="000000"/>
        </w:rPr>
        <w:t>: 418-429 [PMID: 17617155 DOI: 10.1111/j.1365-2567.2007.02660.x]</w:t>
      </w:r>
    </w:p>
    <w:p w14:paraId="213D7E3C" w14:textId="77777777" w:rsidR="00A77B3E" w:rsidRDefault="004325C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Gai XD</w:t>
      </w:r>
      <w:r>
        <w:rPr>
          <w:rFonts w:ascii="Book Antiqua" w:eastAsia="Book Antiqua" w:hAnsi="Book Antiqua" w:cs="Book Antiqua"/>
          <w:color w:val="000000"/>
        </w:rPr>
        <w:t xml:space="preserve">, Song Y, Li C, Lei YM, Yang B. Potential role of plasmacytoid dendritic cells for FOXP3+ regulatory T cell development in human colorectal cancer and tumor draining lymph node. </w:t>
      </w:r>
      <w:r>
        <w:rPr>
          <w:rFonts w:ascii="Book Antiqua" w:eastAsia="Book Antiqua" w:hAnsi="Book Antiqua" w:cs="Book Antiqua"/>
          <w:i/>
          <w:iCs/>
          <w:color w:val="000000"/>
        </w:rPr>
        <w:t>Pathol Res Pract</w:t>
      </w:r>
      <w:r>
        <w:rPr>
          <w:rFonts w:ascii="Book Antiqua" w:eastAsia="Book Antiqua" w:hAnsi="Book Antiqua" w:cs="Book Antiqua"/>
          <w:color w:val="000000"/>
        </w:rPr>
        <w:t xml:space="preserve"> 2013; </w:t>
      </w:r>
      <w:r>
        <w:rPr>
          <w:rFonts w:ascii="Book Antiqua" w:eastAsia="Book Antiqua" w:hAnsi="Book Antiqua" w:cs="Book Antiqua"/>
          <w:b/>
          <w:bCs/>
          <w:color w:val="000000"/>
        </w:rPr>
        <w:t>209</w:t>
      </w:r>
      <w:r>
        <w:rPr>
          <w:rFonts w:ascii="Book Antiqua" w:eastAsia="Book Antiqua" w:hAnsi="Book Antiqua" w:cs="Book Antiqua"/>
          <w:color w:val="000000"/>
        </w:rPr>
        <w:t>: 774-778 [PMID: 24080284 DOI: 10.1016/j.prp.2013.08.011]</w:t>
      </w:r>
    </w:p>
    <w:p w14:paraId="4F2087AE" w14:textId="77777777" w:rsidR="00A77B3E" w:rsidRDefault="004325C3">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Kermani M</w:t>
      </w:r>
      <w:r>
        <w:rPr>
          <w:rFonts w:ascii="Book Antiqua" w:eastAsia="Book Antiqua" w:hAnsi="Book Antiqua" w:cs="Book Antiqua"/>
          <w:color w:val="000000"/>
        </w:rPr>
        <w:t xml:space="preserve">, Eliassi A. Gastric acid secretion induced by paraventricular nucleus microinjection of orexin A is mediated through activation of neuropeptide Yergic system.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2012; </w:t>
      </w:r>
      <w:r>
        <w:rPr>
          <w:rFonts w:ascii="Book Antiqua" w:eastAsia="Book Antiqua" w:hAnsi="Book Antiqua" w:cs="Book Antiqua"/>
          <w:b/>
          <w:bCs/>
          <w:color w:val="000000"/>
        </w:rPr>
        <w:t>226</w:t>
      </w:r>
      <w:r>
        <w:rPr>
          <w:rFonts w:ascii="Book Antiqua" w:eastAsia="Book Antiqua" w:hAnsi="Book Antiqua" w:cs="Book Antiqua"/>
          <w:color w:val="000000"/>
        </w:rPr>
        <w:t>: 81-88 [PMID: 22986171 DOI: 10.1016/j.neuroscience.2012.08.052]</w:t>
      </w:r>
    </w:p>
    <w:p w14:paraId="2E020DC8" w14:textId="77777777" w:rsidR="00A77B3E" w:rsidRDefault="004325C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Lee HM</w:t>
      </w:r>
      <w:r>
        <w:rPr>
          <w:rFonts w:ascii="Book Antiqua" w:eastAsia="Book Antiqua" w:hAnsi="Book Antiqua" w:cs="Book Antiqua"/>
          <w:color w:val="000000"/>
        </w:rPr>
        <w:t xml:space="preserve">, Udupi V, Englander EW, Rajaraman S, Coffey RJ Jr, Greeley GH Jr. Stimulatory actions of insulin-like growth factor-I and transforming growth factor-alpha on intestinal neurotensin and peptide YY.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1999; </w:t>
      </w:r>
      <w:r>
        <w:rPr>
          <w:rFonts w:ascii="Book Antiqua" w:eastAsia="Book Antiqua" w:hAnsi="Book Antiqua" w:cs="Book Antiqua"/>
          <w:b/>
          <w:bCs/>
          <w:color w:val="000000"/>
        </w:rPr>
        <w:t>140</w:t>
      </w:r>
      <w:r>
        <w:rPr>
          <w:rFonts w:ascii="Book Antiqua" w:eastAsia="Book Antiqua" w:hAnsi="Book Antiqua" w:cs="Book Antiqua"/>
          <w:color w:val="000000"/>
        </w:rPr>
        <w:t>: 4065-4069 [PMID: 10465277 DOI: 10.1210/endo.140.9.6969]</w:t>
      </w:r>
    </w:p>
    <w:p w14:paraId="1FD776E4" w14:textId="77777777" w:rsidR="00A77B3E" w:rsidRDefault="004325C3">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L</w:t>
      </w:r>
      <w:r>
        <w:rPr>
          <w:rFonts w:ascii="Book Antiqua" w:eastAsia="Book Antiqua" w:hAnsi="Book Antiqua" w:cs="Book Antiqua"/>
          <w:color w:val="000000"/>
        </w:rPr>
        <w:t xml:space="preserve">, Xu Q, Cheng L, Ma C, Xiao L, Xu D, Gao Y, Wang J, Song H. NPY1R is a novel peripheral blood marker predictive of metastasis and prognosis in breast cancer patients.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2015; </w:t>
      </w:r>
      <w:r>
        <w:rPr>
          <w:rFonts w:ascii="Book Antiqua" w:eastAsia="Book Antiqua" w:hAnsi="Book Antiqua" w:cs="Book Antiqua"/>
          <w:b/>
          <w:bCs/>
          <w:color w:val="000000"/>
        </w:rPr>
        <w:t>9</w:t>
      </w:r>
      <w:r>
        <w:rPr>
          <w:rFonts w:ascii="Book Antiqua" w:eastAsia="Book Antiqua" w:hAnsi="Book Antiqua" w:cs="Book Antiqua"/>
          <w:color w:val="000000"/>
        </w:rPr>
        <w:t>: 891-896 [PMID: 25624911 DOI: 10.3892/ol.2014.2721]</w:t>
      </w:r>
    </w:p>
    <w:p w14:paraId="27F8DC60" w14:textId="77777777" w:rsidR="00A77B3E" w:rsidRDefault="004325C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Herbst RS</w:t>
      </w:r>
      <w:r>
        <w:rPr>
          <w:rFonts w:ascii="Book Antiqua" w:eastAsia="Book Antiqua" w:hAnsi="Book Antiqua" w:cs="Book Antiqua"/>
          <w:color w:val="000000"/>
        </w:rPr>
        <w:t xml:space="preserve">, Soria JC, Kowanetz M, Fine GD, Hamid O, Gordon MS, Sosman JA, McDermott DF, Powderly JD, Gettinger SN, Kohrt HE, Horn L, Lawrence DP, Rost S, Leabman M, Xiao Y, Mokatrin A, Koeppen H, Hegde PS, Mellman I, Chen DS, Hodi FS. Predictive correlates of response to the anti-PD-L1 antibody MPDL3280A in cancer patients.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515</w:t>
      </w:r>
      <w:r>
        <w:rPr>
          <w:rFonts w:ascii="Book Antiqua" w:eastAsia="Book Antiqua" w:hAnsi="Book Antiqua" w:cs="Book Antiqua"/>
          <w:color w:val="000000"/>
        </w:rPr>
        <w:t>: 563-567 [PMID: 25428504 DOI: 10.1038/nature14011]</w:t>
      </w:r>
    </w:p>
    <w:p w14:paraId="112B16A9" w14:textId="77777777" w:rsidR="00A77B3E" w:rsidRDefault="004325C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Amano K</w:t>
      </w:r>
      <w:r>
        <w:rPr>
          <w:rFonts w:ascii="Book Antiqua" w:eastAsia="Book Antiqua" w:hAnsi="Book Antiqua" w:cs="Book Antiqua"/>
          <w:color w:val="000000"/>
        </w:rPr>
        <w:t xml:space="preserve">, Hirayama M, Azuma E, Iwamoto S, Keida Y, Komada Y. Neutrophils induced licensing of natural killer cells. </w:t>
      </w:r>
      <w:r>
        <w:rPr>
          <w:rFonts w:ascii="Book Antiqua" w:eastAsia="Book Antiqua" w:hAnsi="Book Antiqua" w:cs="Book Antiqua"/>
          <w:i/>
          <w:iCs/>
          <w:color w:val="000000"/>
        </w:rPr>
        <w:t>Mediators Inflamm</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747680 [PMID: 25977601 DOI: 10.1155/2015/747680]</w:t>
      </w:r>
    </w:p>
    <w:p w14:paraId="3D110552" w14:textId="77777777" w:rsidR="00A77B3E" w:rsidRDefault="004325C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Spörri R</w:t>
      </w:r>
      <w:r>
        <w:rPr>
          <w:rFonts w:ascii="Book Antiqua" w:eastAsia="Book Antiqua" w:hAnsi="Book Antiqua" w:cs="Book Antiqua"/>
          <w:color w:val="000000"/>
        </w:rPr>
        <w:t xml:space="preserve">, Joller N, Hilbi H, Oxenius A. A novel role for neutrophils as critical activators of NK cells.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181</w:t>
      </w:r>
      <w:r>
        <w:rPr>
          <w:rFonts w:ascii="Book Antiqua" w:eastAsia="Book Antiqua" w:hAnsi="Book Antiqua" w:cs="Book Antiqua"/>
          <w:color w:val="000000"/>
        </w:rPr>
        <w:t>: 7121-7130 [PMID: 18981133 DOI: 10.4049/jimmunol.181.10.7121]</w:t>
      </w:r>
    </w:p>
    <w:p w14:paraId="5105EFE8" w14:textId="77777777" w:rsidR="00A77B3E" w:rsidRDefault="004325C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Tan W</w:t>
      </w:r>
      <w:r>
        <w:rPr>
          <w:rFonts w:ascii="Book Antiqua" w:eastAsia="Book Antiqua" w:hAnsi="Book Antiqua" w:cs="Book Antiqua"/>
          <w:color w:val="000000"/>
        </w:rPr>
        <w:t xml:space="preserve">, Zhang W, Strasner A, Grivennikov S, Cheng JQ, Hoffman RM, Karin M. Tumour-infiltrating regulatory T cells stimulate mammary cancer metastasis through RANKL-RANK signalling.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470</w:t>
      </w:r>
      <w:r>
        <w:rPr>
          <w:rFonts w:ascii="Book Antiqua" w:eastAsia="Book Antiqua" w:hAnsi="Book Antiqua" w:cs="Book Antiqua"/>
          <w:color w:val="000000"/>
        </w:rPr>
        <w:t>: 548-553 [PMID: 21326202 DOI: 10.1038/nature09707]</w:t>
      </w:r>
    </w:p>
    <w:p w14:paraId="6BD17E4E" w14:textId="77777777" w:rsidR="00A77B3E" w:rsidRDefault="004325C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Knief J</w:t>
      </w:r>
      <w:r>
        <w:rPr>
          <w:rFonts w:ascii="Book Antiqua" w:eastAsia="Book Antiqua" w:hAnsi="Book Antiqua" w:cs="Book Antiqua"/>
          <w:color w:val="000000"/>
        </w:rPr>
        <w:t xml:space="preserve">, Reddemann K, Petrova E, Herhahn T, Wellner U, Thorns C. High Density of Tumor-infiltrating B-Lymphocytes and Plasma Cells Signifies Prolonged Overall </w:t>
      </w:r>
      <w:r>
        <w:rPr>
          <w:rFonts w:ascii="Book Antiqua" w:eastAsia="Book Antiqua" w:hAnsi="Book Antiqua" w:cs="Book Antiqua"/>
          <w:color w:val="000000"/>
        </w:rPr>
        <w:lastRenderedPageBreak/>
        <w:t xml:space="preserve">Survival in Adenocarcinoma of the Esophagogastric Junction.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5339-5345 [PMID: 27798897 DOI: 10.21873/anticanres.11107]</w:t>
      </w:r>
    </w:p>
    <w:p w14:paraId="5EE76D2C" w14:textId="77777777" w:rsidR="00A77B3E" w:rsidRDefault="004325C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Iseki H</w:t>
      </w:r>
      <w:r>
        <w:rPr>
          <w:rFonts w:ascii="Book Antiqua" w:eastAsia="Book Antiqua" w:hAnsi="Book Antiqua" w:cs="Book Antiqua"/>
          <w:color w:val="000000"/>
        </w:rPr>
        <w:t xml:space="preserve">, Ko TC, Xue XY, Seapan A, Hellmich MR, Townsend CM Jr. Cyclin-dependent kinase inhibitors block proliferation of human gastric cancer cells.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1997; </w:t>
      </w:r>
      <w:r>
        <w:rPr>
          <w:rFonts w:ascii="Book Antiqua" w:eastAsia="Book Antiqua" w:hAnsi="Book Antiqua" w:cs="Book Antiqua"/>
          <w:b/>
          <w:bCs/>
          <w:color w:val="000000"/>
        </w:rPr>
        <w:t>122</w:t>
      </w:r>
      <w:r>
        <w:rPr>
          <w:rFonts w:ascii="Book Antiqua" w:eastAsia="Book Antiqua" w:hAnsi="Book Antiqua" w:cs="Book Antiqua"/>
          <w:color w:val="000000"/>
        </w:rPr>
        <w:t>: 187-94; discussion 194-5 [PMID: 9288122 DOI: 10.1016/s0039-6060(97)90008-8]</w:t>
      </w:r>
    </w:p>
    <w:p w14:paraId="6F540E1E" w14:textId="77777777" w:rsidR="00A77B3E" w:rsidRDefault="004325C3">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Wesierska-Gadek J</w:t>
      </w:r>
      <w:r>
        <w:rPr>
          <w:rFonts w:ascii="Book Antiqua" w:eastAsia="Book Antiqua" w:hAnsi="Book Antiqua" w:cs="Book Antiqua"/>
          <w:color w:val="000000"/>
        </w:rPr>
        <w:t xml:space="preserve">, Wandl S, Kramer MP, Pickem C, Krystof V, Hajek SB. Roscovitine up-regulates p53 protein and induces apoptosis in human HeLaS(3) cervix carcinoma cells.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1161-1171 [PMID: 18846503 DOI: 10.1002/jcb.21903]</w:t>
      </w:r>
    </w:p>
    <w:p w14:paraId="06AE8CA3" w14:textId="77777777" w:rsidR="00A77B3E" w:rsidRDefault="004325C3">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Paprskárová M</w:t>
      </w:r>
      <w:r>
        <w:rPr>
          <w:rFonts w:ascii="Book Antiqua" w:eastAsia="Book Antiqua" w:hAnsi="Book Antiqua" w:cs="Book Antiqua"/>
          <w:color w:val="000000"/>
        </w:rPr>
        <w:t xml:space="preserve">, Krystof V, Jorda R, Dzubák P, Hajdúch M, Wesierska-Gadek J, Strnad M. Functional p53 in cells contributes to the anticancer effect of the cyclin-dependent kinase inhibitor roscovitine. </w:t>
      </w:r>
      <w:r>
        <w:rPr>
          <w:rFonts w:ascii="Book Antiqua" w:eastAsia="Book Antiqua" w:hAnsi="Book Antiqua" w:cs="Book Antiqua"/>
          <w:i/>
          <w:iCs/>
          <w:color w:val="000000"/>
        </w:rPr>
        <w:t>J Cell Biochem</w:t>
      </w:r>
      <w:r>
        <w:rPr>
          <w:rFonts w:ascii="Book Antiqua" w:eastAsia="Book Antiqua" w:hAnsi="Book Antiqua" w:cs="Book Antiqua"/>
          <w:color w:val="000000"/>
        </w:rPr>
        <w:t xml:space="preserve"> 2009; </w:t>
      </w:r>
      <w:r>
        <w:rPr>
          <w:rFonts w:ascii="Book Antiqua" w:eastAsia="Book Antiqua" w:hAnsi="Book Antiqua" w:cs="Book Antiqua"/>
          <w:b/>
          <w:bCs/>
          <w:color w:val="000000"/>
        </w:rPr>
        <w:t>107</w:t>
      </w:r>
      <w:r>
        <w:rPr>
          <w:rFonts w:ascii="Book Antiqua" w:eastAsia="Book Antiqua" w:hAnsi="Book Antiqua" w:cs="Book Antiqua"/>
          <w:color w:val="000000"/>
        </w:rPr>
        <w:t>: 428-437 [PMID: 19308936 DOI: 10.1002/jcb.22139]</w:t>
      </w:r>
    </w:p>
    <w:p w14:paraId="715606E1" w14:textId="77777777" w:rsidR="00A77B3E" w:rsidRDefault="004325C3">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He GH</w:t>
      </w:r>
      <w:r>
        <w:rPr>
          <w:rFonts w:ascii="Book Antiqua" w:eastAsia="Book Antiqua" w:hAnsi="Book Antiqua" w:cs="Book Antiqua"/>
          <w:color w:val="000000"/>
        </w:rPr>
        <w:t xml:space="preserve">, Helbing CC, Wagner MJ, Sensen CW, Riabowol K. Phylogenetic analysis of the ING family of PHD finger proteins. </w:t>
      </w:r>
      <w:r>
        <w:rPr>
          <w:rFonts w:ascii="Book Antiqua" w:eastAsia="Book Antiqua" w:hAnsi="Book Antiqua" w:cs="Book Antiqua"/>
          <w:i/>
          <w:iCs/>
          <w:color w:val="000000"/>
        </w:rPr>
        <w:t>Mol Biol Evol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22</w:t>
      </w:r>
      <w:r>
        <w:rPr>
          <w:rFonts w:ascii="Book Antiqua" w:eastAsia="Book Antiqua" w:hAnsi="Book Antiqua" w:cs="Book Antiqua"/>
          <w:color w:val="000000"/>
        </w:rPr>
        <w:t>: 104-116 [PMID: 15356280 DOI: 10.1093/molbev/msh256]</w:t>
      </w:r>
    </w:p>
    <w:p w14:paraId="0C52D263" w14:textId="77777777" w:rsidR="00A77B3E" w:rsidRDefault="004325C3">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Ohkouchi C</w:t>
      </w:r>
      <w:r>
        <w:rPr>
          <w:rFonts w:ascii="Book Antiqua" w:eastAsia="Book Antiqua" w:hAnsi="Book Antiqua" w:cs="Book Antiqua"/>
          <w:color w:val="000000"/>
        </w:rPr>
        <w:t>, Kumamoto K, Saito M, Ishigame T, Suzuki SI, Takenoshita S, Harris CC. ING2, a tumor associated gene, enhances PAI</w:t>
      </w:r>
      <w:r>
        <w:rPr>
          <w:rFonts w:ascii="Book Antiqua" w:eastAsia="Book Antiqua" w:hAnsi="Book Antiqua" w:cs="Book Antiqua"/>
          <w:color w:val="000000"/>
        </w:rPr>
        <w:noBreakHyphen/>
        <w:t>1 and HSPA1A expression with HDAC1 and mSin3A through the PHD domain and C</w:t>
      </w:r>
      <w:r>
        <w:rPr>
          <w:rFonts w:ascii="Book Antiqua" w:eastAsia="Book Antiqua" w:hAnsi="Book Antiqua" w:cs="Book Antiqua"/>
          <w:color w:val="000000"/>
        </w:rPr>
        <w:noBreakHyphen/>
        <w:t xml:space="preserve">terminal.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7367-7374 [PMID: 28944862 DOI: 10.3892/mmr.2017.7553]</w:t>
      </w:r>
    </w:p>
    <w:p w14:paraId="605DE220" w14:textId="77777777" w:rsidR="00A77B3E" w:rsidRDefault="004325C3">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Okano T</w:t>
      </w:r>
      <w:r>
        <w:rPr>
          <w:rFonts w:ascii="Book Antiqua" w:eastAsia="Book Antiqua" w:hAnsi="Book Antiqua" w:cs="Book Antiqua"/>
          <w:color w:val="000000"/>
        </w:rPr>
        <w:t xml:space="preserve">, Gemma A, Hosoya Y, Hosomi Y, Nara M, Kokubo Y, Yoshimura A, Shibuya M, Nagashima M, Harris CC, Kudoh S. Alterations in novel candidate tumor suppressor genes, ING1 and ING2 in human lung cancer.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545-549 [PMID: 16465410]</w:t>
      </w:r>
    </w:p>
    <w:p w14:paraId="0CB8CE61" w14:textId="77777777" w:rsidR="00A77B3E" w:rsidRDefault="004325C3">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Zhang HK</w:t>
      </w:r>
      <w:r>
        <w:rPr>
          <w:rFonts w:ascii="Book Antiqua" w:eastAsia="Book Antiqua" w:hAnsi="Book Antiqua" w:cs="Book Antiqua"/>
          <w:color w:val="000000"/>
        </w:rPr>
        <w:t xml:space="preserve">, Pan K, Wang H, Weng DS, Song HF, Zhou J, Huang W, Li JJ, Chen MS, Xia JC. Decreased expression of ING2 gene and its clinicopathological significance in hepatocellular 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2008; </w:t>
      </w:r>
      <w:r>
        <w:rPr>
          <w:rFonts w:ascii="Book Antiqua" w:eastAsia="Book Antiqua" w:hAnsi="Book Antiqua" w:cs="Book Antiqua"/>
          <w:b/>
          <w:bCs/>
          <w:color w:val="000000"/>
        </w:rPr>
        <w:t>261</w:t>
      </w:r>
      <w:r>
        <w:rPr>
          <w:rFonts w:ascii="Book Antiqua" w:eastAsia="Book Antiqua" w:hAnsi="Book Antiqua" w:cs="Book Antiqua"/>
          <w:color w:val="000000"/>
        </w:rPr>
        <w:t>: 183-192 [PMID: 18160212 DOI: 10.1016/j.canlet.2007.11.019]</w:t>
      </w:r>
    </w:p>
    <w:p w14:paraId="28D2102B" w14:textId="77777777" w:rsidR="00A77B3E" w:rsidRDefault="004325C3">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Walzak AA</w:t>
      </w:r>
      <w:r>
        <w:rPr>
          <w:rFonts w:ascii="Book Antiqua" w:eastAsia="Book Antiqua" w:hAnsi="Book Antiqua" w:cs="Book Antiqua"/>
          <w:color w:val="000000"/>
        </w:rPr>
        <w:t xml:space="preserve">, Veldhoen N, Feng X, Riabowol K, Helbing CC. Expression profiles of mRNA transcript variants encoding the human inhibitor of growth tumor suppressor gene family in normal and neoplastic tissues.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314</w:t>
      </w:r>
      <w:r>
        <w:rPr>
          <w:rFonts w:ascii="Book Antiqua" w:eastAsia="Book Antiqua" w:hAnsi="Book Antiqua" w:cs="Book Antiqua"/>
          <w:color w:val="000000"/>
        </w:rPr>
        <w:t>: 273-285 [PMID: 17720155 DOI: 10.1016/j.yexcr.2007.07.029]</w:t>
      </w:r>
    </w:p>
    <w:p w14:paraId="1DC30C8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C54946" w14:textId="77777777" w:rsidR="00A77B3E" w:rsidRDefault="004325C3">
      <w:pPr>
        <w:spacing w:line="360" w:lineRule="auto"/>
        <w:jc w:val="both"/>
      </w:pPr>
      <w:r>
        <w:rPr>
          <w:rFonts w:ascii="Book Antiqua" w:eastAsia="Book Antiqua" w:hAnsi="Book Antiqua" w:cs="Book Antiqua"/>
          <w:b/>
          <w:color w:val="000000"/>
        </w:rPr>
        <w:lastRenderedPageBreak/>
        <w:t>Footnotes</w:t>
      </w:r>
    </w:p>
    <w:p w14:paraId="5198EA48" w14:textId="77777777" w:rsidR="00A77B3E" w:rsidRDefault="004325C3" w:rsidP="001A438B">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This study was a bioinformatics study, and the data used was downloaded from a public database, so the study did not require the approval of the ethics committee.</w:t>
      </w:r>
    </w:p>
    <w:p w14:paraId="72609C8D" w14:textId="77777777" w:rsidR="00A77B3E" w:rsidRDefault="00A77B3E" w:rsidP="001A438B">
      <w:pPr>
        <w:spacing w:line="360" w:lineRule="auto"/>
        <w:jc w:val="both"/>
      </w:pPr>
    </w:p>
    <w:p w14:paraId="7F62C99A" w14:textId="77777777" w:rsidR="00A77B3E" w:rsidRDefault="004325C3">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1"/>
        </w:rPr>
        <w:t>This research did not involve any human or animal experiments, and the data used was downloaded from a public database, so the study did not require the informed consent.</w:t>
      </w:r>
    </w:p>
    <w:p w14:paraId="0BDD06DE" w14:textId="77777777" w:rsidR="00A77B3E" w:rsidRDefault="00A77B3E">
      <w:pPr>
        <w:spacing w:line="360" w:lineRule="auto"/>
        <w:jc w:val="both"/>
      </w:pPr>
    </w:p>
    <w:p w14:paraId="395D381C" w14:textId="77777777" w:rsidR="00A77B3E" w:rsidRDefault="004325C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None declared.</w:t>
      </w:r>
    </w:p>
    <w:p w14:paraId="483E4C42" w14:textId="77777777" w:rsidR="00A77B3E" w:rsidRDefault="00A77B3E">
      <w:pPr>
        <w:spacing w:line="360" w:lineRule="auto"/>
        <w:jc w:val="both"/>
      </w:pPr>
    </w:p>
    <w:p w14:paraId="190061C3" w14:textId="77777777" w:rsidR="00A77B3E" w:rsidRDefault="004325C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EB32AE4" w14:textId="77777777" w:rsidR="00A77B3E" w:rsidRDefault="00A77B3E">
      <w:pPr>
        <w:spacing w:line="360" w:lineRule="auto"/>
        <w:jc w:val="both"/>
      </w:pPr>
    </w:p>
    <w:p w14:paraId="7A813761" w14:textId="77777777" w:rsidR="00A77B3E" w:rsidRDefault="004325C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367A2D" w14:textId="77777777" w:rsidR="00A77B3E" w:rsidRDefault="00A77B3E">
      <w:pPr>
        <w:spacing w:line="360" w:lineRule="auto"/>
        <w:jc w:val="both"/>
      </w:pPr>
    </w:p>
    <w:p w14:paraId="26F9E698" w14:textId="3BB0E6B4" w:rsidR="00A77B3E" w:rsidRDefault="004325C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1E23FE">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C100B51" w14:textId="77777777" w:rsidR="00A77B3E" w:rsidRDefault="00A77B3E">
      <w:pPr>
        <w:spacing w:line="360" w:lineRule="auto"/>
        <w:jc w:val="both"/>
      </w:pPr>
    </w:p>
    <w:p w14:paraId="6E8F01CF" w14:textId="77777777" w:rsidR="00A77B3E" w:rsidRDefault="004325C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28, 2020</w:t>
      </w:r>
    </w:p>
    <w:p w14:paraId="7F4544CD" w14:textId="77777777" w:rsidR="00A77B3E" w:rsidRDefault="004325C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1F6D6E2D" w14:textId="180C55EB" w:rsidR="00A77B3E" w:rsidRDefault="004325C3">
      <w:pPr>
        <w:spacing w:line="360" w:lineRule="auto"/>
        <w:jc w:val="both"/>
      </w:pPr>
      <w:r>
        <w:rPr>
          <w:rFonts w:ascii="Book Antiqua" w:eastAsia="Book Antiqua" w:hAnsi="Book Antiqua" w:cs="Book Antiqua"/>
          <w:b/>
          <w:color w:val="000000"/>
        </w:rPr>
        <w:t>Article in press:</w:t>
      </w:r>
      <w:r w:rsidR="00E60828">
        <w:rPr>
          <w:rFonts w:ascii="Book Antiqua" w:hAnsi="Book Antiqua" w:cs="Book Antiqua" w:hint="eastAsia"/>
          <w:b/>
          <w:color w:val="000000"/>
          <w:lang w:eastAsia="zh-CN"/>
        </w:rPr>
        <w:t xml:space="preserve"> </w:t>
      </w:r>
      <w:r w:rsidR="00E60828" w:rsidRPr="0011413C">
        <w:rPr>
          <w:rFonts w:ascii="Book Antiqua" w:eastAsia="Book Antiqua" w:hAnsi="Book Antiqua" w:cs="Book Antiqua"/>
          <w:color w:val="000000"/>
        </w:rPr>
        <w:t>March 5, 2021</w:t>
      </w:r>
      <w:r>
        <w:rPr>
          <w:rFonts w:ascii="Book Antiqua" w:eastAsia="Book Antiqua" w:hAnsi="Book Antiqua" w:cs="Book Antiqua"/>
          <w:b/>
          <w:color w:val="000000"/>
        </w:rPr>
        <w:t xml:space="preserve"> </w:t>
      </w:r>
    </w:p>
    <w:p w14:paraId="44287802" w14:textId="77777777" w:rsidR="00A77B3E" w:rsidRDefault="00A77B3E">
      <w:pPr>
        <w:spacing w:line="360" w:lineRule="auto"/>
        <w:jc w:val="both"/>
      </w:pPr>
    </w:p>
    <w:p w14:paraId="5F90BF63" w14:textId="710B2333" w:rsidR="00A77B3E" w:rsidRDefault="004325C3">
      <w:pPr>
        <w:spacing w:line="360" w:lineRule="auto"/>
        <w:jc w:val="both"/>
      </w:pPr>
      <w:r>
        <w:rPr>
          <w:rFonts w:ascii="Book Antiqua" w:eastAsia="Book Antiqua" w:hAnsi="Book Antiqua" w:cs="Book Antiqua"/>
          <w:b/>
          <w:color w:val="000000"/>
        </w:rPr>
        <w:t xml:space="preserve">Specialty type: </w:t>
      </w:r>
      <w:r w:rsidR="001E23FE" w:rsidRPr="00E700C2">
        <w:rPr>
          <w:rFonts w:ascii="Book Antiqua" w:eastAsia="微软雅黑" w:hAnsi="Book Antiqua" w:cs="宋体"/>
        </w:rPr>
        <w:t>Medicine, research and experimental</w:t>
      </w:r>
    </w:p>
    <w:p w14:paraId="4F0B30ED" w14:textId="77777777" w:rsidR="00A77B3E" w:rsidRDefault="004325C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B60C684" w14:textId="77777777" w:rsidR="00A77B3E" w:rsidRDefault="004325C3">
      <w:pPr>
        <w:spacing w:line="360" w:lineRule="auto"/>
        <w:jc w:val="both"/>
      </w:pPr>
      <w:r>
        <w:rPr>
          <w:rFonts w:ascii="Book Antiqua" w:eastAsia="Book Antiqua" w:hAnsi="Book Antiqua" w:cs="Book Antiqua"/>
          <w:b/>
          <w:color w:val="000000"/>
        </w:rPr>
        <w:lastRenderedPageBreak/>
        <w:t>Peer-review report’s scientific quality classification</w:t>
      </w:r>
    </w:p>
    <w:p w14:paraId="4AACAEAA" w14:textId="77777777" w:rsidR="00A77B3E" w:rsidRDefault="004325C3">
      <w:pPr>
        <w:spacing w:line="360" w:lineRule="auto"/>
        <w:jc w:val="both"/>
      </w:pPr>
      <w:r>
        <w:rPr>
          <w:rFonts w:ascii="Book Antiqua" w:eastAsia="Book Antiqua" w:hAnsi="Book Antiqua" w:cs="Book Antiqua"/>
          <w:color w:val="000000"/>
        </w:rPr>
        <w:t>Grade A (Excellent): A</w:t>
      </w:r>
    </w:p>
    <w:p w14:paraId="5DB57B36" w14:textId="77777777" w:rsidR="00A77B3E" w:rsidRDefault="004325C3">
      <w:pPr>
        <w:spacing w:line="360" w:lineRule="auto"/>
        <w:jc w:val="both"/>
      </w:pPr>
      <w:r>
        <w:rPr>
          <w:rFonts w:ascii="Book Antiqua" w:eastAsia="Book Antiqua" w:hAnsi="Book Antiqua" w:cs="Book Antiqua"/>
          <w:color w:val="000000"/>
        </w:rPr>
        <w:t>Grade B (Very good): 0</w:t>
      </w:r>
    </w:p>
    <w:p w14:paraId="16449D16" w14:textId="77777777" w:rsidR="00A77B3E" w:rsidRDefault="004325C3">
      <w:pPr>
        <w:spacing w:line="360" w:lineRule="auto"/>
        <w:jc w:val="both"/>
      </w:pPr>
      <w:r>
        <w:rPr>
          <w:rFonts w:ascii="Book Antiqua" w:eastAsia="Book Antiqua" w:hAnsi="Book Antiqua" w:cs="Book Antiqua"/>
          <w:color w:val="000000"/>
        </w:rPr>
        <w:t>Grade C (Good): 0</w:t>
      </w:r>
    </w:p>
    <w:p w14:paraId="614B1FFE" w14:textId="77777777" w:rsidR="00A77B3E" w:rsidRDefault="004325C3">
      <w:pPr>
        <w:spacing w:line="360" w:lineRule="auto"/>
        <w:jc w:val="both"/>
      </w:pPr>
      <w:r>
        <w:rPr>
          <w:rFonts w:ascii="Book Antiqua" w:eastAsia="Book Antiqua" w:hAnsi="Book Antiqua" w:cs="Book Antiqua"/>
          <w:color w:val="000000"/>
        </w:rPr>
        <w:t>Grade D (Fair): 0</w:t>
      </w:r>
    </w:p>
    <w:p w14:paraId="1A174CA9" w14:textId="77777777" w:rsidR="00A77B3E" w:rsidRDefault="004325C3">
      <w:pPr>
        <w:spacing w:line="360" w:lineRule="auto"/>
        <w:jc w:val="both"/>
      </w:pPr>
      <w:r>
        <w:rPr>
          <w:rFonts w:ascii="Book Antiqua" w:eastAsia="Book Antiqua" w:hAnsi="Book Antiqua" w:cs="Book Antiqua"/>
          <w:color w:val="000000"/>
        </w:rPr>
        <w:t>Grade E (Poor): E</w:t>
      </w:r>
    </w:p>
    <w:p w14:paraId="0AE4ACC4" w14:textId="77777777" w:rsidR="00A77B3E" w:rsidRDefault="00A77B3E">
      <w:pPr>
        <w:spacing w:line="360" w:lineRule="auto"/>
        <w:jc w:val="both"/>
      </w:pPr>
    </w:p>
    <w:p w14:paraId="01C4859E" w14:textId="243B7C72" w:rsidR="00A77B3E" w:rsidRDefault="004325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da Costa AC, Liu Z</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6B046E">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E60828">
        <w:rPr>
          <w:rFonts w:ascii="Book Antiqua" w:hAnsi="Book Antiqua" w:cs="Book Antiqua" w:hint="eastAsia"/>
          <w:b/>
          <w:color w:val="000000"/>
          <w:lang w:eastAsia="zh-CN"/>
        </w:rPr>
        <w:t xml:space="preserve"> </w:t>
      </w:r>
      <w:r w:rsidR="00E60828" w:rsidRPr="00E60F36">
        <w:rPr>
          <w:rFonts w:ascii="Book Antiqua" w:hAnsi="Book Antiqua"/>
          <w:bCs/>
        </w:rPr>
        <w:t>Zhang</w:t>
      </w:r>
      <w:r w:rsidR="00E60828">
        <w:rPr>
          <w:rFonts w:ascii="Book Antiqua" w:hAnsi="Book Antiqua"/>
          <w:bCs/>
        </w:rPr>
        <w:t xml:space="preserve"> </w:t>
      </w:r>
      <w:r w:rsidR="00E60828" w:rsidRPr="00E60F36">
        <w:rPr>
          <w:rFonts w:ascii="Book Antiqua" w:hAnsi="Book Antiqua"/>
          <w:bCs/>
        </w:rPr>
        <w:t>YL</w:t>
      </w:r>
      <w:r>
        <w:rPr>
          <w:rFonts w:ascii="Book Antiqua" w:eastAsia="Book Antiqua" w:hAnsi="Book Antiqua" w:cs="Book Antiqua"/>
          <w:b/>
          <w:color w:val="000000"/>
        </w:rPr>
        <w:t xml:space="preserve"> </w:t>
      </w:r>
    </w:p>
    <w:p w14:paraId="3F143D2F" w14:textId="77777777" w:rsidR="00D3048A" w:rsidRDefault="00D3048A">
      <w:pPr>
        <w:spacing w:line="360" w:lineRule="auto"/>
        <w:jc w:val="both"/>
        <w:sectPr w:rsidR="00D3048A">
          <w:pgSz w:w="12240" w:h="15840"/>
          <w:pgMar w:top="1440" w:right="1440" w:bottom="1440" w:left="1440" w:header="720" w:footer="720" w:gutter="0"/>
          <w:cols w:space="720"/>
          <w:docGrid w:linePitch="360"/>
        </w:sectPr>
      </w:pPr>
    </w:p>
    <w:p w14:paraId="6B46AA87" w14:textId="45A8A656" w:rsidR="00A77B3E" w:rsidRDefault="004325C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2021B1D" w14:textId="6D65352A" w:rsidR="001A438B" w:rsidRDefault="004325C3">
      <w:pPr>
        <w:spacing w:line="360" w:lineRule="auto"/>
        <w:jc w:val="both"/>
      </w:pPr>
      <w:r>
        <w:rPr>
          <w:noProof/>
          <w:lang w:eastAsia="zh-CN"/>
        </w:rPr>
        <w:drawing>
          <wp:inline distT="0" distB="0" distL="0" distR="0" wp14:anchorId="5EB56F03" wp14:editId="7170AF83">
            <wp:extent cx="4824448" cy="496256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4448" cy="4962561"/>
                    </a:xfrm>
                    <a:prstGeom prst="rect">
                      <a:avLst/>
                    </a:prstGeom>
                  </pic:spPr>
                </pic:pic>
              </a:graphicData>
            </a:graphic>
          </wp:inline>
        </w:drawing>
      </w:r>
    </w:p>
    <w:p w14:paraId="1108FCBA" w14:textId="54A3152F" w:rsidR="004325C3"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sidRPr="001A438B">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in relation to prognosis and </w:t>
      </w:r>
      <w:r w:rsidR="001A438B" w:rsidRPr="001A438B">
        <w:rPr>
          <w:rFonts w:ascii="Book Antiqua" w:eastAsia="Book Antiqua" w:hAnsi="Book Antiqua" w:cs="Book Antiqua"/>
          <w:b/>
          <w:bCs/>
          <w:color w:val="000000"/>
        </w:rPr>
        <w:t>tumor mutation burden</w:t>
      </w:r>
      <w:r>
        <w:rPr>
          <w:rFonts w:ascii="Book Antiqua" w:eastAsia="Book Antiqua" w:hAnsi="Book Antiqua" w:cs="Book Antiqua"/>
          <w:b/>
          <w:bCs/>
          <w:color w:val="000000"/>
        </w:rPr>
        <w:t>.</w:t>
      </w:r>
      <w:r w:rsidR="001A438B">
        <w:rPr>
          <w:rFonts w:ascii="Book Antiqua" w:eastAsia="Book Antiqua" w:hAnsi="Book Antiqua" w:cs="Book Antiqua"/>
          <w:color w:val="000000"/>
        </w:rPr>
        <w:t xml:space="preserve"> </w:t>
      </w:r>
      <w:r>
        <w:rPr>
          <w:rFonts w:ascii="Book Antiqua" w:eastAsia="Book Antiqua" w:hAnsi="Book Antiqua" w:cs="Book Antiqua"/>
          <w:color w:val="000000"/>
        </w:rPr>
        <w:t>A: Waterfall plot showing the mutation information for each gene. Each color represents a type of mutation; B: Kaplan-Meier survival analysis was used to assess prognosis, with red representing the mutation group and blue representing the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 C: Boxplot showing the </w:t>
      </w:r>
      <w:r w:rsidR="001A438B">
        <w:rPr>
          <w:rFonts w:ascii="Book Antiqua" w:eastAsia="Book Antiqua" w:hAnsi="Book Antiqua" w:cs="Book Antiqua"/>
          <w:color w:val="000000"/>
        </w:rPr>
        <w:t>tumor mutation burden</w:t>
      </w:r>
      <w:r>
        <w:rPr>
          <w:rFonts w:ascii="Book Antiqua" w:eastAsia="Book Antiqua" w:hAnsi="Book Antiqua" w:cs="Book Antiqua"/>
          <w:color w:val="000000"/>
        </w:rPr>
        <w:t xml:space="preserve"> scores in </w:t>
      </w:r>
      <w:r w:rsidR="006B046E">
        <w:rPr>
          <w:rFonts w:ascii="Book Antiqua" w:eastAsia="Book Antiqua" w:hAnsi="Book Antiqua" w:cs="Book Antiqua"/>
          <w:color w:val="000000"/>
        </w:rPr>
        <w:t xml:space="preserve">the </w:t>
      </w:r>
      <w:r>
        <w:rPr>
          <w:rFonts w:ascii="Book Antiqua" w:eastAsia="Book Antiqua" w:hAnsi="Book Antiqua" w:cs="Book Antiqua"/>
          <w:color w:val="000000"/>
        </w:rPr>
        <w:t>two groups. TMB: Tumor mutation burden.</w:t>
      </w:r>
    </w:p>
    <w:p w14:paraId="2BC0AA70" w14:textId="6D65EA53" w:rsidR="00A77B3E" w:rsidRDefault="004325C3">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79DB65C3" wp14:editId="38EBDAF6">
            <wp:extent cx="4826944" cy="72099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4690" cy="7221506"/>
                    </a:xfrm>
                    <a:prstGeom prst="rect">
                      <a:avLst/>
                    </a:prstGeom>
                  </pic:spPr>
                </pic:pic>
              </a:graphicData>
            </a:graphic>
          </wp:inline>
        </w:drawing>
      </w:r>
    </w:p>
    <w:p w14:paraId="20D4238B" w14:textId="0F709C18" w:rsidR="004325C3"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Pr="004325C3">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and the tumor microenvironment. </w:t>
      </w:r>
      <w:r>
        <w:rPr>
          <w:rFonts w:ascii="Book Antiqua" w:eastAsia="Book Antiqua" w:hAnsi="Book Antiqua" w:cs="Book Antiqua"/>
          <w:color w:val="000000"/>
        </w:rPr>
        <w:t xml:space="preserve">A-C: Violin plot showing tumor purity, immune score, and stromal score, respectively; D: Boxplot showing the difference in cancer stem cell index between the two groups; E: The </w:t>
      </w:r>
      <w:r>
        <w:rPr>
          <w:rFonts w:ascii="Book Antiqua" w:eastAsia="Book Antiqua" w:hAnsi="Book Antiqua" w:cs="Book Antiqua"/>
          <w:color w:val="000000"/>
        </w:rPr>
        <w:lastRenderedPageBreak/>
        <w:t>infiltration of 28 immune cells in tumors was assessed using single-sample gene set enrichment analysis, red represents the mutation group and blue represents the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w:t>
      </w:r>
    </w:p>
    <w:p w14:paraId="79E9543B" w14:textId="36E37122" w:rsidR="00A77B3E" w:rsidRDefault="004325C3">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4E77F1B4" wp14:editId="6AC38819">
            <wp:extent cx="5943600" cy="4861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61560"/>
                    </a:xfrm>
                    <a:prstGeom prst="rect">
                      <a:avLst/>
                    </a:prstGeom>
                  </pic:spPr>
                </pic:pic>
              </a:graphicData>
            </a:graphic>
          </wp:inline>
        </w:drawing>
      </w:r>
    </w:p>
    <w:p w14:paraId="05645947" w14:textId="683246D9" w:rsidR="004325C3"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Differentially expressed genes and drug sensitivity. </w:t>
      </w:r>
      <w:r>
        <w:rPr>
          <w:rFonts w:ascii="Book Antiqua" w:eastAsia="Book Antiqua" w:hAnsi="Book Antiqua" w:cs="Book Antiqua"/>
          <w:color w:val="000000"/>
        </w:rPr>
        <w:t xml:space="preserve">A: Volcano plot showing differentially expressed genes between the </w:t>
      </w:r>
      <w:r w:rsidRPr="004325C3">
        <w:rPr>
          <w:rFonts w:ascii="Book Antiqua" w:eastAsia="Book Antiqua" w:hAnsi="Book Antiqua" w:cs="Book Antiqua"/>
          <w:i/>
          <w:iCs/>
          <w:color w:val="000000"/>
        </w:rPr>
        <w:t>MUC16</w:t>
      </w:r>
      <w:r>
        <w:rPr>
          <w:rFonts w:ascii="Book Antiqua" w:eastAsia="Book Antiqua" w:hAnsi="Book Antiqua" w:cs="Book Antiqua"/>
          <w:color w:val="000000"/>
        </w:rPr>
        <w:t xml:space="preserve"> mutation group and the </w:t>
      </w:r>
      <w:r w:rsidRPr="004325C3">
        <w:rPr>
          <w:rFonts w:ascii="Book Antiqua" w:eastAsia="Book Antiqua" w:hAnsi="Book Antiqua" w:cs="Book Antiqua"/>
          <w:i/>
          <w:iCs/>
          <w:color w:val="000000"/>
        </w:rPr>
        <w:t>MUC16</w:t>
      </w:r>
      <w:r>
        <w:rPr>
          <w:rFonts w:ascii="Book Antiqua" w:eastAsia="Book Antiqua" w:hAnsi="Book Antiqua" w:cs="Book Antiqua"/>
          <w:color w:val="000000"/>
        </w:rPr>
        <w:t xml:space="preserve">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 up-regulated genes are in red, down-regulated genes are in green, and black represents genes that are not differentially expressed; B: Error rate for the data as a function of the classification tree and out-of-bag importance values for the predictors; C: Genes of relative importance greater than 0.65; D: The plot showing the correlation between </w:t>
      </w:r>
      <w:bookmarkStart w:id="6" w:name="_Hlk65074586"/>
      <w:r w:rsidRPr="004325C3">
        <w:rPr>
          <w:rFonts w:ascii="Book Antiqua" w:eastAsia="Book Antiqua" w:hAnsi="Book Antiqua" w:cs="Book Antiqua"/>
          <w:i/>
          <w:iCs/>
          <w:color w:val="000000"/>
        </w:rPr>
        <w:t>NPY1R</w:t>
      </w:r>
      <w:bookmarkEnd w:id="6"/>
      <w:r>
        <w:rPr>
          <w:rFonts w:ascii="Book Antiqua" w:eastAsia="Book Antiqua" w:hAnsi="Book Antiqua" w:cs="Book Antiqua"/>
          <w:color w:val="000000"/>
        </w:rPr>
        <w:t xml:space="preserve"> expression and the sensitivity of gastric cancer cell lines to various drugs, with the three most negatively correlated drugs being WH-4-023, WZ-184, and Roscovitine.</w:t>
      </w:r>
      <w:r w:rsidR="009722C7">
        <w:rPr>
          <w:rFonts w:ascii="Book Antiqua" w:eastAsia="Book Antiqua" w:hAnsi="Book Antiqua" w:cs="Book Antiqua"/>
          <w:color w:val="000000"/>
        </w:rPr>
        <w:t xml:space="preserve"> </w:t>
      </w:r>
      <w:r w:rsidR="009722C7" w:rsidRPr="009722C7">
        <w:rPr>
          <w:rFonts w:ascii="Book Antiqua" w:eastAsia="Book Antiqua" w:hAnsi="Book Antiqua" w:cs="Book Antiqua"/>
          <w:color w:val="000000"/>
        </w:rPr>
        <w:t>NPY1R</w:t>
      </w:r>
      <w:r w:rsidR="009722C7">
        <w:rPr>
          <w:rFonts w:ascii="Book Antiqua" w:eastAsia="Book Antiqua" w:hAnsi="Book Antiqua" w:cs="Book Antiqua"/>
          <w:color w:val="000000"/>
        </w:rPr>
        <w:t>: Neuropeptide Y receptor Y1.</w:t>
      </w:r>
    </w:p>
    <w:p w14:paraId="27ECC7B7" w14:textId="226F2DF7" w:rsidR="00A77B3E"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9722C7">
        <w:rPr>
          <w:noProof/>
          <w:lang w:eastAsia="zh-CN"/>
        </w:rPr>
        <w:lastRenderedPageBreak/>
        <w:drawing>
          <wp:inline distT="0" distB="0" distL="0" distR="0" wp14:anchorId="1E431A19" wp14:editId="0F4D01DC">
            <wp:extent cx="5457865" cy="42148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57865" cy="4214843"/>
                    </a:xfrm>
                    <a:prstGeom prst="rect">
                      <a:avLst/>
                    </a:prstGeom>
                  </pic:spPr>
                </pic:pic>
              </a:graphicData>
            </a:graphic>
          </wp:inline>
        </w:drawing>
      </w:r>
    </w:p>
    <w:p w14:paraId="227FE538" w14:textId="65D5647E" w:rsidR="004325C3" w:rsidRDefault="004325C3">
      <w:pPr>
        <w:spacing w:line="360" w:lineRule="auto"/>
        <w:jc w:val="both"/>
      </w:pPr>
      <w:r>
        <w:rPr>
          <w:noProof/>
          <w:lang w:eastAsia="zh-CN"/>
        </w:rPr>
        <w:drawing>
          <wp:inline distT="0" distB="0" distL="0" distR="0" wp14:anchorId="467D293D" wp14:editId="4AA3DF7A">
            <wp:extent cx="5462627" cy="3595714"/>
            <wp:effectExtent l="0" t="0" r="508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62627" cy="3595714"/>
                    </a:xfrm>
                    <a:prstGeom prst="rect">
                      <a:avLst/>
                    </a:prstGeom>
                  </pic:spPr>
                </pic:pic>
              </a:graphicData>
            </a:graphic>
          </wp:inline>
        </w:drawing>
      </w:r>
    </w:p>
    <w:p w14:paraId="75C19ABC" w14:textId="73822718" w:rsidR="009722C7"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4 Prognosis and g</w:t>
      </w:r>
      <w:r w:rsidRPr="004325C3">
        <w:rPr>
          <w:rFonts w:ascii="Book Antiqua" w:eastAsia="Book Antiqua" w:hAnsi="Book Antiqua" w:cs="Book Antiqua"/>
          <w:b/>
          <w:bCs/>
          <w:color w:val="000000"/>
        </w:rPr>
        <w:t>ene set enrichment analysis</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B: Kaplan-Meier survival analysis for</w:t>
      </w:r>
      <w:r w:rsidR="001A438B">
        <w:rPr>
          <w:rFonts w:ascii="Book Antiqua" w:eastAsia="Book Antiqua" w:hAnsi="Book Antiqua" w:cs="Book Antiqua"/>
          <w:color w:val="000000"/>
        </w:rPr>
        <w:t xml:space="preserve"> The Cancer Genome Atlas (</w:t>
      </w:r>
      <w:r>
        <w:rPr>
          <w:rFonts w:ascii="Book Antiqua" w:eastAsia="Book Antiqua" w:hAnsi="Book Antiqua" w:cs="Book Antiqua"/>
          <w:color w:val="000000"/>
        </w:rPr>
        <w:t>TCGA</w:t>
      </w:r>
      <w:r w:rsidR="001A438B">
        <w:rPr>
          <w:rFonts w:ascii="Book Antiqua" w:eastAsia="Book Antiqua" w:hAnsi="Book Antiqua" w:cs="Book Antiqua"/>
          <w:color w:val="000000"/>
        </w:rPr>
        <w:t>)</w:t>
      </w:r>
      <w:r>
        <w:rPr>
          <w:rFonts w:ascii="Book Antiqua" w:eastAsia="Book Antiqua" w:hAnsi="Book Antiqua" w:cs="Book Antiqua"/>
          <w:color w:val="000000"/>
        </w:rPr>
        <w:t xml:space="preserve"> and </w:t>
      </w:r>
      <w:r w:rsidR="001A438B">
        <w:rPr>
          <w:rFonts w:ascii="Book Antiqua" w:eastAsia="Book Antiqua" w:hAnsi="Book Antiqua" w:cs="Book Antiqua"/>
          <w:color w:val="000000"/>
        </w:rPr>
        <w:t>Gene Expression Omnibus (</w:t>
      </w:r>
      <w:r>
        <w:rPr>
          <w:rFonts w:ascii="Book Antiqua" w:eastAsia="Book Antiqua" w:hAnsi="Book Antiqua" w:cs="Book Antiqua"/>
          <w:color w:val="000000"/>
        </w:rPr>
        <w:t>GEO</w:t>
      </w:r>
      <w:r w:rsidR="001A438B">
        <w:rPr>
          <w:rFonts w:ascii="Book Antiqua" w:eastAsia="Book Antiqua" w:hAnsi="Book Antiqua" w:cs="Book Antiqua"/>
          <w:color w:val="000000"/>
        </w:rPr>
        <w:t>)</w:t>
      </w:r>
      <w:r>
        <w:rPr>
          <w:rFonts w:ascii="Book Antiqua" w:eastAsia="Book Antiqua" w:hAnsi="Book Antiqua" w:cs="Book Antiqua"/>
          <w:color w:val="000000"/>
        </w:rPr>
        <w:t xml:space="preserve"> cohorts, respectively; C</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D: Overall survival time distribution in the TCGA cohort and GEO cohort; E</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F: Distribution of risk scores in TCGA and GEO cohorts; G</w:t>
      </w:r>
      <w:r w:rsidR="009722C7">
        <w:rPr>
          <w:rFonts w:ascii="Book Antiqua" w:eastAsia="Book Antiqua" w:hAnsi="Book Antiqua" w:cs="Book Antiqua"/>
          <w:color w:val="000000"/>
        </w:rPr>
        <w:t xml:space="preserve"> and </w:t>
      </w:r>
      <w:r>
        <w:rPr>
          <w:rFonts w:ascii="Book Antiqua" w:eastAsia="Book Antiqua" w:hAnsi="Book Antiqua" w:cs="Book Antiqua"/>
          <w:color w:val="000000"/>
        </w:rPr>
        <w:t xml:space="preserve">H: </w:t>
      </w:r>
      <w:r w:rsidR="009722C7">
        <w:rPr>
          <w:rFonts w:ascii="Book Antiqua" w:eastAsia="Book Antiqua" w:hAnsi="Book Antiqua" w:cs="Book Antiqua"/>
          <w:color w:val="000000"/>
        </w:rPr>
        <w:t>Gene set enrichment analysis</w:t>
      </w:r>
      <w:r>
        <w:rPr>
          <w:rFonts w:ascii="Book Antiqua" w:eastAsia="Book Antiqua" w:hAnsi="Book Antiqua" w:cs="Book Antiqua"/>
          <w:color w:val="000000"/>
        </w:rPr>
        <w:t xml:space="preserve"> in the TCGA and GEO cohorts, respectively. The plots on the left are the TCGA cohort and the plots on the right are the GEO cohort.</w:t>
      </w:r>
      <w:r w:rsidR="009722C7">
        <w:rPr>
          <w:rFonts w:ascii="Book Antiqua" w:eastAsia="Book Antiqua" w:hAnsi="Book Antiqua" w:cs="Book Antiqua"/>
          <w:color w:val="000000"/>
        </w:rPr>
        <w:t xml:space="preserve"> </w:t>
      </w:r>
      <w:r w:rsidR="009722C7" w:rsidRPr="009722C7">
        <w:rPr>
          <w:rFonts w:ascii="Book Antiqua" w:eastAsia="Book Antiqua" w:hAnsi="Book Antiqua" w:cs="Book Antiqua"/>
          <w:color w:val="000000"/>
        </w:rPr>
        <w:t>NPY1R</w:t>
      </w:r>
      <w:r w:rsidR="009722C7">
        <w:rPr>
          <w:rFonts w:ascii="Book Antiqua" w:eastAsia="Book Antiqua" w:hAnsi="Book Antiqua" w:cs="Book Antiqua"/>
          <w:color w:val="000000"/>
        </w:rPr>
        <w:t>: Neuropeptide Y receptor Y1.</w:t>
      </w:r>
    </w:p>
    <w:p w14:paraId="6F1961B8" w14:textId="33462FB3" w:rsidR="00A77B3E" w:rsidRDefault="009722C7">
      <w:pPr>
        <w:spacing w:line="360" w:lineRule="auto"/>
        <w:jc w:val="both"/>
      </w:pPr>
      <w:r>
        <w:rPr>
          <w:rFonts w:ascii="Book Antiqua" w:eastAsia="Book Antiqua" w:hAnsi="Book Antiqua" w:cs="Book Antiqua"/>
          <w:color w:val="000000"/>
        </w:rPr>
        <w:br w:type="page"/>
      </w:r>
      <w:r w:rsidR="00FE1374">
        <w:rPr>
          <w:noProof/>
          <w:lang w:eastAsia="zh-CN"/>
        </w:rPr>
        <w:lastRenderedPageBreak/>
        <w:drawing>
          <wp:inline distT="0" distB="0" distL="0" distR="0" wp14:anchorId="26A0B5E7" wp14:editId="7E6F2A84">
            <wp:extent cx="4205318" cy="6072232"/>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5318" cy="6072232"/>
                    </a:xfrm>
                    <a:prstGeom prst="rect">
                      <a:avLst/>
                    </a:prstGeom>
                  </pic:spPr>
                </pic:pic>
              </a:graphicData>
            </a:graphic>
          </wp:inline>
        </w:drawing>
      </w:r>
    </w:p>
    <w:p w14:paraId="1F5A0301" w14:textId="31F86763" w:rsidR="00FE1374"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w:t>
      </w:r>
      <w:r w:rsidRPr="009722C7">
        <w:rPr>
          <w:rFonts w:ascii="Book Antiqua" w:eastAsia="Book Antiqua" w:hAnsi="Book Antiqua" w:cs="Book Antiqua"/>
          <w:b/>
          <w:bCs/>
          <w:i/>
          <w:iCs/>
          <w:color w:val="000000"/>
        </w:rPr>
        <w:t>NPY1R</w:t>
      </w:r>
      <w:r>
        <w:rPr>
          <w:rFonts w:ascii="Book Antiqua" w:eastAsia="Book Antiqua" w:hAnsi="Book Antiqua" w:cs="Book Antiqua"/>
          <w:b/>
          <w:bCs/>
          <w:color w:val="000000"/>
        </w:rPr>
        <w:t xml:space="preserve"> and immune infiltration. </w:t>
      </w:r>
      <w:r>
        <w:rPr>
          <w:rFonts w:ascii="Book Antiqua" w:eastAsia="Book Antiqua" w:hAnsi="Book Antiqua" w:cs="Book Antiqua"/>
          <w:color w:val="000000"/>
        </w:rPr>
        <w:t>A: The 6 immune cell types in each sample are shown in bar plots; B: The violin plot showing the differences in 6 immune cell types between the two groups; C: The correlation matrix demonstrated the correlations of 6 immune cell types; D: Heatmap revealing the distribution of 6 immune cell types in the two groups.</w:t>
      </w:r>
      <w:r w:rsidR="009722C7">
        <w:rPr>
          <w:rFonts w:ascii="Book Antiqua" w:eastAsia="Book Antiqua" w:hAnsi="Book Antiqua" w:cs="Book Antiqua"/>
          <w:color w:val="000000"/>
        </w:rPr>
        <w:t xml:space="preserve"> NK: N</w:t>
      </w:r>
      <w:r w:rsidR="009722C7" w:rsidRPr="00DF5214">
        <w:rPr>
          <w:rFonts w:ascii="Book Antiqua" w:eastAsia="Book Antiqua" w:hAnsi="Book Antiqua" w:cs="Book Antiqua"/>
          <w:color w:val="000000"/>
        </w:rPr>
        <w:t>atural killer</w:t>
      </w:r>
      <w:r w:rsidR="009722C7">
        <w:rPr>
          <w:rFonts w:ascii="Book Antiqua" w:eastAsia="Book Antiqua" w:hAnsi="Book Antiqua" w:cs="Book Antiqua"/>
          <w:color w:val="000000"/>
        </w:rPr>
        <w:t xml:space="preserve">; Mono: </w:t>
      </w:r>
      <w:r w:rsidR="00FE1374">
        <w:rPr>
          <w:rFonts w:ascii="Book Antiqua" w:eastAsia="Book Antiqua" w:hAnsi="Book Antiqua" w:cs="Book Antiqua"/>
          <w:color w:val="000000"/>
        </w:rPr>
        <w:t>M</w:t>
      </w:r>
      <w:r w:rsidR="00FE1374" w:rsidRPr="00FE1374">
        <w:rPr>
          <w:rFonts w:ascii="Book Antiqua" w:eastAsia="Book Antiqua" w:hAnsi="Book Antiqua" w:cs="Book Antiqua"/>
          <w:color w:val="000000"/>
        </w:rPr>
        <w:t>onoclonal</w:t>
      </w:r>
      <w:r w:rsidR="00FE1374">
        <w:rPr>
          <w:rFonts w:ascii="Book Antiqua" w:eastAsia="Book Antiqua" w:hAnsi="Book Antiqua" w:cs="Book Antiqua"/>
          <w:color w:val="000000"/>
        </w:rPr>
        <w:t>;</w:t>
      </w:r>
      <w:r w:rsidR="00FE1374" w:rsidRPr="00FE1374">
        <w:rPr>
          <w:rFonts w:ascii="Book Antiqua" w:eastAsia="Book Antiqua" w:hAnsi="Book Antiqua" w:cs="Book Antiqua"/>
          <w:color w:val="000000"/>
        </w:rPr>
        <w:t xml:space="preserve"> </w:t>
      </w:r>
      <w:r w:rsidR="00FE1374">
        <w:rPr>
          <w:rFonts w:ascii="Book Antiqua" w:eastAsia="Book Antiqua" w:hAnsi="Book Antiqua" w:cs="Book Antiqua"/>
          <w:color w:val="000000"/>
        </w:rPr>
        <w:t>Neutro: N</w:t>
      </w:r>
      <w:r w:rsidR="00FE1374" w:rsidRPr="00FE1374">
        <w:rPr>
          <w:rFonts w:ascii="Book Antiqua" w:eastAsia="Book Antiqua" w:hAnsi="Book Antiqua" w:cs="Book Antiqua"/>
          <w:color w:val="000000"/>
        </w:rPr>
        <w:t>eutrophil</w:t>
      </w:r>
      <w:r w:rsidR="00FE1374">
        <w:rPr>
          <w:rFonts w:ascii="Book Antiqua" w:eastAsia="Book Antiqua" w:hAnsi="Book Antiqua" w:cs="Book Antiqua"/>
          <w:color w:val="000000"/>
        </w:rPr>
        <w:t>.</w:t>
      </w:r>
    </w:p>
    <w:p w14:paraId="56D7DAF9" w14:textId="789B1A3E" w:rsidR="00A77B3E" w:rsidRDefault="00FE1374">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D0505CF" wp14:editId="127C8E67">
            <wp:extent cx="4290234" cy="53465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3903" cy="5351104"/>
                    </a:xfrm>
                    <a:prstGeom prst="rect">
                      <a:avLst/>
                    </a:prstGeom>
                    <a:noFill/>
                  </pic:spPr>
                </pic:pic>
              </a:graphicData>
            </a:graphic>
          </wp:inline>
        </w:drawing>
      </w:r>
    </w:p>
    <w:p w14:paraId="5B31F5A2" w14:textId="6BD4D8A8" w:rsidR="00FE1374"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sidRPr="00FE1374">
        <w:rPr>
          <w:rFonts w:ascii="Book Antiqua" w:eastAsia="Book Antiqua" w:hAnsi="Book Antiqua" w:cs="Book Antiqua"/>
          <w:b/>
          <w:bCs/>
          <w:i/>
          <w:iCs/>
          <w:color w:val="000000"/>
        </w:rPr>
        <w:t>MUC16</w:t>
      </w:r>
      <w:r>
        <w:rPr>
          <w:rFonts w:ascii="Book Antiqua" w:eastAsia="Book Antiqua" w:hAnsi="Book Antiqua" w:cs="Book Antiqua"/>
          <w:b/>
          <w:bCs/>
          <w:color w:val="000000"/>
        </w:rPr>
        <w:t xml:space="preserve"> mutations and </w:t>
      </w:r>
      <w:r w:rsidR="00FE1374" w:rsidRPr="00FE1374">
        <w:rPr>
          <w:rFonts w:ascii="Book Antiqua" w:eastAsia="Book Antiqua" w:hAnsi="Book Antiqua" w:cs="Book Antiqua"/>
          <w:b/>
          <w:bCs/>
          <w:color w:val="000000"/>
        </w:rPr>
        <w:t>copy number variation</w:t>
      </w:r>
      <w:r>
        <w:rPr>
          <w:rFonts w:ascii="Book Antiqua" w:eastAsia="Book Antiqua" w:hAnsi="Book Antiqua" w:cs="Book Antiqua"/>
          <w:b/>
          <w:bCs/>
          <w:color w:val="000000"/>
        </w:rPr>
        <w:t xml:space="preserve">s. </w:t>
      </w:r>
      <w:r>
        <w:rPr>
          <w:rFonts w:ascii="Book Antiqua" w:eastAsia="Book Antiqua" w:hAnsi="Book Antiqua" w:cs="Book Antiqua"/>
          <w:color w:val="000000"/>
        </w:rPr>
        <w:t xml:space="preserve">A: </w:t>
      </w:r>
      <w:r w:rsidR="006B046E">
        <w:rPr>
          <w:rFonts w:ascii="Book Antiqua" w:eastAsia="Book Antiqua" w:hAnsi="Book Antiqua" w:cs="Book Antiqua"/>
          <w:color w:val="000000"/>
        </w:rPr>
        <w:t>T</w:t>
      </w:r>
      <w:r>
        <w:rPr>
          <w:rFonts w:ascii="Book Antiqua" w:eastAsia="Book Antiqua" w:hAnsi="Book Antiqua" w:cs="Book Antiqua"/>
          <w:color w:val="000000"/>
        </w:rPr>
        <w:t xml:space="preserve">he circle plot shows the location of differential </w:t>
      </w:r>
      <w:r w:rsidR="00FE1374">
        <w:rPr>
          <w:rFonts w:ascii="Book Antiqua" w:eastAsia="Book Antiqua" w:hAnsi="Book Antiqua" w:cs="Book Antiqua"/>
          <w:color w:val="000000"/>
        </w:rPr>
        <w:t>copy number variation</w:t>
      </w:r>
      <w:r>
        <w:rPr>
          <w:rFonts w:ascii="Book Antiqua" w:eastAsia="Book Antiqua" w:hAnsi="Book Antiqua" w:cs="Book Antiqua"/>
          <w:color w:val="000000"/>
        </w:rPr>
        <w:t>s in the chromosome; B</w:t>
      </w:r>
      <w:r w:rsidR="00FE1374">
        <w:rPr>
          <w:rFonts w:ascii="Book Antiqua" w:eastAsia="Book Antiqua" w:hAnsi="Book Antiqua" w:cs="Book Antiqua"/>
          <w:color w:val="000000"/>
        </w:rPr>
        <w:t xml:space="preserve"> and </w:t>
      </w:r>
      <w:r>
        <w:rPr>
          <w:rFonts w:ascii="Book Antiqua" w:eastAsia="Book Antiqua" w:hAnsi="Book Antiqua" w:cs="Book Antiqua"/>
          <w:color w:val="000000"/>
        </w:rPr>
        <w:t xml:space="preserve">C: The left boxplot shows the relationship between </w:t>
      </w:r>
      <w:r w:rsidRPr="00FE1374">
        <w:rPr>
          <w:rFonts w:ascii="Book Antiqua" w:eastAsia="Book Antiqua" w:hAnsi="Book Antiqua" w:cs="Book Antiqua"/>
          <w:i/>
          <w:iCs/>
          <w:color w:val="000000"/>
        </w:rPr>
        <w:t>ING2</w:t>
      </w:r>
      <w:r>
        <w:rPr>
          <w:rFonts w:ascii="Book Antiqua" w:eastAsia="Book Antiqua" w:hAnsi="Book Antiqua" w:cs="Book Antiqua"/>
          <w:color w:val="000000"/>
        </w:rPr>
        <w:t xml:space="preserve"> </w:t>
      </w:r>
      <w:r w:rsidR="00FE1374">
        <w:rPr>
          <w:rFonts w:ascii="Book Antiqua" w:eastAsia="Book Antiqua" w:hAnsi="Book Antiqua" w:cs="Book Antiqua"/>
          <w:color w:val="000000"/>
        </w:rPr>
        <w:t>(</w:t>
      </w:r>
      <w:r w:rsidR="00FE1374" w:rsidRPr="00DF5214">
        <w:rPr>
          <w:rFonts w:ascii="Book Antiqua" w:eastAsia="Book Antiqua" w:hAnsi="Book Antiqua" w:cs="Book Antiqua"/>
          <w:color w:val="000000"/>
        </w:rPr>
        <w:t>inhibitor of growth gene 2</w:t>
      </w:r>
      <w:r w:rsidR="00FE1374">
        <w:rPr>
          <w:rFonts w:ascii="Book Antiqua" w:eastAsia="Book Antiqua" w:hAnsi="Book Antiqua" w:cs="Book Antiqua"/>
          <w:color w:val="000000"/>
        </w:rPr>
        <w:t xml:space="preserve">) </w:t>
      </w:r>
      <w:r>
        <w:rPr>
          <w:rFonts w:ascii="Book Antiqua" w:eastAsia="Book Antiqua" w:hAnsi="Book Antiqua" w:cs="Book Antiqua"/>
          <w:color w:val="000000"/>
        </w:rPr>
        <w:t xml:space="preserve">gain and deletion and the mRNA expression, the right boxplot shows the differential expression of </w:t>
      </w:r>
      <w:r w:rsidRPr="00FE1374">
        <w:rPr>
          <w:rFonts w:ascii="Book Antiqua" w:eastAsia="Book Antiqua" w:hAnsi="Book Antiqua" w:cs="Book Antiqua"/>
          <w:i/>
          <w:iCs/>
          <w:color w:val="000000"/>
        </w:rPr>
        <w:t>ING2</w:t>
      </w:r>
      <w:r>
        <w:rPr>
          <w:rFonts w:ascii="Book Antiqua" w:eastAsia="Book Antiqua" w:hAnsi="Book Antiqua" w:cs="Book Antiqua"/>
          <w:color w:val="000000"/>
        </w:rPr>
        <w:t xml:space="preserve"> in the </w:t>
      </w:r>
      <w:r w:rsidRPr="00AF1625">
        <w:rPr>
          <w:rFonts w:ascii="Book Antiqua" w:eastAsia="Book Antiqua" w:hAnsi="Book Antiqua" w:cs="Book Antiqua"/>
          <w:i/>
          <w:iCs/>
          <w:color w:val="000000"/>
        </w:rPr>
        <w:t>MUC16</w:t>
      </w:r>
      <w:r>
        <w:rPr>
          <w:rFonts w:ascii="Book Antiqua" w:eastAsia="Book Antiqua" w:hAnsi="Book Antiqua" w:cs="Book Antiqua"/>
          <w:color w:val="000000"/>
        </w:rPr>
        <w:t xml:space="preserve"> mutation and wild</w:t>
      </w:r>
      <w:r w:rsidR="006B046E">
        <w:rPr>
          <w:rFonts w:ascii="Book Antiqua" w:eastAsia="Book Antiqua" w:hAnsi="Book Antiqua" w:cs="Book Antiqua"/>
          <w:color w:val="000000"/>
        </w:rPr>
        <w:t>-type</w:t>
      </w:r>
      <w:r>
        <w:rPr>
          <w:rFonts w:ascii="Book Antiqua" w:eastAsia="Book Antiqua" w:hAnsi="Book Antiqua" w:cs="Book Antiqua"/>
          <w:color w:val="000000"/>
        </w:rPr>
        <w:t xml:space="preserve"> groups.</w:t>
      </w:r>
      <w:r w:rsidR="00FE1374">
        <w:rPr>
          <w:rFonts w:ascii="Book Antiqua" w:eastAsia="Book Antiqua" w:hAnsi="Book Antiqua" w:cs="Book Antiqua"/>
          <w:color w:val="000000"/>
        </w:rPr>
        <w:t xml:space="preserve"> ING2: I</w:t>
      </w:r>
      <w:r w:rsidR="00FE1374" w:rsidRPr="00DF5214">
        <w:rPr>
          <w:rFonts w:ascii="Book Antiqua" w:eastAsia="Book Antiqua" w:hAnsi="Book Antiqua" w:cs="Book Antiqua"/>
          <w:color w:val="000000"/>
        </w:rPr>
        <w:t>nhibitor of growth gene 2</w:t>
      </w:r>
      <w:r w:rsidR="00FE1374">
        <w:rPr>
          <w:rFonts w:ascii="Book Antiqua" w:eastAsia="Book Antiqua" w:hAnsi="Book Antiqua" w:cs="Book Antiqua"/>
          <w:color w:val="000000"/>
        </w:rPr>
        <w:t>.</w:t>
      </w:r>
    </w:p>
    <w:p w14:paraId="5E991A32" w14:textId="11A763AD" w:rsidR="00A77B3E" w:rsidRDefault="00FE1374">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5DA7960C" wp14:editId="4A694701">
            <wp:extent cx="4951133" cy="72436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4348" cy="7248341"/>
                    </a:xfrm>
                    <a:prstGeom prst="rect">
                      <a:avLst/>
                    </a:prstGeom>
                  </pic:spPr>
                </pic:pic>
              </a:graphicData>
            </a:graphic>
          </wp:inline>
        </w:drawing>
      </w:r>
    </w:p>
    <w:p w14:paraId="26A93181" w14:textId="6F487944" w:rsidR="00097F47" w:rsidRDefault="004325C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7 Gene set enrichment analysis. </w:t>
      </w:r>
      <w:r>
        <w:rPr>
          <w:rFonts w:ascii="Book Antiqua" w:eastAsia="Book Antiqua" w:hAnsi="Book Antiqua" w:cs="Book Antiqua"/>
          <w:color w:val="000000"/>
        </w:rPr>
        <w:t xml:space="preserve">A: Kyoto Encyclopedia of Genes and Genomes enrichment results of the differential </w:t>
      </w:r>
      <w:r w:rsidR="00FE1374">
        <w:rPr>
          <w:rFonts w:ascii="Book Antiqua" w:eastAsia="Book Antiqua" w:hAnsi="Book Antiqua" w:cs="Book Antiqua"/>
          <w:color w:val="000000"/>
        </w:rPr>
        <w:t>copy number variation</w:t>
      </w:r>
      <w:r>
        <w:rPr>
          <w:rFonts w:ascii="Book Antiqua" w:eastAsia="Book Antiqua" w:hAnsi="Book Antiqua" w:cs="Book Antiqua"/>
          <w:color w:val="000000"/>
        </w:rPr>
        <w:t>s; B-D: Gene Ontology enrichment results of the differential</w:t>
      </w:r>
      <w:r w:rsidR="00FE1374" w:rsidRPr="00FE1374">
        <w:rPr>
          <w:rFonts w:ascii="Book Antiqua" w:eastAsia="Book Antiqua" w:hAnsi="Book Antiqua" w:cs="Book Antiqua"/>
          <w:color w:val="000000"/>
        </w:rPr>
        <w:t xml:space="preserve"> </w:t>
      </w:r>
      <w:r w:rsidR="00FE1374">
        <w:rPr>
          <w:rFonts w:ascii="Book Antiqua" w:eastAsia="Book Antiqua" w:hAnsi="Book Antiqua" w:cs="Book Antiqua"/>
          <w:color w:val="000000"/>
        </w:rPr>
        <w:t>copy number variation</w:t>
      </w:r>
      <w:r>
        <w:rPr>
          <w:rFonts w:ascii="Book Antiqua" w:eastAsia="Book Antiqua" w:hAnsi="Book Antiqua" w:cs="Book Antiqua"/>
          <w:color w:val="000000"/>
        </w:rPr>
        <w:t>s.</w:t>
      </w:r>
    </w:p>
    <w:p w14:paraId="4A6124B5" w14:textId="77777777" w:rsidR="00097F47" w:rsidRDefault="00097F47">
      <w:pPr>
        <w:rPr>
          <w:rFonts w:ascii="Book Antiqua" w:eastAsia="Book Antiqua" w:hAnsi="Book Antiqua" w:cs="Book Antiqua"/>
          <w:color w:val="000000"/>
        </w:rPr>
      </w:pPr>
      <w:r>
        <w:rPr>
          <w:rFonts w:ascii="Book Antiqua" w:eastAsia="Book Antiqua" w:hAnsi="Book Antiqua" w:cs="Book Antiqua"/>
          <w:color w:val="000000"/>
        </w:rPr>
        <w:lastRenderedPageBreak/>
        <w:br w:type="page"/>
      </w:r>
    </w:p>
    <w:p w14:paraId="7A96A60F" w14:textId="77777777" w:rsidR="00097F47" w:rsidRDefault="00097F47" w:rsidP="00097F47">
      <w:pPr>
        <w:jc w:val="center"/>
        <w:rPr>
          <w:rFonts w:ascii="Book Antiqua" w:hAnsi="Book Antiqua"/>
          <w:lang w:eastAsia="zh-CN"/>
        </w:rPr>
      </w:pPr>
    </w:p>
    <w:p w14:paraId="006D8484" w14:textId="77777777" w:rsidR="00097F47" w:rsidRDefault="00097F47" w:rsidP="00097F47">
      <w:pPr>
        <w:jc w:val="center"/>
        <w:rPr>
          <w:rFonts w:ascii="Book Antiqua" w:hAnsi="Book Antiqua"/>
          <w:lang w:eastAsia="zh-CN"/>
        </w:rPr>
      </w:pPr>
    </w:p>
    <w:p w14:paraId="04816132" w14:textId="77777777" w:rsidR="00097F47" w:rsidRDefault="00097F47" w:rsidP="00097F47">
      <w:pPr>
        <w:jc w:val="center"/>
        <w:rPr>
          <w:rFonts w:ascii="Book Antiqua" w:hAnsi="Book Antiqua"/>
          <w:lang w:eastAsia="zh-CN"/>
        </w:rPr>
      </w:pPr>
    </w:p>
    <w:p w14:paraId="727A7934" w14:textId="77777777" w:rsidR="00097F47" w:rsidRDefault="00097F47" w:rsidP="00097F47">
      <w:pPr>
        <w:jc w:val="center"/>
        <w:rPr>
          <w:rFonts w:ascii="Book Antiqua" w:hAnsi="Book Antiqua"/>
          <w:lang w:eastAsia="zh-CN"/>
        </w:rPr>
      </w:pPr>
    </w:p>
    <w:p w14:paraId="5F88B483" w14:textId="77777777" w:rsidR="00097F47" w:rsidRDefault="00097F47" w:rsidP="00097F47">
      <w:pPr>
        <w:jc w:val="center"/>
        <w:rPr>
          <w:rFonts w:ascii="Book Antiqua" w:hAnsi="Book Antiqua"/>
          <w:lang w:eastAsia="zh-CN"/>
        </w:rPr>
      </w:pPr>
    </w:p>
    <w:p w14:paraId="1A81E07B" w14:textId="1D1A16F8" w:rsidR="00097F47" w:rsidRDefault="00097F47" w:rsidP="00097F47">
      <w:pPr>
        <w:jc w:val="center"/>
        <w:rPr>
          <w:rFonts w:ascii="Book Antiqua" w:hAnsi="Book Antiqua"/>
          <w:lang w:eastAsia="zh-CN"/>
        </w:rPr>
      </w:pPr>
      <w:r>
        <w:rPr>
          <w:rFonts w:ascii="Book Antiqua" w:hAnsi="Book Antiqua"/>
          <w:noProof/>
          <w:lang w:eastAsia="zh-CN"/>
        </w:rPr>
        <w:drawing>
          <wp:inline distT="0" distB="0" distL="0" distR="0" wp14:anchorId="52AB63ED" wp14:editId="4242F0BB">
            <wp:extent cx="2497455" cy="14395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038D8ED4" w14:textId="77777777" w:rsidR="00097F47" w:rsidRDefault="00097F47" w:rsidP="00097F47">
      <w:pPr>
        <w:jc w:val="center"/>
        <w:rPr>
          <w:rFonts w:ascii="Book Antiqua" w:hAnsi="Book Antiqua"/>
          <w:lang w:eastAsia="zh-CN"/>
        </w:rPr>
      </w:pPr>
    </w:p>
    <w:p w14:paraId="68ACFAB5" w14:textId="77777777" w:rsidR="00097F47" w:rsidRDefault="00097F47" w:rsidP="00097F4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F1AEB96" w14:textId="77777777" w:rsidR="00097F47" w:rsidRDefault="00097F47" w:rsidP="00097F4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CCC0AB" w14:textId="77777777" w:rsidR="00097F47" w:rsidRDefault="00097F47" w:rsidP="00097F4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8083E89" w14:textId="77777777" w:rsidR="00097F47" w:rsidRDefault="00097F47" w:rsidP="00097F4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F53BC27" w14:textId="77777777" w:rsidR="00097F47" w:rsidRDefault="00097F47" w:rsidP="00097F4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A65E85B" w14:textId="77777777" w:rsidR="00097F47" w:rsidRDefault="00097F47" w:rsidP="00097F4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28FA9C7" w14:textId="77777777" w:rsidR="00097F47" w:rsidRDefault="00097F47" w:rsidP="00097F47">
      <w:pPr>
        <w:jc w:val="center"/>
        <w:rPr>
          <w:rFonts w:ascii="Book Antiqua" w:hAnsi="Book Antiqua"/>
          <w:lang w:eastAsia="zh-CN"/>
        </w:rPr>
      </w:pPr>
    </w:p>
    <w:p w14:paraId="5C70EC0B" w14:textId="77777777" w:rsidR="00097F47" w:rsidRDefault="00097F47" w:rsidP="00097F47">
      <w:pPr>
        <w:jc w:val="center"/>
        <w:rPr>
          <w:rFonts w:ascii="Book Antiqua" w:hAnsi="Book Antiqua"/>
          <w:lang w:eastAsia="zh-CN"/>
        </w:rPr>
      </w:pPr>
    </w:p>
    <w:p w14:paraId="731C370A" w14:textId="77777777" w:rsidR="00097F47" w:rsidRDefault="00097F47" w:rsidP="00097F47">
      <w:pPr>
        <w:jc w:val="center"/>
        <w:rPr>
          <w:rFonts w:ascii="Book Antiqua" w:hAnsi="Book Antiqua"/>
          <w:lang w:eastAsia="zh-CN"/>
        </w:rPr>
      </w:pPr>
    </w:p>
    <w:p w14:paraId="1C7871B2" w14:textId="0717DD98" w:rsidR="00097F47" w:rsidRDefault="00097F47" w:rsidP="00097F47">
      <w:pPr>
        <w:jc w:val="center"/>
        <w:rPr>
          <w:rFonts w:ascii="Book Antiqua" w:hAnsi="Book Antiqua"/>
          <w:lang w:eastAsia="zh-CN"/>
        </w:rPr>
      </w:pPr>
      <w:r>
        <w:rPr>
          <w:rFonts w:ascii="Book Antiqua" w:hAnsi="Book Antiqua"/>
          <w:noProof/>
          <w:lang w:eastAsia="zh-CN"/>
        </w:rPr>
        <w:drawing>
          <wp:inline distT="0" distB="0" distL="0" distR="0" wp14:anchorId="14256B6B" wp14:editId="10758264">
            <wp:extent cx="1446530" cy="143954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53AE8544" w14:textId="77777777" w:rsidR="00097F47" w:rsidRDefault="00097F47" w:rsidP="00097F47">
      <w:pPr>
        <w:jc w:val="center"/>
        <w:rPr>
          <w:rFonts w:ascii="Book Antiqua" w:hAnsi="Book Antiqua"/>
          <w:lang w:eastAsia="zh-CN"/>
        </w:rPr>
      </w:pPr>
    </w:p>
    <w:p w14:paraId="693B661B" w14:textId="77777777" w:rsidR="00097F47" w:rsidRDefault="00097F47" w:rsidP="00097F47">
      <w:pPr>
        <w:jc w:val="center"/>
        <w:rPr>
          <w:rFonts w:ascii="Book Antiqua" w:hAnsi="Book Antiqua"/>
          <w:lang w:eastAsia="zh-CN"/>
        </w:rPr>
      </w:pPr>
    </w:p>
    <w:p w14:paraId="26C902EF" w14:textId="77777777" w:rsidR="00097F47" w:rsidRDefault="00097F47" w:rsidP="00097F47">
      <w:pPr>
        <w:jc w:val="center"/>
        <w:rPr>
          <w:rFonts w:ascii="Book Antiqua" w:hAnsi="Book Antiqua"/>
          <w:lang w:eastAsia="zh-CN"/>
        </w:rPr>
      </w:pPr>
    </w:p>
    <w:p w14:paraId="08825E99" w14:textId="77777777" w:rsidR="00097F47" w:rsidRDefault="00097F47" w:rsidP="00097F47">
      <w:pPr>
        <w:jc w:val="center"/>
        <w:rPr>
          <w:rFonts w:ascii="Book Antiqua" w:hAnsi="Book Antiqua"/>
          <w:lang w:eastAsia="zh-CN"/>
        </w:rPr>
      </w:pPr>
    </w:p>
    <w:p w14:paraId="0C73C9E9" w14:textId="77777777" w:rsidR="00097F47" w:rsidRDefault="00097F47" w:rsidP="00097F47">
      <w:pPr>
        <w:jc w:val="center"/>
        <w:rPr>
          <w:rFonts w:ascii="Book Antiqua" w:hAnsi="Book Antiqua"/>
          <w:lang w:eastAsia="zh-CN"/>
        </w:rPr>
      </w:pPr>
    </w:p>
    <w:p w14:paraId="51159735" w14:textId="77777777" w:rsidR="00097F47" w:rsidRDefault="00097F47" w:rsidP="00097F47">
      <w:pPr>
        <w:jc w:val="center"/>
        <w:rPr>
          <w:rFonts w:ascii="Book Antiqua" w:hAnsi="Book Antiqua"/>
          <w:lang w:eastAsia="zh-CN"/>
        </w:rPr>
      </w:pPr>
    </w:p>
    <w:p w14:paraId="4456A27F" w14:textId="77777777" w:rsidR="00097F47" w:rsidRDefault="00097F47" w:rsidP="00097F47">
      <w:pPr>
        <w:jc w:val="center"/>
        <w:rPr>
          <w:rFonts w:ascii="Book Antiqua" w:hAnsi="Book Antiqua"/>
          <w:lang w:eastAsia="zh-CN"/>
        </w:rPr>
      </w:pPr>
    </w:p>
    <w:p w14:paraId="4AA4BE99" w14:textId="77777777" w:rsidR="00097F47" w:rsidRDefault="00097F47" w:rsidP="00097F47">
      <w:pPr>
        <w:jc w:val="center"/>
        <w:rPr>
          <w:rFonts w:ascii="Book Antiqua" w:hAnsi="Book Antiqua"/>
          <w:lang w:eastAsia="zh-CN"/>
        </w:rPr>
      </w:pPr>
    </w:p>
    <w:p w14:paraId="2D30D2F8" w14:textId="77777777" w:rsidR="00097F47" w:rsidRDefault="00097F47" w:rsidP="00097F47">
      <w:pPr>
        <w:jc w:val="center"/>
        <w:rPr>
          <w:rFonts w:ascii="Book Antiqua" w:hAnsi="Book Antiqua"/>
          <w:lang w:eastAsia="zh-CN"/>
        </w:rPr>
      </w:pPr>
    </w:p>
    <w:p w14:paraId="451A3056" w14:textId="77777777" w:rsidR="00097F47" w:rsidRDefault="00097F47" w:rsidP="00097F47">
      <w:pPr>
        <w:jc w:val="right"/>
        <w:rPr>
          <w:rFonts w:ascii="Book Antiqua" w:hAnsi="Book Antiqua"/>
          <w:color w:val="000000" w:themeColor="text1"/>
          <w:lang w:eastAsia="zh-CN"/>
        </w:rPr>
      </w:pPr>
    </w:p>
    <w:p w14:paraId="18BD2E95" w14:textId="77777777" w:rsidR="00097F47" w:rsidRDefault="00097F47" w:rsidP="00097F4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59C1118"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41A92" w14:textId="77777777" w:rsidR="00796A77" w:rsidRDefault="00796A77" w:rsidP="001E23FE">
      <w:r>
        <w:separator/>
      </w:r>
    </w:p>
  </w:endnote>
  <w:endnote w:type="continuationSeparator" w:id="0">
    <w:p w14:paraId="44AABD73" w14:textId="77777777" w:rsidR="00796A77" w:rsidRDefault="00796A77" w:rsidP="001E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77091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B14F5A3" w14:textId="5BF11F5C" w:rsidR="006C3C38" w:rsidRPr="006C3C38" w:rsidRDefault="006C3C38" w:rsidP="006C3C38">
            <w:pPr>
              <w:pStyle w:val="a5"/>
              <w:jc w:val="right"/>
              <w:rPr>
                <w:rFonts w:ascii="Book Antiqua" w:hAnsi="Book Antiqua"/>
                <w:sz w:val="24"/>
                <w:szCs w:val="24"/>
              </w:rPr>
            </w:pPr>
            <w:r w:rsidRPr="006C3C38">
              <w:rPr>
                <w:rFonts w:ascii="Book Antiqua" w:hAnsi="Book Antiqua"/>
                <w:sz w:val="24"/>
                <w:szCs w:val="24"/>
                <w:lang w:val="zh-CN" w:eastAsia="zh-CN"/>
              </w:rPr>
              <w:t xml:space="preserve"> </w:t>
            </w:r>
            <w:r w:rsidRPr="006C3C38">
              <w:rPr>
                <w:rFonts w:ascii="Book Antiqua" w:hAnsi="Book Antiqua"/>
                <w:sz w:val="24"/>
                <w:szCs w:val="24"/>
              </w:rPr>
              <w:fldChar w:fldCharType="begin"/>
            </w:r>
            <w:r w:rsidRPr="006C3C38">
              <w:rPr>
                <w:rFonts w:ascii="Book Antiqua" w:hAnsi="Book Antiqua"/>
                <w:sz w:val="24"/>
                <w:szCs w:val="24"/>
              </w:rPr>
              <w:instrText>PAGE</w:instrText>
            </w:r>
            <w:r w:rsidRPr="006C3C38">
              <w:rPr>
                <w:rFonts w:ascii="Book Antiqua" w:hAnsi="Book Antiqua"/>
                <w:sz w:val="24"/>
                <w:szCs w:val="24"/>
              </w:rPr>
              <w:fldChar w:fldCharType="separate"/>
            </w:r>
            <w:r w:rsidR="00E60828">
              <w:rPr>
                <w:rFonts w:ascii="Book Antiqua" w:hAnsi="Book Antiqua"/>
                <w:noProof/>
                <w:sz w:val="24"/>
                <w:szCs w:val="24"/>
              </w:rPr>
              <w:t>25</w:t>
            </w:r>
            <w:r w:rsidRPr="006C3C38">
              <w:rPr>
                <w:rFonts w:ascii="Book Antiqua" w:hAnsi="Book Antiqua"/>
                <w:sz w:val="24"/>
                <w:szCs w:val="24"/>
              </w:rPr>
              <w:fldChar w:fldCharType="end"/>
            </w:r>
            <w:r w:rsidRPr="006C3C38">
              <w:rPr>
                <w:rFonts w:ascii="Book Antiqua" w:hAnsi="Book Antiqua"/>
                <w:sz w:val="24"/>
                <w:szCs w:val="24"/>
                <w:lang w:val="zh-CN" w:eastAsia="zh-CN"/>
              </w:rPr>
              <w:t xml:space="preserve"> / </w:t>
            </w:r>
            <w:r w:rsidRPr="006C3C38">
              <w:rPr>
                <w:rFonts w:ascii="Book Antiqua" w:hAnsi="Book Antiqua"/>
                <w:sz w:val="24"/>
                <w:szCs w:val="24"/>
              </w:rPr>
              <w:fldChar w:fldCharType="begin"/>
            </w:r>
            <w:r w:rsidRPr="006C3C38">
              <w:rPr>
                <w:rFonts w:ascii="Book Antiqua" w:hAnsi="Book Antiqua"/>
                <w:sz w:val="24"/>
                <w:szCs w:val="24"/>
              </w:rPr>
              <w:instrText>NUMPAGES</w:instrText>
            </w:r>
            <w:r w:rsidRPr="006C3C38">
              <w:rPr>
                <w:rFonts w:ascii="Book Antiqua" w:hAnsi="Book Antiqua"/>
                <w:sz w:val="24"/>
                <w:szCs w:val="24"/>
              </w:rPr>
              <w:fldChar w:fldCharType="separate"/>
            </w:r>
            <w:r w:rsidR="00E60828">
              <w:rPr>
                <w:rFonts w:ascii="Book Antiqua" w:hAnsi="Book Antiqua"/>
                <w:noProof/>
                <w:sz w:val="24"/>
                <w:szCs w:val="24"/>
              </w:rPr>
              <w:t>33</w:t>
            </w:r>
            <w:r w:rsidRPr="006C3C38">
              <w:rPr>
                <w:rFonts w:ascii="Book Antiqua" w:hAnsi="Book Antiqua"/>
                <w:sz w:val="24"/>
                <w:szCs w:val="24"/>
              </w:rPr>
              <w:fldChar w:fldCharType="end"/>
            </w:r>
          </w:p>
        </w:sdtContent>
      </w:sdt>
    </w:sdtContent>
  </w:sdt>
  <w:p w14:paraId="43C899F1" w14:textId="77777777" w:rsidR="006C3C38" w:rsidRPr="006C3C38" w:rsidRDefault="006C3C38" w:rsidP="006C3C38">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EC806" w14:textId="77777777" w:rsidR="00796A77" w:rsidRDefault="00796A77" w:rsidP="001E23FE">
      <w:r>
        <w:separator/>
      </w:r>
    </w:p>
  </w:footnote>
  <w:footnote w:type="continuationSeparator" w:id="0">
    <w:p w14:paraId="41FE776F" w14:textId="77777777" w:rsidR="00796A77" w:rsidRDefault="00796A77" w:rsidP="001E23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64134"/>
    <w:rsid w:val="000926AE"/>
    <w:rsid w:val="00097F47"/>
    <w:rsid w:val="000C1389"/>
    <w:rsid w:val="000E4EC8"/>
    <w:rsid w:val="000F0F29"/>
    <w:rsid w:val="00110F5C"/>
    <w:rsid w:val="0011413C"/>
    <w:rsid w:val="001324CC"/>
    <w:rsid w:val="001A0846"/>
    <w:rsid w:val="001A438B"/>
    <w:rsid w:val="001E23FE"/>
    <w:rsid w:val="002130B8"/>
    <w:rsid w:val="00377469"/>
    <w:rsid w:val="003F3C05"/>
    <w:rsid w:val="004325C3"/>
    <w:rsid w:val="004832F9"/>
    <w:rsid w:val="00522074"/>
    <w:rsid w:val="00592FF4"/>
    <w:rsid w:val="005D6F11"/>
    <w:rsid w:val="006079A4"/>
    <w:rsid w:val="00617862"/>
    <w:rsid w:val="00621FB1"/>
    <w:rsid w:val="006A3DCA"/>
    <w:rsid w:val="006B046E"/>
    <w:rsid w:val="006C3C38"/>
    <w:rsid w:val="006E4BCF"/>
    <w:rsid w:val="00721C1D"/>
    <w:rsid w:val="007816A1"/>
    <w:rsid w:val="0078285D"/>
    <w:rsid w:val="00796A77"/>
    <w:rsid w:val="008A1010"/>
    <w:rsid w:val="008F6433"/>
    <w:rsid w:val="00922A37"/>
    <w:rsid w:val="009722C7"/>
    <w:rsid w:val="00A77B3E"/>
    <w:rsid w:val="00AB3519"/>
    <w:rsid w:val="00AF1625"/>
    <w:rsid w:val="00B01094"/>
    <w:rsid w:val="00B24E60"/>
    <w:rsid w:val="00B85234"/>
    <w:rsid w:val="00BA447E"/>
    <w:rsid w:val="00BE446B"/>
    <w:rsid w:val="00C328AB"/>
    <w:rsid w:val="00C97B50"/>
    <w:rsid w:val="00CA2A55"/>
    <w:rsid w:val="00CD7F0B"/>
    <w:rsid w:val="00D11542"/>
    <w:rsid w:val="00D14C1B"/>
    <w:rsid w:val="00D2204C"/>
    <w:rsid w:val="00D3048A"/>
    <w:rsid w:val="00DD3F94"/>
    <w:rsid w:val="00DF5214"/>
    <w:rsid w:val="00E23E4A"/>
    <w:rsid w:val="00E37F25"/>
    <w:rsid w:val="00E60828"/>
    <w:rsid w:val="00E866EC"/>
    <w:rsid w:val="00EC3091"/>
    <w:rsid w:val="00ED0D6E"/>
    <w:rsid w:val="00F44B20"/>
    <w:rsid w:val="00F605BF"/>
    <w:rsid w:val="00FA7164"/>
    <w:rsid w:val="00FE13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A4C727"/>
  <w15:docId w15:val="{7614B259-C4DD-4F4D-859E-D2750A054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E23F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E23FE"/>
    <w:rPr>
      <w:sz w:val="18"/>
      <w:szCs w:val="18"/>
    </w:rPr>
  </w:style>
  <w:style w:type="paragraph" w:styleId="a5">
    <w:name w:val="footer"/>
    <w:basedOn w:val="a"/>
    <w:link w:val="a6"/>
    <w:uiPriority w:val="99"/>
    <w:unhideWhenUsed/>
    <w:rsid w:val="001E23FE"/>
    <w:pPr>
      <w:tabs>
        <w:tab w:val="center" w:pos="4153"/>
        <w:tab w:val="right" w:pos="8306"/>
      </w:tabs>
      <w:snapToGrid w:val="0"/>
    </w:pPr>
    <w:rPr>
      <w:sz w:val="18"/>
      <w:szCs w:val="18"/>
    </w:rPr>
  </w:style>
  <w:style w:type="character" w:customStyle="1" w:styleId="a6">
    <w:name w:val="页脚 字符"/>
    <w:basedOn w:val="a0"/>
    <w:link w:val="a5"/>
    <w:uiPriority w:val="99"/>
    <w:rsid w:val="001E23FE"/>
    <w:rPr>
      <w:sz w:val="18"/>
      <w:szCs w:val="18"/>
    </w:rPr>
  </w:style>
  <w:style w:type="character" w:styleId="a7">
    <w:name w:val="annotation reference"/>
    <w:basedOn w:val="a0"/>
    <w:semiHidden/>
    <w:unhideWhenUsed/>
    <w:rsid w:val="001E23FE"/>
    <w:rPr>
      <w:sz w:val="21"/>
      <w:szCs w:val="21"/>
    </w:rPr>
  </w:style>
  <w:style w:type="paragraph" w:styleId="a8">
    <w:name w:val="annotation text"/>
    <w:basedOn w:val="a"/>
    <w:link w:val="a9"/>
    <w:semiHidden/>
    <w:unhideWhenUsed/>
    <w:rsid w:val="001E23FE"/>
  </w:style>
  <w:style w:type="character" w:customStyle="1" w:styleId="a9">
    <w:name w:val="批注文字 字符"/>
    <w:basedOn w:val="a0"/>
    <w:link w:val="a8"/>
    <w:semiHidden/>
    <w:rsid w:val="001E23FE"/>
    <w:rPr>
      <w:sz w:val="24"/>
      <w:szCs w:val="24"/>
    </w:rPr>
  </w:style>
  <w:style w:type="paragraph" w:styleId="aa">
    <w:name w:val="annotation subject"/>
    <w:basedOn w:val="a8"/>
    <w:next w:val="a8"/>
    <w:link w:val="ab"/>
    <w:semiHidden/>
    <w:unhideWhenUsed/>
    <w:rsid w:val="001E23FE"/>
    <w:rPr>
      <w:b/>
      <w:bCs/>
    </w:rPr>
  </w:style>
  <w:style w:type="character" w:customStyle="1" w:styleId="ab">
    <w:name w:val="批注主题 字符"/>
    <w:basedOn w:val="a9"/>
    <w:link w:val="aa"/>
    <w:semiHidden/>
    <w:rsid w:val="001E23FE"/>
    <w:rPr>
      <w:b/>
      <w:bCs/>
      <w:sz w:val="24"/>
      <w:szCs w:val="24"/>
    </w:rPr>
  </w:style>
  <w:style w:type="character" w:styleId="ac">
    <w:name w:val="Hyperlink"/>
    <w:basedOn w:val="a0"/>
    <w:unhideWhenUsed/>
    <w:rsid w:val="00DF5214"/>
    <w:rPr>
      <w:color w:val="0000FF" w:themeColor="hyperlink"/>
      <w:u w:val="single"/>
    </w:rPr>
  </w:style>
  <w:style w:type="character" w:customStyle="1" w:styleId="UnresolvedMention1">
    <w:name w:val="Unresolved Mention1"/>
    <w:basedOn w:val="a0"/>
    <w:uiPriority w:val="99"/>
    <w:semiHidden/>
    <w:unhideWhenUsed/>
    <w:rsid w:val="00DF5214"/>
    <w:rPr>
      <w:color w:val="605E5C"/>
      <w:shd w:val="clear" w:color="auto" w:fill="E1DFDD"/>
    </w:rPr>
  </w:style>
  <w:style w:type="paragraph" w:styleId="ad">
    <w:name w:val="Balloon Text"/>
    <w:basedOn w:val="a"/>
    <w:link w:val="ae"/>
    <w:semiHidden/>
    <w:unhideWhenUsed/>
    <w:rsid w:val="001324CC"/>
    <w:rPr>
      <w:rFonts w:ascii="Tahoma" w:hAnsi="Tahoma" w:cs="Tahoma"/>
      <w:sz w:val="16"/>
      <w:szCs w:val="16"/>
    </w:rPr>
  </w:style>
  <w:style w:type="character" w:customStyle="1" w:styleId="ae">
    <w:name w:val="批注框文本 字符"/>
    <w:basedOn w:val="a0"/>
    <w:link w:val="ad"/>
    <w:semiHidden/>
    <w:rsid w:val="001324CC"/>
    <w:rPr>
      <w:rFonts w:ascii="Tahoma" w:hAnsi="Tahoma" w:cs="Tahoma"/>
      <w:sz w:val="16"/>
      <w:szCs w:val="16"/>
    </w:rPr>
  </w:style>
  <w:style w:type="character" w:styleId="af">
    <w:name w:val="Unresolved Mention"/>
    <w:basedOn w:val="a0"/>
    <w:uiPriority w:val="99"/>
    <w:semiHidden/>
    <w:unhideWhenUsed/>
    <w:rsid w:val="00ED0D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777396">
      <w:bodyDiv w:val="1"/>
      <w:marLeft w:val="0"/>
      <w:marRight w:val="0"/>
      <w:marTop w:val="0"/>
      <w:marBottom w:val="0"/>
      <w:divBdr>
        <w:top w:val="none" w:sz="0" w:space="0" w:color="auto"/>
        <w:left w:val="none" w:sz="0" w:space="0" w:color="auto"/>
        <w:bottom w:val="none" w:sz="0" w:space="0" w:color="auto"/>
        <w:right w:val="none" w:sz="0" w:space="0" w:color="auto"/>
      </w:divBdr>
    </w:div>
    <w:div w:id="883176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9/i17/0000.ht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35</Pages>
  <Words>6580</Words>
  <Characters>37510</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11</cp:revision>
  <dcterms:created xsi:type="dcterms:W3CDTF">2021-04-13T09:58:00Z</dcterms:created>
  <dcterms:modified xsi:type="dcterms:W3CDTF">2021-05-25T01:21:00Z</dcterms:modified>
</cp:coreProperties>
</file>