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FBC84" w14:textId="77777777" w:rsidR="00A77B3E" w:rsidRDefault="00DA283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AFC841" w14:textId="77777777" w:rsidR="00A77B3E" w:rsidRDefault="00DA28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62157</w:t>
      </w:r>
    </w:p>
    <w:p w14:paraId="54A23736" w14:textId="77777777" w:rsidR="00A77B3E" w:rsidRDefault="00DA28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2CE509" w14:textId="77777777" w:rsidR="00A77B3E" w:rsidRDefault="00A77B3E">
      <w:pPr>
        <w:spacing w:line="360" w:lineRule="auto"/>
        <w:jc w:val="both"/>
      </w:pPr>
    </w:p>
    <w:p w14:paraId="4B5B82FB" w14:textId="77777777" w:rsidR="00A77B3E" w:rsidRDefault="00DA2836">
      <w:pPr>
        <w:spacing w:line="360" w:lineRule="auto"/>
        <w:jc w:val="both"/>
      </w:pPr>
      <w:r>
        <w:rPr>
          <w:rFonts w:ascii="Book Antiqua" w:eastAsia="Book Antiqua" w:hAnsi="Book Antiqua" w:cs="Book Antiqua"/>
          <w:b/>
          <w:bCs/>
          <w:color w:val="000000"/>
        </w:rPr>
        <w:t>Maisonneuve injury with no fibula fracture: A case report</w:t>
      </w:r>
    </w:p>
    <w:p w14:paraId="10BCA2A4" w14:textId="77777777" w:rsidR="00A77B3E" w:rsidRDefault="00A77B3E">
      <w:pPr>
        <w:spacing w:line="360" w:lineRule="auto"/>
        <w:jc w:val="both"/>
      </w:pPr>
    </w:p>
    <w:p w14:paraId="2FB81DAF" w14:textId="621D6413" w:rsidR="00A77B3E" w:rsidRDefault="00F6412B">
      <w:pPr>
        <w:spacing w:line="360" w:lineRule="auto"/>
        <w:jc w:val="both"/>
      </w:pPr>
      <w:r>
        <w:rPr>
          <w:rFonts w:ascii="Book Antiqua" w:eastAsia="Book Antiqua" w:hAnsi="Book Antiqua" w:cs="Book Antiqua"/>
          <w:color w:val="000000"/>
        </w:rPr>
        <w:t xml:space="preserve">Liu GP </w:t>
      </w:r>
      <w:r w:rsidRPr="00F6412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A2836">
        <w:rPr>
          <w:rFonts w:ascii="Book Antiqua" w:eastAsia="Book Antiqua" w:hAnsi="Book Antiqua" w:cs="Book Antiqua"/>
          <w:color w:val="000000"/>
        </w:rPr>
        <w:t>Maisonneuve injury with no fibula fracture</w:t>
      </w:r>
    </w:p>
    <w:p w14:paraId="45578D94" w14:textId="77777777" w:rsidR="00A77B3E" w:rsidRDefault="00A77B3E">
      <w:pPr>
        <w:spacing w:line="360" w:lineRule="auto"/>
        <w:jc w:val="both"/>
      </w:pPr>
    </w:p>
    <w:p w14:paraId="4ADF39C9" w14:textId="77777777" w:rsidR="00A77B3E" w:rsidRDefault="00DA2836">
      <w:pPr>
        <w:spacing w:line="360" w:lineRule="auto"/>
        <w:jc w:val="both"/>
      </w:pPr>
      <w:r>
        <w:rPr>
          <w:rFonts w:ascii="Book Antiqua" w:eastAsia="Book Antiqua" w:hAnsi="Book Antiqua" w:cs="Book Antiqua"/>
          <w:color w:val="000000"/>
        </w:rPr>
        <w:t>Guang-Ping Liu, Ji-Gang Li, Xiao Gong, Jian-Min Li</w:t>
      </w:r>
    </w:p>
    <w:p w14:paraId="70B8B7BF" w14:textId="77777777" w:rsidR="00A77B3E" w:rsidRDefault="00A77B3E">
      <w:pPr>
        <w:spacing w:line="360" w:lineRule="auto"/>
        <w:jc w:val="both"/>
      </w:pPr>
    </w:p>
    <w:p w14:paraId="796E1185" w14:textId="77777777" w:rsidR="00A77B3E" w:rsidRDefault="00DA2836">
      <w:pPr>
        <w:spacing w:line="360" w:lineRule="auto"/>
        <w:jc w:val="both"/>
      </w:pPr>
      <w:r>
        <w:rPr>
          <w:rFonts w:ascii="Book Antiqua" w:eastAsia="Book Antiqua" w:hAnsi="Book Antiqua" w:cs="Book Antiqua"/>
          <w:b/>
          <w:bCs/>
          <w:color w:val="000000"/>
        </w:rPr>
        <w:t xml:space="preserve">Guang-Ping Liu, Jian-Min Li, </w:t>
      </w:r>
      <w:r>
        <w:rPr>
          <w:rFonts w:ascii="Book Antiqua" w:eastAsia="Book Antiqua" w:hAnsi="Book Antiqua" w:cs="Book Antiqua"/>
          <w:color w:val="000000"/>
        </w:rPr>
        <w:t>Department of Orthopedics, Qilu Hospital, Cheeloo College of Medicine, Shandong University, Jinan 250012, Shandong Province, China</w:t>
      </w:r>
    </w:p>
    <w:p w14:paraId="0EA31454" w14:textId="77777777" w:rsidR="00A77B3E" w:rsidRDefault="00A77B3E">
      <w:pPr>
        <w:spacing w:line="360" w:lineRule="auto"/>
        <w:jc w:val="both"/>
      </w:pPr>
    </w:p>
    <w:p w14:paraId="214F9B7B" w14:textId="77777777" w:rsidR="00A77B3E" w:rsidRDefault="00DA2836">
      <w:pPr>
        <w:spacing w:line="360" w:lineRule="auto"/>
        <w:jc w:val="both"/>
      </w:pPr>
      <w:r>
        <w:rPr>
          <w:rFonts w:ascii="Book Antiqua" w:eastAsia="Book Antiqua" w:hAnsi="Book Antiqua" w:cs="Book Antiqua"/>
          <w:b/>
          <w:bCs/>
          <w:color w:val="000000"/>
        </w:rPr>
        <w:t xml:space="preserve">Guang-Ping Liu, Ji-Gang Li, </w:t>
      </w:r>
      <w:r>
        <w:rPr>
          <w:rFonts w:ascii="Book Antiqua" w:eastAsia="Book Antiqua" w:hAnsi="Book Antiqua" w:cs="Book Antiqua"/>
          <w:color w:val="000000"/>
        </w:rPr>
        <w:t>Department of Orthopedics, Zibo Central Hospital, Shandong University, Zibo 255000, Shandong Province, China</w:t>
      </w:r>
    </w:p>
    <w:p w14:paraId="060C83AC" w14:textId="77777777" w:rsidR="00A77B3E" w:rsidRDefault="00A77B3E">
      <w:pPr>
        <w:spacing w:line="360" w:lineRule="auto"/>
        <w:jc w:val="both"/>
      </w:pPr>
    </w:p>
    <w:p w14:paraId="292403A0" w14:textId="77777777" w:rsidR="00A77B3E" w:rsidRDefault="00DA2836">
      <w:pPr>
        <w:spacing w:line="360" w:lineRule="auto"/>
        <w:jc w:val="both"/>
      </w:pPr>
      <w:r>
        <w:rPr>
          <w:rFonts w:ascii="Book Antiqua" w:eastAsia="Book Antiqua" w:hAnsi="Book Antiqua" w:cs="Book Antiqua"/>
          <w:b/>
          <w:bCs/>
          <w:color w:val="000000"/>
        </w:rPr>
        <w:t xml:space="preserve">Xiao Gong, </w:t>
      </w:r>
      <w:r>
        <w:rPr>
          <w:rFonts w:ascii="Book Antiqua" w:eastAsia="Book Antiqua" w:hAnsi="Book Antiqua" w:cs="Book Antiqua"/>
          <w:color w:val="000000"/>
        </w:rPr>
        <w:t>Department of Radiology, Zibo Central Hospital, Shandong University, Zibo 255000, Shandong Province, China</w:t>
      </w:r>
    </w:p>
    <w:p w14:paraId="65ABD60F" w14:textId="77777777" w:rsidR="00A77B3E" w:rsidRDefault="00A77B3E">
      <w:pPr>
        <w:spacing w:line="360" w:lineRule="auto"/>
        <w:jc w:val="both"/>
      </w:pPr>
    </w:p>
    <w:p w14:paraId="0C3FDB7D" w14:textId="2B3A6979" w:rsidR="00A77B3E" w:rsidRDefault="00DA283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Liu GP was the patient’s surgeon, reviewed the literature</w:t>
      </w:r>
      <w:r w:rsidR="00553CEB">
        <w:rPr>
          <w:rFonts w:ascii="Book Antiqua" w:eastAsia="Book Antiqua" w:hAnsi="Book Antiqua" w:cs="Book Antiqua"/>
          <w:color w:val="000000"/>
        </w:rPr>
        <w:t>,</w:t>
      </w:r>
      <w:r>
        <w:rPr>
          <w:rFonts w:ascii="Book Antiqua" w:eastAsia="Book Antiqua" w:hAnsi="Book Antiqua" w:cs="Book Antiqua"/>
          <w:color w:val="000000"/>
        </w:rPr>
        <w:t xml:space="preserve"> and contributed to manuscript drafting; Li JG reviewed the literature and drafted the manuscript; Gong X analyzed and interpreted the imaging findings; Li JM was responsible for the revision of the manuscript for important intellectual content; all authors issued final approval for the version to be submitted.</w:t>
      </w:r>
    </w:p>
    <w:p w14:paraId="08D3FC51" w14:textId="77777777" w:rsidR="00A77B3E" w:rsidRDefault="00A77B3E">
      <w:pPr>
        <w:spacing w:line="360" w:lineRule="auto"/>
        <w:jc w:val="both"/>
      </w:pPr>
    </w:p>
    <w:p w14:paraId="478361DA" w14:textId="77777777" w:rsidR="00A77B3E" w:rsidRDefault="00DA2836">
      <w:pPr>
        <w:spacing w:line="360" w:lineRule="auto"/>
        <w:jc w:val="both"/>
      </w:pPr>
      <w:r>
        <w:rPr>
          <w:rFonts w:ascii="Book Antiqua" w:eastAsia="Book Antiqua" w:hAnsi="Book Antiqua" w:cs="Book Antiqua"/>
          <w:b/>
          <w:bCs/>
          <w:color w:val="000000"/>
        </w:rPr>
        <w:t xml:space="preserve">Corresponding author: Jian-Min Li, MD, Chief Doctor, Professor, Surgeon, </w:t>
      </w:r>
      <w:r>
        <w:rPr>
          <w:rFonts w:ascii="Book Antiqua" w:eastAsia="Book Antiqua" w:hAnsi="Book Antiqua" w:cs="Book Antiqua"/>
          <w:color w:val="000000"/>
        </w:rPr>
        <w:t>Department of Orthopedics, Qilu Hospital, Cheeloo College of Medicine, Shandong University, No. 107 Culture Road, Jinan 250012, Shandong Province, China. gkljm@163.com</w:t>
      </w:r>
    </w:p>
    <w:p w14:paraId="164DCB67" w14:textId="77777777" w:rsidR="00A77B3E" w:rsidRDefault="00A77B3E">
      <w:pPr>
        <w:spacing w:line="360" w:lineRule="auto"/>
        <w:jc w:val="both"/>
      </w:pPr>
    </w:p>
    <w:p w14:paraId="4180F4C7" w14:textId="77777777" w:rsidR="00A77B3E" w:rsidRDefault="00DA2836">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6, 2021</w:t>
      </w:r>
    </w:p>
    <w:p w14:paraId="0B3B3F47" w14:textId="77777777" w:rsidR="00A77B3E" w:rsidRDefault="00DA283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2021</w:t>
      </w:r>
    </w:p>
    <w:p w14:paraId="7AF7371E" w14:textId="07BCCDC9" w:rsidR="00A77B3E" w:rsidRDefault="00DA2836">
      <w:pPr>
        <w:spacing w:line="360" w:lineRule="auto"/>
        <w:jc w:val="both"/>
      </w:pPr>
      <w:r>
        <w:rPr>
          <w:rFonts w:ascii="Book Antiqua" w:eastAsia="Book Antiqua" w:hAnsi="Book Antiqua" w:cs="Book Antiqua"/>
          <w:b/>
          <w:bCs/>
          <w:color w:val="000000"/>
        </w:rPr>
        <w:t xml:space="preserve">Accepted: </w:t>
      </w:r>
      <w:r w:rsidR="006669A5" w:rsidRPr="006669A5">
        <w:rPr>
          <w:rFonts w:ascii="Book Antiqua" w:eastAsia="Book Antiqua" w:hAnsi="Book Antiqua" w:cs="Book Antiqua"/>
          <w:color w:val="000000"/>
        </w:rPr>
        <w:t>March 3, 2021</w:t>
      </w:r>
    </w:p>
    <w:p w14:paraId="790A802B" w14:textId="19846A58" w:rsidR="00A77B3E" w:rsidRDefault="00DA2836">
      <w:pPr>
        <w:spacing w:line="360" w:lineRule="auto"/>
        <w:jc w:val="both"/>
      </w:pPr>
      <w:r>
        <w:rPr>
          <w:rFonts w:ascii="Book Antiqua" w:eastAsia="Book Antiqua" w:hAnsi="Book Antiqua" w:cs="Book Antiqua"/>
          <w:b/>
          <w:bCs/>
          <w:color w:val="000000"/>
        </w:rPr>
        <w:t xml:space="preserve">Published online: </w:t>
      </w:r>
      <w:r w:rsidR="00F40E42" w:rsidRPr="00F40E42">
        <w:rPr>
          <w:rFonts w:ascii="Book Antiqua" w:eastAsia="Book Antiqua" w:hAnsi="Book Antiqua" w:cs="Book Antiqua"/>
          <w:color w:val="000000"/>
        </w:rPr>
        <w:t>May 26, 2021</w:t>
      </w:r>
    </w:p>
    <w:p w14:paraId="22E3DEA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AE11E82" w14:textId="77777777" w:rsidR="00A77B3E" w:rsidRDefault="00DA2836">
      <w:pPr>
        <w:spacing w:line="360" w:lineRule="auto"/>
        <w:jc w:val="both"/>
      </w:pPr>
      <w:r>
        <w:rPr>
          <w:rFonts w:ascii="Book Antiqua" w:eastAsia="Book Antiqua" w:hAnsi="Book Antiqua" w:cs="Book Antiqua"/>
          <w:b/>
          <w:color w:val="000000"/>
        </w:rPr>
        <w:t>Abstract</w:t>
      </w:r>
    </w:p>
    <w:p w14:paraId="495C2E67" w14:textId="77777777" w:rsidR="00A77B3E" w:rsidRDefault="00DA2836">
      <w:pPr>
        <w:spacing w:line="360" w:lineRule="auto"/>
        <w:jc w:val="both"/>
      </w:pPr>
      <w:r>
        <w:rPr>
          <w:rFonts w:ascii="Book Antiqua" w:eastAsia="Book Antiqua" w:hAnsi="Book Antiqua" w:cs="Book Antiqua"/>
          <w:color w:val="000000"/>
        </w:rPr>
        <w:t>BACKGROUND</w:t>
      </w:r>
    </w:p>
    <w:p w14:paraId="706D02B3" w14:textId="77777777" w:rsidR="00A77B3E" w:rsidRDefault="00DA2836">
      <w:pPr>
        <w:spacing w:line="360" w:lineRule="auto"/>
        <w:jc w:val="both"/>
      </w:pPr>
      <w:r>
        <w:rPr>
          <w:rFonts w:ascii="Book Antiqua" w:eastAsia="Book Antiqua" w:hAnsi="Book Antiqua" w:cs="Book Antiqua"/>
          <w:color w:val="000000"/>
        </w:rPr>
        <w:t>Ankle syndesmosis injury is difficult to diagnose accurately at the initial visit. Missed diagnosis or improper treatment can lead to chronic complications. Complete syndesmosis injury with a concomitant rupture of the interosseous membrane (IOM) is more unstable and severe. The relationship between this type of injury and Maisonneuve injury, in which the syndesmosis is also injured, has not been discussed in the literature previously.</w:t>
      </w:r>
    </w:p>
    <w:p w14:paraId="210D92B4" w14:textId="77777777" w:rsidR="00A77B3E" w:rsidRDefault="00A77B3E">
      <w:pPr>
        <w:spacing w:line="360" w:lineRule="auto"/>
        <w:jc w:val="both"/>
      </w:pPr>
    </w:p>
    <w:p w14:paraId="20C1B8AB" w14:textId="77777777" w:rsidR="00A77B3E" w:rsidRDefault="00DA2836">
      <w:pPr>
        <w:spacing w:line="360" w:lineRule="auto"/>
        <w:jc w:val="both"/>
      </w:pPr>
      <w:r>
        <w:rPr>
          <w:rFonts w:ascii="Book Antiqua" w:eastAsia="Book Antiqua" w:hAnsi="Book Antiqua" w:cs="Book Antiqua"/>
          <w:color w:val="000000"/>
        </w:rPr>
        <w:t>CASE SUMMARY</w:t>
      </w:r>
    </w:p>
    <w:p w14:paraId="42D63137" w14:textId="4555106B" w:rsidR="00A77B3E" w:rsidRDefault="00DA2836">
      <w:pPr>
        <w:spacing w:line="360" w:lineRule="auto"/>
        <w:jc w:val="both"/>
      </w:pPr>
      <w:r>
        <w:rPr>
          <w:rFonts w:ascii="Book Antiqua" w:eastAsia="Book Antiqua" w:hAnsi="Book Antiqua" w:cs="Book Antiqua"/>
          <w:color w:val="000000"/>
        </w:rPr>
        <w:t>A 16-year-old patient sustained left medial malleolar fracture, and the associated inferior tibiofibular syndesmotic instability was overlooked. After open reduction and internal fixation of the medial malleolar fracture, inferior tibiofibular syndesmosis diastasis with IOM rupture was detected by auxiliary imaging. Secondary surgical intervention was performed to reduce anatomically and fix with two trans-syndesmosis screws. Twelve weeks later, the screws were removed. At the 6-mo</w:t>
      </w:r>
      <w:r w:rsidR="00F6412B">
        <w:rPr>
          <w:rFonts w:ascii="Book Antiqua" w:eastAsia="Book Antiqua" w:hAnsi="Book Antiqua" w:cs="Book Antiqua"/>
          <w:color w:val="000000"/>
        </w:rPr>
        <w:t xml:space="preserve"> </w:t>
      </w:r>
      <w:r>
        <w:rPr>
          <w:rFonts w:ascii="Book Antiqua" w:eastAsia="Book Antiqua" w:hAnsi="Book Antiqua" w:cs="Book Antiqua"/>
          <w:color w:val="000000"/>
        </w:rPr>
        <w:t>follow-up, the patient gained full range of motion of the ankle.</w:t>
      </w:r>
    </w:p>
    <w:p w14:paraId="2E2AF48E" w14:textId="77777777" w:rsidR="00A77B3E" w:rsidRDefault="00A77B3E">
      <w:pPr>
        <w:spacing w:line="360" w:lineRule="auto"/>
        <w:jc w:val="both"/>
      </w:pPr>
    </w:p>
    <w:p w14:paraId="40F4C2CE" w14:textId="77777777" w:rsidR="00A77B3E" w:rsidRDefault="00DA2836">
      <w:pPr>
        <w:spacing w:line="360" w:lineRule="auto"/>
        <w:jc w:val="both"/>
      </w:pPr>
      <w:r>
        <w:rPr>
          <w:rFonts w:ascii="Book Antiqua" w:eastAsia="Book Antiqua" w:hAnsi="Book Antiqua" w:cs="Book Antiqua"/>
          <w:color w:val="000000"/>
        </w:rPr>
        <w:t>CONCLUSION</w:t>
      </w:r>
    </w:p>
    <w:p w14:paraId="08E21CCD" w14:textId="77777777" w:rsidR="00A77B3E" w:rsidRDefault="00DA2836">
      <w:pPr>
        <w:spacing w:line="360" w:lineRule="auto"/>
        <w:jc w:val="both"/>
      </w:pPr>
      <w:r>
        <w:rPr>
          <w:rFonts w:ascii="Book Antiqua" w:eastAsia="Book Antiqua" w:hAnsi="Book Antiqua" w:cs="Book Antiqua"/>
          <w:color w:val="000000"/>
        </w:rPr>
        <w:t>Complete syndesmosis injury with IOM rupture should be considered Maisonneuve-type injury. Open reduction and internal fixation could obtain good outcomes.</w:t>
      </w:r>
    </w:p>
    <w:p w14:paraId="65778E48" w14:textId="77777777" w:rsidR="00A77B3E" w:rsidRDefault="00A77B3E">
      <w:pPr>
        <w:spacing w:line="360" w:lineRule="auto"/>
        <w:jc w:val="both"/>
      </w:pPr>
    </w:p>
    <w:p w14:paraId="369A47A2" w14:textId="77777777" w:rsidR="00A77B3E" w:rsidRDefault="00DA283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Maisonneuve; Syndesmosis injury; Interosseous membrane; Stress test; Classification; Case report</w:t>
      </w:r>
    </w:p>
    <w:p w14:paraId="13FA0208" w14:textId="77777777" w:rsidR="007C1D67" w:rsidRDefault="007C1D67" w:rsidP="007C1D67">
      <w:pPr>
        <w:spacing w:line="360" w:lineRule="auto"/>
        <w:jc w:val="both"/>
        <w:rPr>
          <w:lang w:eastAsia="zh-CN"/>
        </w:rPr>
      </w:pPr>
    </w:p>
    <w:p w14:paraId="792C985D" w14:textId="77777777" w:rsidR="007C1D67" w:rsidRPr="00026CB8" w:rsidRDefault="007C1D67" w:rsidP="007C1D6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7BAE5C5" w14:textId="77777777" w:rsidR="00A77B3E" w:rsidRDefault="00A77B3E">
      <w:pPr>
        <w:spacing w:line="360" w:lineRule="auto"/>
        <w:jc w:val="both"/>
      </w:pPr>
    </w:p>
    <w:p w14:paraId="0E837FBD" w14:textId="75261351" w:rsidR="00255A63" w:rsidRDefault="00255A63">
      <w:pPr>
        <w:spacing w:line="360" w:lineRule="auto"/>
        <w:jc w:val="both"/>
        <w:rPr>
          <w:rFonts w:ascii="Book Antiqua" w:hAnsi="Book Antiqua" w:cs="Book Antiqua" w:hint="eastAsia"/>
          <w:color w:val="000000"/>
          <w:lang w:eastAsia="zh-CN"/>
        </w:rPr>
      </w:pPr>
      <w:r w:rsidRPr="00255A63">
        <w:rPr>
          <w:rFonts w:ascii="Book Antiqua" w:hAnsi="Book Antiqua" w:cs="Book Antiqua" w:hint="eastAsia"/>
          <w:b/>
          <w:color w:val="000000"/>
          <w:lang w:eastAsia="zh-CN"/>
        </w:rPr>
        <w:t xml:space="preserve">Citation: </w:t>
      </w:r>
      <w:r w:rsidR="00DA2836">
        <w:rPr>
          <w:rFonts w:ascii="Book Antiqua" w:eastAsia="Book Antiqua" w:hAnsi="Book Antiqua" w:cs="Book Antiqua"/>
          <w:color w:val="000000"/>
        </w:rPr>
        <w:t xml:space="preserve">Liu GP, Li JG, Gong X, Li JM. Maisonneuve injury with no fibula fracture: A case report. </w:t>
      </w:r>
      <w:r w:rsidR="00DA2836">
        <w:rPr>
          <w:rFonts w:ascii="Book Antiqua" w:eastAsia="Book Antiqua" w:hAnsi="Book Antiqua" w:cs="Book Antiqua"/>
          <w:i/>
          <w:iCs/>
          <w:color w:val="000000"/>
        </w:rPr>
        <w:t>World J Clin Cases</w:t>
      </w:r>
      <w:r w:rsidR="00DA2836">
        <w:rPr>
          <w:rFonts w:ascii="Book Antiqua" w:eastAsia="Book Antiqua" w:hAnsi="Book Antiqua" w:cs="Book Antiqua"/>
          <w:color w:val="000000"/>
        </w:rPr>
        <w:t xml:space="preserve"> </w:t>
      </w:r>
      <w:r w:rsidR="00504BFC" w:rsidRPr="00504BFC">
        <w:rPr>
          <w:rFonts w:ascii="Book Antiqua" w:eastAsia="Book Antiqua" w:hAnsi="Book Antiqua" w:cs="Book Antiqua"/>
          <w:color w:val="000000"/>
        </w:rPr>
        <w:t xml:space="preserve">2021; 9(15): </w:t>
      </w:r>
      <w:r w:rsidRPr="00255A63">
        <w:rPr>
          <w:rFonts w:ascii="Book Antiqua" w:eastAsia="Book Antiqua" w:hAnsi="Book Antiqua" w:cs="Book Antiqua"/>
          <w:color w:val="000000"/>
        </w:rPr>
        <w:t>3733-3740</w:t>
      </w:r>
      <w:r w:rsidR="00504BFC" w:rsidRPr="00504BFC">
        <w:rPr>
          <w:rFonts w:ascii="Book Antiqua" w:eastAsia="Book Antiqua" w:hAnsi="Book Antiqua" w:cs="Book Antiqua"/>
          <w:color w:val="000000"/>
        </w:rPr>
        <w:t xml:space="preserve">  </w:t>
      </w:r>
    </w:p>
    <w:p w14:paraId="1C40F872" w14:textId="65C81C9F" w:rsidR="00255A63" w:rsidRDefault="00504BFC">
      <w:pPr>
        <w:spacing w:line="360" w:lineRule="auto"/>
        <w:jc w:val="both"/>
        <w:rPr>
          <w:rFonts w:ascii="Book Antiqua" w:hAnsi="Book Antiqua" w:cs="Book Antiqua" w:hint="eastAsia"/>
          <w:color w:val="000000"/>
          <w:lang w:eastAsia="zh-CN"/>
        </w:rPr>
      </w:pPr>
      <w:r w:rsidRPr="00255A63">
        <w:rPr>
          <w:rFonts w:ascii="Book Antiqua" w:eastAsia="Book Antiqua" w:hAnsi="Book Antiqua" w:cs="Book Antiqua"/>
          <w:b/>
          <w:color w:val="000000"/>
        </w:rPr>
        <w:t>URL:</w:t>
      </w:r>
      <w:r w:rsidRPr="00504BFC">
        <w:rPr>
          <w:rFonts w:ascii="Book Antiqua" w:eastAsia="Book Antiqua" w:hAnsi="Book Antiqua" w:cs="Book Antiqua"/>
          <w:color w:val="000000"/>
        </w:rPr>
        <w:t xml:space="preserve"> https://www.wjgnet.com/2307-8960/full/v9/i15/</w:t>
      </w:r>
      <w:r w:rsidR="00255A63" w:rsidRPr="00255A63">
        <w:rPr>
          <w:rFonts w:ascii="Book Antiqua" w:eastAsia="Book Antiqua" w:hAnsi="Book Antiqua" w:cs="Book Antiqua"/>
          <w:color w:val="000000"/>
        </w:rPr>
        <w:t>3733</w:t>
      </w:r>
      <w:r w:rsidRPr="00504BFC">
        <w:rPr>
          <w:rFonts w:ascii="Book Antiqua" w:eastAsia="Book Antiqua" w:hAnsi="Book Antiqua" w:cs="Book Antiqua"/>
          <w:color w:val="000000"/>
        </w:rPr>
        <w:t xml:space="preserve">.htm  </w:t>
      </w:r>
    </w:p>
    <w:p w14:paraId="380DA131" w14:textId="0387DF05" w:rsidR="00A77B3E" w:rsidRDefault="00504BFC">
      <w:pPr>
        <w:spacing w:line="360" w:lineRule="auto"/>
        <w:jc w:val="both"/>
      </w:pPr>
      <w:r w:rsidRPr="00255A63">
        <w:rPr>
          <w:rFonts w:ascii="Book Antiqua" w:eastAsia="Book Antiqua" w:hAnsi="Book Antiqua" w:cs="Book Antiqua"/>
          <w:b/>
          <w:color w:val="000000"/>
        </w:rPr>
        <w:t xml:space="preserve">DOI: </w:t>
      </w:r>
      <w:r w:rsidRPr="00504BFC">
        <w:rPr>
          <w:rFonts w:ascii="Book Antiqua" w:eastAsia="Book Antiqua" w:hAnsi="Book Antiqua" w:cs="Book Antiqua"/>
          <w:color w:val="000000"/>
        </w:rPr>
        <w:t>https://dx.doi.org/10.12998/wjcc.v9.i15.</w:t>
      </w:r>
      <w:r w:rsidR="00255A63" w:rsidRPr="00255A63">
        <w:rPr>
          <w:rFonts w:ascii="Book Antiqua" w:eastAsia="Book Antiqua" w:hAnsi="Book Antiqua" w:cs="Book Antiqua"/>
          <w:color w:val="000000"/>
        </w:rPr>
        <w:t>3733</w:t>
      </w:r>
    </w:p>
    <w:p w14:paraId="7DED9A7B" w14:textId="77777777" w:rsidR="00A77B3E" w:rsidRDefault="00A77B3E">
      <w:pPr>
        <w:spacing w:line="360" w:lineRule="auto"/>
        <w:jc w:val="both"/>
      </w:pPr>
    </w:p>
    <w:p w14:paraId="1F4C5E0A" w14:textId="61F23162" w:rsidR="00A77B3E" w:rsidRDefault="00DA283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present a case of medial malleolar fracture, and the associated complete syndesmosis injury with </w:t>
      </w:r>
      <w:r w:rsidR="00F6412B">
        <w:rPr>
          <w:rFonts w:ascii="Book Antiqua" w:eastAsia="Book Antiqua" w:hAnsi="Book Antiqua" w:cs="Book Antiqua"/>
          <w:color w:val="000000"/>
        </w:rPr>
        <w:t>interosseous membrane</w:t>
      </w:r>
      <w:r>
        <w:rPr>
          <w:rFonts w:ascii="Book Antiqua" w:eastAsia="Book Antiqua" w:hAnsi="Book Antiqua" w:cs="Book Antiqua"/>
          <w:color w:val="000000"/>
        </w:rPr>
        <w:t xml:space="preserve"> rupture was overlooked, which teaches us to pay more attention to thorough physical examination</w:t>
      </w:r>
      <w:r w:rsidR="00553CEB">
        <w:rPr>
          <w:rFonts w:ascii="Book Antiqua" w:eastAsia="Book Antiqua" w:hAnsi="Book Antiqua" w:cs="Book Antiqua"/>
          <w:color w:val="000000"/>
        </w:rPr>
        <w:t xml:space="preserve"> and </w:t>
      </w:r>
      <w:r>
        <w:rPr>
          <w:rFonts w:ascii="Book Antiqua" w:eastAsia="Book Antiqua" w:hAnsi="Book Antiqua" w:cs="Book Antiqua"/>
          <w:color w:val="000000"/>
        </w:rPr>
        <w:t>exact reading of auxiliary imaging and intraoperative stress fluoroscopy to avoid misdiagnosis. Furthermore, this is the first report describing this pattern of injury as a Maisonneuve-equivalent injury and further classifying Maisonneuve injury into three types.</w:t>
      </w:r>
    </w:p>
    <w:p w14:paraId="26405E22" w14:textId="0F7DBC13" w:rsidR="00A77B3E" w:rsidRDefault="00F6412B">
      <w:pPr>
        <w:spacing w:line="360" w:lineRule="auto"/>
        <w:jc w:val="both"/>
      </w:pPr>
      <w:r>
        <w:br w:type="page"/>
      </w:r>
      <w:r w:rsidR="00DA2836">
        <w:rPr>
          <w:rFonts w:ascii="Book Antiqua" w:eastAsia="Book Antiqua" w:hAnsi="Book Antiqua" w:cs="Book Antiqua"/>
          <w:b/>
          <w:caps/>
          <w:color w:val="000000"/>
          <w:u w:val="single"/>
        </w:rPr>
        <w:t>INTRODUCTION</w:t>
      </w:r>
    </w:p>
    <w:p w14:paraId="0E67FA39" w14:textId="235D54B8" w:rsidR="00A77B3E" w:rsidRDefault="00DA2836">
      <w:pPr>
        <w:spacing w:line="360" w:lineRule="auto"/>
        <w:jc w:val="both"/>
      </w:pPr>
      <w:r>
        <w:rPr>
          <w:rFonts w:ascii="Book Antiqua" w:eastAsia="Book Antiqua" w:hAnsi="Book Antiqua" w:cs="Book Antiqua"/>
          <w:color w:val="000000"/>
        </w:rPr>
        <w:t>Maisonneuve injury was first named after</w:t>
      </w:r>
      <w:r w:rsidR="00553CEB">
        <w:rPr>
          <w:rFonts w:ascii="Book Antiqua" w:eastAsia="Book Antiqua" w:hAnsi="Book Antiqua" w:cs="Book Antiqua"/>
          <w:color w:val="000000"/>
        </w:rPr>
        <w:t xml:space="preserve"> the</w:t>
      </w:r>
      <w:r>
        <w:rPr>
          <w:rFonts w:ascii="Book Antiqua" w:eastAsia="Book Antiqua" w:hAnsi="Book Antiqua" w:cs="Book Antiqua"/>
          <w:color w:val="000000"/>
        </w:rPr>
        <w:t xml:space="preserve"> French surgeon Maisonneuve</w:t>
      </w:r>
      <w:r w:rsidR="00EF6AB2">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1840. The typical pattern of this injury is characterized by a fracture of the proximal fibula, a lesion of the inferior tibiofibular syndesmotic complex, and other possible injuries (rupture of the deltoid ligament, fracture of the medial malleolus</w:t>
      </w:r>
      <w:r w:rsidR="00553CEB">
        <w:rPr>
          <w:rFonts w:ascii="Book Antiqua" w:eastAsia="Book Antiqua" w:hAnsi="Book Antiqua" w:cs="Book Antiqua"/>
          <w:color w:val="000000"/>
        </w:rPr>
        <w:t>,</w:t>
      </w:r>
      <w:r>
        <w:rPr>
          <w:rFonts w:ascii="Book Antiqua" w:eastAsia="Book Antiqua" w:hAnsi="Book Antiqua" w:cs="Book Antiqua"/>
          <w:color w:val="000000"/>
        </w:rPr>
        <w:t xml:space="preserve"> and avulsion fracture of the syndesmotic ligaments). Maisonneuve injury accounts for up to 7% of all ankle fractures, with approximately 5% of ankle fractures treated surgically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45F71534" w14:textId="4DEA551C" w:rsidR="00A77B3E" w:rsidRDefault="00DA2836" w:rsidP="00F6412B">
      <w:pPr>
        <w:spacing w:line="360" w:lineRule="auto"/>
        <w:ind w:firstLineChars="100" w:firstLine="240"/>
        <w:jc w:val="both"/>
      </w:pPr>
      <w:r>
        <w:rPr>
          <w:rFonts w:ascii="Book Antiqua" w:eastAsia="Book Antiqua" w:hAnsi="Book Antiqua" w:cs="Book Antiqua"/>
          <w:color w:val="000000"/>
        </w:rPr>
        <w:t>Tibiofibular syndesmosis is essential for ankle stability. The incidence of syndesmosis injury accounts for 5</w:t>
      </w:r>
      <w:r w:rsidR="00F6412B">
        <w:rPr>
          <w:rFonts w:ascii="Book Antiqua" w:eastAsia="Book Antiqua" w:hAnsi="Book Antiqua" w:cs="Book Antiqua"/>
          <w:color w:val="000000"/>
        </w:rPr>
        <w:t>%</w:t>
      </w:r>
      <w:r>
        <w:rPr>
          <w:rFonts w:ascii="Book Antiqua" w:eastAsia="Book Antiqua" w:hAnsi="Book Antiqua" w:cs="Book Antiqua"/>
          <w:color w:val="000000"/>
        </w:rPr>
        <w:t xml:space="preserve"> to 18% of ankle sprains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Due to diagnostic difficulties, the injury is misidentified and, hence, poorly managed in 20% of cases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Missed diagnosis or improper treatment can lead to chronic complications, especially in complete syndesmosis injury. We present a case of misdiagnosed complete syndesmosis injury involving </w:t>
      </w:r>
      <w:r w:rsidR="00F6412B">
        <w:rPr>
          <w:rFonts w:ascii="Book Antiqua" w:eastAsia="Book Antiqua" w:hAnsi="Book Antiqua" w:cs="Book Antiqua"/>
          <w:color w:val="000000"/>
        </w:rPr>
        <w:t>interosseous membrane (</w:t>
      </w:r>
      <w:r>
        <w:rPr>
          <w:rFonts w:ascii="Book Antiqua" w:eastAsia="Book Antiqua" w:hAnsi="Book Antiqua" w:cs="Book Antiqua"/>
          <w:color w:val="000000"/>
        </w:rPr>
        <w:t>IOM</w:t>
      </w:r>
      <w:r w:rsidR="00F6412B">
        <w:rPr>
          <w:rFonts w:ascii="Book Antiqua" w:eastAsia="Book Antiqua" w:hAnsi="Book Antiqua" w:cs="Book Antiqua"/>
          <w:color w:val="000000"/>
        </w:rPr>
        <w:t>)</w:t>
      </w:r>
      <w:r>
        <w:rPr>
          <w:rFonts w:ascii="Book Antiqua" w:eastAsia="Book Antiqua" w:hAnsi="Book Antiqua" w:cs="Book Antiqua"/>
          <w:color w:val="000000"/>
        </w:rPr>
        <w:t xml:space="preserve"> rupture associated with medial malleolar fracture. This case report emphasizes the importance of thorough physical examination and exact reading of auxiliary imaging to detect latent syndesmosis instability. To our knowledge, this is the first time that</w:t>
      </w:r>
      <w:r w:rsidR="00553CEB">
        <w:rPr>
          <w:rFonts w:ascii="Book Antiqua" w:eastAsia="Book Antiqua" w:hAnsi="Book Antiqua" w:cs="Book Antiqua"/>
          <w:color w:val="000000"/>
        </w:rPr>
        <w:t xml:space="preserve"> </w:t>
      </w:r>
      <w:r>
        <w:rPr>
          <w:rFonts w:ascii="Book Antiqua" w:eastAsia="Book Antiqua" w:hAnsi="Book Antiqua" w:cs="Book Antiqua"/>
          <w:color w:val="000000"/>
        </w:rPr>
        <w:t xml:space="preserve">this pattern injury </w:t>
      </w:r>
      <w:r w:rsidR="00553CEB">
        <w:rPr>
          <w:rFonts w:ascii="Book Antiqua" w:eastAsia="Book Antiqua" w:hAnsi="Book Antiqua" w:cs="Book Antiqua"/>
          <w:color w:val="000000"/>
        </w:rPr>
        <w:t xml:space="preserve">was classified </w:t>
      </w:r>
      <w:r>
        <w:rPr>
          <w:rFonts w:ascii="Book Antiqua" w:eastAsia="Book Antiqua" w:hAnsi="Book Antiqua" w:cs="Book Antiqua"/>
          <w:color w:val="000000"/>
        </w:rPr>
        <w:t>as a Maisonneuve-equivalent injury and</w:t>
      </w:r>
      <w:r w:rsidR="00553CEB">
        <w:rPr>
          <w:rFonts w:ascii="Book Antiqua" w:eastAsia="Book Antiqua" w:hAnsi="Book Antiqua" w:cs="Book Antiqua"/>
          <w:color w:val="000000"/>
        </w:rPr>
        <w:t xml:space="preserve"> </w:t>
      </w:r>
      <w:r>
        <w:rPr>
          <w:rFonts w:ascii="Book Antiqua" w:eastAsia="Book Antiqua" w:hAnsi="Book Antiqua" w:cs="Book Antiqua"/>
          <w:color w:val="000000"/>
        </w:rPr>
        <w:t>further classification of Maisonneuve injury</w:t>
      </w:r>
      <w:r w:rsidR="00553CEB">
        <w:rPr>
          <w:rFonts w:ascii="Book Antiqua" w:eastAsia="Book Antiqua" w:hAnsi="Book Antiqua" w:cs="Book Antiqua"/>
          <w:color w:val="000000"/>
        </w:rPr>
        <w:t xml:space="preserve"> was made</w:t>
      </w:r>
      <w:r>
        <w:rPr>
          <w:rFonts w:ascii="Book Antiqua" w:eastAsia="Book Antiqua" w:hAnsi="Book Antiqua" w:cs="Book Antiqua"/>
          <w:color w:val="000000"/>
        </w:rPr>
        <w:t>.</w:t>
      </w:r>
    </w:p>
    <w:p w14:paraId="32F54415" w14:textId="77777777" w:rsidR="00A77B3E" w:rsidRDefault="00A77B3E" w:rsidP="00F6412B">
      <w:pPr>
        <w:spacing w:line="360" w:lineRule="auto"/>
        <w:jc w:val="both"/>
      </w:pPr>
    </w:p>
    <w:p w14:paraId="0641AB74" w14:textId="77777777" w:rsidR="00A77B3E" w:rsidRDefault="00DA2836">
      <w:pPr>
        <w:spacing w:line="360" w:lineRule="auto"/>
        <w:jc w:val="both"/>
      </w:pPr>
      <w:r>
        <w:rPr>
          <w:rFonts w:ascii="Book Antiqua" w:eastAsia="Book Antiqua" w:hAnsi="Book Antiqua" w:cs="Book Antiqua"/>
          <w:b/>
          <w:caps/>
          <w:color w:val="000000"/>
          <w:u w:val="single"/>
        </w:rPr>
        <w:t>CASE PRESENTATION</w:t>
      </w:r>
    </w:p>
    <w:p w14:paraId="205B421B" w14:textId="77777777" w:rsidR="00A77B3E" w:rsidRDefault="00DA2836">
      <w:pPr>
        <w:spacing w:line="360" w:lineRule="auto"/>
        <w:jc w:val="both"/>
      </w:pPr>
      <w:r>
        <w:rPr>
          <w:rFonts w:ascii="Book Antiqua" w:eastAsia="Book Antiqua" w:hAnsi="Book Antiqua" w:cs="Book Antiqua"/>
          <w:b/>
          <w:i/>
          <w:color w:val="000000"/>
        </w:rPr>
        <w:t>Chief complaints</w:t>
      </w:r>
    </w:p>
    <w:p w14:paraId="6803CBCA" w14:textId="4DD78CFB" w:rsidR="00A77B3E" w:rsidRDefault="00DA2836">
      <w:pPr>
        <w:spacing w:line="360" w:lineRule="auto"/>
        <w:jc w:val="both"/>
      </w:pPr>
      <w:r>
        <w:rPr>
          <w:rFonts w:ascii="Book Antiqua" w:eastAsia="Book Antiqua" w:hAnsi="Book Antiqua" w:cs="Book Antiqua"/>
          <w:color w:val="000000"/>
        </w:rPr>
        <w:t xml:space="preserve">A healthy 16-year-old </w:t>
      </w:r>
      <w:r w:rsidR="00EB77A2">
        <w:rPr>
          <w:rFonts w:ascii="Book Antiqua" w:eastAsia="Book Antiqua" w:hAnsi="Book Antiqua" w:cs="Book Antiqua"/>
          <w:color w:val="000000"/>
        </w:rPr>
        <w:t xml:space="preserve">male </w:t>
      </w:r>
      <w:r>
        <w:rPr>
          <w:rFonts w:ascii="Book Antiqua" w:eastAsia="Book Antiqua" w:hAnsi="Book Antiqua" w:cs="Book Antiqua"/>
          <w:color w:val="000000"/>
        </w:rPr>
        <w:t>student presented to the emergency department of our hospital due to left ankle trauma consequent to a car accident, complaining of severe pain and swelling on his left ankle.</w:t>
      </w:r>
    </w:p>
    <w:p w14:paraId="15BABE71" w14:textId="77777777" w:rsidR="00A77B3E" w:rsidRDefault="00A77B3E">
      <w:pPr>
        <w:spacing w:line="360" w:lineRule="auto"/>
        <w:jc w:val="both"/>
      </w:pPr>
    </w:p>
    <w:p w14:paraId="3828A77A" w14:textId="77777777" w:rsidR="00A77B3E" w:rsidRDefault="00DA2836">
      <w:pPr>
        <w:spacing w:line="360" w:lineRule="auto"/>
        <w:jc w:val="both"/>
      </w:pPr>
      <w:r>
        <w:rPr>
          <w:rFonts w:ascii="Book Antiqua" w:eastAsia="Book Antiqua" w:hAnsi="Book Antiqua" w:cs="Book Antiqua"/>
          <w:b/>
          <w:i/>
          <w:color w:val="000000"/>
        </w:rPr>
        <w:t>History of past illness</w:t>
      </w:r>
    </w:p>
    <w:p w14:paraId="0AADD687" w14:textId="77777777" w:rsidR="00A77B3E" w:rsidRDefault="00DA2836">
      <w:pPr>
        <w:spacing w:line="360" w:lineRule="auto"/>
        <w:jc w:val="both"/>
      </w:pPr>
      <w:r>
        <w:rPr>
          <w:rFonts w:ascii="Book Antiqua" w:eastAsia="Book Antiqua" w:hAnsi="Book Antiqua" w:cs="Book Antiqua"/>
          <w:color w:val="000000"/>
        </w:rPr>
        <w:t>The patient’s past medical history was unremarkable.</w:t>
      </w:r>
    </w:p>
    <w:p w14:paraId="4A0BBF66" w14:textId="77777777" w:rsidR="00A77B3E" w:rsidRDefault="00A77B3E">
      <w:pPr>
        <w:spacing w:line="360" w:lineRule="auto"/>
        <w:jc w:val="both"/>
      </w:pPr>
    </w:p>
    <w:p w14:paraId="3FBA9B66" w14:textId="77777777" w:rsidR="00A77B3E" w:rsidRDefault="00DA2836">
      <w:pPr>
        <w:spacing w:line="360" w:lineRule="auto"/>
        <w:jc w:val="both"/>
      </w:pPr>
      <w:r>
        <w:rPr>
          <w:rFonts w:ascii="Book Antiqua" w:eastAsia="Book Antiqua" w:hAnsi="Book Antiqua" w:cs="Book Antiqua"/>
          <w:b/>
          <w:i/>
          <w:color w:val="000000"/>
        </w:rPr>
        <w:t>Personal and family history</w:t>
      </w:r>
    </w:p>
    <w:p w14:paraId="74E86EBE" w14:textId="31CFFF25" w:rsidR="00A77B3E" w:rsidRDefault="002C255E">
      <w:pPr>
        <w:spacing w:line="360" w:lineRule="auto"/>
        <w:jc w:val="both"/>
      </w:pPr>
      <w:r>
        <w:rPr>
          <w:rFonts w:ascii="Book Antiqua" w:eastAsia="Book Antiqua" w:hAnsi="Book Antiqua" w:cs="Book Antiqua"/>
          <w:color w:val="000000"/>
        </w:rPr>
        <w:t xml:space="preserve">The patient’s </w:t>
      </w:r>
      <w:r w:rsidR="00DA2836">
        <w:rPr>
          <w:rFonts w:ascii="Book Antiqua" w:eastAsia="Book Antiqua" w:hAnsi="Book Antiqua" w:cs="Book Antiqua"/>
          <w:color w:val="000000"/>
        </w:rPr>
        <w:t>personal and family history contained nothing of note. There was no family history of related inherent diseases.</w:t>
      </w:r>
    </w:p>
    <w:p w14:paraId="13ED754C" w14:textId="77777777" w:rsidR="00A77B3E" w:rsidRDefault="00A77B3E">
      <w:pPr>
        <w:spacing w:line="360" w:lineRule="auto"/>
        <w:jc w:val="both"/>
      </w:pPr>
    </w:p>
    <w:p w14:paraId="17B9AB45" w14:textId="77777777" w:rsidR="00A77B3E" w:rsidRDefault="00DA2836">
      <w:pPr>
        <w:spacing w:line="360" w:lineRule="auto"/>
        <w:jc w:val="both"/>
      </w:pPr>
      <w:r>
        <w:rPr>
          <w:rFonts w:ascii="Book Antiqua" w:eastAsia="Book Antiqua" w:hAnsi="Book Antiqua" w:cs="Book Antiqua"/>
          <w:b/>
          <w:i/>
          <w:color w:val="000000"/>
        </w:rPr>
        <w:t>Physical examination</w:t>
      </w:r>
    </w:p>
    <w:p w14:paraId="48EC348E" w14:textId="4AC0CA4B" w:rsidR="00A77B3E" w:rsidRDefault="00DA2836">
      <w:pPr>
        <w:spacing w:line="360" w:lineRule="auto"/>
        <w:jc w:val="both"/>
      </w:pPr>
      <w:r>
        <w:rPr>
          <w:rFonts w:ascii="Book Antiqua" w:eastAsia="Book Antiqua" w:hAnsi="Book Antiqua" w:cs="Book Antiqua"/>
          <w:color w:val="000000"/>
        </w:rPr>
        <w:t>Physical examination revealed a closed ankle injury with swelling, ecchymoses over the medial aspect</w:t>
      </w:r>
      <w:r w:rsidR="002C255E">
        <w:rPr>
          <w:rFonts w:ascii="Book Antiqua" w:eastAsia="Book Antiqua" w:hAnsi="Book Antiqua" w:cs="Book Antiqua"/>
          <w:color w:val="000000"/>
        </w:rPr>
        <w:t>,</w:t>
      </w:r>
      <w:r>
        <w:rPr>
          <w:rFonts w:ascii="Book Antiqua" w:eastAsia="Book Antiqua" w:hAnsi="Book Antiqua" w:cs="Book Antiqua"/>
          <w:color w:val="000000"/>
        </w:rPr>
        <w:t xml:space="preserve"> and tenderness around the ankle. There was no tenderness or crack at the proximal fibula. There was no neurological deficit. Dorsalis pedis and tibialis posterior artery pulses were palpable.</w:t>
      </w:r>
    </w:p>
    <w:p w14:paraId="28A91829" w14:textId="77777777" w:rsidR="00A77B3E" w:rsidRDefault="00A77B3E">
      <w:pPr>
        <w:spacing w:line="360" w:lineRule="auto"/>
        <w:jc w:val="both"/>
      </w:pPr>
    </w:p>
    <w:p w14:paraId="7A1097EF" w14:textId="77777777" w:rsidR="00A77B3E" w:rsidRDefault="00DA2836">
      <w:pPr>
        <w:spacing w:line="360" w:lineRule="auto"/>
        <w:jc w:val="both"/>
      </w:pPr>
      <w:r>
        <w:rPr>
          <w:rFonts w:ascii="Book Antiqua" w:eastAsia="Book Antiqua" w:hAnsi="Book Antiqua" w:cs="Book Antiqua"/>
          <w:b/>
          <w:i/>
          <w:color w:val="000000"/>
        </w:rPr>
        <w:t>Laboratory examinations</w:t>
      </w:r>
    </w:p>
    <w:p w14:paraId="69A1B11F" w14:textId="611D8A18" w:rsidR="00A77B3E" w:rsidRDefault="00DA2836">
      <w:pPr>
        <w:spacing w:line="360" w:lineRule="auto"/>
        <w:jc w:val="both"/>
      </w:pPr>
      <w:r>
        <w:rPr>
          <w:rFonts w:ascii="Book Antiqua" w:eastAsia="Book Antiqua" w:hAnsi="Book Antiqua" w:cs="Book Antiqua"/>
          <w:color w:val="000000"/>
        </w:rPr>
        <w:t>Laboratory evaluation, including complete blood count, blood biochemistry</w:t>
      </w:r>
      <w:r w:rsidR="002C255E">
        <w:rPr>
          <w:rFonts w:ascii="Book Antiqua" w:eastAsia="Book Antiqua" w:hAnsi="Book Antiqua" w:cs="Book Antiqua"/>
          <w:color w:val="000000"/>
        </w:rPr>
        <w:t>,</w:t>
      </w:r>
      <w:r>
        <w:rPr>
          <w:rFonts w:ascii="Book Antiqua" w:eastAsia="Book Antiqua" w:hAnsi="Book Antiqua" w:cs="Book Antiqua"/>
          <w:color w:val="000000"/>
        </w:rPr>
        <w:t xml:space="preserve"> and coagulation function, revealed no significant abnormalities.</w:t>
      </w:r>
    </w:p>
    <w:p w14:paraId="7B14D17E" w14:textId="77777777" w:rsidR="00A77B3E" w:rsidRDefault="00A77B3E">
      <w:pPr>
        <w:spacing w:line="360" w:lineRule="auto"/>
        <w:jc w:val="both"/>
      </w:pPr>
    </w:p>
    <w:p w14:paraId="68B5C9CE" w14:textId="77777777" w:rsidR="00A77B3E" w:rsidRDefault="00DA2836">
      <w:pPr>
        <w:spacing w:line="360" w:lineRule="auto"/>
        <w:jc w:val="both"/>
      </w:pPr>
      <w:r>
        <w:rPr>
          <w:rFonts w:ascii="Book Antiqua" w:eastAsia="Book Antiqua" w:hAnsi="Book Antiqua" w:cs="Book Antiqua"/>
          <w:b/>
          <w:i/>
          <w:color w:val="000000"/>
        </w:rPr>
        <w:t>Imaging examinations</w:t>
      </w:r>
    </w:p>
    <w:p w14:paraId="210BC791" w14:textId="215C9A72" w:rsidR="00A77B3E" w:rsidRDefault="00DA2836">
      <w:pPr>
        <w:spacing w:line="360" w:lineRule="auto"/>
        <w:jc w:val="both"/>
      </w:pPr>
      <w:r>
        <w:rPr>
          <w:rFonts w:ascii="Book Antiqua" w:eastAsia="Book Antiqua" w:hAnsi="Book Antiqua" w:cs="Book Antiqua"/>
          <w:color w:val="000000"/>
        </w:rPr>
        <w:t xml:space="preserve">The left ankle radiographs of anteroposterior (AP) and lateral views, which were performed </w:t>
      </w:r>
      <w:r w:rsidR="002C255E">
        <w:rPr>
          <w:rFonts w:ascii="Book Antiqua" w:eastAsia="Book Antiqua" w:hAnsi="Book Antiqua" w:cs="Book Antiqua"/>
          <w:color w:val="000000"/>
        </w:rPr>
        <w:t xml:space="preserve">at </w:t>
      </w:r>
      <w:r>
        <w:rPr>
          <w:rFonts w:ascii="Book Antiqua" w:eastAsia="Book Antiqua" w:hAnsi="Book Antiqua" w:cs="Book Antiqua"/>
          <w:color w:val="000000"/>
        </w:rPr>
        <w:t xml:space="preserve">another hospital, showed only medial malleolar fracture (Figure 1), which was also revealed in </w:t>
      </w:r>
      <w:r w:rsidR="002C255E">
        <w:rPr>
          <w:rFonts w:ascii="Book Antiqua" w:eastAsia="Book Antiqua" w:hAnsi="Book Antiqua" w:cs="Book Antiqua"/>
          <w:color w:val="000000"/>
        </w:rPr>
        <w:t xml:space="preserve">a </w:t>
      </w:r>
      <w:r>
        <w:rPr>
          <w:rFonts w:ascii="Book Antiqua" w:eastAsia="Book Antiqua" w:hAnsi="Book Antiqua" w:cs="Book Antiqua"/>
          <w:color w:val="000000"/>
        </w:rPr>
        <w:t xml:space="preserve">computed tomography (CT) scan. Postoperatively, radiograph </w:t>
      </w:r>
      <w:r w:rsidR="002C255E">
        <w:rPr>
          <w:rFonts w:ascii="Book Antiqua" w:eastAsia="Book Antiqua" w:hAnsi="Book Antiqua" w:cs="Book Antiqua"/>
          <w:color w:val="000000"/>
        </w:rPr>
        <w:t xml:space="preserve">of </w:t>
      </w:r>
      <w:r>
        <w:rPr>
          <w:rFonts w:ascii="Book Antiqua" w:eastAsia="Book Antiqua" w:hAnsi="Book Antiqua" w:cs="Book Antiqua"/>
          <w:color w:val="000000"/>
        </w:rPr>
        <w:t xml:space="preserve">AP view showed syndesmosis injury (Figure 2), and calf magnetic resonance imaging (MRI) revealed </w:t>
      </w:r>
      <w:r w:rsidR="002C255E">
        <w:rPr>
          <w:rFonts w:ascii="Book Antiqua" w:eastAsia="Book Antiqua" w:hAnsi="Book Antiqua" w:cs="Book Antiqua"/>
          <w:color w:val="000000"/>
        </w:rPr>
        <w:t xml:space="preserve">an </w:t>
      </w:r>
      <w:r>
        <w:rPr>
          <w:rFonts w:ascii="Book Antiqua" w:eastAsia="Book Antiqua" w:hAnsi="Book Antiqua" w:cs="Book Antiqua"/>
          <w:color w:val="000000"/>
        </w:rPr>
        <w:t>IOM rupture, surrounded by areas of high signal intensity representing hemorrhage and edema (Figure 3).</w:t>
      </w:r>
    </w:p>
    <w:p w14:paraId="5BF3D672" w14:textId="77777777" w:rsidR="00A77B3E" w:rsidRDefault="00A77B3E">
      <w:pPr>
        <w:spacing w:line="360" w:lineRule="auto"/>
        <w:jc w:val="both"/>
      </w:pPr>
    </w:p>
    <w:p w14:paraId="3476CC46" w14:textId="77777777" w:rsidR="00A77B3E" w:rsidRDefault="00DA2836">
      <w:pPr>
        <w:spacing w:line="360" w:lineRule="auto"/>
        <w:jc w:val="both"/>
      </w:pPr>
      <w:r>
        <w:rPr>
          <w:rFonts w:ascii="Book Antiqua" w:eastAsia="Book Antiqua" w:hAnsi="Book Antiqua" w:cs="Book Antiqua"/>
          <w:b/>
          <w:caps/>
          <w:color w:val="000000"/>
          <w:u w:val="single"/>
        </w:rPr>
        <w:t>FINAL DIAGNOSIS</w:t>
      </w:r>
    </w:p>
    <w:p w14:paraId="4C8772BE" w14:textId="77777777" w:rsidR="00A77B3E" w:rsidRDefault="00DA2836">
      <w:pPr>
        <w:spacing w:line="360" w:lineRule="auto"/>
        <w:jc w:val="both"/>
      </w:pPr>
      <w:r>
        <w:rPr>
          <w:rFonts w:ascii="Book Antiqua" w:eastAsia="Book Antiqua" w:hAnsi="Book Antiqua" w:cs="Book Antiqua"/>
          <w:color w:val="000000"/>
        </w:rPr>
        <w:t>The final diagnosis was complete syndesmosis injury with IOM rupture and medial malleolar fracture of the left ankle.</w:t>
      </w:r>
    </w:p>
    <w:p w14:paraId="0349D0A6" w14:textId="77777777" w:rsidR="00A77B3E" w:rsidRDefault="00A77B3E">
      <w:pPr>
        <w:spacing w:line="360" w:lineRule="auto"/>
        <w:jc w:val="both"/>
      </w:pPr>
    </w:p>
    <w:p w14:paraId="41D619D1" w14:textId="77777777" w:rsidR="00A77B3E" w:rsidRDefault="00DA2836">
      <w:pPr>
        <w:spacing w:line="360" w:lineRule="auto"/>
        <w:jc w:val="both"/>
      </w:pPr>
      <w:r>
        <w:rPr>
          <w:rFonts w:ascii="Book Antiqua" w:eastAsia="Book Antiqua" w:hAnsi="Book Antiqua" w:cs="Book Antiqua"/>
          <w:b/>
          <w:caps/>
          <w:color w:val="000000"/>
          <w:u w:val="single"/>
        </w:rPr>
        <w:t>TREATMENT</w:t>
      </w:r>
    </w:p>
    <w:p w14:paraId="4DA93288" w14:textId="5BF25540" w:rsidR="00A77B3E" w:rsidRDefault="00DA2836">
      <w:pPr>
        <w:spacing w:line="360" w:lineRule="auto"/>
        <w:jc w:val="both"/>
      </w:pPr>
      <w:r>
        <w:rPr>
          <w:rFonts w:ascii="Book Antiqua" w:eastAsia="Book Antiqua" w:hAnsi="Book Antiqua" w:cs="Book Antiqua"/>
          <w:color w:val="000000"/>
        </w:rPr>
        <w:t>In the emergency department, radiographs of the proximal fibula were not performed because the patient reported no pain in the proximal fibula. In addition, physical examination also showed no tenderness or cracks at the proximal fibula. The injured limb was immobilized in a posterior short leg plaster, and then the patient was admitted to the orthopedic trauma ward and underwent CT scans to better identify the injury details. Except for a fractured medial malleolus, preoperative CT scans revealed no inferior tibiofibular diastasis according to Bartoníček</w:t>
      </w:r>
      <w:r w:rsidR="00327751">
        <w:rPr>
          <w:rFonts w:ascii="Book Antiqua" w:eastAsia="Book Antiqua" w:hAnsi="Book Antiqua" w:cs="Book Antiqua"/>
          <w:color w:val="000000"/>
        </w:rPr>
        <w:t xml:space="preserve"> </w:t>
      </w:r>
      <w:r w:rsidR="00327751" w:rsidRPr="00327751">
        <w:rPr>
          <w:rFonts w:ascii="Book Antiqua" w:eastAsia="Book Antiqua" w:hAnsi="Book Antiqua" w:cs="Book Antiqua"/>
          <w:i/>
          <w:iCs/>
          <w:color w:val="000000"/>
        </w:rPr>
        <w:t>et al</w:t>
      </w:r>
      <w:r w:rsidR="00327751">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’s evaluation method (Figure 4A) and </w:t>
      </w:r>
      <w:r w:rsidR="00327751" w:rsidRPr="00327751">
        <w:rPr>
          <w:rFonts w:ascii="Book Antiqua" w:eastAsia="Book Antiqua" w:hAnsi="Book Antiqua" w:cs="Book Antiqua"/>
          <w:color w:val="000000"/>
        </w:rPr>
        <w:t xml:space="preserve">Gifford </w:t>
      </w:r>
      <w:r w:rsidR="00327751">
        <w:rPr>
          <w:rFonts w:ascii="Book Antiqua" w:eastAsia="Book Antiqua" w:hAnsi="Book Antiqua" w:cs="Book Antiqua"/>
          <w:color w:val="000000"/>
        </w:rPr>
        <w:t>and</w:t>
      </w:r>
      <w:r w:rsidR="00327751" w:rsidRPr="00327751">
        <w:rPr>
          <w:rFonts w:ascii="Book Antiqua" w:eastAsia="Book Antiqua" w:hAnsi="Book Antiqua" w:cs="Book Antiqua"/>
          <w:color w:val="000000"/>
        </w:rPr>
        <w:t xml:space="preserve"> Lutz</w:t>
      </w:r>
      <w:r w:rsidR="00327751">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tibiofibular line (Figure 4B).</w:t>
      </w:r>
    </w:p>
    <w:p w14:paraId="6F046073" w14:textId="59E042EA" w:rsidR="00A77B3E" w:rsidRDefault="00DA2836" w:rsidP="00F6412B">
      <w:pPr>
        <w:spacing w:line="360" w:lineRule="auto"/>
        <w:ind w:firstLineChars="100" w:firstLine="240"/>
        <w:jc w:val="both"/>
      </w:pPr>
      <w:r>
        <w:rPr>
          <w:rFonts w:ascii="Book Antiqua" w:eastAsia="Book Antiqua" w:hAnsi="Book Antiqua" w:cs="Book Antiqua"/>
          <w:color w:val="000000"/>
        </w:rPr>
        <w:t xml:space="preserve">The patient underwent open reduction and internal fixation of the left medial malleolar fracture on the second day after injury. In the supine position, the surgical procedure was managed under epidural anesthesia and thigh tourniquet control. The fracture fragment was explored through an anteromedial approach. After hematoma drainage and interposed soft tissue removal, the fracture was reduced anatomically and fixed with two partially threaded cannulated screws. Intraoperative fluoroscopy indicated anatomic reduction of the medial malleolus with no widened tibiofibular clear space (TFCS) and medial clear space (MCS). However, the preoperative diagnosis was suspected and denied because postoperative radiograph </w:t>
      </w:r>
      <w:r w:rsidR="002C255E">
        <w:rPr>
          <w:rFonts w:ascii="Book Antiqua" w:eastAsia="Book Antiqua" w:hAnsi="Book Antiqua" w:cs="Book Antiqua"/>
          <w:color w:val="000000"/>
        </w:rPr>
        <w:t xml:space="preserve">of </w:t>
      </w:r>
      <w:r>
        <w:rPr>
          <w:rFonts w:ascii="Book Antiqua" w:eastAsia="Book Antiqua" w:hAnsi="Book Antiqua" w:cs="Book Antiqua"/>
          <w:color w:val="000000"/>
        </w:rPr>
        <w:t xml:space="preserve">AP view showed enlarged TFCS and MCS (Figure 2). Immediately, radiographs of the proximal fibula were performed to </w:t>
      </w:r>
      <w:r w:rsidR="002C255E">
        <w:rPr>
          <w:rFonts w:ascii="Book Antiqua" w:eastAsia="Book Antiqua" w:hAnsi="Book Antiqua" w:cs="Book Antiqua"/>
          <w:color w:val="000000"/>
        </w:rPr>
        <w:t xml:space="preserve">rule out </w:t>
      </w:r>
      <w:r>
        <w:rPr>
          <w:rFonts w:ascii="Book Antiqua" w:eastAsia="Book Antiqua" w:hAnsi="Book Antiqua" w:cs="Book Antiqua"/>
          <w:color w:val="000000"/>
        </w:rPr>
        <w:t>no fractures, but calf MRI revealed IOM rupture, surrounded by areas of high signal intensity representing hemorrhage and edema (Figure 3). As a windfall gain surprised us, a retrospective review of preoperative axial CT scans in the soft tissue window demonstrated that the IOM was torn from the fibular interosseous crest corresponding to the MRI findings (Figure 5A). The extent of IOM complete rupture was approximately 47.5 mm (1.25 mm/slice</w:t>
      </w:r>
      <w:r w:rsidR="00F6412B">
        <w:rPr>
          <w:rFonts w:ascii="Book Antiqua" w:eastAsia="Book Antiqua" w:hAnsi="Book Antiqua" w:cs="Book Antiqua"/>
          <w:color w:val="000000"/>
        </w:rPr>
        <w:t xml:space="preserve"> </w:t>
      </w:r>
      <w:r>
        <w:rPr>
          <w:rFonts w:ascii="Book Antiqua" w:eastAsia="Book Antiqua" w:hAnsi="Book Antiqua" w:cs="Book Antiqua"/>
          <w:color w:val="000000"/>
        </w:rPr>
        <w:t>×</w:t>
      </w:r>
      <w:r w:rsidR="00F6412B">
        <w:rPr>
          <w:rFonts w:ascii="Book Antiqua" w:eastAsia="Book Antiqua" w:hAnsi="Book Antiqua" w:cs="Book Antiqua"/>
          <w:color w:val="000000"/>
        </w:rPr>
        <w:t xml:space="preserve"> </w:t>
      </w:r>
      <w:r>
        <w:rPr>
          <w:rFonts w:ascii="Book Antiqua" w:eastAsia="Book Antiqua" w:hAnsi="Book Antiqua" w:cs="Book Antiqua"/>
          <w:color w:val="000000"/>
        </w:rPr>
        <w:t>38 slices) above the talar dome. Furthermore, two minor bone fragments that could not be captured at all in the bone window were detected near the anterior tubercle and posterior tubercle of the distal tibia (a type of mini-Chaput fracture and mini-Volkmann fracture) (Figure 5B and C), which indicated avulsion fracture of the anterior inferior tibiofibular ligament (AITFL) and posterior inferior tibiofibular ligament (PITFL), respectively. In short, the inferior tibiofibular syndesmosis was completely injured and reduced spontaneously after the accident</w:t>
      </w:r>
      <w:r w:rsidR="00956EEF">
        <w:rPr>
          <w:rFonts w:ascii="Book Antiqua" w:eastAsia="Book Antiqua" w:hAnsi="Book Antiqua" w:cs="Book Antiqua"/>
          <w:color w:val="000000"/>
        </w:rPr>
        <w:t xml:space="preserve"> (Figure 5)</w:t>
      </w:r>
      <w:r>
        <w:rPr>
          <w:rFonts w:ascii="Book Antiqua" w:eastAsia="Book Antiqua" w:hAnsi="Book Antiqua" w:cs="Book Antiqua"/>
          <w:color w:val="000000"/>
        </w:rPr>
        <w:t>.</w:t>
      </w:r>
    </w:p>
    <w:p w14:paraId="15F4FBD7" w14:textId="1983CDD5" w:rsidR="00A77B3E" w:rsidRDefault="00DA2836" w:rsidP="00347912">
      <w:pPr>
        <w:spacing w:line="360" w:lineRule="auto"/>
        <w:ind w:firstLineChars="100" w:firstLine="240"/>
        <w:jc w:val="both"/>
      </w:pPr>
      <w:r>
        <w:rPr>
          <w:rFonts w:ascii="Book Antiqua" w:eastAsia="Book Antiqua" w:hAnsi="Book Antiqua" w:cs="Book Antiqua"/>
          <w:color w:val="000000"/>
        </w:rPr>
        <w:t xml:space="preserve">After consent was obtained from the patient and </w:t>
      </w:r>
      <w:r w:rsidR="00EB77A2">
        <w:rPr>
          <w:rFonts w:ascii="Book Antiqua" w:eastAsia="Book Antiqua" w:hAnsi="Book Antiqua" w:cs="Book Antiqua"/>
          <w:color w:val="000000"/>
        </w:rPr>
        <w:t xml:space="preserve">his </w:t>
      </w:r>
      <w:r>
        <w:rPr>
          <w:rFonts w:ascii="Book Antiqua" w:eastAsia="Book Antiqua" w:hAnsi="Book Antiqua" w:cs="Book Antiqua"/>
          <w:color w:val="000000"/>
        </w:rPr>
        <w:t xml:space="preserve">family, secondary surgical intervention was conducted in the supine position and under epidural anesthesia on the second day post operation. An anterior incision was made to explore the inferior tibiofibular syndesmosis under direct visualization. Complete syndesmotic diastasis with the AITFL interposition was confirmed. The diastasis was reduced anatomically and maintained using two 3.5-mm fully threaded cortical screws oriented 30° from posterior to anterior with the ankle dorsiflexed (Figure 6). Rupture of the AITFL was treated by means of figure-eight suture reconstruction. Intraoperative stress fluoroscopy was performed to verify the syndesmotic stability with an external rotation test and valgus test. Postoperatively, the ankle was immobilized in a U-shaped plaster for </w:t>
      </w:r>
      <w:r w:rsidR="00EB77A2">
        <w:rPr>
          <w:rFonts w:ascii="Book Antiqua" w:eastAsia="Book Antiqua" w:hAnsi="Book Antiqua" w:cs="Book Antiqua"/>
          <w:color w:val="000000"/>
        </w:rPr>
        <w:t xml:space="preserve">2 </w:t>
      </w:r>
      <w:r>
        <w:rPr>
          <w:rFonts w:ascii="Book Antiqua" w:eastAsia="Book Antiqua" w:hAnsi="Book Antiqua" w:cs="Book Antiqua"/>
          <w:color w:val="000000"/>
        </w:rPr>
        <w:t>wk, and then active and passive mobilization of the ankle was started.</w:t>
      </w:r>
    </w:p>
    <w:p w14:paraId="726E157C" w14:textId="77777777" w:rsidR="00A77B3E" w:rsidRDefault="00A77B3E" w:rsidP="00347912">
      <w:pPr>
        <w:spacing w:line="360" w:lineRule="auto"/>
        <w:jc w:val="both"/>
      </w:pPr>
    </w:p>
    <w:p w14:paraId="043B2099" w14:textId="77777777" w:rsidR="00A77B3E" w:rsidRDefault="00DA2836">
      <w:pPr>
        <w:spacing w:line="360" w:lineRule="auto"/>
        <w:jc w:val="both"/>
      </w:pPr>
      <w:r>
        <w:rPr>
          <w:rFonts w:ascii="Book Antiqua" w:eastAsia="Book Antiqua" w:hAnsi="Book Antiqua" w:cs="Book Antiqua"/>
          <w:b/>
          <w:caps/>
          <w:color w:val="000000"/>
          <w:u w:val="single"/>
        </w:rPr>
        <w:t>OUTCOME AND FOLLOW-UP</w:t>
      </w:r>
    </w:p>
    <w:p w14:paraId="6B5E4C72" w14:textId="079C0CAA" w:rsidR="00A77B3E" w:rsidRDefault="00DA2836">
      <w:pPr>
        <w:spacing w:line="360" w:lineRule="auto"/>
        <w:jc w:val="both"/>
      </w:pPr>
      <w:r>
        <w:rPr>
          <w:rFonts w:ascii="Book Antiqua" w:eastAsia="Book Antiqua" w:hAnsi="Book Antiqua" w:cs="Book Antiqua"/>
          <w:color w:val="000000"/>
        </w:rPr>
        <w:t>Before the syndesmotic screws were removed, the patient completed non-weight</w:t>
      </w:r>
      <w:r w:rsidR="00EB77A2">
        <w:rPr>
          <w:rFonts w:ascii="Book Antiqua" w:eastAsia="Book Antiqua" w:hAnsi="Book Antiqua" w:cs="Book Antiqua"/>
          <w:color w:val="000000"/>
        </w:rPr>
        <w:t>-</w:t>
      </w:r>
      <w:r>
        <w:rPr>
          <w:rFonts w:ascii="Book Antiqua" w:eastAsia="Book Antiqua" w:hAnsi="Book Antiqua" w:cs="Book Antiqua"/>
          <w:color w:val="000000"/>
        </w:rPr>
        <w:t>bearing exercise for 10 wk, and then initiated weight bearing progressively. At the 6-mo</w:t>
      </w:r>
      <w:r w:rsidR="00347912">
        <w:rPr>
          <w:rFonts w:ascii="Book Antiqua" w:eastAsia="Book Antiqua" w:hAnsi="Book Antiqua" w:cs="Book Antiqua"/>
          <w:color w:val="000000"/>
        </w:rPr>
        <w:t xml:space="preserve"> </w:t>
      </w:r>
      <w:r>
        <w:rPr>
          <w:rFonts w:ascii="Book Antiqua" w:eastAsia="Book Antiqua" w:hAnsi="Book Antiqua" w:cs="Book Antiqua"/>
          <w:color w:val="000000"/>
        </w:rPr>
        <w:t>postoperative visit, the patient gained full range of motion of the ankle and was restored to the preinjury activity level. The partially threaded cannulated screws were removed 12 mo</w:t>
      </w:r>
      <w:r w:rsidR="00347912">
        <w:rPr>
          <w:rFonts w:ascii="Book Antiqua" w:eastAsia="Book Antiqua" w:hAnsi="Book Antiqua" w:cs="Book Antiqua"/>
          <w:color w:val="000000"/>
        </w:rPr>
        <w:t xml:space="preserve"> </w:t>
      </w:r>
      <w:r>
        <w:rPr>
          <w:rFonts w:ascii="Book Antiqua" w:eastAsia="Book Antiqua" w:hAnsi="Book Antiqua" w:cs="Book Antiqua"/>
          <w:color w:val="000000"/>
        </w:rPr>
        <w:t>postoperatively.</w:t>
      </w:r>
    </w:p>
    <w:p w14:paraId="1BA79A77" w14:textId="77777777" w:rsidR="00A77B3E" w:rsidRDefault="00A77B3E">
      <w:pPr>
        <w:spacing w:line="360" w:lineRule="auto"/>
        <w:jc w:val="both"/>
      </w:pPr>
    </w:p>
    <w:p w14:paraId="07DD9430" w14:textId="77777777" w:rsidR="00A77B3E" w:rsidRDefault="00DA2836">
      <w:pPr>
        <w:spacing w:line="360" w:lineRule="auto"/>
        <w:jc w:val="both"/>
      </w:pPr>
      <w:r>
        <w:rPr>
          <w:rFonts w:ascii="Book Antiqua" w:eastAsia="Book Antiqua" w:hAnsi="Book Antiqua" w:cs="Book Antiqua"/>
          <w:b/>
          <w:caps/>
          <w:color w:val="000000"/>
          <w:u w:val="single"/>
        </w:rPr>
        <w:t>DISCUSSION</w:t>
      </w:r>
    </w:p>
    <w:p w14:paraId="5A8A9774" w14:textId="6DF19216" w:rsidR="00A77B3E" w:rsidRDefault="00DA2836">
      <w:pPr>
        <w:spacing w:line="360" w:lineRule="auto"/>
        <w:jc w:val="both"/>
      </w:pPr>
      <w:r>
        <w:rPr>
          <w:rFonts w:ascii="Book Antiqua" w:eastAsia="Book Antiqua" w:hAnsi="Book Antiqua" w:cs="Book Antiqua"/>
          <w:color w:val="000000"/>
        </w:rPr>
        <w:t>Syndesmosis injury may occur in isolation or be accompanied by other ankle injuries, accounting for 5</w:t>
      </w:r>
      <w:r w:rsidR="00347912">
        <w:rPr>
          <w:rFonts w:ascii="Book Antiqua" w:eastAsia="Book Antiqua" w:hAnsi="Book Antiqua" w:cs="Book Antiqua"/>
          <w:color w:val="000000"/>
        </w:rPr>
        <w:t>%</w:t>
      </w:r>
      <w:r>
        <w:rPr>
          <w:rFonts w:ascii="Book Antiqua" w:eastAsia="Book Antiqua" w:hAnsi="Book Antiqua" w:cs="Book Antiqua"/>
          <w:color w:val="000000"/>
        </w:rPr>
        <w:t xml:space="preserve"> to 18% of ankle sprains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It is difficult to diagnose accurately at the initial visit, with up to 20% overlooked in emergency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Missed diagnosis or improper treatment can lead to chronic complications, such as instability, pain after activity</w:t>
      </w:r>
      <w:r w:rsidR="007839C5">
        <w:rPr>
          <w:rFonts w:ascii="Book Antiqua" w:eastAsia="Book Antiqua" w:hAnsi="Book Antiqua" w:cs="Book Antiqua"/>
          <w:color w:val="000000"/>
        </w:rPr>
        <w:t>,</w:t>
      </w:r>
      <w:r>
        <w:rPr>
          <w:rFonts w:ascii="Book Antiqua" w:eastAsia="Book Antiqua" w:hAnsi="Book Antiqua" w:cs="Book Antiqua"/>
          <w:color w:val="000000"/>
        </w:rPr>
        <w:t xml:space="preserve"> and osteoarthritis in the long term. Although auxiliary imaging assessment is essential to diagnosing this injury, clinical stress tests, including the valgus stress test, external rotation stress test, squeeze test, crossed-leg test</w:t>
      </w:r>
      <w:r w:rsidR="007839C5">
        <w:rPr>
          <w:rFonts w:ascii="Book Antiqua" w:eastAsia="Book Antiqua" w:hAnsi="Book Antiqua" w:cs="Book Antiqua"/>
          <w:color w:val="000000"/>
        </w:rPr>
        <w:t>,</w:t>
      </w:r>
      <w:r>
        <w:rPr>
          <w:rFonts w:ascii="Book Antiqua" w:eastAsia="Book Antiqua" w:hAnsi="Book Antiqua" w:cs="Book Antiqua"/>
          <w:color w:val="000000"/>
        </w:rPr>
        <w:t xml:space="preserve"> and Cotton test, also play an important role in the primary diagnosis. In the present case, we excessively assessed syndesmosis based on CT imaging and overfocused on matching the fibula and notch of the distal tibia in the bone window while ignoring syndesmotic soft tissue injury. If avulsion at the ventral and dorsal syndesmosis would have been caught in the soft tissue window before the primary surgery, the instability of the syndesmosis could potentially have raised suspicion. Stress tests could have been performed, and then secondary surgery would have been avoided. In addition, the well-known hook test is usually adopted to assess syndesmotic stability intraoperatively. If there is no lateral incision for the hook test, like the primary surgery in the present case, stress fluoroscopy of valgus or external rotation could also be performed to evaluate the syndesmotic stability.</w:t>
      </w:r>
    </w:p>
    <w:p w14:paraId="11E128D1" w14:textId="707C33CD" w:rsidR="00A77B3E" w:rsidRDefault="00DA2836" w:rsidP="00347912">
      <w:pPr>
        <w:spacing w:line="360" w:lineRule="auto"/>
        <w:ind w:firstLineChars="100" w:firstLine="240"/>
        <w:jc w:val="both"/>
      </w:pPr>
      <w:r>
        <w:rPr>
          <w:rFonts w:ascii="Book Antiqua" w:eastAsia="Book Antiqua" w:hAnsi="Book Antiqua" w:cs="Book Antiqua"/>
          <w:color w:val="000000"/>
        </w:rPr>
        <w:t>Nonoperative treatment for patients with isolated syndesmosis injury has shown good results, even in high-level athletes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Similarly, successful outcomes were obtained by surgical treatment with screws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or suture buttons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Moreover, a minimum </w:t>
      </w:r>
      <w:r w:rsidR="007839C5">
        <w:rPr>
          <w:rFonts w:ascii="Book Antiqua" w:eastAsia="Book Antiqua" w:hAnsi="Book Antiqua" w:cs="Book Antiqua"/>
          <w:color w:val="000000"/>
        </w:rPr>
        <w:t>2</w:t>
      </w:r>
      <w:r>
        <w:rPr>
          <w:rFonts w:ascii="Book Antiqua" w:eastAsia="Book Antiqua" w:hAnsi="Book Antiqua" w:cs="Book Antiqua"/>
          <w:color w:val="000000"/>
        </w:rPr>
        <w:t>-year follow-up recommend that surgeons not only open reduction of the syndesmosis under direct visualization but perform postoperative CT scans with comparison to the contralateral extremity to reduce the rate of malreduction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Reviewing the literature, nonoperative treatment is recommended for stable syndesmosis injury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whereas unstable syndesmosis injury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frank or latent) should be </w:t>
      </w:r>
      <w:bookmarkStart w:id="0" w:name="OLE_LINK1"/>
      <w:r>
        <w:rPr>
          <w:rFonts w:ascii="Book Antiqua" w:eastAsia="Book Antiqua" w:hAnsi="Book Antiqua" w:cs="Book Antiqua"/>
          <w:color w:val="000000"/>
        </w:rPr>
        <w:t>managed operatively</w:t>
      </w:r>
      <w:bookmarkEnd w:id="0"/>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present case involved syndesmosis injury with a concomitant rupture of IOM, which is a fibrous connective tissue with a thickness of approximately 1 mm connecting the tibia and fibula. IOM plays an important role in maintaining the appropriate correlation between the tibia and fibula. Due to the strain of IOM, the distance between the tibia and fibula is not widened under external force to avoid lateral translation of the fibula, but it cannot prevent rotation or anterior-posterior translation of the fibula. When the IOM is injured, it unburdens the fibula in load transference by more than 30%</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Based on that, we believed that the present injury was caused by high energy (car accident), and the dynamic stability of syndesmosis was more difficult to maintain although the fractured medial malleolus was reduced and fixed firmly. Therefore, we chose open reduction and internal fixation for the syndesmosis injury to prevent spontaneous diastasis and eventually obtained good clinical outcomes in the follow-up.</w:t>
      </w:r>
    </w:p>
    <w:p w14:paraId="05E78E14" w14:textId="36F18662" w:rsidR="00A77B3E" w:rsidRDefault="00DA2836" w:rsidP="00347912">
      <w:pPr>
        <w:spacing w:line="360" w:lineRule="auto"/>
        <w:ind w:firstLineChars="100" w:firstLine="240"/>
        <w:jc w:val="both"/>
      </w:pPr>
      <w:r>
        <w:rPr>
          <w:rFonts w:ascii="Book Antiqua" w:eastAsia="Book Antiqua" w:hAnsi="Book Antiqua" w:cs="Book Antiqua"/>
          <w:color w:val="000000"/>
        </w:rPr>
        <w:t>IOM rupture was also found in all Maisonneuve injuries</w:t>
      </w:r>
      <w:r w:rsidR="007839C5">
        <w:rPr>
          <w:rFonts w:ascii="Book Antiqua" w:eastAsia="Book Antiqua" w:hAnsi="Book Antiqua" w:cs="Book Antiqua"/>
          <w:color w:val="000000"/>
        </w:rPr>
        <w:t xml:space="preserve"> that </w:t>
      </w:r>
      <w:r>
        <w:rPr>
          <w:rFonts w:ascii="Book Antiqua" w:eastAsia="Book Antiqua" w:hAnsi="Book Antiqua" w:cs="Book Antiqua"/>
          <w:color w:val="000000"/>
        </w:rPr>
        <w:t>previous studies reported</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The AITFL is not only the first involved structure when the talus rotates externally but also the weakest ligament of the tibiofibular syndesmotic complex, whereas the PITFL was confirmed to be intact in some Maisonneuve injuries. Therefore, except for upper third fibula fracture, one of the essential features of Maisonneuve injury may be rupture of the IOM, which continues distally and thickens into the interosseous ligament (IOL). Manyi</w:t>
      </w:r>
      <w:r w:rsidR="00347912">
        <w:rPr>
          <w:rFonts w:ascii="Book Antiqua" w:eastAsia="Book Antiqua" w:hAnsi="Book Antiqua" w:cs="Book Antiqua"/>
          <w:color w:val="000000"/>
        </w:rPr>
        <w:t xml:space="preserve"> </w:t>
      </w:r>
      <w:r w:rsidR="00347912" w:rsidRPr="00347912">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the extent of IOM rupture was lower than the level of fibula fracture in all 12 patients with Maisonneuve fracture, ranging from 32-112 mm to the talar dome. He</w:t>
      </w:r>
      <w:r w:rsidR="00347912">
        <w:rPr>
          <w:rFonts w:ascii="Book Antiqua" w:eastAsia="Book Antiqua" w:hAnsi="Book Antiqua" w:cs="Book Antiqua"/>
          <w:color w:val="000000"/>
        </w:rPr>
        <w:t xml:space="preserve"> </w:t>
      </w:r>
      <w:r w:rsidR="00347912" w:rsidRPr="00347912">
        <w:rPr>
          <w:rFonts w:ascii="Book Antiqua" w:eastAsia="Book Antiqua" w:hAnsi="Book Antiqua" w:cs="Book Antiqua"/>
          <w:i/>
          <w:iCs/>
          <w:color w:val="000000"/>
        </w:rPr>
        <w:t>et al</w:t>
      </w:r>
      <w:r w:rsidR="00347912">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’s study showed that the rupture of the IOM was not only limited to the distal one-third of the calf, on average 6.6 cm above the articular surface of the distal tibia, but also near the fibular fracture, while the IOM was intact between the two rupture sites in some patients. The wider the extent of the IOM rupture, the more severe the syndesmosis injury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our opinion, although the present case did not involve fracture of the upper third of the fibula, syndesmosis injury with IOM rupture could also be classified as Maisonneuve-equivalent injury according to the range of IOM rupture, the instability of the syndesmosis</w:t>
      </w:r>
      <w:r w:rsidR="007839C5">
        <w:rPr>
          <w:rFonts w:ascii="Book Antiqua" w:eastAsia="Book Antiqua" w:hAnsi="Book Antiqua" w:cs="Book Antiqua"/>
          <w:color w:val="000000"/>
        </w:rPr>
        <w:t>,</w:t>
      </w:r>
      <w:r>
        <w:rPr>
          <w:rFonts w:ascii="Book Antiqua" w:eastAsia="Book Antiqua" w:hAnsi="Book Antiqua" w:cs="Book Antiqua"/>
          <w:color w:val="000000"/>
        </w:rPr>
        <w:t xml:space="preserve"> and the similar management.</w:t>
      </w:r>
    </w:p>
    <w:p w14:paraId="1F4258EE" w14:textId="73E8AB0E" w:rsidR="00A77B3E" w:rsidRDefault="00DA2836" w:rsidP="00347912">
      <w:pPr>
        <w:spacing w:line="360" w:lineRule="auto"/>
        <w:ind w:firstLineChars="100" w:firstLine="240"/>
        <w:jc w:val="both"/>
      </w:pPr>
      <w:r>
        <w:rPr>
          <w:rFonts w:ascii="Book Antiqua" w:eastAsia="Book Antiqua" w:hAnsi="Book Antiqua" w:cs="Book Antiqua"/>
          <w:color w:val="000000"/>
        </w:rPr>
        <w:t>The injury mechanism of most Maisonneuve injuries is pronation</w:t>
      </w:r>
      <w:r w:rsidR="00347912">
        <w:rPr>
          <w:rFonts w:ascii="Book Antiqua" w:eastAsia="Book Antiqua" w:hAnsi="Book Antiqua" w:cs="Book Antiqua"/>
          <w:color w:val="000000"/>
        </w:rPr>
        <w:t>-</w:t>
      </w:r>
      <w:r>
        <w:rPr>
          <w:rFonts w:ascii="Book Antiqua" w:eastAsia="Book Antiqua" w:hAnsi="Book Antiqua" w:cs="Book Antiqua"/>
          <w:color w:val="000000"/>
        </w:rPr>
        <w:t>external rotation (PER)</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which the fibular fracture line extends from the anterior edge in a posteroinferior direction. Some studies have reported that the supination</w:t>
      </w:r>
      <w:r w:rsidR="00347912">
        <w:rPr>
          <w:rFonts w:ascii="Book Antiqua" w:eastAsia="Book Antiqua" w:hAnsi="Book Antiqua" w:cs="Book Antiqua"/>
          <w:color w:val="000000"/>
        </w:rPr>
        <w:t>-</w:t>
      </w:r>
      <w:r>
        <w:rPr>
          <w:rFonts w:ascii="Book Antiqua" w:eastAsia="Book Antiqua" w:hAnsi="Book Antiqua" w:cs="Book Antiqua"/>
          <w:color w:val="000000"/>
        </w:rPr>
        <w:t>external rotation mechanism could also lead to such injury, which is different from the former</w:t>
      </w:r>
      <w:r w:rsidR="007839C5">
        <w:rPr>
          <w:rFonts w:ascii="Book Antiqua" w:eastAsia="Book Antiqua" w:hAnsi="Book Antiqua" w:cs="Book Antiqua"/>
          <w:color w:val="000000"/>
        </w:rPr>
        <w:t>,</w:t>
      </w:r>
      <w:r>
        <w:rPr>
          <w:rFonts w:ascii="Book Antiqua" w:eastAsia="Book Antiqua" w:hAnsi="Book Antiqua" w:cs="Book Antiqua"/>
          <w:color w:val="000000"/>
        </w:rPr>
        <w:t xml:space="preserve"> being an intact medial structure (no fracture of the medial malleolus or rupture of the deltoid ligament)</w:t>
      </w:r>
      <w:r>
        <w:rPr>
          <w:rFonts w:ascii="Book Antiqua" w:eastAsia="Book Antiqua" w:hAnsi="Book Antiqua" w:cs="Book Antiqua"/>
          <w:color w:val="000000"/>
          <w:szCs w:val="30"/>
          <w:vertAlign w:val="superscript"/>
        </w:rPr>
        <w:t>[6,20</w:t>
      </w:r>
      <w:r w:rsidR="002E2D6E">
        <w:rPr>
          <w:rFonts w:ascii="Book Antiqua" w:eastAsia="Book Antiqua" w:hAnsi="Book Antiqua" w:cs="Book Antiqua"/>
          <w:color w:val="000000"/>
          <w:szCs w:val="30"/>
          <w:vertAlign w:val="superscript"/>
        </w:rPr>
        <w:t>]</w:t>
      </w:r>
      <w:r w:rsidR="002E2D6E">
        <w:rPr>
          <w:rFonts w:ascii="Book Antiqua" w:eastAsia="Book Antiqua" w:hAnsi="Book Antiqua" w:cs="Book Antiqua"/>
          <w:color w:val="000000"/>
        </w:rPr>
        <w:t xml:space="preserve">, </w:t>
      </w:r>
      <w:r>
        <w:rPr>
          <w:rFonts w:ascii="Book Antiqua" w:eastAsia="Book Antiqua" w:hAnsi="Book Antiqua" w:cs="Book Antiqua"/>
          <w:color w:val="000000"/>
        </w:rPr>
        <w:t>and the fibular fracture line extended from the anterior edge in a posterosuperior direction</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Most authors have classified Maisonneuve injury as PER III or IV according to the Lauge</w:t>
      </w:r>
      <w:r w:rsidR="00347912">
        <w:rPr>
          <w:rFonts w:ascii="Book Antiqua" w:eastAsia="Book Antiqua" w:hAnsi="Book Antiqua" w:cs="Book Antiqua"/>
          <w:color w:val="000000"/>
        </w:rPr>
        <w:t>-</w:t>
      </w:r>
      <w:r>
        <w:rPr>
          <w:rFonts w:ascii="Book Antiqua" w:eastAsia="Book Antiqua" w:hAnsi="Book Antiqua" w:cs="Book Antiqua"/>
          <w:color w:val="000000"/>
        </w:rPr>
        <w:t>Hansen</w:t>
      </w:r>
      <w:r w:rsidR="00347912">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classification. In a typical Maisonneuve injury, the involved structures caused by the PER IV mechanism include the fracture of the medial malleolus (or the rupture of the deltoid ligament), rupture of the AITFL (or avulsion fracture of the insertion), rupture of the IOL, rupture of the IOM, fracture of the proximal fibula</w:t>
      </w:r>
      <w:r w:rsidR="007839C5">
        <w:rPr>
          <w:rFonts w:ascii="Book Antiqua" w:eastAsia="Book Antiqua" w:hAnsi="Book Antiqua" w:cs="Book Antiqua"/>
          <w:color w:val="000000"/>
        </w:rPr>
        <w:t>,</w:t>
      </w:r>
      <w:r>
        <w:rPr>
          <w:rFonts w:ascii="Book Antiqua" w:eastAsia="Book Antiqua" w:hAnsi="Book Antiqua" w:cs="Book Antiqua"/>
          <w:color w:val="000000"/>
        </w:rPr>
        <w:t xml:space="preserve"> and rupture of the PITFL (or avulsion fracture of the insertion). On this basis, we concluded that the present case belongs to the PER IV mechanism, which was also one of the reasons </w:t>
      </w:r>
      <w:r w:rsidR="002E2D6E">
        <w:rPr>
          <w:rFonts w:ascii="Book Antiqua" w:eastAsia="Book Antiqua" w:hAnsi="Book Antiqua" w:cs="Book Antiqua"/>
          <w:color w:val="000000"/>
        </w:rPr>
        <w:t xml:space="preserve">that </w:t>
      </w:r>
      <w:r>
        <w:rPr>
          <w:rFonts w:ascii="Book Antiqua" w:eastAsia="Book Antiqua" w:hAnsi="Book Antiqua" w:cs="Book Antiqua"/>
          <w:color w:val="000000"/>
        </w:rPr>
        <w:t>we classified it as Maisonneuve-equivalent injury.</w:t>
      </w:r>
    </w:p>
    <w:p w14:paraId="4F5A56C3" w14:textId="67E655FA" w:rsidR="00A77B3E" w:rsidRDefault="00DA2836" w:rsidP="00347912">
      <w:pPr>
        <w:spacing w:line="360" w:lineRule="auto"/>
        <w:ind w:firstLineChars="100" w:firstLine="240"/>
        <w:jc w:val="both"/>
      </w:pPr>
      <w:r>
        <w:rPr>
          <w:rFonts w:ascii="Book Antiqua" w:eastAsia="Book Antiqua" w:hAnsi="Book Antiqua" w:cs="Book Antiqua"/>
          <w:color w:val="000000"/>
        </w:rPr>
        <w:t>In Maisonneuve injury, the force caused by talus external rotation runs from the medial aspect of the ankle, passing through the tibiotalar joint to the inferior tibiofibular syndesmosis. Rupture of the AITFL first occurs, followed by rupture of the IOL and IOM when the force persists. If the force is strong enough and continues to transmit up to the upper fibula, it may result in a stress concentration at the upper fibula due to the limitation of the upper tibiofibular syndesmosis; subsequently, upper fibula fracture occurs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fracture site of </w:t>
      </w:r>
      <w:r w:rsidR="002E2D6E">
        <w:rPr>
          <w:rFonts w:ascii="Book Antiqua" w:eastAsia="Book Antiqua" w:hAnsi="Book Antiqua" w:cs="Book Antiqua"/>
          <w:color w:val="000000"/>
        </w:rPr>
        <w:t xml:space="preserve">the </w:t>
      </w:r>
      <w:r>
        <w:rPr>
          <w:rFonts w:ascii="Book Antiqua" w:eastAsia="Book Antiqua" w:hAnsi="Book Antiqua" w:cs="Book Antiqua"/>
          <w:color w:val="000000"/>
        </w:rPr>
        <w:t>fibula acts as a breakthrough point to release the force. When the transmitted force exceeds the limitation of upper tibiofibular syndesmosis, the superior tibiofibular joint is dislocated as a breakthrough point of the force, which is considered to be another kind of Maisonneuve-equivalent injury. Only five cases of that kind of Maisonneuve-equivalent injury have been reported in the literature</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According to the intensity of the transmitted force and the location of the breakthrough point, we further classified Maisonneuve injury as syndesmosis injury with IOM rupture (type I), syndesmosis injury with upper fibula fracture (type II), and syndesmosis injury with </w:t>
      </w:r>
      <w:r w:rsidR="00347912">
        <w:rPr>
          <w:rFonts w:ascii="Book Antiqua" w:eastAsia="Book Antiqua" w:hAnsi="Book Antiqua" w:cs="Book Antiqua"/>
          <w:color w:val="000000"/>
        </w:rPr>
        <w:t>superior tibiofibular joint</w:t>
      </w:r>
      <w:r>
        <w:rPr>
          <w:rFonts w:ascii="Book Antiqua" w:eastAsia="Book Antiqua" w:hAnsi="Book Antiqua" w:cs="Book Antiqua"/>
          <w:color w:val="000000"/>
        </w:rPr>
        <w:t xml:space="preserve"> dislocation (type III).</w:t>
      </w:r>
    </w:p>
    <w:p w14:paraId="57BF4870" w14:textId="77777777" w:rsidR="00A77B3E" w:rsidRDefault="00A77B3E" w:rsidP="00347912">
      <w:pPr>
        <w:spacing w:line="360" w:lineRule="auto"/>
        <w:jc w:val="both"/>
      </w:pPr>
    </w:p>
    <w:p w14:paraId="604AC31B" w14:textId="77777777" w:rsidR="00A77B3E" w:rsidRDefault="00DA2836">
      <w:pPr>
        <w:spacing w:line="360" w:lineRule="auto"/>
        <w:jc w:val="both"/>
      </w:pPr>
      <w:r>
        <w:rPr>
          <w:rFonts w:ascii="Book Antiqua" w:eastAsia="Book Antiqua" w:hAnsi="Book Antiqua" w:cs="Book Antiqua"/>
          <w:b/>
          <w:caps/>
          <w:color w:val="000000"/>
          <w:u w:val="single"/>
        </w:rPr>
        <w:t>CONCLUSION</w:t>
      </w:r>
    </w:p>
    <w:p w14:paraId="2F2BDB85" w14:textId="3FF71D9D" w:rsidR="00A77B3E" w:rsidRDefault="00DA2836">
      <w:pPr>
        <w:spacing w:line="360" w:lineRule="auto"/>
        <w:jc w:val="both"/>
      </w:pPr>
      <w:r>
        <w:rPr>
          <w:rFonts w:ascii="Book Antiqua" w:eastAsia="Book Antiqua" w:hAnsi="Book Antiqua" w:cs="Book Antiqua"/>
          <w:color w:val="000000"/>
        </w:rPr>
        <w:t>The present injury pattern is different from simple syndesmosis injury and could be considered a Maisonneuve-equivalent injury. Comprehensive measures, including thorough physical examination</w:t>
      </w:r>
      <w:r w:rsidR="002E2D6E">
        <w:rPr>
          <w:rFonts w:ascii="Book Antiqua" w:eastAsia="Book Antiqua" w:hAnsi="Book Antiqua" w:cs="Book Antiqua"/>
          <w:color w:val="000000"/>
        </w:rPr>
        <w:t xml:space="preserve"> and </w:t>
      </w:r>
      <w:r>
        <w:rPr>
          <w:rFonts w:ascii="Book Antiqua" w:eastAsia="Book Antiqua" w:hAnsi="Book Antiqua" w:cs="Book Antiqua"/>
          <w:color w:val="000000"/>
        </w:rPr>
        <w:t>exact reading of auxiliary imaging and intraoperative stress fluoroscopy, should be performed to avoid misdiagnosis. The associated disruption of the IOM indicates the severity of syndesmosis injury. Good results could be achieved by open reduction and internal fixation.</w:t>
      </w:r>
    </w:p>
    <w:p w14:paraId="409148B2" w14:textId="77777777" w:rsidR="00A77B3E" w:rsidRDefault="00A77B3E">
      <w:pPr>
        <w:spacing w:line="360" w:lineRule="auto"/>
        <w:jc w:val="both"/>
      </w:pPr>
    </w:p>
    <w:p w14:paraId="209EA42A" w14:textId="77777777" w:rsidR="00A77B3E" w:rsidRDefault="00DA2836">
      <w:pPr>
        <w:spacing w:line="360" w:lineRule="auto"/>
        <w:jc w:val="both"/>
      </w:pPr>
      <w:r>
        <w:rPr>
          <w:rFonts w:ascii="Book Antiqua" w:eastAsia="Book Antiqua" w:hAnsi="Book Antiqua" w:cs="Book Antiqua"/>
          <w:b/>
          <w:color w:val="000000"/>
        </w:rPr>
        <w:t>REFERENCES</w:t>
      </w:r>
    </w:p>
    <w:p w14:paraId="010CAE63" w14:textId="7138AE1E" w:rsidR="00A77B3E" w:rsidRDefault="00DA2836">
      <w:pPr>
        <w:spacing w:line="360" w:lineRule="auto"/>
        <w:jc w:val="both"/>
      </w:pPr>
      <w:r>
        <w:rPr>
          <w:rFonts w:ascii="Book Antiqua" w:eastAsia="Book Antiqua" w:hAnsi="Book Antiqua" w:cs="Book Antiqua"/>
          <w:color w:val="000000"/>
        </w:rPr>
        <w:t xml:space="preserve">1 </w:t>
      </w:r>
      <w:r w:rsidRPr="00F6412B">
        <w:rPr>
          <w:rFonts w:ascii="Book Antiqua" w:eastAsia="Book Antiqua" w:hAnsi="Book Antiqua" w:cs="Book Antiqua"/>
          <w:b/>
          <w:bCs/>
          <w:color w:val="000000"/>
        </w:rPr>
        <w:t>Maisonneuve MJG</w:t>
      </w:r>
      <w:r>
        <w:rPr>
          <w:rFonts w:ascii="Book Antiqua" w:eastAsia="Book Antiqua" w:hAnsi="Book Antiqua" w:cs="Book Antiqua"/>
          <w:color w:val="000000"/>
        </w:rPr>
        <w:t xml:space="preserve">. Recherches sur la fracture du péroné. </w:t>
      </w:r>
      <w:r w:rsidRPr="00F6412B">
        <w:rPr>
          <w:rFonts w:ascii="Book Antiqua" w:eastAsia="Book Antiqua" w:hAnsi="Book Antiqua" w:cs="Book Antiqua"/>
          <w:i/>
          <w:iCs/>
          <w:color w:val="000000"/>
        </w:rPr>
        <w:t>Arch Gen Med</w:t>
      </w:r>
      <w:r>
        <w:rPr>
          <w:rFonts w:ascii="Book Antiqua" w:eastAsia="Book Antiqua" w:hAnsi="Book Antiqua" w:cs="Book Antiqua"/>
          <w:color w:val="000000"/>
        </w:rPr>
        <w:t xml:space="preserve"> 1840; </w:t>
      </w:r>
      <w:r w:rsidRPr="00F6412B">
        <w:rPr>
          <w:rFonts w:ascii="Book Antiqua" w:eastAsia="Book Antiqua" w:hAnsi="Book Antiqua" w:cs="Book Antiqua"/>
          <w:b/>
          <w:bCs/>
          <w:color w:val="000000"/>
        </w:rPr>
        <w:t>7</w:t>
      </w:r>
      <w:r>
        <w:rPr>
          <w:rFonts w:ascii="Book Antiqua" w:eastAsia="Book Antiqua" w:hAnsi="Book Antiqua" w:cs="Book Antiqua"/>
          <w:color w:val="000000"/>
        </w:rPr>
        <w:t>: 165</w:t>
      </w:r>
      <w:r w:rsidR="00F6412B">
        <w:rPr>
          <w:rFonts w:ascii="Book Antiqua" w:eastAsia="Book Antiqua" w:hAnsi="Book Antiqua" w:cs="Book Antiqua"/>
          <w:color w:val="000000"/>
        </w:rPr>
        <w:t>-</w:t>
      </w:r>
      <w:r>
        <w:rPr>
          <w:rFonts w:ascii="Book Antiqua" w:eastAsia="Book Antiqua" w:hAnsi="Book Antiqua" w:cs="Book Antiqua"/>
          <w:color w:val="000000"/>
        </w:rPr>
        <w:t>187</w:t>
      </w:r>
    </w:p>
    <w:p w14:paraId="5E8AB83F" w14:textId="77777777" w:rsidR="00A77B3E" w:rsidRDefault="00DA283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Stufkens SA</w:t>
      </w:r>
      <w:r>
        <w:rPr>
          <w:rFonts w:ascii="Book Antiqua" w:eastAsia="Book Antiqua" w:hAnsi="Book Antiqua" w:cs="Book Antiqua"/>
          <w:color w:val="000000"/>
        </w:rPr>
        <w:t xml:space="preserve">, van den Bekerom MP, Doornberg JN, van Dijk CN, Kloen P. Evidence-based treatment of maisonneuve fractures.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62-67 [PMID: 21172642 DOI: 10.1053/j.jfas.2010.08.017]</w:t>
      </w:r>
    </w:p>
    <w:p w14:paraId="0ACB3025" w14:textId="77777777" w:rsidR="00A77B3E" w:rsidRDefault="00DA283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Lock TR</w:t>
      </w:r>
      <w:r>
        <w:rPr>
          <w:rFonts w:ascii="Book Antiqua" w:eastAsia="Book Antiqua" w:hAnsi="Book Antiqua" w:cs="Book Antiqua"/>
          <w:color w:val="000000"/>
        </w:rPr>
        <w:t xml:space="preserve">, Schaffer JJ, Manoli A 2nd. Maisonneuve fracture: case report of a missed diagnosis. </w:t>
      </w:r>
      <w:r>
        <w:rPr>
          <w:rFonts w:ascii="Book Antiqua" w:eastAsia="Book Antiqua" w:hAnsi="Book Antiqua" w:cs="Book Antiqua"/>
          <w:i/>
          <w:iCs/>
          <w:color w:val="000000"/>
        </w:rPr>
        <w:t>Ann Emerg Med</w:t>
      </w:r>
      <w:r>
        <w:rPr>
          <w:rFonts w:ascii="Book Antiqua" w:eastAsia="Book Antiqua" w:hAnsi="Book Antiqua" w:cs="Book Antiqua"/>
          <w:color w:val="000000"/>
        </w:rPr>
        <w:t xml:space="preserve"> 1987; </w:t>
      </w:r>
      <w:r>
        <w:rPr>
          <w:rFonts w:ascii="Book Antiqua" w:eastAsia="Book Antiqua" w:hAnsi="Book Antiqua" w:cs="Book Antiqua"/>
          <w:b/>
          <w:bCs/>
          <w:color w:val="000000"/>
        </w:rPr>
        <w:t>16</w:t>
      </w:r>
      <w:r>
        <w:rPr>
          <w:rFonts w:ascii="Book Antiqua" w:eastAsia="Book Antiqua" w:hAnsi="Book Antiqua" w:cs="Book Antiqua"/>
          <w:color w:val="000000"/>
        </w:rPr>
        <w:t>: 805-807 [PMID: 3592337 DOI: 10.1016/s0196-0644(87)80580-2]</w:t>
      </w:r>
    </w:p>
    <w:p w14:paraId="30029F8F" w14:textId="77777777" w:rsidR="00A77B3E" w:rsidRDefault="00DA283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McCollum GA</w:t>
      </w:r>
      <w:r>
        <w:rPr>
          <w:rFonts w:ascii="Book Antiqua" w:eastAsia="Book Antiqua" w:hAnsi="Book Antiqua" w:cs="Book Antiqua"/>
          <w:color w:val="000000"/>
        </w:rPr>
        <w:t xml:space="preserve">, van den Bekerom MP, Kerkhoffs GM, Calder JD, van Dijk CN. Syndesmosis and deltoid ligament injuries in the athlete. </w:t>
      </w:r>
      <w:r>
        <w:rPr>
          <w:rFonts w:ascii="Book Antiqua" w:eastAsia="Book Antiqua" w:hAnsi="Book Antiqua" w:cs="Book Antiqua"/>
          <w:i/>
          <w:iCs/>
          <w:color w:val="000000"/>
        </w:rPr>
        <w:t>Knee Surg Sports Traumatol Arthrosc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1328-1337 [PMID: 23052109 DOI: 10.1007/s00167-012-2205-1]</w:t>
      </w:r>
    </w:p>
    <w:p w14:paraId="53537057" w14:textId="61420FE5" w:rsidR="00EC477B" w:rsidRDefault="00EC477B" w:rsidP="00EC477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Tourné Y</w:t>
      </w:r>
      <w:r>
        <w:rPr>
          <w:rFonts w:ascii="Book Antiqua" w:eastAsia="Book Antiqua" w:hAnsi="Book Antiqua" w:cs="Book Antiqua"/>
          <w:color w:val="000000"/>
        </w:rPr>
        <w:t xml:space="preserve">, Molinier F, Andrieu M, Porta J, Barbier G. Diagnosis and treatment of tibiofibular syndesmosis lesions. </w:t>
      </w:r>
      <w:r>
        <w:rPr>
          <w:rFonts w:ascii="Book Antiqua" w:eastAsia="Book Antiqua" w:hAnsi="Book Antiqua" w:cs="Book Antiqua"/>
          <w:i/>
          <w:iCs/>
          <w:color w:val="000000"/>
        </w:rPr>
        <w:t>Orthop Traumatol Surg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S275-S286 [PMID: 31594732 DOI: 10.1016/j.otsr.2019.09.014]</w:t>
      </w:r>
    </w:p>
    <w:p w14:paraId="6FAFF98D" w14:textId="2AE44959" w:rsidR="00A77B3E" w:rsidRDefault="00EC477B">
      <w:pPr>
        <w:spacing w:line="360" w:lineRule="auto"/>
        <w:jc w:val="both"/>
      </w:pPr>
      <w:r>
        <w:rPr>
          <w:rFonts w:ascii="Book Antiqua" w:eastAsia="Book Antiqua" w:hAnsi="Book Antiqua" w:cs="Book Antiqua"/>
          <w:color w:val="000000"/>
        </w:rPr>
        <w:t>6</w:t>
      </w:r>
      <w:r w:rsidR="00DA2836">
        <w:rPr>
          <w:rFonts w:ascii="Book Antiqua" w:eastAsia="Book Antiqua" w:hAnsi="Book Antiqua" w:cs="Book Antiqua"/>
          <w:color w:val="000000"/>
        </w:rPr>
        <w:t xml:space="preserve"> </w:t>
      </w:r>
      <w:bookmarkStart w:id="1" w:name="_Hlk65252488"/>
      <w:r w:rsidR="00DA2836">
        <w:rPr>
          <w:rFonts w:ascii="Book Antiqua" w:eastAsia="Book Antiqua" w:hAnsi="Book Antiqua" w:cs="Book Antiqua"/>
          <w:b/>
          <w:bCs/>
          <w:color w:val="000000"/>
        </w:rPr>
        <w:t>Bartoníček J</w:t>
      </w:r>
      <w:bookmarkEnd w:id="1"/>
      <w:r w:rsidR="00DA2836">
        <w:rPr>
          <w:rFonts w:ascii="Book Antiqua" w:eastAsia="Book Antiqua" w:hAnsi="Book Antiqua" w:cs="Book Antiqua"/>
          <w:color w:val="000000"/>
        </w:rPr>
        <w:t xml:space="preserve">, Rammelt S, Kašper Š, Malík J, Tuček M. Pathoanatomy of Maisonneuve fracture based on radiologic and CT examination. </w:t>
      </w:r>
      <w:r w:rsidR="00DA2836">
        <w:rPr>
          <w:rFonts w:ascii="Book Antiqua" w:eastAsia="Book Antiqua" w:hAnsi="Book Antiqua" w:cs="Book Antiqua"/>
          <w:i/>
          <w:iCs/>
          <w:color w:val="000000"/>
        </w:rPr>
        <w:t>Arch Orthop Trauma Surg</w:t>
      </w:r>
      <w:r w:rsidR="00DA2836">
        <w:rPr>
          <w:rFonts w:ascii="Book Antiqua" w:eastAsia="Book Antiqua" w:hAnsi="Book Antiqua" w:cs="Book Antiqua"/>
          <w:color w:val="000000"/>
        </w:rPr>
        <w:t xml:space="preserve"> 2019; </w:t>
      </w:r>
      <w:r w:rsidR="00DA2836">
        <w:rPr>
          <w:rFonts w:ascii="Book Antiqua" w:eastAsia="Book Antiqua" w:hAnsi="Book Antiqua" w:cs="Book Antiqua"/>
          <w:b/>
          <w:bCs/>
          <w:color w:val="000000"/>
        </w:rPr>
        <w:t>139</w:t>
      </w:r>
      <w:r w:rsidR="00DA2836">
        <w:rPr>
          <w:rFonts w:ascii="Book Antiqua" w:eastAsia="Book Antiqua" w:hAnsi="Book Antiqua" w:cs="Book Antiqua"/>
          <w:color w:val="000000"/>
        </w:rPr>
        <w:t>: 497-506 [PMID: 30552509 DOI: 10.1007/s00402-018-3099-2]</w:t>
      </w:r>
    </w:p>
    <w:p w14:paraId="4D0596CD" w14:textId="12DE9BB3" w:rsidR="00A77B3E" w:rsidRDefault="00EC477B">
      <w:pPr>
        <w:spacing w:line="360" w:lineRule="auto"/>
        <w:jc w:val="both"/>
      </w:pPr>
      <w:r>
        <w:rPr>
          <w:rFonts w:ascii="Book Antiqua" w:eastAsia="Book Antiqua" w:hAnsi="Book Antiqua" w:cs="Book Antiqua"/>
          <w:color w:val="000000"/>
        </w:rPr>
        <w:t>7</w:t>
      </w:r>
      <w:r w:rsidR="00DA2836">
        <w:rPr>
          <w:rFonts w:ascii="Book Antiqua" w:eastAsia="Book Antiqua" w:hAnsi="Book Antiqua" w:cs="Book Antiqua"/>
          <w:color w:val="000000"/>
        </w:rPr>
        <w:t xml:space="preserve"> </w:t>
      </w:r>
      <w:bookmarkStart w:id="2" w:name="_Hlk65479769"/>
      <w:r w:rsidR="00DA2836">
        <w:rPr>
          <w:rFonts w:ascii="Book Antiqua" w:eastAsia="Book Antiqua" w:hAnsi="Book Antiqua" w:cs="Book Antiqua"/>
          <w:b/>
          <w:bCs/>
          <w:color w:val="000000"/>
        </w:rPr>
        <w:t>Gifford PB</w:t>
      </w:r>
      <w:r w:rsidR="00DA2836">
        <w:rPr>
          <w:rFonts w:ascii="Book Antiqua" w:eastAsia="Book Antiqua" w:hAnsi="Book Antiqua" w:cs="Book Antiqua"/>
          <w:color w:val="000000"/>
        </w:rPr>
        <w:t>, Lutz</w:t>
      </w:r>
      <w:bookmarkEnd w:id="2"/>
      <w:r w:rsidR="00DA2836">
        <w:rPr>
          <w:rFonts w:ascii="Book Antiqua" w:eastAsia="Book Antiqua" w:hAnsi="Book Antiqua" w:cs="Book Antiqua"/>
          <w:color w:val="000000"/>
        </w:rPr>
        <w:t xml:space="preserve"> M. The tibiofibular line: an anatomical feature to diagnose syndesmosis malposition. </w:t>
      </w:r>
      <w:r w:rsidR="00DA2836">
        <w:rPr>
          <w:rFonts w:ascii="Book Antiqua" w:eastAsia="Book Antiqua" w:hAnsi="Book Antiqua" w:cs="Book Antiqua"/>
          <w:i/>
          <w:iCs/>
          <w:color w:val="000000"/>
        </w:rPr>
        <w:t>Foot Ankle Int</w:t>
      </w:r>
      <w:r w:rsidR="00DA2836">
        <w:rPr>
          <w:rFonts w:ascii="Book Antiqua" w:eastAsia="Book Antiqua" w:hAnsi="Book Antiqua" w:cs="Book Antiqua"/>
          <w:color w:val="000000"/>
        </w:rPr>
        <w:t xml:space="preserve"> 2014; </w:t>
      </w:r>
      <w:r w:rsidR="00DA2836">
        <w:rPr>
          <w:rFonts w:ascii="Book Antiqua" w:eastAsia="Book Antiqua" w:hAnsi="Book Antiqua" w:cs="Book Antiqua"/>
          <w:b/>
          <w:bCs/>
          <w:color w:val="000000"/>
        </w:rPr>
        <w:t>35</w:t>
      </w:r>
      <w:r w:rsidR="00DA2836">
        <w:rPr>
          <w:rFonts w:ascii="Book Antiqua" w:eastAsia="Book Antiqua" w:hAnsi="Book Antiqua" w:cs="Book Antiqua"/>
          <w:color w:val="000000"/>
        </w:rPr>
        <w:t>: 1181-1186 [PMID: 25092879 DOI: 10.1177/1071100714546187]</w:t>
      </w:r>
    </w:p>
    <w:p w14:paraId="72F932E8" w14:textId="77777777" w:rsidR="00A77B3E" w:rsidRDefault="00DA283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Fort NM</w:t>
      </w:r>
      <w:r>
        <w:rPr>
          <w:rFonts w:ascii="Book Antiqua" w:eastAsia="Book Antiqua" w:hAnsi="Book Antiqua" w:cs="Book Antiqua"/>
          <w:color w:val="000000"/>
        </w:rPr>
        <w:t xml:space="preserve">, Aiyer AA, Kaplan JR, Smyth NA, Kadakia AR. Management of acute injuries of the tibiofibular syndesmosis. </w:t>
      </w:r>
      <w:r>
        <w:rPr>
          <w:rFonts w:ascii="Book Antiqua" w:eastAsia="Book Antiqua" w:hAnsi="Book Antiqua" w:cs="Book Antiqua"/>
          <w:i/>
          <w:iCs/>
          <w:color w:val="000000"/>
        </w:rPr>
        <w:t>Eur J Orthop Surg Traumatol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449-459 [PMID: 28391516 DOI: 10.1007/s00590-017-1956-2]</w:t>
      </w:r>
    </w:p>
    <w:p w14:paraId="5D22E4BE" w14:textId="77777777" w:rsidR="00A77B3E" w:rsidRDefault="00DA283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van den Bekerom MP</w:t>
      </w:r>
      <w:r>
        <w:rPr>
          <w:rFonts w:ascii="Book Antiqua" w:eastAsia="Book Antiqua" w:hAnsi="Book Antiqua" w:cs="Book Antiqua"/>
          <w:color w:val="000000"/>
        </w:rPr>
        <w:t xml:space="preserve">, de Leeuw PA, van Dijk CN. Delayed operative treatment of syndesmotic instability. Current concepts review.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2009; </w:t>
      </w:r>
      <w:r>
        <w:rPr>
          <w:rFonts w:ascii="Book Antiqua" w:eastAsia="Book Antiqua" w:hAnsi="Book Antiqua" w:cs="Book Antiqua"/>
          <w:b/>
          <w:bCs/>
          <w:color w:val="000000"/>
        </w:rPr>
        <w:t>40</w:t>
      </w:r>
      <w:r>
        <w:rPr>
          <w:rFonts w:ascii="Book Antiqua" w:eastAsia="Book Antiqua" w:hAnsi="Book Antiqua" w:cs="Book Antiqua"/>
          <w:color w:val="000000"/>
        </w:rPr>
        <w:t>: 1137-1142 [PMID: 19524232 DOI: 10.1016/j.injury.2009.03.011]</w:t>
      </w:r>
    </w:p>
    <w:p w14:paraId="1EAE2D9C" w14:textId="77777777" w:rsidR="00A77B3E" w:rsidRDefault="00DA283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Förschner PF</w:t>
      </w:r>
      <w:r>
        <w:rPr>
          <w:rFonts w:ascii="Book Antiqua" w:eastAsia="Book Antiqua" w:hAnsi="Book Antiqua" w:cs="Book Antiqua"/>
          <w:color w:val="000000"/>
        </w:rPr>
        <w:t xml:space="preserve">, Beitzel K, Imhoff AB, Buchmann S, Feuerriegel G, Hofmann F, Karampinos DC, Jungmann P, Pogorzelski J. Five-Year Outcomes After Treatment for Acute Instability of the Tibiofibular Syndesmosis Using a Suture-Button Fixation System. </w:t>
      </w:r>
      <w:r>
        <w:rPr>
          <w:rFonts w:ascii="Book Antiqua" w:eastAsia="Book Antiqua" w:hAnsi="Book Antiqua" w:cs="Book Antiqua"/>
          <w:i/>
          <w:iCs/>
          <w:color w:val="000000"/>
        </w:rPr>
        <w:t>Orthop J Sports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2325967117702854 [PMID: 28508007 DOI: 10.1177/2325967117702854]</w:t>
      </w:r>
    </w:p>
    <w:p w14:paraId="1B187252" w14:textId="77777777" w:rsidR="00A77B3E" w:rsidRDefault="00DA283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Sagi HC</w:t>
      </w:r>
      <w:r>
        <w:rPr>
          <w:rFonts w:ascii="Book Antiqua" w:eastAsia="Book Antiqua" w:hAnsi="Book Antiqua" w:cs="Book Antiqua"/>
          <w:color w:val="000000"/>
        </w:rPr>
        <w:t xml:space="preserve">, Shah AR, Sanders RW. The functional consequence of syndesmotic joint malreduction at a minimum 2-year follow-up.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439-443 [PMID: 22357084 DOI: 10.1097/BOT.0b013e31822a526a]</w:t>
      </w:r>
    </w:p>
    <w:p w14:paraId="13E6738E" w14:textId="77777777" w:rsidR="00A77B3E" w:rsidRDefault="00DA283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Amendola A</w:t>
      </w:r>
      <w:r>
        <w:rPr>
          <w:rFonts w:ascii="Book Antiqua" w:eastAsia="Book Antiqua" w:hAnsi="Book Antiqua" w:cs="Book Antiqua"/>
          <w:color w:val="000000"/>
        </w:rPr>
        <w:t xml:space="preserve">, Williams G, Foster D. Evidence-based approach to treatment of acute traumatic syndesmosis (high ankle) sprains. </w:t>
      </w:r>
      <w:r>
        <w:rPr>
          <w:rFonts w:ascii="Book Antiqua" w:eastAsia="Book Antiqua" w:hAnsi="Book Antiqua" w:cs="Book Antiqua"/>
          <w:i/>
          <w:iCs/>
          <w:color w:val="000000"/>
        </w:rPr>
        <w:t>Sports Med Arthrosc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14</w:t>
      </w:r>
      <w:r>
        <w:rPr>
          <w:rFonts w:ascii="Book Antiqua" w:eastAsia="Book Antiqua" w:hAnsi="Book Antiqua" w:cs="Book Antiqua"/>
          <w:color w:val="000000"/>
        </w:rPr>
        <w:t>: 232-236 [PMID: 17135973 DOI: 10.1097/01.jsa.0000212329.32969.b8]</w:t>
      </w:r>
    </w:p>
    <w:p w14:paraId="0AEBD82B" w14:textId="77777777" w:rsidR="00A77B3E" w:rsidRDefault="00DA283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van Dijk CN</w:t>
      </w:r>
      <w:r>
        <w:rPr>
          <w:rFonts w:ascii="Book Antiqua" w:eastAsia="Book Antiqua" w:hAnsi="Book Antiqua" w:cs="Book Antiqua"/>
          <w:color w:val="000000"/>
        </w:rPr>
        <w:t xml:space="preserve">, Longo UG, Loppini M, Florio P, Maltese L, Ciuffreda M, Denaro V. Conservative and surgical management of acute isolated syndesmotic injuries: ESSKA-AFAS consensus and guidelines. </w:t>
      </w:r>
      <w:r>
        <w:rPr>
          <w:rFonts w:ascii="Book Antiqua" w:eastAsia="Book Antiqua" w:hAnsi="Book Antiqua" w:cs="Book Antiqua"/>
          <w:i/>
          <w:iCs/>
          <w:color w:val="000000"/>
        </w:rPr>
        <w:t>Knee Surg Sports Traumatol Arthrosc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1217-1227 [PMID: 26846658 DOI: 10.1007/s00167-016-4017-1]</w:t>
      </w:r>
    </w:p>
    <w:p w14:paraId="14D0AB56" w14:textId="77777777" w:rsidR="00A77B3E" w:rsidRDefault="00DA283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Vukicević S</w:t>
      </w:r>
      <w:r>
        <w:rPr>
          <w:rFonts w:ascii="Book Antiqua" w:eastAsia="Book Antiqua" w:hAnsi="Book Antiqua" w:cs="Book Antiqua"/>
          <w:color w:val="000000"/>
        </w:rPr>
        <w:t xml:space="preserve">, Stern-Padovan R, Vukicević D, Keros P. Holographic investigations of the human tibiofibular interosseous membrane.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1980: 210-214 [PMID: 7418307]</w:t>
      </w:r>
    </w:p>
    <w:p w14:paraId="2449C12F" w14:textId="77777777" w:rsidR="00A77B3E" w:rsidRDefault="00DA283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Babis GC</w:t>
      </w:r>
      <w:r>
        <w:rPr>
          <w:rFonts w:ascii="Book Antiqua" w:eastAsia="Book Antiqua" w:hAnsi="Book Antiqua" w:cs="Book Antiqua"/>
          <w:color w:val="000000"/>
        </w:rPr>
        <w:t xml:space="preserve">, Papagelopoulos PJ, Tsarouchas J, Zoubos AB, Korres DS, Nikiforidis P. Operative treatment for Maisonneuve fracture of the proximal fibula.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2000; </w:t>
      </w:r>
      <w:r>
        <w:rPr>
          <w:rFonts w:ascii="Book Antiqua" w:eastAsia="Book Antiqua" w:hAnsi="Book Antiqua" w:cs="Book Antiqua"/>
          <w:b/>
          <w:bCs/>
          <w:color w:val="000000"/>
        </w:rPr>
        <w:t>23</w:t>
      </w:r>
      <w:r>
        <w:rPr>
          <w:rFonts w:ascii="Book Antiqua" w:eastAsia="Book Antiqua" w:hAnsi="Book Antiqua" w:cs="Book Antiqua"/>
          <w:color w:val="000000"/>
        </w:rPr>
        <w:t>: 687-690 [PMID: 10917243]</w:t>
      </w:r>
    </w:p>
    <w:p w14:paraId="3C84F1BB" w14:textId="77777777" w:rsidR="00A77B3E" w:rsidRDefault="00DA283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Yoshimura I</w:t>
      </w:r>
      <w:r>
        <w:rPr>
          <w:rFonts w:ascii="Book Antiqua" w:eastAsia="Book Antiqua" w:hAnsi="Book Antiqua" w:cs="Book Antiqua"/>
          <w:color w:val="000000"/>
        </w:rPr>
        <w:t xml:space="preserve">, Naito M, Kanazawa K, Takeyama A, Ida T. Arthroscopic findings in Maisonneuve fractures. </w:t>
      </w:r>
      <w:r>
        <w:rPr>
          <w:rFonts w:ascii="Book Antiqua" w:eastAsia="Book Antiqua" w:hAnsi="Book Antiqua" w:cs="Book Antiqua"/>
          <w:i/>
          <w:iCs/>
          <w:color w:val="000000"/>
        </w:rPr>
        <w:t>J Orthop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3-6 [PMID: 18274848 DOI: 10.1007/s00776-007-1192-4]</w:t>
      </w:r>
    </w:p>
    <w:p w14:paraId="533A5B9D" w14:textId="77777777" w:rsidR="00A77B3E" w:rsidRDefault="00DA283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Manyi W</w:t>
      </w:r>
      <w:r>
        <w:rPr>
          <w:rFonts w:ascii="Book Antiqua" w:eastAsia="Book Antiqua" w:hAnsi="Book Antiqua" w:cs="Book Antiqua"/>
          <w:color w:val="000000"/>
        </w:rPr>
        <w:t xml:space="preserve">, Guowei R, Shengsong Y, Chunyan J. A sample of Chinese literature MRI diagnosis of interosseous membrane injury in Maisonneuve fractures of the fibula.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2000; </w:t>
      </w:r>
      <w:r>
        <w:rPr>
          <w:rFonts w:ascii="Book Antiqua" w:eastAsia="Book Antiqua" w:hAnsi="Book Antiqua" w:cs="Book Antiqua"/>
          <w:b/>
          <w:bCs/>
          <w:color w:val="000000"/>
        </w:rPr>
        <w:t>31 Suppl 3</w:t>
      </w:r>
      <w:r>
        <w:rPr>
          <w:rFonts w:ascii="Book Antiqua" w:eastAsia="Book Antiqua" w:hAnsi="Book Antiqua" w:cs="Book Antiqua"/>
          <w:color w:val="000000"/>
        </w:rPr>
        <w:t>: C107-C110 [PMID: 11052387 DOI: 10.1016/s0020-1383(00)80038-8]</w:t>
      </w:r>
    </w:p>
    <w:p w14:paraId="00D97739" w14:textId="77777777" w:rsidR="00A77B3E" w:rsidRDefault="00DA283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He JQ</w:t>
      </w:r>
      <w:r>
        <w:rPr>
          <w:rFonts w:ascii="Book Antiqua" w:eastAsia="Book Antiqua" w:hAnsi="Book Antiqua" w:cs="Book Antiqua"/>
          <w:color w:val="000000"/>
        </w:rPr>
        <w:t xml:space="preserve">, Ma XL, Xin JY, Cao HB, Li N, Sun ZH, Wang GX, Fu X, Zhao B, Hu FK. Pathoanatomy and Injury Mechanism of Typical Maisonneuve Fracture. </w:t>
      </w:r>
      <w:r>
        <w:rPr>
          <w:rFonts w:ascii="Book Antiqua" w:eastAsia="Book Antiqua" w:hAnsi="Book Antiqua" w:cs="Book Antiqua"/>
          <w:i/>
          <w:iCs/>
          <w:color w:val="000000"/>
        </w:rPr>
        <w:t>Orthop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1644-1651 [PMID: 32896104 DOI: 10.1111/os.12733]</w:t>
      </w:r>
    </w:p>
    <w:p w14:paraId="31BF6960" w14:textId="77777777" w:rsidR="00A77B3E" w:rsidRDefault="00DA283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Porter DA</w:t>
      </w:r>
      <w:r>
        <w:rPr>
          <w:rFonts w:ascii="Book Antiqua" w:eastAsia="Book Antiqua" w:hAnsi="Book Antiqua" w:cs="Book Antiqua"/>
          <w:color w:val="000000"/>
        </w:rPr>
        <w:t xml:space="preserve">, Jaggers RR, Barnes AF, Rund AM. Optimal management of ankle syndesmosis injuries. </w:t>
      </w:r>
      <w:r>
        <w:rPr>
          <w:rFonts w:ascii="Book Antiqua" w:eastAsia="Book Antiqua" w:hAnsi="Book Antiqua" w:cs="Book Antiqua"/>
          <w:i/>
          <w:iCs/>
          <w:color w:val="000000"/>
        </w:rPr>
        <w:t>Open Access J Sports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173-182 [PMID: 25177153 DOI: 10.2147/OAJSM.S41564]</w:t>
      </w:r>
    </w:p>
    <w:p w14:paraId="173A4D0A" w14:textId="77777777" w:rsidR="00A77B3E" w:rsidRDefault="00DA283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Charopoulos I</w:t>
      </w:r>
      <w:r>
        <w:rPr>
          <w:rFonts w:ascii="Book Antiqua" w:eastAsia="Book Antiqua" w:hAnsi="Book Antiqua" w:cs="Book Antiqua"/>
          <w:color w:val="000000"/>
        </w:rPr>
        <w:t xml:space="preserve">, Kokoroghiannis C, Karagiannis S, Lyritis GP, Papaioannou N. Maisonneuve fracture without deltoid ligament disruption: a rare pattern of injury.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86.e11-86.e17 [PMID: 20123296 DOI: 10.1053/j.jfas.2009.10.001]</w:t>
      </w:r>
    </w:p>
    <w:p w14:paraId="32AA2A59" w14:textId="77777777" w:rsidR="00A77B3E" w:rsidRDefault="00DA283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Pankovich AM</w:t>
      </w:r>
      <w:r>
        <w:rPr>
          <w:rFonts w:ascii="Book Antiqua" w:eastAsia="Book Antiqua" w:hAnsi="Book Antiqua" w:cs="Book Antiqua"/>
          <w:color w:val="000000"/>
        </w:rPr>
        <w:t xml:space="preserve">. Maisonneuve fracture of the fibula.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1976; </w:t>
      </w:r>
      <w:r>
        <w:rPr>
          <w:rFonts w:ascii="Book Antiqua" w:eastAsia="Book Antiqua" w:hAnsi="Book Antiqua" w:cs="Book Antiqua"/>
          <w:b/>
          <w:bCs/>
          <w:color w:val="000000"/>
        </w:rPr>
        <w:t>58</w:t>
      </w:r>
      <w:r>
        <w:rPr>
          <w:rFonts w:ascii="Book Antiqua" w:eastAsia="Book Antiqua" w:hAnsi="Book Antiqua" w:cs="Book Antiqua"/>
          <w:color w:val="000000"/>
        </w:rPr>
        <w:t>: 337-342 [PMID: 816799]</w:t>
      </w:r>
    </w:p>
    <w:p w14:paraId="452772E2" w14:textId="7E3AECCD" w:rsidR="00A77B3E" w:rsidRDefault="00DA283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w:t>
      </w:r>
      <w:r w:rsidR="00347912">
        <w:rPr>
          <w:rFonts w:ascii="Book Antiqua" w:eastAsia="Book Antiqua" w:hAnsi="Book Antiqua" w:cs="Book Antiqua"/>
          <w:b/>
          <w:bCs/>
          <w:color w:val="000000"/>
        </w:rPr>
        <w:t>auge</w:t>
      </w:r>
      <w:r>
        <w:rPr>
          <w:rFonts w:ascii="Book Antiqua" w:eastAsia="Book Antiqua" w:hAnsi="Book Antiqua" w:cs="Book Antiqua"/>
          <w:b/>
          <w:bCs/>
          <w:color w:val="000000"/>
        </w:rPr>
        <w:t>-H</w:t>
      </w:r>
      <w:r w:rsidR="00347912">
        <w:rPr>
          <w:rFonts w:ascii="Book Antiqua" w:eastAsia="Book Antiqua" w:hAnsi="Book Antiqua" w:cs="Book Antiqua"/>
          <w:b/>
          <w:bCs/>
          <w:color w:val="000000"/>
        </w:rPr>
        <w:t>ansen</w:t>
      </w:r>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Fractures of the ankle. II. Combined experimental-surgical and experimental-roentgenologic investigations.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1950; </w:t>
      </w:r>
      <w:r>
        <w:rPr>
          <w:rFonts w:ascii="Book Antiqua" w:eastAsia="Book Antiqua" w:hAnsi="Book Antiqua" w:cs="Book Antiqua"/>
          <w:b/>
          <w:bCs/>
          <w:color w:val="000000"/>
        </w:rPr>
        <w:t>60</w:t>
      </w:r>
      <w:r>
        <w:rPr>
          <w:rFonts w:ascii="Book Antiqua" w:eastAsia="Book Antiqua" w:hAnsi="Book Antiqua" w:cs="Book Antiqua"/>
          <w:color w:val="000000"/>
        </w:rPr>
        <w:t>: 957-985 [PMID: 15411319]</w:t>
      </w:r>
    </w:p>
    <w:p w14:paraId="156F226E" w14:textId="77777777" w:rsidR="00A77B3E" w:rsidRDefault="00DA283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Yu GS</w:t>
      </w:r>
      <w:r>
        <w:rPr>
          <w:rFonts w:ascii="Book Antiqua" w:eastAsia="Book Antiqua" w:hAnsi="Book Antiqua" w:cs="Book Antiqua"/>
          <w:color w:val="000000"/>
        </w:rPr>
        <w:t xml:space="preserve">, Lin YB, Xiong GS, Xu HB, Liu YY. Diagnosis and treatment of ankle syndesmosis injuries with associated interosseous membrane injury: a current concept review. </w:t>
      </w:r>
      <w:r>
        <w:rPr>
          <w:rFonts w:ascii="Book Antiqua" w:eastAsia="Book Antiqua" w:hAnsi="Book Antiqua" w:cs="Book Antiqua"/>
          <w:i/>
          <w:iCs/>
          <w:color w:val="000000"/>
        </w:rPr>
        <w:t>Int Orthop</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2539-2547 [PMID: 31440891 DOI: 10.1007/s00264-019-04396-w]</w:t>
      </w:r>
    </w:p>
    <w:p w14:paraId="63889B58" w14:textId="77777777" w:rsidR="00A77B3E" w:rsidRDefault="00DA283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Alencar Neto JB</w:t>
      </w:r>
      <w:r>
        <w:rPr>
          <w:rFonts w:ascii="Book Antiqua" w:eastAsia="Book Antiqua" w:hAnsi="Book Antiqua" w:cs="Book Antiqua"/>
          <w:color w:val="000000"/>
        </w:rPr>
        <w:t xml:space="preserve">, Cavalcante MLC, Pinto Neto LH, Lucena IF, Garrido RJ, Rocha PHMD. Maisonneuve Variant Lesion with Proximal Tibiofibular Dislocation. </w:t>
      </w:r>
      <w:r>
        <w:rPr>
          <w:rFonts w:ascii="Book Antiqua" w:eastAsia="Book Antiqua" w:hAnsi="Book Antiqua" w:cs="Book Antiqua"/>
          <w:i/>
          <w:iCs/>
          <w:color w:val="000000"/>
        </w:rPr>
        <w:t>Rev Bras Ortop (Sao Paulo)</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339-342 [PMID: 31363291 DOI: 10.1055/s-0039-1692625]</w:t>
      </w:r>
    </w:p>
    <w:p w14:paraId="0ABC607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CD01AD" w14:textId="77777777" w:rsidR="00A77B3E" w:rsidRDefault="00DA2836">
      <w:pPr>
        <w:spacing w:line="360" w:lineRule="auto"/>
        <w:jc w:val="both"/>
      </w:pPr>
      <w:r>
        <w:rPr>
          <w:rFonts w:ascii="Book Antiqua" w:eastAsia="Book Antiqua" w:hAnsi="Book Antiqua" w:cs="Book Antiqua"/>
          <w:b/>
          <w:color w:val="000000"/>
        </w:rPr>
        <w:t>Footnotes</w:t>
      </w:r>
    </w:p>
    <w:p w14:paraId="0EC64B41" w14:textId="77777777" w:rsidR="00A77B3E" w:rsidRDefault="00DA283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841A466" w14:textId="77777777" w:rsidR="00A77B3E" w:rsidRDefault="00A77B3E">
      <w:pPr>
        <w:spacing w:line="360" w:lineRule="auto"/>
        <w:jc w:val="both"/>
      </w:pPr>
    </w:p>
    <w:p w14:paraId="394CC834" w14:textId="7284045D" w:rsidR="00A77B3E" w:rsidRDefault="00DA283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2E2D6E">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1A942FD" w14:textId="77777777" w:rsidR="00A77B3E" w:rsidRDefault="00A77B3E">
      <w:pPr>
        <w:spacing w:line="360" w:lineRule="auto"/>
        <w:jc w:val="both"/>
      </w:pPr>
    </w:p>
    <w:p w14:paraId="657BC46A" w14:textId="77777777" w:rsidR="00A77B3E" w:rsidRDefault="00DA283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82B14E9" w14:textId="77777777" w:rsidR="00A77B3E" w:rsidRDefault="00A77B3E">
      <w:pPr>
        <w:spacing w:line="360" w:lineRule="auto"/>
        <w:jc w:val="both"/>
      </w:pPr>
    </w:p>
    <w:p w14:paraId="07CE18E6" w14:textId="77777777" w:rsidR="00A77B3E" w:rsidRDefault="00DA283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9DD266" w14:textId="77777777" w:rsidR="00A77B3E" w:rsidRDefault="00A77B3E">
      <w:pPr>
        <w:spacing w:line="360" w:lineRule="auto"/>
        <w:jc w:val="both"/>
      </w:pPr>
    </w:p>
    <w:p w14:paraId="299D584A" w14:textId="41773156" w:rsidR="00A77B3E" w:rsidRDefault="00DA283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F6412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450E26E" w14:textId="77777777" w:rsidR="00A77B3E" w:rsidRDefault="00A77B3E">
      <w:pPr>
        <w:spacing w:line="360" w:lineRule="auto"/>
        <w:jc w:val="both"/>
      </w:pPr>
    </w:p>
    <w:p w14:paraId="7E0B5DBD" w14:textId="77777777" w:rsidR="00A77B3E" w:rsidRDefault="00DA283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6, 2021</w:t>
      </w:r>
    </w:p>
    <w:p w14:paraId="15181C51" w14:textId="77777777" w:rsidR="00A77B3E" w:rsidRDefault="00DA283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5902FE41" w14:textId="20631198" w:rsidR="00A77B3E" w:rsidRDefault="00DA2836">
      <w:pPr>
        <w:spacing w:line="360" w:lineRule="auto"/>
        <w:jc w:val="both"/>
      </w:pPr>
      <w:r>
        <w:rPr>
          <w:rFonts w:ascii="Book Antiqua" w:eastAsia="Book Antiqua" w:hAnsi="Book Antiqua" w:cs="Book Antiqua"/>
          <w:b/>
          <w:color w:val="000000"/>
        </w:rPr>
        <w:t xml:space="preserve">Article in press: </w:t>
      </w:r>
      <w:r w:rsidR="00103023" w:rsidRPr="006669A5">
        <w:rPr>
          <w:rFonts w:ascii="Book Antiqua" w:eastAsia="Book Antiqua" w:hAnsi="Book Antiqua" w:cs="Book Antiqua"/>
          <w:color w:val="000000"/>
        </w:rPr>
        <w:t>March 3, 2021</w:t>
      </w:r>
    </w:p>
    <w:p w14:paraId="62E0F19B" w14:textId="77777777" w:rsidR="00A77B3E" w:rsidRDefault="00A77B3E">
      <w:pPr>
        <w:spacing w:line="360" w:lineRule="auto"/>
        <w:jc w:val="both"/>
      </w:pPr>
    </w:p>
    <w:p w14:paraId="6AA1BA06" w14:textId="63F87735" w:rsidR="00A77B3E" w:rsidRDefault="00DA2836">
      <w:pPr>
        <w:spacing w:line="360" w:lineRule="auto"/>
        <w:jc w:val="both"/>
      </w:pPr>
      <w:r>
        <w:rPr>
          <w:rFonts w:ascii="Book Antiqua" w:eastAsia="Book Antiqua" w:hAnsi="Book Antiqua" w:cs="Book Antiqua"/>
          <w:b/>
          <w:color w:val="000000"/>
        </w:rPr>
        <w:t xml:space="preserve">Specialty type: </w:t>
      </w:r>
      <w:r w:rsidR="00F6412B" w:rsidRPr="00E700C2">
        <w:rPr>
          <w:rFonts w:ascii="Book Antiqua" w:eastAsia="微软雅黑" w:hAnsi="Book Antiqua" w:cs="宋体"/>
        </w:rPr>
        <w:t>Medicine, research and experimental</w:t>
      </w:r>
    </w:p>
    <w:p w14:paraId="596A558A" w14:textId="77777777" w:rsidR="00A77B3E" w:rsidRDefault="00DA283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607569" w14:textId="77777777" w:rsidR="00A77B3E" w:rsidRDefault="00DA2836">
      <w:pPr>
        <w:spacing w:line="360" w:lineRule="auto"/>
        <w:jc w:val="both"/>
      </w:pPr>
      <w:r>
        <w:rPr>
          <w:rFonts w:ascii="Book Antiqua" w:eastAsia="Book Antiqua" w:hAnsi="Book Antiqua" w:cs="Book Antiqua"/>
          <w:b/>
          <w:color w:val="000000"/>
        </w:rPr>
        <w:t>Peer-review report’s scientific quality classification</w:t>
      </w:r>
    </w:p>
    <w:p w14:paraId="128514AA" w14:textId="77777777" w:rsidR="00A77B3E" w:rsidRDefault="00DA2836">
      <w:pPr>
        <w:spacing w:line="360" w:lineRule="auto"/>
        <w:jc w:val="both"/>
      </w:pPr>
      <w:r>
        <w:rPr>
          <w:rFonts w:ascii="Book Antiqua" w:eastAsia="Book Antiqua" w:hAnsi="Book Antiqua" w:cs="Book Antiqua"/>
          <w:color w:val="000000"/>
        </w:rPr>
        <w:t>Grade A (Excellent): 0</w:t>
      </w:r>
    </w:p>
    <w:p w14:paraId="1676773B" w14:textId="77777777" w:rsidR="00A77B3E" w:rsidRDefault="00DA2836">
      <w:pPr>
        <w:spacing w:line="360" w:lineRule="auto"/>
        <w:jc w:val="both"/>
      </w:pPr>
      <w:r>
        <w:rPr>
          <w:rFonts w:ascii="Book Antiqua" w:eastAsia="Book Antiqua" w:hAnsi="Book Antiqua" w:cs="Book Antiqua"/>
          <w:color w:val="000000"/>
        </w:rPr>
        <w:t>Grade B (Very good): B</w:t>
      </w:r>
    </w:p>
    <w:p w14:paraId="59C8D21F" w14:textId="77777777" w:rsidR="00A77B3E" w:rsidRDefault="00DA2836">
      <w:pPr>
        <w:spacing w:line="360" w:lineRule="auto"/>
        <w:jc w:val="both"/>
      </w:pPr>
      <w:r>
        <w:rPr>
          <w:rFonts w:ascii="Book Antiqua" w:eastAsia="Book Antiqua" w:hAnsi="Book Antiqua" w:cs="Book Antiqua"/>
          <w:color w:val="000000"/>
        </w:rPr>
        <w:t>Grade C (Good): 0</w:t>
      </w:r>
    </w:p>
    <w:p w14:paraId="0831D83D" w14:textId="77777777" w:rsidR="00A77B3E" w:rsidRDefault="00DA2836">
      <w:pPr>
        <w:spacing w:line="360" w:lineRule="auto"/>
        <w:jc w:val="both"/>
      </w:pPr>
      <w:r>
        <w:rPr>
          <w:rFonts w:ascii="Book Antiqua" w:eastAsia="Book Antiqua" w:hAnsi="Book Antiqua" w:cs="Book Antiqua"/>
          <w:color w:val="000000"/>
        </w:rPr>
        <w:t>Grade D (Fair): 0</w:t>
      </w:r>
    </w:p>
    <w:p w14:paraId="7B4161FD" w14:textId="77777777" w:rsidR="00A77B3E" w:rsidRDefault="00DA2836">
      <w:pPr>
        <w:spacing w:line="360" w:lineRule="auto"/>
        <w:jc w:val="both"/>
      </w:pPr>
      <w:r>
        <w:rPr>
          <w:rFonts w:ascii="Book Antiqua" w:eastAsia="Book Antiqua" w:hAnsi="Book Antiqua" w:cs="Book Antiqua"/>
          <w:color w:val="000000"/>
        </w:rPr>
        <w:t>Grade E (Poor): 0</w:t>
      </w:r>
    </w:p>
    <w:p w14:paraId="16593234" w14:textId="77777777" w:rsidR="00A77B3E" w:rsidRDefault="00A77B3E">
      <w:pPr>
        <w:spacing w:line="360" w:lineRule="auto"/>
        <w:jc w:val="both"/>
      </w:pPr>
    </w:p>
    <w:p w14:paraId="76E7C223" w14:textId="79B56D3C" w:rsidR="00A77B3E" w:rsidRDefault="00DA283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w:t>
      </w:r>
      <w:r w:rsidR="00347912">
        <w:rPr>
          <w:rFonts w:ascii="Book Antiqua" w:eastAsia="Book Antiqua" w:hAnsi="Book Antiqua" w:cs="Book Antiqua"/>
          <w:color w:val="000000"/>
        </w:rPr>
        <w:t>antiago</w:t>
      </w:r>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2E2D6E" w:rsidRPr="00502B28">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103023" w:rsidRPr="00103023">
        <w:rPr>
          <w:rFonts w:ascii="Book Antiqua" w:eastAsia="Book Antiqua" w:hAnsi="Book Antiqua" w:cs="Book Antiqua"/>
          <w:bCs/>
          <w:color w:val="000000"/>
        </w:rPr>
        <w:t>Wu YXJ</w:t>
      </w:r>
    </w:p>
    <w:p w14:paraId="340FC355" w14:textId="1A7EFCD6" w:rsidR="00A77B3E" w:rsidRDefault="00DA28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4B65438" w14:textId="545009ED" w:rsidR="003D062B" w:rsidRDefault="003D062B">
      <w:pPr>
        <w:spacing w:line="360" w:lineRule="auto"/>
        <w:jc w:val="both"/>
      </w:pPr>
      <w:r w:rsidRPr="003D062B">
        <w:rPr>
          <w:noProof/>
          <w:lang w:eastAsia="zh-CN"/>
        </w:rPr>
        <w:drawing>
          <wp:inline distT="0" distB="0" distL="0" distR="0" wp14:anchorId="1D999B85" wp14:editId="1DD88D98">
            <wp:extent cx="4627839" cy="3021939"/>
            <wp:effectExtent l="0" t="0" r="0" b="0"/>
            <wp:docPr id="4"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406438-5BBC-4F3A-8985-B7D6A09FD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406438-5BBC-4F3A-8985-B7D6A09FD174}"/>
                        </a:ext>
                      </a:extLst>
                    </pic:cNvPr>
                    <pic:cNvPicPr>
                      <a:picLocks noChangeAspect="1"/>
                    </pic:cNvPicPr>
                  </pic:nvPicPr>
                  <pic:blipFill>
                    <a:blip r:embed="rId8"/>
                    <a:stretch>
                      <a:fillRect/>
                    </a:stretch>
                  </pic:blipFill>
                  <pic:spPr>
                    <a:xfrm>
                      <a:off x="0" y="0"/>
                      <a:ext cx="4639070" cy="3029272"/>
                    </a:xfrm>
                    <a:prstGeom prst="rect">
                      <a:avLst/>
                    </a:prstGeom>
                  </pic:spPr>
                </pic:pic>
              </a:graphicData>
            </a:graphic>
          </wp:inline>
        </w:drawing>
      </w:r>
    </w:p>
    <w:p w14:paraId="5BC56F37" w14:textId="0637EEAC" w:rsidR="003D062B" w:rsidRDefault="00DA283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Left ankle radiographs (from another hospital) </w:t>
      </w:r>
      <w:r w:rsidR="002E2D6E">
        <w:rPr>
          <w:rFonts w:ascii="Book Antiqua" w:eastAsia="Book Antiqua" w:hAnsi="Book Antiqua" w:cs="Book Antiqua"/>
          <w:b/>
          <w:bCs/>
          <w:color w:val="000000"/>
        </w:rPr>
        <w:t xml:space="preserve">of </w:t>
      </w:r>
      <w:r>
        <w:rPr>
          <w:rFonts w:ascii="Book Antiqua" w:eastAsia="Book Antiqua" w:hAnsi="Book Antiqua" w:cs="Book Antiqua"/>
          <w:b/>
          <w:bCs/>
          <w:color w:val="000000"/>
        </w:rPr>
        <w:t>anteroposterior and lateral views showing medial malleolar fracture.</w:t>
      </w:r>
    </w:p>
    <w:p w14:paraId="42374C6F" w14:textId="79E2EE69" w:rsidR="00A77B3E" w:rsidRDefault="003D062B">
      <w:pPr>
        <w:spacing w:line="360" w:lineRule="auto"/>
        <w:jc w:val="both"/>
      </w:pPr>
      <w:r>
        <w:rPr>
          <w:rFonts w:ascii="Book Antiqua" w:eastAsia="Book Antiqua" w:hAnsi="Book Antiqua" w:cs="Book Antiqua"/>
          <w:b/>
          <w:bCs/>
          <w:color w:val="000000"/>
        </w:rPr>
        <w:br w:type="page"/>
      </w:r>
      <w:r w:rsidRPr="003D062B">
        <w:rPr>
          <w:rFonts w:ascii="Book Antiqua" w:eastAsia="Book Antiqua" w:hAnsi="Book Antiqua" w:cs="Book Antiqua"/>
          <w:b/>
          <w:bCs/>
          <w:noProof/>
          <w:color w:val="000000"/>
          <w:lang w:eastAsia="zh-CN"/>
        </w:rPr>
        <w:drawing>
          <wp:inline distT="0" distB="0" distL="0" distR="0" wp14:anchorId="11E133C6" wp14:editId="63818D98">
            <wp:extent cx="3477278" cy="5251851"/>
            <wp:effectExtent l="0" t="0" r="0" b="0"/>
            <wp:docPr id="1"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4A294F-25FF-4F9D-AAE5-1328A9EAF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4A294F-25FF-4F9D-AAE5-1328A9EAF5DE}"/>
                        </a:ext>
                      </a:extLst>
                    </pic:cNvPr>
                    <pic:cNvPicPr>
                      <a:picLocks noChangeAspect="1"/>
                    </pic:cNvPicPr>
                  </pic:nvPicPr>
                  <pic:blipFill>
                    <a:blip r:embed="rId9"/>
                    <a:stretch>
                      <a:fillRect/>
                    </a:stretch>
                  </pic:blipFill>
                  <pic:spPr>
                    <a:xfrm>
                      <a:off x="0" y="0"/>
                      <a:ext cx="3480380" cy="5256536"/>
                    </a:xfrm>
                    <a:prstGeom prst="rect">
                      <a:avLst/>
                    </a:prstGeom>
                  </pic:spPr>
                </pic:pic>
              </a:graphicData>
            </a:graphic>
          </wp:inline>
        </w:drawing>
      </w:r>
    </w:p>
    <w:p w14:paraId="40487AEE" w14:textId="61D2E027" w:rsidR="003D062B" w:rsidRDefault="00DA283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Postoperative radiograph showing the enlarged tibiofibular clear space and medial clear space.</w:t>
      </w:r>
    </w:p>
    <w:p w14:paraId="3BB9CBF9" w14:textId="4CE0A507" w:rsidR="00A77B3E" w:rsidRDefault="003D062B">
      <w:pPr>
        <w:spacing w:line="360" w:lineRule="auto"/>
        <w:jc w:val="both"/>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282C76F6" wp14:editId="56513FEA">
            <wp:extent cx="5951170" cy="2583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95" cy="2597026"/>
                    </a:xfrm>
                    <a:prstGeom prst="rect">
                      <a:avLst/>
                    </a:prstGeom>
                    <a:noFill/>
                  </pic:spPr>
                </pic:pic>
              </a:graphicData>
            </a:graphic>
          </wp:inline>
        </w:drawing>
      </w:r>
    </w:p>
    <w:p w14:paraId="37A0D028" w14:textId="11A09350" w:rsidR="003D062B" w:rsidRDefault="00DA28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3D062B">
        <w:rPr>
          <w:rFonts w:ascii="Book Antiqua" w:eastAsia="Book Antiqua" w:hAnsi="Book Antiqua" w:cs="Book Antiqua"/>
          <w:b/>
          <w:bCs/>
          <w:color w:val="000000"/>
        </w:rPr>
        <w:t>C</w:t>
      </w:r>
      <w:r>
        <w:rPr>
          <w:rFonts w:ascii="Book Antiqua" w:eastAsia="Book Antiqua" w:hAnsi="Book Antiqua" w:cs="Book Antiqua"/>
          <w:b/>
          <w:bCs/>
          <w:color w:val="000000"/>
        </w:rPr>
        <w:t xml:space="preserve">alf </w:t>
      </w:r>
      <w:bookmarkStart w:id="3" w:name="_Hlk65253191"/>
      <w:r>
        <w:rPr>
          <w:rFonts w:ascii="Book Antiqua" w:eastAsia="Book Antiqua" w:hAnsi="Book Antiqua" w:cs="Book Antiqua"/>
          <w:b/>
          <w:bCs/>
          <w:color w:val="000000"/>
        </w:rPr>
        <w:t>magnetic resonance imaging</w:t>
      </w:r>
      <w:bookmarkEnd w:id="3"/>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3D062B">
        <w:rPr>
          <w:rFonts w:ascii="Book Antiqua" w:eastAsia="Book Antiqua" w:hAnsi="Book Antiqua" w:cs="Book Antiqua"/>
          <w:color w:val="000000"/>
        </w:rPr>
        <w:t>S</w:t>
      </w:r>
      <w:r>
        <w:rPr>
          <w:rFonts w:ascii="Book Antiqua" w:eastAsia="Book Antiqua" w:hAnsi="Book Antiqua" w:cs="Book Antiqua"/>
          <w:color w:val="000000"/>
        </w:rPr>
        <w:t xml:space="preserve">agittal </w:t>
      </w:r>
      <w:r w:rsidR="003D062B" w:rsidRPr="003D062B">
        <w:rPr>
          <w:rFonts w:ascii="Book Antiqua" w:eastAsia="Book Antiqua" w:hAnsi="Book Antiqua" w:cs="Book Antiqua"/>
          <w:color w:val="000000"/>
        </w:rPr>
        <w:t xml:space="preserve">magnetic resonance imaging </w:t>
      </w:r>
      <w:r w:rsidR="003D062B">
        <w:rPr>
          <w:rFonts w:ascii="Book Antiqua" w:eastAsia="Book Antiqua" w:hAnsi="Book Antiqua" w:cs="Book Antiqua"/>
          <w:color w:val="000000"/>
        </w:rPr>
        <w:t>(</w:t>
      </w:r>
      <w:r>
        <w:rPr>
          <w:rFonts w:ascii="Book Antiqua" w:eastAsia="Book Antiqua" w:hAnsi="Book Antiqua" w:cs="Book Antiqua"/>
          <w:color w:val="000000"/>
        </w:rPr>
        <w:t>MRI</w:t>
      </w:r>
      <w:r w:rsidR="003D062B">
        <w:rPr>
          <w:rFonts w:ascii="Book Antiqua" w:eastAsia="Book Antiqua" w:hAnsi="Book Antiqua" w:cs="Book Antiqua"/>
          <w:color w:val="000000"/>
        </w:rPr>
        <w:t>)</w:t>
      </w:r>
      <w:r>
        <w:rPr>
          <w:rFonts w:ascii="Book Antiqua" w:eastAsia="Book Antiqua" w:hAnsi="Book Antiqua" w:cs="Book Antiqua"/>
          <w:color w:val="000000"/>
        </w:rPr>
        <w:t xml:space="preserve"> showing high-signal intensity (</w:t>
      </w:r>
      <w:r w:rsidR="0003130D">
        <w:rPr>
          <w:rFonts w:ascii="Book Antiqua" w:eastAsia="Book Antiqua" w:hAnsi="Book Antiqua" w:cs="Book Antiqua"/>
          <w:color w:val="000000"/>
        </w:rPr>
        <w:t>orange</w:t>
      </w:r>
      <w:r>
        <w:rPr>
          <w:rFonts w:ascii="Book Antiqua" w:eastAsia="Book Antiqua" w:hAnsi="Book Antiqua" w:cs="Book Antiqua"/>
          <w:color w:val="000000"/>
        </w:rPr>
        <w:t xml:space="preserve"> arrow) indicating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injury of the interosseous membrane (IOM); B: </w:t>
      </w:r>
      <w:r w:rsidR="003D062B">
        <w:rPr>
          <w:rFonts w:ascii="Book Antiqua" w:eastAsia="Book Antiqua" w:hAnsi="Book Antiqua" w:cs="Book Antiqua"/>
          <w:color w:val="000000"/>
        </w:rPr>
        <w:t>C</w:t>
      </w:r>
      <w:r>
        <w:rPr>
          <w:rFonts w:ascii="Book Antiqua" w:eastAsia="Book Antiqua" w:hAnsi="Book Antiqua" w:cs="Book Antiqua"/>
          <w:color w:val="000000"/>
        </w:rPr>
        <w:t>oronal MRI showing IOM injury (</w:t>
      </w:r>
      <w:r w:rsidR="0003130D">
        <w:rPr>
          <w:rFonts w:ascii="Book Antiqua" w:eastAsia="Book Antiqua" w:hAnsi="Book Antiqua" w:cs="Book Antiqua"/>
          <w:color w:val="000000"/>
        </w:rPr>
        <w:t>orange</w:t>
      </w:r>
      <w:r>
        <w:rPr>
          <w:rFonts w:ascii="Book Antiqua" w:eastAsia="Book Antiqua" w:hAnsi="Book Antiqua" w:cs="Book Antiqua"/>
          <w:color w:val="000000"/>
        </w:rPr>
        <w:t xml:space="preserve"> arrow) compared with the contralateral uninjured calf; C: </w:t>
      </w:r>
      <w:r w:rsidR="003D062B">
        <w:rPr>
          <w:rFonts w:ascii="Book Antiqua" w:eastAsia="Book Antiqua" w:hAnsi="Book Antiqua" w:cs="Book Antiqua"/>
          <w:color w:val="000000"/>
        </w:rPr>
        <w:t>A</w:t>
      </w:r>
      <w:r>
        <w:rPr>
          <w:rFonts w:ascii="Book Antiqua" w:eastAsia="Book Antiqua" w:hAnsi="Book Antiqua" w:cs="Book Antiqua"/>
          <w:color w:val="000000"/>
        </w:rPr>
        <w:t>xial MRI showing IOM rupture (</w:t>
      </w:r>
      <w:r w:rsidR="0003130D">
        <w:rPr>
          <w:rFonts w:ascii="Book Antiqua" w:eastAsia="Book Antiqua" w:hAnsi="Book Antiqua" w:cs="Book Antiqua"/>
          <w:color w:val="000000"/>
        </w:rPr>
        <w:t>orange</w:t>
      </w:r>
      <w:r>
        <w:rPr>
          <w:rFonts w:ascii="Book Antiqua" w:eastAsia="Book Antiqua" w:hAnsi="Book Antiqua" w:cs="Book Antiqua"/>
          <w:color w:val="000000"/>
        </w:rPr>
        <w:t xml:space="preserve"> arrow) compared with the contralateral uninjured calf, torn from the fibular interosseous crest.</w:t>
      </w:r>
    </w:p>
    <w:p w14:paraId="1C6B384F" w14:textId="33CF42F2" w:rsidR="00A77B3E" w:rsidRDefault="003D062B">
      <w:pPr>
        <w:spacing w:line="360" w:lineRule="auto"/>
        <w:jc w:val="both"/>
      </w:pPr>
      <w:r>
        <w:rPr>
          <w:rFonts w:ascii="Book Antiqua" w:eastAsia="Book Antiqua" w:hAnsi="Book Antiqua" w:cs="Book Antiqua"/>
          <w:color w:val="000000"/>
        </w:rPr>
        <w:br w:type="page"/>
      </w:r>
      <w:r w:rsidRPr="00E00DCD">
        <w:rPr>
          <w:noProof/>
          <w:lang w:eastAsia="zh-CN"/>
        </w:rPr>
        <w:drawing>
          <wp:inline distT="0" distB="0" distL="0" distR="0" wp14:anchorId="31480133" wp14:editId="3262DFB7">
            <wp:extent cx="5731510" cy="28219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003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1510" cy="2821940"/>
                    </a:xfrm>
                    <a:prstGeom prst="rect">
                      <a:avLst/>
                    </a:prstGeom>
                    <a:noFill/>
                    <a:ln>
                      <a:noFill/>
                    </a:ln>
                  </pic:spPr>
                </pic:pic>
              </a:graphicData>
            </a:graphic>
          </wp:inline>
        </w:drawing>
      </w:r>
    </w:p>
    <w:p w14:paraId="2F5E6440" w14:textId="2ACBFFC6" w:rsidR="005C614B" w:rsidRDefault="00DA28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Assessment of inferior tibiofibular syndesmosis in computed tomography scans.</w:t>
      </w:r>
      <w:r>
        <w:rPr>
          <w:rFonts w:ascii="Book Antiqua" w:eastAsia="Book Antiqua" w:hAnsi="Book Antiqua" w:cs="Book Antiqua"/>
          <w:color w:val="000000"/>
        </w:rPr>
        <w:t xml:space="preserve"> A:</w:t>
      </w:r>
      <w:r w:rsidR="005C614B">
        <w:rPr>
          <w:rFonts w:ascii="Book Antiqua" w:eastAsia="Book Antiqua" w:hAnsi="Book Antiqua" w:cs="Book Antiqua"/>
          <w:color w:val="000000"/>
        </w:rPr>
        <w:t xml:space="preserve"> </w:t>
      </w:r>
      <w:r>
        <w:rPr>
          <w:rFonts w:ascii="Book Antiqua" w:eastAsia="Book Antiqua" w:hAnsi="Book Antiqua" w:cs="Book Antiqua"/>
          <w:color w:val="000000"/>
        </w:rPr>
        <w:t>Bartoníček</w:t>
      </w:r>
      <w:r w:rsidR="005C614B">
        <w:rPr>
          <w:rFonts w:ascii="Book Antiqua" w:eastAsia="Book Antiqua" w:hAnsi="Book Antiqua" w:cs="Book Antiqua"/>
          <w:color w:val="000000"/>
        </w:rPr>
        <w:t xml:space="preserve"> </w:t>
      </w:r>
      <w:r w:rsidR="00956EEF" w:rsidRPr="00956EEF">
        <w:rPr>
          <w:rFonts w:ascii="Book Antiqua" w:eastAsia="Book Antiqua" w:hAnsi="Book Antiqua" w:cs="Book Antiqua"/>
          <w:i/>
          <w:iCs/>
          <w:color w:val="000000"/>
        </w:rPr>
        <w:t>et al</w:t>
      </w:r>
      <w:r w:rsidR="00956EEF" w:rsidRPr="00956EEF">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’s evaluation method: </w:t>
      </w:r>
      <w:r w:rsidR="00956EEF">
        <w:rPr>
          <w:rFonts w:ascii="Book Antiqua" w:eastAsia="Book Antiqua" w:hAnsi="Book Antiqua" w:cs="Book Antiqua"/>
          <w:color w:val="000000"/>
        </w:rPr>
        <w:t>T</w:t>
      </w:r>
      <w:r>
        <w:rPr>
          <w:rFonts w:ascii="Book Antiqua" w:eastAsia="Book Antiqua" w:hAnsi="Book Antiqua" w:cs="Book Antiqua"/>
          <w:color w:val="000000"/>
        </w:rPr>
        <w:t xml:space="preserve">he anterior aspect of the distal fibula and tibia was continuous, similar to the posterior aspect, </w:t>
      </w:r>
      <w:r w:rsidR="003D062B">
        <w:rPr>
          <w:rFonts w:ascii="Book Antiqua" w:eastAsia="Book Antiqua" w:hAnsi="Book Antiqua" w:cs="Book Antiqua"/>
          <w:color w:val="000000"/>
        </w:rPr>
        <w:t>“</w:t>
      </w:r>
      <w:r w:rsidR="003D062B" w:rsidRPr="003D062B">
        <w:rPr>
          <w:rFonts w:ascii="Book Antiqua" w:eastAsia="Book Antiqua" w:hAnsi="Book Antiqua" w:cs="Book Antiqua"/>
          <w:color w:val="000000"/>
        </w:rPr>
        <w:t>star</w:t>
      </w:r>
      <w:r w:rsidR="003D062B">
        <w:rPr>
          <w:rFonts w:ascii="Book Antiqua" w:eastAsia="Book Antiqua" w:hAnsi="Book Antiqua" w:cs="Book Antiqua"/>
          <w:color w:val="000000"/>
        </w:rPr>
        <w:t xml:space="preserve">” </w:t>
      </w:r>
      <w:r>
        <w:rPr>
          <w:rFonts w:ascii="Book Antiqua" w:eastAsia="Book Antiqua" w:hAnsi="Book Antiqua" w:cs="Book Antiqua"/>
          <w:color w:val="000000"/>
        </w:rPr>
        <w:t xml:space="preserve">area of higher density of the subchondral cancellous bone; B: </w:t>
      </w:r>
      <w:r w:rsidR="002E2D6E">
        <w:rPr>
          <w:rFonts w:ascii="Book Antiqua" w:eastAsia="Book Antiqua" w:hAnsi="Book Antiqua" w:cs="Book Antiqua"/>
          <w:color w:val="000000"/>
        </w:rPr>
        <w:t xml:space="preserve">The </w:t>
      </w:r>
      <w:r>
        <w:rPr>
          <w:rFonts w:ascii="Book Antiqua" w:eastAsia="Book Antiqua" w:hAnsi="Book Antiqua" w:cs="Book Antiqua"/>
          <w:color w:val="000000"/>
        </w:rPr>
        <w:t xml:space="preserve">distance between the Tillaux-Chaput tubercle and </w:t>
      </w:r>
      <w:r w:rsidR="00956EEF" w:rsidRPr="00327751">
        <w:rPr>
          <w:rFonts w:ascii="Book Antiqua" w:eastAsia="Book Antiqua" w:hAnsi="Book Antiqua" w:cs="Book Antiqua"/>
          <w:color w:val="000000"/>
        </w:rPr>
        <w:t xml:space="preserve">Gifford </w:t>
      </w:r>
      <w:r w:rsidR="00956EEF">
        <w:rPr>
          <w:rFonts w:ascii="Book Antiqua" w:eastAsia="Book Antiqua" w:hAnsi="Book Antiqua" w:cs="Book Antiqua"/>
          <w:color w:val="000000"/>
        </w:rPr>
        <w:t>and</w:t>
      </w:r>
      <w:r w:rsidR="00956EEF" w:rsidRPr="00327751">
        <w:rPr>
          <w:rFonts w:ascii="Book Antiqua" w:eastAsia="Book Antiqua" w:hAnsi="Book Antiqua" w:cs="Book Antiqua"/>
          <w:color w:val="000000"/>
        </w:rPr>
        <w:t xml:space="preserve"> Lutz</w:t>
      </w:r>
      <w:r w:rsidR="00956EEF">
        <w:rPr>
          <w:rFonts w:ascii="Book Antiqua" w:eastAsia="Book Antiqua" w:hAnsi="Book Antiqua" w:cs="Book Antiqua"/>
          <w:color w:val="000000"/>
          <w:szCs w:val="30"/>
          <w:vertAlign w:val="superscript"/>
        </w:rPr>
        <w:t>[7]</w:t>
      </w:r>
      <w:r>
        <w:rPr>
          <w:rFonts w:ascii="Book Antiqua" w:eastAsia="Book Antiqua" w:hAnsi="Book Antiqua" w:cs="Book Antiqua"/>
          <w:color w:val="000000"/>
        </w:rPr>
        <w:t>’s tibiofibular line did not exceed 2 mm at the level of 10 mm superior to the tibial plafond.</w:t>
      </w:r>
    </w:p>
    <w:p w14:paraId="2CEBEAAB" w14:textId="2688A3F4" w:rsidR="00A77B3E" w:rsidRDefault="005C614B">
      <w:pPr>
        <w:spacing w:line="360" w:lineRule="auto"/>
        <w:jc w:val="both"/>
      </w:pPr>
      <w:r>
        <w:rPr>
          <w:rFonts w:ascii="Book Antiqua" w:eastAsia="Book Antiqua" w:hAnsi="Book Antiqua" w:cs="Book Antiqua"/>
          <w:color w:val="000000"/>
        </w:rPr>
        <w:br w:type="page"/>
      </w:r>
      <w:r w:rsidRPr="00E00DCD">
        <w:rPr>
          <w:noProof/>
          <w:lang w:eastAsia="zh-CN"/>
        </w:rPr>
        <w:drawing>
          <wp:inline distT="0" distB="0" distL="0" distR="0" wp14:anchorId="63068E12" wp14:editId="0D853EDB">
            <wp:extent cx="5731510" cy="36931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62868"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510" cy="3693160"/>
                    </a:xfrm>
                    <a:prstGeom prst="rect">
                      <a:avLst/>
                    </a:prstGeom>
                    <a:noFill/>
                    <a:ln>
                      <a:noFill/>
                    </a:ln>
                  </pic:spPr>
                </pic:pic>
              </a:graphicData>
            </a:graphic>
          </wp:inline>
        </w:drawing>
      </w:r>
    </w:p>
    <w:p w14:paraId="5338BD4C" w14:textId="021E819C" w:rsidR="005C614B" w:rsidRDefault="00DA28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bookmarkStart w:id="4" w:name="_Hlk65253355"/>
      <w:r>
        <w:rPr>
          <w:rFonts w:ascii="Book Antiqua" w:eastAsia="Book Antiqua" w:hAnsi="Book Antiqua" w:cs="Book Antiqua"/>
          <w:b/>
          <w:bCs/>
          <w:color w:val="000000"/>
        </w:rPr>
        <w:t>Computed tomography</w:t>
      </w:r>
      <w:bookmarkEnd w:id="4"/>
      <w:r w:rsidR="005C614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scans indicating complete injury of inferior tibiofibular syndesmosis. </w:t>
      </w:r>
      <w:r>
        <w:rPr>
          <w:rFonts w:ascii="Book Antiqua" w:eastAsia="Book Antiqua" w:hAnsi="Book Antiqua" w:cs="Book Antiqua"/>
          <w:color w:val="000000"/>
        </w:rPr>
        <w:t xml:space="preserve">A: </w:t>
      </w:r>
      <w:r w:rsidR="005C614B">
        <w:rPr>
          <w:rFonts w:ascii="Book Antiqua" w:eastAsia="Book Antiqua" w:hAnsi="Book Antiqua" w:cs="Book Antiqua"/>
          <w:color w:val="000000"/>
        </w:rPr>
        <w:t>R</w:t>
      </w:r>
      <w:r>
        <w:rPr>
          <w:rFonts w:ascii="Book Antiqua" w:eastAsia="Book Antiqua" w:hAnsi="Book Antiqua" w:cs="Book Antiqua"/>
          <w:color w:val="000000"/>
        </w:rPr>
        <w:t>upture of the interosseous membrane (IOM)</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torn from fibular interosseous crest; B: </w:t>
      </w:r>
      <w:r w:rsidR="005C614B">
        <w:rPr>
          <w:rFonts w:ascii="Book Antiqua" w:eastAsia="Book Antiqua" w:hAnsi="Book Antiqua" w:cs="Book Antiqua"/>
          <w:color w:val="000000"/>
        </w:rPr>
        <w:t>A</w:t>
      </w:r>
      <w:r>
        <w:rPr>
          <w:rFonts w:ascii="Book Antiqua" w:eastAsia="Book Antiqua" w:hAnsi="Book Antiqua" w:cs="Book Antiqua"/>
          <w:color w:val="000000"/>
        </w:rPr>
        <w:t xml:space="preserve">vulsion fracture of the anterior inferior tibiofibular ligament (AITFL) in the soft tissue window of </w:t>
      </w:r>
      <w:r w:rsidR="005C614B">
        <w:rPr>
          <w:rFonts w:ascii="Book Antiqua" w:eastAsia="Book Antiqua" w:hAnsi="Book Antiqua" w:cs="Book Antiqua"/>
          <w:color w:val="000000"/>
        </w:rPr>
        <w:t>c</w:t>
      </w:r>
      <w:r w:rsidR="005C614B" w:rsidRPr="005C614B">
        <w:rPr>
          <w:rFonts w:ascii="Book Antiqua" w:eastAsia="Book Antiqua" w:hAnsi="Book Antiqua" w:cs="Book Antiqua"/>
          <w:color w:val="000000"/>
        </w:rPr>
        <w:t>omputed tomography (CT)</w:t>
      </w:r>
      <w:r>
        <w:rPr>
          <w:rFonts w:ascii="Book Antiqua" w:eastAsia="Book Antiqua" w:hAnsi="Book Antiqua" w:cs="Book Antiqua"/>
          <w:color w:val="000000"/>
        </w:rPr>
        <w:t xml:space="preserve"> scan;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 </w:t>
      </w:r>
      <w:r w:rsidR="005C614B">
        <w:rPr>
          <w:rFonts w:ascii="Book Antiqua" w:eastAsia="Book Antiqua" w:hAnsi="Book Antiqua" w:cs="Book Antiqua"/>
          <w:color w:val="000000"/>
        </w:rPr>
        <w:t>A</w:t>
      </w:r>
      <w:r>
        <w:rPr>
          <w:rFonts w:ascii="Book Antiqua" w:eastAsia="Book Antiqua" w:hAnsi="Book Antiqua" w:cs="Book Antiqua"/>
          <w:color w:val="000000"/>
        </w:rPr>
        <w:t>vulsion fracture of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posterior inferior tibiofibular ligament (PITFL) in the soft tissue window of CT scan; D: </w:t>
      </w:r>
      <w:r w:rsidR="005C614B">
        <w:rPr>
          <w:rFonts w:ascii="Book Antiqua" w:eastAsia="Book Antiqua" w:hAnsi="Book Antiqua" w:cs="Book Antiqua"/>
          <w:color w:val="000000"/>
        </w:rPr>
        <w:t>T</w:t>
      </w:r>
      <w:r>
        <w:rPr>
          <w:rFonts w:ascii="Book Antiqua" w:eastAsia="Book Antiqua" w:hAnsi="Book Antiqua" w:cs="Book Antiqua"/>
          <w:color w:val="000000"/>
        </w:rPr>
        <w:t>he intact IOM at the proximal part of the calf; E:</w:t>
      </w:r>
      <w:r>
        <w:rPr>
          <w:rFonts w:ascii="Book Antiqua" w:eastAsia="Book Antiqua" w:hAnsi="Book Antiqua" w:cs="Book Antiqua"/>
          <w:color w:val="000000"/>
          <w:szCs w:val="21"/>
        </w:rPr>
        <w:t xml:space="preserve"> </w:t>
      </w:r>
      <w:r w:rsidR="005C614B">
        <w:rPr>
          <w:rFonts w:ascii="Book Antiqua" w:eastAsia="Book Antiqua" w:hAnsi="Book Antiqua" w:cs="Book Antiqua"/>
          <w:color w:val="000000"/>
        </w:rPr>
        <w:t>A</w:t>
      </w:r>
      <w:r>
        <w:rPr>
          <w:rFonts w:ascii="Book Antiqua" w:eastAsia="Book Antiqua" w:hAnsi="Book Antiqua" w:cs="Book Antiqua"/>
          <w:color w:val="000000"/>
        </w:rPr>
        <w:t>vulsion fracture of the AITFL was hardly caught in the bone window of the CT scan (the same B plane); F:</w:t>
      </w:r>
      <w:r>
        <w:rPr>
          <w:rFonts w:ascii="Book Antiqua" w:eastAsia="Book Antiqua" w:hAnsi="Book Antiqua" w:cs="Book Antiqua"/>
          <w:color w:val="000000"/>
          <w:szCs w:val="21"/>
        </w:rPr>
        <w:t xml:space="preserve"> </w:t>
      </w:r>
      <w:r w:rsidR="005C614B">
        <w:rPr>
          <w:rFonts w:ascii="Book Antiqua" w:eastAsia="Book Antiqua" w:hAnsi="Book Antiqua" w:cs="Book Antiqua"/>
          <w:color w:val="000000"/>
        </w:rPr>
        <w:t>A</w:t>
      </w:r>
      <w:r>
        <w:rPr>
          <w:rFonts w:ascii="Book Antiqua" w:eastAsia="Book Antiqua" w:hAnsi="Book Antiqua" w:cs="Book Antiqua"/>
          <w:color w:val="000000"/>
        </w:rPr>
        <w:t>vulsion fracture of the PITFL was hardly caught in the bone window of the CT scan (the same C plane).</w:t>
      </w:r>
    </w:p>
    <w:p w14:paraId="17F3E17F" w14:textId="675EE130" w:rsidR="00A77B3E" w:rsidRDefault="005C614B">
      <w:pPr>
        <w:spacing w:line="360" w:lineRule="auto"/>
        <w:jc w:val="both"/>
      </w:pPr>
      <w:r>
        <w:rPr>
          <w:rFonts w:ascii="Book Antiqua" w:eastAsia="Book Antiqua" w:hAnsi="Book Antiqua" w:cs="Book Antiqua"/>
          <w:color w:val="000000"/>
        </w:rPr>
        <w:br w:type="page"/>
      </w:r>
      <w:r w:rsidRPr="00E00DCD">
        <w:rPr>
          <w:noProof/>
          <w:lang w:eastAsia="zh-CN"/>
        </w:rPr>
        <w:drawing>
          <wp:inline distT="0" distB="0" distL="0" distR="0" wp14:anchorId="3DF1CC07" wp14:editId="002CEE01">
            <wp:extent cx="5731510" cy="40297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8697"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4029710"/>
                    </a:xfrm>
                    <a:prstGeom prst="rect">
                      <a:avLst/>
                    </a:prstGeom>
                    <a:noFill/>
                    <a:ln>
                      <a:noFill/>
                    </a:ln>
                  </pic:spPr>
                </pic:pic>
              </a:graphicData>
            </a:graphic>
          </wp:inline>
        </w:drawing>
      </w:r>
    </w:p>
    <w:p w14:paraId="42C2E27A" w14:textId="10596035" w:rsidR="00095DE6" w:rsidRDefault="00DA28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Ankle radiographs of </w:t>
      </w:r>
      <w:bookmarkStart w:id="5" w:name="_Hlk65253473"/>
      <w:r>
        <w:rPr>
          <w:rFonts w:ascii="Book Antiqua" w:eastAsia="Book Antiqua" w:hAnsi="Book Antiqua" w:cs="Book Antiqua"/>
          <w:b/>
          <w:bCs/>
          <w:color w:val="000000"/>
        </w:rPr>
        <w:t>anteroposterior</w:t>
      </w:r>
      <w:bookmarkEnd w:id="5"/>
      <w:r w:rsidR="005C614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6" w:name="_Hlk65253488"/>
      <w:r>
        <w:rPr>
          <w:rFonts w:ascii="Book Antiqua" w:eastAsia="Book Antiqua" w:hAnsi="Book Antiqua" w:cs="Book Antiqua"/>
          <w:b/>
          <w:bCs/>
          <w:color w:val="000000"/>
        </w:rPr>
        <w:t>lateral</w:t>
      </w:r>
      <w:bookmarkEnd w:id="6"/>
      <w:r w:rsidR="005C614B">
        <w:rPr>
          <w:rFonts w:ascii="Book Antiqua" w:eastAsia="Book Antiqua" w:hAnsi="Book Antiqua" w:cs="Book Antiqua"/>
          <w:b/>
          <w:bCs/>
          <w:color w:val="000000"/>
        </w:rPr>
        <w:t xml:space="preserve"> </w:t>
      </w:r>
      <w:r>
        <w:rPr>
          <w:rFonts w:ascii="Book Antiqua" w:eastAsia="Book Antiqua" w:hAnsi="Book Antiqua" w:cs="Book Antiqua"/>
          <w:b/>
          <w:bCs/>
          <w:color w:val="000000"/>
        </w:rPr>
        <w:t>views after secondary surgery</w:t>
      </w:r>
      <w:r w:rsidRPr="005C614B">
        <w:rPr>
          <w:rFonts w:ascii="Book Antiqua" w:eastAsia="Book Antiqua" w:hAnsi="Book Antiqua" w:cs="Book Antiqua"/>
          <w:b/>
          <w:bCs/>
          <w:color w:val="000000"/>
        </w:rPr>
        <w:t>.</w:t>
      </w:r>
      <w:r w:rsidR="005C614B">
        <w:rPr>
          <w:rFonts w:ascii="Book Antiqua" w:eastAsia="Book Antiqua" w:hAnsi="Book Antiqua" w:cs="Book Antiqua"/>
          <w:b/>
          <w:bCs/>
          <w:color w:val="000000"/>
        </w:rPr>
        <w:t xml:space="preserve"> </w:t>
      </w:r>
      <w:r w:rsidR="005C614B">
        <w:rPr>
          <w:rFonts w:ascii="Book Antiqua" w:eastAsia="Book Antiqua" w:hAnsi="Book Antiqua" w:cs="Book Antiqua"/>
          <w:color w:val="000000"/>
        </w:rPr>
        <w:t>A: A</w:t>
      </w:r>
      <w:r w:rsidR="005C614B" w:rsidRPr="005C614B">
        <w:rPr>
          <w:rFonts w:ascii="Book Antiqua" w:eastAsia="Book Antiqua" w:hAnsi="Book Antiqua" w:cs="Book Antiqua"/>
          <w:color w:val="000000"/>
        </w:rPr>
        <w:t>nteroposterior</w:t>
      </w:r>
      <w:r w:rsidR="005C614B">
        <w:rPr>
          <w:rFonts w:ascii="Book Antiqua" w:eastAsia="Book Antiqua" w:hAnsi="Book Antiqua" w:cs="Book Antiqua"/>
          <w:color w:val="000000"/>
        </w:rPr>
        <w:t>; B: L</w:t>
      </w:r>
      <w:r w:rsidR="005C614B" w:rsidRPr="005C614B">
        <w:rPr>
          <w:rFonts w:ascii="Book Antiqua" w:eastAsia="Book Antiqua" w:hAnsi="Book Antiqua" w:cs="Book Antiqua"/>
          <w:color w:val="000000"/>
        </w:rPr>
        <w:t>ateral</w:t>
      </w:r>
      <w:r w:rsidR="005C614B">
        <w:rPr>
          <w:rFonts w:ascii="Book Antiqua" w:eastAsia="Book Antiqua" w:hAnsi="Book Antiqua" w:cs="Book Antiqua"/>
          <w:color w:val="000000"/>
        </w:rPr>
        <w:t>.</w:t>
      </w:r>
    </w:p>
    <w:p w14:paraId="4FCC8A93" w14:textId="77777777" w:rsidR="00095DE6" w:rsidRDefault="00095DE6">
      <w:pPr>
        <w:rPr>
          <w:rFonts w:ascii="Book Antiqua" w:eastAsia="Book Antiqua" w:hAnsi="Book Antiqua" w:cs="Book Antiqua"/>
          <w:color w:val="000000"/>
        </w:rPr>
      </w:pPr>
      <w:r>
        <w:rPr>
          <w:rFonts w:ascii="Book Antiqua" w:eastAsia="Book Antiqua" w:hAnsi="Book Antiqua" w:cs="Book Antiqua"/>
          <w:color w:val="000000"/>
        </w:rPr>
        <w:br w:type="page"/>
      </w:r>
    </w:p>
    <w:p w14:paraId="6ED3FC8B" w14:textId="77777777" w:rsidR="00095DE6" w:rsidRDefault="00095DE6" w:rsidP="00095DE6">
      <w:pPr>
        <w:jc w:val="center"/>
        <w:rPr>
          <w:rFonts w:ascii="Book Antiqua" w:hAnsi="Book Antiqua"/>
          <w:lang w:eastAsia="zh-CN"/>
        </w:rPr>
      </w:pPr>
      <w:bookmarkStart w:id="7" w:name="OLE_LINK2"/>
    </w:p>
    <w:p w14:paraId="558C54C9" w14:textId="77777777" w:rsidR="00095DE6" w:rsidRDefault="00095DE6" w:rsidP="00095DE6">
      <w:pPr>
        <w:jc w:val="center"/>
        <w:rPr>
          <w:rFonts w:ascii="Book Antiqua" w:hAnsi="Book Antiqua"/>
          <w:lang w:eastAsia="zh-CN"/>
        </w:rPr>
      </w:pPr>
    </w:p>
    <w:p w14:paraId="039D7944" w14:textId="77777777" w:rsidR="00095DE6" w:rsidRDefault="00095DE6" w:rsidP="00095DE6">
      <w:pPr>
        <w:jc w:val="center"/>
        <w:rPr>
          <w:rFonts w:ascii="Book Antiqua" w:hAnsi="Book Antiqua"/>
          <w:lang w:eastAsia="zh-CN"/>
        </w:rPr>
      </w:pPr>
    </w:p>
    <w:p w14:paraId="4B41DBCD" w14:textId="77777777" w:rsidR="00095DE6" w:rsidRDefault="00095DE6" w:rsidP="00095DE6">
      <w:pPr>
        <w:jc w:val="center"/>
        <w:rPr>
          <w:rFonts w:ascii="Book Antiqua" w:hAnsi="Book Antiqua"/>
          <w:lang w:eastAsia="zh-CN"/>
        </w:rPr>
      </w:pPr>
    </w:p>
    <w:p w14:paraId="389A26DB" w14:textId="77777777" w:rsidR="00095DE6" w:rsidRDefault="00095DE6" w:rsidP="00095DE6">
      <w:pPr>
        <w:jc w:val="center"/>
        <w:rPr>
          <w:rFonts w:ascii="Book Antiqua" w:hAnsi="Book Antiqua"/>
          <w:lang w:eastAsia="zh-CN"/>
        </w:rPr>
      </w:pPr>
    </w:p>
    <w:p w14:paraId="0CD1822B" w14:textId="77777777" w:rsidR="00095DE6" w:rsidRDefault="00095DE6" w:rsidP="00095DE6">
      <w:pPr>
        <w:jc w:val="center"/>
        <w:rPr>
          <w:rFonts w:ascii="Book Antiqua" w:hAnsi="Book Antiqua"/>
          <w:lang w:eastAsia="zh-CN"/>
        </w:rPr>
      </w:pPr>
      <w:r>
        <w:rPr>
          <w:rFonts w:ascii="Book Antiqua" w:hAnsi="Book Antiqua"/>
          <w:noProof/>
          <w:lang w:eastAsia="zh-CN"/>
        </w:rPr>
        <w:drawing>
          <wp:inline distT="0" distB="0" distL="0" distR="0" wp14:anchorId="1041E4B8" wp14:editId="4AF0239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7B6098" w14:textId="77777777" w:rsidR="00095DE6" w:rsidRDefault="00095DE6" w:rsidP="00095DE6">
      <w:pPr>
        <w:jc w:val="center"/>
        <w:rPr>
          <w:rFonts w:ascii="Book Antiqua" w:hAnsi="Book Antiqua"/>
          <w:lang w:eastAsia="zh-CN"/>
        </w:rPr>
      </w:pPr>
    </w:p>
    <w:p w14:paraId="0435912C" w14:textId="77777777" w:rsidR="00095DE6" w:rsidRPr="00763D22" w:rsidRDefault="00095DE6" w:rsidP="00095DE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60EF252" w14:textId="77777777" w:rsidR="00095DE6" w:rsidRPr="00763D22" w:rsidRDefault="00095DE6" w:rsidP="00095DE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72E325" w14:textId="77777777" w:rsidR="00095DE6" w:rsidRPr="00763D22" w:rsidRDefault="00095DE6" w:rsidP="00095DE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80D47E" w14:textId="77777777" w:rsidR="00095DE6" w:rsidRPr="00763D22" w:rsidRDefault="00095DE6" w:rsidP="00095DE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9649547" w14:textId="77777777" w:rsidR="00095DE6" w:rsidRPr="00763D22" w:rsidRDefault="00095DE6" w:rsidP="00095DE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2BFA4C6" w14:textId="77777777" w:rsidR="00095DE6" w:rsidRPr="00763D22" w:rsidRDefault="00095DE6" w:rsidP="00095DE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D2133EB" w14:textId="77777777" w:rsidR="00095DE6" w:rsidRDefault="00095DE6" w:rsidP="00095DE6">
      <w:pPr>
        <w:jc w:val="center"/>
        <w:rPr>
          <w:rFonts w:ascii="Book Antiqua" w:hAnsi="Book Antiqua"/>
          <w:lang w:eastAsia="zh-CN"/>
        </w:rPr>
      </w:pPr>
    </w:p>
    <w:p w14:paraId="2DD19F1B" w14:textId="77777777" w:rsidR="00095DE6" w:rsidRDefault="00095DE6" w:rsidP="00095DE6">
      <w:pPr>
        <w:jc w:val="center"/>
        <w:rPr>
          <w:rFonts w:ascii="Book Antiqua" w:hAnsi="Book Antiqua"/>
          <w:lang w:eastAsia="zh-CN"/>
        </w:rPr>
      </w:pPr>
    </w:p>
    <w:p w14:paraId="5DD19577" w14:textId="77777777" w:rsidR="00095DE6" w:rsidRDefault="00095DE6" w:rsidP="00095DE6">
      <w:pPr>
        <w:jc w:val="center"/>
        <w:rPr>
          <w:rFonts w:ascii="Book Antiqua" w:hAnsi="Book Antiqua"/>
          <w:lang w:eastAsia="zh-CN"/>
        </w:rPr>
      </w:pPr>
    </w:p>
    <w:p w14:paraId="4C5FDB15" w14:textId="77777777" w:rsidR="00095DE6" w:rsidRDefault="00095DE6" w:rsidP="00095DE6">
      <w:pPr>
        <w:jc w:val="center"/>
        <w:rPr>
          <w:rFonts w:ascii="Book Antiqua" w:hAnsi="Book Antiqua"/>
          <w:lang w:eastAsia="zh-CN"/>
        </w:rPr>
      </w:pPr>
      <w:r>
        <w:rPr>
          <w:rFonts w:ascii="Book Antiqua" w:hAnsi="Book Antiqua"/>
          <w:noProof/>
          <w:lang w:eastAsia="zh-CN"/>
        </w:rPr>
        <w:drawing>
          <wp:inline distT="0" distB="0" distL="0" distR="0" wp14:anchorId="7992FD6C" wp14:editId="17110BB4">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464A134" w14:textId="77777777" w:rsidR="00095DE6" w:rsidRDefault="00095DE6" w:rsidP="00095DE6">
      <w:pPr>
        <w:jc w:val="center"/>
        <w:rPr>
          <w:rFonts w:ascii="Book Antiqua" w:hAnsi="Book Antiqua"/>
          <w:lang w:eastAsia="zh-CN"/>
        </w:rPr>
      </w:pPr>
    </w:p>
    <w:p w14:paraId="738902EE" w14:textId="77777777" w:rsidR="00095DE6" w:rsidRDefault="00095DE6" w:rsidP="00095DE6">
      <w:pPr>
        <w:jc w:val="center"/>
        <w:rPr>
          <w:rFonts w:ascii="Book Antiqua" w:hAnsi="Book Antiqua"/>
          <w:lang w:eastAsia="zh-CN"/>
        </w:rPr>
      </w:pPr>
    </w:p>
    <w:p w14:paraId="6A4269C2" w14:textId="77777777" w:rsidR="00095DE6" w:rsidRDefault="00095DE6" w:rsidP="00095DE6">
      <w:pPr>
        <w:jc w:val="center"/>
        <w:rPr>
          <w:rFonts w:ascii="Book Antiqua" w:hAnsi="Book Antiqua"/>
          <w:lang w:eastAsia="zh-CN"/>
        </w:rPr>
      </w:pPr>
    </w:p>
    <w:p w14:paraId="10E016B7" w14:textId="77777777" w:rsidR="00095DE6" w:rsidRDefault="00095DE6" w:rsidP="00095DE6">
      <w:pPr>
        <w:jc w:val="center"/>
        <w:rPr>
          <w:rFonts w:ascii="Book Antiqua" w:hAnsi="Book Antiqua"/>
          <w:lang w:eastAsia="zh-CN"/>
        </w:rPr>
      </w:pPr>
    </w:p>
    <w:p w14:paraId="7FD418C8" w14:textId="77777777" w:rsidR="00095DE6" w:rsidRDefault="00095DE6" w:rsidP="00095DE6">
      <w:pPr>
        <w:jc w:val="center"/>
        <w:rPr>
          <w:rFonts w:ascii="Book Antiqua" w:hAnsi="Book Antiqua"/>
          <w:lang w:eastAsia="zh-CN"/>
        </w:rPr>
      </w:pPr>
    </w:p>
    <w:p w14:paraId="06C7BA9A" w14:textId="77777777" w:rsidR="00095DE6" w:rsidRDefault="00095DE6" w:rsidP="00095DE6">
      <w:pPr>
        <w:jc w:val="center"/>
        <w:rPr>
          <w:rFonts w:ascii="Book Antiqua" w:hAnsi="Book Antiqua"/>
          <w:lang w:eastAsia="zh-CN"/>
        </w:rPr>
      </w:pPr>
    </w:p>
    <w:p w14:paraId="374E68DB" w14:textId="77777777" w:rsidR="00095DE6" w:rsidRDefault="00095DE6" w:rsidP="00095DE6">
      <w:pPr>
        <w:jc w:val="center"/>
        <w:rPr>
          <w:rFonts w:ascii="Book Antiqua" w:hAnsi="Book Antiqua"/>
          <w:lang w:eastAsia="zh-CN"/>
        </w:rPr>
      </w:pPr>
    </w:p>
    <w:p w14:paraId="56197B44" w14:textId="77777777" w:rsidR="00095DE6" w:rsidRDefault="00095DE6" w:rsidP="00095DE6">
      <w:pPr>
        <w:jc w:val="center"/>
        <w:rPr>
          <w:rFonts w:ascii="Book Antiqua" w:hAnsi="Book Antiqua"/>
          <w:lang w:eastAsia="zh-CN"/>
        </w:rPr>
      </w:pPr>
    </w:p>
    <w:p w14:paraId="2A9AB426" w14:textId="77777777" w:rsidR="00095DE6" w:rsidRDefault="00095DE6" w:rsidP="00095DE6">
      <w:pPr>
        <w:jc w:val="center"/>
        <w:rPr>
          <w:rFonts w:ascii="Book Antiqua" w:hAnsi="Book Antiqua"/>
          <w:lang w:eastAsia="zh-CN"/>
        </w:rPr>
      </w:pPr>
    </w:p>
    <w:p w14:paraId="0BFDE47C" w14:textId="77777777" w:rsidR="00095DE6" w:rsidRPr="00763D22" w:rsidRDefault="00095DE6" w:rsidP="00095DE6">
      <w:pPr>
        <w:jc w:val="right"/>
        <w:rPr>
          <w:rFonts w:ascii="Book Antiqua" w:hAnsi="Book Antiqua"/>
          <w:color w:val="000000" w:themeColor="text1"/>
          <w:lang w:eastAsia="zh-CN"/>
        </w:rPr>
      </w:pPr>
    </w:p>
    <w:p w14:paraId="263311E2" w14:textId="77777777" w:rsidR="00095DE6" w:rsidRPr="00763D22" w:rsidRDefault="00095DE6" w:rsidP="00095DE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p>
    <w:p w14:paraId="409ADE92" w14:textId="77777777" w:rsidR="00A77B3E" w:rsidRPr="005C614B" w:rsidRDefault="00A77B3E">
      <w:pPr>
        <w:spacing w:line="360" w:lineRule="auto"/>
        <w:jc w:val="both"/>
      </w:pPr>
      <w:bookmarkStart w:id="8" w:name="_GoBack"/>
      <w:bookmarkEnd w:id="8"/>
    </w:p>
    <w:sectPr w:rsidR="00A77B3E" w:rsidRPr="005C61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D849C" w14:textId="77777777" w:rsidR="00F94F27" w:rsidRDefault="00F94F27" w:rsidP="00BD1505">
      <w:r>
        <w:separator/>
      </w:r>
    </w:p>
  </w:endnote>
  <w:endnote w:type="continuationSeparator" w:id="0">
    <w:p w14:paraId="431654C6" w14:textId="77777777" w:rsidR="00F94F27" w:rsidRDefault="00F94F27" w:rsidP="00BD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21365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58E8F6D" w14:textId="65D44423" w:rsidR="00BD1505" w:rsidRPr="00BD1505" w:rsidRDefault="00BD1505" w:rsidP="00BD1505">
            <w:pPr>
              <w:pStyle w:val="a7"/>
              <w:jc w:val="right"/>
              <w:rPr>
                <w:rFonts w:ascii="Book Antiqua" w:hAnsi="Book Antiqua"/>
                <w:sz w:val="24"/>
                <w:szCs w:val="24"/>
              </w:rPr>
            </w:pPr>
            <w:r w:rsidRPr="00BD1505">
              <w:rPr>
                <w:rFonts w:ascii="Book Antiqua" w:hAnsi="Book Antiqua"/>
                <w:sz w:val="24"/>
                <w:szCs w:val="24"/>
                <w:lang w:val="zh-CN" w:eastAsia="zh-CN"/>
              </w:rPr>
              <w:t xml:space="preserve"> </w:t>
            </w:r>
            <w:r w:rsidRPr="00BD1505">
              <w:rPr>
                <w:rFonts w:ascii="Book Antiqua" w:hAnsi="Book Antiqua"/>
                <w:sz w:val="24"/>
                <w:szCs w:val="24"/>
              </w:rPr>
              <w:fldChar w:fldCharType="begin"/>
            </w:r>
            <w:r w:rsidRPr="00BD1505">
              <w:rPr>
                <w:rFonts w:ascii="Book Antiqua" w:hAnsi="Book Antiqua"/>
                <w:sz w:val="24"/>
                <w:szCs w:val="24"/>
              </w:rPr>
              <w:instrText>PAGE</w:instrText>
            </w:r>
            <w:r w:rsidRPr="00BD1505">
              <w:rPr>
                <w:rFonts w:ascii="Book Antiqua" w:hAnsi="Book Antiqua"/>
                <w:sz w:val="24"/>
                <w:szCs w:val="24"/>
              </w:rPr>
              <w:fldChar w:fldCharType="separate"/>
            </w:r>
            <w:r w:rsidR="00F94F27">
              <w:rPr>
                <w:rFonts w:ascii="Book Antiqua" w:hAnsi="Book Antiqua"/>
                <w:noProof/>
                <w:sz w:val="24"/>
                <w:szCs w:val="24"/>
              </w:rPr>
              <w:t>1</w:t>
            </w:r>
            <w:r w:rsidRPr="00BD1505">
              <w:rPr>
                <w:rFonts w:ascii="Book Antiqua" w:hAnsi="Book Antiqua"/>
                <w:sz w:val="24"/>
                <w:szCs w:val="24"/>
              </w:rPr>
              <w:fldChar w:fldCharType="end"/>
            </w:r>
            <w:r w:rsidRPr="00BD1505">
              <w:rPr>
                <w:rFonts w:ascii="Book Antiqua" w:hAnsi="Book Antiqua"/>
                <w:sz w:val="24"/>
                <w:szCs w:val="24"/>
                <w:lang w:val="zh-CN" w:eastAsia="zh-CN"/>
              </w:rPr>
              <w:t xml:space="preserve"> / </w:t>
            </w:r>
            <w:r w:rsidRPr="00BD1505">
              <w:rPr>
                <w:rFonts w:ascii="Book Antiqua" w:hAnsi="Book Antiqua"/>
                <w:sz w:val="24"/>
                <w:szCs w:val="24"/>
              </w:rPr>
              <w:fldChar w:fldCharType="begin"/>
            </w:r>
            <w:r w:rsidRPr="00BD1505">
              <w:rPr>
                <w:rFonts w:ascii="Book Antiqua" w:hAnsi="Book Antiqua"/>
                <w:sz w:val="24"/>
                <w:szCs w:val="24"/>
              </w:rPr>
              <w:instrText>NUMPAGES</w:instrText>
            </w:r>
            <w:r w:rsidRPr="00BD1505">
              <w:rPr>
                <w:rFonts w:ascii="Book Antiqua" w:hAnsi="Book Antiqua"/>
                <w:sz w:val="24"/>
                <w:szCs w:val="24"/>
              </w:rPr>
              <w:fldChar w:fldCharType="separate"/>
            </w:r>
            <w:r w:rsidR="00F94F27">
              <w:rPr>
                <w:rFonts w:ascii="Book Antiqua" w:hAnsi="Book Antiqua"/>
                <w:noProof/>
                <w:sz w:val="24"/>
                <w:szCs w:val="24"/>
              </w:rPr>
              <w:t>1</w:t>
            </w:r>
            <w:r w:rsidRPr="00BD1505">
              <w:rPr>
                <w:rFonts w:ascii="Book Antiqua" w:hAnsi="Book Antiqua"/>
                <w:sz w:val="24"/>
                <w:szCs w:val="24"/>
              </w:rPr>
              <w:fldChar w:fldCharType="end"/>
            </w:r>
          </w:p>
        </w:sdtContent>
      </w:sdt>
    </w:sdtContent>
  </w:sdt>
  <w:p w14:paraId="089E255A" w14:textId="77777777" w:rsidR="00BD1505" w:rsidRPr="00BD1505" w:rsidRDefault="00BD1505" w:rsidP="00BD1505">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DA9D2" w14:textId="77777777" w:rsidR="00F94F27" w:rsidRDefault="00F94F27" w:rsidP="00BD1505">
      <w:r>
        <w:separator/>
      </w:r>
    </w:p>
  </w:footnote>
  <w:footnote w:type="continuationSeparator" w:id="0">
    <w:p w14:paraId="3130E058" w14:textId="77777777" w:rsidR="00F94F27" w:rsidRDefault="00F94F27" w:rsidP="00BD15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30D"/>
    <w:rsid w:val="00060C0F"/>
    <w:rsid w:val="00095DE6"/>
    <w:rsid w:val="00103023"/>
    <w:rsid w:val="00206F75"/>
    <w:rsid w:val="002219E3"/>
    <w:rsid w:val="00255A63"/>
    <w:rsid w:val="00287EF2"/>
    <w:rsid w:val="002C255E"/>
    <w:rsid w:val="002E2D6E"/>
    <w:rsid w:val="00327751"/>
    <w:rsid w:val="00347912"/>
    <w:rsid w:val="003802A5"/>
    <w:rsid w:val="003D062B"/>
    <w:rsid w:val="00502B28"/>
    <w:rsid w:val="00504BFC"/>
    <w:rsid w:val="00547123"/>
    <w:rsid w:val="00553CEB"/>
    <w:rsid w:val="00587EAC"/>
    <w:rsid w:val="005C2BE5"/>
    <w:rsid w:val="005C50F9"/>
    <w:rsid w:val="005C614B"/>
    <w:rsid w:val="005F477A"/>
    <w:rsid w:val="00644FB9"/>
    <w:rsid w:val="006669A5"/>
    <w:rsid w:val="00676390"/>
    <w:rsid w:val="006E3ACA"/>
    <w:rsid w:val="00735604"/>
    <w:rsid w:val="00780F12"/>
    <w:rsid w:val="007839C5"/>
    <w:rsid w:val="007C1D67"/>
    <w:rsid w:val="0082000D"/>
    <w:rsid w:val="00846CA3"/>
    <w:rsid w:val="00917F90"/>
    <w:rsid w:val="00956EEF"/>
    <w:rsid w:val="009A63B9"/>
    <w:rsid w:val="00A77B3E"/>
    <w:rsid w:val="00AC3563"/>
    <w:rsid w:val="00BA0F4B"/>
    <w:rsid w:val="00BA7072"/>
    <w:rsid w:val="00BD1505"/>
    <w:rsid w:val="00BE3890"/>
    <w:rsid w:val="00C44F10"/>
    <w:rsid w:val="00CA2A55"/>
    <w:rsid w:val="00CE1539"/>
    <w:rsid w:val="00DA2836"/>
    <w:rsid w:val="00DD319D"/>
    <w:rsid w:val="00E56FDC"/>
    <w:rsid w:val="00EB77A2"/>
    <w:rsid w:val="00EC477B"/>
    <w:rsid w:val="00EF6AB2"/>
    <w:rsid w:val="00F40E42"/>
    <w:rsid w:val="00F6412B"/>
    <w:rsid w:val="00F94F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BE2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77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6412B"/>
    <w:rPr>
      <w:sz w:val="21"/>
      <w:szCs w:val="21"/>
    </w:rPr>
  </w:style>
  <w:style w:type="paragraph" w:styleId="a4">
    <w:name w:val="annotation text"/>
    <w:basedOn w:val="a"/>
    <w:link w:val="Char"/>
    <w:semiHidden/>
    <w:unhideWhenUsed/>
    <w:rsid w:val="00F6412B"/>
  </w:style>
  <w:style w:type="character" w:customStyle="1" w:styleId="Char">
    <w:name w:val="批注文字 Char"/>
    <w:basedOn w:val="a0"/>
    <w:link w:val="a4"/>
    <w:semiHidden/>
    <w:rsid w:val="00F6412B"/>
    <w:rPr>
      <w:sz w:val="24"/>
      <w:szCs w:val="24"/>
    </w:rPr>
  </w:style>
  <w:style w:type="paragraph" w:styleId="a5">
    <w:name w:val="annotation subject"/>
    <w:basedOn w:val="a4"/>
    <w:next w:val="a4"/>
    <w:link w:val="Char0"/>
    <w:semiHidden/>
    <w:unhideWhenUsed/>
    <w:rsid w:val="00F6412B"/>
    <w:rPr>
      <w:b/>
      <w:bCs/>
    </w:rPr>
  </w:style>
  <w:style w:type="character" w:customStyle="1" w:styleId="Char0">
    <w:name w:val="批注主题 Char"/>
    <w:basedOn w:val="Char"/>
    <w:link w:val="a5"/>
    <w:semiHidden/>
    <w:rsid w:val="00F6412B"/>
    <w:rPr>
      <w:b/>
      <w:bCs/>
      <w:sz w:val="24"/>
      <w:szCs w:val="24"/>
    </w:rPr>
  </w:style>
  <w:style w:type="paragraph" w:styleId="a6">
    <w:name w:val="header"/>
    <w:basedOn w:val="a"/>
    <w:link w:val="Char1"/>
    <w:unhideWhenUsed/>
    <w:rsid w:val="00BD150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BD1505"/>
    <w:rPr>
      <w:sz w:val="18"/>
      <w:szCs w:val="18"/>
    </w:rPr>
  </w:style>
  <w:style w:type="paragraph" w:styleId="a7">
    <w:name w:val="footer"/>
    <w:basedOn w:val="a"/>
    <w:link w:val="Char2"/>
    <w:uiPriority w:val="99"/>
    <w:unhideWhenUsed/>
    <w:rsid w:val="00BD1505"/>
    <w:pPr>
      <w:tabs>
        <w:tab w:val="center" w:pos="4153"/>
        <w:tab w:val="right" w:pos="8306"/>
      </w:tabs>
      <w:snapToGrid w:val="0"/>
    </w:pPr>
    <w:rPr>
      <w:sz w:val="18"/>
      <w:szCs w:val="18"/>
    </w:rPr>
  </w:style>
  <w:style w:type="character" w:customStyle="1" w:styleId="Char2">
    <w:name w:val="页脚 Char"/>
    <w:basedOn w:val="a0"/>
    <w:link w:val="a7"/>
    <w:uiPriority w:val="99"/>
    <w:rsid w:val="00BD1505"/>
    <w:rPr>
      <w:sz w:val="18"/>
      <w:szCs w:val="18"/>
    </w:rPr>
  </w:style>
  <w:style w:type="paragraph" w:styleId="a8">
    <w:name w:val="Balloon Text"/>
    <w:basedOn w:val="a"/>
    <w:link w:val="Char3"/>
    <w:rsid w:val="002E2D6E"/>
    <w:rPr>
      <w:sz w:val="18"/>
      <w:szCs w:val="18"/>
    </w:rPr>
  </w:style>
  <w:style w:type="character" w:customStyle="1" w:styleId="Char3">
    <w:name w:val="批注框文本 Char"/>
    <w:basedOn w:val="a0"/>
    <w:link w:val="a8"/>
    <w:rsid w:val="002E2D6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77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6412B"/>
    <w:rPr>
      <w:sz w:val="21"/>
      <w:szCs w:val="21"/>
    </w:rPr>
  </w:style>
  <w:style w:type="paragraph" w:styleId="a4">
    <w:name w:val="annotation text"/>
    <w:basedOn w:val="a"/>
    <w:link w:val="Char"/>
    <w:semiHidden/>
    <w:unhideWhenUsed/>
    <w:rsid w:val="00F6412B"/>
  </w:style>
  <w:style w:type="character" w:customStyle="1" w:styleId="Char">
    <w:name w:val="批注文字 Char"/>
    <w:basedOn w:val="a0"/>
    <w:link w:val="a4"/>
    <w:semiHidden/>
    <w:rsid w:val="00F6412B"/>
    <w:rPr>
      <w:sz w:val="24"/>
      <w:szCs w:val="24"/>
    </w:rPr>
  </w:style>
  <w:style w:type="paragraph" w:styleId="a5">
    <w:name w:val="annotation subject"/>
    <w:basedOn w:val="a4"/>
    <w:next w:val="a4"/>
    <w:link w:val="Char0"/>
    <w:semiHidden/>
    <w:unhideWhenUsed/>
    <w:rsid w:val="00F6412B"/>
    <w:rPr>
      <w:b/>
      <w:bCs/>
    </w:rPr>
  </w:style>
  <w:style w:type="character" w:customStyle="1" w:styleId="Char0">
    <w:name w:val="批注主题 Char"/>
    <w:basedOn w:val="Char"/>
    <w:link w:val="a5"/>
    <w:semiHidden/>
    <w:rsid w:val="00F6412B"/>
    <w:rPr>
      <w:b/>
      <w:bCs/>
      <w:sz w:val="24"/>
      <w:szCs w:val="24"/>
    </w:rPr>
  </w:style>
  <w:style w:type="paragraph" w:styleId="a6">
    <w:name w:val="header"/>
    <w:basedOn w:val="a"/>
    <w:link w:val="Char1"/>
    <w:unhideWhenUsed/>
    <w:rsid w:val="00BD150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BD1505"/>
    <w:rPr>
      <w:sz w:val="18"/>
      <w:szCs w:val="18"/>
    </w:rPr>
  </w:style>
  <w:style w:type="paragraph" w:styleId="a7">
    <w:name w:val="footer"/>
    <w:basedOn w:val="a"/>
    <w:link w:val="Char2"/>
    <w:uiPriority w:val="99"/>
    <w:unhideWhenUsed/>
    <w:rsid w:val="00BD1505"/>
    <w:pPr>
      <w:tabs>
        <w:tab w:val="center" w:pos="4153"/>
        <w:tab w:val="right" w:pos="8306"/>
      </w:tabs>
      <w:snapToGrid w:val="0"/>
    </w:pPr>
    <w:rPr>
      <w:sz w:val="18"/>
      <w:szCs w:val="18"/>
    </w:rPr>
  </w:style>
  <w:style w:type="character" w:customStyle="1" w:styleId="Char2">
    <w:name w:val="页脚 Char"/>
    <w:basedOn w:val="a0"/>
    <w:link w:val="a7"/>
    <w:uiPriority w:val="99"/>
    <w:rsid w:val="00BD1505"/>
    <w:rPr>
      <w:sz w:val="18"/>
      <w:szCs w:val="18"/>
    </w:rPr>
  </w:style>
  <w:style w:type="paragraph" w:styleId="a8">
    <w:name w:val="Balloon Text"/>
    <w:basedOn w:val="a"/>
    <w:link w:val="Char3"/>
    <w:rsid w:val="002E2D6E"/>
    <w:rPr>
      <w:sz w:val="18"/>
      <w:szCs w:val="18"/>
    </w:rPr>
  </w:style>
  <w:style w:type="character" w:customStyle="1" w:styleId="Char3">
    <w:name w:val="批注框文本 Char"/>
    <w:basedOn w:val="a0"/>
    <w:link w:val="a8"/>
    <w:rsid w:val="002E2D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10</cp:revision>
  <dcterms:created xsi:type="dcterms:W3CDTF">2021-03-15T08:53:00Z</dcterms:created>
  <dcterms:modified xsi:type="dcterms:W3CDTF">2021-05-07T07:53:00Z</dcterms:modified>
</cp:coreProperties>
</file>