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268A" w14:textId="77777777" w:rsidR="00A77B3E" w:rsidRDefault="009D63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476F3321" w14:textId="77777777" w:rsidR="00A77B3E" w:rsidRDefault="009D63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62167</w:t>
      </w:r>
    </w:p>
    <w:p w14:paraId="10095F45" w14:textId="77777777" w:rsidR="00A77B3E" w:rsidRDefault="009D63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2988B38" w14:textId="77777777" w:rsidR="00A77B3E" w:rsidRDefault="00A77B3E">
      <w:pPr>
        <w:spacing w:line="360" w:lineRule="auto"/>
        <w:jc w:val="both"/>
      </w:pPr>
    </w:p>
    <w:p w14:paraId="4121C32D" w14:textId="77777777" w:rsidR="00A77B3E" w:rsidRDefault="009D63A8">
      <w:pPr>
        <w:spacing w:line="360" w:lineRule="auto"/>
        <w:jc w:val="both"/>
      </w:pPr>
      <w:r>
        <w:rPr>
          <w:rFonts w:ascii="Book Antiqua" w:eastAsia="Book Antiqua" w:hAnsi="Book Antiqua" w:cs="Book Antiqua"/>
          <w:b/>
          <w:color w:val="000000"/>
        </w:rPr>
        <w:t>Isolation of lymphocytes from the human gastric mucosa</w:t>
      </w:r>
    </w:p>
    <w:p w14:paraId="47497B66" w14:textId="77777777" w:rsidR="00A77B3E" w:rsidRDefault="00A77B3E">
      <w:pPr>
        <w:spacing w:line="360" w:lineRule="auto"/>
        <w:jc w:val="both"/>
      </w:pPr>
    </w:p>
    <w:p w14:paraId="690FE107" w14:textId="77777777" w:rsidR="00A77B3E" w:rsidRDefault="00522CA5">
      <w:pPr>
        <w:spacing w:line="360" w:lineRule="auto"/>
        <w:jc w:val="both"/>
      </w:pP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522CA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D63A8">
        <w:rPr>
          <w:rFonts w:ascii="Book Antiqua" w:eastAsia="Book Antiqua" w:hAnsi="Book Antiqua" w:cs="Book Antiqua"/>
          <w:color w:val="000000"/>
        </w:rPr>
        <w:t>Lymphocyte isolation from the stomach</w:t>
      </w:r>
    </w:p>
    <w:p w14:paraId="2138B5BE" w14:textId="77777777" w:rsidR="00A77B3E" w:rsidRDefault="00A77B3E">
      <w:pPr>
        <w:spacing w:line="360" w:lineRule="auto"/>
        <w:jc w:val="both"/>
      </w:pPr>
    </w:p>
    <w:p w14:paraId="17A0F897" w14:textId="77777777" w:rsidR="00A77B3E" w:rsidRDefault="009D63A8">
      <w:pPr>
        <w:spacing w:line="360" w:lineRule="auto"/>
        <w:jc w:val="both"/>
      </w:pPr>
      <w:r>
        <w:rPr>
          <w:rFonts w:ascii="Book Antiqua" w:eastAsia="Book Antiqua" w:hAnsi="Book Antiqua" w:cs="Book Antiqua"/>
          <w:color w:val="000000"/>
        </w:rPr>
        <w:t xml:space="preserve">Masaya </w:t>
      </w: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Takahide</w:t>
      </w:r>
      <w:proofErr w:type="spellEnd"/>
      <w:r>
        <w:rPr>
          <w:rFonts w:ascii="Book Antiqua" w:eastAsia="Book Antiqua" w:hAnsi="Book Antiqua" w:cs="Book Antiqua"/>
          <w:color w:val="000000"/>
        </w:rPr>
        <w:t xml:space="preserve"> Takahashi, </w:t>
      </w:r>
      <w:proofErr w:type="spellStart"/>
      <w:r>
        <w:rPr>
          <w:rFonts w:ascii="Book Antiqua" w:eastAsia="Book Antiqua" w:hAnsi="Book Antiqua" w:cs="Book Antiqua"/>
          <w:color w:val="000000"/>
        </w:rPr>
        <w:t>Natsuki</w:t>
      </w:r>
      <w:proofErr w:type="spellEnd"/>
      <w:r>
        <w:rPr>
          <w:rFonts w:ascii="Book Antiqua" w:eastAsia="Book Antiqua" w:hAnsi="Book Antiqua" w:cs="Book Antiqua"/>
          <w:color w:val="000000"/>
        </w:rPr>
        <w:t xml:space="preserve"> Watanabe, Hiroyuki Okada</w:t>
      </w:r>
    </w:p>
    <w:p w14:paraId="156D8609" w14:textId="77777777" w:rsidR="00A77B3E" w:rsidRDefault="00A77B3E">
      <w:pPr>
        <w:spacing w:line="360" w:lineRule="auto"/>
        <w:jc w:val="both"/>
      </w:pPr>
    </w:p>
    <w:p w14:paraId="25BBBE32" w14:textId="364B425E" w:rsidR="00A77B3E" w:rsidRDefault="009D63A8">
      <w:pPr>
        <w:spacing w:line="360" w:lineRule="auto"/>
        <w:jc w:val="both"/>
      </w:pPr>
      <w:r>
        <w:rPr>
          <w:rFonts w:ascii="Book Antiqua" w:eastAsia="Book Antiqua" w:hAnsi="Book Antiqua" w:cs="Book Antiqua"/>
          <w:b/>
          <w:bCs/>
          <w:color w:val="000000"/>
        </w:rPr>
        <w:t xml:space="preserve">Masaya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Hiroyuki Okada, </w:t>
      </w:r>
      <w:r>
        <w:rPr>
          <w:rFonts w:ascii="Book Antiqua" w:eastAsia="Book Antiqua" w:hAnsi="Book Antiqua" w:cs="Book Antiqua"/>
          <w:color w:val="000000"/>
        </w:rPr>
        <w:t>Department of Gastroenterology and Hepatology, Okayama University Graduate School of Medicine, Dentistry and Pharmaceutical Sciences, Okayama 700-8558,</w:t>
      </w:r>
      <w:r w:rsidR="00906216">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2E7C3D1C" w14:textId="77777777" w:rsidR="00A77B3E" w:rsidRDefault="00A77B3E">
      <w:pPr>
        <w:spacing w:line="360" w:lineRule="auto"/>
        <w:jc w:val="both"/>
      </w:pPr>
    </w:p>
    <w:p w14:paraId="6F4136CE" w14:textId="346128AF" w:rsidR="00A77B3E" w:rsidRDefault="009D63A8">
      <w:pPr>
        <w:spacing w:line="360" w:lineRule="auto"/>
        <w:jc w:val="both"/>
      </w:pPr>
      <w:proofErr w:type="spellStart"/>
      <w:r>
        <w:rPr>
          <w:rFonts w:ascii="Book Antiqua" w:eastAsia="Book Antiqua" w:hAnsi="Book Antiqua" w:cs="Book Antiqua"/>
          <w:b/>
          <w:bCs/>
          <w:color w:val="000000"/>
        </w:rPr>
        <w:t>Takahide</w:t>
      </w:r>
      <w:proofErr w:type="spellEnd"/>
      <w:r>
        <w:rPr>
          <w:rFonts w:ascii="Book Antiqua" w:eastAsia="Book Antiqua" w:hAnsi="Book Antiqua" w:cs="Book Antiqua"/>
          <w:b/>
          <w:bCs/>
          <w:color w:val="000000"/>
        </w:rPr>
        <w:t xml:space="preserve"> Takahashi, </w:t>
      </w:r>
      <w:proofErr w:type="spellStart"/>
      <w:r>
        <w:rPr>
          <w:rFonts w:ascii="Book Antiqua" w:eastAsia="Book Antiqua" w:hAnsi="Book Antiqua" w:cs="Book Antiqua"/>
          <w:b/>
          <w:bCs/>
          <w:color w:val="000000"/>
        </w:rPr>
        <w:t>Natsuki</w:t>
      </w:r>
      <w:proofErr w:type="spellEnd"/>
      <w:r>
        <w:rPr>
          <w:rFonts w:ascii="Book Antiqua" w:eastAsia="Book Antiqua" w:hAnsi="Book Antiqua" w:cs="Book Antiqua"/>
          <w:b/>
          <w:bCs/>
          <w:color w:val="000000"/>
        </w:rPr>
        <w:t xml:space="preserve"> Watanabe, </w:t>
      </w:r>
      <w:r>
        <w:rPr>
          <w:rFonts w:ascii="Book Antiqua" w:eastAsia="Book Antiqua" w:hAnsi="Book Antiqua" w:cs="Book Antiqua"/>
          <w:color w:val="000000"/>
        </w:rPr>
        <w:t>Division of Medical Support, Okayama University Hospital, Okayama 700-8558,</w:t>
      </w:r>
      <w:r w:rsidR="00906216">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33E082A9" w14:textId="77777777" w:rsidR="00A77B3E" w:rsidRDefault="00A77B3E">
      <w:pPr>
        <w:spacing w:line="360" w:lineRule="auto"/>
        <w:jc w:val="both"/>
      </w:pPr>
    </w:p>
    <w:p w14:paraId="470150C1" w14:textId="77777777" w:rsidR="00A77B3E" w:rsidRDefault="009D63A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w:t>
      </w:r>
      <w:r w:rsidR="00522CA5">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organized the report and drafted the article; Takahashi </w:t>
      </w:r>
      <w:r w:rsidR="00522CA5">
        <w:rPr>
          <w:rFonts w:ascii="Book Antiqua" w:hAnsi="Book Antiqua" w:cs="Book Antiqua" w:hint="eastAsia"/>
          <w:color w:val="000000"/>
          <w:lang w:eastAsia="zh-CN"/>
        </w:rPr>
        <w:t xml:space="preserve">T </w:t>
      </w:r>
      <w:r>
        <w:rPr>
          <w:rFonts w:ascii="Book Antiqua" w:eastAsia="Book Antiqua" w:hAnsi="Book Antiqua" w:cs="Book Antiqua"/>
          <w:color w:val="000000"/>
        </w:rPr>
        <w:t xml:space="preserve">and Watanabe </w:t>
      </w:r>
      <w:r w:rsidR="00522CA5">
        <w:rPr>
          <w:rFonts w:ascii="Book Antiqua" w:hAnsi="Book Antiqua" w:cs="Book Antiqua" w:hint="eastAsia"/>
          <w:color w:val="000000"/>
          <w:lang w:eastAsia="zh-CN"/>
        </w:rPr>
        <w:t xml:space="preserve">N </w:t>
      </w:r>
      <w:r>
        <w:rPr>
          <w:rFonts w:ascii="Book Antiqua" w:eastAsia="Book Antiqua" w:hAnsi="Book Antiqua" w:cs="Book Antiqua"/>
          <w:color w:val="000000"/>
        </w:rPr>
        <w:t xml:space="preserve">critically revised the article for important intellectual content; Okada </w:t>
      </w:r>
      <w:r w:rsidR="00522CA5">
        <w:rPr>
          <w:rFonts w:ascii="Book Antiqua" w:hAnsi="Book Antiqua" w:cs="Book Antiqua" w:hint="eastAsia"/>
          <w:color w:val="000000"/>
          <w:lang w:eastAsia="zh-CN"/>
        </w:rPr>
        <w:t xml:space="preserve">H </w:t>
      </w:r>
      <w:r>
        <w:rPr>
          <w:rFonts w:ascii="Book Antiqua" w:eastAsia="Book Antiqua" w:hAnsi="Book Antiqua" w:cs="Book Antiqua"/>
          <w:color w:val="000000"/>
        </w:rPr>
        <w:t>approved the final article.</w:t>
      </w:r>
    </w:p>
    <w:p w14:paraId="1883E145" w14:textId="77777777" w:rsidR="00A77B3E" w:rsidRDefault="00A77B3E">
      <w:pPr>
        <w:spacing w:line="360" w:lineRule="auto"/>
        <w:jc w:val="both"/>
      </w:pPr>
    </w:p>
    <w:p w14:paraId="1665CFCA" w14:textId="546464EA" w:rsidR="00A77B3E" w:rsidRDefault="009D63A8">
      <w:pPr>
        <w:spacing w:line="360" w:lineRule="auto"/>
        <w:jc w:val="both"/>
      </w:pPr>
      <w:r>
        <w:rPr>
          <w:rFonts w:ascii="Book Antiqua" w:eastAsia="Book Antiqua" w:hAnsi="Book Antiqua" w:cs="Book Antiqua"/>
          <w:b/>
          <w:bCs/>
          <w:color w:val="000000"/>
        </w:rPr>
        <w:t xml:space="preserve">Corresponding author: Masaya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Gastroenterology and Hepatology, Okayama University Graduate School of Medicine, Dentistry and Pharmaceutical Sciences, 2-5-1 </w:t>
      </w:r>
      <w:proofErr w:type="spellStart"/>
      <w:r>
        <w:rPr>
          <w:rFonts w:ascii="Book Antiqua" w:eastAsia="Book Antiqua" w:hAnsi="Book Antiqua" w:cs="Book Antiqua"/>
          <w:color w:val="000000"/>
        </w:rPr>
        <w:t>Shikata-cho</w:t>
      </w:r>
      <w:proofErr w:type="spellEnd"/>
      <w:r>
        <w:rPr>
          <w:rFonts w:ascii="Book Antiqua" w:eastAsia="Book Antiqua" w:hAnsi="Book Antiqua" w:cs="Book Antiqua"/>
          <w:color w:val="000000"/>
        </w:rPr>
        <w:t>, Kita-Ku, Okayama 700-8558,</w:t>
      </w:r>
      <w:r w:rsidR="00CB5137">
        <w:rPr>
          <w:rFonts w:ascii="Book Antiqua" w:eastAsia="Book Antiqua" w:hAnsi="Book Antiqua" w:cs="Book Antiqua"/>
          <w:color w:val="000000"/>
        </w:rPr>
        <w:t xml:space="preserve"> </w:t>
      </w:r>
      <w:r>
        <w:rPr>
          <w:rFonts w:ascii="Book Antiqua" w:eastAsia="Book Antiqua" w:hAnsi="Book Antiqua" w:cs="Book Antiqua"/>
          <w:color w:val="000000"/>
        </w:rPr>
        <w:t>Japan. iwamuromasaya@yahoo.co.jp</w:t>
      </w:r>
    </w:p>
    <w:p w14:paraId="5AE122F1" w14:textId="77777777" w:rsidR="00A77B3E" w:rsidRDefault="00A77B3E">
      <w:pPr>
        <w:spacing w:line="360" w:lineRule="auto"/>
        <w:jc w:val="both"/>
      </w:pPr>
    </w:p>
    <w:p w14:paraId="0A0657FD" w14:textId="77777777" w:rsidR="00A77B3E" w:rsidRDefault="009D63A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306A2F9F" w14:textId="77777777" w:rsidR="00A77B3E" w:rsidRDefault="009D63A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9, 2021</w:t>
      </w:r>
    </w:p>
    <w:p w14:paraId="74B1AEC4" w14:textId="36AA98A8" w:rsidR="00A77B3E" w:rsidRDefault="009D63A8">
      <w:pPr>
        <w:spacing w:line="360" w:lineRule="auto"/>
        <w:jc w:val="both"/>
      </w:pPr>
      <w:r>
        <w:rPr>
          <w:rFonts w:ascii="Book Antiqua" w:eastAsia="Book Antiqua" w:hAnsi="Book Antiqua" w:cs="Book Antiqua"/>
          <w:b/>
          <w:bCs/>
          <w:color w:val="000000"/>
        </w:rPr>
        <w:t>Accepted:</w:t>
      </w:r>
      <w:r w:rsidRPr="007C10ED">
        <w:rPr>
          <w:rFonts w:ascii="Book Antiqua" w:eastAsia="Book Antiqua" w:hAnsi="Book Antiqua" w:cs="Book Antiqua"/>
          <w:bCs/>
          <w:color w:val="000000"/>
        </w:rPr>
        <w:t xml:space="preserve"> </w:t>
      </w:r>
      <w:r w:rsidR="007C10ED" w:rsidRPr="007C10ED">
        <w:rPr>
          <w:rFonts w:ascii="Book Antiqua" w:eastAsia="Book Antiqua" w:hAnsi="Book Antiqua" w:cs="Book Antiqua"/>
          <w:bCs/>
          <w:color w:val="000000"/>
        </w:rPr>
        <w:t>July 9, 2021</w:t>
      </w:r>
    </w:p>
    <w:p w14:paraId="5847523E" w14:textId="7B9740C3" w:rsidR="00A77B3E" w:rsidRDefault="009D63A8">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lastRenderedPageBreak/>
        <w:t xml:space="preserve">Published online: </w:t>
      </w:r>
      <w:r w:rsidR="002E2105" w:rsidRPr="006266B7">
        <w:rPr>
          <w:rFonts w:ascii="Book Antiqua" w:eastAsia="Book Antiqua" w:hAnsi="Book Antiqua" w:cs="Book Antiqua"/>
          <w:bCs/>
          <w:color w:val="000000"/>
        </w:rPr>
        <w:t>Jul</w:t>
      </w:r>
      <w:r w:rsidR="002E2105">
        <w:rPr>
          <w:rFonts w:ascii="Book Antiqua" w:eastAsia="Book Antiqua" w:hAnsi="Book Antiqua" w:cs="Book Antiqua"/>
          <w:bCs/>
          <w:color w:val="000000"/>
        </w:rPr>
        <w:t>y</w:t>
      </w:r>
      <w:r w:rsidR="002E2105" w:rsidRPr="006266B7">
        <w:rPr>
          <w:rFonts w:ascii="Book Antiqua" w:eastAsia="Book Antiqua" w:hAnsi="Book Antiqua" w:cs="Book Antiqua"/>
          <w:bCs/>
          <w:color w:val="000000"/>
        </w:rPr>
        <w:t xml:space="preserve"> 20, 2021</w:t>
      </w:r>
    </w:p>
    <w:p w14:paraId="649F44FC" w14:textId="77777777" w:rsidR="002E2105" w:rsidRDefault="002E2105">
      <w:pPr>
        <w:spacing w:line="360" w:lineRule="auto"/>
        <w:jc w:val="both"/>
        <w:rPr>
          <w:rFonts w:ascii="Book Antiqua" w:eastAsia="Book Antiqua" w:hAnsi="Book Antiqua" w:cs="Book Antiqua"/>
          <w:bCs/>
          <w:color w:val="000000"/>
        </w:rPr>
      </w:pPr>
    </w:p>
    <w:p w14:paraId="6219BE59" w14:textId="77777777" w:rsidR="00A77B3E" w:rsidRDefault="009D63A8">
      <w:pPr>
        <w:spacing w:line="360" w:lineRule="auto"/>
        <w:jc w:val="both"/>
      </w:pPr>
      <w:r>
        <w:rPr>
          <w:rFonts w:ascii="Book Antiqua" w:eastAsia="Book Antiqua" w:hAnsi="Book Antiqua" w:cs="Book Antiqua"/>
          <w:b/>
          <w:color w:val="000000"/>
        </w:rPr>
        <w:t>Abstract</w:t>
      </w:r>
    </w:p>
    <w:p w14:paraId="10A8489B" w14:textId="77777777" w:rsidR="00A77B3E" w:rsidRDefault="009D63A8">
      <w:pPr>
        <w:spacing w:line="360" w:lineRule="auto"/>
        <w:jc w:val="both"/>
      </w:pPr>
      <w:r>
        <w:rPr>
          <w:rFonts w:ascii="Book Antiqua" w:eastAsia="Book Antiqua" w:hAnsi="Book Antiqua" w:cs="Book Antiqua"/>
          <w:color w:val="000000"/>
        </w:rPr>
        <w:t xml:space="preserve">Flow cytometry is widely used for lymphocyte immunophenotyping in clinical settings. However, few studies have applied it for analyzing lymphocytes of the gastric mucosa. This review offers an overview of methodologies for isolating lymphocytes from the human stomach. Previously reported articles were reviewed, focusing on procedures for isolating human gastric mucosal lymphocytes. </w:t>
      </w:r>
      <w:r>
        <w:rPr>
          <w:rFonts w:ascii="Book Antiqua" w:eastAsia="Book Antiqua" w:hAnsi="Book Antiqua" w:cs="Book Antiqua"/>
          <w:i/>
          <w:iCs/>
          <w:color w:val="000000"/>
        </w:rPr>
        <w:t>Helicobacter pylori</w:t>
      </w:r>
      <w:r>
        <w:rPr>
          <w:rFonts w:ascii="Book Antiqua" w:eastAsia="Book Antiqua" w:hAnsi="Book Antiqua" w:cs="Book Antiqua"/>
          <w:color w:val="000000"/>
        </w:rPr>
        <w:t>-associated peptic diseases and gastric cancer are two major subjects of research in this field. Enzymatic dissociation, mechanical dissociation, or a combination of the two have been used to isolate lymphocytes from the stomach. Intra-epithelial and lamina propria lymphocytes were separately isolated in several studies. We also summarize the history and present trends in analyzing lymphocytes in patients with gastric disease.</w:t>
      </w:r>
    </w:p>
    <w:p w14:paraId="22F627D8" w14:textId="77777777" w:rsidR="00A77B3E" w:rsidRDefault="00A77B3E">
      <w:pPr>
        <w:spacing w:line="360" w:lineRule="auto"/>
        <w:jc w:val="both"/>
      </w:pPr>
    </w:p>
    <w:p w14:paraId="58635286" w14:textId="77777777" w:rsidR="00A77B3E" w:rsidRDefault="009D63A8">
      <w:pPr>
        <w:spacing w:line="360" w:lineRule="auto"/>
        <w:jc w:val="both"/>
      </w:pPr>
      <w:r>
        <w:rPr>
          <w:rFonts w:ascii="Book Antiqua" w:eastAsia="Book Antiqua" w:hAnsi="Book Antiqua" w:cs="Book Antiqua"/>
          <w:b/>
          <w:bCs/>
          <w:color w:val="000000"/>
        </w:rPr>
        <w:t xml:space="preserve">Key Words: </w:t>
      </w:r>
      <w:r w:rsidR="00522CA5">
        <w:rPr>
          <w:rFonts w:ascii="Book Antiqua" w:hAnsi="Book Antiqua" w:cs="Book Antiqua" w:hint="eastAsia"/>
          <w:color w:val="000000"/>
          <w:lang w:eastAsia="zh-CN"/>
        </w:rPr>
        <w:t>G</w:t>
      </w:r>
      <w:r>
        <w:rPr>
          <w:rFonts w:ascii="Book Antiqua" w:eastAsia="Book Antiqua" w:hAnsi="Book Antiqua" w:cs="Book Antiqua"/>
          <w:color w:val="000000"/>
        </w:rPr>
        <w:t xml:space="preserve">astrointestinal biopsies; </w:t>
      </w:r>
      <w:r w:rsidR="00522CA5">
        <w:rPr>
          <w:rFonts w:ascii="Book Antiqua" w:hAnsi="Book Antiqua" w:cs="Book Antiqua" w:hint="eastAsia"/>
          <w:color w:val="000000"/>
          <w:lang w:eastAsia="zh-CN"/>
        </w:rPr>
        <w:t>G</w:t>
      </w:r>
      <w:r>
        <w:rPr>
          <w:rFonts w:ascii="Book Antiqua" w:eastAsia="Book Antiqua" w:hAnsi="Book Antiqua" w:cs="Book Antiqua"/>
          <w:color w:val="000000"/>
        </w:rPr>
        <w:t xml:space="preserve">astrointestinal endoscopy; </w:t>
      </w:r>
      <w:r w:rsidR="00522CA5">
        <w:rPr>
          <w:rFonts w:ascii="Book Antiqua" w:hAnsi="Book Antiqua" w:cs="Book Antiqua" w:hint="eastAsia"/>
          <w:color w:val="000000"/>
          <w:lang w:eastAsia="zh-CN"/>
        </w:rPr>
        <w:t>G</w:t>
      </w:r>
      <w:r>
        <w:rPr>
          <w:rFonts w:ascii="Book Antiqua" w:eastAsia="Book Antiqua" w:hAnsi="Book Antiqua" w:cs="Book Antiqua"/>
          <w:color w:val="000000"/>
        </w:rPr>
        <w:t xml:space="preserve">astric cancers; </w:t>
      </w:r>
      <w:r w:rsidRPr="00522CA5">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sidR="00522CA5">
        <w:rPr>
          <w:rFonts w:ascii="Book Antiqua" w:hAnsi="Book Antiqua" w:cs="Book Antiqua" w:hint="eastAsia"/>
          <w:color w:val="000000"/>
          <w:lang w:eastAsia="zh-CN"/>
        </w:rPr>
        <w:t>G</w:t>
      </w:r>
      <w:r>
        <w:rPr>
          <w:rFonts w:ascii="Book Antiqua" w:eastAsia="Book Antiqua" w:hAnsi="Book Antiqua" w:cs="Book Antiqua"/>
          <w:color w:val="000000"/>
        </w:rPr>
        <w:t xml:space="preserve">astric ulcer; </w:t>
      </w:r>
      <w:r w:rsidR="00522CA5">
        <w:rPr>
          <w:rFonts w:ascii="Book Antiqua" w:hAnsi="Book Antiqua" w:cs="Book Antiqua" w:hint="eastAsia"/>
          <w:color w:val="000000"/>
          <w:lang w:eastAsia="zh-CN"/>
        </w:rPr>
        <w:t>F</w:t>
      </w:r>
      <w:r>
        <w:rPr>
          <w:rFonts w:ascii="Book Antiqua" w:eastAsia="Book Antiqua" w:hAnsi="Book Antiqua" w:cs="Book Antiqua"/>
          <w:color w:val="000000"/>
        </w:rPr>
        <w:t>low cytometry</w:t>
      </w:r>
    </w:p>
    <w:p w14:paraId="7561BC56" w14:textId="77777777" w:rsidR="00A77B3E" w:rsidRDefault="00A77B3E">
      <w:pPr>
        <w:spacing w:line="360" w:lineRule="auto"/>
        <w:jc w:val="both"/>
        <w:rPr>
          <w:lang w:eastAsia="zh-CN"/>
        </w:rPr>
      </w:pPr>
    </w:p>
    <w:p w14:paraId="1E0BCF3A" w14:textId="636992E5" w:rsidR="00AD4833" w:rsidRPr="00AD4833" w:rsidRDefault="00AD4833" w:rsidP="00AD4833">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0D42F331" w14:textId="77777777" w:rsidR="008565F0" w:rsidRPr="008565F0" w:rsidRDefault="008565F0">
      <w:pPr>
        <w:spacing w:line="360" w:lineRule="auto"/>
        <w:jc w:val="both"/>
        <w:rPr>
          <w:lang w:eastAsia="zh-CN"/>
        </w:rPr>
      </w:pPr>
    </w:p>
    <w:p w14:paraId="0D303408" w14:textId="27821A50" w:rsidR="008565F0" w:rsidRPr="008565F0" w:rsidRDefault="008565F0" w:rsidP="00392D71">
      <w:pPr>
        <w:adjustRightInd w:val="0"/>
        <w:snapToGrid w:val="0"/>
        <w:spacing w:line="360" w:lineRule="auto"/>
        <w:rPr>
          <w:rFonts w:ascii="Book Antiqua" w:hAnsi="Book Antiqua" w:cs="Book Antiqua"/>
          <w:color w:val="000000"/>
          <w:lang w:val="en-GB" w:eastAsia="zh-CN"/>
        </w:rPr>
      </w:pPr>
      <w:r w:rsidRPr="008565F0">
        <w:rPr>
          <w:rFonts w:ascii="Book Antiqua" w:eastAsia="Book Antiqua" w:hAnsi="Book Antiqua" w:cs="Book Antiqua"/>
          <w:b/>
          <w:color w:val="000000"/>
        </w:rPr>
        <w:t xml:space="preserve">Citation: </w:t>
      </w:r>
      <w:proofErr w:type="spellStart"/>
      <w:r w:rsidR="009D63A8">
        <w:rPr>
          <w:rFonts w:ascii="Book Antiqua" w:eastAsia="Book Antiqua" w:hAnsi="Book Antiqua" w:cs="Book Antiqua"/>
          <w:color w:val="000000"/>
        </w:rPr>
        <w:t>Iwamuro</w:t>
      </w:r>
      <w:proofErr w:type="spellEnd"/>
      <w:r w:rsidR="009D63A8">
        <w:rPr>
          <w:rFonts w:ascii="Book Antiqua" w:eastAsia="Book Antiqua" w:hAnsi="Book Antiqua" w:cs="Book Antiqua"/>
          <w:color w:val="000000"/>
        </w:rPr>
        <w:t xml:space="preserve"> M, Takahashi T, Watanabe N, Okada H. Isolation of lymphocytes from the human gastric mucosa. </w:t>
      </w:r>
      <w:r w:rsidR="009D63A8">
        <w:rPr>
          <w:rFonts w:ascii="Book Antiqua" w:eastAsia="Book Antiqua" w:hAnsi="Book Antiqua" w:cs="Book Antiqua"/>
          <w:i/>
          <w:iCs/>
          <w:color w:val="000000"/>
        </w:rPr>
        <w:t xml:space="preserve">World J </w:t>
      </w:r>
      <w:proofErr w:type="spellStart"/>
      <w:r w:rsidR="009D63A8">
        <w:rPr>
          <w:rFonts w:ascii="Book Antiqua" w:eastAsia="Book Antiqua" w:hAnsi="Book Antiqua" w:cs="Book Antiqua"/>
          <w:i/>
          <w:iCs/>
          <w:color w:val="000000"/>
        </w:rPr>
        <w:t>Methodol</w:t>
      </w:r>
      <w:proofErr w:type="spellEnd"/>
      <w:r w:rsidR="009D63A8">
        <w:rPr>
          <w:rFonts w:ascii="Book Antiqua" w:eastAsia="Book Antiqua" w:hAnsi="Book Antiqua" w:cs="Book Antiqua"/>
          <w:color w:val="000000"/>
        </w:rPr>
        <w:t xml:space="preserve"> </w:t>
      </w:r>
      <w:r w:rsidR="00392D71" w:rsidRPr="00025CA2">
        <w:rPr>
          <w:rFonts w:ascii="Book Antiqua" w:eastAsia="Book Antiqua" w:hAnsi="Book Antiqua" w:cs="Book Antiqua"/>
          <w:color w:val="000000"/>
          <w:lang w:val="en-GB"/>
        </w:rPr>
        <w:t xml:space="preserve">2021; 11(4): </w:t>
      </w:r>
      <w:r>
        <w:rPr>
          <w:rFonts w:ascii="Book Antiqua" w:hAnsi="Book Antiqua" w:cs="Book Antiqua" w:hint="eastAsia"/>
          <w:color w:val="000000"/>
          <w:lang w:val="en-GB" w:eastAsia="zh-CN"/>
        </w:rPr>
        <w:t>199</w:t>
      </w:r>
      <w:r w:rsidR="00392D71" w:rsidRPr="00025CA2">
        <w:rPr>
          <w:rFonts w:ascii="Book Antiqua" w:eastAsia="Book Antiqua" w:hAnsi="Book Antiqua" w:cs="Book Antiqua"/>
          <w:color w:val="000000"/>
          <w:lang w:val="en-GB"/>
        </w:rPr>
        <w:t>-</w:t>
      </w:r>
      <w:r>
        <w:rPr>
          <w:rFonts w:ascii="Book Antiqua" w:hAnsi="Book Antiqua" w:cs="Book Antiqua" w:hint="eastAsia"/>
          <w:color w:val="000000"/>
          <w:lang w:val="en-GB" w:eastAsia="zh-CN"/>
        </w:rPr>
        <w:t>207</w:t>
      </w:r>
    </w:p>
    <w:p w14:paraId="7E2447FD" w14:textId="6BE2D167" w:rsidR="008565F0" w:rsidRDefault="00392D71" w:rsidP="00392D71">
      <w:pPr>
        <w:adjustRightInd w:val="0"/>
        <w:snapToGrid w:val="0"/>
        <w:spacing w:line="360" w:lineRule="auto"/>
        <w:rPr>
          <w:rFonts w:ascii="Book Antiqua" w:hAnsi="Book Antiqua" w:cs="Book Antiqua"/>
          <w:color w:val="000000"/>
          <w:lang w:val="en-GB" w:eastAsia="zh-CN"/>
        </w:rPr>
      </w:pPr>
      <w:r w:rsidRPr="008565F0">
        <w:rPr>
          <w:rFonts w:ascii="Book Antiqua" w:eastAsia="Book Antiqua" w:hAnsi="Book Antiqua" w:cs="Book Antiqua"/>
          <w:b/>
          <w:color w:val="000000"/>
          <w:lang w:val="en-GB"/>
        </w:rPr>
        <w:t xml:space="preserve">URL: </w:t>
      </w:r>
      <w:r w:rsidRPr="00025CA2">
        <w:rPr>
          <w:rFonts w:ascii="Book Antiqua" w:eastAsia="Book Antiqua" w:hAnsi="Book Antiqua" w:cs="Book Antiqua"/>
          <w:color w:val="000000"/>
          <w:lang w:val="en-GB"/>
        </w:rPr>
        <w:t>https://www.wjgnet.com/2222-0682/full/v11/i4/</w:t>
      </w:r>
      <w:r w:rsidR="008565F0">
        <w:rPr>
          <w:rFonts w:ascii="Book Antiqua" w:hAnsi="Book Antiqua" w:cs="Book Antiqua" w:hint="eastAsia"/>
          <w:color w:val="000000"/>
          <w:lang w:val="en-GB" w:eastAsia="zh-CN"/>
        </w:rPr>
        <w:t>199</w:t>
      </w:r>
      <w:r w:rsidRPr="00025CA2">
        <w:rPr>
          <w:rFonts w:ascii="Book Antiqua" w:eastAsia="Book Antiqua" w:hAnsi="Book Antiqua" w:cs="Book Antiqua"/>
          <w:color w:val="000000"/>
          <w:lang w:val="en-GB"/>
        </w:rPr>
        <w:t>.htm</w:t>
      </w:r>
    </w:p>
    <w:p w14:paraId="6C52A1FC" w14:textId="02EA4ED4" w:rsidR="00392D71" w:rsidRPr="008565F0" w:rsidRDefault="00392D71" w:rsidP="00392D71">
      <w:pPr>
        <w:adjustRightInd w:val="0"/>
        <w:snapToGrid w:val="0"/>
        <w:spacing w:line="360" w:lineRule="auto"/>
        <w:rPr>
          <w:rFonts w:ascii="Book Antiqua" w:hAnsi="Book Antiqua" w:cs="Book Antiqua"/>
          <w:lang w:val="pt-BR" w:eastAsia="zh-CN"/>
        </w:rPr>
      </w:pPr>
      <w:r w:rsidRPr="008565F0">
        <w:rPr>
          <w:rFonts w:ascii="Book Antiqua" w:eastAsia="Book Antiqua" w:hAnsi="Book Antiqua" w:cs="Book Antiqua"/>
          <w:b/>
          <w:color w:val="000000"/>
          <w:lang w:val="en-GB"/>
        </w:rPr>
        <w:t xml:space="preserve">DOI: </w:t>
      </w:r>
      <w:r w:rsidRPr="00025CA2">
        <w:rPr>
          <w:rFonts w:ascii="Book Antiqua" w:eastAsia="Book Antiqua" w:hAnsi="Book Antiqua" w:cs="Book Antiqua"/>
          <w:color w:val="000000"/>
          <w:lang w:val="en-GB"/>
        </w:rPr>
        <w:t>https://dx.doi.org/10.5662/wjm.v11.i4.</w:t>
      </w:r>
      <w:r w:rsidR="008565F0">
        <w:rPr>
          <w:rFonts w:ascii="Book Antiqua" w:hAnsi="Book Antiqua" w:cs="Book Antiqua" w:hint="eastAsia"/>
          <w:color w:val="000000"/>
          <w:lang w:val="en-GB" w:eastAsia="zh-CN"/>
        </w:rPr>
        <w:t>199</w:t>
      </w:r>
    </w:p>
    <w:p w14:paraId="610AB6CC" w14:textId="77777777" w:rsidR="00A77B3E" w:rsidRDefault="00A77B3E">
      <w:pPr>
        <w:spacing w:line="360" w:lineRule="auto"/>
        <w:jc w:val="both"/>
        <w:rPr>
          <w:lang w:eastAsia="zh-CN"/>
        </w:rPr>
      </w:pPr>
    </w:p>
    <w:p w14:paraId="73139868" w14:textId="77777777" w:rsidR="00A77B3E" w:rsidRDefault="009D63A8" w:rsidP="00522CA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review provides an overview of methodologies used to analyze lymphocytes in the stomach.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-associated peptic diseases and gastric cancer are two major subjects of research in this field. Previously reported articles were reviewed, focusing on procedures for isolating human gastric mucosal lymphocytes. </w:t>
      </w:r>
      <w:r>
        <w:rPr>
          <w:rFonts w:ascii="Book Antiqua" w:eastAsia="Book Antiqua" w:hAnsi="Book Antiqua" w:cs="Book Antiqua"/>
          <w:color w:val="000000"/>
        </w:rPr>
        <w:lastRenderedPageBreak/>
        <w:t>The history and present trends in analyzing lymphocytes in patients with gastric disease are also summarized.</w:t>
      </w:r>
    </w:p>
    <w:p w14:paraId="51CAC7FD" w14:textId="77777777" w:rsidR="00A77B3E" w:rsidRDefault="00522CA5">
      <w:pPr>
        <w:spacing w:line="360" w:lineRule="auto"/>
        <w:jc w:val="both"/>
      </w:pPr>
      <w:r>
        <w:rPr>
          <w:lang w:eastAsia="zh-CN"/>
        </w:rPr>
        <w:br w:type="page"/>
      </w:r>
      <w:r w:rsidR="009D63A8">
        <w:rPr>
          <w:rFonts w:ascii="Book Antiqua" w:eastAsia="Book Antiqua" w:hAnsi="Book Antiqua" w:cs="Book Antiqua"/>
          <w:b/>
          <w:caps/>
          <w:color w:val="000000"/>
          <w:u w:val="single"/>
        </w:rPr>
        <w:lastRenderedPageBreak/>
        <w:t>INTRODUCTION</w:t>
      </w:r>
    </w:p>
    <w:p w14:paraId="6B6718A3" w14:textId="77777777" w:rsidR="00A77B3E" w:rsidRDefault="009D63A8">
      <w:pPr>
        <w:spacing w:line="360" w:lineRule="auto"/>
        <w:jc w:val="both"/>
      </w:pP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522CA5">
        <w:rPr>
          <w:rFonts w:ascii="Book Antiqua" w:hAnsi="Book Antiqua" w:cs="Book Antiqua" w:hint="eastAsia"/>
          <w:color w:val="000000"/>
          <w:lang w:eastAsia="zh-CN"/>
        </w:rPr>
        <w:t>(</w:t>
      </w:r>
      <w:r w:rsidR="00522CA5">
        <w:rPr>
          <w:rFonts w:ascii="Book Antiqua" w:eastAsia="Book Antiqua" w:hAnsi="Book Antiqua" w:cs="Book Antiqua"/>
          <w:i/>
          <w:iCs/>
          <w:color w:val="000000"/>
        </w:rPr>
        <w:t>H. pylori</w:t>
      </w:r>
      <w:r w:rsidR="00522C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is responsible for most peptic ulcers and chronic inflammation in the stomach. Such prolonged inflammation causes mucosal damage and regeneration, in turn leading to carcinogenesis of the gastric epithelium and lymphomagenesis. Additionally, recent advances in cancer immunology and immunology-based anticancer therapies highlight the contribution of tumor-infiltrating lymphocytes in gastric cancer treatment. Thus, chronic inflammation with lymphocyte infiltration in the stomach may be involved in various gastric </w:t>
      </w:r>
      <w:proofErr w:type="gramStart"/>
      <w:r>
        <w:rPr>
          <w:rFonts w:ascii="Book Antiqua" w:eastAsia="Book Antiqua" w:hAnsi="Book Antiqua" w:cs="Book Antiqua"/>
          <w:color w:val="000000"/>
        </w:rPr>
        <w:t>diseases</w:t>
      </w:r>
      <w:r w:rsid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D291C59"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Flow cytometry is widely used for lymphocyte immunophenotyping. An advantage of flow cytometry over immunohistochemistry is its multicolor analysis, providing an accurate characterization of the surface antigen profile of specific cells. Despite its superiority, few studies have assessed gastric mucosal lymphocytes by flow cytometry. We believe that its widespread use will promote a better understanding of surface marker expression and function of lymphocytes in the stomach. Here, we review relevant basic studies and summarize the methods of isolating lymphocytes from the human stomach for flow cytometry. Additionally, the history and current trends in analyzing lymphocytes in patients with gastric disease are summarized.</w:t>
      </w:r>
    </w:p>
    <w:p w14:paraId="5D317B57" w14:textId="77777777" w:rsidR="00A77B3E" w:rsidRDefault="00A77B3E" w:rsidP="00522CA5">
      <w:pPr>
        <w:spacing w:line="360" w:lineRule="auto"/>
        <w:jc w:val="both"/>
        <w:rPr>
          <w:lang w:eastAsia="zh-CN"/>
        </w:rPr>
      </w:pPr>
    </w:p>
    <w:p w14:paraId="4E559FEE" w14:textId="77777777" w:rsidR="00A77B3E" w:rsidRDefault="009D63A8">
      <w:pPr>
        <w:spacing w:line="360" w:lineRule="auto"/>
        <w:jc w:val="both"/>
      </w:pPr>
      <w:r>
        <w:rPr>
          <w:rFonts w:ascii="Book Antiqua" w:eastAsia="Book Antiqua" w:hAnsi="Book Antiqua" w:cs="Book Antiqua"/>
          <w:b/>
          <w:bCs/>
          <w:caps/>
          <w:color w:val="000000"/>
          <w:u w:val="single"/>
        </w:rPr>
        <w:t>Literature search</w:t>
      </w:r>
    </w:p>
    <w:p w14:paraId="45E559CF" w14:textId="7FA27962" w:rsidR="00A77B3E" w:rsidRDefault="009D63A8">
      <w:pPr>
        <w:spacing w:line="360" w:lineRule="auto"/>
        <w:jc w:val="both"/>
      </w:pPr>
      <w:r>
        <w:rPr>
          <w:rFonts w:ascii="Book Antiqua" w:eastAsia="Book Antiqua" w:hAnsi="Book Antiqua" w:cs="Book Antiqua"/>
          <w:color w:val="000000"/>
        </w:rPr>
        <w:t xml:space="preserve">We performed a literature search on October 13, 2020, in the PubMed database. The search terms used were “lymphocyte isolation”, “stomach”, and “flow cytometry”. We retrieved 66 </w:t>
      </w:r>
      <w:proofErr w:type="gramStart"/>
      <w:r>
        <w:rPr>
          <w:rFonts w:ascii="Book Antiqua" w:eastAsia="Book Antiqua" w:hAnsi="Book Antiqua" w:cs="Book Antiqua"/>
          <w:color w:val="000000"/>
        </w:rPr>
        <w:t>titles</w:t>
      </w:r>
      <w:r w:rsid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66</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Pr="00522CA5">
        <w:rPr>
          <w:rFonts w:ascii="Book Antiqua" w:eastAsia="Book Antiqua" w:hAnsi="Book Antiqua" w:cs="Book Antiqua"/>
          <w:color w:val="000000"/>
          <w:szCs w:val="30"/>
        </w:rPr>
        <w:t xml:space="preserve"> </w:t>
      </w:r>
      <w:r>
        <w:rPr>
          <w:rFonts w:ascii="Book Antiqua" w:eastAsia="Book Antiqua" w:hAnsi="Book Antiqua" w:cs="Book Antiqua"/>
          <w:color w:val="000000"/>
        </w:rPr>
        <w:t>and no previous systematic review of lymphocyte isolation from the gastric mucosa was identified</w:t>
      </w:r>
      <w:r w:rsidR="00394515">
        <w:rPr>
          <w:rFonts w:ascii="Book Antiqua" w:eastAsia="Book Antiqua" w:hAnsi="Book Antiqua" w:cs="Book Antiqua"/>
          <w:color w:val="000000"/>
        </w:rPr>
        <w:t xml:space="preserve"> (Figure 1)</w:t>
      </w:r>
      <w:r>
        <w:rPr>
          <w:rFonts w:ascii="Book Antiqua" w:eastAsia="Book Antiqua" w:hAnsi="Book Antiqua" w:cs="Book Antiqua"/>
          <w:color w:val="000000"/>
        </w:rPr>
        <w:t>. Articles not written in English (</w:t>
      </w:r>
      <w:r>
        <w:rPr>
          <w:rFonts w:ascii="Book Antiqua" w:eastAsia="Book Antiqua" w:hAnsi="Book Antiqua" w:cs="Book Antiqua"/>
          <w:i/>
          <w:iCs/>
          <w:color w:val="000000"/>
        </w:rPr>
        <w:t>n</w:t>
      </w:r>
      <w:r>
        <w:rPr>
          <w:rFonts w:ascii="Book Antiqua" w:eastAsia="Book Antiqua" w:hAnsi="Book Antiqua" w:cs="Book Antiqua"/>
          <w:color w:val="000000"/>
        </w:rPr>
        <w:t xml:space="preserve"> = 4) were excluded from this review. A further 20 articles were excluded as the research subjects were cell lines (</w:t>
      </w:r>
      <w:r>
        <w:rPr>
          <w:rFonts w:ascii="Book Antiqua" w:eastAsia="Book Antiqua" w:hAnsi="Book Antiqua" w:cs="Book Antiqua"/>
          <w:i/>
          <w:iCs/>
          <w:color w:val="000000"/>
        </w:rPr>
        <w:t>n</w:t>
      </w:r>
      <w:r>
        <w:rPr>
          <w:rFonts w:ascii="Book Antiqua" w:eastAsia="Book Antiqua" w:hAnsi="Book Antiqua" w:cs="Book Antiqua"/>
          <w:color w:val="000000"/>
        </w:rPr>
        <w:t xml:space="preserve"> = 4) or non-human mammals, including mice (</w:t>
      </w:r>
      <w:r>
        <w:rPr>
          <w:rFonts w:ascii="Book Antiqua" w:eastAsia="Book Antiqua" w:hAnsi="Book Antiqua" w:cs="Book Antiqua"/>
          <w:i/>
          <w:iCs/>
          <w:color w:val="000000"/>
        </w:rPr>
        <w:t>n</w:t>
      </w:r>
      <w:r>
        <w:rPr>
          <w:rFonts w:ascii="Book Antiqua" w:eastAsia="Book Antiqua" w:hAnsi="Book Antiqua" w:cs="Book Antiqua"/>
          <w:color w:val="000000"/>
        </w:rPr>
        <w:t xml:space="preserve"> = 14), pigs (</w:t>
      </w:r>
      <w:r>
        <w:rPr>
          <w:rFonts w:ascii="Book Antiqua" w:eastAsia="Book Antiqua" w:hAnsi="Book Antiqua" w:cs="Book Antiqua"/>
          <w:i/>
          <w:iCs/>
          <w:color w:val="000000"/>
        </w:rPr>
        <w:t>n</w:t>
      </w:r>
      <w:r>
        <w:rPr>
          <w:rFonts w:ascii="Book Antiqua" w:eastAsia="Book Antiqua" w:hAnsi="Book Antiqua" w:cs="Book Antiqua"/>
          <w:color w:val="000000"/>
        </w:rPr>
        <w:t xml:space="preserve"> = 1), or alpacas (</w:t>
      </w:r>
      <w:r>
        <w:rPr>
          <w:rFonts w:ascii="Book Antiqua" w:eastAsia="Book Antiqua" w:hAnsi="Book Antiqua" w:cs="Book Antiqua"/>
          <w:i/>
          <w:iCs/>
          <w:color w:val="000000"/>
        </w:rPr>
        <w:t>n</w:t>
      </w:r>
      <w:r>
        <w:rPr>
          <w:rFonts w:ascii="Book Antiqua" w:eastAsia="Book Antiqua" w:hAnsi="Book Antiqua" w:cs="Book Antiqua"/>
          <w:color w:val="000000"/>
        </w:rPr>
        <w:t xml:space="preserve"> = 1). Among the remaining 42 articles, lymphocyte isolation from the stomach was not performed in 16 articles. Finally, we reviewed 26 articles and summarized the methodologies for lymphocyte isolation from the human gastric mucosa.</w:t>
      </w:r>
    </w:p>
    <w:p w14:paraId="0AB326B4"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lastRenderedPageBreak/>
        <w:t>Lymphocyte isolation was performed using endoscopic biopsy specimens (</w:t>
      </w:r>
      <w:r>
        <w:rPr>
          <w:rFonts w:ascii="Book Antiqua" w:eastAsia="Book Antiqua" w:hAnsi="Book Antiqua" w:cs="Book Antiqua"/>
          <w:i/>
          <w:iCs/>
          <w:color w:val="000000"/>
        </w:rPr>
        <w:t>n</w:t>
      </w:r>
      <w:r>
        <w:rPr>
          <w:rFonts w:ascii="Book Antiqua" w:eastAsia="Book Antiqua" w:hAnsi="Book Antiqua" w:cs="Book Antiqua"/>
          <w:color w:val="000000"/>
        </w:rPr>
        <w:t xml:space="preserve"> = 15), surgically resected specimens (</w:t>
      </w:r>
      <w:r>
        <w:rPr>
          <w:rFonts w:ascii="Book Antiqua" w:eastAsia="Book Antiqua" w:hAnsi="Book Antiqua" w:cs="Book Antiqua"/>
          <w:i/>
          <w:iCs/>
          <w:color w:val="000000"/>
        </w:rPr>
        <w:t>n</w:t>
      </w:r>
      <w:r>
        <w:rPr>
          <w:rFonts w:ascii="Book Antiqua" w:eastAsia="Book Antiqua" w:hAnsi="Book Antiqua" w:cs="Book Antiqua"/>
          <w:color w:val="000000"/>
        </w:rPr>
        <w:t xml:space="preserve"> = 10), or both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number of endoscopically biopsied specimens was 1 (</w:t>
      </w:r>
      <w:r>
        <w:rPr>
          <w:rFonts w:ascii="Book Antiqua" w:eastAsia="Book Antiqua" w:hAnsi="Book Antiqua" w:cs="Book Antiqua"/>
          <w:i/>
          <w:iCs/>
          <w:color w:val="000000"/>
        </w:rPr>
        <w:t>n</w:t>
      </w:r>
      <w:r>
        <w:rPr>
          <w:rFonts w:ascii="Book Antiqua" w:eastAsia="Book Antiqua" w:hAnsi="Book Antiqua" w:cs="Book Antiqua"/>
          <w:color w:val="000000"/>
        </w:rPr>
        <w:t xml:space="preserve"> = 2), 1–2 (</w:t>
      </w:r>
      <w:r>
        <w:rPr>
          <w:rFonts w:ascii="Book Antiqua" w:eastAsia="Book Antiqua" w:hAnsi="Book Antiqua" w:cs="Book Antiqua"/>
          <w:i/>
          <w:iCs/>
          <w:color w:val="000000"/>
        </w:rPr>
        <w:t>n</w:t>
      </w:r>
      <w:r>
        <w:rPr>
          <w:rFonts w:ascii="Book Antiqua" w:eastAsia="Book Antiqua" w:hAnsi="Book Antiqua" w:cs="Book Antiqua"/>
          <w:color w:val="000000"/>
        </w:rPr>
        <w:t xml:space="preserve"> = 1), 2 (</w:t>
      </w:r>
      <w:r>
        <w:rPr>
          <w:rFonts w:ascii="Book Antiqua" w:eastAsia="Book Antiqua" w:hAnsi="Book Antiqua" w:cs="Book Antiqua"/>
          <w:i/>
          <w:iCs/>
          <w:color w:val="000000"/>
        </w:rPr>
        <w:t>n</w:t>
      </w:r>
      <w:r>
        <w:rPr>
          <w:rFonts w:ascii="Book Antiqua" w:eastAsia="Book Antiqua" w:hAnsi="Book Antiqua" w:cs="Book Antiqua"/>
          <w:color w:val="000000"/>
        </w:rPr>
        <w:t xml:space="preserve"> = 3), 4 (</w:t>
      </w:r>
      <w:r>
        <w:rPr>
          <w:rFonts w:ascii="Book Antiqua" w:eastAsia="Book Antiqua" w:hAnsi="Book Antiqua" w:cs="Book Antiqua"/>
          <w:i/>
          <w:iCs/>
          <w:color w:val="000000"/>
        </w:rPr>
        <w:t>n</w:t>
      </w:r>
      <w:r>
        <w:rPr>
          <w:rFonts w:ascii="Book Antiqua" w:eastAsia="Book Antiqua" w:hAnsi="Book Antiqua" w:cs="Book Antiqua"/>
          <w:color w:val="000000"/>
        </w:rPr>
        <w:t xml:space="preserve"> = 5), 5 (</w:t>
      </w:r>
      <w:r>
        <w:rPr>
          <w:rFonts w:ascii="Book Antiqua" w:eastAsia="Book Antiqua" w:hAnsi="Book Antiqua" w:cs="Book Antiqua"/>
          <w:i/>
          <w:iCs/>
          <w:color w:val="000000"/>
        </w:rPr>
        <w:t>n</w:t>
      </w:r>
      <w:r>
        <w:rPr>
          <w:rFonts w:ascii="Book Antiqua" w:eastAsia="Book Antiqua" w:hAnsi="Book Antiqua" w:cs="Book Antiqua"/>
          <w:color w:val="000000"/>
        </w:rPr>
        <w:t xml:space="preserve"> = 1), or 6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number used for lymphocyte isolation was not specified in the remaining three articles. Gastric mucosal lymphocyte analysis was performed in association with </w:t>
      </w:r>
      <w:r>
        <w:rPr>
          <w:rFonts w:ascii="Book Antiqua" w:eastAsia="Book Antiqua" w:hAnsi="Book Antiqua" w:cs="Book Antiqua"/>
          <w:i/>
          <w:iCs/>
          <w:color w:val="000000"/>
        </w:rPr>
        <w:t>H. pylori</w:t>
      </w:r>
      <w:r>
        <w:rPr>
          <w:rFonts w:ascii="Book Antiqua" w:eastAsia="Book Antiqua" w:hAnsi="Book Antiqua" w:cs="Book Antiqua"/>
          <w:color w:val="000000"/>
        </w:rPr>
        <w:t>-related peptic diseases (</w:t>
      </w:r>
      <w:r>
        <w:rPr>
          <w:rFonts w:ascii="Book Antiqua" w:eastAsia="Book Antiqua" w:hAnsi="Book Antiqua" w:cs="Book Antiqua"/>
          <w:i/>
          <w:iCs/>
          <w:color w:val="000000"/>
        </w:rPr>
        <w:t>n</w:t>
      </w:r>
      <w:r>
        <w:rPr>
          <w:rFonts w:ascii="Book Antiqua" w:eastAsia="Book Antiqua" w:hAnsi="Book Antiqua" w:cs="Book Antiqua"/>
          <w:color w:val="000000"/>
        </w:rPr>
        <w:t xml:space="preserve"> = 12), gastric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9), or other diseases (</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p>
    <w:p w14:paraId="15E08C54"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During lymphocyte isolation, enzymatic degradation and/or mechanical shredding and grinding are performed to remove the epithelial cells and connective tissue of the stomach. Collagenase is commonly used for enzymatic processing, while mesh strainers or glass slides are used for mechanical processing. Hereafter, we review representative methods for lymphocyte isolation from the stomach.</w:t>
      </w:r>
    </w:p>
    <w:p w14:paraId="62742A30" w14:textId="77777777" w:rsidR="00A77B3E" w:rsidRDefault="00A77B3E" w:rsidP="00522CA5">
      <w:pPr>
        <w:spacing w:line="360" w:lineRule="auto"/>
        <w:jc w:val="both"/>
        <w:rPr>
          <w:lang w:eastAsia="zh-CN"/>
        </w:rPr>
      </w:pPr>
    </w:p>
    <w:p w14:paraId="1D834BB5"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Combination of enzymatic and mechanical dissociation</w:t>
      </w:r>
    </w:p>
    <w:p w14:paraId="50FC112E" w14:textId="77777777" w:rsidR="00A77B3E" w:rsidRDefault="009D63A8" w:rsidP="00522CA5">
      <w:pPr>
        <w:spacing w:line="360" w:lineRule="auto"/>
        <w:jc w:val="both"/>
      </w:pPr>
      <w:r>
        <w:rPr>
          <w:rFonts w:ascii="Book Antiqua" w:eastAsia="Book Antiqua" w:hAnsi="Book Antiqua" w:cs="Book Antiqua"/>
          <w:color w:val="000000"/>
        </w:rPr>
        <w:t>In previously reported studies, sequential processing with enzymatic and mechanical dissociation is most frequently used for lymphocyte isolation from the gastric mucosa. In one protocol</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2,6,16</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fresh tissues were obtained from the surgically resected stomach and washed three times with Hank’s solution containing 1% fetal calf serum. The specimen was cut into small pieces and collected in RPMI 1640 medium containing collagenase IV (1 mg/mL) and deoxyribonuclease I (10 mg/mL). Subsequently, mechanical separation was performed using </w:t>
      </w:r>
      <w:proofErr w:type="spellStart"/>
      <w:r>
        <w:rPr>
          <w:rFonts w:ascii="Book Antiqua" w:eastAsia="Book Antiqua" w:hAnsi="Book Antiqua" w:cs="Book Antiqua"/>
          <w:color w:val="000000"/>
        </w:rPr>
        <w:t>gentleMACS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Dissociator</w:t>
      </w:r>
      <w:proofErr w:type="spellEnd"/>
      <w:r>
        <w:rPr>
          <w:rFonts w:ascii="Book Antiqua" w:eastAsia="Book Antiqua" w:hAnsi="Book Antiqua" w:cs="Book Antiqua"/>
          <w:color w:val="000000"/>
        </w:rPr>
        <w:t xml:space="preserve"> and the dissociated cell suspensions were incubated for 1 h under continuous rotation at 37 °C. After passing the cell suspension through a 70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cell strainer, cells were deemed ready for flow cytometry.</w:t>
      </w:r>
    </w:p>
    <w:p w14:paraId="712BF4EA"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In another </w:t>
      </w:r>
      <w:proofErr w:type="gramStart"/>
      <w:r>
        <w:rPr>
          <w:rFonts w:ascii="Book Antiqua" w:eastAsia="Book Antiqua" w:hAnsi="Book Antiqua" w:cs="Book Antiqua"/>
          <w:color w:val="000000"/>
        </w:rPr>
        <w:t>protocol</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two specimens were obtained from the gastric mucosa by endoscopic biopsy. The specimens were placed on ice in RPMI 1640 medium containing 10% fetal calf serum, glutamine, and penicillin/streptomycin. The biopsy specimens were transferred to a dithiothreitol/EDTA solution and incubated for 15 min at 37 °C. The samples were finely sliced and digested in a collagenase A solution for 1 h at 37 °C. The digested cell suspensions were filtered through a 70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cell filter and collected in </w:t>
      </w:r>
      <w:r>
        <w:rPr>
          <w:rFonts w:ascii="Book Antiqua" w:eastAsia="Book Antiqua" w:hAnsi="Book Antiqua" w:cs="Book Antiqua"/>
          <w:color w:val="000000"/>
        </w:rPr>
        <w:lastRenderedPageBreak/>
        <w:t>RPMI 1640 medium. After centrifugation, the pellet was resuspended in phosphate-buffered saline.</w:t>
      </w:r>
    </w:p>
    <w:p w14:paraId="3E5FA1BB"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For enzymatic dissociation, other reagent combinations are also used, such as deoxyribonuclease 1 (0.02 mg/mL), collagenase (0.25 mg/mL), and hyaluronidase (0.1 mg/mL</w:t>
      </w:r>
      <w:proofErr w:type="gramStart"/>
      <w:r>
        <w:rPr>
          <w:rFonts w:ascii="Book Antiqua" w:eastAsia="Book Antiqua" w:hAnsi="Book Antiqua" w:cs="Book Antiqua"/>
          <w:color w:val="000000"/>
        </w:rPr>
        <w:t>)</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collagenase (300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w:t>
      </w:r>
      <w:proofErr w:type="spellStart"/>
      <w:r>
        <w:rPr>
          <w:rFonts w:ascii="Book Antiqua" w:eastAsia="Book Antiqua" w:hAnsi="Book Antiqua" w:cs="Book Antiqua"/>
          <w:color w:val="000000"/>
        </w:rPr>
        <w:t>Dispase</w:t>
      </w:r>
      <w:proofErr w:type="spellEnd"/>
      <w:r>
        <w:rPr>
          <w:rFonts w:ascii="Book Antiqua" w:eastAsia="Book Antiqua" w:hAnsi="Book Antiqua" w:cs="Book Antiqua"/>
          <w:color w:val="000000"/>
        </w:rPr>
        <w:t xml:space="preserve"> II (500 U/mL)</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33</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or collagenase (5 mg/mL), DNase (0.1 mg/mL), and protease (2 U/mL)</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43,49,58,62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5CC4BFC" w14:textId="77777777" w:rsidR="00A77B3E" w:rsidRDefault="00A77B3E" w:rsidP="00522CA5">
      <w:pPr>
        <w:spacing w:line="360" w:lineRule="auto"/>
        <w:jc w:val="both"/>
        <w:rPr>
          <w:lang w:eastAsia="zh-CN"/>
        </w:rPr>
      </w:pPr>
    </w:p>
    <w:p w14:paraId="398C0692"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Enzymatic dissociation</w:t>
      </w:r>
    </w:p>
    <w:p w14:paraId="4BE4EAFA" w14:textId="0F9357B1" w:rsidR="00A77B3E" w:rsidRDefault="009D63A8" w:rsidP="00522CA5">
      <w:pPr>
        <w:spacing w:line="360" w:lineRule="auto"/>
        <w:jc w:val="both"/>
        <w:rPr>
          <w:lang w:eastAsia="ja-JP"/>
        </w:rPr>
      </w:pPr>
      <w:r>
        <w:rPr>
          <w:rFonts w:ascii="Book Antiqua" w:eastAsia="Book Antiqua" w:hAnsi="Book Antiqua" w:cs="Book Antiqua"/>
          <w:color w:val="000000"/>
        </w:rPr>
        <w:t>Isolation of lymphocytes can be performed by enzymatic dissociation alone. For instance</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60</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fresh gastric tissue can be digested in a rotating chamber (60 rpm, 37 °C, 12 h) with </w:t>
      </w:r>
      <w:proofErr w:type="spellStart"/>
      <w:r>
        <w:rPr>
          <w:rFonts w:ascii="Book Antiqua" w:eastAsia="Book Antiqua" w:hAnsi="Book Antiqua" w:cs="Book Antiqua"/>
          <w:color w:val="000000"/>
        </w:rPr>
        <w:t>NaCl</w:t>
      </w:r>
      <w:proofErr w:type="spellEnd"/>
      <w:r>
        <w:rPr>
          <w:rFonts w:ascii="Book Antiqua" w:eastAsia="Book Antiqua" w:hAnsi="Book Antiqua" w:cs="Book Antiqua"/>
          <w:color w:val="000000"/>
        </w:rPr>
        <w:t xml:space="preserve"> (8 mg/mL), </w:t>
      </w:r>
      <w:proofErr w:type="spellStart"/>
      <w:r>
        <w:rPr>
          <w:rFonts w:ascii="Book Antiqua" w:eastAsia="Book Antiqua" w:hAnsi="Book Antiqua" w:cs="Book Antiqua"/>
          <w:color w:val="000000"/>
        </w:rPr>
        <w:t>KCl</w:t>
      </w:r>
      <w:proofErr w:type="spellEnd"/>
      <w:r>
        <w:rPr>
          <w:rFonts w:ascii="Book Antiqua" w:eastAsia="Book Antiqua" w:hAnsi="Book Antiqua" w:cs="Book Antiqua"/>
          <w:color w:val="000000"/>
        </w:rPr>
        <w:t xml:space="preserve"> (0.4 mg/mL), CaCl</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(0.56 mg/mL), NaHPO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(60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Na</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HPO</w:t>
      </w:r>
      <w:r w:rsidRPr="00C70EAD">
        <w:rPr>
          <w:rFonts w:ascii="Book Antiqua" w:eastAsia="Book Antiqua" w:hAnsi="Book Antiqua" w:cs="Book Antiqua"/>
          <w:color w:val="000000"/>
          <w:vertAlign w:val="subscript"/>
        </w:rPr>
        <w:t>4</w:t>
      </w:r>
      <w:r>
        <w:rPr>
          <w:rFonts w:ascii="Book Antiqua" w:eastAsia="Book Antiqua" w:hAnsi="Book Antiqua" w:cs="Book Antiqua"/>
          <w:color w:val="000000"/>
        </w:rPr>
        <w:t>-12H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(151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HEPES (2.3 mg/mL),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hystolyticum</w:t>
      </w:r>
      <w:proofErr w:type="spellEnd"/>
      <w:r>
        <w:rPr>
          <w:rFonts w:ascii="Book Antiqua" w:eastAsia="Book Antiqua" w:hAnsi="Book Antiqua" w:cs="Book Antiqua"/>
          <w:color w:val="000000"/>
        </w:rPr>
        <w:t xml:space="preserve"> collagenase (0.5 mg/mL), and soybean trypsin inhibitor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The lymphocytes are then dispersed and enriched on </w:t>
      </w:r>
      <w:proofErr w:type="spellStart"/>
      <w:r>
        <w:rPr>
          <w:rFonts w:ascii="Book Antiqua" w:eastAsia="Book Antiqua" w:hAnsi="Book Antiqua" w:cs="Book Antiqua"/>
          <w:color w:val="000000"/>
        </w:rPr>
        <w:t>Ficoll-Paque</w:t>
      </w:r>
      <w:proofErr w:type="spellEnd"/>
      <w:r>
        <w:rPr>
          <w:rFonts w:ascii="Book Antiqua" w:eastAsia="Book Antiqua" w:hAnsi="Book Antiqua" w:cs="Book Antiqua"/>
          <w:color w:val="000000"/>
        </w:rPr>
        <w:t xml:space="preserve"> density gradients</w:t>
      </w:r>
      <w:r w:rsidR="00657538">
        <w:rPr>
          <w:rFonts w:ascii="MS Mincho" w:eastAsia="MS Mincho" w:hAnsi="MS Mincho" w:cs="MS Mincho" w:hint="eastAsia"/>
          <w:color w:val="000000"/>
          <w:lang w:eastAsia="ja-JP"/>
        </w:rPr>
        <w:t>.</w:t>
      </w:r>
    </w:p>
    <w:p w14:paraId="28174DCA" w14:textId="77777777" w:rsidR="00A77B3E" w:rsidRDefault="00A77B3E" w:rsidP="00522CA5">
      <w:pPr>
        <w:spacing w:line="360" w:lineRule="auto"/>
        <w:jc w:val="both"/>
        <w:rPr>
          <w:lang w:eastAsia="zh-CN"/>
        </w:rPr>
      </w:pPr>
    </w:p>
    <w:p w14:paraId="2110177A"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Mechanical dissociation</w:t>
      </w:r>
    </w:p>
    <w:p w14:paraId="016155AD" w14:textId="0E97A1C4" w:rsidR="00A77B3E" w:rsidRDefault="009D63A8" w:rsidP="00522CA5">
      <w:pPr>
        <w:spacing w:line="360" w:lineRule="auto"/>
        <w:jc w:val="both"/>
      </w:pPr>
      <w:r>
        <w:rPr>
          <w:rFonts w:ascii="Book Antiqua" w:eastAsia="Book Antiqua" w:hAnsi="Book Antiqua" w:cs="Book Antiqua"/>
          <w:color w:val="000000"/>
        </w:rPr>
        <w:t>Without enzymes, lymphocytes can be obtained by mechanical mincing of surgically resected or endoscopically biopsied specimens, followed by passing through a 40</w:t>
      </w:r>
      <w:r w:rsidR="00522CA5">
        <w:rPr>
          <w:rFonts w:ascii="Book Antiqua" w:hAnsi="Book Antiqua" w:cs="Book Antiqua" w:hint="eastAsia"/>
          <w:color w:val="000000"/>
          <w:lang w:eastAsia="zh-CN"/>
        </w:rPr>
        <w:t>-</w:t>
      </w:r>
      <w:r>
        <w:rPr>
          <w:rFonts w:ascii="Book Antiqua" w:eastAsia="Book Antiqua" w:hAnsi="Book Antiqua" w:cs="Book Antiqua"/>
          <w:color w:val="000000"/>
        </w:rPr>
        <w:t xml:space="preserve">100 </w:t>
      </w:r>
      <w:proofErr w:type="spellStart"/>
      <w:r w:rsidR="00657538">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filter to exclude tissue fragments</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23,24,52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or by pressing and grinding in a coarse glass grinder</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E2083B9" w14:textId="77777777" w:rsidR="00A77B3E" w:rsidRDefault="00A77B3E" w:rsidP="00522CA5">
      <w:pPr>
        <w:spacing w:line="360" w:lineRule="auto"/>
        <w:jc w:val="both"/>
        <w:rPr>
          <w:lang w:eastAsia="zh-CN"/>
        </w:rPr>
      </w:pPr>
    </w:p>
    <w:p w14:paraId="106A1AB1"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Isolation of intra-epithelial lymphocytes and lamina propria lymphocytes</w:t>
      </w:r>
    </w:p>
    <w:p w14:paraId="518EA60B" w14:textId="3A67D9A0" w:rsidR="00A77B3E" w:rsidRDefault="009D63A8" w:rsidP="00522CA5">
      <w:pPr>
        <w:spacing w:line="360" w:lineRule="auto"/>
        <w:jc w:val="both"/>
      </w:pPr>
      <w:r>
        <w:rPr>
          <w:rFonts w:ascii="Book Antiqua" w:eastAsia="Book Antiqua" w:hAnsi="Book Antiqua" w:cs="Book Antiqua"/>
          <w:color w:val="000000"/>
        </w:rPr>
        <w:t xml:space="preserve">The predominance, heterogeneity, and distribution of lymphocytes are diverse at different locations within the gastric </w:t>
      </w:r>
      <w:proofErr w:type="gramStart"/>
      <w:r>
        <w:rPr>
          <w:rFonts w:ascii="Book Antiqua" w:eastAsia="Book Antiqua" w:hAnsi="Book Antiqua" w:cs="Book Antiqua"/>
          <w:color w:val="000000"/>
        </w:rPr>
        <w:t>mucosa</w:t>
      </w:r>
      <w:r w:rsidR="007B67C0" w:rsidRPr="007B67C0">
        <w:rPr>
          <w:rFonts w:ascii="Book Antiqua" w:eastAsia="Book Antiqua" w:hAnsi="Book Antiqua" w:cs="Book Antiqua"/>
          <w:color w:val="000000"/>
          <w:vertAlign w:val="superscript"/>
        </w:rPr>
        <w:t>[</w:t>
      </w:r>
      <w:proofErr w:type="gramEnd"/>
      <w:r w:rsidR="007B67C0" w:rsidRPr="007B67C0">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Therefore, intra-epithelial lymphocytes and lamina propria lymphocytes have been investigated separately in several </w:t>
      </w:r>
      <w:proofErr w:type="gramStart"/>
      <w:r>
        <w:rPr>
          <w:rFonts w:ascii="Book Antiqua" w:eastAsia="Book Antiqua" w:hAnsi="Book Antiqua" w:cs="Book Antiqua"/>
          <w:color w:val="000000"/>
        </w:rPr>
        <w:t>studies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22,47,54,55</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Briefly, biopsy samples were rotated at 37 °C for 1 h in calcium- and magnesium-free Hanks' balanced salt solution supplemented with 5% fetal calf serum, dithiothreitol (1 mmol/L), and EDTA (1 mmol/L). At this step, the epithelial layer is removed, leaving the lamina propria intact and attached to the basement membrane. </w:t>
      </w:r>
      <w:r>
        <w:rPr>
          <w:rFonts w:ascii="Book Antiqua" w:eastAsia="Book Antiqua" w:hAnsi="Book Antiqua" w:cs="Book Antiqua"/>
          <w:color w:val="000000"/>
        </w:rPr>
        <w:lastRenderedPageBreak/>
        <w:t>Subsequently, the resulting single cell suspension was washed in RPMI 1640 medium supplemented with 10% fetal calf serum and penicillin/streptomycin. The remaining tissue was placed in 5 mL of RPMI 1640 medium containing collagenase Type 1A (130 U/mL) and rotated at 37 °C for 3 h to obtain lamina propria cells.</w:t>
      </w:r>
    </w:p>
    <w:p w14:paraId="6884DCDB" w14:textId="77777777" w:rsidR="00A77B3E" w:rsidRDefault="00A77B3E" w:rsidP="00522CA5">
      <w:pPr>
        <w:spacing w:line="360" w:lineRule="auto"/>
        <w:jc w:val="both"/>
        <w:rPr>
          <w:lang w:eastAsia="zh-CN"/>
        </w:rPr>
      </w:pPr>
    </w:p>
    <w:p w14:paraId="4C19B272"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Single-step lymphocyte isolation from an endoscopic biopsy specimen</w:t>
      </w:r>
    </w:p>
    <w:p w14:paraId="10DFA70B" w14:textId="77777777" w:rsidR="00A77B3E" w:rsidRDefault="009D63A8" w:rsidP="00522CA5">
      <w:pPr>
        <w:spacing w:line="360" w:lineRule="auto"/>
        <w:jc w:val="both"/>
      </w:pPr>
      <w:r>
        <w:rPr>
          <w:rFonts w:ascii="Book Antiqua" w:eastAsia="Book Antiqua" w:hAnsi="Book Antiqua" w:cs="Book Antiqua"/>
          <w:color w:val="000000"/>
        </w:rPr>
        <w:t xml:space="preserve">We recently introduced a simplified, one-step procedure for lymphocyte isolation from an endoscopic biopsy </w:t>
      </w:r>
      <w:proofErr w:type="gramStart"/>
      <w:r>
        <w:rPr>
          <w:rFonts w:ascii="Book Antiqua" w:eastAsia="Book Antiqua" w:hAnsi="Book Antiqua" w:cs="Book Antiqua"/>
          <w:color w:val="000000"/>
        </w:rPr>
        <w:t>sample</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67</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To isolate lymphocytes, we used a porcelain bowl with a spout and a wire mesh tea strainer. First, the porcelain bowl and wire mesh strainer were sterilized by autoclaving. During esophagogastroduodenoscopy,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or colonoscopy, a single tissue sample was collected from the gastrointestinal tract with a standard biopsy forceps. The collected gastrointestinal sample was put into a plastic centrifuge tube containing 5 mL of isotonic saline solution. Next, a wire mesh strainer was placed in a porcelain bowl and the specimen-containing saline solution was poured through the mesh. The solid specimens were crushed using the rubber portion of a 10 mL injection syringe plunger. The wire mesh tea strainer was then removed and thrown away. Subsequently, the saline solution containing lymphocytes was decanted into a plastic centrifuge tube and the cells were deemed ready for flow cytometry.</w:t>
      </w:r>
    </w:p>
    <w:p w14:paraId="6F180C7D"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As far as we know, this is the easiest procedure reported to date; lymphocyte isolation by this method is achieved within 2 min. Besides, laboratory wares and apparatus are not necessary for this method. Therefore, our approach for lymphocyte separation can be completed in an endoscopy unit right after taking a biopsy sample. This method would allow widespread evaluation of lymphocytes in the field of gastroenterology.</w:t>
      </w:r>
    </w:p>
    <w:p w14:paraId="08A3F9CB" w14:textId="77777777" w:rsidR="00A77B3E" w:rsidRDefault="00A77B3E" w:rsidP="00522CA5">
      <w:pPr>
        <w:spacing w:line="360" w:lineRule="auto"/>
        <w:jc w:val="both"/>
        <w:rPr>
          <w:lang w:eastAsia="zh-CN"/>
        </w:rPr>
      </w:pPr>
    </w:p>
    <w:p w14:paraId="15B2A742" w14:textId="77777777" w:rsidR="00A77B3E" w:rsidRDefault="009D63A8">
      <w:pPr>
        <w:spacing w:line="360" w:lineRule="auto"/>
        <w:jc w:val="both"/>
      </w:pPr>
      <w:r>
        <w:rPr>
          <w:rFonts w:ascii="Book Antiqua" w:eastAsia="Book Antiqua" w:hAnsi="Book Antiqua" w:cs="Book Antiqua"/>
          <w:b/>
          <w:bCs/>
          <w:caps/>
          <w:color w:val="000000"/>
          <w:u w:val="single"/>
        </w:rPr>
        <w:t>History and present trends of lymphocyte analysis in the stomach</w:t>
      </w:r>
    </w:p>
    <w:p w14:paraId="01C73F89" w14:textId="77777777" w:rsidR="00A77B3E" w:rsidRDefault="009D63A8" w:rsidP="00522CA5">
      <w:pPr>
        <w:spacing w:line="360" w:lineRule="auto"/>
        <w:jc w:val="both"/>
      </w:pPr>
      <w:r>
        <w:rPr>
          <w:rFonts w:ascii="Book Antiqua" w:eastAsia="Book Antiqua" w:hAnsi="Book Antiqua" w:cs="Book Antiqua"/>
          <w:color w:val="000000"/>
        </w:rPr>
        <w:t>During the early development stages of flow cytometry for gastric disorders (1995</w:t>
      </w:r>
      <w:r w:rsidR="00522CA5">
        <w:rPr>
          <w:rFonts w:ascii="Book Antiqua" w:hAnsi="Book Antiqua" w:cs="Book Antiqua" w:hint="eastAsia"/>
          <w:color w:val="000000"/>
          <w:lang w:eastAsia="zh-CN"/>
        </w:rPr>
        <w:t>-</w:t>
      </w:r>
      <w:r>
        <w:rPr>
          <w:rFonts w:ascii="Book Antiqua" w:eastAsia="Book Antiqua" w:hAnsi="Book Antiqua" w:cs="Book Antiqua"/>
          <w:color w:val="000000"/>
        </w:rPr>
        <w:t xml:space="preserve">1999), the association between peptic ulcers and inflammation induced by mucosal </w:t>
      </w:r>
      <w:r>
        <w:rPr>
          <w:rFonts w:ascii="Book Antiqua" w:eastAsia="Book Antiqua" w:hAnsi="Book Antiqua" w:cs="Book Antiqua"/>
          <w:color w:val="000000"/>
        </w:rPr>
        <w:lastRenderedPageBreak/>
        <w:t xml:space="preserve">lymphocytes was investigated in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or duodenal </w:t>
      </w:r>
      <w:proofErr w:type="gramStart"/>
      <w:r>
        <w:rPr>
          <w:rFonts w:ascii="Book Antiqua" w:eastAsia="Book Antiqua" w:hAnsi="Book Antiqua" w:cs="Book Antiqua"/>
          <w:color w:val="000000"/>
        </w:rPr>
        <w:t>ulcers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52,54,55,58,61,62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Activation markers such as CD25 </w:t>
      </w:r>
      <w:r w:rsidR="00522CA5">
        <w:rPr>
          <w:rFonts w:ascii="Book Antiqua" w:hAnsi="Book Antiqua" w:cs="Book Antiqua" w:hint="eastAsia"/>
          <w:color w:val="000000"/>
          <w:lang w:eastAsia="zh-CN"/>
        </w:rPr>
        <w:t>[</w:t>
      </w:r>
      <w:r>
        <w:rPr>
          <w:rFonts w:ascii="Book Antiqua" w:eastAsia="Book Antiqua" w:hAnsi="Book Antiqua" w:cs="Book Antiqua"/>
          <w:color w:val="000000"/>
        </w:rPr>
        <w:t>interleukin</w:t>
      </w:r>
      <w:r w:rsidR="00522CA5">
        <w:rPr>
          <w:rFonts w:ascii="Book Antiqua" w:hAnsi="Book Antiqua" w:cs="Book Antiqua" w:hint="eastAsia"/>
          <w:color w:val="000000"/>
          <w:lang w:eastAsia="zh-CN"/>
        </w:rPr>
        <w:t xml:space="preserve"> </w:t>
      </w:r>
      <w:r w:rsidR="00522CA5">
        <w:rPr>
          <w:rFonts w:ascii="Book Antiqua" w:eastAsia="Book Antiqua" w:hAnsi="Book Antiqua" w:cs="Book Antiqua"/>
          <w:color w:val="000000"/>
        </w:rPr>
        <w:t>(IL)</w:t>
      </w:r>
      <w:r>
        <w:rPr>
          <w:rFonts w:ascii="Book Antiqua" w:eastAsia="Book Antiqua" w:hAnsi="Book Antiqua" w:cs="Book Antiqua"/>
          <w:color w:val="000000"/>
        </w:rPr>
        <w:t>-2 receptor alpha chain</w:t>
      </w:r>
      <w:r w:rsidR="00522CA5">
        <w:rPr>
          <w:rFonts w:ascii="Book Antiqua" w:hAnsi="Book Antiqua" w:cs="Book Antiqua" w:hint="eastAsia"/>
          <w:color w:val="000000"/>
          <w:lang w:eastAsia="zh-CN"/>
        </w:rPr>
        <w:t>]</w:t>
      </w:r>
      <w:r>
        <w:rPr>
          <w:rFonts w:ascii="Book Antiqua" w:eastAsia="Book Antiqua" w:hAnsi="Book Antiqua" w:cs="Book Antiqua"/>
          <w:color w:val="000000"/>
        </w:rPr>
        <w:t xml:space="preserve">, CD69 (activation inducer molecule), CD71 (transferrin receptor protein 1), HLA-DR, and adhesion and emigration-related molecules, such as CD11a/CD18 (lymphocyte function-associated antigen 1: LFA-1), CD11b (integrin alpha-M), CD54 (intercellular adhesion molecule-1: ICAM-1), CD106 (vascular cell adhesion molecule-1: VCAM-1), and CD49d (very late antigen-4: VLA-4), were analyzed by flow cytometry in these patients. Also analyzed were the pan T cell markers CD2 and CD3, T-helper cell marker CD4, and T-cytotoxic cell marker CD8. Cytokines, such as interferon-gamma, tumor necrosis factor beta (TNF-β), </w:t>
      </w:r>
      <w:r w:rsidR="00522CA5">
        <w:rPr>
          <w:rFonts w:ascii="Book Antiqua" w:eastAsia="Book Antiqua" w:hAnsi="Book Antiqua" w:cs="Book Antiqua"/>
          <w:color w:val="000000"/>
        </w:rPr>
        <w:t>IL</w:t>
      </w:r>
      <w:r>
        <w:rPr>
          <w:rFonts w:ascii="Book Antiqua" w:eastAsia="Book Antiqua" w:hAnsi="Book Antiqua" w:cs="Book Antiqua"/>
          <w:color w:val="000000"/>
        </w:rPr>
        <w:t xml:space="preserve">-2, IL-4, and IL-5, were also examined by flow </w:t>
      </w:r>
      <w:proofErr w:type="gramStart"/>
      <w:r>
        <w:rPr>
          <w:rFonts w:ascii="Book Antiqua" w:eastAsia="Book Antiqua" w:hAnsi="Book Antiqua" w:cs="Book Antiqua"/>
          <w:color w:val="000000"/>
        </w:rPr>
        <w:t>cytometry</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52,55</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3DD12DB"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In the year 2000, research was focused on CD95, also known as Fas or </w:t>
      </w:r>
      <w:r w:rsidR="00522CA5">
        <w:rPr>
          <w:rFonts w:ascii="Book Antiqua" w:eastAsia="Book Antiqua" w:hAnsi="Book Antiqua" w:cs="Book Antiqua"/>
          <w:color w:val="000000"/>
        </w:rPr>
        <w:t>TNF</w:t>
      </w:r>
      <w:r>
        <w:rPr>
          <w:rFonts w:ascii="Book Antiqua" w:eastAsia="Book Antiqua" w:hAnsi="Book Antiqua" w:cs="Book Antiqua"/>
          <w:color w:val="000000"/>
        </w:rPr>
        <w:t xml:space="preserve"> receptor superfamily member 6</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47,48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CD95 is a death receptor localized on the surface of cells that triggers a signal transduction pathway upon binding its ligand, leading to programmed cell death (apoptosis).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-associated gastritis, epithelial cell damage is mediated through Fas/Fas ligand </w:t>
      </w:r>
      <w:proofErr w:type="gramStart"/>
      <w:r>
        <w:rPr>
          <w:rFonts w:ascii="Book Antiqua" w:eastAsia="Book Antiqua" w:hAnsi="Book Antiqua" w:cs="Book Antiqua"/>
          <w:color w:val="000000"/>
        </w:rPr>
        <w:t>interactions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47</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Simultaneously, apoptotic depletion of invading mucosal lymphocytes occurs with Fas ligand expression, providing a mechanism of immune privilege evading severe destruction of gastric epithelium in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w:t>
      </w:r>
      <w:proofErr w:type="gramStart"/>
      <w:r>
        <w:rPr>
          <w:rFonts w:ascii="Book Antiqua" w:eastAsia="Book Antiqua" w:hAnsi="Book Antiqua" w:cs="Book Antiqua"/>
          <w:color w:val="000000"/>
        </w:rPr>
        <w:t>stomach</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Meanwhile, flow cytometry was also performed for gastric mucosal lymphocytes in patients with duodenal </w:t>
      </w:r>
      <w:proofErr w:type="gramStart"/>
      <w:r>
        <w:rPr>
          <w:rFonts w:ascii="Book Antiqua" w:eastAsia="Book Antiqua" w:hAnsi="Book Antiqua" w:cs="Book Antiqua"/>
          <w:color w:val="000000"/>
        </w:rPr>
        <w:t>ulcers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33,43</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in children</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3293C37"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To our knowledge, lymphocyte infiltration in gastric cancer was first assessed in 1996 in patients with lymphocyte-rich, Epstein-Barr virus-associated gastric </w:t>
      </w:r>
      <w:proofErr w:type="gramStart"/>
      <w:r>
        <w:rPr>
          <w:rFonts w:ascii="Book Antiqua" w:eastAsia="Book Antiqua" w:hAnsi="Book Antiqua" w:cs="Book Antiqua"/>
          <w:color w:val="000000"/>
        </w:rPr>
        <w:t>carcinoma</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60</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2006, tumor-infiltrating lymphocytes were investigated in two major types of gastric adenocarcinoma (Lauren classification): intestinal type or diffuse </w:t>
      </w:r>
      <w:proofErr w:type="gramStart"/>
      <w:r>
        <w:rPr>
          <w:rFonts w:ascii="Book Antiqua" w:eastAsia="Book Antiqua" w:hAnsi="Book Antiqua" w:cs="Book Antiqua"/>
          <w:color w:val="000000"/>
        </w:rPr>
        <w:t>type</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number of B cells was significantly higher, while the number of T cells was significantly lower in intestinal type compared with diffuse type tumors. Furthermore, cloning and characterization of tumor-infiltrating T cells isolated from gastric cancers revealed a specific type-1 T cell response to gastric cancer </w:t>
      </w:r>
      <w:proofErr w:type="gramStart"/>
      <w:r>
        <w:rPr>
          <w:rFonts w:ascii="Book Antiqua" w:eastAsia="Book Antiqua" w:hAnsi="Book Antiqua" w:cs="Book Antiqua"/>
          <w:color w:val="000000"/>
        </w:rPr>
        <w:t>antigens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21</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Analysis of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that </w:t>
      </w:r>
      <w:r>
        <w:rPr>
          <w:rFonts w:ascii="Book Antiqua" w:eastAsia="Book Antiqua" w:hAnsi="Book Antiqua" w:cs="Book Antiqua"/>
          <w:color w:val="000000"/>
        </w:rPr>
        <w:lastRenderedPageBreak/>
        <w:t xml:space="preserve">produce IL-17 (Tc17 cells) showed that the percentage of Tc17 cells increased with tumor progression and was associated with overall survival </w:t>
      </w:r>
      <w:proofErr w:type="gramStart"/>
      <w:r>
        <w:rPr>
          <w:rFonts w:ascii="Book Antiqua" w:eastAsia="Book Antiqua" w:hAnsi="Book Antiqua" w:cs="Book Antiqua"/>
          <w:color w:val="000000"/>
        </w:rPr>
        <w:t>time</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Tc17 cells induce CXCR4-dependent chemotaxis of myeloid-derived suppressor cells and impair cytotoxic functions of anti-tumor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promoting tumor progression.</w:t>
      </w:r>
    </w:p>
    <w:p w14:paraId="3FF806F6"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Since 2008, regulatory T (Treg) cells have gained attention in association with gastric disorders owing to their involvement in immune </w:t>
      </w:r>
      <w:proofErr w:type="gramStart"/>
      <w:r>
        <w:rPr>
          <w:rFonts w:ascii="Book Antiqua" w:eastAsia="Book Antiqua" w:hAnsi="Book Antiqua" w:cs="Book Antiqua"/>
          <w:color w:val="000000"/>
        </w:rPr>
        <w:t>regulation</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9,23,24</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these studies, Tregs were defined as CD4</w:t>
      </w:r>
      <w:r>
        <w:rPr>
          <w:rFonts w:ascii="Book Antiqua" w:eastAsia="Book Antiqua" w:hAnsi="Book Antiqua" w:cs="Book Antiqua"/>
          <w:color w:val="000000"/>
          <w:szCs w:val="30"/>
          <w:vertAlign w:val="superscript"/>
        </w:rPr>
        <w:t>+</w:t>
      </w:r>
      <w:proofErr w:type="gramStart"/>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high</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24</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CD127</w:t>
      </w:r>
      <w:r>
        <w:rPr>
          <w:rFonts w:ascii="Book Antiqua" w:eastAsia="Book Antiqua" w:hAnsi="Book Antiqua" w:cs="Book Antiqua"/>
          <w:color w:val="000000"/>
          <w:szCs w:val="30"/>
          <w:vertAlign w:val="superscript"/>
        </w:rPr>
        <w:t>low/-</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23</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or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9</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Studies show that local Treg cells in gastric cancer express a suppressive cytokine profile characterized by high IL-10, low transforming growth factor-beta (TGF-β), and interferon-gamma </w:t>
      </w:r>
      <w:proofErr w:type="gramStart"/>
      <w:r>
        <w:rPr>
          <w:rFonts w:ascii="Book Antiqua" w:eastAsia="Book Antiqua" w:hAnsi="Book Antiqua" w:cs="Book Antiqua"/>
          <w:color w:val="000000"/>
        </w:rPr>
        <w:t>production</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Thus, it is believed that Tregs suppress effector T cell proliferation and contribute to gastric cancer </w:t>
      </w:r>
      <w:proofErr w:type="gramStart"/>
      <w:r>
        <w:rPr>
          <w:rFonts w:ascii="Book Antiqua" w:eastAsia="Book Antiqua" w:hAnsi="Book Antiqua" w:cs="Book Antiqua"/>
          <w:color w:val="000000"/>
        </w:rPr>
        <w:t>progression</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23</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Furthermore, increase of IL-10 secretion by Tregs was confirmed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gastric </w:t>
      </w:r>
      <w:proofErr w:type="gramStart"/>
      <w:r>
        <w:rPr>
          <w:rFonts w:ascii="Book Antiqua" w:eastAsia="Book Antiqua" w:hAnsi="Book Antiqua" w:cs="Book Antiqua"/>
          <w:color w:val="000000"/>
        </w:rPr>
        <w:t>mucosa</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24</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IL-10 inhibits IL-8 expression, activates nuclear factor kappa B in the gastric epithelium, and enhances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suggesting the participation of Tregs in gastric ulcer formation and persistent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292FE44F"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In one study, T cells expressing natural killer cell receptors, defined as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quantified in </w:t>
      </w:r>
      <w:r>
        <w:rPr>
          <w:rFonts w:ascii="Book Antiqua" w:eastAsia="Book Antiqua" w:hAnsi="Book Antiqua" w:cs="Book Antiqua"/>
          <w:i/>
          <w:iCs/>
          <w:color w:val="000000"/>
        </w:rPr>
        <w:t>H. pylori</w:t>
      </w:r>
      <w:r>
        <w:rPr>
          <w:rFonts w:ascii="Book Antiqua" w:eastAsia="Book Antiqua" w:hAnsi="Book Antiqua" w:cs="Book Antiqua"/>
          <w:color w:val="000000"/>
        </w:rPr>
        <w:t>-positive and -negative patients</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higher in the epithelium of </w:t>
      </w:r>
      <w:r>
        <w:rPr>
          <w:rFonts w:ascii="Book Antiqua" w:eastAsia="Book Antiqua" w:hAnsi="Book Antiqua" w:cs="Book Antiqua"/>
          <w:i/>
          <w:iCs/>
          <w:color w:val="000000"/>
        </w:rPr>
        <w:t>H. pylori</w:t>
      </w:r>
      <w:r>
        <w:rPr>
          <w:rFonts w:ascii="Book Antiqua" w:eastAsia="Book Antiqua" w:hAnsi="Book Antiqua" w:cs="Book Antiqua"/>
          <w:color w:val="000000"/>
        </w:rPr>
        <w:t>-infected gastric mucosa, whereas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lower in the lamina propria, indicating a site-specific distribution of T cells bearing natural killer receptors. In another study, mast cells, defined as CD45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FcεRI</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investigated in patients with gastric </w:t>
      </w:r>
      <w:proofErr w:type="gramStart"/>
      <w:r>
        <w:rPr>
          <w:rFonts w:ascii="Book Antiqua" w:eastAsia="Book Antiqua" w:hAnsi="Book Antiqua" w:cs="Book Antiqua"/>
          <w:color w:val="000000"/>
        </w:rPr>
        <w:t>cancer</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 significantly higher number of mast cells exist in gastric cancer tissues, and the mast cell levels increase with tumor progression and independently predict a reduced survival. Besides lymphocytes, tumor-infiltrating neutrophils were examined in gastric cancers by cell sorting against CD66b, which allows for the enrichment of mature </w:t>
      </w:r>
      <w:proofErr w:type="gramStart"/>
      <w:r>
        <w:rPr>
          <w:rFonts w:ascii="Book Antiqua" w:eastAsia="Book Antiqua" w:hAnsi="Book Antiqua" w:cs="Book Antiqua"/>
          <w:color w:val="000000"/>
        </w:rPr>
        <w:t>neutrophils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D56757B"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Using flow cytometry, specific lymphocyte subsets are defined based on their lineage-, developmental stage-, and function-specific cell surface markers. In addition, fluorescence-activated cell sorting technology enables diversion of individual cells from </w:t>
      </w:r>
      <w:r>
        <w:rPr>
          <w:rFonts w:ascii="Book Antiqua" w:eastAsia="Book Antiqua" w:hAnsi="Book Antiqua" w:cs="Book Antiqua"/>
          <w:color w:val="000000"/>
        </w:rPr>
        <w:lastRenderedPageBreak/>
        <w:t xml:space="preserve">the fluid stream and collection into viable, homogeneous fractions. Efficient isolation of a lymphocyte population enables characterization of the specific fractions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animal </w:t>
      </w:r>
      <w:proofErr w:type="gramStart"/>
      <w:r>
        <w:rPr>
          <w:rFonts w:ascii="Book Antiqua" w:eastAsia="Book Antiqua" w:hAnsi="Book Antiqua" w:cs="Book Antiqua"/>
          <w:color w:val="000000"/>
        </w:rPr>
        <w:t>studies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6,9,15</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More recently, mass cytometry and single-cell RNA sequencing are available. These cutting-edge technologies may reveal distinct immune cell signatures of gastric disorders, such as gastric cancers and </w:t>
      </w:r>
      <w:r>
        <w:rPr>
          <w:rFonts w:ascii="Book Antiqua" w:eastAsia="Book Antiqua" w:hAnsi="Book Antiqua" w:cs="Book Antiqua"/>
          <w:i/>
          <w:iCs/>
          <w:color w:val="000000"/>
        </w:rPr>
        <w:t>H. pylori</w:t>
      </w:r>
      <w:r>
        <w:rPr>
          <w:rFonts w:ascii="Book Antiqua" w:eastAsia="Book Antiqua" w:hAnsi="Book Antiqua" w:cs="Book Antiqua"/>
          <w:color w:val="000000"/>
        </w:rPr>
        <w:t>-related peptic diseases.</w:t>
      </w:r>
    </w:p>
    <w:p w14:paraId="68E5ADCC" w14:textId="77777777" w:rsidR="00A77B3E" w:rsidRDefault="00A77B3E" w:rsidP="00522CA5">
      <w:pPr>
        <w:spacing w:line="360" w:lineRule="auto"/>
        <w:jc w:val="both"/>
        <w:rPr>
          <w:lang w:eastAsia="zh-CN"/>
        </w:rPr>
      </w:pPr>
    </w:p>
    <w:p w14:paraId="4E495B34" w14:textId="77777777" w:rsidR="00A77B3E" w:rsidRDefault="009D63A8">
      <w:pPr>
        <w:spacing w:line="360" w:lineRule="auto"/>
        <w:jc w:val="both"/>
      </w:pPr>
      <w:r>
        <w:rPr>
          <w:rFonts w:ascii="Book Antiqua" w:eastAsia="Book Antiqua" w:hAnsi="Book Antiqua" w:cs="Book Antiqua"/>
          <w:b/>
          <w:bCs/>
          <w:caps/>
          <w:color w:val="000000"/>
          <w:u w:val="single"/>
        </w:rPr>
        <w:t>Diagnosis of gastric lymphoma</w:t>
      </w:r>
    </w:p>
    <w:p w14:paraId="6F3CA989" w14:textId="77777777" w:rsidR="00A77B3E" w:rsidRPr="00A23F81" w:rsidRDefault="009D63A8">
      <w:pPr>
        <w:spacing w:line="360" w:lineRule="auto"/>
        <w:jc w:val="both"/>
      </w:pPr>
      <w:r>
        <w:rPr>
          <w:rFonts w:ascii="Book Antiqua" w:eastAsia="Book Antiqua" w:hAnsi="Book Antiqua" w:cs="Book Antiqua"/>
          <w:color w:val="000000"/>
        </w:rPr>
        <w:t xml:space="preserve">In addition to the aforementioned technologies of evaluating gastric diseases, flow cytometry has been used for the diagnosis of lymphoma of the stomach. Flow cytometry is a rapid and practical diagnostic tool for B-cell lymphoma. Analysis of the distribution of surface immunoglobulin light chain kappa and lambda using flow cytometry offers evidence for the monoclonality of B-cell neoplasms because these lymphomas that typically arise from an expansion of a B-cell clone expressing only one class of immunoglobulin light chain, either a kappa or lambda chain. Thus, isolation of lymphocytes from the gastric mucosa and detection of monoclonality using flow cytometry lead to the prompt diagnosis of lymphoma of the stomach. This approach may be particularly useful for the detection and therapeutic monitoring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marginal zone lymphoma of mucosa-associated lymphoid tissue (MALT lymphoma), which is the most common non-Hodgkin lymphoma subtype arising in the </w:t>
      </w:r>
      <w:proofErr w:type="gramStart"/>
      <w:r>
        <w:rPr>
          <w:rFonts w:ascii="Book Antiqua" w:eastAsia="Book Antiqua" w:hAnsi="Book Antiqua" w:cs="Book Antiqua"/>
          <w:color w:val="000000"/>
        </w:rPr>
        <w:t>stomach</w:t>
      </w:r>
      <w:r w:rsidR="00A23F81"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68</w:t>
      </w:r>
      <w:r w:rsidR="00A23F8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70</w:t>
      </w:r>
      <w:r w:rsidR="00A23F81">
        <w:rPr>
          <w:rFonts w:ascii="Book Antiqua" w:hAnsi="Book Antiqua" w:cs="Book Antiqua" w:hint="eastAsia"/>
          <w:color w:val="000000"/>
          <w:vertAlign w:val="superscript"/>
          <w:lang w:eastAsia="zh-CN"/>
        </w:rPr>
        <w:t>]</w:t>
      </w:r>
      <w:r w:rsidR="00A23F81">
        <w:rPr>
          <w:rFonts w:ascii="Book Antiqua" w:hAnsi="Book Antiqua" w:cs="Book Antiqua" w:hint="eastAsia"/>
          <w:color w:val="000000"/>
          <w:lang w:eastAsia="zh-CN"/>
        </w:rPr>
        <w:t>.</w:t>
      </w:r>
    </w:p>
    <w:p w14:paraId="0540F033" w14:textId="77777777" w:rsidR="00A77B3E" w:rsidRDefault="009D63A8" w:rsidP="00A23F81">
      <w:pPr>
        <w:spacing w:line="360" w:lineRule="auto"/>
        <w:ind w:firstLineChars="100" w:firstLine="240"/>
        <w:jc w:val="both"/>
      </w:pPr>
      <w:r>
        <w:rPr>
          <w:rFonts w:ascii="Book Antiqua" w:eastAsia="Book Antiqua" w:hAnsi="Book Antiqua" w:cs="Book Antiqua"/>
          <w:color w:val="000000"/>
        </w:rPr>
        <w:t xml:space="preserve">We have reported the utility of a single-step lymphocyte isolation procedure from an endoscopic biopsy specimen, which is described above, for the diagnosis of gastrointestinal </w:t>
      </w:r>
      <w:proofErr w:type="gramStart"/>
      <w:r>
        <w:rPr>
          <w:rFonts w:ascii="Book Antiqua" w:eastAsia="Book Antiqua" w:hAnsi="Book Antiqua" w:cs="Book Antiqua"/>
          <w:color w:val="000000"/>
        </w:rPr>
        <w:t>lymphoma</w:t>
      </w:r>
      <w:r w:rsidR="00A23F81"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67,71</w:t>
      </w:r>
      <w:r w:rsidR="00A23F81">
        <w:rPr>
          <w:rFonts w:ascii="Book Antiqua" w:hAnsi="Book Antiqua" w:cs="Book Antiqua" w:hint="eastAsia"/>
          <w:color w:val="000000"/>
          <w:szCs w:val="30"/>
          <w:vertAlign w:val="superscript"/>
          <w:lang w:eastAsia="zh-CN"/>
        </w:rPr>
        <w:t>]</w:t>
      </w:r>
      <w:r w:rsidR="00A23F81">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Our previous study included patients with gastric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marginal zone MALT lymphoma (</w:t>
      </w:r>
      <w:r>
        <w:rPr>
          <w:rFonts w:ascii="Book Antiqua" w:eastAsia="Book Antiqua" w:hAnsi="Book Antiqua" w:cs="Book Antiqua"/>
          <w:i/>
          <w:iCs/>
          <w:color w:val="000000"/>
        </w:rPr>
        <w:t>n</w:t>
      </w:r>
      <w:r>
        <w:rPr>
          <w:rFonts w:ascii="Book Antiqua" w:eastAsia="Book Antiqua" w:hAnsi="Book Antiqua" w:cs="Book Antiqua"/>
          <w:color w:val="000000"/>
        </w:rPr>
        <w:t xml:space="preserve"> = 8), duodenal follicular lymphoma (grade 1; </w:t>
      </w:r>
      <w:r>
        <w:rPr>
          <w:rFonts w:ascii="Book Antiqua" w:eastAsia="Book Antiqua" w:hAnsi="Book Antiqua" w:cs="Book Antiqua"/>
          <w:i/>
          <w:iCs/>
          <w:color w:val="000000"/>
        </w:rPr>
        <w:t>n</w:t>
      </w:r>
      <w:r>
        <w:rPr>
          <w:rFonts w:ascii="Book Antiqua" w:eastAsia="Book Antiqua" w:hAnsi="Book Antiqua" w:cs="Book Antiqua"/>
          <w:color w:val="000000"/>
        </w:rPr>
        <w:t xml:space="preserve"> = 5), and benign lymphoid hyperplasia (ileum,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rectum, </w:t>
      </w:r>
      <w:r>
        <w:rPr>
          <w:rFonts w:ascii="Book Antiqua" w:eastAsia="Book Antiqua" w:hAnsi="Book Antiqua" w:cs="Book Antiqua"/>
          <w:i/>
          <w:iCs/>
          <w:color w:val="000000"/>
        </w:rPr>
        <w:t>n</w:t>
      </w:r>
      <w:r>
        <w:rPr>
          <w:rFonts w:ascii="Book Antiqua" w:eastAsia="Book Antiqua" w:hAnsi="Book Antiqua" w:cs="Book Antiqua"/>
          <w:color w:val="000000"/>
        </w:rPr>
        <w:t xml:space="preserve"> = 1). Lymphocytes were successfully isolated from 14 (93.3%) patients. The sensitivity and specificity of flow cytometric analysis of immunoglobulin light chain expression for the diagnosis of B-cell lymphoma were 83.3% and 100%, respectively. These results suggest </w:t>
      </w:r>
      <w:r>
        <w:rPr>
          <w:rFonts w:ascii="Book Antiqua" w:eastAsia="Book Antiqua" w:hAnsi="Book Antiqua" w:cs="Book Antiqua"/>
          <w:color w:val="000000"/>
        </w:rPr>
        <w:lastRenderedPageBreak/>
        <w:t>that a single endoscopic biopsy specimen contains enough lymphocytes for flow cytometric analysis and can be used for the diagnosis of gastrointestinal lymphoma.</w:t>
      </w:r>
    </w:p>
    <w:p w14:paraId="274B78B8" w14:textId="77777777" w:rsidR="00A77B3E" w:rsidRDefault="00A77B3E">
      <w:pPr>
        <w:spacing w:line="360" w:lineRule="auto"/>
        <w:jc w:val="both"/>
      </w:pPr>
    </w:p>
    <w:p w14:paraId="1562FA6C" w14:textId="77777777" w:rsidR="00A77B3E" w:rsidRDefault="009D63A8">
      <w:pPr>
        <w:spacing w:line="360" w:lineRule="auto"/>
        <w:jc w:val="both"/>
      </w:pPr>
      <w:r>
        <w:rPr>
          <w:rFonts w:ascii="Book Antiqua" w:eastAsia="Book Antiqua" w:hAnsi="Book Antiqua" w:cs="Book Antiqua"/>
          <w:b/>
          <w:caps/>
          <w:color w:val="000000"/>
          <w:u w:val="single"/>
        </w:rPr>
        <w:t>CONCLUSION</w:t>
      </w:r>
    </w:p>
    <w:p w14:paraId="112DB0F8" w14:textId="77777777" w:rsidR="00A77B3E" w:rsidRDefault="009D63A8" w:rsidP="00A23F81">
      <w:pPr>
        <w:spacing w:line="360" w:lineRule="auto"/>
        <w:jc w:val="both"/>
      </w:pPr>
      <w:r>
        <w:rPr>
          <w:rFonts w:ascii="Book Antiqua" w:eastAsia="Book Antiqua" w:hAnsi="Book Antiqua" w:cs="Book Antiqua"/>
          <w:color w:val="000000"/>
        </w:rPr>
        <w:t>In this review, we provided methodologies for lymphocyte isolation from the gastric mucosa that are reported in the literature. We also described the history and current trends of lymphocyte analysis in the stomach. Owing to the multicolor analysis that accurately defines the surface antigen profile of specific lymphocyte populations, flow cytometry will continue to be a powerful tool for revealing the pathogenesis of gastric disorders. We believe that the methodologies described herein will provide a better understanding of the application of flow cytometry.</w:t>
      </w:r>
    </w:p>
    <w:p w14:paraId="20EAC242" w14:textId="77777777" w:rsidR="00A77B3E" w:rsidRDefault="00A77B3E" w:rsidP="00A23F81">
      <w:pPr>
        <w:spacing w:line="360" w:lineRule="auto"/>
        <w:jc w:val="both"/>
        <w:rPr>
          <w:lang w:eastAsia="zh-CN"/>
        </w:rPr>
      </w:pPr>
    </w:p>
    <w:p w14:paraId="692B1F3D" w14:textId="77777777" w:rsidR="00A77B3E" w:rsidRDefault="009D63A8" w:rsidP="00A23F81">
      <w:pPr>
        <w:spacing w:line="360" w:lineRule="auto"/>
        <w:jc w:val="both"/>
      </w:pPr>
      <w:r>
        <w:rPr>
          <w:rFonts w:ascii="Book Antiqua" w:eastAsia="Book Antiqua" w:hAnsi="Book Antiqua" w:cs="Book Antiqua"/>
          <w:b/>
          <w:color w:val="000000"/>
        </w:rPr>
        <w:t>REFERENCES</w:t>
      </w:r>
    </w:p>
    <w:p w14:paraId="365A4904" w14:textId="77777777" w:rsidR="00A77B3E" w:rsidRDefault="009D63A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Fenton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Niss</w:t>
      </w:r>
      <w:proofErr w:type="spellEnd"/>
      <w:r>
        <w:rPr>
          <w:rFonts w:ascii="Book Antiqua" w:eastAsia="Book Antiqua" w:hAnsi="Book Antiqua" w:cs="Book Antiqua"/>
          <w:color w:val="000000"/>
        </w:rPr>
        <w:t xml:space="preserve"> K, Rubin SJS, </w:t>
      </w:r>
      <w:proofErr w:type="spellStart"/>
      <w:r>
        <w:rPr>
          <w:rFonts w:ascii="Book Antiqua" w:eastAsia="Book Antiqua" w:hAnsi="Book Antiqua" w:cs="Book Antiqua"/>
          <w:color w:val="000000"/>
        </w:rPr>
        <w:t>Mörbe</w:t>
      </w:r>
      <w:proofErr w:type="spellEnd"/>
      <w:r>
        <w:rPr>
          <w:rFonts w:ascii="Book Antiqua" w:eastAsia="Book Antiqua" w:hAnsi="Book Antiqua" w:cs="Book Antiqua"/>
          <w:color w:val="000000"/>
        </w:rPr>
        <w:t xml:space="preserve"> UM, Riis LB, Da Silva C, Plumb A, </w:t>
      </w:r>
      <w:proofErr w:type="spellStart"/>
      <w:r>
        <w:rPr>
          <w:rFonts w:ascii="Book Antiqua" w:eastAsia="Book Antiqua" w:hAnsi="Book Antiqua" w:cs="Book Antiqua"/>
          <w:color w:val="000000"/>
        </w:rPr>
        <w:t>Vandamme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Nielsen OH, Johansson-</w:t>
      </w:r>
      <w:proofErr w:type="spellStart"/>
      <w:r>
        <w:rPr>
          <w:rFonts w:ascii="Book Antiqua" w:eastAsia="Book Antiqua" w:hAnsi="Book Antiqua" w:cs="Book Antiqua"/>
          <w:color w:val="000000"/>
        </w:rPr>
        <w:t>Lindbom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Agace</w:t>
      </w:r>
      <w:proofErr w:type="spellEnd"/>
      <w:r>
        <w:rPr>
          <w:rFonts w:ascii="Book Antiqua" w:eastAsia="Book Antiqua" w:hAnsi="Book Antiqua" w:cs="Book Antiqua"/>
          <w:color w:val="000000"/>
        </w:rPr>
        <w:t xml:space="preserve"> WW. Immune Profiling of Human Gut-Associated Lymphoid Tissue Identifies a Role for Isolated Lymphoid Follicles in Priming of Region-Specific Immunity.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557-570.e6 [PMID: 32160523 DOI: 10.1016/j.immuni.2020.02.001]</w:t>
      </w:r>
    </w:p>
    <w:p w14:paraId="40B000D6" w14:textId="77777777" w:rsidR="00A77B3E" w:rsidRDefault="009D63A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Zhao Y, Wang X, Chen N, Mao F, Teng Y, Wang T, Peng L, Zhang J, Cheng P, Liu Y, Kong H, Chen W, Hao C, Han B, Ma Q, Zou Q, Chen J, Zhuang Y. Increased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mast cells foster immune suppression and gastric cancer progression through TNF-α-PD-L1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54 [PMID: 30808413 DOI: 10.1186/s40425-019-0530-3]</w:t>
      </w:r>
    </w:p>
    <w:p w14:paraId="3B1CD82D" w14:textId="77777777" w:rsidR="00A77B3E" w:rsidRDefault="009D63A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Bagheri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Abbaszadegan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Memar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Motie</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Asadi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Mahmoudian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Gholamin</w:t>
      </w:r>
      <w:proofErr w:type="spellEnd"/>
      <w:r>
        <w:rPr>
          <w:rFonts w:ascii="Book Antiqua" w:eastAsia="Book Antiqua" w:hAnsi="Book Antiqua" w:cs="Book Antiqua"/>
          <w:color w:val="000000"/>
        </w:rPr>
        <w:t xml:space="preserve"> M. Induction of T cell-mediated immune response by dendritic cells pulsed with mRNA of sphere-forming cells isolated from patients with gastric cancer.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219</w:t>
      </w:r>
      <w:r>
        <w:rPr>
          <w:rFonts w:ascii="Book Antiqua" w:eastAsia="Book Antiqua" w:hAnsi="Book Antiqua" w:cs="Book Antiqua"/>
          <w:color w:val="000000"/>
        </w:rPr>
        <w:t>: 136-143 [PMID: 30641083 DOI: 10.1016/j.lfs.2019.01.016]</w:t>
      </w:r>
    </w:p>
    <w:p w14:paraId="5C9E064B" w14:textId="77777777" w:rsidR="00A77B3E" w:rsidRDefault="009D63A8">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Martins MR</w:t>
      </w:r>
      <w:r>
        <w:rPr>
          <w:rFonts w:ascii="Book Antiqua" w:eastAsia="Book Antiqua" w:hAnsi="Book Antiqua" w:cs="Book Antiqua"/>
          <w:color w:val="000000"/>
        </w:rPr>
        <w:t xml:space="preserve">, Santos RLD, </w:t>
      </w:r>
      <w:proofErr w:type="spellStart"/>
      <w:r>
        <w:rPr>
          <w:rFonts w:ascii="Book Antiqua" w:eastAsia="Book Antiqua" w:hAnsi="Book Antiqua" w:cs="Book Antiqua"/>
          <w:color w:val="000000"/>
        </w:rPr>
        <w:t>Jatahy</w:t>
      </w:r>
      <w:proofErr w:type="spellEnd"/>
      <w:r>
        <w:rPr>
          <w:rFonts w:ascii="Book Antiqua" w:eastAsia="Book Antiqua" w:hAnsi="Book Antiqua" w:cs="Book Antiqua"/>
          <w:color w:val="000000"/>
        </w:rPr>
        <w:t xml:space="preserve"> KDN, </w:t>
      </w:r>
      <w:proofErr w:type="spellStart"/>
      <w:r>
        <w:rPr>
          <w:rFonts w:ascii="Book Antiqua" w:eastAsia="Book Antiqua" w:hAnsi="Book Antiqua" w:cs="Book Antiqua"/>
          <w:color w:val="000000"/>
        </w:rPr>
        <w:t>Matta</w:t>
      </w:r>
      <w:proofErr w:type="spellEnd"/>
      <w:r>
        <w:rPr>
          <w:rFonts w:ascii="Book Antiqua" w:eastAsia="Book Antiqua" w:hAnsi="Book Antiqua" w:cs="Book Antiqua"/>
          <w:color w:val="000000"/>
        </w:rPr>
        <w:t xml:space="preserve"> MCD, Batista TP, </w:t>
      </w:r>
      <w:proofErr w:type="spellStart"/>
      <w:r>
        <w:rPr>
          <w:rFonts w:ascii="Book Antiqua" w:eastAsia="Book Antiqua" w:hAnsi="Book Antiqua" w:cs="Book Antiqua"/>
          <w:color w:val="000000"/>
        </w:rPr>
        <w:t>Júnior</w:t>
      </w:r>
      <w:proofErr w:type="spellEnd"/>
      <w:r>
        <w:rPr>
          <w:rFonts w:ascii="Book Antiqua" w:eastAsia="Book Antiqua" w:hAnsi="Book Antiqua" w:cs="Book Antiqua"/>
          <w:color w:val="000000"/>
        </w:rPr>
        <w:t xml:space="preserve"> JIC, </w:t>
      </w:r>
      <w:proofErr w:type="spellStart"/>
      <w:r>
        <w:rPr>
          <w:rFonts w:ascii="Book Antiqua" w:eastAsia="Book Antiqua" w:hAnsi="Book Antiqua" w:cs="Book Antiqua"/>
          <w:color w:val="000000"/>
        </w:rPr>
        <w:t>Begnami</w:t>
      </w:r>
      <w:proofErr w:type="spellEnd"/>
      <w:r>
        <w:rPr>
          <w:rFonts w:ascii="Book Antiqua" w:eastAsia="Book Antiqua" w:hAnsi="Book Antiqua" w:cs="Book Antiqua"/>
          <w:color w:val="000000"/>
        </w:rPr>
        <w:t xml:space="preserve"> MDFS, Torres LC. Could OX40 agonist antibody promote activation of the anti-tumor immune response in gastric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840-844 [PMID: 29529339 DOI: 10.1002/jso.25001]</w:t>
      </w:r>
    </w:p>
    <w:p w14:paraId="3564642E" w14:textId="77777777" w:rsidR="00A77B3E" w:rsidRDefault="009D63A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Zhou Y</w:t>
      </w:r>
      <w:r>
        <w:rPr>
          <w:rFonts w:ascii="Book Antiqua" w:eastAsia="Book Antiqua" w:hAnsi="Book Antiqua" w:cs="Book Antiqua"/>
          <w:color w:val="000000"/>
        </w:rPr>
        <w:t xml:space="preserve">, Guo F. A selective sphingosine-1-phosphate receptor 1 agonist SEW-2871 aggravates gastric cancer by recruiting myeloid-derived suppressor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77-83 [PMID: 29036438 DOI: 10.1093/</w:t>
      </w:r>
      <w:proofErr w:type="spellStart"/>
      <w:r>
        <w:rPr>
          <w:rFonts w:ascii="Book Antiqua" w:eastAsia="Book Antiqua" w:hAnsi="Book Antiqua" w:cs="Book Antiqua"/>
          <w:color w:val="000000"/>
        </w:rPr>
        <w:t>jb</w:t>
      </w:r>
      <w:proofErr w:type="spellEnd"/>
      <w:r>
        <w:rPr>
          <w:rFonts w:ascii="Book Antiqua" w:eastAsia="Book Antiqua" w:hAnsi="Book Antiqua" w:cs="Book Antiqua"/>
          <w:color w:val="000000"/>
        </w:rPr>
        <w:t>/mvx064]</w:t>
      </w:r>
    </w:p>
    <w:p w14:paraId="676418FE" w14:textId="77777777" w:rsidR="00A77B3E" w:rsidRDefault="009D63A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TT</w:t>
      </w:r>
      <w:r>
        <w:rPr>
          <w:rFonts w:ascii="Book Antiqua" w:eastAsia="Book Antiqua" w:hAnsi="Book Antiqua" w:cs="Book Antiqua"/>
          <w:color w:val="000000"/>
        </w:rPr>
        <w:t xml:space="preserve">, Zhao YL, Peng LS, Chen N, Chen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YP, Mao FY, Zhang JY, Cheng P, Teng YS, Fu XL, Yu PW, Guo G, Luo P, Zhuang Y, Zou QM.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-activated neutrophils in gastric cancer foster immune suppression and disease progression through GM-CSF-PD-L1 pathway.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1900-1911 [PMID: 28274999 DOI: 10.1136/gutjnl-2016-313075]</w:t>
      </w:r>
    </w:p>
    <w:p w14:paraId="061FB1C7" w14:textId="77777777" w:rsidR="00A77B3E" w:rsidRDefault="009D63A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Topliff</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Alkheraif</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Kuszynski</w:t>
      </w:r>
      <w:proofErr w:type="spellEnd"/>
      <w:r>
        <w:rPr>
          <w:rFonts w:ascii="Book Antiqua" w:eastAsia="Book Antiqua" w:hAnsi="Book Antiqua" w:cs="Book Antiqua"/>
          <w:color w:val="000000"/>
        </w:rPr>
        <w:t xml:space="preserve"> CA, Davis WC, Steffen DJ, Schmitz JA, Eskridge KM, Charleston B, </w:t>
      </w:r>
      <w:proofErr w:type="spellStart"/>
      <w:r>
        <w:rPr>
          <w:rFonts w:ascii="Book Antiqua" w:eastAsia="Book Antiqua" w:hAnsi="Book Antiqua" w:cs="Book Antiqua"/>
          <w:color w:val="000000"/>
        </w:rPr>
        <w:t>Henningson</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Kelling</w:t>
      </w:r>
      <w:proofErr w:type="spellEnd"/>
      <w:r>
        <w:rPr>
          <w:rFonts w:ascii="Book Antiqua" w:eastAsia="Book Antiqua" w:hAnsi="Book Antiqua" w:cs="Book Antiqua"/>
          <w:color w:val="000000"/>
        </w:rPr>
        <w:t xml:space="preserve"> CL. Experimental acute infection of alpacas with Bovine viral diarrhea virus 1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b alters peripheral blood and GALT leukocyte subsets. </w:t>
      </w:r>
      <w:r>
        <w:rPr>
          <w:rFonts w:ascii="Book Antiqua" w:eastAsia="Book Antiqua" w:hAnsi="Book Antiqua" w:cs="Book Antiqua"/>
          <w:i/>
          <w:iCs/>
          <w:color w:val="000000"/>
        </w:rPr>
        <w:t>J Vet Diagn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186-192 [PMID: 28166712 DOI: 10.1177/1040638717690015]</w:t>
      </w:r>
    </w:p>
    <w:p w14:paraId="08F3C92E" w14:textId="16FC5174" w:rsidR="00A77B3E" w:rsidRDefault="009D63A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Hou M</w:t>
      </w:r>
      <w:r>
        <w:rPr>
          <w:rFonts w:ascii="Book Antiqua" w:eastAsia="Book Antiqua" w:hAnsi="Book Antiqua" w:cs="Book Antiqua"/>
          <w:color w:val="000000"/>
        </w:rPr>
        <w:t xml:space="preserve">, Zhou NB, Li H, Wang BS, Wang XQ, Wang XW, Wang KG,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FS. Morphine and ketamine inhibit immune function of gastric cancer patients by increasing percentage of </w:t>
      </w:r>
      <w:proofErr w:type="gramStart"/>
      <w:r>
        <w:rPr>
          <w:rFonts w:ascii="Book Antiqua" w:eastAsia="Book Antiqua" w:hAnsi="Book Antiqua" w:cs="Book Antiqua"/>
          <w:color w:val="000000"/>
        </w:rPr>
        <w:t>CD4(</w:t>
      </w:r>
      <w:proofErr w:type="gramEnd"/>
      <w:r>
        <w:rPr>
          <w:rFonts w:ascii="Book Antiqua" w:eastAsia="Book Antiqua" w:hAnsi="Book Antiqua" w:cs="Book Antiqua"/>
          <w:color w:val="000000"/>
        </w:rPr>
        <w:t>+)CD25(+)Foxp3(+) regulatory T</w:t>
      </w:r>
      <w:r w:rsidR="00737E49">
        <w:rPr>
          <w:rFonts w:ascii="Book Antiqua" w:hAnsi="Book Antiqua" w:cs="Book Antiqua" w:hint="eastAsia"/>
          <w:color w:val="000000"/>
          <w:lang w:eastAsia="zh-CN"/>
        </w:rPr>
        <w:t xml:space="preserve"> </w:t>
      </w:r>
      <w:r>
        <w:rPr>
          <w:rFonts w:ascii="Book Antiqua" w:eastAsia="Book Antiqua" w:hAnsi="Book Antiqua" w:cs="Book Antiqua"/>
          <w:color w:val="000000"/>
        </w:rPr>
        <w:t>cells in</w:t>
      </w:r>
      <w:r w:rsidR="00737E4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vitro.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306-312 [PMID: 27363637 DOI: 10.1016/j.jss.2016.02.031]</w:t>
      </w:r>
    </w:p>
    <w:p w14:paraId="0B79B1CC" w14:textId="77777777" w:rsidR="00A77B3E" w:rsidRDefault="009D63A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Kindlund</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Sjöling</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Yakkala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Adamsson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Janzon</w:t>
      </w:r>
      <w:proofErr w:type="spellEnd"/>
      <w:r>
        <w:rPr>
          <w:rFonts w:ascii="Book Antiqua" w:eastAsia="Book Antiqua" w:hAnsi="Book Antiqua" w:cs="Book Antiqua"/>
          <w:color w:val="000000"/>
        </w:rPr>
        <w:t xml:space="preserve"> A, Hansson LE, </w:t>
      </w:r>
      <w:proofErr w:type="spellStart"/>
      <w:r>
        <w:rPr>
          <w:rFonts w:ascii="Book Antiqua" w:eastAsia="Book Antiqua" w:hAnsi="Book Antiqua" w:cs="Book Antiqua"/>
          <w:color w:val="000000"/>
        </w:rPr>
        <w:t>Hermansson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Winqvist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Lundin</w:t>
      </w:r>
      <w:proofErr w:type="spellEnd"/>
      <w:r>
        <w:rPr>
          <w:rFonts w:ascii="Book Antiqua" w:eastAsia="Book Antiqua" w:hAnsi="Book Antiqua" w:cs="Book Antiqua"/>
          <w:color w:val="000000"/>
        </w:rPr>
        <w:t xml:space="preserve"> SB.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regulatory T cells in gastric cancer mucosa are proliferating and express high levels of IL-10 but little TGF-β.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116-125 [PMID: 26782287 DOI: 10.1007/s10120-015-0591-z]</w:t>
      </w:r>
    </w:p>
    <w:p w14:paraId="56A6888B" w14:textId="77777777" w:rsidR="00A77B3E" w:rsidRDefault="009D63A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Bashir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Prietl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Tauschmann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Mautner</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Kump</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Treiber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Wurm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Gorkiewicz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Högenauer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Pieber</w:t>
      </w:r>
      <w:proofErr w:type="spellEnd"/>
      <w:r>
        <w:rPr>
          <w:rFonts w:ascii="Book Antiqua" w:eastAsia="Book Antiqua" w:hAnsi="Book Antiqua" w:cs="Book Antiqua"/>
          <w:color w:val="000000"/>
        </w:rPr>
        <w:t xml:space="preserve"> TR. Effects of high doses of vitamin D3 on mucosa-associated gut microbiome vary between regions of the human gastrointestinal tract.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1479-1489 [PMID: 26130323 DOI: 10.1007/s00394-015-0966-2]</w:t>
      </w:r>
    </w:p>
    <w:p w14:paraId="4DD1277E" w14:textId="77777777" w:rsidR="00A77B3E" w:rsidRDefault="009D63A8">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Yang J, Jiang J, Zhuang Y, He W. Function and subsets of dendritic cells and natural killer cells were decreased in gastric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8304-8311 [PMID: 25550889]</w:t>
      </w:r>
    </w:p>
    <w:p w14:paraId="6BE4F54C" w14:textId="77777777" w:rsidR="00A77B3E" w:rsidRDefault="009D63A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Sparks D</w:t>
      </w:r>
      <w:r>
        <w:rPr>
          <w:rFonts w:ascii="Book Antiqua" w:eastAsia="Book Antiqua" w:hAnsi="Book Antiqua" w:cs="Book Antiqua"/>
          <w:color w:val="000000"/>
        </w:rPr>
        <w:t xml:space="preserve">, Bhalla A, Dodge J, </w:t>
      </w:r>
      <w:proofErr w:type="spellStart"/>
      <w:r>
        <w:rPr>
          <w:rFonts w:ascii="Book Antiqua" w:eastAsia="Book Antiqua" w:hAnsi="Book Antiqua" w:cs="Book Antiqua"/>
          <w:color w:val="000000"/>
        </w:rPr>
        <w:t>Saldinger</w:t>
      </w:r>
      <w:proofErr w:type="spellEnd"/>
      <w:r>
        <w:rPr>
          <w:rFonts w:ascii="Book Antiqua" w:eastAsia="Book Antiqua" w:hAnsi="Book Antiqua" w:cs="Book Antiqua"/>
          <w:color w:val="000000"/>
        </w:rPr>
        <w:t xml:space="preserve"> P. Isolated gastric </w:t>
      </w:r>
      <w:proofErr w:type="spellStart"/>
      <w:r>
        <w:rPr>
          <w:rFonts w:ascii="Book Antiqua" w:eastAsia="Book Antiqua" w:hAnsi="Book Antiqua" w:cs="Book Antiqua"/>
          <w:color w:val="000000"/>
        </w:rPr>
        <w:t>amyloidoma</w:t>
      </w:r>
      <w:proofErr w:type="spellEnd"/>
      <w:r>
        <w:rPr>
          <w:rFonts w:ascii="Book Antiqua" w:eastAsia="Book Antiqua" w:hAnsi="Book Antiqua" w:cs="Book Antiqua"/>
          <w:color w:val="000000"/>
        </w:rPr>
        <w:t xml:space="preserve"> in the setting of marginal zone MALT lymphoma: case report and review of the literature. </w:t>
      </w:r>
      <w:r>
        <w:rPr>
          <w:rFonts w:ascii="Book Antiqua" w:eastAsia="Book Antiqua" w:hAnsi="Book Antiqua" w:cs="Book Antiqua"/>
          <w:i/>
          <w:iCs/>
          <w:color w:val="000000"/>
        </w:rPr>
        <w:t>Conn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78</w:t>
      </w:r>
      <w:r>
        <w:rPr>
          <w:rFonts w:ascii="Book Antiqua" w:eastAsia="Book Antiqua" w:hAnsi="Book Antiqua" w:cs="Book Antiqua"/>
          <w:color w:val="000000"/>
        </w:rPr>
        <w:t>: 277-280 [PMID: 24974561]</w:t>
      </w:r>
    </w:p>
    <w:p w14:paraId="49A34D5C" w14:textId="77777777" w:rsidR="00A77B3E" w:rsidRDefault="009D63A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Odiere</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Scott ME, </w:t>
      </w:r>
      <w:proofErr w:type="spellStart"/>
      <w:r>
        <w:rPr>
          <w:rFonts w:ascii="Book Antiqua" w:eastAsia="Book Antiqua" w:hAnsi="Book Antiqua" w:cs="Book Antiqua"/>
          <w:color w:val="000000"/>
        </w:rPr>
        <w:t>Leroux</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Dzierszinski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Koski</w:t>
      </w:r>
      <w:proofErr w:type="spellEnd"/>
      <w:r>
        <w:rPr>
          <w:rFonts w:ascii="Book Antiqua" w:eastAsia="Book Antiqua" w:hAnsi="Book Antiqua" w:cs="Book Antiqua"/>
          <w:color w:val="000000"/>
        </w:rPr>
        <w:t xml:space="preserve"> KG. Maternal protein deficiency during a gastrointestinal nematode infection alters developmental profile of lymphocyte populations and selected cytokines in neonatal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143</w:t>
      </w:r>
      <w:r>
        <w:rPr>
          <w:rFonts w:ascii="Book Antiqua" w:eastAsia="Book Antiqua" w:hAnsi="Book Antiqua" w:cs="Book Antiqua"/>
          <w:color w:val="000000"/>
        </w:rPr>
        <w:t>: 100-107 [PMID: 23190758 DOI: 10.3945/jn.112.160457]</w:t>
      </w:r>
    </w:p>
    <w:p w14:paraId="18DB99DE" w14:textId="77777777" w:rsidR="00A77B3E" w:rsidRDefault="009D63A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Ruiz VE</w:t>
      </w:r>
      <w:r>
        <w:rPr>
          <w:rFonts w:ascii="Book Antiqua" w:eastAsia="Book Antiqua" w:hAnsi="Book Antiqua" w:cs="Book Antiqua"/>
          <w:color w:val="000000"/>
        </w:rPr>
        <w:t xml:space="preserve">, Sachdev M, Zhang S, Wen S, Moss SF. Isolating, immunophenotyping and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stimulation of CD4+ and CD8+ gastric lymphocytes during murine Helicobacter pylori infection. </w:t>
      </w:r>
      <w:r>
        <w:rPr>
          <w:rFonts w:ascii="Book Antiqua" w:eastAsia="Book Antiqua" w:hAnsi="Book Antiqua" w:cs="Book Antiqua"/>
          <w:i/>
          <w:iCs/>
          <w:color w:val="000000"/>
        </w:rPr>
        <w:t>J Immunol Methods</w:t>
      </w:r>
      <w:r>
        <w:rPr>
          <w:rFonts w:ascii="Book Antiqua" w:eastAsia="Book Antiqua" w:hAnsi="Book Antiqua" w:cs="Book Antiqua"/>
          <w:color w:val="000000"/>
        </w:rPr>
        <w:t xml:space="preserve"> 2012; </w:t>
      </w:r>
      <w:r>
        <w:rPr>
          <w:rFonts w:ascii="Book Antiqua" w:eastAsia="Book Antiqua" w:hAnsi="Book Antiqua" w:cs="Book Antiqua"/>
          <w:b/>
          <w:bCs/>
          <w:color w:val="000000"/>
        </w:rPr>
        <w:t>384</w:t>
      </w:r>
      <w:r>
        <w:rPr>
          <w:rFonts w:ascii="Book Antiqua" w:eastAsia="Book Antiqua" w:hAnsi="Book Antiqua" w:cs="Book Antiqua"/>
          <w:color w:val="000000"/>
        </w:rPr>
        <w:t>: 157-163 [PMID: 22814402 DOI: 10.1016/j.jim.2012.07.002]</w:t>
      </w:r>
    </w:p>
    <w:p w14:paraId="3BAA8C27" w14:textId="77777777" w:rsidR="00A77B3E" w:rsidRDefault="009D63A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Zhuang Y</w:t>
      </w:r>
      <w:r>
        <w:rPr>
          <w:rFonts w:ascii="Book Antiqua" w:eastAsia="Book Antiqua" w:hAnsi="Book Antiqua" w:cs="Book Antiqua"/>
          <w:color w:val="000000"/>
        </w:rPr>
        <w:t xml:space="preserve">, Peng LS, Zhao YL, Shi Y, Mao XH, Chen W, Pang KC, Liu XF, Liu T, Zhang JY, Zeng H, Liu KY, Guo G, Tong WD, Shi Y, Tang B, Li N, Yu S, Luo P, Zhang WJ, Lu DS, Yu PW, Zou QM. CD8(+) T cells that produce interleukin-17 regulate myeloid-derived suppressor cells and are associated with survival time of patients with gastric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951-62.e8 [PMID: 22710190 DOI: 10.1053/j.gastro.2012.06.010]</w:t>
      </w:r>
    </w:p>
    <w:p w14:paraId="18CF77FB" w14:textId="77777777" w:rsidR="00A77B3E" w:rsidRDefault="009D63A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Yoneda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Ito S, Susumu S, Matsuo M, Taniguchi K, Tajima Y,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S, Kanematsu T, Nagata Y. Immunological milieu in the peritoneal cavity at laparotomy for gastric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1470-1478 [PMID: 22509078 DOI: 10.3748/wjg.v18.i13.1470]</w:t>
      </w:r>
    </w:p>
    <w:p w14:paraId="6A3A9A6B" w14:textId="77777777" w:rsidR="00A77B3E" w:rsidRDefault="009D63A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Nishimoto T</w:t>
      </w:r>
      <w:r>
        <w:rPr>
          <w:rFonts w:ascii="Book Antiqua" w:eastAsia="Book Antiqua" w:hAnsi="Book Antiqua" w:cs="Book Antiqua"/>
          <w:color w:val="000000"/>
        </w:rPr>
        <w:t xml:space="preserve">, Satoh T, Takeuchi T, Ikeda Y, </w:t>
      </w:r>
      <w:proofErr w:type="spellStart"/>
      <w:r>
        <w:rPr>
          <w:rFonts w:ascii="Book Antiqua" w:eastAsia="Book Antiqua" w:hAnsi="Book Antiqua" w:cs="Book Antiqua"/>
          <w:color w:val="000000"/>
        </w:rPr>
        <w:t>Kuwana</w:t>
      </w:r>
      <w:proofErr w:type="spellEnd"/>
      <w:r>
        <w:rPr>
          <w:rFonts w:ascii="Book Antiqua" w:eastAsia="Book Antiqua" w:hAnsi="Book Antiqua" w:cs="Book Antiqua"/>
          <w:color w:val="000000"/>
        </w:rPr>
        <w:t xml:space="preserve"> M. Critical role of </w:t>
      </w:r>
      <w:proofErr w:type="gramStart"/>
      <w:r>
        <w:rPr>
          <w:rFonts w:ascii="Book Antiqua" w:eastAsia="Book Antiqua" w:hAnsi="Book Antiqua" w:cs="Book Antiqua"/>
          <w:color w:val="000000"/>
        </w:rPr>
        <w:t>CD4(</w:t>
      </w:r>
      <w:proofErr w:type="gramEnd"/>
      <w:r>
        <w:rPr>
          <w:rFonts w:ascii="Book Antiqua" w:eastAsia="Book Antiqua" w:hAnsi="Book Antiqua" w:cs="Book Antiqua"/>
          <w:color w:val="000000"/>
        </w:rPr>
        <w:t xml:space="preserve">+)CD25(+) regulatory T cells in preventing murine autoantibody-mediated thrombocytopenia.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279-289 [PMID: 22240606 DOI: 10.1016/j.exphem.2012.01.001]</w:t>
      </w:r>
    </w:p>
    <w:p w14:paraId="6542EA96" w14:textId="77777777" w:rsidR="00A77B3E" w:rsidRDefault="009D63A8">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Lulla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Bandeali</w:t>
      </w:r>
      <w:proofErr w:type="spellEnd"/>
      <w:r>
        <w:rPr>
          <w:rFonts w:ascii="Book Antiqua" w:eastAsia="Book Antiqua" w:hAnsi="Book Antiqua" w:cs="Book Antiqua"/>
          <w:color w:val="000000"/>
        </w:rPr>
        <w:t xml:space="preserve"> S, Baker K. Fatal </w:t>
      </w:r>
      <w:proofErr w:type="spellStart"/>
      <w:r>
        <w:rPr>
          <w:rFonts w:ascii="Book Antiqua" w:eastAsia="Book Antiqua" w:hAnsi="Book Antiqua" w:cs="Book Antiqua"/>
          <w:color w:val="000000"/>
        </w:rPr>
        <w:t>paraneoplastic</w:t>
      </w:r>
      <w:proofErr w:type="spellEnd"/>
      <w:r>
        <w:rPr>
          <w:rFonts w:ascii="Book Antiqua" w:eastAsia="Book Antiqua" w:hAnsi="Book Antiqua" w:cs="Book Antiqua"/>
          <w:color w:val="000000"/>
        </w:rPr>
        <w:t xml:space="preserve"> systemic </w:t>
      </w:r>
      <w:proofErr w:type="spellStart"/>
      <w:r>
        <w:rPr>
          <w:rFonts w:ascii="Book Antiqua" w:eastAsia="Book Antiqua" w:hAnsi="Book Antiqua" w:cs="Book Antiqua"/>
          <w:color w:val="000000"/>
        </w:rPr>
        <w:t>leukocytoclastic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vasculitis</w:t>
      </w:r>
      <w:proofErr w:type="spellEnd"/>
      <w:r>
        <w:rPr>
          <w:rFonts w:ascii="Book Antiqua" w:eastAsia="Book Antiqua" w:hAnsi="Book Antiqua" w:cs="Book Antiqua"/>
          <w:color w:val="000000"/>
        </w:rPr>
        <w:t xml:space="preserve"> as a presenting feature of chronic lymphocytic leukemia.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Lymphoma Myeloma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11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S14-S16 [PMID: 22035741 DOI: 10.1016/j.clml.2011.03.030]</w:t>
      </w:r>
    </w:p>
    <w:p w14:paraId="532E7606" w14:textId="77777777" w:rsidR="00A77B3E" w:rsidRDefault="009D63A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Modi N</w:t>
      </w:r>
      <w:r>
        <w:rPr>
          <w:rFonts w:ascii="Book Antiqua" w:eastAsia="Book Antiqua" w:hAnsi="Book Antiqua" w:cs="Book Antiqua"/>
          <w:color w:val="000000"/>
        </w:rPr>
        <w:t xml:space="preserve">, Gulati N, Solomon K, Monaghan T, Robins A, Sewell HF, </w:t>
      </w:r>
      <w:proofErr w:type="spellStart"/>
      <w:r>
        <w:rPr>
          <w:rFonts w:ascii="Book Antiqua" w:eastAsia="Book Antiqua" w:hAnsi="Book Antiqua" w:cs="Book Antiqua"/>
          <w:color w:val="000000"/>
        </w:rPr>
        <w:t>Mahida</w:t>
      </w:r>
      <w:proofErr w:type="spellEnd"/>
      <w:r>
        <w:rPr>
          <w:rFonts w:ascii="Book Antiqua" w:eastAsia="Book Antiqua" w:hAnsi="Book Antiqua" w:cs="Book Antiqua"/>
          <w:color w:val="000000"/>
        </w:rPr>
        <w:t xml:space="preserve"> YR. Differential binding and internalization of Clostridium difficile toxin A by human peripheral blood monocytes, neutrophils and lymphocytes.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264-271 [PMID: 21595735 DOI: 10.1111/j.1365-3083.2011.02578.x]</w:t>
      </w:r>
    </w:p>
    <w:p w14:paraId="3872B5D9" w14:textId="77777777" w:rsidR="00A77B3E" w:rsidRDefault="009D63A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Becher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Deutscher</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Simpfendorfer</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Wijburg</w:t>
      </w:r>
      <w:proofErr w:type="spellEnd"/>
      <w:r>
        <w:rPr>
          <w:rFonts w:ascii="Book Antiqua" w:eastAsia="Book Antiqua" w:hAnsi="Book Antiqua" w:cs="Book Antiqua"/>
          <w:color w:val="000000"/>
        </w:rPr>
        <w:t xml:space="preserve"> OL, Pederson JS, Lew AM, </w:t>
      </w:r>
      <w:proofErr w:type="spellStart"/>
      <w:r>
        <w:rPr>
          <w:rFonts w:ascii="Book Antiqua" w:eastAsia="Book Antiqua" w:hAnsi="Book Antiqua" w:cs="Book Antiqua"/>
          <w:color w:val="000000"/>
        </w:rPr>
        <w:t>Strugnell</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Walduck</w:t>
      </w:r>
      <w:proofErr w:type="spellEnd"/>
      <w:r>
        <w:rPr>
          <w:rFonts w:ascii="Book Antiqua" w:eastAsia="Book Antiqua" w:hAnsi="Book Antiqua" w:cs="Book Antiqua"/>
          <w:color w:val="000000"/>
        </w:rPr>
        <w:t xml:space="preserve"> AK. Local recall responses in the stomach involving reduced regulation and expanded help mediate vaccine-induced protection against Helicobacter pylori in mice.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2778-2790 [PMID: 21038469 DOI: 10.1002/eji.200940219]</w:t>
      </w:r>
    </w:p>
    <w:p w14:paraId="23B70E5D" w14:textId="77777777" w:rsidR="00A77B3E" w:rsidRDefault="009D63A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Amedei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Niccolai</w:t>
      </w:r>
      <w:proofErr w:type="spellEnd"/>
      <w:r>
        <w:rPr>
          <w:rFonts w:ascii="Book Antiqua" w:eastAsia="Book Antiqua" w:hAnsi="Book Antiqua" w:cs="Book Antiqua"/>
          <w:color w:val="000000"/>
        </w:rPr>
        <w:t xml:space="preserve"> E, Della Bella C, </w:t>
      </w:r>
      <w:proofErr w:type="spellStart"/>
      <w:r>
        <w:rPr>
          <w:rFonts w:ascii="Book Antiqua" w:eastAsia="Book Antiqua" w:hAnsi="Book Antiqua" w:cs="Book Antiqua"/>
          <w:color w:val="000000"/>
        </w:rPr>
        <w:t>Cianchi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Trallori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Benagiano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Bencini</w:t>
      </w:r>
      <w:proofErr w:type="spellEnd"/>
      <w:r>
        <w:rPr>
          <w:rFonts w:ascii="Book Antiqua" w:eastAsia="Book Antiqua" w:hAnsi="Book Antiqua" w:cs="Book Antiqua"/>
          <w:color w:val="000000"/>
        </w:rPr>
        <w:t xml:space="preserve"> L, Bernini M, Farsi M, </w:t>
      </w:r>
      <w:proofErr w:type="spellStart"/>
      <w:r>
        <w:rPr>
          <w:rFonts w:ascii="Book Antiqua" w:eastAsia="Book Antiqua" w:hAnsi="Book Antiqua" w:cs="Book Antiqua"/>
          <w:color w:val="000000"/>
        </w:rPr>
        <w:t>Moretti</w:t>
      </w:r>
      <w:proofErr w:type="spellEnd"/>
      <w:r>
        <w:rPr>
          <w:rFonts w:ascii="Book Antiqua" w:eastAsia="Book Antiqua" w:hAnsi="Book Antiqua" w:cs="Book Antiqua"/>
          <w:color w:val="000000"/>
        </w:rPr>
        <w:t xml:space="preserve"> R,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D'Elios</w:t>
      </w:r>
      <w:proofErr w:type="spellEnd"/>
      <w:r>
        <w:rPr>
          <w:rFonts w:ascii="Book Antiqua" w:eastAsia="Book Antiqua" w:hAnsi="Book Antiqua" w:cs="Book Antiqua"/>
          <w:color w:val="000000"/>
        </w:rPr>
        <w:t xml:space="preserve"> MM. Characterization of tumor antigen peptide-specific T cells isolated from the neoplastic tissue of patients with gastric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1819-1830 [PMID: 19319530 DOI: 10.1007/s00262-009-0693-8]</w:t>
      </w:r>
    </w:p>
    <w:p w14:paraId="40AED908" w14:textId="77777777" w:rsidR="00A77B3E" w:rsidRDefault="009D63A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O'Keeffe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Gately</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O'Donoghue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Zulquernain</w:t>
      </w:r>
      <w:proofErr w:type="spellEnd"/>
      <w:r>
        <w:rPr>
          <w:rFonts w:ascii="Book Antiqua" w:eastAsia="Book Antiqua" w:hAnsi="Book Antiqua" w:cs="Book Antiqua"/>
          <w:color w:val="000000"/>
        </w:rPr>
        <w:t xml:space="preserve"> SA, Stevens FM, Moran AP. Natural killer cell receptor T-lymphocytes in normal and Helicobacter pylori-infected human gastric mucosa.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500-505 [PMID: 19166415 DOI: 10.1111/j.1523-5378.2008.00641.x]</w:t>
      </w:r>
    </w:p>
    <w:p w14:paraId="0EC8DA2E" w14:textId="77777777" w:rsidR="00A77B3E" w:rsidRDefault="009D63A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Shen LS</w:t>
      </w:r>
      <w:r>
        <w:rPr>
          <w:rFonts w:ascii="Book Antiqua" w:eastAsia="Book Antiqua" w:hAnsi="Book Antiqua" w:cs="Book Antiqua"/>
          <w:color w:val="000000"/>
        </w:rPr>
        <w:t xml:space="preserve">, Wang J, Shen DF, Yuan XL, Dong P, Li MX,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Zhang FM, Ge HL, Xu D. CD4(+)CD25(+)CD127(low/-) regulatory T cells express Foxp3 and suppress effector T cell proliferation and contribute to gastric cancers progression.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131</w:t>
      </w:r>
      <w:r>
        <w:rPr>
          <w:rFonts w:ascii="Book Antiqua" w:eastAsia="Book Antiqua" w:hAnsi="Book Antiqua" w:cs="Book Antiqua"/>
          <w:color w:val="000000"/>
        </w:rPr>
        <w:t>: 109-118 [PMID: 19153062 DOI: 10.1016/j.clim.2008.11.010]</w:t>
      </w:r>
    </w:p>
    <w:p w14:paraId="4A66DB1F" w14:textId="77777777" w:rsidR="00A77B3E" w:rsidRDefault="009D63A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Robinson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Kenefeck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Pidgeon</w:t>
      </w:r>
      <w:proofErr w:type="spellEnd"/>
      <w:r>
        <w:rPr>
          <w:rFonts w:ascii="Book Antiqua" w:eastAsia="Book Antiqua" w:hAnsi="Book Antiqua" w:cs="Book Antiqua"/>
          <w:color w:val="000000"/>
        </w:rPr>
        <w:t xml:space="preserve"> EL, Shakib S, Patel S, Polson RJ, </w:t>
      </w:r>
      <w:proofErr w:type="spellStart"/>
      <w:r>
        <w:rPr>
          <w:rFonts w:ascii="Book Antiqua" w:eastAsia="Book Antiqua" w:hAnsi="Book Antiqua" w:cs="Book Antiqua"/>
          <w:color w:val="000000"/>
        </w:rPr>
        <w:t>Zaitoun</w:t>
      </w:r>
      <w:proofErr w:type="spellEnd"/>
      <w:r>
        <w:rPr>
          <w:rFonts w:ascii="Book Antiqua" w:eastAsia="Book Antiqua" w:hAnsi="Book Antiqua" w:cs="Book Antiqua"/>
          <w:color w:val="000000"/>
        </w:rPr>
        <w:t xml:space="preserve"> AM, Atherton JC. Helicobacter pylori-induced peptic ulcer disease is associated with inadequate regulatory T cell responses.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1375-1385 [PMID: 18467372 DOI: 10.1136/gut.2007.137539]</w:t>
      </w:r>
    </w:p>
    <w:p w14:paraId="66F107E1" w14:textId="77777777" w:rsidR="00A77B3E" w:rsidRDefault="009D63A8">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Xu HY</w:t>
      </w:r>
      <w:r>
        <w:rPr>
          <w:rFonts w:ascii="Book Antiqua" w:eastAsia="Book Antiqua" w:hAnsi="Book Antiqua" w:cs="Book Antiqua"/>
          <w:color w:val="000000"/>
        </w:rPr>
        <w:t xml:space="preserve">, Xu L, Gao JH, Li KZ, Dou KF. [T lymphocytes with chimeric receptor induce carcinoembryonic antigen-positive specific gastric carcinoma cells apoptosis].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87</w:t>
      </w:r>
      <w:r>
        <w:rPr>
          <w:rFonts w:ascii="Book Antiqua" w:eastAsia="Book Antiqua" w:hAnsi="Book Antiqua" w:cs="Book Antiqua"/>
          <w:color w:val="000000"/>
        </w:rPr>
        <w:t>: 1053-1057 [PMID: 17672971]</w:t>
      </w:r>
    </w:p>
    <w:p w14:paraId="47C837DA" w14:textId="77777777" w:rsidR="00A77B3E" w:rsidRDefault="009D63A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LY</w:t>
      </w:r>
      <w:r>
        <w:rPr>
          <w:rFonts w:ascii="Book Antiqua" w:eastAsia="Book Antiqua" w:hAnsi="Book Antiqua" w:cs="Book Antiqua"/>
          <w:color w:val="000000"/>
        </w:rPr>
        <w:t xml:space="preserve">, Zeng Y, Pan ZZ, Zhu ZH. [Detection of intracellular and extracellular cytokines of CD4+CD25+ regulatory T cells in gastric cancer patients]. </w:t>
      </w:r>
      <w:r>
        <w:rPr>
          <w:rFonts w:ascii="Book Antiqua" w:eastAsia="Book Antiqua" w:hAnsi="Book Antiqua" w:cs="Book Antiqua"/>
          <w:i/>
          <w:iCs/>
          <w:color w:val="000000"/>
        </w:rPr>
        <w:t>Ai Zheng</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270-273 [PMID: 17355789]</w:t>
      </w:r>
    </w:p>
    <w:p w14:paraId="67137C5C" w14:textId="77777777" w:rsidR="00A77B3E" w:rsidRDefault="009D63A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Rad R</w:t>
      </w:r>
      <w:r>
        <w:rPr>
          <w:rFonts w:ascii="Book Antiqua" w:eastAsia="Book Antiqua" w:hAnsi="Book Antiqua" w:cs="Book Antiqua"/>
          <w:color w:val="000000"/>
        </w:rPr>
        <w:t xml:space="preserve">, Brenner L, Bauer S, </w:t>
      </w:r>
      <w:proofErr w:type="spellStart"/>
      <w:r>
        <w:rPr>
          <w:rFonts w:ascii="Book Antiqua" w:eastAsia="Book Antiqua" w:hAnsi="Book Antiqua" w:cs="Book Antiqua"/>
          <w:color w:val="000000"/>
        </w:rPr>
        <w:t>Schwendy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Layland</w:t>
      </w:r>
      <w:proofErr w:type="spellEnd"/>
      <w:r>
        <w:rPr>
          <w:rFonts w:ascii="Book Antiqua" w:eastAsia="Book Antiqua" w:hAnsi="Book Antiqua" w:cs="Book Antiqua"/>
          <w:color w:val="000000"/>
        </w:rPr>
        <w:t xml:space="preserve"> L, da Costa CP, </w:t>
      </w:r>
      <w:proofErr w:type="spellStart"/>
      <w:r>
        <w:rPr>
          <w:rFonts w:ascii="Book Antiqua" w:eastAsia="Book Antiqua" w:hAnsi="Book Antiqua" w:cs="Book Antiqua"/>
          <w:color w:val="000000"/>
        </w:rPr>
        <w:t>Reindl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Dossumbekova</w:t>
      </w:r>
      <w:proofErr w:type="spellEnd"/>
      <w:r>
        <w:rPr>
          <w:rFonts w:ascii="Book Antiqua" w:eastAsia="Book Antiqua" w:hAnsi="Book Antiqua" w:cs="Book Antiqua"/>
          <w:color w:val="000000"/>
        </w:rPr>
        <w:t xml:space="preserve"> A, Friedrich M, Saur D, Wagner H, Schmid RM, Prinz C. CD25+/Foxp3+ T cells regulate gastric inflammation and Helicobacter pylori colonization in vivo.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525-537 [PMID: 16890606 DOI: 10.1053/j.gastro.2006.05.001]</w:t>
      </w:r>
    </w:p>
    <w:p w14:paraId="7196D147" w14:textId="77777777" w:rsidR="00A77B3E" w:rsidRDefault="009D63A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van den Engel NK</w:t>
      </w:r>
      <w:r>
        <w:rPr>
          <w:rFonts w:ascii="Book Antiqua" w:eastAsia="Book Antiqua" w:hAnsi="Book Antiqua" w:cs="Book Antiqua"/>
          <w:color w:val="000000"/>
        </w:rPr>
        <w:t xml:space="preserve">, Winter H, </w:t>
      </w:r>
      <w:proofErr w:type="spellStart"/>
      <w:r>
        <w:rPr>
          <w:rFonts w:ascii="Book Antiqua" w:eastAsia="Book Antiqua" w:hAnsi="Book Antiqua" w:cs="Book Antiqua"/>
          <w:color w:val="000000"/>
        </w:rPr>
        <w:t>Rüttinger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Shau</w:t>
      </w:r>
      <w:proofErr w:type="spellEnd"/>
      <w:r>
        <w:rPr>
          <w:rFonts w:ascii="Book Antiqua" w:eastAsia="Book Antiqua" w:hAnsi="Book Antiqua" w:cs="Book Antiqua"/>
          <w:color w:val="000000"/>
        </w:rPr>
        <w:t xml:space="preserve"> I, Schiller M, Mayer B, </w:t>
      </w:r>
      <w:proofErr w:type="spellStart"/>
      <w:r>
        <w:rPr>
          <w:rFonts w:ascii="Book Antiqua" w:eastAsia="Book Antiqua" w:hAnsi="Book Antiqua" w:cs="Book Antiqua"/>
          <w:color w:val="000000"/>
        </w:rPr>
        <w:t>Moudgil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Meimarakis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Fox BA, </w:t>
      </w:r>
      <w:proofErr w:type="spellStart"/>
      <w:r>
        <w:rPr>
          <w:rFonts w:ascii="Book Antiqua" w:eastAsia="Book Antiqua" w:hAnsi="Book Antiqua" w:cs="Book Antiqua"/>
          <w:color w:val="000000"/>
        </w:rPr>
        <w:t>Hatz</w:t>
      </w:r>
      <w:proofErr w:type="spellEnd"/>
      <w:r>
        <w:rPr>
          <w:rFonts w:ascii="Book Antiqua" w:eastAsia="Book Antiqua" w:hAnsi="Book Antiqua" w:cs="Book Antiqua"/>
          <w:color w:val="000000"/>
        </w:rPr>
        <w:t xml:space="preserve"> RA. Characterization of immune responses in gastric cancer patients: a possible impact of H. pylori to polarize a tumor-specific type 1 response?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120</w:t>
      </w:r>
      <w:r>
        <w:rPr>
          <w:rFonts w:ascii="Book Antiqua" w:eastAsia="Book Antiqua" w:hAnsi="Book Antiqua" w:cs="Book Antiqua"/>
          <w:color w:val="000000"/>
        </w:rPr>
        <w:t>: 285-296 [PMID: 16765089 DOI: 10.1016/j.clim.2006.04.566]</w:t>
      </w:r>
    </w:p>
    <w:p w14:paraId="41E7744C" w14:textId="77777777" w:rsidR="00A77B3E" w:rsidRDefault="009D63A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Hatzifoti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Roussel</w:t>
      </w:r>
      <w:proofErr w:type="spellEnd"/>
      <w:r>
        <w:rPr>
          <w:rFonts w:ascii="Book Antiqua" w:eastAsia="Book Antiqua" w:hAnsi="Book Antiqua" w:cs="Book Antiqua"/>
          <w:color w:val="000000"/>
        </w:rPr>
        <w:t xml:space="preserve"> Y, Harris AG, Wren BW, Morrow JW, Bajaj-Elliott M. Mucosal immunization with a urease B DNA vaccine induces innate and cellular immune responses against Helicobacter pylori.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113-122 [PMID: 16579841 DOI: 10.1111/j.1523-5378.2006.00385.x]</w:t>
      </w:r>
    </w:p>
    <w:p w14:paraId="676569D7" w14:textId="77777777" w:rsidR="00A77B3E" w:rsidRDefault="009D63A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Dutta N</w:t>
      </w:r>
      <w:r>
        <w:rPr>
          <w:rFonts w:ascii="Book Antiqua" w:eastAsia="Book Antiqua" w:hAnsi="Book Antiqua" w:cs="Book Antiqua"/>
          <w:color w:val="000000"/>
        </w:rPr>
        <w:t xml:space="preserve">, Gupta A, </w:t>
      </w:r>
      <w:proofErr w:type="spellStart"/>
      <w:r>
        <w:rPr>
          <w:rFonts w:ascii="Book Antiqua" w:eastAsia="Book Antiqua" w:hAnsi="Book Antiqua" w:cs="Book Antiqua"/>
          <w:color w:val="000000"/>
        </w:rPr>
        <w:t>Mazumder</w:t>
      </w:r>
      <w:proofErr w:type="spellEnd"/>
      <w:r>
        <w:rPr>
          <w:rFonts w:ascii="Book Antiqua" w:eastAsia="Book Antiqua" w:hAnsi="Book Antiqua" w:cs="Book Antiqua"/>
          <w:color w:val="000000"/>
        </w:rPr>
        <w:t xml:space="preserve"> DN, Banerjee S. Down-regulation of locus-specific human lymphocyte antigen class I expression in Epstein-Barr virus-associated gastric cancer: implication for viral-induced immune evasion.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106</w:t>
      </w:r>
      <w:r>
        <w:rPr>
          <w:rFonts w:ascii="Book Antiqua" w:eastAsia="Book Antiqua" w:hAnsi="Book Antiqua" w:cs="Book Antiqua"/>
          <w:color w:val="000000"/>
        </w:rPr>
        <w:t>: 1685-1693 [PMID: 16541432 DOI: 10.1002/cncr.21784]</w:t>
      </w:r>
    </w:p>
    <w:p w14:paraId="389A3BF7" w14:textId="77777777" w:rsidR="00A77B3E" w:rsidRDefault="009D63A8">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Hase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Murakami T, Takatsu H, </w:t>
      </w:r>
      <w:proofErr w:type="spellStart"/>
      <w:r>
        <w:rPr>
          <w:rFonts w:ascii="Book Antiqua" w:eastAsia="Book Antiqua" w:hAnsi="Book Antiqua" w:cs="Book Antiqua"/>
          <w:color w:val="000000"/>
        </w:rPr>
        <w:t>Shimaoka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Iimura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Hamura</w:t>
      </w:r>
      <w:proofErr w:type="spellEnd"/>
      <w:r>
        <w:rPr>
          <w:rFonts w:ascii="Book Antiqua" w:eastAsia="Book Antiqua" w:hAnsi="Book Antiqua" w:cs="Book Antiqua"/>
          <w:color w:val="000000"/>
        </w:rPr>
        <w:t xml:space="preserve"> K, Kawano K, Ohshima S,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Yonehara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H. The membrane-bound chemokine CXCL16 expressed on follicle-associated epithelium and M cells mediates lympho-epithelial interaction in GALT.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176</w:t>
      </w:r>
      <w:r>
        <w:rPr>
          <w:rFonts w:ascii="Book Antiqua" w:eastAsia="Book Antiqua" w:hAnsi="Book Antiqua" w:cs="Book Antiqua"/>
          <w:color w:val="000000"/>
        </w:rPr>
        <w:t>: 43-51 [PMID: 16365394 DOI: 10.4049/jimmunol.176.1.43]</w:t>
      </w:r>
    </w:p>
    <w:p w14:paraId="0FFB4AED" w14:textId="77777777" w:rsidR="00A77B3E" w:rsidRDefault="009D63A8">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Li ZY</w:t>
      </w:r>
      <w:r>
        <w:rPr>
          <w:rFonts w:ascii="Book Antiqua" w:eastAsia="Book Antiqua" w:hAnsi="Book Antiqua" w:cs="Book Antiqua"/>
          <w:color w:val="000000"/>
        </w:rPr>
        <w:t xml:space="preserve">, Chen FB, Chen J. [CD4+ and CD8+ T cells in gastric mucosa in children infected with Helicobacter pylori].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453-456 [PMID: 16053734]</w:t>
      </w:r>
    </w:p>
    <w:p w14:paraId="3676118F" w14:textId="77777777" w:rsidR="00A77B3E" w:rsidRDefault="009D63A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Itoh T</w:t>
      </w:r>
      <w:r>
        <w:rPr>
          <w:rFonts w:ascii="Book Antiqua" w:eastAsia="Book Antiqua" w:hAnsi="Book Antiqua" w:cs="Book Antiqua"/>
          <w:color w:val="000000"/>
        </w:rPr>
        <w:t xml:space="preserve">, Seno H, Kita T, Chiba T, </w:t>
      </w:r>
      <w:proofErr w:type="spellStart"/>
      <w:r>
        <w:rPr>
          <w:rFonts w:ascii="Book Antiqua" w:eastAsia="Book Antiqua" w:hAnsi="Book Antiqua" w:cs="Book Antiqua"/>
          <w:color w:val="000000"/>
        </w:rPr>
        <w:t>Wakatsuki</w:t>
      </w:r>
      <w:proofErr w:type="spellEnd"/>
      <w:r>
        <w:rPr>
          <w:rFonts w:ascii="Book Antiqua" w:eastAsia="Book Antiqua" w:hAnsi="Book Antiqua" w:cs="Book Antiqua"/>
          <w:color w:val="000000"/>
        </w:rPr>
        <w:t xml:space="preserve"> Y. Th response to Helicobacter pylori differs between patients with gastric ulcer and duodenal ulcer.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641-647 [PMID: 16036523 DOI: 10.1080/00365520510015520]</w:t>
      </w:r>
    </w:p>
    <w:p w14:paraId="6A8C5BE9" w14:textId="77777777" w:rsidR="00A77B3E" w:rsidRDefault="009D63A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Velin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Bachmann D, </w:t>
      </w:r>
      <w:proofErr w:type="spellStart"/>
      <w:r>
        <w:rPr>
          <w:rFonts w:ascii="Book Antiqua" w:eastAsia="Book Antiqua" w:hAnsi="Book Antiqua" w:cs="Book Antiqua"/>
          <w:color w:val="000000"/>
        </w:rPr>
        <w:t>Bouzourene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Michetti</w:t>
      </w:r>
      <w:proofErr w:type="spellEnd"/>
      <w:r>
        <w:rPr>
          <w:rFonts w:ascii="Book Antiqua" w:eastAsia="Book Antiqua" w:hAnsi="Book Antiqua" w:cs="Book Antiqua"/>
          <w:color w:val="000000"/>
        </w:rPr>
        <w:t xml:space="preserve"> P. Mast cells are critical mediators of vaccine-induced Helicobacter clearance in the mouse model.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142-155 [PMID: 16012944 DOI: 10.1053/j.gastro.2005.04.010]</w:t>
      </w:r>
    </w:p>
    <w:p w14:paraId="25AEE5FE" w14:textId="77777777" w:rsidR="00A77B3E" w:rsidRDefault="009D63A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Johansson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Ahlstedt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Furubacka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Johnsson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Agace</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Quiding-Järbrink</w:t>
      </w:r>
      <w:proofErr w:type="spellEnd"/>
      <w:r>
        <w:rPr>
          <w:rFonts w:ascii="Book Antiqua" w:eastAsia="Book Antiqua" w:hAnsi="Book Antiqua" w:cs="Book Antiqua"/>
          <w:color w:val="000000"/>
        </w:rPr>
        <w:t xml:space="preserve"> M. Differential expression of chemokine receptors on human IgA+ and IgG+ B cells.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141</w:t>
      </w:r>
      <w:r>
        <w:rPr>
          <w:rFonts w:ascii="Book Antiqua" w:eastAsia="Book Antiqua" w:hAnsi="Book Antiqua" w:cs="Book Antiqua"/>
          <w:color w:val="000000"/>
        </w:rPr>
        <w:t>: 279-287 [PMID: 15996192 DOI: 10.1111/j.1365-2249.2005.02843.x]</w:t>
      </w:r>
    </w:p>
    <w:p w14:paraId="41BA0DC7" w14:textId="77777777" w:rsidR="00A77B3E" w:rsidRDefault="009D63A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Wu YY</w:t>
      </w:r>
      <w:r>
        <w:rPr>
          <w:rFonts w:ascii="Book Antiqua" w:eastAsia="Book Antiqua" w:hAnsi="Book Antiqua" w:cs="Book Antiqua"/>
          <w:color w:val="000000"/>
        </w:rPr>
        <w:t xml:space="preserve">, Tsai HF, Lin WC, Chou AH, Chen HT, Yang JC, Hsu PI, Hsu PN. Helicobacter pylori enhances tumor necrosis factor-related apoptosis-inducing ligand-mediated apoptosis in human gastric epithelial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2334-2339 [PMID: 15285015 DOI: 10.3748/wjg.v10.i16.2334]</w:t>
      </w:r>
    </w:p>
    <w:p w14:paraId="19AF503B" w14:textId="77777777" w:rsidR="00A77B3E" w:rsidRDefault="009D63A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Valeri AP</w:t>
      </w:r>
      <w:r>
        <w:rPr>
          <w:rFonts w:ascii="Book Antiqua" w:eastAsia="Book Antiqua" w:hAnsi="Book Antiqua" w:cs="Book Antiqua"/>
          <w:color w:val="000000"/>
        </w:rPr>
        <w:t xml:space="preserve">, Pérez-Blas M, Gutiérrez A, </w:t>
      </w:r>
      <w:proofErr w:type="spellStart"/>
      <w:r>
        <w:rPr>
          <w:rFonts w:ascii="Book Antiqua" w:eastAsia="Book Antiqua" w:hAnsi="Book Antiqua" w:cs="Book Antiqua"/>
          <w:color w:val="000000"/>
        </w:rPr>
        <w:t>López-Santalla</w:t>
      </w:r>
      <w:proofErr w:type="spellEnd"/>
      <w:r>
        <w:rPr>
          <w:rFonts w:ascii="Book Antiqua" w:eastAsia="Book Antiqua" w:hAnsi="Book Antiqua" w:cs="Book Antiqua"/>
          <w:color w:val="000000"/>
        </w:rPr>
        <w:t xml:space="preserve"> M, Aguilera N, Rodríguez-Juan C, Sala-Silveira L, Martín J, </w:t>
      </w:r>
      <w:proofErr w:type="spellStart"/>
      <w:r>
        <w:rPr>
          <w:rFonts w:ascii="Book Antiqua" w:eastAsia="Book Antiqua" w:hAnsi="Book Antiqua" w:cs="Book Antiqua"/>
          <w:color w:val="000000"/>
        </w:rPr>
        <w:t>Lasa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Mugüerza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-Sancho L, </w:t>
      </w:r>
      <w:proofErr w:type="spellStart"/>
      <w:r>
        <w:rPr>
          <w:rFonts w:ascii="Book Antiqua" w:eastAsia="Book Antiqua" w:hAnsi="Book Antiqua" w:cs="Book Antiqua"/>
          <w:color w:val="000000"/>
        </w:rPr>
        <w:t>Granell</w:t>
      </w:r>
      <w:proofErr w:type="spellEnd"/>
      <w:r>
        <w:rPr>
          <w:rFonts w:ascii="Book Antiqua" w:eastAsia="Book Antiqua" w:hAnsi="Book Antiqua" w:cs="Book Antiqua"/>
          <w:color w:val="000000"/>
        </w:rPr>
        <w:t xml:space="preserve"> J, Martín-Villa JM. Intrinsic defects explain altered proliferative responses of T lymphocytes and HVS-derived T-cell lines in gastric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708-714 [PMID: 12830324 DOI: 10.1007/s00262-003-0413-8]</w:t>
      </w:r>
    </w:p>
    <w:p w14:paraId="75A59F1A" w14:textId="77777777" w:rsidR="00A77B3E" w:rsidRDefault="009D63A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Bontems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Robert F, Van </w:t>
      </w:r>
      <w:proofErr w:type="spellStart"/>
      <w:r>
        <w:rPr>
          <w:rFonts w:ascii="Book Antiqua" w:eastAsia="Book Antiqua" w:hAnsi="Book Antiqua" w:cs="Book Antiqua"/>
          <w:color w:val="000000"/>
        </w:rPr>
        <w:t>Gossum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Cadranel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Mascart</w:t>
      </w:r>
      <w:proofErr w:type="spellEnd"/>
      <w:r>
        <w:rPr>
          <w:rFonts w:ascii="Book Antiqua" w:eastAsia="Book Antiqua" w:hAnsi="Book Antiqua" w:cs="Book Antiqua"/>
          <w:color w:val="000000"/>
        </w:rPr>
        <w:t xml:space="preserve"> F. Helicobacter pylori modulation of gastric and duodenal mucosal T cell cytokine secretions in children compared with adults.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2003; </w:t>
      </w:r>
      <w:r>
        <w:rPr>
          <w:rFonts w:ascii="Book Antiqua" w:eastAsia="Book Antiqua" w:hAnsi="Book Antiqua" w:cs="Book Antiqua"/>
          <w:b/>
          <w:bCs/>
          <w:color w:val="000000"/>
        </w:rPr>
        <w:t>8</w:t>
      </w:r>
      <w:r>
        <w:rPr>
          <w:rFonts w:ascii="Book Antiqua" w:eastAsia="Book Antiqua" w:hAnsi="Book Antiqua" w:cs="Book Antiqua"/>
          <w:color w:val="000000"/>
        </w:rPr>
        <w:t>: 216-226 [PMID: 12752734 DOI: 10.1046/j.1523-5378.2003.00147.x]</w:t>
      </w:r>
    </w:p>
    <w:p w14:paraId="6DD5A712" w14:textId="77777777" w:rsidR="00A77B3E" w:rsidRDefault="009D63A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Wolf AM</w:t>
      </w:r>
      <w:r>
        <w:rPr>
          <w:rFonts w:ascii="Book Antiqua" w:eastAsia="Book Antiqua" w:hAnsi="Book Antiqua" w:cs="Book Antiqua"/>
          <w:color w:val="000000"/>
        </w:rPr>
        <w:t xml:space="preserve">, Wolf D, </w:t>
      </w:r>
      <w:proofErr w:type="spellStart"/>
      <w:r>
        <w:rPr>
          <w:rFonts w:ascii="Book Antiqua" w:eastAsia="Book Antiqua" w:hAnsi="Book Antiqua" w:cs="Book Antiqua"/>
          <w:color w:val="000000"/>
        </w:rPr>
        <w:t>Steurer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Gastl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Gunsilius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Grubeck-Loebenstein</w:t>
      </w:r>
      <w:proofErr w:type="spellEnd"/>
      <w:r>
        <w:rPr>
          <w:rFonts w:ascii="Book Antiqua" w:eastAsia="Book Antiqua" w:hAnsi="Book Antiqua" w:cs="Book Antiqua"/>
          <w:color w:val="000000"/>
        </w:rPr>
        <w:t xml:space="preserve"> B. Increase of regulatory T cells in the peripheral blood of cancer patients.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606-612 [PMID: 12576425]</w:t>
      </w:r>
    </w:p>
    <w:p w14:paraId="38775CD8" w14:textId="77777777" w:rsidR="00A77B3E" w:rsidRDefault="009D63A8">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Kudo T</w:t>
      </w:r>
      <w:r>
        <w:rPr>
          <w:rFonts w:ascii="Book Antiqua" w:eastAsia="Book Antiqua" w:hAnsi="Book Antiqua" w:cs="Book Antiqua"/>
          <w:color w:val="000000"/>
        </w:rPr>
        <w:t xml:space="preserve">, Iwai T, Kubota T, Iwasaki H, </w:t>
      </w:r>
      <w:proofErr w:type="spellStart"/>
      <w:r>
        <w:rPr>
          <w:rFonts w:ascii="Book Antiqua" w:eastAsia="Book Antiqua" w:hAnsi="Book Antiqua" w:cs="Book Antiqua"/>
          <w:color w:val="000000"/>
        </w:rPr>
        <w:t>Takayma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Hiruma</w:t>
      </w:r>
      <w:proofErr w:type="spellEnd"/>
      <w:r>
        <w:rPr>
          <w:rFonts w:ascii="Book Antiqua" w:eastAsia="Book Antiqua" w:hAnsi="Book Antiqua" w:cs="Book Antiqua"/>
          <w:color w:val="000000"/>
        </w:rPr>
        <w:t xml:space="preserve"> T, Inaba N, Zhang Y,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Togayachi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Narimatsu</w:t>
      </w:r>
      <w:proofErr w:type="spellEnd"/>
      <w:r>
        <w:rPr>
          <w:rFonts w:ascii="Book Antiqua" w:eastAsia="Book Antiqua" w:hAnsi="Book Antiqua" w:cs="Book Antiqua"/>
          <w:color w:val="000000"/>
        </w:rPr>
        <w:t xml:space="preserve"> H. Molecular cloning and characterization of a novel </w:t>
      </w:r>
      <w:proofErr w:type="spellStart"/>
      <w:r>
        <w:rPr>
          <w:rFonts w:ascii="Book Antiqua" w:eastAsia="Book Antiqua" w:hAnsi="Book Antiqua" w:cs="Book Antiqua"/>
          <w:color w:val="000000"/>
        </w:rPr>
        <w:t>UDP-Gal:GalNAc</w:t>
      </w:r>
      <w:proofErr w:type="spellEnd"/>
      <w:r>
        <w:rPr>
          <w:rFonts w:ascii="Book Antiqua" w:eastAsia="Book Antiqua" w:hAnsi="Book Antiqua" w:cs="Book Antiqua"/>
          <w:color w:val="000000"/>
        </w:rPr>
        <w:t xml:space="preserve">(alpha) peptide beta 1,3-galactosyltransferase (C1Gal-T2), an enzyme synthesizing a core 1 structure of O-glycan.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47724-47731 [PMID: 12361956 DOI: 10.1074/jbc.M205839200]</w:t>
      </w:r>
    </w:p>
    <w:p w14:paraId="56319552" w14:textId="77777777" w:rsidR="00A77B3E" w:rsidRDefault="009D63A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Zavros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G, Ferguson A, Merchant JL. Gastritis and </w:t>
      </w:r>
      <w:proofErr w:type="spellStart"/>
      <w:r>
        <w:rPr>
          <w:rFonts w:ascii="Book Antiqua" w:eastAsia="Book Antiqua" w:hAnsi="Book Antiqua" w:cs="Book Antiqua"/>
          <w:color w:val="000000"/>
        </w:rPr>
        <w:t>hypergastrinemia</w:t>
      </w:r>
      <w:proofErr w:type="spellEnd"/>
      <w:r>
        <w:rPr>
          <w:rFonts w:ascii="Book Antiqua" w:eastAsia="Book Antiqua" w:hAnsi="Book Antiqua" w:cs="Book Antiqua"/>
          <w:color w:val="000000"/>
        </w:rPr>
        <w:t xml:space="preserve"> due to </w:t>
      </w:r>
      <w:proofErr w:type="spellStart"/>
      <w:r>
        <w:rPr>
          <w:rFonts w:ascii="Book Antiqua" w:eastAsia="Book Antiqua" w:hAnsi="Book Antiqua" w:cs="Book Antiqua"/>
          <w:color w:val="000000"/>
        </w:rPr>
        <w:t>Acinetobacter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lwoffii</w:t>
      </w:r>
      <w:proofErr w:type="spellEnd"/>
      <w:r>
        <w:rPr>
          <w:rFonts w:ascii="Book Antiqua" w:eastAsia="Book Antiqua" w:hAnsi="Book Antiqua" w:cs="Book Antiqua"/>
          <w:color w:val="000000"/>
        </w:rPr>
        <w:t xml:space="preserve"> in mice.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70</w:t>
      </w:r>
      <w:r>
        <w:rPr>
          <w:rFonts w:ascii="Book Antiqua" w:eastAsia="Book Antiqua" w:hAnsi="Book Antiqua" w:cs="Book Antiqua"/>
          <w:color w:val="000000"/>
        </w:rPr>
        <w:t>: 2630-2639 [PMID: 11953405 DOI: 10.1128/iai.70.5.2630-2639.2002]</w:t>
      </w:r>
    </w:p>
    <w:p w14:paraId="473A563C" w14:textId="77777777" w:rsidR="00A77B3E" w:rsidRDefault="009D63A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X</w:t>
      </w:r>
      <w:r>
        <w:rPr>
          <w:rFonts w:ascii="Book Antiqua" w:eastAsia="Book Antiqua" w:hAnsi="Book Antiqua" w:cs="Book Antiqua"/>
          <w:color w:val="000000"/>
        </w:rPr>
        <w:t xml:space="preserve">, Guo M, Mori E, Mori T. Active roles of caspase-3 in human gastric carcinoma cell death by apoptosis inducing nucleosides from CD57+HLA-DRbright natural suppressor cell line.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18</w:t>
      </w:r>
      <w:r>
        <w:rPr>
          <w:rFonts w:ascii="Book Antiqua" w:eastAsia="Book Antiqua" w:hAnsi="Book Antiqua" w:cs="Book Antiqua"/>
          <w:color w:val="000000"/>
        </w:rPr>
        <w:t>: 837-842 [PMID: 11251182 DOI: 10.3892/ijo.18.4.837]</w:t>
      </w:r>
    </w:p>
    <w:p w14:paraId="240B27C5" w14:textId="77777777" w:rsidR="00A77B3E" w:rsidRDefault="009D63A8">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Ihan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Gubina</w:t>
      </w:r>
      <w:proofErr w:type="spellEnd"/>
      <w:r>
        <w:rPr>
          <w:rFonts w:ascii="Book Antiqua" w:eastAsia="Book Antiqua" w:hAnsi="Book Antiqua" w:cs="Book Antiqua"/>
          <w:color w:val="000000"/>
        </w:rPr>
        <w:t xml:space="preserve"> M. Diminished Th1-type cytokine production in gastric mucosa T-lymphocytes after H. pylori eradication in duodenal ulcer patients. </w:t>
      </w:r>
      <w:proofErr w:type="spellStart"/>
      <w:r>
        <w:rPr>
          <w:rFonts w:ascii="Book Antiqua" w:eastAsia="Book Antiqua" w:hAnsi="Book Antiqua" w:cs="Book Antiqua"/>
          <w:i/>
          <w:iCs/>
          <w:color w:val="000000"/>
        </w:rPr>
        <w:t>Pflugers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2000; </w:t>
      </w:r>
      <w:r>
        <w:rPr>
          <w:rFonts w:ascii="Book Antiqua" w:eastAsia="Book Antiqua" w:hAnsi="Book Antiqua" w:cs="Book Antiqua"/>
          <w:b/>
          <w:bCs/>
          <w:color w:val="000000"/>
        </w:rPr>
        <w:t>440</w:t>
      </w:r>
      <w:r>
        <w:rPr>
          <w:rFonts w:ascii="Book Antiqua" w:eastAsia="Book Antiqua" w:hAnsi="Book Antiqua" w:cs="Book Antiqua"/>
          <w:color w:val="000000"/>
        </w:rPr>
        <w:t>: R89-R90 [PMID: 11005624]</w:t>
      </w:r>
    </w:p>
    <w:p w14:paraId="5B018097" w14:textId="77777777" w:rsidR="00A77B3E" w:rsidRDefault="009D63A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Fan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Gunasena</w:t>
      </w:r>
      <w:proofErr w:type="spellEnd"/>
      <w:r>
        <w:rPr>
          <w:rFonts w:ascii="Book Antiqua" w:eastAsia="Book Antiqua" w:hAnsi="Book Antiqua" w:cs="Book Antiqua"/>
          <w:color w:val="000000"/>
        </w:rPr>
        <w:t xml:space="preserve"> H, Cheng Z, Espejo R, Crowe SE, Ernst PB, Reyes VE. Helicobacter pylori urease binds to class II MHC on gastric epithelial cells and induces their apoptosis.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165</w:t>
      </w:r>
      <w:r>
        <w:rPr>
          <w:rFonts w:ascii="Book Antiqua" w:eastAsia="Book Antiqua" w:hAnsi="Book Antiqua" w:cs="Book Antiqua"/>
          <w:color w:val="000000"/>
        </w:rPr>
        <w:t>: 1918-1924 [PMID: 10925273 DOI: 10.4049/jimmunol.165.4.1918]</w:t>
      </w:r>
    </w:p>
    <w:p w14:paraId="63AEFA65" w14:textId="77777777" w:rsidR="00A77B3E" w:rsidRDefault="009D63A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Michetti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Kelly CP, </w:t>
      </w:r>
      <w:proofErr w:type="spellStart"/>
      <w:r>
        <w:rPr>
          <w:rFonts w:ascii="Book Antiqua" w:eastAsia="Book Antiqua" w:hAnsi="Book Antiqua" w:cs="Book Antiqua"/>
          <w:color w:val="000000"/>
        </w:rPr>
        <w:t>Kraehenbuhl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Bouzourene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Michetti</w:t>
      </w:r>
      <w:proofErr w:type="spellEnd"/>
      <w:r>
        <w:rPr>
          <w:rFonts w:ascii="Book Antiqua" w:eastAsia="Book Antiqua" w:hAnsi="Book Antiqua" w:cs="Book Antiqua"/>
          <w:color w:val="000000"/>
        </w:rPr>
        <w:t xml:space="preserve"> P. Gastric mucosal alpha(4)beta(7)-integrin-positive CD4 T lymphocytes and immune protection against helicobacter infection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119</w:t>
      </w:r>
      <w:r>
        <w:rPr>
          <w:rFonts w:ascii="Book Antiqua" w:eastAsia="Book Antiqua" w:hAnsi="Book Antiqua" w:cs="Book Antiqua"/>
          <w:color w:val="000000"/>
        </w:rPr>
        <w:t>: 109-118 [PMID: 10889160 DOI: 10.1053/gast.2000.8548]</w:t>
      </w:r>
    </w:p>
    <w:p w14:paraId="4AC8D0DA" w14:textId="77777777" w:rsidR="00A77B3E" w:rsidRDefault="009D63A8">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Zavros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Van Antwerp M, Merchant JL. Use of flow cytometry to quantify mouse gastric epithelial cell populations.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2000; </w:t>
      </w:r>
      <w:r>
        <w:rPr>
          <w:rFonts w:ascii="Book Antiqua" w:eastAsia="Book Antiqua" w:hAnsi="Book Antiqua" w:cs="Book Antiqua"/>
          <w:b/>
          <w:bCs/>
          <w:color w:val="000000"/>
        </w:rPr>
        <w:t>45</w:t>
      </w:r>
      <w:r>
        <w:rPr>
          <w:rFonts w:ascii="Book Antiqua" w:eastAsia="Book Antiqua" w:hAnsi="Book Antiqua" w:cs="Book Antiqua"/>
          <w:color w:val="000000"/>
        </w:rPr>
        <w:t>: 1192-1199 [PMID: 10877237 DOI: 10.1023/a:1005514422187]</w:t>
      </w:r>
    </w:p>
    <w:p w14:paraId="15012512" w14:textId="77777777" w:rsidR="00A77B3E" w:rsidRDefault="009D63A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Fan X, Lindholm C, Bennett M, </w:t>
      </w:r>
      <w:proofErr w:type="spellStart"/>
      <w:r>
        <w:rPr>
          <w:rFonts w:ascii="Book Antiqua" w:eastAsia="Book Antiqua" w:hAnsi="Book Antiqua" w:cs="Book Antiqua"/>
          <w:color w:val="000000"/>
        </w:rPr>
        <w:t>O'Connoll</w:t>
      </w:r>
      <w:proofErr w:type="spellEnd"/>
      <w:r>
        <w:rPr>
          <w:rFonts w:ascii="Book Antiqua" w:eastAsia="Book Antiqua" w:hAnsi="Book Antiqua" w:cs="Book Antiqua"/>
          <w:color w:val="000000"/>
        </w:rPr>
        <w:t xml:space="preserve"> J, Shanahan F, Brooks EG, Reyes VE, Ernst PB. Helicobacter pylori modulates lymphoepithelial cell interactions leading </w:t>
      </w:r>
      <w:r>
        <w:rPr>
          <w:rFonts w:ascii="Book Antiqua" w:eastAsia="Book Antiqua" w:hAnsi="Book Antiqua" w:cs="Book Antiqua"/>
          <w:color w:val="000000"/>
        </w:rPr>
        <w:lastRenderedPageBreak/>
        <w:t xml:space="preserve">to epithelial cell damage through Fas/Fas ligand interactions.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68</w:t>
      </w:r>
      <w:r>
        <w:rPr>
          <w:rFonts w:ascii="Book Antiqua" w:eastAsia="Book Antiqua" w:hAnsi="Book Antiqua" w:cs="Book Antiqua"/>
          <w:color w:val="000000"/>
        </w:rPr>
        <w:t>: 4303-4311 [PMID: 10858249 DOI: 10.1128/iai.68.7.4303-4311.2000]</w:t>
      </w:r>
    </w:p>
    <w:p w14:paraId="67F7F043" w14:textId="77777777" w:rsidR="00A77B3E" w:rsidRDefault="009D63A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Koyama S</w:t>
      </w:r>
      <w:r>
        <w:rPr>
          <w:rFonts w:ascii="Book Antiqua" w:eastAsia="Book Antiqua" w:hAnsi="Book Antiqua" w:cs="Book Antiqua"/>
          <w:color w:val="000000"/>
        </w:rPr>
        <w:t xml:space="preserve">. Apoptotic depletion of infiltrating mucosal lymphocytes associated with Fas ligand expression by Helicobacter pylori-infected gastric mucosal epithelium: human glandular stomach as a site of immune privilege.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2000; </w:t>
      </w:r>
      <w:r>
        <w:rPr>
          <w:rFonts w:ascii="Book Antiqua" w:eastAsia="Book Antiqua" w:hAnsi="Book Antiqua" w:cs="Book Antiqua"/>
          <w:b/>
          <w:bCs/>
          <w:color w:val="000000"/>
        </w:rPr>
        <w:t>45</w:t>
      </w:r>
      <w:r>
        <w:rPr>
          <w:rFonts w:ascii="Book Antiqua" w:eastAsia="Book Antiqua" w:hAnsi="Book Antiqua" w:cs="Book Antiqua"/>
          <w:color w:val="000000"/>
        </w:rPr>
        <w:t>: 773-780 [PMID: 10759249 DOI: 10.1023/a:1005408113467]</w:t>
      </w:r>
    </w:p>
    <w:p w14:paraId="2DC93A8B" w14:textId="77777777" w:rsidR="00A77B3E" w:rsidRDefault="009D63A8">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Ihan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Gubina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Malovrh</w:t>
      </w:r>
      <w:proofErr w:type="spellEnd"/>
      <w:r>
        <w:rPr>
          <w:rFonts w:ascii="Book Antiqua" w:eastAsia="Book Antiqua" w:hAnsi="Book Antiqua" w:cs="Book Antiqua"/>
          <w:color w:val="000000"/>
        </w:rPr>
        <w:t xml:space="preserve"> T, Kopitar A. Diminished interferon-gamma production in gastric mucosa T lymphocytes after H. pylori eradication in duodenal ulcer patients.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1740-1745 [PMID: 10430335]</w:t>
      </w:r>
    </w:p>
    <w:p w14:paraId="1BD7B82C" w14:textId="77777777" w:rsidR="00A77B3E" w:rsidRDefault="009D63A8">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Wieckiewicz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Krzeszowiak</w:t>
      </w:r>
      <w:proofErr w:type="spellEnd"/>
      <w:r>
        <w:rPr>
          <w:rFonts w:ascii="Book Antiqua" w:eastAsia="Book Antiqua" w:hAnsi="Book Antiqua" w:cs="Book Antiqua"/>
          <w:color w:val="000000"/>
        </w:rPr>
        <w:t xml:space="preserve"> A, Ruggiero I, </w:t>
      </w:r>
      <w:proofErr w:type="spellStart"/>
      <w:r>
        <w:rPr>
          <w:rFonts w:ascii="Book Antiqua" w:eastAsia="Book Antiqua" w:hAnsi="Book Antiqua" w:cs="Book Antiqua"/>
          <w:color w:val="000000"/>
        </w:rPr>
        <w:t>Pituch-Noworolska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 Detection of cytokine gene expression in human monocytes and lymphocytes by fluorescent in situ hybridization in cell suspension and flow cytometry.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995-999 [PMID: 9852637 DOI: 10.3892/ijmm.1.6.995]</w:t>
      </w:r>
    </w:p>
    <w:p w14:paraId="3DC12303" w14:textId="77777777" w:rsidR="00A77B3E" w:rsidRDefault="009D63A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Stallmach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F, Hoffmann S, Weber S, Müller-</w:t>
      </w:r>
      <w:proofErr w:type="spellStart"/>
      <w:r>
        <w:rPr>
          <w:rFonts w:ascii="Book Antiqua" w:eastAsia="Book Antiqua" w:hAnsi="Book Antiqua" w:cs="Book Antiqua"/>
          <w:color w:val="000000"/>
        </w:rPr>
        <w:t>Molaian</w:t>
      </w:r>
      <w:proofErr w:type="spellEnd"/>
      <w:r>
        <w:rPr>
          <w:rFonts w:ascii="Book Antiqua" w:eastAsia="Book Antiqua" w:hAnsi="Book Antiqua" w:cs="Book Antiqua"/>
          <w:color w:val="000000"/>
        </w:rPr>
        <w:t xml:space="preserve"> I, Schneider T,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Ecker</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Feifel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Zeitz</w:t>
      </w:r>
      <w:proofErr w:type="spellEnd"/>
      <w:r>
        <w:rPr>
          <w:rFonts w:ascii="Book Antiqua" w:eastAsia="Book Antiqua" w:hAnsi="Book Antiqua" w:cs="Book Antiqua"/>
          <w:color w:val="000000"/>
        </w:rPr>
        <w:t xml:space="preserve"> M. Increased state of activation of CD4 positive T cells and elevated interferon gamma production in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499-505 [PMID: 9824577 DOI: 10.1136/gut.43.4.499]</w:t>
      </w:r>
    </w:p>
    <w:p w14:paraId="3568F851" w14:textId="77777777" w:rsidR="00A77B3E" w:rsidRDefault="009D63A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Sommer F</w:t>
      </w:r>
      <w:r>
        <w:rPr>
          <w:rFonts w:ascii="Book Antiqua" w:eastAsia="Book Antiqua" w:hAnsi="Book Antiqua" w:cs="Book Antiqua"/>
          <w:color w:val="000000"/>
        </w:rPr>
        <w:t xml:space="preserve">, Faller G,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P, Kirchner T, Hahn EG, Zeus J, </w:t>
      </w:r>
      <w:proofErr w:type="spellStart"/>
      <w:r>
        <w:rPr>
          <w:rFonts w:ascii="Book Antiqua" w:eastAsia="Book Antiqua" w:hAnsi="Book Antiqua" w:cs="Book Antiqua"/>
          <w:color w:val="000000"/>
        </w:rPr>
        <w:t>Röllinghoff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Lohoff</w:t>
      </w:r>
      <w:proofErr w:type="spellEnd"/>
      <w:r>
        <w:rPr>
          <w:rFonts w:ascii="Book Antiqua" w:eastAsia="Book Antiqua" w:hAnsi="Book Antiqua" w:cs="Book Antiqua"/>
          <w:color w:val="000000"/>
        </w:rPr>
        <w:t xml:space="preserve"> M. Antrum- and corpus mucosa-infiltrating CD4(+) lymphocytes in Helicobacter pylori gastritis display a Th1 phenotype.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66</w:t>
      </w:r>
      <w:r>
        <w:rPr>
          <w:rFonts w:ascii="Book Antiqua" w:eastAsia="Book Antiqua" w:hAnsi="Book Antiqua" w:cs="Book Antiqua"/>
          <w:color w:val="000000"/>
        </w:rPr>
        <w:t>: 5543-5546 [PMID: 9784570 DOI: 10.1128/IAI.66.11.5543-5546.1998]</w:t>
      </w:r>
    </w:p>
    <w:p w14:paraId="170B072E" w14:textId="77777777" w:rsidR="00A77B3E" w:rsidRDefault="009D63A8">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Sikora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Dworacki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Trybus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Batura-Gabryel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Zeromski</w:t>
      </w:r>
      <w:proofErr w:type="spellEnd"/>
      <w:r>
        <w:rPr>
          <w:rFonts w:ascii="Book Antiqua" w:eastAsia="Book Antiqua" w:hAnsi="Book Antiqua" w:cs="Book Antiqua"/>
          <w:color w:val="000000"/>
        </w:rPr>
        <w:t xml:space="preserve"> J. Correlation between DNA content, expression of Ki-67 antigen of tumor cells and immunophenotype of lymphocytes from malignant pleural effusions.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19</w:t>
      </w:r>
      <w:r>
        <w:rPr>
          <w:rFonts w:ascii="Book Antiqua" w:eastAsia="Book Antiqua" w:hAnsi="Book Antiqua" w:cs="Book Antiqua"/>
          <w:color w:val="000000"/>
        </w:rPr>
        <w:t>: 196-204 [PMID: 9591046 DOI: 10.1159/000030007]</w:t>
      </w:r>
    </w:p>
    <w:p w14:paraId="1D1F3BB1" w14:textId="77777777" w:rsidR="00A77B3E" w:rsidRDefault="009D63A8">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Terrés</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Pajares</w:t>
      </w:r>
      <w:proofErr w:type="spellEnd"/>
      <w:r>
        <w:rPr>
          <w:rFonts w:ascii="Book Antiqua" w:eastAsia="Book Antiqua" w:hAnsi="Book Antiqua" w:cs="Book Antiqua"/>
          <w:color w:val="000000"/>
        </w:rPr>
        <w:t xml:space="preserve"> JM. An increased number of follicles containing activated CD69+ helper T cells and proliferating CD71+ B cells are found in H. pylori-infected gastric mucosa.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93</w:t>
      </w:r>
      <w:r>
        <w:rPr>
          <w:rFonts w:ascii="Book Antiqua" w:eastAsia="Book Antiqua" w:hAnsi="Book Antiqua" w:cs="Book Antiqua"/>
          <w:color w:val="000000"/>
        </w:rPr>
        <w:t>: 579-583 [PMID: 9576451 DOI: 10.1111/j.1572-0241.1998.168_b.x]</w:t>
      </w:r>
    </w:p>
    <w:p w14:paraId="5241AFD2" w14:textId="77777777" w:rsidR="00A77B3E" w:rsidRDefault="009D63A8">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Bamford KB</w:t>
      </w:r>
      <w:r>
        <w:rPr>
          <w:rFonts w:ascii="Book Antiqua" w:eastAsia="Book Antiqua" w:hAnsi="Book Antiqua" w:cs="Book Antiqua"/>
          <w:color w:val="000000"/>
        </w:rPr>
        <w:t>, Fan X, Crowe SE, Leary JF, Gourley WK, Luthra GK, Brooks EG, Graham DY, Reyes VE, Ernst PB. Lymp</w:t>
      </w:r>
      <w:bookmarkStart w:id="0" w:name="_GoBack"/>
      <w:r>
        <w:rPr>
          <w:rFonts w:ascii="Book Antiqua" w:eastAsia="Book Antiqua" w:hAnsi="Book Antiqua" w:cs="Book Antiqua"/>
          <w:color w:val="000000"/>
        </w:rPr>
        <w:t xml:space="preserve">hocytes in the human gastric mucosa during Helicobacter pylori have a T helper cell 1 phenotype.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482-492 [PMID: 9496938 DOI: 10.1016/s0016-5085(98)70531-1]</w:t>
      </w:r>
    </w:p>
    <w:p w14:paraId="3D02DFCF" w14:textId="77777777" w:rsidR="00A77B3E" w:rsidRDefault="009D63A8">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Ermak</w:t>
      </w:r>
      <w:proofErr w:type="spellEnd"/>
      <w:r>
        <w:rPr>
          <w:rFonts w:ascii="Book Antiqua" w:eastAsia="Book Antiqua" w:hAnsi="Book Antiqua" w:cs="Book Antiqua"/>
          <w:b/>
          <w:bCs/>
          <w:color w:val="000000"/>
        </w:rPr>
        <w:t xml:space="preserve"> TH</w:t>
      </w:r>
      <w:r>
        <w:rPr>
          <w:rFonts w:ascii="Book Antiqua" w:eastAsia="Book Antiqua" w:hAnsi="Book Antiqua" w:cs="Book Antiqua"/>
          <w:color w:val="000000"/>
        </w:rPr>
        <w:t xml:space="preserve">, Ding R, </w:t>
      </w:r>
      <w:proofErr w:type="spellStart"/>
      <w:r>
        <w:rPr>
          <w:rFonts w:ascii="Book Antiqua" w:eastAsia="Book Antiqua" w:hAnsi="Book Antiqua" w:cs="Book Antiqua"/>
          <w:color w:val="000000"/>
        </w:rPr>
        <w:t>Ekstein</w:t>
      </w:r>
      <w:proofErr w:type="spellEnd"/>
      <w:r>
        <w:rPr>
          <w:rFonts w:ascii="Book Antiqua" w:eastAsia="Book Antiqua" w:hAnsi="Book Antiqua" w:cs="Book Antiqua"/>
          <w:color w:val="000000"/>
        </w:rPr>
        <w:t xml:space="preserve"> B, Hill J, Myers GA, Lee CK,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Kleanthous</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Monath</w:t>
      </w:r>
      <w:proofErr w:type="spellEnd"/>
      <w:r>
        <w:rPr>
          <w:rFonts w:ascii="Book Antiqua" w:eastAsia="Book Antiqua" w:hAnsi="Book Antiqua" w:cs="Book Antiqua"/>
          <w:color w:val="000000"/>
        </w:rPr>
        <w:t xml:space="preserve"> TP. Gastritis in urease-immunized mice after Helicobacter </w:t>
      </w:r>
      <w:proofErr w:type="spellStart"/>
      <w:r>
        <w:rPr>
          <w:rFonts w:ascii="Book Antiqua" w:eastAsia="Book Antiqua" w:hAnsi="Book Antiqua" w:cs="Book Antiqua"/>
          <w:color w:val="000000"/>
        </w:rPr>
        <w:t>felis</w:t>
      </w:r>
      <w:proofErr w:type="spellEnd"/>
      <w:r>
        <w:rPr>
          <w:rFonts w:ascii="Book Antiqua" w:eastAsia="Book Antiqua" w:hAnsi="Book Antiqua" w:cs="Book Antiqua"/>
          <w:color w:val="000000"/>
        </w:rPr>
        <w:t xml:space="preserve"> challenge may be due to residual bacteria.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113</w:t>
      </w:r>
      <w:r>
        <w:rPr>
          <w:rFonts w:ascii="Book Antiqua" w:eastAsia="Book Antiqua" w:hAnsi="Book Antiqua" w:cs="Book Antiqua"/>
          <w:color w:val="000000"/>
        </w:rPr>
        <w:t>: 1118-1128 [PMID: 9322506 DOI: 10.1053/gast.1997.v113.pm9322506]</w:t>
      </w:r>
    </w:p>
    <w:p w14:paraId="3250DDD8" w14:textId="77777777" w:rsidR="00A77B3E" w:rsidRDefault="009D63A8">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Shiyan</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Bovin</w:t>
      </w:r>
      <w:proofErr w:type="spellEnd"/>
      <w:r>
        <w:rPr>
          <w:rFonts w:ascii="Book Antiqua" w:eastAsia="Book Antiqua" w:hAnsi="Book Antiqua" w:cs="Book Antiqua"/>
          <w:color w:val="000000"/>
        </w:rPr>
        <w:t xml:space="preserve"> NV. Carbohydrate </w:t>
      </w:r>
      <w:bookmarkEnd w:id="0"/>
      <w:r>
        <w:rPr>
          <w:rFonts w:ascii="Book Antiqua" w:eastAsia="Book Antiqua" w:hAnsi="Book Antiqua" w:cs="Book Antiqua"/>
          <w:color w:val="000000"/>
        </w:rPr>
        <w:t xml:space="preserve">composition and immunomodulatory activity of different </w:t>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of alpha1-acid glycoprotein. </w:t>
      </w:r>
      <w:proofErr w:type="spellStart"/>
      <w:r>
        <w:rPr>
          <w:rFonts w:ascii="Book Antiqua" w:eastAsia="Book Antiqua" w:hAnsi="Book Antiqua" w:cs="Book Antiqua"/>
          <w:i/>
          <w:iCs/>
          <w:color w:val="000000"/>
        </w:rPr>
        <w:t>Glycoconj</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1997; </w:t>
      </w:r>
      <w:r>
        <w:rPr>
          <w:rFonts w:ascii="Book Antiqua" w:eastAsia="Book Antiqua" w:hAnsi="Book Antiqua" w:cs="Book Antiqua"/>
          <w:b/>
          <w:bCs/>
          <w:color w:val="000000"/>
        </w:rPr>
        <w:t>14</w:t>
      </w:r>
      <w:r>
        <w:rPr>
          <w:rFonts w:ascii="Book Antiqua" w:eastAsia="Book Antiqua" w:hAnsi="Book Antiqua" w:cs="Book Antiqua"/>
          <w:color w:val="000000"/>
        </w:rPr>
        <w:t>: 631-638 [PMID: 9298696 DOI: 10.1023/a:1018544711767]</w:t>
      </w:r>
    </w:p>
    <w:p w14:paraId="635B728C" w14:textId="77777777" w:rsidR="00A77B3E" w:rsidRDefault="009D63A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Ihan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Kavcic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Gubina</w:t>
      </w:r>
      <w:proofErr w:type="spellEnd"/>
      <w:r>
        <w:rPr>
          <w:rFonts w:ascii="Book Antiqua" w:eastAsia="Book Antiqua" w:hAnsi="Book Antiqua" w:cs="Book Antiqua"/>
          <w:color w:val="000000"/>
        </w:rPr>
        <w:t xml:space="preserve"> M. Il-2 receptor expression on gastric mucosa T lymphocytes is enhanced in duodenal ulcer patients compared with non-ulcer dyspeptic patients.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43</w:t>
      </w:r>
      <w:r>
        <w:rPr>
          <w:rFonts w:ascii="Book Antiqua" w:eastAsia="Book Antiqua" w:hAnsi="Book Antiqua" w:cs="Book Antiqua"/>
          <w:color w:val="000000"/>
        </w:rPr>
        <w:t>: 1665-1670 [PMID: 8975986]</w:t>
      </w:r>
    </w:p>
    <w:p w14:paraId="46463ED9" w14:textId="77777777" w:rsidR="00A77B3E" w:rsidRDefault="009D63A8">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Krakowka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Ringler</w:t>
      </w:r>
      <w:proofErr w:type="spellEnd"/>
      <w:r>
        <w:rPr>
          <w:rFonts w:ascii="Book Antiqua" w:eastAsia="Book Antiqua" w:hAnsi="Book Antiqua" w:cs="Book Antiqua"/>
          <w:color w:val="000000"/>
        </w:rPr>
        <w:t xml:space="preserve"> SS, Eaton KA, Green WB, </w:t>
      </w:r>
      <w:proofErr w:type="spellStart"/>
      <w:r>
        <w:rPr>
          <w:rFonts w:ascii="Book Antiqua" w:eastAsia="Book Antiqua" w:hAnsi="Book Antiqua" w:cs="Book Antiqua"/>
          <w:color w:val="000000"/>
        </w:rPr>
        <w:t>Leunk</w:t>
      </w:r>
      <w:proofErr w:type="spellEnd"/>
      <w:r>
        <w:rPr>
          <w:rFonts w:ascii="Book Antiqua" w:eastAsia="Book Antiqua" w:hAnsi="Book Antiqua" w:cs="Book Antiqua"/>
          <w:color w:val="000000"/>
        </w:rPr>
        <w:t xml:space="preserve"> R. Manifestations of the local gastric immune response in gnotobiotic piglets infected with Helicobacter pylori. </w:t>
      </w:r>
      <w:r>
        <w:rPr>
          <w:rFonts w:ascii="Book Antiqua" w:eastAsia="Book Antiqua" w:hAnsi="Book Antiqua" w:cs="Book Antiqua"/>
          <w:i/>
          <w:iCs/>
          <w:color w:val="000000"/>
        </w:rPr>
        <w:t xml:space="preserve">Vet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52</w:t>
      </w:r>
      <w:r>
        <w:rPr>
          <w:rFonts w:ascii="Book Antiqua" w:eastAsia="Book Antiqua" w:hAnsi="Book Antiqua" w:cs="Book Antiqua"/>
          <w:color w:val="000000"/>
        </w:rPr>
        <w:t>: 159-173 [PMID: 8809998 DOI: 10.1016/0165-2427(95)05547-9]</w:t>
      </w:r>
    </w:p>
    <w:p w14:paraId="0FE5EA72" w14:textId="77777777" w:rsidR="00A77B3E" w:rsidRDefault="009D63A8">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Saiki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Ohtani</w:t>
      </w:r>
      <w:proofErr w:type="spellEnd"/>
      <w:r>
        <w:rPr>
          <w:rFonts w:ascii="Book Antiqua" w:eastAsia="Book Antiqua" w:hAnsi="Book Antiqua" w:cs="Book Antiqua"/>
          <w:color w:val="000000"/>
        </w:rPr>
        <w:t xml:space="preserve"> H, Naito Y, Miyazawa M, </w:t>
      </w:r>
      <w:proofErr w:type="spellStart"/>
      <w:r>
        <w:rPr>
          <w:rFonts w:ascii="Book Antiqua" w:eastAsia="Book Antiqua" w:hAnsi="Book Antiqua" w:cs="Book Antiqua"/>
          <w:color w:val="000000"/>
        </w:rPr>
        <w:t>Nagura</w:t>
      </w:r>
      <w:proofErr w:type="spellEnd"/>
      <w:r>
        <w:rPr>
          <w:rFonts w:ascii="Book Antiqua" w:eastAsia="Book Antiqua" w:hAnsi="Book Antiqua" w:cs="Book Antiqua"/>
          <w:color w:val="000000"/>
        </w:rPr>
        <w:t xml:space="preserve"> H. Immunophenotypic characterization of Epstein-Barr virus-associated gastric carcinoma: massive infiltration by proliferating CD8+ T-lymphocytes.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75</w:t>
      </w:r>
      <w:r>
        <w:rPr>
          <w:rFonts w:ascii="Book Antiqua" w:eastAsia="Book Antiqua" w:hAnsi="Book Antiqua" w:cs="Book Antiqua"/>
          <w:color w:val="000000"/>
        </w:rPr>
        <w:t>: 67-76 [PMID: 8683941]</w:t>
      </w:r>
    </w:p>
    <w:p w14:paraId="025FC234" w14:textId="77777777" w:rsidR="00A77B3E" w:rsidRDefault="009D63A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Fan X</w:t>
      </w:r>
      <w:r>
        <w:rPr>
          <w:rFonts w:ascii="Book Antiqua" w:eastAsia="Book Antiqua" w:hAnsi="Book Antiqua" w:cs="Book Antiqua"/>
          <w:color w:val="000000"/>
        </w:rPr>
        <w:t xml:space="preserve">, Long A, Fan X, Keeling PW, Kelleher D. Adhesion molecule expression on gastric intra-epithelial lymphocytes of patients with Helicobacter pylori infection.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7</w:t>
      </w:r>
      <w:r>
        <w:rPr>
          <w:rFonts w:ascii="Book Antiqua" w:eastAsia="Book Antiqua" w:hAnsi="Book Antiqua" w:cs="Book Antiqua"/>
          <w:color w:val="000000"/>
        </w:rPr>
        <w:t>: 541-546 [PMID: 7552637]</w:t>
      </w:r>
    </w:p>
    <w:p w14:paraId="2EA9ED81" w14:textId="61B405A7" w:rsidR="00A77B3E" w:rsidRDefault="009D63A8">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Ihan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Krizman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Ferlan-Marolt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Tepez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Gubina</w:t>
      </w:r>
      <w:proofErr w:type="spellEnd"/>
      <w:r>
        <w:rPr>
          <w:rFonts w:ascii="Book Antiqua" w:eastAsia="Book Antiqua" w:hAnsi="Book Antiqua" w:cs="Book Antiqua"/>
          <w:color w:val="000000"/>
        </w:rPr>
        <w:t xml:space="preserve"> M. HLA-DR expression on CD8 </w:t>
      </w:r>
      <w:r w:rsidR="00433FD3">
        <w:rPr>
          <w:rFonts w:ascii="Book Antiqua" w:eastAsia="Book Antiqua" w:hAnsi="Book Antiqua" w:cs="Book Antiqua"/>
          <w:color w:val="000000"/>
        </w:rPr>
        <w:t>l</w:t>
      </w:r>
      <w:r>
        <w:rPr>
          <w:rFonts w:ascii="Book Antiqua" w:eastAsia="Book Antiqua" w:hAnsi="Book Antiqua" w:cs="Book Antiqua"/>
          <w:color w:val="000000"/>
        </w:rPr>
        <w:t xml:space="preserve">ymphocytes from gastric mucosa in urease-positive and urease-negative gastritis. </w:t>
      </w:r>
      <w:r>
        <w:rPr>
          <w:rFonts w:ascii="Book Antiqua" w:eastAsia="Book Antiqua" w:hAnsi="Book Antiqua" w:cs="Book Antiqua"/>
          <w:i/>
          <w:iCs/>
          <w:color w:val="000000"/>
        </w:rPr>
        <w:t>FEMS Immunol Med Microbiol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295-299 [PMID: 7773247 DOI: 10.1111/j.1574-695X.1995.tb00047.x]</w:t>
      </w:r>
    </w:p>
    <w:p w14:paraId="48093293" w14:textId="77777777" w:rsidR="00A77B3E" w:rsidRDefault="009D63A8">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Alderuccio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BH, Gleeson PA, van </w:t>
      </w:r>
      <w:proofErr w:type="spellStart"/>
      <w:r>
        <w:rPr>
          <w:rFonts w:ascii="Book Antiqua" w:eastAsia="Book Antiqua" w:hAnsi="Book Antiqua" w:cs="Book Antiqua"/>
          <w:color w:val="000000"/>
        </w:rPr>
        <w:t>Driel</w:t>
      </w:r>
      <w:proofErr w:type="spellEnd"/>
      <w:r>
        <w:rPr>
          <w:rFonts w:ascii="Book Antiqua" w:eastAsia="Book Antiqua" w:hAnsi="Book Antiqua" w:cs="Book Antiqua"/>
          <w:color w:val="000000"/>
        </w:rPr>
        <w:t xml:space="preserve"> IR. A novel method for isolating mononuclear cells from the stomachs of mice with experimental autoimmune gastritis. </w:t>
      </w:r>
      <w:r>
        <w:rPr>
          <w:rFonts w:ascii="Book Antiqua" w:eastAsia="Book Antiqua" w:hAnsi="Book Antiqua" w:cs="Book Antiqua"/>
          <w:i/>
          <w:iCs/>
          <w:color w:val="000000"/>
        </w:rPr>
        <w:t>Autoimmunity</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215-221 [PMID: 8822279 DOI: 10.3109/08916939509008018]</w:t>
      </w:r>
    </w:p>
    <w:p w14:paraId="23E6118A" w14:textId="77777777" w:rsidR="00A77B3E" w:rsidRDefault="009D63A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Yamaguchi Y</w:t>
      </w:r>
      <w:r>
        <w:rPr>
          <w:rFonts w:ascii="Book Antiqua" w:eastAsia="Book Antiqua" w:hAnsi="Book Antiqua" w:cs="Book Antiqua"/>
          <w:color w:val="000000"/>
        </w:rPr>
        <w:t xml:space="preserve">, Takashima I, Funakoshi M, </w:t>
      </w:r>
      <w:proofErr w:type="spellStart"/>
      <w:r>
        <w:rPr>
          <w:rFonts w:ascii="Book Antiqua" w:eastAsia="Book Antiqua" w:hAnsi="Book Antiqua" w:cs="Book Antiqua"/>
          <w:color w:val="000000"/>
        </w:rPr>
        <w:t>Kawami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Toge</w:t>
      </w:r>
      <w:proofErr w:type="spellEnd"/>
      <w:r>
        <w:rPr>
          <w:rFonts w:ascii="Book Antiqua" w:eastAsia="Book Antiqua" w:hAnsi="Book Antiqua" w:cs="Book Antiqua"/>
          <w:color w:val="000000"/>
        </w:rPr>
        <w:t xml:space="preserve"> T. Defective natural killer activity in gastric cancer patients: possible involvement of suppressor factor receptor.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1994; </w:t>
      </w:r>
      <w:r>
        <w:rPr>
          <w:rFonts w:ascii="Book Antiqua" w:eastAsia="Book Antiqua" w:hAnsi="Book Antiqua" w:cs="Book Antiqua"/>
          <w:b/>
          <w:bCs/>
          <w:color w:val="000000"/>
        </w:rPr>
        <w:t>8</w:t>
      </w:r>
      <w:r>
        <w:rPr>
          <w:rFonts w:ascii="Book Antiqua" w:eastAsia="Book Antiqua" w:hAnsi="Book Antiqua" w:cs="Book Antiqua"/>
          <w:color w:val="000000"/>
        </w:rPr>
        <w:t>: 279-283 [PMID: 7803704]</w:t>
      </w:r>
    </w:p>
    <w:p w14:paraId="4C3B9055" w14:textId="77777777" w:rsidR="00A77B3E" w:rsidRDefault="009D63A8">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Ebihara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Sakai N, Koyama S. Suppression by sorted CD8+CD11b- cells from T-cell growth factor-activated peripheral blood lymphocytes on </w:t>
      </w:r>
      <w:proofErr w:type="spellStart"/>
      <w:r>
        <w:rPr>
          <w:rFonts w:ascii="Book Antiqua" w:eastAsia="Book Antiqua" w:hAnsi="Book Antiqua" w:cs="Book Antiqua"/>
          <w:color w:val="000000"/>
        </w:rPr>
        <w:t>cytolytic</w:t>
      </w:r>
      <w:proofErr w:type="spellEnd"/>
      <w:r>
        <w:rPr>
          <w:rFonts w:ascii="Book Antiqua" w:eastAsia="Book Antiqua" w:hAnsi="Book Antiqua" w:cs="Book Antiqua"/>
          <w:color w:val="000000"/>
        </w:rPr>
        <w:t xml:space="preserve"> activity against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patients with gastric carcinoma.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27</w:t>
      </w:r>
      <w:r>
        <w:rPr>
          <w:rFonts w:ascii="Book Antiqua" w:eastAsia="Book Antiqua" w:hAnsi="Book Antiqua" w:cs="Book Antiqua"/>
          <w:color w:val="000000"/>
        </w:rPr>
        <w:t>: 1654-1657 [PMID: 1838262 DOI: 10.1016/0277-5379(91)90439-k]</w:t>
      </w:r>
    </w:p>
    <w:p w14:paraId="241CE55F" w14:textId="77777777" w:rsidR="00A77B3E" w:rsidRDefault="009D63A8">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Yamaue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Iwahashi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Inoue M, Tamai M. [Clinical application of adoptive immunotherapy by cytotoxic T lymphocytes induced from tumor-infiltrating lymphocytes].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Chiryo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Gakkai</w:t>
      </w:r>
      <w:proofErr w:type="spellEnd"/>
      <w:r>
        <w:rPr>
          <w:rFonts w:ascii="Book Antiqua" w:eastAsia="Book Antiqua" w:hAnsi="Book Antiqua" w:cs="Book Antiqua"/>
          <w:i/>
          <w:iCs/>
          <w:color w:val="000000"/>
        </w:rPr>
        <w:t xml:space="preserve"> Shi</w:t>
      </w:r>
      <w:r>
        <w:rPr>
          <w:rFonts w:ascii="Book Antiqua" w:eastAsia="Book Antiqua" w:hAnsi="Book Antiqua" w:cs="Book Antiqua"/>
          <w:color w:val="000000"/>
        </w:rPr>
        <w:t xml:space="preserve"> 1990; </w:t>
      </w:r>
      <w:r>
        <w:rPr>
          <w:rFonts w:ascii="Book Antiqua" w:eastAsia="Book Antiqua" w:hAnsi="Book Antiqua" w:cs="Book Antiqua"/>
          <w:b/>
          <w:bCs/>
          <w:color w:val="000000"/>
        </w:rPr>
        <w:t>25</w:t>
      </w:r>
      <w:r>
        <w:rPr>
          <w:rFonts w:ascii="Book Antiqua" w:eastAsia="Book Antiqua" w:hAnsi="Book Antiqua" w:cs="Book Antiqua"/>
          <w:color w:val="000000"/>
        </w:rPr>
        <w:t>: 978-989 [PMID: 2391445]</w:t>
      </w:r>
    </w:p>
    <w:p w14:paraId="039834D9" w14:textId="77777777" w:rsidR="00A77B3E" w:rsidRDefault="009D63A8">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Takahashi T, Watanabe N, </w:t>
      </w:r>
      <w:proofErr w:type="spellStart"/>
      <w:r>
        <w:rPr>
          <w:rFonts w:ascii="Book Antiqua" w:eastAsia="Book Antiqua" w:hAnsi="Book Antiqua" w:cs="Book Antiqua"/>
          <w:color w:val="000000"/>
        </w:rPr>
        <w:t>Omote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Tanaka T, </w:t>
      </w:r>
      <w:proofErr w:type="spellStart"/>
      <w:r>
        <w:rPr>
          <w:rFonts w:ascii="Book Antiqua" w:eastAsia="Book Antiqua" w:hAnsi="Book Antiqua" w:cs="Book Antiqua"/>
          <w:color w:val="000000"/>
        </w:rPr>
        <w:t>Ennishi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Otsuka</w:t>
      </w:r>
      <w:proofErr w:type="spellEnd"/>
      <w:r>
        <w:rPr>
          <w:rFonts w:ascii="Book Antiqua" w:eastAsia="Book Antiqua" w:hAnsi="Book Antiqua" w:cs="Book Antiqua"/>
          <w:color w:val="000000"/>
        </w:rPr>
        <w:t xml:space="preserve"> F, Yoshino T, Okada H. Technique for single-step lymphocyte isolation from an endoscopic biopsy specimen for the diagnosis of gastrointestinal lymphoma. </w:t>
      </w:r>
      <w:proofErr w:type="spellStart"/>
      <w:r>
        <w:rPr>
          <w:rFonts w:ascii="Book Antiqua" w:eastAsia="Book Antiqua" w:hAnsi="Book Antiqua" w:cs="Book Antiqua"/>
          <w:i/>
          <w:iCs/>
          <w:color w:val="000000"/>
        </w:rPr>
        <w:t>MethodsX</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101095 [PMID: 33102158 DOI: 10.1016/j.mex.2020.101095]</w:t>
      </w:r>
    </w:p>
    <w:p w14:paraId="01301951" w14:textId="77777777" w:rsidR="00A77B3E" w:rsidRPr="004475C0" w:rsidRDefault="009D63A8">
      <w:pPr>
        <w:spacing w:line="360" w:lineRule="auto"/>
        <w:jc w:val="both"/>
        <w:rPr>
          <w:lang w:eastAsia="zh-CN"/>
        </w:rPr>
      </w:pPr>
      <w:r>
        <w:rPr>
          <w:rFonts w:ascii="Book Antiqua" w:eastAsia="Book Antiqua" w:hAnsi="Book Antiqua" w:cs="Book Antiqua"/>
          <w:color w:val="000000"/>
        </w:rPr>
        <w:t xml:space="preserve">68 </w:t>
      </w:r>
      <w:r>
        <w:rPr>
          <w:rFonts w:ascii="Book Antiqua" w:eastAsia="Book Antiqua" w:hAnsi="Book Antiqua" w:cs="Book Antiqua"/>
          <w:b/>
          <w:bCs/>
          <w:color w:val="000000"/>
        </w:rPr>
        <w:t>Oka S</w:t>
      </w:r>
      <w:r w:rsidRPr="004475C0">
        <w:rPr>
          <w:rFonts w:ascii="Book Antiqua" w:eastAsia="Book Antiqua" w:hAnsi="Book Antiqua" w:cs="Book Antiqua"/>
          <w:bCs/>
          <w:color w:val="000000"/>
        </w:rPr>
        <w:t>,</w:t>
      </w:r>
      <w:r w:rsidRPr="004475C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Muroi</w:t>
      </w:r>
      <w:proofErr w:type="spellEnd"/>
      <w:r>
        <w:rPr>
          <w:rFonts w:ascii="Book Antiqua" w:eastAsia="Book Antiqua" w:hAnsi="Book Antiqua" w:cs="Book Antiqua"/>
          <w:color w:val="000000"/>
        </w:rPr>
        <w:t xml:space="preserve"> K, Sato K, </w:t>
      </w:r>
      <w:proofErr w:type="spellStart"/>
      <w:r>
        <w:rPr>
          <w:rFonts w:ascii="Book Antiqua" w:eastAsia="Book Antiqua" w:hAnsi="Book Antiqua" w:cs="Book Antiqua"/>
          <w:color w:val="000000"/>
        </w:rPr>
        <w:t>Uskudar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Gulbas</w:t>
      </w:r>
      <w:proofErr w:type="spellEnd"/>
      <w:r>
        <w:rPr>
          <w:rFonts w:ascii="Book Antiqua" w:eastAsia="Book Antiqua" w:hAnsi="Book Antiqua" w:cs="Book Antiqua"/>
          <w:color w:val="000000"/>
        </w:rPr>
        <w:t xml:space="preserve"> Z. Flow cytometric evaluation of endoscopic biopsy specimens from patients with gastrointestinal tract B-cell lymphoma: a preliminary report. </w:t>
      </w:r>
      <w:proofErr w:type="spellStart"/>
      <w:r w:rsidRPr="004475C0">
        <w:rPr>
          <w:rFonts w:ascii="Book Antiqua" w:eastAsia="Book Antiqua" w:hAnsi="Book Antiqua" w:cs="Book Antiqua"/>
          <w:i/>
          <w:color w:val="000000"/>
        </w:rPr>
        <w:t>Jichi</w:t>
      </w:r>
      <w:proofErr w:type="spellEnd"/>
      <w:r w:rsidRPr="004475C0">
        <w:rPr>
          <w:rFonts w:ascii="Book Antiqua" w:eastAsia="Book Antiqua" w:hAnsi="Book Antiqua" w:cs="Book Antiqua"/>
          <w:i/>
          <w:color w:val="000000"/>
        </w:rPr>
        <w:t xml:space="preserve"> Med</w:t>
      </w:r>
      <w:r w:rsidR="004475C0" w:rsidRPr="004475C0">
        <w:rPr>
          <w:rFonts w:ascii="Book Antiqua" w:hAnsi="Book Antiqua" w:cs="Book Antiqua" w:hint="eastAsia"/>
          <w:i/>
          <w:color w:val="000000"/>
          <w:lang w:eastAsia="zh-CN"/>
        </w:rPr>
        <w:t xml:space="preserve"> </w:t>
      </w:r>
      <w:proofErr w:type="spellStart"/>
      <w:r w:rsidRPr="004475C0">
        <w:rPr>
          <w:rFonts w:ascii="Book Antiqua" w:eastAsia="Book Antiqua" w:hAnsi="Book Antiqua" w:cs="Book Antiqua"/>
          <w:i/>
          <w:color w:val="000000"/>
        </w:rPr>
        <w:t>Univ</w:t>
      </w:r>
      <w:proofErr w:type="spellEnd"/>
      <w:r w:rsidR="004475C0" w:rsidRPr="004475C0">
        <w:rPr>
          <w:rFonts w:ascii="Book Antiqua" w:hAnsi="Book Antiqua" w:cs="Book Antiqua" w:hint="eastAsia"/>
          <w:i/>
          <w:color w:val="000000"/>
          <w:lang w:eastAsia="zh-CN"/>
        </w:rPr>
        <w:t xml:space="preserve"> </w:t>
      </w:r>
      <w:r w:rsidRPr="004475C0">
        <w:rPr>
          <w:rFonts w:ascii="Book Antiqua" w:eastAsia="Book Antiqua" w:hAnsi="Book Antiqua" w:cs="Book Antiqua"/>
          <w:i/>
          <w:color w:val="000000"/>
        </w:rPr>
        <w:t>J</w:t>
      </w:r>
      <w:r w:rsidR="004475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2007; </w:t>
      </w:r>
      <w:r w:rsidRPr="004475C0">
        <w:rPr>
          <w:rFonts w:ascii="Book Antiqua" w:eastAsia="Book Antiqua" w:hAnsi="Book Antiqua" w:cs="Book Antiqua"/>
          <w:b/>
          <w:color w:val="000000"/>
        </w:rPr>
        <w:t>30</w:t>
      </w:r>
      <w:r>
        <w:rPr>
          <w:rFonts w:ascii="Book Antiqua" w:eastAsia="Book Antiqua" w:hAnsi="Book Antiqua" w:cs="Book Antiqua"/>
          <w:color w:val="000000"/>
        </w:rPr>
        <w:t>: 129-135</w:t>
      </w:r>
    </w:p>
    <w:p w14:paraId="2D47D98C" w14:textId="77777777" w:rsidR="00A77B3E" w:rsidRDefault="009D63A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Oka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Muroi</w:t>
      </w:r>
      <w:proofErr w:type="spellEnd"/>
      <w:r>
        <w:rPr>
          <w:rFonts w:ascii="Book Antiqua" w:eastAsia="Book Antiqua" w:hAnsi="Book Antiqua" w:cs="Book Antiqua"/>
          <w:color w:val="000000"/>
        </w:rPr>
        <w:t xml:space="preserve"> K, Sato K, Fujiwara S, Oh I, Matsuyama T, </w:t>
      </w:r>
      <w:proofErr w:type="spellStart"/>
      <w:r>
        <w:rPr>
          <w:rFonts w:ascii="Book Antiqua" w:eastAsia="Book Antiqua" w:hAnsi="Book Antiqua" w:cs="Book Antiqua"/>
          <w:color w:val="000000"/>
        </w:rPr>
        <w:t>Ohmine</w:t>
      </w:r>
      <w:proofErr w:type="spellEnd"/>
      <w:r>
        <w:rPr>
          <w:rFonts w:ascii="Book Antiqua" w:eastAsia="Book Antiqua" w:hAnsi="Book Antiqua" w:cs="Book Antiqua"/>
          <w:color w:val="000000"/>
        </w:rPr>
        <w:t xml:space="preserve"> K, Suzuki T, Ozaki K, Mori M, Nagai T, Fukushima N, Fukushima N, Tanaka A, Ozawa K. Flow cytometric analysis of kappa and lambda light chain expression in endoscopic biopsy specimens before the diagnosis of B-cell lymphoma.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Hematop</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52</w:t>
      </w:r>
      <w:r>
        <w:rPr>
          <w:rFonts w:ascii="Book Antiqua" w:eastAsia="Book Antiqua" w:hAnsi="Book Antiqua" w:cs="Book Antiqua"/>
          <w:color w:val="000000"/>
        </w:rPr>
        <w:t>: 127-131 [PMID: 23037629 DOI: 10.3960/jslrt.52.127]</w:t>
      </w:r>
    </w:p>
    <w:p w14:paraId="38718E47" w14:textId="77777777" w:rsidR="00A77B3E" w:rsidRDefault="009D63A8">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Almasri</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Zaer</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Iturraspe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Braylan</w:t>
      </w:r>
      <w:proofErr w:type="spellEnd"/>
      <w:r>
        <w:rPr>
          <w:rFonts w:ascii="Book Antiqua" w:eastAsia="Book Antiqua" w:hAnsi="Book Antiqua" w:cs="Book Antiqua"/>
          <w:color w:val="000000"/>
        </w:rPr>
        <w:t xml:space="preserve"> RC. Contribution of flow cytometry to the diagnosis of gastric lymphomas in endoscopic biopsy specimens.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10</w:t>
      </w:r>
      <w:r>
        <w:rPr>
          <w:rFonts w:ascii="Book Antiqua" w:eastAsia="Book Antiqua" w:hAnsi="Book Antiqua" w:cs="Book Antiqua"/>
          <w:color w:val="000000"/>
        </w:rPr>
        <w:t>: 650-656 [PMID: 9237173]</w:t>
      </w:r>
    </w:p>
    <w:p w14:paraId="776C0488" w14:textId="3F1FA96B" w:rsidR="00A77B3E" w:rsidRDefault="009D63A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Takahashi T, </w:t>
      </w:r>
      <w:proofErr w:type="spellStart"/>
      <w:r>
        <w:rPr>
          <w:rFonts w:ascii="Book Antiqua" w:eastAsia="Book Antiqua" w:hAnsi="Book Antiqua" w:cs="Book Antiqua"/>
          <w:color w:val="000000"/>
        </w:rPr>
        <w:t>Omote</w:t>
      </w:r>
      <w:proofErr w:type="spellEnd"/>
      <w:r>
        <w:rPr>
          <w:rFonts w:ascii="Book Antiqua" w:eastAsia="Book Antiqua" w:hAnsi="Book Antiqua" w:cs="Book Antiqua"/>
          <w:color w:val="000000"/>
        </w:rPr>
        <w:t xml:space="preserve"> S, Tanaka T, </w:t>
      </w:r>
      <w:proofErr w:type="spellStart"/>
      <w:r>
        <w:rPr>
          <w:rFonts w:ascii="Book Antiqua" w:eastAsia="Book Antiqua" w:hAnsi="Book Antiqua" w:cs="Book Antiqua"/>
          <w:color w:val="000000"/>
        </w:rPr>
        <w:t>Ennishi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Otsuka</w:t>
      </w:r>
      <w:proofErr w:type="spellEnd"/>
      <w:r>
        <w:rPr>
          <w:rFonts w:ascii="Book Antiqua" w:eastAsia="Book Antiqua" w:hAnsi="Book Antiqua" w:cs="Book Antiqua"/>
          <w:color w:val="000000"/>
        </w:rPr>
        <w:t xml:space="preserve"> F, Yoshino T, Okada H. An Endoscopic Biopsy Specimen Contains Adequate Lymphocytes for Flow Cytometric Analysis of Light Chain Expression in the Gastrointestinal Mucosa. </w:t>
      </w:r>
      <w:r>
        <w:rPr>
          <w:rFonts w:ascii="Book Antiqua" w:eastAsia="Book Antiqua" w:hAnsi="Book Antiqua" w:cs="Book Antiqua"/>
          <w:i/>
          <w:iCs/>
          <w:color w:val="000000"/>
        </w:rPr>
        <w:t>Ann Clin Lab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348-353 [PMID: 32581024]</w:t>
      </w:r>
    </w:p>
    <w:p w14:paraId="3CB339D9" w14:textId="42BF1AB7" w:rsidR="00433FD3" w:rsidRDefault="00433FD3">
      <w:pPr>
        <w:spacing w:line="360" w:lineRule="auto"/>
        <w:jc w:val="both"/>
        <w:rPr>
          <w:rFonts w:ascii="Book Antiqua" w:eastAsia="Book Antiqua" w:hAnsi="Book Antiqua" w:cs="Book Antiqua"/>
          <w:color w:val="000000"/>
        </w:rPr>
      </w:pPr>
    </w:p>
    <w:p w14:paraId="3870B300" w14:textId="77777777" w:rsidR="00433FD3" w:rsidRDefault="00433FD3">
      <w:pPr>
        <w:spacing w:line="360" w:lineRule="auto"/>
        <w:jc w:val="both"/>
      </w:pPr>
    </w:p>
    <w:p w14:paraId="05F6C98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79EC850" w14:textId="77777777" w:rsidR="00A77B3E" w:rsidRDefault="009D63A8">
      <w:pPr>
        <w:spacing w:line="360" w:lineRule="auto"/>
        <w:jc w:val="both"/>
      </w:pPr>
      <w:r>
        <w:rPr>
          <w:rFonts w:ascii="Book Antiqua" w:eastAsia="Book Antiqua" w:hAnsi="Book Antiqua" w:cs="Book Antiqua"/>
          <w:b/>
          <w:color w:val="000000"/>
        </w:rPr>
        <w:lastRenderedPageBreak/>
        <w:t>Footnotes</w:t>
      </w:r>
    </w:p>
    <w:p w14:paraId="517797B4" w14:textId="77777777" w:rsidR="00A77B3E" w:rsidRDefault="009D63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associated with this article.</w:t>
      </w:r>
    </w:p>
    <w:p w14:paraId="7403AAC8" w14:textId="77777777" w:rsidR="00A77B3E" w:rsidRDefault="00A77B3E">
      <w:pPr>
        <w:spacing w:line="360" w:lineRule="auto"/>
        <w:jc w:val="both"/>
      </w:pPr>
    </w:p>
    <w:p w14:paraId="4BBBA50E" w14:textId="77777777" w:rsidR="00A77B3E" w:rsidRDefault="009D63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B7E139" w14:textId="77777777" w:rsidR="00A77B3E" w:rsidRDefault="00A77B3E">
      <w:pPr>
        <w:spacing w:line="360" w:lineRule="auto"/>
        <w:jc w:val="both"/>
      </w:pPr>
    </w:p>
    <w:p w14:paraId="4148516D" w14:textId="77777777" w:rsidR="00A77B3E" w:rsidRDefault="009D63A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475C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E68970C" w14:textId="77777777" w:rsidR="00A77B3E" w:rsidRDefault="00A77B3E">
      <w:pPr>
        <w:spacing w:line="360" w:lineRule="auto"/>
        <w:jc w:val="both"/>
      </w:pPr>
    </w:p>
    <w:p w14:paraId="5D774FAB" w14:textId="77777777" w:rsidR="00A77B3E" w:rsidRDefault="009D63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453848AF" w14:textId="77777777" w:rsidR="00A77B3E" w:rsidRDefault="009D63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1B493B31" w14:textId="587D9675" w:rsidR="00A77B3E" w:rsidRDefault="009D63A8">
      <w:pPr>
        <w:spacing w:line="360" w:lineRule="auto"/>
        <w:jc w:val="both"/>
      </w:pPr>
      <w:r>
        <w:rPr>
          <w:rFonts w:ascii="Book Antiqua" w:eastAsia="Book Antiqua" w:hAnsi="Book Antiqua" w:cs="Book Antiqua"/>
          <w:b/>
          <w:color w:val="000000"/>
        </w:rPr>
        <w:t xml:space="preserve">Article in press: </w:t>
      </w:r>
      <w:r w:rsidR="0006672E" w:rsidRPr="007C10ED">
        <w:rPr>
          <w:rFonts w:ascii="Book Antiqua" w:eastAsia="Book Antiqua" w:hAnsi="Book Antiqua" w:cs="Book Antiqua"/>
          <w:bCs/>
          <w:color w:val="000000"/>
        </w:rPr>
        <w:t>July 9, 2021</w:t>
      </w:r>
    </w:p>
    <w:p w14:paraId="63708391" w14:textId="77777777" w:rsidR="00A77B3E" w:rsidRDefault="00A77B3E">
      <w:pPr>
        <w:spacing w:line="360" w:lineRule="auto"/>
        <w:jc w:val="both"/>
      </w:pPr>
    </w:p>
    <w:p w14:paraId="6E74376D" w14:textId="77777777" w:rsidR="00A77B3E" w:rsidRDefault="009D63A8">
      <w:pPr>
        <w:spacing w:line="360" w:lineRule="auto"/>
        <w:jc w:val="both"/>
      </w:pPr>
      <w:r>
        <w:rPr>
          <w:rFonts w:ascii="Book Antiqua" w:eastAsia="Book Antiqua" w:hAnsi="Book Antiqua" w:cs="Book Antiqua"/>
          <w:b/>
          <w:color w:val="000000"/>
        </w:rPr>
        <w:t xml:space="preserve">Specialty type: </w:t>
      </w:r>
      <w:r w:rsidR="004475C0" w:rsidRPr="00E700C2">
        <w:rPr>
          <w:rFonts w:ascii="Book Antiqua" w:eastAsia="微软雅黑" w:hAnsi="Book Antiqua" w:cs="宋体"/>
        </w:rPr>
        <w:t>Medical laboratory technology</w:t>
      </w:r>
    </w:p>
    <w:p w14:paraId="7B7F440F" w14:textId="77777777" w:rsidR="00A77B3E" w:rsidRDefault="009D63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C62F034" w14:textId="77777777" w:rsidR="00A77B3E" w:rsidRDefault="009D63A8">
      <w:pPr>
        <w:spacing w:line="360" w:lineRule="auto"/>
        <w:jc w:val="both"/>
      </w:pPr>
      <w:r>
        <w:rPr>
          <w:rFonts w:ascii="Book Antiqua" w:eastAsia="Book Antiqua" w:hAnsi="Book Antiqua" w:cs="Book Antiqua"/>
          <w:b/>
          <w:color w:val="000000"/>
        </w:rPr>
        <w:t>Peer-review report’s scientific quality classification</w:t>
      </w:r>
    </w:p>
    <w:p w14:paraId="5AA5E55D" w14:textId="77777777" w:rsidR="00A77B3E" w:rsidRDefault="009D63A8">
      <w:pPr>
        <w:spacing w:line="360" w:lineRule="auto"/>
        <w:jc w:val="both"/>
      </w:pPr>
      <w:r>
        <w:rPr>
          <w:rFonts w:ascii="Book Antiqua" w:eastAsia="Book Antiqua" w:hAnsi="Book Antiqua" w:cs="Book Antiqua"/>
          <w:color w:val="000000"/>
        </w:rPr>
        <w:t>Grade A (Excellent): 0</w:t>
      </w:r>
    </w:p>
    <w:p w14:paraId="295CFEE6" w14:textId="77777777" w:rsidR="00A77B3E" w:rsidRDefault="009D63A8">
      <w:pPr>
        <w:spacing w:line="360" w:lineRule="auto"/>
        <w:jc w:val="both"/>
      </w:pPr>
      <w:r>
        <w:rPr>
          <w:rFonts w:ascii="Book Antiqua" w:eastAsia="Book Antiqua" w:hAnsi="Book Antiqua" w:cs="Book Antiqua"/>
          <w:color w:val="000000"/>
        </w:rPr>
        <w:t>Grade B (Very good): B</w:t>
      </w:r>
    </w:p>
    <w:p w14:paraId="6FAB766C" w14:textId="77777777" w:rsidR="00A77B3E" w:rsidRDefault="009D63A8">
      <w:pPr>
        <w:spacing w:line="360" w:lineRule="auto"/>
        <w:jc w:val="both"/>
      </w:pPr>
      <w:r>
        <w:rPr>
          <w:rFonts w:ascii="Book Antiqua" w:eastAsia="Book Antiqua" w:hAnsi="Book Antiqua" w:cs="Book Antiqua"/>
          <w:color w:val="000000"/>
        </w:rPr>
        <w:t>Grade C (Good): 0</w:t>
      </w:r>
    </w:p>
    <w:p w14:paraId="1FEB0845" w14:textId="77777777" w:rsidR="00A77B3E" w:rsidRDefault="009D63A8">
      <w:pPr>
        <w:spacing w:line="360" w:lineRule="auto"/>
        <w:jc w:val="both"/>
      </w:pPr>
      <w:r>
        <w:rPr>
          <w:rFonts w:ascii="Book Antiqua" w:eastAsia="Book Antiqua" w:hAnsi="Book Antiqua" w:cs="Book Antiqua"/>
          <w:color w:val="000000"/>
        </w:rPr>
        <w:t>Grade D (Fair): 0</w:t>
      </w:r>
    </w:p>
    <w:p w14:paraId="16A8FC6F" w14:textId="77777777" w:rsidR="00A77B3E" w:rsidRDefault="009D63A8">
      <w:pPr>
        <w:spacing w:line="360" w:lineRule="auto"/>
        <w:jc w:val="both"/>
      </w:pPr>
      <w:r>
        <w:rPr>
          <w:rFonts w:ascii="Book Antiqua" w:eastAsia="Book Antiqua" w:hAnsi="Book Antiqua" w:cs="Book Antiqua"/>
          <w:color w:val="000000"/>
        </w:rPr>
        <w:t>Grade E (Poor): 0</w:t>
      </w:r>
    </w:p>
    <w:p w14:paraId="6BE8FF18" w14:textId="77777777" w:rsidR="00A77B3E" w:rsidRDefault="00A77B3E">
      <w:pPr>
        <w:spacing w:line="360" w:lineRule="auto"/>
        <w:jc w:val="both"/>
      </w:pPr>
    </w:p>
    <w:p w14:paraId="648F3494" w14:textId="2C89FE8C" w:rsidR="00A77B3E" w:rsidRDefault="009D63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 Mario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6672E" w:rsidRPr="0006672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6672E" w:rsidRPr="0006672E">
        <w:rPr>
          <w:rFonts w:ascii="Book Antiqua" w:eastAsia="Book Antiqua" w:hAnsi="Book Antiqua" w:cs="Book Antiqua"/>
          <w:bCs/>
          <w:color w:val="000000"/>
        </w:rPr>
        <w:t>Li X</w:t>
      </w:r>
    </w:p>
    <w:p w14:paraId="1319CC61" w14:textId="5FC2550A" w:rsidR="0006672E" w:rsidRDefault="0006672E">
      <w:pPr>
        <w:spacing w:line="360" w:lineRule="auto"/>
        <w:jc w:val="both"/>
        <w:rPr>
          <w:rFonts w:ascii="Book Antiqua" w:eastAsia="Book Antiqua" w:hAnsi="Book Antiqua" w:cs="Book Antiqua"/>
          <w:b/>
          <w:color w:val="000000"/>
        </w:rPr>
      </w:pPr>
    </w:p>
    <w:p w14:paraId="3D455C7D" w14:textId="77777777" w:rsidR="0006672E" w:rsidRDefault="0006672E">
      <w:pPr>
        <w:spacing w:line="360" w:lineRule="auto"/>
        <w:jc w:val="both"/>
        <w:rPr>
          <w:rFonts w:ascii="Book Antiqua" w:eastAsia="Book Antiqua" w:hAnsi="Book Antiqua" w:cs="Book Antiqua"/>
          <w:b/>
          <w:color w:val="000000"/>
        </w:rPr>
      </w:pPr>
    </w:p>
    <w:p w14:paraId="64E0EB27" w14:textId="77777777" w:rsidR="00A77B3E" w:rsidRDefault="009D63A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23AA2BC2" w14:textId="77777777" w:rsidR="00A23F81" w:rsidRPr="00A23F81" w:rsidRDefault="00A23F81">
      <w:pPr>
        <w:spacing w:line="360" w:lineRule="auto"/>
        <w:jc w:val="both"/>
        <w:rPr>
          <w:lang w:eastAsia="zh-CN"/>
        </w:rPr>
      </w:pPr>
      <w:r>
        <w:rPr>
          <w:noProof/>
          <w:lang w:eastAsia="zh-CN"/>
        </w:rPr>
        <w:drawing>
          <wp:inline distT="0" distB="0" distL="0" distR="0" wp14:anchorId="679A0C69" wp14:editId="1BDAF908">
            <wp:extent cx="5076101" cy="4697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5791" cy="4696898"/>
                    </a:xfrm>
                    <a:prstGeom prst="rect">
                      <a:avLst/>
                    </a:prstGeom>
                    <a:noFill/>
                  </pic:spPr>
                </pic:pic>
              </a:graphicData>
            </a:graphic>
          </wp:inline>
        </w:drawing>
      </w:r>
    </w:p>
    <w:p w14:paraId="525D7D3A" w14:textId="44F7106F" w:rsidR="00A77B3E" w:rsidRDefault="009D63A8">
      <w:pPr>
        <w:spacing w:line="360" w:lineRule="auto"/>
        <w:jc w:val="both"/>
        <w:rPr>
          <w:rFonts w:ascii="Book Antiqua" w:eastAsia="Book Antiqua" w:hAnsi="Book Antiqua" w:cs="Book Antiqua"/>
          <w:b/>
          <w:color w:val="000000"/>
        </w:rPr>
      </w:pPr>
      <w:r w:rsidRPr="00A23F81">
        <w:rPr>
          <w:rFonts w:ascii="Book Antiqua" w:eastAsia="Book Antiqua" w:hAnsi="Book Antiqua" w:cs="Book Antiqua"/>
          <w:b/>
          <w:color w:val="000000"/>
        </w:rPr>
        <w:t>Fig</w:t>
      </w:r>
      <w:r w:rsidR="00A23F81" w:rsidRPr="00A23F81">
        <w:rPr>
          <w:rFonts w:ascii="Book Antiqua" w:hAnsi="Book Antiqua" w:cs="Book Antiqua" w:hint="eastAsia"/>
          <w:b/>
          <w:color w:val="000000"/>
          <w:lang w:eastAsia="zh-CN"/>
        </w:rPr>
        <w:t>ure</w:t>
      </w:r>
      <w:r w:rsidRPr="00A23F81">
        <w:rPr>
          <w:rFonts w:ascii="Book Antiqua" w:eastAsia="Book Antiqua" w:hAnsi="Book Antiqua" w:cs="Book Antiqua"/>
          <w:b/>
          <w:color w:val="000000"/>
        </w:rPr>
        <w:t xml:space="preserve"> 1</w:t>
      </w:r>
      <w:r w:rsidR="00A23F81" w:rsidRPr="00A23F81">
        <w:rPr>
          <w:rFonts w:ascii="Book Antiqua" w:hAnsi="Book Antiqua" w:cs="Book Antiqua" w:hint="eastAsia"/>
          <w:b/>
          <w:color w:val="000000"/>
          <w:lang w:eastAsia="zh-CN"/>
        </w:rPr>
        <w:t xml:space="preserve"> </w:t>
      </w:r>
      <w:r w:rsidRPr="00A23F81">
        <w:rPr>
          <w:rFonts w:ascii="Book Antiqua" w:eastAsia="Book Antiqua" w:hAnsi="Book Antiqua" w:cs="Book Antiqua"/>
          <w:b/>
          <w:color w:val="000000"/>
        </w:rPr>
        <w:t>Selection of articles for the review.</w:t>
      </w:r>
    </w:p>
    <w:p w14:paraId="553E486A" w14:textId="1702E30B" w:rsidR="00AD4833" w:rsidRDefault="00AD4833">
      <w:pPr>
        <w:rPr>
          <w:b/>
        </w:rPr>
      </w:pPr>
      <w:r>
        <w:rPr>
          <w:b/>
        </w:rPr>
        <w:br w:type="page"/>
      </w:r>
    </w:p>
    <w:p w14:paraId="2340A2C8" w14:textId="77777777" w:rsidR="00AD4833" w:rsidRDefault="00AD4833" w:rsidP="00AD4833">
      <w:pPr>
        <w:jc w:val="center"/>
        <w:rPr>
          <w:rFonts w:ascii="Book Antiqua" w:hAnsi="Book Antiqua"/>
        </w:rPr>
      </w:pPr>
    </w:p>
    <w:p w14:paraId="01B1A11C" w14:textId="77777777" w:rsidR="00AD4833" w:rsidRDefault="00AD4833" w:rsidP="00AD4833">
      <w:pPr>
        <w:jc w:val="center"/>
        <w:rPr>
          <w:rFonts w:ascii="Book Antiqua" w:hAnsi="Book Antiqua"/>
        </w:rPr>
      </w:pPr>
    </w:p>
    <w:p w14:paraId="167E6978" w14:textId="77777777" w:rsidR="00AD4833" w:rsidRDefault="00AD4833" w:rsidP="00AD4833">
      <w:pPr>
        <w:jc w:val="center"/>
        <w:rPr>
          <w:rFonts w:ascii="Book Antiqua" w:hAnsi="Book Antiqua"/>
        </w:rPr>
      </w:pPr>
    </w:p>
    <w:p w14:paraId="0AA0E037" w14:textId="77777777" w:rsidR="00AD4833" w:rsidRDefault="00AD4833" w:rsidP="00AD4833">
      <w:pPr>
        <w:jc w:val="center"/>
        <w:rPr>
          <w:rFonts w:ascii="Book Antiqua" w:hAnsi="Book Antiqua"/>
        </w:rPr>
      </w:pPr>
    </w:p>
    <w:p w14:paraId="58C64A43" w14:textId="77777777" w:rsidR="00AD4833" w:rsidRDefault="00AD4833" w:rsidP="00AD4833">
      <w:pPr>
        <w:jc w:val="center"/>
        <w:rPr>
          <w:rFonts w:ascii="Book Antiqua" w:hAnsi="Book Antiqua"/>
        </w:rPr>
      </w:pPr>
    </w:p>
    <w:p w14:paraId="4A1BD397" w14:textId="77777777" w:rsidR="00AD4833" w:rsidRDefault="00AD4833" w:rsidP="00AD4833">
      <w:pPr>
        <w:jc w:val="center"/>
        <w:rPr>
          <w:rFonts w:ascii="Book Antiqua" w:hAnsi="Book Antiqua"/>
        </w:rPr>
      </w:pPr>
      <w:r>
        <w:rPr>
          <w:rFonts w:ascii="Book Antiqua" w:hAnsi="Book Antiqua"/>
          <w:noProof/>
          <w:lang w:eastAsia="zh-CN"/>
        </w:rPr>
        <w:drawing>
          <wp:inline distT="0" distB="0" distL="0" distR="0" wp14:anchorId="01B631F2" wp14:editId="45A6CB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912D3C" w14:textId="77777777" w:rsidR="00AD4833" w:rsidRDefault="00AD4833" w:rsidP="00AD4833">
      <w:pPr>
        <w:jc w:val="center"/>
        <w:rPr>
          <w:rFonts w:ascii="Book Antiqua" w:hAnsi="Book Antiqua"/>
        </w:rPr>
      </w:pPr>
    </w:p>
    <w:p w14:paraId="6481276B" w14:textId="77777777" w:rsidR="00AD4833" w:rsidRPr="00763D22" w:rsidRDefault="00AD4833" w:rsidP="00AD48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9D21ECB" w14:textId="77777777" w:rsidR="00AD4833" w:rsidRPr="00763D22" w:rsidRDefault="00AD4833" w:rsidP="00AD48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F4334E" w14:textId="77777777" w:rsidR="00AD4833" w:rsidRPr="00763D22" w:rsidRDefault="00AD4833" w:rsidP="00AD48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60FDD8" w14:textId="77777777" w:rsidR="00AD4833" w:rsidRPr="00763D22" w:rsidRDefault="00AD4833" w:rsidP="00AD48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F71E63" w14:textId="77777777" w:rsidR="00AD4833" w:rsidRPr="00763D22" w:rsidRDefault="00AD4833" w:rsidP="00AD48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558A69" w14:textId="77777777" w:rsidR="00AD4833" w:rsidRPr="00763D22" w:rsidRDefault="00AD4833" w:rsidP="00AD483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9ABE52A" w14:textId="77777777" w:rsidR="00AD4833" w:rsidRDefault="00AD4833" w:rsidP="00AD4833">
      <w:pPr>
        <w:jc w:val="center"/>
        <w:rPr>
          <w:rFonts w:ascii="Book Antiqua" w:hAnsi="Book Antiqua"/>
        </w:rPr>
      </w:pPr>
    </w:p>
    <w:p w14:paraId="5283623C" w14:textId="77777777" w:rsidR="00AD4833" w:rsidRDefault="00AD4833" w:rsidP="00AD4833">
      <w:pPr>
        <w:jc w:val="center"/>
        <w:rPr>
          <w:rFonts w:ascii="Book Antiqua" w:hAnsi="Book Antiqua"/>
        </w:rPr>
      </w:pPr>
    </w:p>
    <w:p w14:paraId="155C79E2" w14:textId="77777777" w:rsidR="00AD4833" w:rsidRDefault="00AD4833" w:rsidP="00AD4833">
      <w:pPr>
        <w:jc w:val="center"/>
        <w:rPr>
          <w:rFonts w:ascii="Book Antiqua" w:hAnsi="Book Antiqua"/>
        </w:rPr>
      </w:pPr>
    </w:p>
    <w:p w14:paraId="17BC7DAA" w14:textId="77777777" w:rsidR="00AD4833" w:rsidRDefault="00AD4833" w:rsidP="00AD4833">
      <w:pPr>
        <w:jc w:val="center"/>
        <w:rPr>
          <w:rFonts w:ascii="Book Antiqua" w:hAnsi="Book Antiqua"/>
        </w:rPr>
      </w:pPr>
      <w:r>
        <w:rPr>
          <w:rFonts w:ascii="Book Antiqua" w:hAnsi="Book Antiqua"/>
          <w:noProof/>
          <w:lang w:eastAsia="zh-CN"/>
        </w:rPr>
        <w:drawing>
          <wp:inline distT="0" distB="0" distL="0" distR="0" wp14:anchorId="2AE88C11" wp14:editId="36523A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2D9CD4" w14:textId="77777777" w:rsidR="00AD4833" w:rsidRDefault="00AD4833" w:rsidP="00AD4833">
      <w:pPr>
        <w:jc w:val="center"/>
        <w:rPr>
          <w:rFonts w:ascii="Book Antiqua" w:hAnsi="Book Antiqua"/>
        </w:rPr>
      </w:pPr>
    </w:p>
    <w:p w14:paraId="31E64217" w14:textId="77777777" w:rsidR="00AD4833" w:rsidRDefault="00AD4833" w:rsidP="00AD4833">
      <w:pPr>
        <w:jc w:val="center"/>
        <w:rPr>
          <w:rFonts w:ascii="Book Antiqua" w:hAnsi="Book Antiqua"/>
        </w:rPr>
      </w:pPr>
    </w:p>
    <w:p w14:paraId="6982345C" w14:textId="77777777" w:rsidR="00AD4833" w:rsidRDefault="00AD4833" w:rsidP="00AD4833">
      <w:pPr>
        <w:jc w:val="center"/>
        <w:rPr>
          <w:rFonts w:ascii="Book Antiqua" w:hAnsi="Book Antiqua"/>
        </w:rPr>
      </w:pPr>
    </w:p>
    <w:p w14:paraId="431F9C9E" w14:textId="77777777" w:rsidR="00AD4833" w:rsidRDefault="00AD4833" w:rsidP="00AD4833">
      <w:pPr>
        <w:jc w:val="center"/>
        <w:rPr>
          <w:rFonts w:ascii="Book Antiqua" w:hAnsi="Book Antiqua"/>
        </w:rPr>
      </w:pPr>
    </w:p>
    <w:p w14:paraId="2EC82228" w14:textId="77777777" w:rsidR="00AD4833" w:rsidRDefault="00AD4833" w:rsidP="00AD4833">
      <w:pPr>
        <w:jc w:val="center"/>
        <w:rPr>
          <w:rFonts w:ascii="Book Antiqua" w:hAnsi="Book Antiqua"/>
        </w:rPr>
      </w:pPr>
    </w:p>
    <w:p w14:paraId="4ED31A51" w14:textId="77777777" w:rsidR="00AD4833" w:rsidRDefault="00AD4833" w:rsidP="00AD4833">
      <w:pPr>
        <w:jc w:val="center"/>
        <w:rPr>
          <w:rFonts w:ascii="Book Antiqua" w:hAnsi="Book Antiqua"/>
        </w:rPr>
      </w:pPr>
    </w:p>
    <w:p w14:paraId="13A581B3" w14:textId="77777777" w:rsidR="00AD4833" w:rsidRDefault="00AD4833" w:rsidP="00AD4833">
      <w:pPr>
        <w:jc w:val="center"/>
        <w:rPr>
          <w:rFonts w:ascii="Book Antiqua" w:hAnsi="Book Antiqua"/>
        </w:rPr>
      </w:pPr>
    </w:p>
    <w:p w14:paraId="4F6D758F" w14:textId="77777777" w:rsidR="00AD4833" w:rsidRDefault="00AD4833" w:rsidP="00AD4833">
      <w:pPr>
        <w:jc w:val="center"/>
        <w:rPr>
          <w:rFonts w:ascii="Book Antiqua" w:hAnsi="Book Antiqua"/>
        </w:rPr>
      </w:pPr>
    </w:p>
    <w:p w14:paraId="3543DE5E" w14:textId="77777777" w:rsidR="00AD4833" w:rsidRDefault="00AD4833" w:rsidP="00AD4833">
      <w:pPr>
        <w:jc w:val="center"/>
        <w:rPr>
          <w:rFonts w:ascii="Book Antiqua" w:hAnsi="Book Antiqua"/>
        </w:rPr>
      </w:pPr>
    </w:p>
    <w:p w14:paraId="07B699D0" w14:textId="77777777" w:rsidR="00AD4833" w:rsidRPr="00763D22" w:rsidRDefault="00AD4833" w:rsidP="00AD4833">
      <w:pPr>
        <w:jc w:val="right"/>
        <w:rPr>
          <w:rFonts w:ascii="Book Antiqua" w:hAnsi="Book Antiqua"/>
          <w:color w:val="000000" w:themeColor="text1"/>
        </w:rPr>
      </w:pPr>
    </w:p>
    <w:p w14:paraId="033775FE" w14:textId="77777777" w:rsidR="00AD4833" w:rsidRPr="00763D22" w:rsidRDefault="00AD4833" w:rsidP="00AD483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4CCE380" w14:textId="77777777" w:rsidR="0006672E" w:rsidRPr="00A23F81" w:rsidRDefault="0006672E">
      <w:pPr>
        <w:spacing w:line="360" w:lineRule="auto"/>
        <w:jc w:val="both"/>
        <w:rPr>
          <w:b/>
        </w:rPr>
      </w:pPr>
    </w:p>
    <w:sectPr w:rsidR="0006672E" w:rsidRPr="00A23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7E692" w14:textId="77777777" w:rsidR="008818CD" w:rsidRDefault="008818CD" w:rsidP="00244256">
      <w:r>
        <w:separator/>
      </w:r>
    </w:p>
  </w:endnote>
  <w:endnote w:type="continuationSeparator" w:id="0">
    <w:p w14:paraId="253DF7C4" w14:textId="77777777" w:rsidR="008818CD" w:rsidRDefault="008818CD" w:rsidP="0024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418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E9AF067" w14:textId="77777777" w:rsidR="00244256" w:rsidRPr="00244256" w:rsidRDefault="00244256" w:rsidP="00244256">
            <w:pPr>
              <w:pStyle w:val="a8"/>
              <w:jc w:val="right"/>
              <w:rPr>
                <w:rFonts w:ascii="Book Antiqua" w:hAnsi="Book Antiqua"/>
                <w:sz w:val="24"/>
                <w:szCs w:val="24"/>
              </w:rPr>
            </w:pPr>
            <w:r w:rsidRPr="00244256">
              <w:rPr>
                <w:rFonts w:ascii="Book Antiqua" w:hAnsi="Book Antiqua"/>
                <w:sz w:val="24"/>
                <w:szCs w:val="24"/>
                <w:lang w:val="zh-CN" w:eastAsia="zh-CN"/>
              </w:rPr>
              <w:t xml:space="preserve"> </w:t>
            </w:r>
            <w:r w:rsidRPr="00244256">
              <w:rPr>
                <w:rFonts w:ascii="Book Antiqua" w:hAnsi="Book Antiqua"/>
                <w:bCs/>
                <w:sz w:val="24"/>
                <w:szCs w:val="24"/>
              </w:rPr>
              <w:fldChar w:fldCharType="begin"/>
            </w:r>
            <w:r w:rsidRPr="00244256">
              <w:rPr>
                <w:rFonts w:ascii="Book Antiqua" w:hAnsi="Book Antiqua"/>
                <w:bCs/>
                <w:sz w:val="24"/>
                <w:szCs w:val="24"/>
              </w:rPr>
              <w:instrText>PAGE</w:instrText>
            </w:r>
            <w:r w:rsidRPr="00244256">
              <w:rPr>
                <w:rFonts w:ascii="Book Antiqua" w:hAnsi="Book Antiqua"/>
                <w:bCs/>
                <w:sz w:val="24"/>
                <w:szCs w:val="24"/>
              </w:rPr>
              <w:fldChar w:fldCharType="separate"/>
            </w:r>
            <w:r w:rsidR="00737E49">
              <w:rPr>
                <w:rFonts w:ascii="Book Antiqua" w:hAnsi="Book Antiqua"/>
                <w:bCs/>
                <w:noProof/>
                <w:sz w:val="24"/>
                <w:szCs w:val="24"/>
              </w:rPr>
              <w:t>1</w:t>
            </w:r>
            <w:r w:rsidRPr="00244256">
              <w:rPr>
                <w:rFonts w:ascii="Book Antiqua" w:hAnsi="Book Antiqua"/>
                <w:bCs/>
                <w:sz w:val="24"/>
                <w:szCs w:val="24"/>
              </w:rPr>
              <w:fldChar w:fldCharType="end"/>
            </w:r>
            <w:r w:rsidRPr="00244256">
              <w:rPr>
                <w:rFonts w:ascii="Book Antiqua" w:hAnsi="Book Antiqua"/>
                <w:sz w:val="24"/>
                <w:szCs w:val="24"/>
                <w:lang w:val="zh-CN" w:eastAsia="zh-CN"/>
              </w:rPr>
              <w:t xml:space="preserve"> / </w:t>
            </w:r>
            <w:r w:rsidRPr="00244256">
              <w:rPr>
                <w:rFonts w:ascii="Book Antiqua" w:hAnsi="Book Antiqua"/>
                <w:bCs/>
                <w:sz w:val="24"/>
                <w:szCs w:val="24"/>
              </w:rPr>
              <w:fldChar w:fldCharType="begin"/>
            </w:r>
            <w:r w:rsidRPr="00244256">
              <w:rPr>
                <w:rFonts w:ascii="Book Antiqua" w:hAnsi="Book Antiqua"/>
                <w:bCs/>
                <w:sz w:val="24"/>
                <w:szCs w:val="24"/>
              </w:rPr>
              <w:instrText>NUMPAGES</w:instrText>
            </w:r>
            <w:r w:rsidRPr="00244256">
              <w:rPr>
                <w:rFonts w:ascii="Book Antiqua" w:hAnsi="Book Antiqua"/>
                <w:bCs/>
                <w:sz w:val="24"/>
                <w:szCs w:val="24"/>
              </w:rPr>
              <w:fldChar w:fldCharType="separate"/>
            </w:r>
            <w:r w:rsidR="00737E49">
              <w:rPr>
                <w:rFonts w:ascii="Book Antiqua" w:hAnsi="Book Antiqua"/>
                <w:bCs/>
                <w:noProof/>
                <w:sz w:val="24"/>
                <w:szCs w:val="24"/>
              </w:rPr>
              <w:t>24</w:t>
            </w:r>
            <w:r w:rsidRPr="00244256">
              <w:rPr>
                <w:rFonts w:ascii="Book Antiqua" w:hAnsi="Book Antiqua"/>
                <w:bCs/>
                <w:sz w:val="24"/>
                <w:szCs w:val="24"/>
              </w:rPr>
              <w:fldChar w:fldCharType="end"/>
            </w:r>
          </w:p>
        </w:sdtContent>
      </w:sdt>
    </w:sdtContent>
  </w:sdt>
  <w:p w14:paraId="39055225" w14:textId="77777777" w:rsidR="00244256" w:rsidRPr="00244256" w:rsidRDefault="00244256" w:rsidP="0024425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4CD41" w14:textId="77777777" w:rsidR="008818CD" w:rsidRDefault="008818CD" w:rsidP="00244256">
      <w:r>
        <w:separator/>
      </w:r>
    </w:p>
  </w:footnote>
  <w:footnote w:type="continuationSeparator" w:id="0">
    <w:p w14:paraId="38B38878" w14:textId="77777777" w:rsidR="008818CD" w:rsidRDefault="008818CD" w:rsidP="00244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F34"/>
    <w:rsid w:val="0006672E"/>
    <w:rsid w:val="00244256"/>
    <w:rsid w:val="002D07B9"/>
    <w:rsid w:val="002E2105"/>
    <w:rsid w:val="00392D71"/>
    <w:rsid w:val="00394515"/>
    <w:rsid w:val="003D523E"/>
    <w:rsid w:val="00416F2B"/>
    <w:rsid w:val="00433FD3"/>
    <w:rsid w:val="004475C0"/>
    <w:rsid w:val="00455A82"/>
    <w:rsid w:val="004A6A24"/>
    <w:rsid w:val="00522CA5"/>
    <w:rsid w:val="005735B9"/>
    <w:rsid w:val="00657538"/>
    <w:rsid w:val="006A6C56"/>
    <w:rsid w:val="006B7A17"/>
    <w:rsid w:val="006C0598"/>
    <w:rsid w:val="00737E49"/>
    <w:rsid w:val="007B67C0"/>
    <w:rsid w:val="007C10ED"/>
    <w:rsid w:val="008565F0"/>
    <w:rsid w:val="008818CD"/>
    <w:rsid w:val="00906216"/>
    <w:rsid w:val="0093231D"/>
    <w:rsid w:val="00960C87"/>
    <w:rsid w:val="009D63A8"/>
    <w:rsid w:val="00A23F81"/>
    <w:rsid w:val="00A75050"/>
    <w:rsid w:val="00A77B3E"/>
    <w:rsid w:val="00AD4833"/>
    <w:rsid w:val="00AE5030"/>
    <w:rsid w:val="00B51A0C"/>
    <w:rsid w:val="00B81BA0"/>
    <w:rsid w:val="00BB69BB"/>
    <w:rsid w:val="00C21F9A"/>
    <w:rsid w:val="00C70EAD"/>
    <w:rsid w:val="00C73D9E"/>
    <w:rsid w:val="00CA2A55"/>
    <w:rsid w:val="00CB5137"/>
    <w:rsid w:val="00D94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DE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23F81"/>
    <w:rPr>
      <w:sz w:val="18"/>
      <w:szCs w:val="18"/>
    </w:rPr>
  </w:style>
  <w:style w:type="character" w:customStyle="1" w:styleId="Char">
    <w:name w:val="批注框文本 Char"/>
    <w:basedOn w:val="a0"/>
    <w:link w:val="a3"/>
    <w:rsid w:val="00A23F81"/>
    <w:rPr>
      <w:sz w:val="18"/>
      <w:szCs w:val="18"/>
    </w:rPr>
  </w:style>
  <w:style w:type="character" w:styleId="a4">
    <w:name w:val="annotation reference"/>
    <w:basedOn w:val="a0"/>
    <w:rsid w:val="00C73D9E"/>
    <w:rPr>
      <w:sz w:val="21"/>
      <w:szCs w:val="21"/>
    </w:rPr>
  </w:style>
  <w:style w:type="paragraph" w:styleId="a5">
    <w:name w:val="annotation text"/>
    <w:basedOn w:val="a"/>
    <w:link w:val="Char0"/>
    <w:rsid w:val="00C73D9E"/>
  </w:style>
  <w:style w:type="character" w:customStyle="1" w:styleId="Char0">
    <w:name w:val="批注文字 Char"/>
    <w:basedOn w:val="a0"/>
    <w:link w:val="a5"/>
    <w:rsid w:val="00C73D9E"/>
    <w:rPr>
      <w:sz w:val="24"/>
      <w:szCs w:val="24"/>
    </w:rPr>
  </w:style>
  <w:style w:type="paragraph" w:styleId="a6">
    <w:name w:val="annotation subject"/>
    <w:basedOn w:val="a5"/>
    <w:next w:val="a5"/>
    <w:link w:val="Char1"/>
    <w:rsid w:val="00C73D9E"/>
    <w:rPr>
      <w:b/>
      <w:bCs/>
    </w:rPr>
  </w:style>
  <w:style w:type="character" w:customStyle="1" w:styleId="Char1">
    <w:name w:val="批注主题 Char"/>
    <w:basedOn w:val="Char0"/>
    <w:link w:val="a6"/>
    <w:rsid w:val="00C73D9E"/>
    <w:rPr>
      <w:b/>
      <w:bCs/>
      <w:sz w:val="24"/>
      <w:szCs w:val="24"/>
    </w:rPr>
  </w:style>
  <w:style w:type="paragraph" w:styleId="a7">
    <w:name w:val="header"/>
    <w:basedOn w:val="a"/>
    <w:link w:val="Char2"/>
    <w:rsid w:val="0024425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44256"/>
    <w:rPr>
      <w:sz w:val="18"/>
      <w:szCs w:val="18"/>
    </w:rPr>
  </w:style>
  <w:style w:type="paragraph" w:styleId="a8">
    <w:name w:val="footer"/>
    <w:basedOn w:val="a"/>
    <w:link w:val="Char3"/>
    <w:uiPriority w:val="99"/>
    <w:rsid w:val="00244256"/>
    <w:pPr>
      <w:tabs>
        <w:tab w:val="center" w:pos="4153"/>
        <w:tab w:val="right" w:pos="8306"/>
      </w:tabs>
      <w:snapToGrid w:val="0"/>
    </w:pPr>
    <w:rPr>
      <w:sz w:val="18"/>
      <w:szCs w:val="18"/>
    </w:rPr>
  </w:style>
  <w:style w:type="character" w:customStyle="1" w:styleId="Char3">
    <w:name w:val="页脚 Char"/>
    <w:basedOn w:val="a0"/>
    <w:link w:val="a8"/>
    <w:uiPriority w:val="99"/>
    <w:rsid w:val="00244256"/>
    <w:rPr>
      <w:sz w:val="18"/>
      <w:szCs w:val="18"/>
    </w:rPr>
  </w:style>
  <w:style w:type="paragraph" w:styleId="a9">
    <w:name w:val="Revision"/>
    <w:hidden/>
    <w:uiPriority w:val="99"/>
    <w:semiHidden/>
    <w:rsid w:val="00455A82"/>
    <w:rPr>
      <w:sz w:val="24"/>
      <w:szCs w:val="24"/>
    </w:rPr>
  </w:style>
  <w:style w:type="character" w:styleId="aa">
    <w:name w:val="Hyperlink"/>
    <w:basedOn w:val="a0"/>
    <w:unhideWhenUsed/>
    <w:rsid w:val="00856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23F81"/>
    <w:rPr>
      <w:sz w:val="18"/>
      <w:szCs w:val="18"/>
    </w:rPr>
  </w:style>
  <w:style w:type="character" w:customStyle="1" w:styleId="Char">
    <w:name w:val="批注框文本 Char"/>
    <w:basedOn w:val="a0"/>
    <w:link w:val="a3"/>
    <w:rsid w:val="00A23F81"/>
    <w:rPr>
      <w:sz w:val="18"/>
      <w:szCs w:val="18"/>
    </w:rPr>
  </w:style>
  <w:style w:type="character" w:styleId="a4">
    <w:name w:val="annotation reference"/>
    <w:basedOn w:val="a0"/>
    <w:rsid w:val="00C73D9E"/>
    <w:rPr>
      <w:sz w:val="21"/>
      <w:szCs w:val="21"/>
    </w:rPr>
  </w:style>
  <w:style w:type="paragraph" w:styleId="a5">
    <w:name w:val="annotation text"/>
    <w:basedOn w:val="a"/>
    <w:link w:val="Char0"/>
    <w:rsid w:val="00C73D9E"/>
  </w:style>
  <w:style w:type="character" w:customStyle="1" w:styleId="Char0">
    <w:name w:val="批注文字 Char"/>
    <w:basedOn w:val="a0"/>
    <w:link w:val="a5"/>
    <w:rsid w:val="00C73D9E"/>
    <w:rPr>
      <w:sz w:val="24"/>
      <w:szCs w:val="24"/>
    </w:rPr>
  </w:style>
  <w:style w:type="paragraph" w:styleId="a6">
    <w:name w:val="annotation subject"/>
    <w:basedOn w:val="a5"/>
    <w:next w:val="a5"/>
    <w:link w:val="Char1"/>
    <w:rsid w:val="00C73D9E"/>
    <w:rPr>
      <w:b/>
      <w:bCs/>
    </w:rPr>
  </w:style>
  <w:style w:type="character" w:customStyle="1" w:styleId="Char1">
    <w:name w:val="批注主题 Char"/>
    <w:basedOn w:val="Char0"/>
    <w:link w:val="a6"/>
    <w:rsid w:val="00C73D9E"/>
    <w:rPr>
      <w:b/>
      <w:bCs/>
      <w:sz w:val="24"/>
      <w:szCs w:val="24"/>
    </w:rPr>
  </w:style>
  <w:style w:type="paragraph" w:styleId="a7">
    <w:name w:val="header"/>
    <w:basedOn w:val="a"/>
    <w:link w:val="Char2"/>
    <w:rsid w:val="0024425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44256"/>
    <w:rPr>
      <w:sz w:val="18"/>
      <w:szCs w:val="18"/>
    </w:rPr>
  </w:style>
  <w:style w:type="paragraph" w:styleId="a8">
    <w:name w:val="footer"/>
    <w:basedOn w:val="a"/>
    <w:link w:val="Char3"/>
    <w:uiPriority w:val="99"/>
    <w:rsid w:val="00244256"/>
    <w:pPr>
      <w:tabs>
        <w:tab w:val="center" w:pos="4153"/>
        <w:tab w:val="right" w:pos="8306"/>
      </w:tabs>
      <w:snapToGrid w:val="0"/>
    </w:pPr>
    <w:rPr>
      <w:sz w:val="18"/>
      <w:szCs w:val="18"/>
    </w:rPr>
  </w:style>
  <w:style w:type="character" w:customStyle="1" w:styleId="Char3">
    <w:name w:val="页脚 Char"/>
    <w:basedOn w:val="a0"/>
    <w:link w:val="a8"/>
    <w:uiPriority w:val="99"/>
    <w:rsid w:val="00244256"/>
    <w:rPr>
      <w:sz w:val="18"/>
      <w:szCs w:val="18"/>
    </w:rPr>
  </w:style>
  <w:style w:type="paragraph" w:styleId="a9">
    <w:name w:val="Revision"/>
    <w:hidden/>
    <w:uiPriority w:val="99"/>
    <w:semiHidden/>
    <w:rsid w:val="00455A82"/>
    <w:rPr>
      <w:sz w:val="24"/>
      <w:szCs w:val="24"/>
    </w:rPr>
  </w:style>
  <w:style w:type="character" w:styleId="aa">
    <w:name w:val="Hyperlink"/>
    <w:basedOn w:val="a0"/>
    <w:unhideWhenUsed/>
    <w:rsid w:val="00856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5991</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29</cp:revision>
  <dcterms:created xsi:type="dcterms:W3CDTF">2021-07-08T04:28:00Z</dcterms:created>
  <dcterms:modified xsi:type="dcterms:W3CDTF">2021-07-15T10:43:00Z</dcterms:modified>
</cp:coreProperties>
</file>