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0E4D" w14:textId="55C8CB7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020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020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020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7020A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F8450D4" w14:textId="0770578F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62170</w:t>
      </w:r>
    </w:p>
    <w:p w14:paraId="621D98F9" w14:textId="02A6CB5E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4827EFF" w14:textId="77777777" w:rsidR="00A77B3E" w:rsidRDefault="00A77B3E">
      <w:pPr>
        <w:spacing w:line="360" w:lineRule="auto"/>
        <w:jc w:val="both"/>
      </w:pPr>
    </w:p>
    <w:p w14:paraId="3D4EBDC0" w14:textId="7660BF6E" w:rsidR="00A77B3E" w:rsidRPr="003647D7" w:rsidRDefault="00B87819">
      <w:pPr>
        <w:spacing w:line="360" w:lineRule="auto"/>
        <w:jc w:val="both"/>
        <w:rPr>
          <w:rFonts w:ascii="Book Antiqua" w:hAnsi="Book Antiqua"/>
        </w:rPr>
      </w:pPr>
      <w:r w:rsidRPr="003647D7">
        <w:rPr>
          <w:rFonts w:ascii="Book Antiqua" w:eastAsia="Book Antiqua" w:hAnsi="Book Antiqua" w:cs="Book Antiqua"/>
          <w:b/>
          <w:caps/>
          <w:color w:val="000000"/>
        </w:rPr>
        <w:t>l</w:t>
      </w:r>
      <w:r>
        <w:rPr>
          <w:rFonts w:ascii="Book Antiqua" w:eastAsia="Book Antiqua" w:hAnsi="Book Antiqua" w:cs="Book Antiqua"/>
          <w:b/>
          <w:color w:val="000000"/>
        </w:rPr>
        <w:t>ate-onset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Leigh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syndrome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without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delayed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development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China</w:t>
      </w:r>
      <w:r w:rsidR="003647D7" w:rsidRPr="003647D7">
        <w:rPr>
          <w:rFonts w:ascii="Book Antiqua" w:hAnsi="Book Antiqua" w:cs="Book Antiqua"/>
          <w:b/>
          <w:color w:val="000000"/>
          <w:lang w:eastAsia="zh-CN"/>
        </w:rPr>
        <w:t>:</w:t>
      </w:r>
      <w:r w:rsidR="007020A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3647D7">
        <w:rPr>
          <w:rFonts w:ascii="Book Antiqua" w:hAnsi="Book Antiqua" w:cs="Book Antiqua"/>
          <w:b/>
          <w:color w:val="000000"/>
          <w:lang w:eastAsia="zh-CN"/>
        </w:rPr>
        <w:t>A</w:t>
      </w:r>
      <w:r w:rsidR="007020A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3647D7">
        <w:rPr>
          <w:rFonts w:ascii="Book Antiqua" w:hAnsi="Book Antiqua" w:cs="Book Antiqua"/>
          <w:b/>
          <w:color w:val="000000"/>
          <w:lang w:eastAsia="zh-CN"/>
        </w:rPr>
        <w:t>case</w:t>
      </w:r>
      <w:r w:rsidR="007020A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3647D7">
        <w:rPr>
          <w:rFonts w:ascii="Book Antiqua" w:hAnsi="Book Antiqua" w:cs="Book Antiqua"/>
          <w:b/>
          <w:color w:val="000000"/>
          <w:lang w:eastAsia="zh-CN"/>
        </w:rPr>
        <w:t>report</w:t>
      </w:r>
    </w:p>
    <w:p w14:paraId="10D242AC" w14:textId="77777777" w:rsidR="00A77B3E" w:rsidRDefault="00A77B3E">
      <w:pPr>
        <w:spacing w:line="360" w:lineRule="auto"/>
        <w:jc w:val="both"/>
      </w:pPr>
    </w:p>
    <w:p w14:paraId="6D5484BE" w14:textId="6704CF31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467BC">
        <w:rPr>
          <w:rFonts w:ascii="Book Antiqua" w:eastAsia="Book Antiqua" w:hAnsi="Book Antiqua" w:cs="Book Antiqua"/>
          <w:color w:val="000000"/>
        </w:rPr>
        <w:t>JM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</w:p>
    <w:p w14:paraId="5E755912" w14:textId="77777777" w:rsidR="00A77B3E" w:rsidRDefault="00A77B3E">
      <w:pPr>
        <w:spacing w:line="360" w:lineRule="auto"/>
        <w:jc w:val="both"/>
      </w:pPr>
    </w:p>
    <w:p w14:paraId="56E6DEAE" w14:textId="2C75DF9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Jian</w:t>
      </w:r>
      <w:r w:rsidR="00BB2581">
        <w:rPr>
          <w:rFonts w:ascii="Book Antiqua" w:eastAsia="Book Antiqua" w:hAnsi="Book Antiqua" w:cs="Book Antiqua"/>
          <w:color w:val="000000"/>
        </w:rPr>
        <w:t>-</w:t>
      </w:r>
      <w:r w:rsidRPr="00BB2581">
        <w:rPr>
          <w:rFonts w:ascii="Book Antiqua" w:eastAsia="Book Antiqua" w:hAnsi="Book Antiqua" w:cs="Book Antiqua"/>
          <w:cap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BB2581">
        <w:rPr>
          <w:rFonts w:ascii="Book Antiqua" w:eastAsia="Book Antiqua" w:hAnsi="Book Antiqua" w:cs="Book Antiqua"/>
          <w:color w:val="000000"/>
        </w:rPr>
        <w:t>-</w:t>
      </w:r>
      <w:r w:rsidRPr="00BB2581">
        <w:rPr>
          <w:rFonts w:ascii="Book Antiqua" w:eastAsia="Book Antiqua" w:hAnsi="Book Antiqua" w:cs="Book Antiqua"/>
          <w:cap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uan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</w:t>
      </w:r>
      <w:r w:rsidR="00BB2581">
        <w:rPr>
          <w:rFonts w:ascii="Book Antiqua" w:eastAsia="Book Antiqua" w:hAnsi="Book Antiqua" w:cs="Book Antiqua"/>
          <w:color w:val="000000"/>
        </w:rPr>
        <w:t>-</w:t>
      </w:r>
      <w:r w:rsidRPr="00BB2581">
        <w:rPr>
          <w:rFonts w:ascii="Book Antiqua" w:eastAsia="Book Antiqua" w:hAnsi="Book Antiqua" w:cs="Book Antiqua"/>
          <w:cap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</w:t>
      </w:r>
      <w:r w:rsidR="00BB2581">
        <w:rPr>
          <w:rFonts w:ascii="Book Antiqua" w:eastAsia="Book Antiqua" w:hAnsi="Book Antiqua" w:cs="Book Antiqua"/>
          <w:color w:val="000000"/>
        </w:rPr>
        <w:t>-</w:t>
      </w:r>
      <w:r w:rsidRPr="00BB2581">
        <w:rPr>
          <w:rFonts w:ascii="Book Antiqua" w:eastAsia="Book Antiqua" w:hAnsi="Book Antiqua" w:cs="Book Antiqua"/>
          <w:cap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</w:p>
    <w:p w14:paraId="71F99C90" w14:textId="77777777" w:rsidR="00A77B3E" w:rsidRDefault="00A77B3E">
      <w:pPr>
        <w:spacing w:line="360" w:lineRule="auto"/>
        <w:jc w:val="both"/>
      </w:pPr>
    </w:p>
    <w:p w14:paraId="0FF83AF9" w14:textId="02EF9A9C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1464E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464EB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</w:t>
      </w:r>
      <w:r w:rsidR="001464E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464EB">
        <w:rPr>
          <w:rFonts w:ascii="Book Antiqua" w:eastAsia="Book Antiqua" w:hAnsi="Book Antiqua" w:cs="Book Antiqua"/>
          <w:b/>
          <w:bCs/>
          <w:caps/>
          <w:color w:val="000000"/>
        </w:rPr>
        <w:t>j</w:t>
      </w:r>
      <w:r>
        <w:rPr>
          <w:rFonts w:ascii="Book Antiqua" w:eastAsia="Book Antiqua" w:hAnsi="Book Antiqua" w:cs="Book Antiqua"/>
          <w:b/>
          <w:bCs/>
          <w:color w:val="000000"/>
        </w:rPr>
        <w:t>uan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1464EB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464EB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Pr="002648D8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7020A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48D8">
        <w:rPr>
          <w:rFonts w:ascii="Book Antiqua" w:eastAsia="Book Antiqua" w:hAnsi="Book Antiqua" w:cs="Book Antiqua"/>
          <w:cap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Jilin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130021,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648D8">
        <w:rPr>
          <w:rFonts w:ascii="Book Antiqua" w:eastAsia="Book Antiqua" w:hAnsi="Book Antiqua" w:cs="Book Antiqua"/>
          <w:color w:val="000000"/>
        </w:rPr>
        <w:t>Jilin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2648D8">
        <w:rPr>
          <w:rFonts w:ascii="Book Antiqua" w:eastAsia="Book Antiqua" w:hAnsi="Book Antiqua" w:cs="Book Antiqua"/>
          <w:caps/>
          <w:color w:val="000000"/>
        </w:rPr>
        <w:t>p</w:t>
      </w:r>
      <w:r w:rsidR="002648D8">
        <w:rPr>
          <w:rFonts w:ascii="Book Antiqua" w:eastAsia="Book Antiqua" w:hAnsi="Book Antiqua" w:cs="Book Antiqua"/>
          <w:color w:val="000000"/>
        </w:rPr>
        <w:t>rovince</w:t>
      </w:r>
      <w:r w:rsidR="002648D8">
        <w:rPr>
          <w:rFonts w:ascii="Book Antiqua" w:hAnsi="Book Antiqua" w:cs="Book Antiqua" w:hint="eastAsia"/>
          <w:color w:val="000000"/>
          <w:lang w:eastAsia="zh-CN"/>
        </w:rPr>
        <w:t>,</w:t>
      </w:r>
      <w:r w:rsidR="007020AD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0FB2345" w14:textId="77777777" w:rsidR="00A77B3E" w:rsidRDefault="00A77B3E">
      <w:pPr>
        <w:spacing w:line="360" w:lineRule="auto"/>
        <w:jc w:val="both"/>
      </w:pPr>
    </w:p>
    <w:p w14:paraId="7D84EC79" w14:textId="10CFD039" w:rsidR="00A77B3E" w:rsidRDefault="001464E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Jian-</w:t>
      </w:r>
      <w:r w:rsidRPr="001464EB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Cui-</w:t>
      </w:r>
      <w:r w:rsidRPr="001464EB">
        <w:rPr>
          <w:rFonts w:ascii="Book Antiqua" w:eastAsia="Book Antiqua" w:hAnsi="Book Antiqua" w:cs="Book Antiqua"/>
          <w:b/>
          <w:bCs/>
          <w:caps/>
          <w:color w:val="000000"/>
        </w:rPr>
        <w:t>j</w:t>
      </w:r>
      <w:r>
        <w:rPr>
          <w:rFonts w:ascii="Book Antiqua" w:eastAsia="Book Antiqua" w:hAnsi="Book Antiqua" w:cs="Book Antiqua"/>
          <w:b/>
          <w:bCs/>
          <w:color w:val="000000"/>
        </w:rPr>
        <w:t>uan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Xue-</w:t>
      </w:r>
      <w:r w:rsidRPr="001464EB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Department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Pediatric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Neurology,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Jilin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Provincial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Key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Laboratory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Pediatric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Neurology,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Changchun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130021,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648D8">
        <w:rPr>
          <w:rFonts w:ascii="Book Antiqua" w:eastAsia="Book Antiqua" w:hAnsi="Book Antiqua" w:cs="Book Antiqua"/>
          <w:color w:val="000000"/>
        </w:rPr>
        <w:t>Jilin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2648D8">
        <w:rPr>
          <w:rFonts w:ascii="Book Antiqua" w:eastAsia="Book Antiqua" w:hAnsi="Book Antiqua" w:cs="Book Antiqua"/>
          <w:caps/>
          <w:color w:val="000000"/>
        </w:rPr>
        <w:t>p</w:t>
      </w:r>
      <w:r w:rsidR="002648D8">
        <w:rPr>
          <w:rFonts w:ascii="Book Antiqua" w:eastAsia="Book Antiqua" w:hAnsi="Book Antiqua" w:cs="Book Antiqua"/>
          <w:color w:val="000000"/>
        </w:rPr>
        <w:t>rovince</w:t>
      </w:r>
      <w:r w:rsidR="002648D8">
        <w:rPr>
          <w:rFonts w:ascii="Book Antiqua" w:hAnsi="Book Antiqua" w:cs="Book Antiqua" w:hint="eastAsia"/>
          <w:color w:val="000000"/>
          <w:lang w:eastAsia="zh-CN"/>
        </w:rPr>
        <w:t>,</w:t>
      </w:r>
      <w:r w:rsidR="007020AD">
        <w:rPr>
          <w:rFonts w:ascii="Book Antiqua" w:hAnsi="Book Antiqua" w:cs="Book Antiqua"/>
          <w:color w:val="000000"/>
          <w:lang w:eastAsia="zh-CN"/>
        </w:rPr>
        <w:t xml:space="preserve"> </w:t>
      </w:r>
      <w:r w:rsidR="00B87819">
        <w:rPr>
          <w:rFonts w:ascii="Book Antiqua" w:eastAsia="Book Antiqua" w:hAnsi="Book Antiqua" w:cs="Book Antiqua"/>
          <w:color w:val="000000"/>
        </w:rPr>
        <w:t>China</w:t>
      </w:r>
    </w:p>
    <w:p w14:paraId="6F70D910" w14:textId="77777777" w:rsidR="00A77B3E" w:rsidRDefault="00A77B3E">
      <w:pPr>
        <w:spacing w:line="360" w:lineRule="auto"/>
        <w:jc w:val="both"/>
      </w:pPr>
    </w:p>
    <w:p w14:paraId="5744256F" w14:textId="5E427003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Guang</w:t>
      </w:r>
      <w:r w:rsidR="0010581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105810">
        <w:rPr>
          <w:rFonts w:ascii="Book Antiqua" w:eastAsia="Book Antiqua" w:hAnsi="Book Antiqua" w:cs="Book Antiqua"/>
          <w:b/>
          <w:bCs/>
          <w:cap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Dalinghe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Dalinghe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121200,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FA19C0" w:rsidRPr="00FA19C0">
        <w:rPr>
          <w:rFonts w:ascii="Book Antiqua" w:eastAsia="Book Antiqua" w:hAnsi="Book Antiqua" w:cs="Book Antiqua"/>
          <w:color w:val="000000"/>
        </w:rPr>
        <w:t>Liaoning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FA19C0" w:rsidRPr="00FA19C0">
        <w:rPr>
          <w:rFonts w:ascii="Book Antiqua" w:eastAsia="Book Antiqua" w:hAnsi="Book Antiqua" w:cs="Book Antiqua"/>
          <w:color w:val="000000"/>
        </w:rPr>
        <w:t>Province</w:t>
      </w:r>
      <w:r w:rsidR="00FA19C0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C5CFF72" w14:textId="77777777" w:rsidR="00A77B3E" w:rsidRDefault="00A77B3E">
      <w:pPr>
        <w:spacing w:line="360" w:lineRule="auto"/>
        <w:jc w:val="both"/>
      </w:pPr>
    </w:p>
    <w:p w14:paraId="46C09660" w14:textId="066A5415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7020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7020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E15640">
        <w:rPr>
          <w:rFonts w:ascii="Book Antiqua" w:eastAsia="Book Antiqua" w:hAnsi="Book Antiqua" w:cs="Book Antiqua"/>
          <w:color w:val="000000"/>
        </w:rPr>
        <w:t>JM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F746F">
        <w:rPr>
          <w:rFonts w:ascii="Book Antiqua" w:eastAsia="Book Antiqua" w:hAnsi="Book Antiqua" w:cs="Book Antiqua"/>
          <w:color w:val="000000"/>
        </w:rPr>
        <w:t>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F746F">
        <w:rPr>
          <w:rFonts w:ascii="Book Antiqua" w:eastAsia="Book Antiqua" w:hAnsi="Book Antiqua" w:cs="Book Antiqua"/>
          <w:color w:val="000000"/>
        </w:rPr>
        <w:t>CJ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1E2035">
        <w:rPr>
          <w:rFonts w:ascii="Book Antiqua" w:eastAsia="Book Antiqua" w:hAnsi="Book Antiqua" w:cs="Book Antiqua"/>
          <w:color w:val="000000"/>
        </w:rPr>
        <w:t>data</w:t>
      </w:r>
      <w:r w:rsidR="007F746F">
        <w:rPr>
          <w:rFonts w:ascii="Book Antiqua" w:eastAsia="Book Antiqua" w:hAnsi="Book Antiqua" w:cs="Book Antiqua"/>
          <w:color w:val="000000"/>
        </w:rPr>
        <w:t>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F746F">
        <w:rPr>
          <w:rFonts w:ascii="Book Antiqua" w:eastAsia="Book Antiqua" w:hAnsi="Book Antiqua" w:cs="Book Antiqua"/>
          <w:color w:val="000000"/>
        </w:rPr>
        <w:t>GL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D724E">
        <w:rPr>
          <w:rFonts w:ascii="Book Antiqua" w:eastAsia="Book Antiqua" w:hAnsi="Book Antiqua" w:cs="Book Antiqua"/>
          <w:color w:val="000000"/>
        </w:rPr>
        <w:t>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FD724E">
        <w:rPr>
          <w:rFonts w:ascii="Book Antiqua" w:eastAsia="Book Antiqua" w:hAnsi="Book Antiqua" w:cs="Book Antiqua"/>
          <w:color w:val="000000"/>
        </w:rPr>
        <w:t>XM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75870">
        <w:rPr>
          <w:rFonts w:ascii="Book Antiqua" w:eastAsia="Book Antiqua" w:hAnsi="Book Antiqua" w:cs="Book Antiqua"/>
          <w:color w:val="000000"/>
        </w:rPr>
        <w:t>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18380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555B252" w14:textId="77777777" w:rsidR="00A77B3E" w:rsidRDefault="00A77B3E">
      <w:pPr>
        <w:spacing w:line="360" w:lineRule="auto"/>
        <w:jc w:val="both"/>
      </w:pPr>
    </w:p>
    <w:p w14:paraId="23A6DEA4" w14:textId="0C70B9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5E1634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81801284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527FD5"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527FD5">
        <w:rPr>
          <w:rFonts w:ascii="Book Antiqua" w:eastAsia="Book Antiqua" w:hAnsi="Book Antiqua" w:cs="Book Antiqua"/>
          <w:color w:val="000000"/>
        </w:rPr>
        <w:t>No.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527FD5">
        <w:rPr>
          <w:rFonts w:ascii="Book Antiqua" w:eastAsia="Book Antiqua" w:hAnsi="Book Antiqua" w:cs="Book Antiqua"/>
          <w:color w:val="000000"/>
        </w:rPr>
        <w:t>81771396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</w:p>
    <w:p w14:paraId="53B7EDCD" w14:textId="77777777" w:rsidR="00A77B3E" w:rsidRDefault="00A77B3E">
      <w:pPr>
        <w:spacing w:line="360" w:lineRule="auto"/>
        <w:jc w:val="both"/>
      </w:pPr>
    </w:p>
    <w:p w14:paraId="522AC277" w14:textId="278648AD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55795E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5795E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Pr="00BF4510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Pr="00C664C9">
        <w:rPr>
          <w:rFonts w:ascii="Book Antiqua" w:eastAsia="Book Antiqua" w:hAnsi="Book Antiqua" w:cs="Book Antiqua"/>
          <w:cap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Jilin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Xinmin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Changchun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130021,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648D8">
        <w:rPr>
          <w:rFonts w:ascii="Book Antiqua" w:eastAsia="Book Antiqua" w:hAnsi="Book Antiqua" w:cs="Book Antiqua"/>
          <w:color w:val="000000"/>
        </w:rPr>
        <w:t>Jilin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2648D8">
        <w:rPr>
          <w:rFonts w:ascii="Book Antiqua" w:eastAsia="Book Antiqua" w:hAnsi="Book Antiqua" w:cs="Book Antiqua"/>
          <w:caps/>
          <w:color w:val="000000"/>
        </w:rPr>
        <w:t>p</w:t>
      </w:r>
      <w:r w:rsidR="002648D8">
        <w:rPr>
          <w:rFonts w:ascii="Book Antiqua" w:eastAsia="Book Antiqua" w:hAnsi="Book Antiqua" w:cs="Book Antiqua"/>
          <w:color w:val="000000"/>
        </w:rPr>
        <w:t>rovince</w:t>
      </w:r>
      <w:r w:rsidR="002648D8">
        <w:rPr>
          <w:rFonts w:ascii="Book Antiqua" w:hAnsi="Book Antiqua" w:cs="Book Antiqua" w:hint="eastAsia"/>
          <w:color w:val="000000"/>
          <w:lang w:eastAsia="zh-CN"/>
        </w:rPr>
        <w:t>,</w:t>
      </w:r>
      <w:r w:rsidR="007020AD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xmwu@jlu.edu.cn</w:t>
      </w:r>
    </w:p>
    <w:p w14:paraId="4D7325C6" w14:textId="77777777" w:rsidR="00A77B3E" w:rsidRDefault="00A77B3E">
      <w:pPr>
        <w:spacing w:line="360" w:lineRule="auto"/>
        <w:jc w:val="both"/>
      </w:pPr>
    </w:p>
    <w:p w14:paraId="557CEEE6" w14:textId="0D747ACC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4E5E2D2" w14:textId="6C7FD15E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3B5007" w14:textId="1EE938E5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4918CB">
        <w:rPr>
          <w:rFonts w:ascii="Book Antiqua" w:eastAsia="SimSun" w:hAnsi="Book Antiqua"/>
          <w:color w:val="000000" w:themeColor="text1"/>
        </w:rPr>
        <w:t>J</w:t>
      </w:r>
      <w:r w:rsidR="004918CB">
        <w:rPr>
          <w:rFonts w:ascii="Book Antiqua" w:eastAsia="SimSun" w:hAnsi="Book Antiqua" w:hint="eastAsia"/>
          <w:color w:val="000000" w:themeColor="text1"/>
        </w:rPr>
        <w:t>u</w:t>
      </w:r>
      <w:r w:rsidR="004918CB">
        <w:rPr>
          <w:rFonts w:ascii="Book Antiqua" w:eastAsia="SimSun" w:hAnsi="Book Antiqua"/>
          <w:color w:val="000000" w:themeColor="text1"/>
        </w:rPr>
        <w:t>ly</w:t>
      </w:r>
      <w:r w:rsidR="004918CB" w:rsidRPr="00F06907">
        <w:rPr>
          <w:rFonts w:ascii="Book Antiqua" w:eastAsia="SimSun" w:hAnsi="Book Antiqua"/>
          <w:color w:val="000000" w:themeColor="text1"/>
        </w:rPr>
        <w:t xml:space="preserve"> </w:t>
      </w:r>
      <w:r w:rsidR="004918CB">
        <w:rPr>
          <w:rFonts w:ascii="Book Antiqua" w:eastAsia="SimSun" w:hAnsi="Book Antiqua"/>
          <w:color w:val="000000" w:themeColor="text1"/>
        </w:rPr>
        <w:t>6</w:t>
      </w:r>
      <w:r w:rsidR="004918CB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687A1028" w14:textId="26079379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DCAB2D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C8414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A3CB28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6B599D9" w14:textId="5AB2AB03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Leigh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syndrome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(LS)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mitochondrial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infants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children.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often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manifests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early-onset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delayed</w:t>
      </w:r>
      <w:r w:rsidR="007020AD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phenotypic</w:t>
      </w:r>
      <w:r w:rsidR="007020AD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late-onset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normal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white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matter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rarely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reported,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thereby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highlighting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phenotypic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variability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expression.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4FDBC4EA" w14:textId="77777777" w:rsidR="00A77B3E" w:rsidRDefault="00A77B3E">
      <w:pPr>
        <w:spacing w:line="360" w:lineRule="auto"/>
        <w:jc w:val="both"/>
      </w:pPr>
    </w:p>
    <w:p w14:paraId="3D1E2FDB" w14:textId="1D4CEA3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4A1EBF26" w14:textId="2C438941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12-year-old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boy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unusual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late-onset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form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maternally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inherited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delay.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admitted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ptosis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somnolence,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leukocytes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homoplasmic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m.9176T</w:t>
      </w:r>
      <w:r w:rsidR="005F0498">
        <w:rPr>
          <w:rFonts w:ascii="Book Antiqua" w:eastAsia="Book Antiqua" w:hAnsi="Book Antiqua" w:cs="Book Antiqua"/>
          <w:color w:val="000000"/>
          <w:szCs w:val="21"/>
        </w:rPr>
        <w:t>&gt;</w:t>
      </w:r>
      <w:r>
        <w:rPr>
          <w:rFonts w:ascii="Book Antiqua" w:eastAsia="Book Antiqua" w:hAnsi="Book Antiqua" w:cs="Book Antiqua"/>
          <w:color w:val="000000"/>
          <w:szCs w:val="21"/>
        </w:rPr>
        <w:t>C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mutation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Magnetic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resonance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bilateral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white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matter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well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symmetrical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ganglia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stem.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LS.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vitamin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C,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vitamin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D,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adenosine-triphosphate.</w:t>
      </w:r>
      <w:r w:rsidR="007020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admission.</w:t>
      </w:r>
    </w:p>
    <w:p w14:paraId="1897DF70" w14:textId="77777777" w:rsidR="00A77B3E" w:rsidRDefault="00A77B3E">
      <w:pPr>
        <w:spacing w:line="360" w:lineRule="auto"/>
        <w:jc w:val="both"/>
      </w:pPr>
    </w:p>
    <w:p w14:paraId="15637BDF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493C59F" w14:textId="109FF0D5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infants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older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children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phenotypes.</w:t>
      </w:r>
      <w:r w:rsidR="007020AD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41133A9" w14:textId="77777777" w:rsidR="00A77B3E" w:rsidRDefault="00A77B3E">
      <w:pPr>
        <w:spacing w:line="360" w:lineRule="auto"/>
        <w:jc w:val="both"/>
      </w:pPr>
    </w:p>
    <w:p w14:paraId="32F7BE80" w14:textId="28182A4C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Pr="00711BF6">
        <w:rPr>
          <w:rFonts w:ascii="Book Antiqua" w:eastAsia="Book Antiqua" w:hAnsi="Book Antiqua" w:cs="Book Antiqua"/>
          <w:cap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ate-onset</w:t>
      </w:r>
      <w:r w:rsidR="00711BF6">
        <w:rPr>
          <w:rFonts w:ascii="Book Antiqua" w:eastAsia="Book Antiqua" w:hAnsi="Book Antiqua" w:cs="Book Antiqua"/>
          <w:color w:val="000000"/>
        </w:rPr>
        <w:t>;</w:t>
      </w:r>
      <w:r w:rsidR="007020AD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154805" w:rsidRPr="00154805">
        <w:rPr>
          <w:rFonts w:ascii="Book Antiqua" w:eastAsia="Book Antiqua" w:hAnsi="Book Antiqua" w:cs="Book Antiqua"/>
          <w:caps/>
          <w:color w:val="000000"/>
        </w:rPr>
        <w:t>c</w:t>
      </w:r>
      <w:r w:rsidR="00154805" w:rsidRPr="00711BF6">
        <w:rPr>
          <w:rFonts w:ascii="Book Antiqua" w:eastAsia="Book Antiqua" w:hAnsi="Book Antiqua" w:cs="Book Antiqua"/>
          <w:color w:val="000000"/>
        </w:rPr>
        <w:t>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154805" w:rsidRPr="00711BF6">
        <w:rPr>
          <w:rFonts w:ascii="Book Antiqua" w:eastAsia="Book Antiqua" w:hAnsi="Book Antiqua" w:cs="Book Antiqua"/>
          <w:color w:val="000000"/>
        </w:rPr>
        <w:t>report</w:t>
      </w:r>
    </w:p>
    <w:p w14:paraId="655401C0" w14:textId="77777777" w:rsidR="00A77B3E" w:rsidRDefault="00A77B3E">
      <w:pPr>
        <w:spacing w:line="360" w:lineRule="auto"/>
        <w:jc w:val="both"/>
      </w:pPr>
    </w:p>
    <w:p w14:paraId="62D40701" w14:textId="4E88576B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467B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467BC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A467B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467B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syndrome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without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delayed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development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China: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711BF6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B1D8C8C" w14:textId="77777777" w:rsidR="00A77B3E" w:rsidRDefault="00A77B3E">
      <w:pPr>
        <w:spacing w:line="360" w:lineRule="auto"/>
        <w:jc w:val="both"/>
      </w:pPr>
    </w:p>
    <w:p w14:paraId="37A5D93C" w14:textId="35F557CF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healthy12-year-old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A7601">
        <w:rPr>
          <w:rFonts w:ascii="Book Antiqua" w:eastAsia="Book Antiqua" w:hAnsi="Book Antiqua" w:cs="Book Antiqua"/>
          <w:color w:val="000000"/>
        </w:rPr>
        <w:t>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myasthenia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T-to-C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A7601">
        <w:rPr>
          <w:rFonts w:ascii="Book Antiqua" w:eastAsia="Book Antiqua" w:hAnsi="Book Antiqua" w:cs="Book Antiqua"/>
          <w:color w:val="000000"/>
        </w:rPr>
        <w:t>adenosine triphosphatase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</w:p>
    <w:p w14:paraId="708BAEBB" w14:textId="77777777" w:rsidR="00A77B3E" w:rsidRDefault="00A77B3E">
      <w:pPr>
        <w:spacing w:line="360" w:lineRule="auto"/>
        <w:jc w:val="both"/>
      </w:pPr>
    </w:p>
    <w:p w14:paraId="7B654AE3" w14:textId="77777777" w:rsidR="00AA7601" w:rsidRDefault="00AA760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18BD3E83" w14:textId="382857DC" w:rsidR="00183802" w:rsidRDefault="00183802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9BB3744" w14:textId="2F13E794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E4404F1" w14:textId="203667D5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neurodegenerative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brainstem,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diencephalon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cerebellum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infancy,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psychomotor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Here,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A760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7020AD">
        <w:rPr>
          <w:rFonts w:ascii="Book Antiqua" w:eastAsia="Book Antiqua" w:hAnsi="Book Antiqua" w:cs="Book Antiqua"/>
          <w:color w:val="000000"/>
          <w:shd w:val="clear" w:color="auto" w:fill="F9F7F7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9F7F7"/>
        </w:rPr>
        <w:t>after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A7601">
        <w:rPr>
          <w:rFonts w:ascii="Book Antiqua" w:eastAsia="Book Antiqua" w:hAnsi="Book Antiqua" w:cs="Book Antiqua"/>
          <w:color w:val="000000"/>
        </w:rPr>
        <w:t>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myasthenia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T-to-C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A7601">
        <w:rPr>
          <w:rFonts w:ascii="Book Antiqua" w:eastAsia="Book Antiqua" w:hAnsi="Book Antiqua" w:cs="Book Antiqua"/>
          <w:color w:val="000000"/>
        </w:rPr>
        <w:t>adenosine triphosphatase (</w:t>
      </w:r>
      <w:r>
        <w:rPr>
          <w:rFonts w:ascii="Book Antiqua" w:eastAsia="Book Antiqua" w:hAnsi="Book Antiqua" w:cs="Book Antiqua"/>
          <w:color w:val="000000"/>
        </w:rPr>
        <w:t>ATPase</w:t>
      </w:r>
      <w:r w:rsidR="00AA7601">
        <w:rPr>
          <w:rFonts w:ascii="Book Antiqua" w:eastAsia="Book Antiqua" w:hAnsi="Book Antiqua" w:cs="Book Antiqua"/>
          <w:color w:val="000000"/>
        </w:rPr>
        <w:t>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oligoclonal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</w:p>
    <w:p w14:paraId="727E7833" w14:textId="77777777" w:rsidR="00A77B3E" w:rsidRDefault="00A77B3E">
      <w:pPr>
        <w:spacing w:line="360" w:lineRule="auto"/>
        <w:jc w:val="both"/>
      </w:pPr>
    </w:p>
    <w:p w14:paraId="78D636E2" w14:textId="33C4EEE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020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D046DC4" w14:textId="2588F91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DF3E72C" w14:textId="1016F891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blepharoptosis,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walk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talk</w:t>
      </w:r>
      <w:r w:rsidRPr="00012DF6">
        <w:rPr>
          <w:rFonts w:ascii="Book Antiqua" w:eastAsia="Book Antiqua" w:hAnsi="Book Antiqua" w:cs="Book Antiqua"/>
          <w:bCs/>
          <w:color w:val="000000"/>
        </w:rPr>
        <w:t>.</w:t>
      </w:r>
    </w:p>
    <w:p w14:paraId="50F85D33" w14:textId="77777777" w:rsidR="00A77B3E" w:rsidRDefault="00A77B3E">
      <w:pPr>
        <w:spacing w:line="360" w:lineRule="auto"/>
        <w:jc w:val="both"/>
      </w:pPr>
    </w:p>
    <w:p w14:paraId="631C3BAD" w14:textId="40E343D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D2A46FF" w14:textId="73634C85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blepharoptosis,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AA7601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A7601">
        <w:rPr>
          <w:rFonts w:ascii="Book Antiqua" w:eastAsia="Book Antiqua" w:hAnsi="Book Antiqua" w:cs="Book Antiqua"/>
          <w:color w:val="000000"/>
        </w:rPr>
        <w:t>2 mo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sleepiness,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</w:t>
      </w:r>
      <w:r w:rsidR="00AA7601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thereafter.</w:t>
      </w:r>
    </w:p>
    <w:p w14:paraId="69F274BC" w14:textId="77777777" w:rsidR="00A77B3E" w:rsidRDefault="00A77B3E">
      <w:pPr>
        <w:spacing w:line="360" w:lineRule="auto"/>
        <w:jc w:val="both"/>
      </w:pPr>
    </w:p>
    <w:p w14:paraId="157530CF" w14:textId="61D328B1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BDE26E0" w14:textId="05EAE8D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subacute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ptosis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12-years-old.</w:t>
      </w:r>
    </w:p>
    <w:p w14:paraId="248649A0" w14:textId="77777777" w:rsidR="00A77B3E" w:rsidRDefault="00A77B3E">
      <w:pPr>
        <w:spacing w:line="360" w:lineRule="auto"/>
        <w:jc w:val="both"/>
      </w:pPr>
    </w:p>
    <w:p w14:paraId="4EC34854" w14:textId="15D6DB0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Personal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4BAAA1D" w14:textId="473023A6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mother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</w:p>
    <w:p w14:paraId="781CEE14" w14:textId="77777777" w:rsidR="00A77B3E" w:rsidRDefault="00A77B3E">
      <w:pPr>
        <w:spacing w:line="360" w:lineRule="auto"/>
        <w:jc w:val="both"/>
      </w:pPr>
    </w:p>
    <w:p w14:paraId="08E6636A" w14:textId="1AF761C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9808D96" w14:textId="736EC58E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pyramidal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feet.</w:t>
      </w:r>
    </w:p>
    <w:p w14:paraId="23C47030" w14:textId="77777777" w:rsidR="00A77B3E" w:rsidRDefault="00A77B3E">
      <w:pPr>
        <w:spacing w:line="360" w:lineRule="auto"/>
        <w:jc w:val="both"/>
      </w:pPr>
    </w:p>
    <w:p w14:paraId="421099DC" w14:textId="72BD81AD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1EB5E26" w14:textId="37C2EA2B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sediment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A7601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A760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7.32.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kPa</w:t>
      </w:r>
      <w:r w:rsidR="00AA7601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cerebrospinal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(CSF)-positive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thymoma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oligoclonal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83802">
        <w:rPr>
          <w:rFonts w:ascii="Book Antiqua" w:eastAsia="Book Antiqua" w:hAnsi="Book Antiqua" w:cs="Book Antiqua"/>
          <w:color w:val="000000"/>
        </w:rPr>
        <w:t xml:space="preserve"> </w:t>
      </w:r>
      <w:r w:rsidR="00183802" w:rsidRPr="00183802">
        <w:rPr>
          <w:rFonts w:ascii="Book Antiqua" w:eastAsia="Book Antiqua" w:hAnsi="Book Antiqua" w:cs="Book Antiqua"/>
          <w:i/>
          <w:iCs/>
          <w:color w:val="000000"/>
        </w:rPr>
        <w:t>Mycoplasma 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A7601">
        <w:rPr>
          <w:rFonts w:ascii="Book Antiqua" w:eastAsia="Book Antiqua" w:hAnsi="Book Antiqua" w:cs="Book Antiqua"/>
          <w:color w:val="000000"/>
        </w:rPr>
        <w:t>herpes simplex virus,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A7601">
        <w:rPr>
          <w:rFonts w:ascii="Book Antiqua" w:eastAsia="Book Antiqua" w:hAnsi="Book Antiqua" w:cs="Book Antiqua"/>
          <w:color w:val="000000"/>
        </w:rPr>
        <w:t>Epstein-Barr virus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T-to-C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(Leu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heteroplasmic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53CA3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0D878763" w14:textId="77777777" w:rsidR="00A77B3E" w:rsidRDefault="00A77B3E">
      <w:pPr>
        <w:spacing w:line="360" w:lineRule="auto"/>
        <w:jc w:val="both"/>
      </w:pPr>
    </w:p>
    <w:p w14:paraId="2361A18E" w14:textId="599A846C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020A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37F8E16" w14:textId="3AE747C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Electroencephalogram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slow-waves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periaqueductal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</w:t>
      </w:r>
      <w:r w:rsidR="00001D28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A53CA3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F7AE976" w14:textId="77777777" w:rsidR="00A77B3E" w:rsidRDefault="00A77B3E">
      <w:pPr>
        <w:spacing w:line="360" w:lineRule="auto"/>
        <w:jc w:val="both"/>
      </w:pPr>
    </w:p>
    <w:p w14:paraId="295B3D4B" w14:textId="2944292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020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C4B2F9A" w14:textId="347EFB6A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01D28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inherited.</w:t>
      </w:r>
    </w:p>
    <w:p w14:paraId="5B6DFA1D" w14:textId="77777777" w:rsidR="00A77B3E" w:rsidRDefault="00A77B3E">
      <w:pPr>
        <w:spacing w:line="360" w:lineRule="auto"/>
        <w:jc w:val="both"/>
      </w:pPr>
    </w:p>
    <w:p w14:paraId="25211C34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243BF6D" w14:textId="1AE1229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2 mo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prescribed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(daily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coenzyme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Q10,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carnitine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</w:p>
    <w:p w14:paraId="7C13657A" w14:textId="77777777" w:rsidR="00A77B3E" w:rsidRDefault="00A77B3E">
      <w:pPr>
        <w:spacing w:line="360" w:lineRule="auto"/>
        <w:jc w:val="both"/>
      </w:pPr>
    </w:p>
    <w:p w14:paraId="0F28F1F6" w14:textId="3381961B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020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020A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0D71F7E" w14:textId="4543F17B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brainstem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2 mo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</w:p>
    <w:p w14:paraId="47DFF64C" w14:textId="77777777" w:rsidR="00A77B3E" w:rsidRDefault="00A77B3E">
      <w:pPr>
        <w:spacing w:line="360" w:lineRule="auto"/>
        <w:jc w:val="both"/>
      </w:pPr>
    </w:p>
    <w:p w14:paraId="75F88D0F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487547" w14:textId="036002D0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256000),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subacute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encephalomyelopathy,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fatal,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infancy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brainstem,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thalamus</w:t>
      </w:r>
      <w:r w:rsidR="00001D28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report,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01D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mitochondrial </w:t>
      </w:r>
      <w:r>
        <w:rPr>
          <w:rFonts w:ascii="Book Antiqua" w:eastAsia="Book Antiqua" w:hAnsi="Book Antiqua" w:cs="Book Antiqua"/>
          <w:color w:val="000000"/>
        </w:rPr>
        <w:t>DNA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T9176C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(which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phenotype).</w:t>
      </w:r>
    </w:p>
    <w:p w14:paraId="05C81650" w14:textId="527CAF1C" w:rsidR="00A77B3E" w:rsidRDefault="00B8781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MRI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hyperlink r:id="rId7" w:tgtFrame="_blank" w:history="1">
        <w:r w:rsidRPr="005015B1">
          <w:rPr>
            <w:rFonts w:ascii="Book Antiqua" w:eastAsia="Book Antiqua" w:hAnsi="Book Antiqua" w:cs="Book Antiqua"/>
            <w:color w:val="000000"/>
          </w:rPr>
          <w:t>McKelvie</w:t>
        </w:r>
      </w:hyperlink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15B1">
        <w:rPr>
          <w:rFonts w:ascii="Book Antiqua" w:eastAsia="Book Antiqua" w:hAnsi="Book Antiqua" w:cs="Book Antiqua"/>
          <w:color w:val="000000"/>
          <w:szCs w:val="20"/>
          <w:vertAlign w:val="superscript"/>
        </w:rPr>
        <w:t>[4]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late-adult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milestones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troubles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Rahman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15B1"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presentations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dying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01D2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average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brainstem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[5-7]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165F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years</w:t>
      </w:r>
      <w:r w:rsidR="009165F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2 mo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</w:p>
    <w:p w14:paraId="680CB5A8" w14:textId="1456AB87" w:rsidR="00A77B3E" w:rsidRDefault="00B87819" w:rsidP="005015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MRI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brainstem.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neuropathologies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spongiform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001D28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cerebellum</w:t>
      </w:r>
      <w:r w:rsidR="005015B1">
        <w:rPr>
          <w:rFonts w:ascii="Book Antiqua" w:eastAsia="Book Antiqua" w:hAnsi="Book Antiqua" w:cs="Book Antiqua"/>
          <w:color w:val="000000"/>
          <w:szCs w:val="20"/>
          <w:vertAlign w:val="superscript"/>
        </w:rPr>
        <w:t>[2,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demyelination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gliosis.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</w:t>
      </w:r>
      <w:r>
        <w:rPr>
          <w:rFonts w:ascii="Book Antiqua" w:eastAsia="Book Antiqua" w:hAnsi="Book Antiqua" w:cs="Book Antiqua"/>
          <w:color w:val="000000"/>
        </w:rPr>
        <w:softHyphen/>
        <w:t>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leukodystrophy.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predilection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brainstem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demyelination</w:t>
      </w:r>
      <w:r w:rsidR="005015B1">
        <w:rPr>
          <w:rFonts w:ascii="Book Antiqua" w:eastAsia="Book Antiqua" w:hAnsi="Book Antiqua" w:cs="Book Antiqua"/>
          <w:color w:val="000000"/>
          <w:szCs w:val="20"/>
          <w:vertAlign w:val="superscript"/>
        </w:rPr>
        <w:t>[1,9,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acetylcholine,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presynaptic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thymoma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immune-disorder.</w:t>
      </w:r>
    </w:p>
    <w:p w14:paraId="4AA1C985" w14:textId="11D2D3C6" w:rsidR="00A77B3E" w:rsidRDefault="00B87819" w:rsidP="005015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inheritance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T9176C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 xml:space="preserve">mitochondrial </w:t>
      </w:r>
      <w:r>
        <w:rPr>
          <w:rFonts w:ascii="Book Antiqua" w:eastAsia="Book Antiqua" w:hAnsi="Book Antiqua" w:cs="Book Antiqua"/>
          <w:color w:val="000000"/>
        </w:rPr>
        <w:t>ATPase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516060)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heteroplasmic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T9176C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brothers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7020A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T-to-G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T-to-C</w:t>
      </w:r>
      <w:r>
        <w:rPr>
          <w:rFonts w:ascii="Book Antiqua" w:eastAsia="Book Antiqua" w:hAnsi="Book Antiqua" w:cs="Book Antiqua"/>
          <w:color w:val="000000"/>
        </w:rPr>
        <w:t>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</w:t>
      </w:r>
      <w:r>
        <w:rPr>
          <w:rFonts w:ascii="Book Antiqua" w:eastAsia="Book Antiqua" w:hAnsi="Book Antiqua" w:cs="Book Antiqua"/>
          <w:color w:val="000000"/>
        </w:rPr>
        <w:softHyphen/>
        <w:t>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(8993)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 xml:space="preserve">mitochondrial </w:t>
      </w:r>
      <w:r>
        <w:rPr>
          <w:rFonts w:ascii="Book Antiqua" w:eastAsia="Book Antiqua" w:hAnsi="Book Antiqua" w:cs="Book Antiqua"/>
          <w:color w:val="000000"/>
        </w:rPr>
        <w:t>DNA,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ATPase,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heteroplasmy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phenotypes.</w:t>
      </w:r>
    </w:p>
    <w:p w14:paraId="3BBCC4D7" w14:textId="77777777" w:rsidR="00A77B3E" w:rsidRDefault="00A77B3E" w:rsidP="005015B1">
      <w:pPr>
        <w:spacing w:line="360" w:lineRule="auto"/>
        <w:jc w:val="both"/>
      </w:pPr>
    </w:p>
    <w:p w14:paraId="53D8378F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D83F6B" w14:textId="4BC71B53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12-year-old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T9176C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LS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neuroradiological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demyelination.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LS.</w:t>
      </w:r>
    </w:p>
    <w:p w14:paraId="0B05B6E1" w14:textId="77777777" w:rsidR="00A77B3E" w:rsidRDefault="00A77B3E">
      <w:pPr>
        <w:spacing w:line="360" w:lineRule="auto"/>
        <w:jc w:val="both"/>
      </w:pPr>
    </w:p>
    <w:p w14:paraId="75458265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6A8406D" w14:textId="6672983F" w:rsidR="00A77B3E" w:rsidRDefault="00B87819">
      <w:pPr>
        <w:spacing w:line="360" w:lineRule="auto"/>
        <w:jc w:val="both"/>
      </w:pPr>
      <w:bookmarkStart w:id="3" w:name="OLE_LINK2"/>
      <w:r>
        <w:rPr>
          <w:rFonts w:ascii="Book Antiqua" w:eastAsia="Book Antiqua" w:hAnsi="Book Antiqua" w:cs="Book Antiqua"/>
          <w:color w:val="000000"/>
        </w:rPr>
        <w:t>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Lake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Isohanni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Paetau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neuropathology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Neuropathol</w:t>
      </w:r>
      <w:proofErr w:type="spellEnd"/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482-492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25978847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</w:t>
      </w:r>
      <w:r w:rsidRPr="004F088A">
        <w:rPr>
          <w:rFonts w:ascii="Book Antiqua" w:eastAsia="Book Antiqua" w:hAnsi="Book Antiqua" w:cs="Book Antiqua"/>
          <w:caps/>
          <w:color w:val="000000"/>
        </w:rPr>
        <w:t>nen</w:t>
      </w:r>
      <w:r>
        <w:rPr>
          <w:rFonts w:ascii="Book Antiqua" w:eastAsia="Book Antiqua" w:hAnsi="Book Antiqua" w:cs="Book Antiqua"/>
          <w:color w:val="000000"/>
        </w:rPr>
        <w:t>.0000000000000195]</w:t>
      </w:r>
    </w:p>
    <w:p w14:paraId="7FBC4014" w14:textId="44BC0F36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Baertling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Rodenburg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Schaper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Smeitink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Koopman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Mayatepek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Morava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Distelmaier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257-265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23772060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10.1136/jnnp-2012-304426]</w:t>
      </w:r>
    </w:p>
    <w:p w14:paraId="73F33F17" w14:textId="0CDA4F5F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Blok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Danks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Christodoulou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Thorburn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343-351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8602753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10.1002/ana.410390311]</w:t>
      </w:r>
    </w:p>
    <w:p w14:paraId="55C85110" w14:textId="1A786571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McKelvie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Infeld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Marotta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Thorburn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Collins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Late-adult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195-202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22273117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10.1016/j.jocn.2011.09.009]</w:t>
      </w:r>
    </w:p>
    <w:p w14:paraId="00DAA876" w14:textId="7BE7978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Sofou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Isohanni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Ostergaard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Naess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Meirleir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Tzoulis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Uusimaa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Lönnqvist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Pihko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Mankinen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Bindoff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Tulinius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Darin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Rare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24731534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10.1186/1750-1172-9-52]</w:t>
      </w:r>
    </w:p>
    <w:p w14:paraId="5F7D5B95" w14:textId="2F386850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Ruhoy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Saneto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221-234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25419155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</w:t>
      </w:r>
      <w:r w:rsidRPr="004F088A">
        <w:rPr>
          <w:rFonts w:ascii="Book Antiqua" w:eastAsia="Book Antiqua" w:hAnsi="Book Antiqua" w:cs="Book Antiqua"/>
          <w:caps/>
          <w:color w:val="000000"/>
        </w:rPr>
        <w:t>tacg.</w:t>
      </w:r>
      <w:r>
        <w:rPr>
          <w:rFonts w:ascii="Book Antiqua" w:eastAsia="Book Antiqua" w:hAnsi="Book Antiqua" w:cs="Book Antiqua"/>
          <w:color w:val="000000"/>
        </w:rPr>
        <w:t>S46176]</w:t>
      </w:r>
    </w:p>
    <w:p w14:paraId="672F3D1E" w14:textId="5AA80633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Aulbert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Weigt</w:t>
      </w:r>
      <w:proofErr w:type="spellEnd"/>
      <w:r>
        <w:rPr>
          <w:rFonts w:ascii="Book Antiqua" w:eastAsia="Book Antiqua" w:hAnsi="Book Antiqua" w:cs="Book Antiqua"/>
          <w:color w:val="000000"/>
        </w:rPr>
        <w:t>-Usinger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Thiels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Köhler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Vorgerd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Schreiner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Hoffjan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Rothoeft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Wortmann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Heyer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Podskarbi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Lücke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Neuropediatrics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346-353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25111564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10.1055/s-0034-1383823]</w:t>
      </w:r>
    </w:p>
    <w:p w14:paraId="1A4892F9" w14:textId="5CC81696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Bonfante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Koenig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Adejumo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Perinjelil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Riascos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443-451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26739140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10.1007/s00247-015-3523-5]</w:t>
      </w:r>
    </w:p>
    <w:p w14:paraId="6D3B2396" w14:textId="5C235C1F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Gerards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Sallevelt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Smeets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300-312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26725255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10.1016/j.ymgme.2015.12.004]</w:t>
      </w:r>
    </w:p>
    <w:p w14:paraId="10D11620" w14:textId="29D8F814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PC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undescribed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leukodystrophy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T9176C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65-67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17209980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10.1017/s0012162207000163.x]</w:t>
      </w:r>
    </w:p>
    <w:p w14:paraId="404A7B01" w14:textId="7FA4F96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Lake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Compton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Rahman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Thorburn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Leigh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monogenic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190-203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26506407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10.1002/ana.24551]</w:t>
      </w:r>
    </w:p>
    <w:p w14:paraId="045DA3BE" w14:textId="525D9465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Thyagarajan</w:t>
      </w:r>
      <w:proofErr w:type="spellEnd"/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Shanske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Vazquez-</w:t>
      </w:r>
      <w:proofErr w:type="spellStart"/>
      <w:r>
        <w:rPr>
          <w:rFonts w:ascii="Book Antiqua" w:eastAsia="Book Antiqua" w:hAnsi="Book Antiqua" w:cs="Book Antiqua"/>
          <w:color w:val="000000"/>
        </w:rPr>
        <w:t>Memije</w:t>
      </w:r>
      <w:proofErr w:type="spellEnd"/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DiMauro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ATPase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20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468-472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7668837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10.1002/ana.410380321]</w:t>
      </w:r>
    </w:p>
    <w:bookmarkEnd w:id="3"/>
    <w:p w14:paraId="175F635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73376E" w14:textId="77777777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C225897" w14:textId="586690A4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7020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7020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020A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7020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</w:p>
    <w:p w14:paraId="4CAD8CB2" w14:textId="77777777" w:rsidR="00A77B3E" w:rsidRDefault="00A77B3E">
      <w:pPr>
        <w:spacing w:line="360" w:lineRule="auto"/>
        <w:jc w:val="both"/>
      </w:pPr>
    </w:p>
    <w:p w14:paraId="38FB5B9C" w14:textId="4AEA360E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1DF64C6F" w14:textId="77777777" w:rsidR="00A77B3E" w:rsidRDefault="00A77B3E">
      <w:pPr>
        <w:spacing w:line="360" w:lineRule="auto"/>
        <w:jc w:val="both"/>
      </w:pPr>
    </w:p>
    <w:p w14:paraId="0CDF1339" w14:textId="6E87DEC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</w:t>
      </w:r>
      <w:r w:rsidR="00012DF6">
        <w:rPr>
          <w:rFonts w:ascii="Book Antiqua" w:eastAsia="Book Antiqua" w:hAnsi="Book Antiqua" w:cs="Book Antiqua"/>
          <w:color w:val="000000"/>
        </w:rPr>
        <w:t>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have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read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CARE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Checklist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12DF6">
        <w:rPr>
          <w:rFonts w:ascii="Book Antiqua" w:eastAsia="Book Antiqua" w:hAnsi="Book Antiqua" w:cs="Book Antiqua"/>
          <w:color w:val="000000"/>
        </w:rPr>
        <w:t>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revised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according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12DF6">
        <w:rPr>
          <w:rFonts w:ascii="Book Antiqua" w:eastAsia="Book Antiqua" w:hAnsi="Book Antiqua" w:cs="Book Antiqua"/>
          <w:color w:val="000000"/>
        </w:rPr>
        <w:t>CARE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64F11D77" w14:textId="77777777" w:rsidR="00A77B3E" w:rsidRDefault="00A77B3E">
      <w:pPr>
        <w:spacing w:line="360" w:lineRule="auto"/>
        <w:jc w:val="both"/>
      </w:pPr>
    </w:p>
    <w:p w14:paraId="11043B12" w14:textId="45071DA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A5AD709" w14:textId="77777777" w:rsidR="00A77B3E" w:rsidRDefault="00A77B3E">
      <w:pPr>
        <w:spacing w:line="360" w:lineRule="auto"/>
        <w:jc w:val="both"/>
      </w:pPr>
    </w:p>
    <w:p w14:paraId="39F868A2" w14:textId="19215374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CC65B0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09D2EC11" w14:textId="77777777" w:rsidR="00A77B3E" w:rsidRDefault="00A77B3E">
      <w:pPr>
        <w:spacing w:line="360" w:lineRule="auto"/>
        <w:jc w:val="both"/>
      </w:pPr>
    </w:p>
    <w:p w14:paraId="7BB6FA26" w14:textId="4E1C14AF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5A789ED" w14:textId="299B7B69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7632854" w14:textId="587334F1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0F198D" w14:textId="77777777" w:rsidR="00A77B3E" w:rsidRDefault="00A77B3E">
      <w:pPr>
        <w:spacing w:line="360" w:lineRule="auto"/>
        <w:jc w:val="both"/>
      </w:pPr>
    </w:p>
    <w:p w14:paraId="0853F398" w14:textId="79B20012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Neurosciences</w:t>
      </w:r>
    </w:p>
    <w:p w14:paraId="17B4B8A2" w14:textId="23224E44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B1BCAFD" w14:textId="7A235776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46FEDD" w14:textId="62C4B16D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AC2B8A" w14:textId="2BD58338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20F435E" w14:textId="2A7E136E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985F44" w14:textId="3A944BAE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68B7FAF" w14:textId="6971EE6A" w:rsidR="00A77B3E" w:rsidRDefault="00B878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AE1718" w14:textId="77777777" w:rsidR="00A77B3E" w:rsidRDefault="00A77B3E">
      <w:pPr>
        <w:spacing w:line="360" w:lineRule="auto"/>
        <w:jc w:val="both"/>
      </w:pPr>
    </w:p>
    <w:p w14:paraId="41B8C83D" w14:textId="60130428" w:rsidR="00A77B3E" w:rsidRDefault="00B878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Al-Haggar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6651">
        <w:rPr>
          <w:rFonts w:ascii="Book Antiqua" w:eastAsia="Book Antiqua" w:hAnsi="Book Antiqua" w:cs="Book Antiqua"/>
          <w:bCs/>
          <w:color w:val="000000"/>
        </w:rPr>
        <w:t>Filipodia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E6A1CD" w14:textId="77777777" w:rsidR="00CC65B0" w:rsidRDefault="00CC65B0">
      <w:pPr>
        <w:spacing w:line="360" w:lineRule="auto"/>
        <w:jc w:val="both"/>
        <w:sectPr w:rsidR="00CC65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DA26E9" w14:textId="42A762EA" w:rsidR="00A77B3E" w:rsidRDefault="00B878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613B8FF" w14:textId="77777777" w:rsidR="00F12F20" w:rsidRDefault="00F12F20" w:rsidP="00F12F20">
      <w:pPr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3D48CF15" wp14:editId="2D3D28A7">
            <wp:extent cx="3631721" cy="392371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534" cy="392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EE52" w14:textId="31972489" w:rsidR="00F12F20" w:rsidRDefault="00F12F20" w:rsidP="00F12F20">
      <w:pPr>
        <w:spacing w:line="360" w:lineRule="auto"/>
        <w:jc w:val="both"/>
      </w:pPr>
      <w:r w:rsidRPr="00C37A3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Sequence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electropherograms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showing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the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m.9176T&gt;C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substitution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disclosed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in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the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patient’s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and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his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parents’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blood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7A34">
        <w:rPr>
          <w:rFonts w:ascii="Book Antiqua" w:eastAsia="Book Antiqua" w:hAnsi="Book Antiqua" w:cs="Book Antiqua"/>
          <w:b/>
          <w:color w:val="000000"/>
        </w:rPr>
        <w:t>samples.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 xml:space="preserve">Restriction fragment length polymorphism </w:t>
      </w:r>
      <w:r w:rsidR="009165F6">
        <w:rPr>
          <w:rFonts w:ascii="Book Antiqua" w:eastAsia="Book Antiqua" w:hAnsi="Book Antiqua" w:cs="Book Antiqua"/>
          <w:color w:val="000000"/>
        </w:rPr>
        <w:t xml:space="preserve">(RFLP)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m.9176T&gt;C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7020AD">
        <w:rPr>
          <w:rFonts w:ascii="Book Antiqua" w:eastAsia="Book Antiqua" w:hAnsi="Book Antiqua" w:cs="Book Antiqua"/>
          <w:color w:val="000000"/>
        </w:rPr>
        <w:t xml:space="preserve"> A: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001D28">
        <w:rPr>
          <w:rFonts w:ascii="Book Antiqua" w:eastAsia="Book Antiqua" w:hAnsi="Book Antiqua" w:cs="Book Antiqua"/>
          <w:color w:val="000000"/>
        </w:rPr>
        <w:t>polymerase chain reaction-</w:t>
      </w:r>
      <w:r w:rsidR="009165F6">
        <w:rPr>
          <w:rFonts w:ascii="Book Antiqua" w:eastAsia="Book Antiqua" w:hAnsi="Book Antiqua" w:cs="Book Antiqua"/>
          <w:color w:val="000000"/>
        </w:rPr>
        <w:t>RFLP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homoplasmic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020AD">
        <w:rPr>
          <w:rFonts w:ascii="Book Antiqua" w:eastAsia="Book Antiqua" w:hAnsi="Book Antiqua" w:cs="Book Antiqua"/>
          <w:color w:val="000000"/>
        </w:rPr>
        <w:t xml:space="preserve">; </w:t>
      </w:r>
      <w:r w:rsidR="00822A05">
        <w:rPr>
          <w:rFonts w:ascii="Book Antiqua" w:eastAsia="Book Antiqua" w:hAnsi="Book Antiqua" w:cs="Book Antiqua"/>
          <w:color w:val="000000"/>
        </w:rPr>
        <w:t>B: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low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level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heteroplasmy</w:t>
      </w:r>
      <w:r w:rsidR="007020AD">
        <w:rPr>
          <w:rFonts w:ascii="Book Antiqua" w:eastAsia="Book Antiqua" w:hAnsi="Book Antiqua" w:cs="Book Antiqua"/>
          <w:color w:val="000000"/>
        </w:rPr>
        <w:t xml:space="preserve">; </w:t>
      </w:r>
      <w:r w:rsidR="00822A05">
        <w:rPr>
          <w:rFonts w:ascii="Book Antiqua" w:eastAsia="Book Antiqua" w:hAnsi="Book Antiqua" w:cs="Book Antiqua"/>
          <w:color w:val="000000"/>
        </w:rPr>
        <w:t>C: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</w:t>
      </w:r>
      <w:r w:rsidR="00822A05">
        <w:rPr>
          <w:rFonts w:ascii="Book Antiqua" w:eastAsia="Book Antiqua" w:hAnsi="Book Antiqua" w:cs="Book Antiqua"/>
          <w:color w:val="000000"/>
        </w:rPr>
        <w:t>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from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patient’s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822A05">
        <w:rPr>
          <w:rFonts w:ascii="Book Antiqua" w:eastAsia="Book Antiqua" w:hAnsi="Book Antiqua" w:cs="Book Antiqua"/>
          <w:color w:val="000000"/>
        </w:rPr>
        <w:t>father</w:t>
      </w:r>
      <w:r>
        <w:rPr>
          <w:rFonts w:ascii="Book Antiqua" w:eastAsia="Book Antiqua" w:hAnsi="Book Antiqua" w:cs="Book Antiqua"/>
          <w:color w:val="000000"/>
        </w:rPr>
        <w:t>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</w:p>
    <w:p w14:paraId="5E3F97E7" w14:textId="77777777" w:rsidR="008B3B81" w:rsidRDefault="00F12F2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br w:type="page"/>
      </w:r>
      <w:r w:rsidR="006D1C19">
        <w:rPr>
          <w:noProof/>
          <w:lang w:eastAsia="zh-CN"/>
        </w:rPr>
        <w:lastRenderedPageBreak/>
        <w:drawing>
          <wp:inline distT="0" distB="0" distL="0" distR="0" wp14:anchorId="1E4D6836" wp14:editId="1AA3956B">
            <wp:extent cx="5943600" cy="35820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85CD" w14:textId="7FBC267F" w:rsidR="00A77B3E" w:rsidRDefault="00B87819" w:rsidP="007020AD">
      <w:pPr>
        <w:spacing w:line="360" w:lineRule="auto"/>
        <w:jc w:val="both"/>
      </w:pPr>
      <w:r w:rsidRPr="008B3B81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B3B81" w:rsidRPr="008B3B81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2F20">
        <w:rPr>
          <w:rFonts w:ascii="Book Antiqua" w:eastAsia="Book Antiqua" w:hAnsi="Book Antiqua" w:cs="Book Antiqua"/>
          <w:b/>
          <w:bCs/>
          <w:color w:val="000000"/>
        </w:rPr>
        <w:t>2</w:t>
      </w:r>
      <w:r w:rsidR="007020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3B81">
        <w:rPr>
          <w:rFonts w:ascii="Book Antiqua" w:eastAsia="Book Antiqua" w:hAnsi="Book Antiqua" w:cs="Book Antiqua"/>
          <w:b/>
          <w:color w:val="000000"/>
        </w:rPr>
        <w:t>Neuroradiological</w:t>
      </w:r>
      <w:r w:rsidR="007020A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3B81">
        <w:rPr>
          <w:rFonts w:ascii="Book Antiqua" w:eastAsia="Book Antiqua" w:hAnsi="Book Antiqua" w:cs="Book Antiqua"/>
          <w:b/>
          <w:color w:val="000000"/>
        </w:rPr>
        <w:t>features.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F1E56">
        <w:rPr>
          <w:rFonts w:ascii="Book Antiqua" w:eastAsia="Book Antiqua" w:hAnsi="Book Antiqua" w:cs="Book Antiqua"/>
          <w:color w:val="000000"/>
        </w:rPr>
        <w:t>magnetic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F1E56">
        <w:rPr>
          <w:rFonts w:ascii="Book Antiqua" w:eastAsia="Book Antiqua" w:hAnsi="Book Antiqua" w:cs="Book Antiqua"/>
          <w:color w:val="000000"/>
        </w:rPr>
        <w:t>resonance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F1E56">
        <w:rPr>
          <w:rFonts w:ascii="Book Antiqua" w:eastAsia="Book Antiqua" w:hAnsi="Book Antiqua" w:cs="Book Antiqua"/>
          <w:color w:val="000000"/>
        </w:rPr>
        <w:t>imaging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2F1E5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MRI</w:t>
      </w:r>
      <w:r w:rsidR="002F1E56">
        <w:rPr>
          <w:rFonts w:ascii="Book Antiqua" w:eastAsia="Book Antiqua" w:hAnsi="Book Antiqua" w:cs="Book Antiqua"/>
          <w:color w:val="000000"/>
        </w:rPr>
        <w:t>)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periaqueductal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(A1-5: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T1-weighted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B1-5: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images).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91227E">
        <w:rPr>
          <w:rFonts w:ascii="Book Antiqua" w:eastAsia="Book Antiqua" w:hAnsi="Book Antiqua" w:cs="Book Antiqua"/>
          <w:color w:val="000000"/>
        </w:rPr>
        <w:t>C1-5: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Diffusion-weighted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91227E">
        <w:rPr>
          <w:rFonts w:ascii="Book Antiqua" w:eastAsia="Book Antiqua" w:hAnsi="Book Antiqua" w:cs="Book Antiqua"/>
          <w:color w:val="000000"/>
        </w:rPr>
        <w:t>stem</w:t>
      </w:r>
      <w:r w:rsidR="00001D28">
        <w:rPr>
          <w:rFonts w:ascii="Book Antiqua" w:eastAsia="Book Antiqua" w:hAnsi="Book Antiqua" w:cs="Book Antiqua"/>
          <w:color w:val="000000"/>
        </w:rPr>
        <w:t>,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91227E">
        <w:rPr>
          <w:rFonts w:ascii="Book Antiqua" w:eastAsia="Book Antiqua" w:hAnsi="Book Antiqua" w:cs="Book Antiqua"/>
          <w:color w:val="000000"/>
        </w:rPr>
        <w:t>and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91227E">
        <w:rPr>
          <w:rFonts w:ascii="Book Antiqua" w:eastAsia="Book Antiqua" w:hAnsi="Book Antiqua" w:cs="Book Antiqua"/>
          <w:color w:val="000000"/>
        </w:rPr>
        <w:t>white</w:t>
      </w:r>
      <w:r w:rsidR="007020AD">
        <w:rPr>
          <w:rFonts w:ascii="Book Antiqua" w:eastAsia="Book Antiqua" w:hAnsi="Book Antiqua" w:cs="Book Antiqua"/>
          <w:color w:val="000000"/>
        </w:rPr>
        <w:t xml:space="preserve"> </w:t>
      </w:r>
      <w:r w:rsidR="0091227E">
        <w:rPr>
          <w:rFonts w:ascii="Book Antiqua" w:eastAsia="Book Antiqua" w:hAnsi="Book Antiqua" w:cs="Book Antiqua"/>
          <w:color w:val="000000"/>
        </w:rPr>
        <w:t>matter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7F09" w14:textId="77777777" w:rsidR="004F7FA8" w:rsidRDefault="004F7FA8" w:rsidP="005F0498">
      <w:r>
        <w:separator/>
      </w:r>
    </w:p>
  </w:endnote>
  <w:endnote w:type="continuationSeparator" w:id="0">
    <w:p w14:paraId="2ABCE167" w14:textId="77777777" w:rsidR="004F7FA8" w:rsidRDefault="004F7FA8" w:rsidP="005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65943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0E7AB" w14:textId="7C06B2F0" w:rsidR="00B364B9" w:rsidRPr="00B364B9" w:rsidRDefault="00B364B9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B364B9">
          <w:rPr>
            <w:rFonts w:ascii="Book Antiqua" w:hAnsi="Book Antiqua"/>
            <w:sz w:val="24"/>
            <w:szCs w:val="24"/>
          </w:rPr>
          <w:fldChar w:fldCharType="begin"/>
        </w:r>
        <w:r w:rsidRPr="00B364B9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B364B9">
          <w:rPr>
            <w:rFonts w:ascii="Book Antiqua" w:hAnsi="Book Antiqua"/>
            <w:sz w:val="24"/>
            <w:szCs w:val="24"/>
          </w:rPr>
          <w:fldChar w:fldCharType="separate"/>
        </w:r>
        <w:r w:rsidRPr="00B364B9">
          <w:rPr>
            <w:rFonts w:ascii="Book Antiqua" w:hAnsi="Book Antiqua"/>
            <w:noProof/>
            <w:sz w:val="24"/>
            <w:szCs w:val="24"/>
          </w:rPr>
          <w:t>2</w:t>
        </w:r>
        <w:r w:rsidRPr="00B364B9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B364B9">
          <w:rPr>
            <w:rFonts w:ascii="Book Antiqua" w:hAnsi="Book Antiqua"/>
            <w:noProof/>
            <w:sz w:val="24"/>
            <w:szCs w:val="24"/>
          </w:rPr>
          <w:t xml:space="preserve"> / 1</w:t>
        </w:r>
        <w:r w:rsidR="009165F6">
          <w:rPr>
            <w:rFonts w:ascii="Book Antiqua" w:hAnsi="Book Antiqua"/>
            <w:noProof/>
            <w:sz w:val="24"/>
            <w:szCs w:val="24"/>
          </w:rPr>
          <w:t>4</w:t>
        </w:r>
      </w:p>
    </w:sdtContent>
  </w:sdt>
  <w:p w14:paraId="4BD7EE9D" w14:textId="77777777" w:rsidR="005F0498" w:rsidRDefault="005F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949B" w14:textId="77777777" w:rsidR="004F7FA8" w:rsidRDefault="004F7FA8" w:rsidP="005F0498">
      <w:r>
        <w:separator/>
      </w:r>
    </w:p>
  </w:footnote>
  <w:footnote w:type="continuationSeparator" w:id="0">
    <w:p w14:paraId="23991346" w14:textId="77777777" w:rsidR="004F7FA8" w:rsidRDefault="004F7FA8" w:rsidP="005F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D28"/>
    <w:rsid w:val="00012DF6"/>
    <w:rsid w:val="00033854"/>
    <w:rsid w:val="00070FDB"/>
    <w:rsid w:val="00105810"/>
    <w:rsid w:val="001136D5"/>
    <w:rsid w:val="001171FF"/>
    <w:rsid w:val="00122722"/>
    <w:rsid w:val="001464EB"/>
    <w:rsid w:val="00154805"/>
    <w:rsid w:val="00183802"/>
    <w:rsid w:val="001E2035"/>
    <w:rsid w:val="00201F94"/>
    <w:rsid w:val="002201CC"/>
    <w:rsid w:val="00250D19"/>
    <w:rsid w:val="002648D8"/>
    <w:rsid w:val="002B17D0"/>
    <w:rsid w:val="002F1E56"/>
    <w:rsid w:val="003647D7"/>
    <w:rsid w:val="003E5F45"/>
    <w:rsid w:val="0048144E"/>
    <w:rsid w:val="004918CB"/>
    <w:rsid w:val="00497932"/>
    <w:rsid w:val="004F088A"/>
    <w:rsid w:val="004F7FA8"/>
    <w:rsid w:val="005015B1"/>
    <w:rsid w:val="00527FD5"/>
    <w:rsid w:val="0055795E"/>
    <w:rsid w:val="005E1634"/>
    <w:rsid w:val="005F0498"/>
    <w:rsid w:val="00642E1A"/>
    <w:rsid w:val="00657F6B"/>
    <w:rsid w:val="006958DB"/>
    <w:rsid w:val="006D1C19"/>
    <w:rsid w:val="007020AD"/>
    <w:rsid w:val="00711BF6"/>
    <w:rsid w:val="00755197"/>
    <w:rsid w:val="007640AB"/>
    <w:rsid w:val="007F746F"/>
    <w:rsid w:val="00822A05"/>
    <w:rsid w:val="008469C5"/>
    <w:rsid w:val="00890786"/>
    <w:rsid w:val="008A3C07"/>
    <w:rsid w:val="008B3B81"/>
    <w:rsid w:val="0091162A"/>
    <w:rsid w:val="0091227E"/>
    <w:rsid w:val="009165F6"/>
    <w:rsid w:val="00934630"/>
    <w:rsid w:val="00975870"/>
    <w:rsid w:val="009F6D35"/>
    <w:rsid w:val="00A26651"/>
    <w:rsid w:val="00A467BC"/>
    <w:rsid w:val="00A53CA3"/>
    <w:rsid w:val="00A77B3E"/>
    <w:rsid w:val="00AA7601"/>
    <w:rsid w:val="00B364B9"/>
    <w:rsid w:val="00B4736A"/>
    <w:rsid w:val="00B87819"/>
    <w:rsid w:val="00BB2581"/>
    <w:rsid w:val="00BC4AF4"/>
    <w:rsid w:val="00BF4510"/>
    <w:rsid w:val="00C37A34"/>
    <w:rsid w:val="00C664C9"/>
    <w:rsid w:val="00C803B6"/>
    <w:rsid w:val="00CA2A55"/>
    <w:rsid w:val="00CB1E7F"/>
    <w:rsid w:val="00CC65B0"/>
    <w:rsid w:val="00D06C54"/>
    <w:rsid w:val="00DA02F6"/>
    <w:rsid w:val="00E15640"/>
    <w:rsid w:val="00F12F20"/>
    <w:rsid w:val="00F2386E"/>
    <w:rsid w:val="00FA19C0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16C52"/>
  <w15:docId w15:val="{D135C845-D8FD-4CFC-8A59-302B1FC4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F04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04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0498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A76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7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76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7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760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6D35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D35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Filipodia</cp:lastModifiedBy>
  <cp:revision>3</cp:revision>
  <dcterms:created xsi:type="dcterms:W3CDTF">2021-07-17T18:42:00Z</dcterms:created>
  <dcterms:modified xsi:type="dcterms:W3CDTF">2021-07-17T23:45:00Z</dcterms:modified>
</cp:coreProperties>
</file>