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C1D4F" w14:textId="77777777" w:rsidR="00B4314C" w:rsidRPr="00512804" w:rsidRDefault="0027755F">
      <w:pPr>
        <w:pStyle w:val="BodyA"/>
        <w:spacing w:line="360" w:lineRule="auto"/>
        <w:jc w:val="both"/>
      </w:pPr>
      <w:r w:rsidRPr="00512804">
        <w:rPr>
          <w:rFonts w:ascii="Book Antiqua" w:hAnsi="Book Antiqua"/>
          <w:b/>
          <w:bCs/>
        </w:rPr>
        <w:t xml:space="preserve">Name of Journal: </w:t>
      </w:r>
      <w:r w:rsidRPr="00512804">
        <w:rPr>
          <w:rFonts w:ascii="Book Antiqua" w:hAnsi="Book Antiqua"/>
          <w:i/>
          <w:iCs/>
          <w:lang w:val="nl-NL"/>
        </w:rPr>
        <w:t>World Journal of Gastroenterology</w:t>
      </w:r>
    </w:p>
    <w:p w14:paraId="263D0EE8" w14:textId="77777777" w:rsidR="00B4314C" w:rsidRPr="00512804" w:rsidRDefault="0027755F">
      <w:pPr>
        <w:pStyle w:val="BodyA"/>
        <w:spacing w:line="360" w:lineRule="auto"/>
        <w:jc w:val="both"/>
      </w:pPr>
      <w:r w:rsidRPr="00512804">
        <w:rPr>
          <w:rFonts w:ascii="Book Antiqua" w:hAnsi="Book Antiqua"/>
          <w:b/>
          <w:bCs/>
        </w:rPr>
        <w:t xml:space="preserve">Manuscript NO: </w:t>
      </w:r>
      <w:r w:rsidRPr="00512804">
        <w:rPr>
          <w:rFonts w:ascii="Book Antiqua" w:hAnsi="Book Antiqua"/>
        </w:rPr>
        <w:t>62237</w:t>
      </w:r>
    </w:p>
    <w:p w14:paraId="0F719E65" w14:textId="77777777" w:rsidR="00B4314C" w:rsidRPr="00512804" w:rsidRDefault="0027755F">
      <w:pPr>
        <w:pStyle w:val="BodyA"/>
        <w:spacing w:line="360" w:lineRule="auto"/>
        <w:jc w:val="both"/>
      </w:pPr>
      <w:r w:rsidRPr="00512804">
        <w:rPr>
          <w:rFonts w:ascii="Book Antiqua" w:hAnsi="Book Antiqua"/>
          <w:b/>
          <w:bCs/>
          <w:lang w:val="fr-FR"/>
        </w:rPr>
        <w:t xml:space="preserve">Manuscript Type: </w:t>
      </w:r>
      <w:r w:rsidRPr="00512804">
        <w:rPr>
          <w:rFonts w:ascii="Book Antiqua" w:hAnsi="Book Antiqua"/>
        </w:rPr>
        <w:t>MINIREVIEWS</w:t>
      </w:r>
    </w:p>
    <w:p w14:paraId="14D64071" w14:textId="77777777" w:rsidR="00B4314C" w:rsidRPr="00512804" w:rsidRDefault="00B4314C">
      <w:pPr>
        <w:pStyle w:val="BodyA"/>
        <w:spacing w:line="360" w:lineRule="auto"/>
        <w:jc w:val="both"/>
      </w:pPr>
    </w:p>
    <w:p w14:paraId="7A72E7EB" w14:textId="77777777" w:rsidR="00B4314C" w:rsidRPr="00512804" w:rsidRDefault="0027755F">
      <w:pPr>
        <w:pStyle w:val="BodyA"/>
        <w:spacing w:line="360" w:lineRule="auto"/>
        <w:jc w:val="both"/>
      </w:pPr>
      <w:r w:rsidRPr="00512804">
        <w:rPr>
          <w:rFonts w:ascii="Book Antiqua" w:hAnsi="Book Antiqua"/>
          <w:b/>
          <w:bCs/>
        </w:rPr>
        <w:t>Neurological manifestations of hepatitis E virus infection: An overview</w:t>
      </w:r>
    </w:p>
    <w:p w14:paraId="25381D68" w14:textId="77777777" w:rsidR="00B4314C" w:rsidRPr="00512804" w:rsidRDefault="00B4314C">
      <w:pPr>
        <w:pStyle w:val="BodyA"/>
        <w:spacing w:line="360" w:lineRule="auto"/>
        <w:jc w:val="both"/>
      </w:pPr>
    </w:p>
    <w:p w14:paraId="74CCDC25" w14:textId="77777777" w:rsidR="00B4314C" w:rsidRPr="00512804" w:rsidRDefault="0027755F">
      <w:pPr>
        <w:pStyle w:val="BodyA"/>
        <w:spacing w:line="360" w:lineRule="auto"/>
        <w:jc w:val="both"/>
      </w:pPr>
      <w:r w:rsidRPr="00512804">
        <w:rPr>
          <w:rFonts w:ascii="Book Antiqua" w:hAnsi="Book Antiqua"/>
        </w:rPr>
        <w:t xml:space="preserve">Jha AK </w:t>
      </w:r>
      <w:r w:rsidRPr="00512804">
        <w:rPr>
          <w:rFonts w:ascii="Book Antiqua" w:hAnsi="Book Antiqua"/>
          <w:i/>
          <w:iCs/>
          <w:lang w:val="nl-NL"/>
        </w:rPr>
        <w:t>et al</w:t>
      </w:r>
      <w:r w:rsidRPr="00512804">
        <w:rPr>
          <w:rFonts w:ascii="Book Antiqua" w:hAnsi="Book Antiqua"/>
        </w:rPr>
        <w:t>. Neurological manifestations of HEV infection</w:t>
      </w:r>
    </w:p>
    <w:p w14:paraId="72266E93" w14:textId="77777777" w:rsidR="00B4314C" w:rsidRPr="00512804" w:rsidRDefault="00B4314C">
      <w:pPr>
        <w:pStyle w:val="BodyA"/>
        <w:spacing w:line="360" w:lineRule="auto"/>
        <w:jc w:val="both"/>
      </w:pPr>
    </w:p>
    <w:p w14:paraId="476CF669" w14:textId="77777777" w:rsidR="00B4314C" w:rsidRPr="00512804" w:rsidRDefault="0027755F">
      <w:pPr>
        <w:pStyle w:val="BodyA"/>
        <w:spacing w:line="360" w:lineRule="auto"/>
        <w:jc w:val="both"/>
      </w:pPr>
      <w:r w:rsidRPr="00512804">
        <w:rPr>
          <w:rFonts w:ascii="Book Antiqua" w:hAnsi="Book Antiqua"/>
        </w:rPr>
        <w:t>Ashish Kumar Jha, Gaurav Kumar, Vishwa Mohan Dayal, Abhay Ranjan, Arya Such</w:t>
      </w:r>
      <w:r w:rsidRPr="00512804">
        <w:rPr>
          <w:rFonts w:ascii="Book Antiqua" w:hAnsi="Book Antiqua"/>
        </w:rPr>
        <w:t>i</w:t>
      </w:r>
      <w:r w:rsidRPr="00512804">
        <w:rPr>
          <w:rFonts w:ascii="Book Antiqua" w:hAnsi="Book Antiqua"/>
        </w:rPr>
        <w:t>smita</w:t>
      </w:r>
    </w:p>
    <w:p w14:paraId="3A360179" w14:textId="77777777" w:rsidR="00B4314C" w:rsidRPr="00512804" w:rsidRDefault="00B4314C">
      <w:pPr>
        <w:pStyle w:val="BodyA"/>
        <w:spacing w:line="360" w:lineRule="auto"/>
        <w:jc w:val="both"/>
      </w:pPr>
    </w:p>
    <w:p w14:paraId="44E344F1" w14:textId="77777777" w:rsidR="00B4314C" w:rsidRPr="00512804" w:rsidRDefault="0027755F">
      <w:pPr>
        <w:pStyle w:val="BodyA"/>
        <w:spacing w:line="360" w:lineRule="auto"/>
        <w:jc w:val="both"/>
      </w:pPr>
      <w:r w:rsidRPr="00512804">
        <w:rPr>
          <w:rFonts w:ascii="Book Antiqua" w:hAnsi="Book Antiqua"/>
          <w:b/>
          <w:bCs/>
        </w:rPr>
        <w:t xml:space="preserve">Ashish Kumar Jha, Gaurav Kumar, Vishwa Mohan Dayal, </w:t>
      </w:r>
      <w:r w:rsidRPr="00512804">
        <w:rPr>
          <w:rFonts w:ascii="Book Antiqua" w:hAnsi="Book Antiqua"/>
        </w:rPr>
        <w:t>Department of Gastroe</w:t>
      </w:r>
      <w:r w:rsidRPr="00512804">
        <w:rPr>
          <w:rFonts w:ascii="Book Antiqua" w:hAnsi="Book Antiqua"/>
        </w:rPr>
        <w:t>n</w:t>
      </w:r>
      <w:r w:rsidRPr="00512804">
        <w:rPr>
          <w:rFonts w:ascii="Book Antiqua" w:hAnsi="Book Antiqua"/>
        </w:rPr>
        <w:t>terology, Indira Gandhi Institute of Medical Sciences, Patna 800014, India</w:t>
      </w:r>
    </w:p>
    <w:p w14:paraId="5DD89E0D" w14:textId="77777777" w:rsidR="00B4314C" w:rsidRPr="00512804" w:rsidRDefault="00B4314C">
      <w:pPr>
        <w:pStyle w:val="BodyA"/>
        <w:spacing w:line="360" w:lineRule="auto"/>
        <w:jc w:val="both"/>
      </w:pPr>
    </w:p>
    <w:p w14:paraId="5A344405" w14:textId="77777777" w:rsidR="00B4314C" w:rsidRPr="00512804" w:rsidRDefault="0027755F">
      <w:pPr>
        <w:pStyle w:val="BodyA"/>
        <w:spacing w:line="360" w:lineRule="auto"/>
        <w:jc w:val="both"/>
      </w:pPr>
      <w:r w:rsidRPr="00512804">
        <w:rPr>
          <w:rFonts w:ascii="Book Antiqua" w:hAnsi="Book Antiqua"/>
          <w:b/>
          <w:bCs/>
          <w:lang w:val="es-ES_tradnl"/>
        </w:rPr>
        <w:t xml:space="preserve">Abhay Ranjan, </w:t>
      </w:r>
      <w:r w:rsidRPr="00512804">
        <w:rPr>
          <w:rFonts w:ascii="Book Antiqua" w:hAnsi="Book Antiqua"/>
        </w:rPr>
        <w:t>Department of Neurology, Indira Gandhi Institute of Medical Sciences, Patna 800014, India</w:t>
      </w:r>
    </w:p>
    <w:p w14:paraId="222251DB" w14:textId="77777777" w:rsidR="00B4314C" w:rsidRPr="00512804" w:rsidRDefault="00B4314C">
      <w:pPr>
        <w:pStyle w:val="BodyA"/>
        <w:spacing w:line="360" w:lineRule="auto"/>
        <w:jc w:val="both"/>
      </w:pPr>
    </w:p>
    <w:p w14:paraId="19AAF077" w14:textId="77777777" w:rsidR="00B4314C" w:rsidRPr="00512804" w:rsidRDefault="0027755F">
      <w:pPr>
        <w:pStyle w:val="BodyA"/>
        <w:spacing w:line="360" w:lineRule="auto"/>
        <w:jc w:val="both"/>
      </w:pPr>
      <w:r w:rsidRPr="00512804">
        <w:rPr>
          <w:rFonts w:ascii="Book Antiqua" w:hAnsi="Book Antiqua"/>
          <w:b/>
          <w:bCs/>
          <w:lang w:val="de-DE"/>
        </w:rPr>
        <w:t xml:space="preserve">Arya Suchismita, </w:t>
      </w:r>
      <w:r w:rsidRPr="00512804">
        <w:rPr>
          <w:rFonts w:ascii="Book Antiqua" w:hAnsi="Book Antiqua"/>
        </w:rPr>
        <w:t>Department of Pediatric Hepatology, Institute of Liver and Biliary Sciences, Basant Kunj 110070, New Delhi, India</w:t>
      </w:r>
    </w:p>
    <w:p w14:paraId="4DD7B7A8" w14:textId="77777777" w:rsidR="00B4314C" w:rsidRPr="00512804" w:rsidRDefault="00B4314C">
      <w:pPr>
        <w:pStyle w:val="BodyA"/>
        <w:spacing w:line="360" w:lineRule="auto"/>
        <w:jc w:val="both"/>
      </w:pPr>
    </w:p>
    <w:p w14:paraId="67AD8B3C" w14:textId="2BCB97C1" w:rsidR="00B4314C" w:rsidRPr="00512804" w:rsidRDefault="0027755F">
      <w:pPr>
        <w:pStyle w:val="BodyA"/>
        <w:spacing w:line="360" w:lineRule="auto"/>
        <w:jc w:val="both"/>
      </w:pPr>
      <w:r w:rsidRPr="00512804">
        <w:rPr>
          <w:rFonts w:ascii="Book Antiqua" w:hAnsi="Book Antiqua"/>
          <w:b/>
          <w:bCs/>
        </w:rPr>
        <w:t xml:space="preserve">Author contributions: </w:t>
      </w:r>
      <w:r w:rsidRPr="00512804">
        <w:rPr>
          <w:rFonts w:ascii="Book Antiqua" w:hAnsi="Book Antiqua"/>
        </w:rPr>
        <w:t>Jha AK wrote the manuscript, and prepared the figures and t</w:t>
      </w:r>
      <w:r w:rsidRPr="00512804">
        <w:rPr>
          <w:rFonts w:ascii="Book Antiqua" w:hAnsi="Book Antiqua"/>
        </w:rPr>
        <w:t>a</w:t>
      </w:r>
      <w:r w:rsidRPr="00512804">
        <w:rPr>
          <w:rFonts w:ascii="Book Antiqua" w:hAnsi="Book Antiqua"/>
        </w:rPr>
        <w:t>bles;</w:t>
      </w:r>
      <w:r w:rsidRPr="00512804">
        <w:rPr>
          <w:rFonts w:ascii="Book Antiqua" w:hAnsi="Book Antiqua"/>
          <w:b/>
          <w:bCs/>
        </w:rPr>
        <w:t xml:space="preserve"> </w:t>
      </w:r>
      <w:r w:rsidRPr="00512804">
        <w:rPr>
          <w:rFonts w:ascii="Book Antiqua" w:hAnsi="Book Antiqua"/>
        </w:rPr>
        <w:t xml:space="preserve">Kumar G performed the </w:t>
      </w:r>
      <w:r w:rsidRPr="00512804">
        <w:rPr>
          <w:rFonts w:ascii="Book Antiqua" w:hAnsi="Book Antiqua"/>
          <w:lang w:val="it-IT"/>
        </w:rPr>
        <w:t>data acquisition</w:t>
      </w:r>
      <w:r w:rsidRPr="00512804">
        <w:rPr>
          <w:rFonts w:ascii="Book Antiqua" w:hAnsi="Book Antiqua"/>
        </w:rPr>
        <w:t>; Dayal VM, Ranjan A, and Suchismita A provided input to the writing of this paper.</w:t>
      </w:r>
    </w:p>
    <w:p w14:paraId="07C36986" w14:textId="77777777" w:rsidR="00B4314C" w:rsidRPr="00512804" w:rsidRDefault="00B4314C">
      <w:pPr>
        <w:pStyle w:val="BodyA"/>
        <w:spacing w:line="360" w:lineRule="auto"/>
        <w:jc w:val="both"/>
      </w:pPr>
    </w:p>
    <w:p w14:paraId="6EB3DC4B" w14:textId="77777777" w:rsidR="00B4314C" w:rsidRPr="00512804" w:rsidRDefault="0027755F">
      <w:pPr>
        <w:pStyle w:val="BodyA"/>
        <w:spacing w:line="360" w:lineRule="auto"/>
        <w:jc w:val="both"/>
      </w:pPr>
      <w:r w:rsidRPr="00512804">
        <w:rPr>
          <w:rFonts w:ascii="Book Antiqua" w:hAnsi="Book Antiqua"/>
          <w:b/>
          <w:bCs/>
        </w:rPr>
        <w:t xml:space="preserve">Corresponding author: Ashish Kumar Jha, MBBS, MD, DM, Associate Professor, </w:t>
      </w:r>
      <w:r w:rsidRPr="00512804">
        <w:rPr>
          <w:rFonts w:ascii="Book Antiqua" w:hAnsi="Book Antiqua"/>
        </w:rPr>
        <w:t>D</w:t>
      </w:r>
      <w:r w:rsidRPr="00512804">
        <w:rPr>
          <w:rFonts w:ascii="Book Antiqua" w:hAnsi="Book Antiqua"/>
        </w:rPr>
        <w:t>e</w:t>
      </w:r>
      <w:r w:rsidRPr="00512804">
        <w:rPr>
          <w:rFonts w:ascii="Book Antiqua" w:hAnsi="Book Antiqua"/>
        </w:rPr>
        <w:t>partment of Gastroenterology, Indira Gandhi Institute of Medical Sciences, Sheikhpura, Patna 800014, India. ashishjhabn@yahoo.co.in</w:t>
      </w:r>
    </w:p>
    <w:p w14:paraId="0517264E" w14:textId="77777777" w:rsidR="00B4314C" w:rsidRPr="00512804" w:rsidRDefault="00B4314C">
      <w:pPr>
        <w:pStyle w:val="BodyA"/>
        <w:spacing w:line="360" w:lineRule="auto"/>
        <w:jc w:val="both"/>
      </w:pPr>
    </w:p>
    <w:p w14:paraId="642537F4" w14:textId="77777777" w:rsidR="00B4314C" w:rsidRPr="00512804" w:rsidRDefault="0027755F">
      <w:pPr>
        <w:pStyle w:val="BodyA"/>
        <w:spacing w:line="360" w:lineRule="auto"/>
        <w:jc w:val="both"/>
      </w:pPr>
      <w:r w:rsidRPr="00512804">
        <w:rPr>
          <w:rFonts w:ascii="Book Antiqua" w:hAnsi="Book Antiqua"/>
          <w:b/>
          <w:bCs/>
        </w:rPr>
        <w:t xml:space="preserve">Received: </w:t>
      </w:r>
      <w:r w:rsidRPr="00512804">
        <w:rPr>
          <w:rFonts w:ascii="Book Antiqua" w:hAnsi="Book Antiqua"/>
        </w:rPr>
        <w:t>January 3, 2021</w:t>
      </w:r>
    </w:p>
    <w:p w14:paraId="02E07FA2" w14:textId="77777777" w:rsidR="00B4314C" w:rsidRPr="00512804" w:rsidRDefault="0027755F">
      <w:pPr>
        <w:pStyle w:val="BodyA"/>
        <w:spacing w:line="360" w:lineRule="auto"/>
        <w:jc w:val="both"/>
      </w:pPr>
      <w:r w:rsidRPr="00512804">
        <w:rPr>
          <w:rFonts w:ascii="Book Antiqua" w:hAnsi="Book Antiqua"/>
          <w:b/>
          <w:bCs/>
        </w:rPr>
        <w:t xml:space="preserve">Revised: </w:t>
      </w:r>
      <w:r w:rsidRPr="00512804">
        <w:rPr>
          <w:rFonts w:ascii="Book Antiqua" w:hAnsi="Book Antiqua"/>
        </w:rPr>
        <w:t>February 27, 2021</w:t>
      </w:r>
    </w:p>
    <w:p w14:paraId="798D2438" w14:textId="77777777" w:rsidR="00B4314C" w:rsidRPr="00512804" w:rsidRDefault="0027755F">
      <w:pPr>
        <w:pStyle w:val="BodyA"/>
        <w:spacing w:line="360" w:lineRule="auto"/>
        <w:jc w:val="both"/>
      </w:pPr>
      <w:r w:rsidRPr="00512804">
        <w:rPr>
          <w:rFonts w:ascii="Book Antiqua" w:hAnsi="Book Antiqua"/>
          <w:b/>
          <w:bCs/>
        </w:rPr>
        <w:lastRenderedPageBreak/>
        <w:t xml:space="preserve">Accepted: </w:t>
      </w:r>
      <w:r w:rsidRPr="00512804">
        <w:rPr>
          <w:rFonts w:ascii="Book Antiqua" w:hAnsi="Book Antiqua"/>
        </w:rPr>
        <w:t>April 5, 2021</w:t>
      </w:r>
    </w:p>
    <w:p w14:paraId="36B3654B" w14:textId="079A1EBA" w:rsidR="00B4314C" w:rsidRPr="00512804" w:rsidRDefault="0027755F">
      <w:pPr>
        <w:pStyle w:val="BodyA"/>
        <w:spacing w:line="360" w:lineRule="auto"/>
        <w:jc w:val="both"/>
      </w:pPr>
      <w:r w:rsidRPr="00512804">
        <w:rPr>
          <w:rFonts w:ascii="Book Antiqua" w:hAnsi="Book Antiqua"/>
          <w:b/>
          <w:bCs/>
        </w:rPr>
        <w:t xml:space="preserve">Published online: </w:t>
      </w:r>
      <w:r w:rsidR="00D1574E" w:rsidRPr="00512804">
        <w:rPr>
          <w:rFonts w:ascii="Book Antiqua" w:eastAsia="Book Antiqua" w:hAnsi="Book Antiqua" w:cs="Book Antiqua"/>
          <w:bCs/>
        </w:rPr>
        <w:t>May</w:t>
      </w:r>
      <w:r w:rsidR="00D1574E" w:rsidRPr="00512804">
        <w:rPr>
          <w:rFonts w:ascii="Book Antiqua" w:hAnsi="Book Antiqua" w:cs="Book Antiqua" w:hint="eastAsia"/>
          <w:bCs/>
          <w:lang w:eastAsia="zh-CN"/>
        </w:rPr>
        <w:t xml:space="preserve"> 14</w:t>
      </w:r>
      <w:r w:rsidR="00D1574E" w:rsidRPr="00512804">
        <w:rPr>
          <w:rFonts w:ascii="Book Antiqua" w:eastAsia="Book Antiqua" w:hAnsi="Book Antiqua" w:cs="Book Antiqua"/>
        </w:rPr>
        <w:t>, 2021</w:t>
      </w:r>
    </w:p>
    <w:p w14:paraId="1B41BCD9" w14:textId="77777777" w:rsidR="00B4314C" w:rsidRPr="00512804" w:rsidRDefault="00B4314C">
      <w:pPr>
        <w:pStyle w:val="BodyA"/>
        <w:spacing w:line="360" w:lineRule="auto"/>
        <w:jc w:val="both"/>
        <w:sectPr w:rsidR="00B4314C" w:rsidRPr="00512804">
          <w:headerReference w:type="default" r:id="rId7"/>
          <w:footerReference w:type="default" r:id="rId8"/>
          <w:pgSz w:w="12240" w:h="15840"/>
          <w:pgMar w:top="1440" w:right="1440" w:bottom="1440" w:left="1440" w:header="720" w:footer="720" w:gutter="0"/>
          <w:cols w:space="720"/>
        </w:sectPr>
      </w:pPr>
    </w:p>
    <w:p w14:paraId="43F69910" w14:textId="77777777" w:rsidR="00B4314C" w:rsidRPr="00512804" w:rsidRDefault="0027755F">
      <w:pPr>
        <w:pStyle w:val="BodyA"/>
        <w:spacing w:line="360" w:lineRule="auto"/>
        <w:jc w:val="both"/>
        <w:rPr>
          <w:lang w:val="de-DE"/>
        </w:rPr>
      </w:pPr>
      <w:r w:rsidRPr="00512804">
        <w:rPr>
          <w:rFonts w:ascii="Book Antiqua" w:hAnsi="Book Antiqua"/>
          <w:b/>
          <w:bCs/>
          <w:lang w:val="de-DE"/>
        </w:rPr>
        <w:t>Abstract</w:t>
      </w:r>
    </w:p>
    <w:p w14:paraId="665AD88C" w14:textId="5F6DCA0E" w:rsidR="00B4314C" w:rsidRPr="00512804" w:rsidRDefault="0027755F">
      <w:pPr>
        <w:pStyle w:val="BodyA"/>
        <w:spacing w:line="360" w:lineRule="auto"/>
        <w:jc w:val="both"/>
      </w:pPr>
      <w:bookmarkStart w:id="0" w:name="_Hlk68024707"/>
      <w:r w:rsidRPr="00512804">
        <w:rPr>
          <w:rFonts w:ascii="Book Antiqua" w:hAnsi="Book Antiqua"/>
        </w:rPr>
        <w:t>Hepatitis E virus</w:t>
      </w:r>
      <w:bookmarkEnd w:id="0"/>
      <w:r w:rsidRPr="00512804">
        <w:rPr>
          <w:rFonts w:ascii="Book Antiqua" w:hAnsi="Book Antiqua"/>
        </w:rPr>
        <w:t xml:space="preserve"> (HEV) is an important cause of repeated waterborne outbreaks of acute hepatitis. Recently, several extrahepatic manifestations (EHMs) have been d</w:t>
      </w:r>
      <w:r w:rsidRPr="00512804">
        <w:rPr>
          <w:rFonts w:ascii="Book Antiqua" w:hAnsi="Book Antiqua"/>
        </w:rPr>
        <w:t>e</w:t>
      </w:r>
      <w:r w:rsidRPr="00512804">
        <w:rPr>
          <w:rFonts w:ascii="Book Antiqua" w:hAnsi="Book Antiqua"/>
        </w:rPr>
        <w:t>scribed in patients with HEV infection. Of these, neurological disorders are the most common EHM associated with HEV. The involvement of both the peripheral nervous system and central nervous system can occur together or in isolation. Patients can pr</w:t>
      </w:r>
      <w:r w:rsidRPr="00512804">
        <w:rPr>
          <w:rFonts w:ascii="Book Antiqua" w:hAnsi="Book Antiqua"/>
        </w:rPr>
        <w:t>e</w:t>
      </w:r>
      <w:r w:rsidRPr="00512804">
        <w:rPr>
          <w:rFonts w:ascii="Book Antiqua" w:hAnsi="Book Antiqua"/>
        </w:rPr>
        <w:t>sent with normal liver function tests, which can often be misleading for physicians. There is a paucity of data on HEV-related neurological manifestations; and these data are mostly described as case reports and case series. In this review, we analyzed data of 163 reported cases of HEV-related neurological disorders. The mechanisms of path</w:t>
      </w:r>
      <w:r w:rsidRPr="00512804">
        <w:rPr>
          <w:rFonts w:ascii="Book Antiqua" w:hAnsi="Book Antiqua"/>
        </w:rPr>
        <w:t>o</w:t>
      </w:r>
      <w:r w:rsidRPr="00512804">
        <w:rPr>
          <w:rFonts w:ascii="Book Antiqua" w:hAnsi="Book Antiqua"/>
        </w:rPr>
        <w:t>genesis, clinico-demographic profile, and outcomes of the HEV-related neurological disorders are described in this article. Nerve root and plexus disorder were found to be the most commonly reported disease, followed by meningoencephalitis.</w:t>
      </w:r>
    </w:p>
    <w:p w14:paraId="4632559D" w14:textId="77777777" w:rsidR="00B4314C" w:rsidRPr="00512804" w:rsidRDefault="00B4314C">
      <w:pPr>
        <w:pStyle w:val="BodyA"/>
        <w:spacing w:line="360" w:lineRule="auto"/>
        <w:jc w:val="both"/>
      </w:pPr>
    </w:p>
    <w:p w14:paraId="140B5150" w14:textId="11ED6F87" w:rsidR="00B4314C" w:rsidRPr="00512804" w:rsidRDefault="0027755F">
      <w:pPr>
        <w:pStyle w:val="BodyA"/>
        <w:spacing w:line="360" w:lineRule="auto"/>
        <w:jc w:val="both"/>
      </w:pPr>
      <w:r w:rsidRPr="00512804">
        <w:rPr>
          <w:rFonts w:ascii="Book Antiqua" w:hAnsi="Book Antiqua"/>
          <w:b/>
          <w:bCs/>
        </w:rPr>
        <w:t xml:space="preserve">Key Words: </w:t>
      </w:r>
      <w:r w:rsidRPr="00512804">
        <w:rPr>
          <w:rFonts w:ascii="Book Antiqua" w:hAnsi="Book Antiqua"/>
          <w:lang w:val="es-ES_tradnl"/>
        </w:rPr>
        <w:t>Hepatitis E virus; Acute hepatitis E; Extra</w:t>
      </w:r>
      <w:r w:rsidRPr="00512804">
        <w:rPr>
          <w:rFonts w:ascii="Book Antiqua" w:hAnsi="Book Antiqua"/>
        </w:rPr>
        <w:t>hepatic manifestations; Neurolo</w:t>
      </w:r>
      <w:r w:rsidRPr="00512804">
        <w:rPr>
          <w:rFonts w:ascii="Book Antiqua" w:hAnsi="Book Antiqua"/>
        </w:rPr>
        <w:t>g</w:t>
      </w:r>
      <w:r w:rsidRPr="00512804">
        <w:rPr>
          <w:rFonts w:ascii="Book Antiqua" w:hAnsi="Book Antiqua"/>
        </w:rPr>
        <w:t xml:space="preserve">ical manifestations; Neuralgic amyotrophy; Guillain-Barré </w:t>
      </w:r>
      <w:r w:rsidRPr="00512804">
        <w:rPr>
          <w:rFonts w:ascii="Book Antiqua" w:hAnsi="Book Antiqua"/>
          <w:lang w:val="fr-FR"/>
        </w:rPr>
        <w:t>syndrome</w:t>
      </w:r>
    </w:p>
    <w:p w14:paraId="750D5389" w14:textId="77777777" w:rsidR="006A683E" w:rsidRPr="00512804" w:rsidRDefault="006A683E" w:rsidP="006A683E">
      <w:pPr>
        <w:spacing w:line="360" w:lineRule="auto"/>
        <w:jc w:val="both"/>
        <w:rPr>
          <w:lang w:eastAsia="zh-CN"/>
        </w:rPr>
      </w:pPr>
    </w:p>
    <w:p w14:paraId="1B4AA2B0" w14:textId="77777777" w:rsidR="006A683E" w:rsidRPr="00512804" w:rsidRDefault="006A683E" w:rsidP="006A683E">
      <w:pPr>
        <w:spacing w:line="360" w:lineRule="auto"/>
        <w:jc w:val="both"/>
        <w:rPr>
          <w:rFonts w:ascii="Book Antiqua" w:eastAsia="Book Antiqua" w:hAnsi="Book Antiqua" w:cs="Book Antiqua"/>
          <w:color w:val="000000"/>
        </w:rPr>
      </w:pPr>
      <w:r w:rsidRPr="00512804">
        <w:rPr>
          <w:rFonts w:ascii="Book Antiqua" w:eastAsia="Book Antiqua" w:hAnsi="Book Antiqua" w:cs="Book Antiqua" w:hint="eastAsia"/>
          <w:b/>
          <w:color w:val="000000"/>
        </w:rPr>
        <w:t>©</w:t>
      </w:r>
      <w:r w:rsidRPr="00512804">
        <w:rPr>
          <w:rFonts w:ascii="Book Antiqua" w:eastAsia="Book Antiqua" w:hAnsi="Book Antiqua" w:cs="Book Antiqua"/>
          <w:b/>
          <w:color w:val="000000"/>
        </w:rPr>
        <w:t>The</w:t>
      </w:r>
      <w:r w:rsidRPr="00512804">
        <w:rPr>
          <w:rFonts w:ascii="Book Antiqua" w:eastAsia="Book Antiqua" w:hAnsi="Book Antiqua" w:cs="Book Antiqua"/>
          <w:color w:val="000000"/>
        </w:rPr>
        <w:t xml:space="preserve"> </w:t>
      </w:r>
      <w:r w:rsidRPr="00512804">
        <w:rPr>
          <w:rFonts w:ascii="Book Antiqua" w:eastAsia="Book Antiqua" w:hAnsi="Book Antiqua" w:cs="Book Antiqua"/>
          <w:b/>
          <w:color w:val="000000"/>
        </w:rPr>
        <w:t xml:space="preserve">Author(s) 2021. </w:t>
      </w:r>
      <w:r w:rsidRPr="00512804">
        <w:rPr>
          <w:rFonts w:ascii="Book Antiqua" w:eastAsia="Book Antiqua" w:hAnsi="Book Antiqua" w:cs="Book Antiqua"/>
          <w:color w:val="000000"/>
        </w:rPr>
        <w:t>Published by Baishideng Publishing Group Inc. All rights r</w:t>
      </w:r>
      <w:r w:rsidRPr="00512804">
        <w:rPr>
          <w:rFonts w:ascii="Book Antiqua" w:eastAsia="Book Antiqua" w:hAnsi="Book Antiqua" w:cs="Book Antiqua"/>
          <w:color w:val="000000"/>
        </w:rPr>
        <w:t>e</w:t>
      </w:r>
      <w:r w:rsidRPr="00512804">
        <w:rPr>
          <w:rFonts w:ascii="Book Antiqua" w:eastAsia="Book Antiqua" w:hAnsi="Book Antiqua" w:cs="Book Antiqua"/>
          <w:color w:val="000000"/>
        </w:rPr>
        <w:t xml:space="preserve">served. </w:t>
      </w:r>
    </w:p>
    <w:p w14:paraId="113B2569" w14:textId="77777777" w:rsidR="00B4314C" w:rsidRPr="00512804" w:rsidRDefault="00B4314C">
      <w:pPr>
        <w:pStyle w:val="BodyA"/>
        <w:spacing w:line="360" w:lineRule="auto"/>
        <w:jc w:val="both"/>
      </w:pPr>
    </w:p>
    <w:p w14:paraId="033C812E" w14:textId="44488B56" w:rsidR="00AB6917" w:rsidRPr="00512804" w:rsidRDefault="00AB6917">
      <w:pPr>
        <w:pStyle w:val="BodyA"/>
        <w:spacing w:line="360" w:lineRule="auto"/>
        <w:jc w:val="both"/>
        <w:rPr>
          <w:rFonts w:ascii="Book Antiqua" w:hAnsi="Book Antiqua" w:cs="Book Antiqua" w:hint="eastAsia"/>
          <w:lang w:eastAsia="zh-CN"/>
        </w:rPr>
      </w:pPr>
      <w:r w:rsidRPr="00512804">
        <w:rPr>
          <w:rFonts w:ascii="Book Antiqua" w:hAnsi="Book Antiqua" w:hint="eastAsia"/>
          <w:b/>
          <w:lang w:eastAsia="zh-CN"/>
        </w:rPr>
        <w:t xml:space="preserve">Citation: </w:t>
      </w:r>
      <w:r w:rsidR="0027755F" w:rsidRPr="00512804">
        <w:rPr>
          <w:rFonts w:ascii="Book Antiqua" w:hAnsi="Book Antiqua"/>
        </w:rPr>
        <w:t>Jha AK, Kumar G, Dayal VM, Ranjan A, Suchismita A. Neurological manife</w:t>
      </w:r>
      <w:r w:rsidR="0027755F" w:rsidRPr="00512804">
        <w:rPr>
          <w:rFonts w:ascii="Book Antiqua" w:hAnsi="Book Antiqua"/>
        </w:rPr>
        <w:t>s</w:t>
      </w:r>
      <w:r w:rsidR="0027755F" w:rsidRPr="00512804">
        <w:rPr>
          <w:rFonts w:ascii="Book Antiqua" w:hAnsi="Book Antiqua"/>
        </w:rPr>
        <w:t xml:space="preserve">tations of hepatitis E virus infection: An overview. </w:t>
      </w:r>
      <w:r w:rsidR="0027755F" w:rsidRPr="00512804">
        <w:rPr>
          <w:rFonts w:ascii="Book Antiqua" w:hAnsi="Book Antiqua"/>
          <w:i/>
          <w:iCs/>
          <w:lang w:val="nl-NL"/>
        </w:rPr>
        <w:t>World J Gastroenterol</w:t>
      </w:r>
      <w:r w:rsidR="0027755F" w:rsidRPr="00512804">
        <w:rPr>
          <w:rFonts w:ascii="Book Antiqua" w:hAnsi="Book Antiqua"/>
          <w:lang w:val="it-IT"/>
        </w:rPr>
        <w:t xml:space="preserve"> </w:t>
      </w:r>
      <w:r w:rsidR="00A3603D" w:rsidRPr="00512804">
        <w:rPr>
          <w:rFonts w:ascii="Book Antiqua" w:eastAsia="Book Antiqua" w:hAnsi="Book Antiqua" w:cs="Book Antiqua"/>
        </w:rPr>
        <w:t>202</w:t>
      </w:r>
      <w:r w:rsidR="00A3603D" w:rsidRPr="00512804">
        <w:rPr>
          <w:rFonts w:ascii="Book Antiqua" w:hAnsi="Book Antiqua" w:cs="Book Antiqua" w:hint="eastAsia"/>
          <w:lang w:eastAsia="zh-CN"/>
        </w:rPr>
        <w:t>1</w:t>
      </w:r>
      <w:r w:rsidR="00A3603D" w:rsidRPr="00512804">
        <w:rPr>
          <w:rFonts w:ascii="Book Antiqua" w:eastAsia="Book Antiqua" w:hAnsi="Book Antiqua" w:cs="Book Antiqua"/>
        </w:rPr>
        <w:t>; 2</w:t>
      </w:r>
      <w:r w:rsidR="00A3603D" w:rsidRPr="00512804">
        <w:rPr>
          <w:rFonts w:ascii="Book Antiqua" w:hAnsi="Book Antiqua" w:cs="Book Antiqua" w:hint="eastAsia"/>
          <w:lang w:eastAsia="zh-CN"/>
        </w:rPr>
        <w:t>7</w:t>
      </w:r>
      <w:r w:rsidR="00A3603D" w:rsidRPr="00512804">
        <w:rPr>
          <w:rFonts w:ascii="Book Antiqua" w:eastAsia="Book Antiqua" w:hAnsi="Book Antiqua" w:cs="Book Antiqua"/>
        </w:rPr>
        <w:t>(</w:t>
      </w:r>
      <w:r w:rsidR="00A3603D" w:rsidRPr="00512804">
        <w:rPr>
          <w:rFonts w:ascii="Book Antiqua" w:hAnsi="Book Antiqua" w:cs="Book Antiqua" w:hint="eastAsia"/>
          <w:lang w:eastAsia="zh-CN"/>
        </w:rPr>
        <w:t>18</w:t>
      </w:r>
      <w:r w:rsidR="00A3603D" w:rsidRPr="00512804">
        <w:rPr>
          <w:rFonts w:ascii="Book Antiqua" w:eastAsia="Book Antiqua" w:hAnsi="Book Antiqua" w:cs="Book Antiqua"/>
        </w:rPr>
        <w:t xml:space="preserve">): </w:t>
      </w:r>
      <w:r w:rsidR="00133A13" w:rsidRPr="00512804">
        <w:rPr>
          <w:rFonts w:ascii="Book Antiqua" w:hAnsi="Book Antiqua" w:cs="Book Antiqua"/>
          <w:lang w:eastAsia="zh-CN"/>
        </w:rPr>
        <w:t>2090-2104</w:t>
      </w:r>
      <w:r w:rsidR="00A3603D" w:rsidRPr="00512804">
        <w:rPr>
          <w:rFonts w:ascii="Book Antiqua" w:eastAsia="Book Antiqua" w:hAnsi="Book Antiqua" w:cs="Book Antiqua"/>
        </w:rPr>
        <w:t xml:space="preserve">  </w:t>
      </w:r>
    </w:p>
    <w:p w14:paraId="52AB0DBE" w14:textId="433473B0" w:rsidR="00AB6917" w:rsidRPr="00512804" w:rsidRDefault="00A3603D">
      <w:pPr>
        <w:pStyle w:val="BodyA"/>
        <w:spacing w:line="360" w:lineRule="auto"/>
        <w:jc w:val="both"/>
        <w:rPr>
          <w:rFonts w:ascii="Book Antiqua" w:hAnsi="Book Antiqua" w:cs="Book Antiqua" w:hint="eastAsia"/>
          <w:lang w:eastAsia="zh-CN"/>
        </w:rPr>
      </w:pPr>
      <w:r w:rsidRPr="00512804">
        <w:rPr>
          <w:rFonts w:ascii="Book Antiqua" w:eastAsia="Book Antiqua" w:hAnsi="Book Antiqua" w:cs="Book Antiqua"/>
          <w:b/>
        </w:rPr>
        <w:t>URL:</w:t>
      </w:r>
      <w:r w:rsidRPr="00512804">
        <w:rPr>
          <w:rFonts w:ascii="Book Antiqua" w:eastAsia="Book Antiqua" w:hAnsi="Book Antiqua" w:cs="Book Antiqua"/>
        </w:rPr>
        <w:t xml:space="preserve"> https://www.wjgnet.com/1007-9327/full/v2</w:t>
      </w:r>
      <w:r w:rsidRPr="00512804">
        <w:rPr>
          <w:rFonts w:ascii="Book Antiqua" w:hAnsi="Book Antiqua" w:cs="Book Antiqua" w:hint="eastAsia"/>
          <w:lang w:eastAsia="zh-CN"/>
        </w:rPr>
        <w:t>7</w:t>
      </w:r>
      <w:r w:rsidRPr="00512804">
        <w:rPr>
          <w:rFonts w:ascii="Book Antiqua" w:eastAsia="Book Antiqua" w:hAnsi="Book Antiqua" w:cs="Book Antiqua"/>
        </w:rPr>
        <w:t>/i</w:t>
      </w:r>
      <w:r w:rsidRPr="00512804">
        <w:rPr>
          <w:rFonts w:ascii="Book Antiqua" w:hAnsi="Book Antiqua" w:cs="Book Antiqua" w:hint="eastAsia"/>
          <w:lang w:eastAsia="zh-CN"/>
        </w:rPr>
        <w:t>18</w:t>
      </w:r>
      <w:r w:rsidRPr="00512804">
        <w:rPr>
          <w:rFonts w:ascii="Book Antiqua" w:eastAsia="Book Antiqua" w:hAnsi="Book Antiqua" w:cs="Book Antiqua"/>
        </w:rPr>
        <w:t>/</w:t>
      </w:r>
      <w:r w:rsidR="00E35ACC" w:rsidRPr="00512804">
        <w:rPr>
          <w:rFonts w:ascii="Book Antiqua" w:hAnsi="Book Antiqua" w:cs="Book Antiqua"/>
          <w:lang w:eastAsia="zh-CN"/>
        </w:rPr>
        <w:t>2090</w:t>
      </w:r>
      <w:r w:rsidRPr="00512804">
        <w:rPr>
          <w:rFonts w:ascii="Book Antiqua" w:eastAsia="Book Antiqua" w:hAnsi="Book Antiqua" w:cs="Book Antiqua"/>
        </w:rPr>
        <w:t xml:space="preserve">.htm  </w:t>
      </w:r>
    </w:p>
    <w:p w14:paraId="2516DB3A" w14:textId="073B2664" w:rsidR="00B4314C" w:rsidRPr="00512804" w:rsidRDefault="00A3603D">
      <w:pPr>
        <w:pStyle w:val="BodyA"/>
        <w:spacing w:line="360" w:lineRule="auto"/>
        <w:jc w:val="both"/>
      </w:pPr>
      <w:r w:rsidRPr="00512804">
        <w:rPr>
          <w:rFonts w:ascii="Book Antiqua" w:eastAsia="Book Antiqua" w:hAnsi="Book Antiqua" w:cs="Book Antiqua"/>
          <w:b/>
        </w:rPr>
        <w:t>DOI:</w:t>
      </w:r>
      <w:r w:rsidRPr="00512804">
        <w:rPr>
          <w:rFonts w:ascii="Book Antiqua" w:eastAsia="Book Antiqua" w:hAnsi="Book Antiqua" w:cs="Book Antiqua"/>
        </w:rPr>
        <w:t xml:space="preserve"> https://dx.doi.org/10.3748/wjg.v2</w:t>
      </w:r>
      <w:r w:rsidRPr="00512804">
        <w:rPr>
          <w:rFonts w:ascii="Book Antiqua" w:hAnsi="Book Antiqua" w:cs="Book Antiqua" w:hint="eastAsia"/>
          <w:lang w:eastAsia="zh-CN"/>
        </w:rPr>
        <w:t>7</w:t>
      </w:r>
      <w:r w:rsidRPr="00512804">
        <w:rPr>
          <w:rFonts w:ascii="Book Antiqua" w:eastAsia="Book Antiqua" w:hAnsi="Book Antiqua" w:cs="Book Antiqua"/>
        </w:rPr>
        <w:t>.i</w:t>
      </w:r>
      <w:r w:rsidRPr="00512804">
        <w:rPr>
          <w:rFonts w:ascii="Book Antiqua" w:hAnsi="Book Antiqua" w:cs="Book Antiqua" w:hint="eastAsia"/>
          <w:lang w:eastAsia="zh-CN"/>
        </w:rPr>
        <w:t>18</w:t>
      </w:r>
      <w:r w:rsidRPr="00512804">
        <w:rPr>
          <w:rFonts w:ascii="Book Antiqua" w:eastAsia="Book Antiqua" w:hAnsi="Book Antiqua" w:cs="Book Antiqua"/>
        </w:rPr>
        <w:t>.</w:t>
      </w:r>
      <w:r w:rsidR="00E35ACC" w:rsidRPr="00512804">
        <w:rPr>
          <w:rFonts w:ascii="Book Antiqua" w:hAnsi="Book Antiqua" w:cs="Book Antiqua"/>
          <w:lang w:eastAsia="zh-CN"/>
        </w:rPr>
        <w:t>2090</w:t>
      </w:r>
    </w:p>
    <w:p w14:paraId="78E50EBE" w14:textId="77777777" w:rsidR="00B4314C" w:rsidRPr="00512804" w:rsidRDefault="00B4314C">
      <w:pPr>
        <w:pStyle w:val="BodyA"/>
        <w:spacing w:line="360" w:lineRule="auto"/>
        <w:jc w:val="both"/>
      </w:pPr>
    </w:p>
    <w:p w14:paraId="06738497" w14:textId="0A570B25" w:rsidR="00B4314C" w:rsidRPr="00512804" w:rsidRDefault="0027755F">
      <w:pPr>
        <w:pStyle w:val="BodyA"/>
        <w:spacing w:line="360" w:lineRule="auto"/>
        <w:jc w:val="both"/>
      </w:pPr>
      <w:r w:rsidRPr="00512804">
        <w:rPr>
          <w:rFonts w:ascii="Book Antiqua" w:hAnsi="Book Antiqua"/>
          <w:b/>
          <w:bCs/>
        </w:rPr>
        <w:t xml:space="preserve">Core Tip: </w:t>
      </w:r>
      <w:r w:rsidRPr="00512804">
        <w:rPr>
          <w:rFonts w:ascii="Book Antiqua" w:hAnsi="Book Antiqua"/>
        </w:rPr>
        <w:t xml:space="preserve">Neurological involvement in patients with hepatitis E virus (HEV) infection is rare. There is a paucity of data on HEV-related neurological manifestations. </w:t>
      </w:r>
      <w:r w:rsidRPr="00512804">
        <w:rPr>
          <w:rFonts w:ascii="Book Antiqua" w:hAnsi="Book Antiqua"/>
          <w:shd w:val="clear" w:color="auto" w:fill="FFFFFF"/>
        </w:rPr>
        <w:t>This review comprehensively describes t</w:t>
      </w:r>
      <w:r w:rsidRPr="00512804">
        <w:rPr>
          <w:rFonts w:ascii="Book Antiqua" w:hAnsi="Book Antiqua"/>
        </w:rPr>
        <w:t>he mechanisms of pathogenesis, clinico-demographic pr</w:t>
      </w:r>
      <w:r w:rsidRPr="00512804">
        <w:rPr>
          <w:rFonts w:ascii="Book Antiqua" w:hAnsi="Book Antiqua"/>
        </w:rPr>
        <w:t>o</w:t>
      </w:r>
      <w:r w:rsidRPr="00512804">
        <w:rPr>
          <w:rFonts w:ascii="Book Antiqua" w:hAnsi="Book Antiqua"/>
        </w:rPr>
        <w:t>file, and outcomes of HEV-related neurological disorders. Nerve root and plexus diso</w:t>
      </w:r>
      <w:r w:rsidRPr="00512804">
        <w:rPr>
          <w:rFonts w:ascii="Book Antiqua" w:hAnsi="Book Antiqua"/>
        </w:rPr>
        <w:t>r</w:t>
      </w:r>
      <w:r w:rsidRPr="00512804">
        <w:rPr>
          <w:rFonts w:ascii="Book Antiqua" w:hAnsi="Book Antiqua"/>
        </w:rPr>
        <w:t>der were the most commonly reported diseases followed by meningoencephalitis. These patients can present with normal liver function tests, which can often be mislea</w:t>
      </w:r>
      <w:r w:rsidRPr="00512804">
        <w:rPr>
          <w:rFonts w:ascii="Book Antiqua" w:hAnsi="Book Antiqua"/>
        </w:rPr>
        <w:t>d</w:t>
      </w:r>
      <w:r w:rsidRPr="00512804">
        <w:rPr>
          <w:rFonts w:ascii="Book Antiqua" w:hAnsi="Book Antiqua"/>
        </w:rPr>
        <w:t>ing for physicians.</w:t>
      </w:r>
    </w:p>
    <w:p w14:paraId="18B2482F" w14:textId="77777777" w:rsidR="00B4314C" w:rsidRPr="00512804" w:rsidRDefault="0027755F">
      <w:pPr>
        <w:pStyle w:val="BodyA"/>
        <w:spacing w:line="360" w:lineRule="auto"/>
        <w:jc w:val="both"/>
      </w:pPr>
      <w:r w:rsidRPr="00512804">
        <w:rPr>
          <w:rFonts w:ascii="Arial Unicode MS" w:hAnsi="Arial Unicode MS"/>
        </w:rPr>
        <w:br w:type="page"/>
      </w:r>
    </w:p>
    <w:p w14:paraId="0A87F6D0" w14:textId="77777777" w:rsidR="00B4314C" w:rsidRPr="00512804" w:rsidRDefault="0027755F">
      <w:pPr>
        <w:pStyle w:val="BodyA"/>
        <w:spacing w:line="360" w:lineRule="auto"/>
        <w:jc w:val="both"/>
      </w:pPr>
      <w:r w:rsidRPr="00512804">
        <w:rPr>
          <w:rFonts w:ascii="Book Antiqua" w:hAnsi="Book Antiqua"/>
          <w:b/>
          <w:bCs/>
          <w:caps/>
          <w:u w:val="single"/>
        </w:rPr>
        <w:t>INTRODUCTION</w:t>
      </w:r>
    </w:p>
    <w:p w14:paraId="1D1444D5" w14:textId="77777777" w:rsidR="00B4314C" w:rsidRPr="00512804" w:rsidRDefault="0027755F">
      <w:pPr>
        <w:pStyle w:val="BodyA"/>
        <w:spacing w:line="360" w:lineRule="auto"/>
        <w:jc w:val="both"/>
      </w:pPr>
      <w:r w:rsidRPr="00512804">
        <w:rPr>
          <w:rFonts w:ascii="Book Antiqua" w:hAnsi="Book Antiqua"/>
        </w:rPr>
        <w:t>The hepatitis E virus (HEV) is a non-enveloped, positive-sense, single-stranded ribon</w:t>
      </w:r>
      <w:r w:rsidRPr="00512804">
        <w:rPr>
          <w:rFonts w:ascii="Book Antiqua" w:hAnsi="Book Antiqua"/>
        </w:rPr>
        <w:t>u</w:t>
      </w:r>
      <w:r w:rsidRPr="00512804">
        <w:rPr>
          <w:rFonts w:ascii="Book Antiqua" w:hAnsi="Book Antiqua"/>
        </w:rPr>
        <w:t xml:space="preserve">cleic acid (RNA) virus. It belongs to the </w:t>
      </w:r>
      <w:r w:rsidRPr="00512804">
        <w:rPr>
          <w:rFonts w:ascii="Book Antiqua" w:hAnsi="Book Antiqua"/>
          <w:i/>
          <w:iCs/>
        </w:rPr>
        <w:t>Hepeviridae</w:t>
      </w:r>
      <w:r w:rsidRPr="00512804">
        <w:rPr>
          <w:rFonts w:ascii="Book Antiqua" w:hAnsi="Book Antiqua"/>
        </w:rPr>
        <w:t xml:space="preserve"> family and is one of the most co</w:t>
      </w:r>
      <w:r w:rsidRPr="00512804">
        <w:rPr>
          <w:rFonts w:ascii="Book Antiqua" w:hAnsi="Book Antiqua"/>
        </w:rPr>
        <w:t>m</w:t>
      </w:r>
      <w:r w:rsidRPr="00512804">
        <w:rPr>
          <w:rFonts w:ascii="Book Antiqua" w:hAnsi="Book Antiqua"/>
        </w:rPr>
        <w:t>mon causes of acute hepatitis globally. Currently, HEV is represented by one serotype and eight genotypes (GTs)</w:t>
      </w:r>
      <w:r w:rsidRPr="00512804">
        <w:rPr>
          <w:rFonts w:ascii="Book Antiqua" w:hAnsi="Book Antiqua"/>
          <w:vertAlign w:val="superscript"/>
        </w:rPr>
        <w:t>[1]</w:t>
      </w:r>
      <w:r w:rsidRPr="00512804">
        <w:rPr>
          <w:rFonts w:ascii="Book Antiqua" w:hAnsi="Book Antiqua"/>
        </w:rPr>
        <w:t>; of these, four GTs (GT1-4) are mainly responsible for h</w:t>
      </w:r>
      <w:r w:rsidRPr="00512804">
        <w:rPr>
          <w:rFonts w:ascii="Book Antiqua" w:hAnsi="Book Antiqua"/>
        </w:rPr>
        <w:t>u</w:t>
      </w:r>
      <w:r w:rsidRPr="00512804">
        <w:rPr>
          <w:rFonts w:ascii="Book Antiqua" w:hAnsi="Book Antiqua"/>
        </w:rPr>
        <w:t>man infection. Epidemiological characteristics of GT1-4 of HEV have been summarized in Table 1.</w:t>
      </w:r>
    </w:p>
    <w:p w14:paraId="2DA16CDB" w14:textId="77777777" w:rsidR="00B4314C" w:rsidRPr="00512804" w:rsidRDefault="0027755F">
      <w:pPr>
        <w:pStyle w:val="BodyA"/>
        <w:spacing w:line="360" w:lineRule="auto"/>
        <w:ind w:firstLine="240"/>
        <w:jc w:val="both"/>
      </w:pPr>
      <w:r w:rsidRPr="00512804">
        <w:rPr>
          <w:rFonts w:ascii="Book Antiqua" w:hAnsi="Book Antiqua"/>
        </w:rPr>
        <w:t>HEV is an important cause of repeated waterborne outbreaks of acute hepatitis. While HEV outbreaks have mainly been reported in Asia and Africa, it has recently been identified as an emerging issue in public health in Western countries. However, the global burden of HEV infection remains unclear. The recent meta-analysis estimated that approximately 939 million of the global population have experienced HEV infe</w:t>
      </w:r>
      <w:r w:rsidRPr="00512804">
        <w:rPr>
          <w:rFonts w:ascii="Book Antiqua" w:hAnsi="Book Antiqua"/>
        </w:rPr>
        <w:t>c</w:t>
      </w:r>
      <w:r w:rsidRPr="00512804">
        <w:rPr>
          <w:rFonts w:ascii="Book Antiqua" w:hAnsi="Book Antiqua"/>
        </w:rPr>
        <w:t>tion once, and 15-110 million individuals have had a recent or have an ongoing infe</w:t>
      </w:r>
      <w:r w:rsidRPr="00512804">
        <w:rPr>
          <w:rFonts w:ascii="Book Antiqua" w:hAnsi="Book Antiqua"/>
        </w:rPr>
        <w:t>c</w:t>
      </w:r>
      <w:r w:rsidRPr="00512804">
        <w:rPr>
          <w:rFonts w:ascii="Book Antiqua" w:hAnsi="Book Antiqua"/>
        </w:rPr>
        <w:t>tion. The seroprevalence rates of HEV infection in Africa, Asia, Europe, and America are 21.76%, 15.80%, 9.31%, and 7%-8% respectively</w:t>
      </w:r>
      <w:r w:rsidRPr="00512804">
        <w:rPr>
          <w:rFonts w:ascii="Book Antiqua" w:hAnsi="Book Antiqua"/>
          <w:vertAlign w:val="superscript"/>
          <w:lang w:val="pt-PT"/>
        </w:rPr>
        <w:t>[2]</w:t>
      </w:r>
      <w:r w:rsidRPr="00512804">
        <w:rPr>
          <w:rFonts w:ascii="Book Antiqua" w:hAnsi="Book Antiqua"/>
        </w:rPr>
        <w:t>. The World Health Organization (WHO) estimated 14 million symptomatic cases of HEV infection, with 0.3 million deaths and 5.2 thousand stillbirths each year worldwide</w:t>
      </w:r>
      <w:r w:rsidRPr="00512804">
        <w:rPr>
          <w:rFonts w:ascii="Book Antiqua" w:hAnsi="Book Antiqua"/>
          <w:vertAlign w:val="superscript"/>
        </w:rPr>
        <w:t>[3]</w:t>
      </w:r>
      <w:r w:rsidRPr="00512804">
        <w:rPr>
          <w:rFonts w:ascii="Book Antiqua" w:hAnsi="Book Antiqua"/>
        </w:rPr>
        <w:t>. More than 50% of global HEV deaths were recorded in the WHO South-East Asia Region (SEAR), which includes India, Bangladesh, Thailand, the Democratic People’s Republic of Korea, Myanmar, Nepal, Bhutan, Sri Lanka, Indonesia, Maldives, and Timor-Leste. In the WHO SEAR countries, annual symptomatic cases of HEV are estimated to be 6.5 million, with 0.16 million deaths and 2.7 thousand stillbirths</w:t>
      </w:r>
      <w:r w:rsidRPr="00512804">
        <w:rPr>
          <w:rFonts w:ascii="Book Antiqua" w:hAnsi="Book Antiqua"/>
          <w:vertAlign w:val="superscript"/>
        </w:rPr>
        <w:t>[3]</w:t>
      </w:r>
      <w:r w:rsidRPr="00512804">
        <w:rPr>
          <w:rFonts w:ascii="Book Antiqua" w:hAnsi="Book Antiqua"/>
        </w:rPr>
        <w:t>.</w:t>
      </w:r>
    </w:p>
    <w:p w14:paraId="24D9E05B" w14:textId="3D6CA72E" w:rsidR="00B4314C" w:rsidRPr="00512804" w:rsidRDefault="0027755F">
      <w:pPr>
        <w:pStyle w:val="BodyA"/>
        <w:spacing w:line="360" w:lineRule="auto"/>
        <w:ind w:firstLine="240"/>
        <w:jc w:val="both"/>
      </w:pPr>
      <w:r w:rsidRPr="00512804">
        <w:rPr>
          <w:rFonts w:ascii="Book Antiqua" w:hAnsi="Book Antiqua"/>
        </w:rPr>
        <w:t>Symptomatic HEV infection can present with anicteric or icteric acute hepatitis. It can also rarely lead to fulminant liver failure, and HEV infection further carries high morta</w:t>
      </w:r>
      <w:r w:rsidRPr="00512804">
        <w:rPr>
          <w:rFonts w:ascii="Book Antiqua" w:hAnsi="Book Antiqua"/>
        </w:rPr>
        <w:t>l</w:t>
      </w:r>
      <w:r w:rsidRPr="00512804">
        <w:rPr>
          <w:rFonts w:ascii="Book Antiqua" w:hAnsi="Book Antiqua"/>
        </w:rPr>
        <w:t>ity (25%) in pregnancy. While most cases of HEV-related acute hepatitis spontaneously resolve within 4-8 wk, HEV sometimes causes chronic infection, especially in immun</w:t>
      </w:r>
      <w:r w:rsidRPr="00512804">
        <w:rPr>
          <w:rFonts w:ascii="Book Antiqua" w:hAnsi="Book Antiqua"/>
        </w:rPr>
        <w:t>o</w:t>
      </w:r>
      <w:r w:rsidRPr="00512804">
        <w:rPr>
          <w:rFonts w:ascii="Book Antiqua" w:hAnsi="Book Antiqua"/>
        </w:rPr>
        <w:t>suppressed patients</w:t>
      </w:r>
      <w:r w:rsidRPr="00512804">
        <w:rPr>
          <w:rFonts w:ascii="Book Antiqua" w:hAnsi="Book Antiqua"/>
          <w:vertAlign w:val="superscript"/>
        </w:rPr>
        <w:t>[4]</w:t>
      </w:r>
      <w:r w:rsidRPr="00512804">
        <w:rPr>
          <w:rFonts w:ascii="Book Antiqua" w:hAnsi="Book Antiqua"/>
        </w:rPr>
        <w:t>. Chronic HEV infection has been defined as the persistence of HEV replication for more than 6 mo</w:t>
      </w:r>
      <w:r w:rsidRPr="00512804">
        <w:rPr>
          <w:rFonts w:ascii="Book Antiqua" w:hAnsi="Book Antiqua"/>
          <w:vertAlign w:val="superscript"/>
        </w:rPr>
        <w:t>[5]</w:t>
      </w:r>
      <w:r w:rsidRPr="00512804">
        <w:rPr>
          <w:rFonts w:ascii="Book Antiqua" w:hAnsi="Book Antiqua"/>
        </w:rPr>
        <w:t>. GT3 and GT4 (mainly GT3) can cause chronic infection, resulting in liver fibrosis and cirrhosis. HEV infection is also an important cause of acute-on-chronic liver failure (ACLF), especially in South-East Asian countries. In our prospective study, we observed that the hepatitis virus infection is the most common acute insult identified in patients with ACLF. Overall, the most common hep</w:t>
      </w:r>
      <w:r w:rsidRPr="00512804">
        <w:rPr>
          <w:rFonts w:ascii="Book Antiqua" w:hAnsi="Book Antiqua"/>
        </w:rPr>
        <w:t>a</w:t>
      </w:r>
      <w:r w:rsidRPr="00512804">
        <w:rPr>
          <w:rFonts w:ascii="Book Antiqua" w:hAnsi="Book Antiqua"/>
        </w:rPr>
        <w:t>titis virus superinfection was HEV (23% cases)</w:t>
      </w:r>
      <w:r w:rsidRPr="00512804">
        <w:rPr>
          <w:rFonts w:ascii="Book Antiqua" w:hAnsi="Book Antiqua"/>
          <w:vertAlign w:val="superscript"/>
        </w:rPr>
        <w:t>[6]</w:t>
      </w:r>
      <w:r w:rsidRPr="00512804">
        <w:rPr>
          <w:rFonts w:ascii="Book Antiqua" w:hAnsi="Book Antiqua"/>
        </w:rPr>
        <w:t xml:space="preserve">. In another study, Kumar </w:t>
      </w:r>
      <w:r w:rsidRPr="00512804">
        <w:rPr>
          <w:rFonts w:ascii="Book Antiqua" w:hAnsi="Book Antiqua"/>
          <w:i/>
          <w:iCs/>
          <w:lang w:val="nl-NL"/>
        </w:rPr>
        <w:t>et al</w:t>
      </w:r>
      <w:r w:rsidRPr="00512804">
        <w:rPr>
          <w:rFonts w:ascii="Book Antiqua" w:hAnsi="Book Antiqua"/>
          <w:vertAlign w:val="superscript"/>
        </w:rPr>
        <w:t>[7]</w:t>
      </w:r>
      <w:r w:rsidRPr="00512804">
        <w:rPr>
          <w:rFonts w:ascii="Book Antiqua" w:hAnsi="Book Antiqua"/>
        </w:rPr>
        <w:t xml:space="preserve"> demonstrated a 44% HEV superinfection rate in a sample of patients with chronic liver disease.</w:t>
      </w:r>
    </w:p>
    <w:p w14:paraId="5580D1E2" w14:textId="69E85A38" w:rsidR="00B4314C" w:rsidRPr="00512804" w:rsidRDefault="0027755F">
      <w:pPr>
        <w:pStyle w:val="BodyA"/>
        <w:spacing w:line="360" w:lineRule="auto"/>
        <w:ind w:firstLine="240"/>
        <w:jc w:val="both"/>
      </w:pPr>
      <w:r w:rsidRPr="00512804">
        <w:rPr>
          <w:rFonts w:ascii="Book Antiqua" w:hAnsi="Book Antiqua"/>
        </w:rPr>
        <w:t xml:space="preserve">Recently, several extrahepatic manifestations (EHMs) were described in patients with HEV infection (Table 2). These EHMs were reported as case–control studies and case series or reports during the last decades. In a recent systemic review, Rawla </w:t>
      </w:r>
      <w:r w:rsidRPr="00512804">
        <w:rPr>
          <w:rFonts w:ascii="Book Antiqua" w:hAnsi="Book Antiqua"/>
          <w:i/>
          <w:iCs/>
          <w:lang w:val="nl-NL"/>
        </w:rPr>
        <w:t>et al</w:t>
      </w:r>
      <w:r w:rsidRPr="00512804">
        <w:rPr>
          <w:rFonts w:ascii="Book Antiqua" w:hAnsi="Book Antiqua"/>
          <w:vertAlign w:val="superscript"/>
        </w:rPr>
        <w:t>[8]</w:t>
      </w:r>
      <w:r w:rsidRPr="00512804">
        <w:rPr>
          <w:rFonts w:ascii="Book Antiqua" w:hAnsi="Book Antiqua"/>
        </w:rPr>
        <w:t xml:space="preserve"> an</w:t>
      </w:r>
      <w:r w:rsidRPr="00512804">
        <w:rPr>
          <w:rFonts w:ascii="Book Antiqua" w:hAnsi="Book Antiqua"/>
        </w:rPr>
        <w:t>a</w:t>
      </w:r>
      <w:r w:rsidRPr="00512804">
        <w:rPr>
          <w:rFonts w:ascii="Book Antiqua" w:hAnsi="Book Antiqua"/>
        </w:rPr>
        <w:t>lyzed data of 324 reported cases of EHM patients with HEV infection. The most co</w:t>
      </w:r>
      <w:r w:rsidRPr="00512804">
        <w:rPr>
          <w:rFonts w:ascii="Book Antiqua" w:hAnsi="Book Antiqua"/>
        </w:rPr>
        <w:t>m</w:t>
      </w:r>
      <w:r w:rsidRPr="00512804">
        <w:rPr>
          <w:rFonts w:ascii="Book Antiqua" w:hAnsi="Book Antiqua"/>
        </w:rPr>
        <w:t>mon EHMs were neurological (55%), cardiovascular or hematological (35%), and ga</w:t>
      </w:r>
      <w:r w:rsidRPr="00512804">
        <w:rPr>
          <w:rFonts w:ascii="Book Antiqua" w:hAnsi="Book Antiqua"/>
        </w:rPr>
        <w:t>s</w:t>
      </w:r>
      <w:r w:rsidRPr="00512804">
        <w:rPr>
          <w:rFonts w:ascii="Book Antiqua" w:hAnsi="Book Antiqua"/>
        </w:rPr>
        <w:t>trointestinal manifestations (7%). Rare manifestations included renal (1.24%), endocrine (0.31%), and skin disease (0.31%), as well as manifestations in the respiratory (0.31%), muscular (0.31%), and immune system (0.31%).</w:t>
      </w:r>
    </w:p>
    <w:p w14:paraId="4A00A83D" w14:textId="20D4441C" w:rsidR="00B4314C" w:rsidRPr="00512804" w:rsidRDefault="0027755F">
      <w:pPr>
        <w:pStyle w:val="BodyA"/>
        <w:spacing w:line="360" w:lineRule="auto"/>
        <w:ind w:firstLine="240"/>
        <w:jc w:val="both"/>
      </w:pPr>
      <w:r w:rsidRPr="00512804">
        <w:rPr>
          <w:rFonts w:ascii="Book Antiqua" w:hAnsi="Book Antiqua"/>
        </w:rPr>
        <w:t>This review is summarizes the available evidence regarding neurological manifest</w:t>
      </w:r>
      <w:r w:rsidRPr="00512804">
        <w:rPr>
          <w:rFonts w:ascii="Book Antiqua" w:hAnsi="Book Antiqua"/>
        </w:rPr>
        <w:t>a</w:t>
      </w:r>
      <w:r w:rsidRPr="00512804">
        <w:rPr>
          <w:rFonts w:ascii="Book Antiqua" w:hAnsi="Book Antiqua"/>
        </w:rPr>
        <w:t>tions in patients with HEV infection. To this end, we analyzed the literature related to the neurological manifestations associated with HEV. These reported manifestations were classified as central nervous system (</w:t>
      </w:r>
      <w:bookmarkStart w:id="1" w:name="_Hlk68022816"/>
      <w:r w:rsidRPr="00512804">
        <w:rPr>
          <w:rFonts w:ascii="Book Antiqua" w:hAnsi="Book Antiqua"/>
        </w:rPr>
        <w:t>CNS</w:t>
      </w:r>
      <w:bookmarkEnd w:id="1"/>
      <w:r w:rsidRPr="00512804">
        <w:rPr>
          <w:rFonts w:ascii="Book Antiqua" w:hAnsi="Book Antiqua"/>
        </w:rPr>
        <w:t>) disorders, nerve root and plexus diso</w:t>
      </w:r>
      <w:r w:rsidRPr="00512804">
        <w:rPr>
          <w:rFonts w:ascii="Book Antiqua" w:hAnsi="Book Antiqua"/>
        </w:rPr>
        <w:t>r</w:t>
      </w:r>
      <w:r w:rsidRPr="00512804">
        <w:rPr>
          <w:rFonts w:ascii="Book Antiqua" w:hAnsi="Book Antiqua"/>
        </w:rPr>
        <w:t>ders, neuropathy, cranial neuropathy n</w:t>
      </w:r>
      <w:r w:rsidRPr="00512804">
        <w:rPr>
          <w:rFonts w:ascii="Book Antiqua" w:hAnsi="Book Antiqua"/>
          <w:shd w:val="clear" w:color="auto" w:fill="FEFEFE"/>
        </w:rPr>
        <w:t>euromuscular junction disorders, m</w:t>
      </w:r>
      <w:r w:rsidRPr="00512804">
        <w:rPr>
          <w:rFonts w:ascii="Book Antiqua" w:hAnsi="Book Antiqua"/>
        </w:rPr>
        <w:t>uscle diso</w:t>
      </w:r>
      <w:r w:rsidRPr="00512804">
        <w:rPr>
          <w:rFonts w:ascii="Book Antiqua" w:hAnsi="Book Antiqua"/>
        </w:rPr>
        <w:t>r</w:t>
      </w:r>
      <w:r w:rsidRPr="00512804">
        <w:rPr>
          <w:rFonts w:ascii="Book Antiqua" w:hAnsi="Book Antiqua"/>
        </w:rPr>
        <w:t>ders, and other miscellaneous manifestations.</w:t>
      </w:r>
    </w:p>
    <w:p w14:paraId="1642FD89" w14:textId="77777777" w:rsidR="00B4314C" w:rsidRPr="00512804" w:rsidRDefault="00B4314C">
      <w:pPr>
        <w:pStyle w:val="BodyA"/>
        <w:spacing w:line="360" w:lineRule="auto"/>
        <w:jc w:val="both"/>
      </w:pPr>
    </w:p>
    <w:p w14:paraId="23052E4A" w14:textId="77777777" w:rsidR="00B4314C" w:rsidRPr="00512804" w:rsidRDefault="0027755F">
      <w:pPr>
        <w:pStyle w:val="BodyA"/>
        <w:spacing w:line="360" w:lineRule="auto"/>
        <w:jc w:val="both"/>
      </w:pPr>
      <w:r w:rsidRPr="00512804">
        <w:rPr>
          <w:rFonts w:ascii="Book Antiqua" w:hAnsi="Book Antiqua"/>
          <w:b/>
          <w:bCs/>
          <w:caps/>
          <w:u w:val="single"/>
        </w:rPr>
        <w:t>RELATIONSHIP OF HEV INFECTION WITH EHMs</w:t>
      </w:r>
    </w:p>
    <w:p w14:paraId="18CD853B" w14:textId="2D5CCA90" w:rsidR="00B4314C" w:rsidRPr="00512804" w:rsidRDefault="0027755F">
      <w:pPr>
        <w:pStyle w:val="BodyA"/>
        <w:spacing w:line="360" w:lineRule="auto"/>
        <w:jc w:val="both"/>
      </w:pPr>
      <w:r w:rsidRPr="00512804">
        <w:rPr>
          <w:rFonts w:ascii="Book Antiqua" w:hAnsi="Book Antiqua"/>
        </w:rPr>
        <w:t>Various EHMs have a temporal relationship with HEV infections; however, whether it is a coincidence or an actual causal relationship remains unclear. A causal relationship between HEV and neurological has been proposed on the basis of a few well-described case-control studies, which showed a significantly higher seroprevalence of HEV-associated neuralgic amyotrophy (NA) and Guillain-Barré syndrome (</w:t>
      </w:r>
      <w:bookmarkStart w:id="2" w:name="_Hlk68023226"/>
      <w:r w:rsidRPr="00512804">
        <w:rPr>
          <w:rFonts w:ascii="Book Antiqua" w:hAnsi="Book Antiqua"/>
        </w:rPr>
        <w:t>GBS</w:t>
      </w:r>
      <w:bookmarkEnd w:id="2"/>
      <w:r w:rsidRPr="00512804">
        <w:rPr>
          <w:rFonts w:ascii="Book Antiqua" w:hAnsi="Book Antiqua"/>
        </w:rPr>
        <w:t>) compared to non-HEV-associated cases. Moreover, several case studies have documented the presence of HEV RNA in the cerebrospinal fluid (CSF). Although the authors explained this association on the basis of existing evidence, the pathophysiological basis of a cau</w:t>
      </w:r>
      <w:r w:rsidRPr="00512804">
        <w:rPr>
          <w:rFonts w:ascii="Book Antiqua" w:hAnsi="Book Antiqua"/>
        </w:rPr>
        <w:t>s</w:t>
      </w:r>
      <w:r w:rsidRPr="00512804">
        <w:rPr>
          <w:rFonts w:ascii="Book Antiqua" w:hAnsi="Book Antiqua"/>
        </w:rPr>
        <w:t>al relationship remains unknown. There is good evidence to support a causal role of HEV in associated conditions such as NA, GBS, meningoencephalitis, membranoproli</w:t>
      </w:r>
      <w:r w:rsidRPr="00512804">
        <w:rPr>
          <w:rFonts w:ascii="Book Antiqua" w:hAnsi="Book Antiqua"/>
        </w:rPr>
        <w:t>f</w:t>
      </w:r>
      <w:r w:rsidRPr="00512804">
        <w:rPr>
          <w:rFonts w:ascii="Book Antiqua" w:hAnsi="Book Antiqua"/>
        </w:rPr>
        <w:t xml:space="preserve">erative glomerulonephritis, membranous glomerulonephritis, and </w:t>
      </w:r>
      <w:bookmarkStart w:id="3" w:name="_Hlk56435039"/>
      <w:r w:rsidRPr="00512804">
        <w:rPr>
          <w:rFonts w:ascii="Book Antiqua" w:hAnsi="Book Antiqua"/>
        </w:rPr>
        <w:t>immunoglobulin</w:t>
      </w:r>
      <w:bookmarkEnd w:id="3"/>
      <w:r w:rsidRPr="00512804">
        <w:rPr>
          <w:rFonts w:ascii="Book Antiqua" w:hAnsi="Book Antiqua"/>
        </w:rPr>
        <w:t xml:space="preserve"> (Ig) A nephropathy</w:t>
      </w:r>
      <w:r w:rsidRPr="00512804">
        <w:rPr>
          <w:rFonts w:ascii="Book Antiqua" w:hAnsi="Book Antiqua"/>
          <w:vertAlign w:val="superscript"/>
        </w:rPr>
        <w:t>[5,9]</w:t>
      </w:r>
      <w:r w:rsidRPr="00512804">
        <w:rPr>
          <w:rFonts w:ascii="Book Antiqua" w:hAnsi="Book Antiqua"/>
        </w:rPr>
        <w:t>. Relationships between other EHMs and HEV are based on case r</w:t>
      </w:r>
      <w:r w:rsidRPr="00512804">
        <w:rPr>
          <w:rFonts w:ascii="Book Antiqua" w:hAnsi="Book Antiqua"/>
        </w:rPr>
        <w:t>e</w:t>
      </w:r>
      <w:r w:rsidRPr="00512804">
        <w:rPr>
          <w:rFonts w:ascii="Book Antiqua" w:hAnsi="Book Antiqua"/>
        </w:rPr>
        <w:t>ports only; therefore, causality has yet to be established (Table 2).</w:t>
      </w:r>
    </w:p>
    <w:p w14:paraId="1F7CF2B1" w14:textId="77777777" w:rsidR="00B4314C" w:rsidRPr="00512804" w:rsidRDefault="00B4314C">
      <w:pPr>
        <w:pStyle w:val="BodyA"/>
        <w:spacing w:line="360" w:lineRule="auto"/>
        <w:jc w:val="both"/>
      </w:pPr>
    </w:p>
    <w:p w14:paraId="17772401" w14:textId="77777777" w:rsidR="00B4314C" w:rsidRPr="00512804" w:rsidRDefault="0027755F">
      <w:pPr>
        <w:pStyle w:val="BodyA"/>
        <w:spacing w:line="360" w:lineRule="auto"/>
        <w:jc w:val="both"/>
      </w:pPr>
      <w:r w:rsidRPr="00512804">
        <w:rPr>
          <w:rFonts w:ascii="Book Antiqua" w:hAnsi="Book Antiqua"/>
          <w:b/>
          <w:bCs/>
          <w:caps/>
          <w:u w:val="single"/>
        </w:rPr>
        <w:t>MECHANISMS OF PATHOGENESIS</w:t>
      </w:r>
    </w:p>
    <w:p w14:paraId="50ACFA93" w14:textId="2F9F06EC" w:rsidR="00B4314C" w:rsidRPr="00512804" w:rsidRDefault="0027755F">
      <w:pPr>
        <w:pStyle w:val="BodyA"/>
        <w:spacing w:line="360" w:lineRule="auto"/>
        <w:jc w:val="both"/>
      </w:pPr>
      <w:r w:rsidRPr="00512804">
        <w:rPr>
          <w:rFonts w:ascii="Book Antiqua" w:hAnsi="Book Antiqua"/>
        </w:rPr>
        <w:t>The pathogenesis of EHMs in HEV infection is unclear. The mechanisms by which HEV can induce EHM may be caused by either direct or indirect mechanisms. Direct mech</w:t>
      </w:r>
      <w:r w:rsidRPr="00512804">
        <w:rPr>
          <w:rFonts w:ascii="Book Antiqua" w:hAnsi="Book Antiqua"/>
        </w:rPr>
        <w:t>a</w:t>
      </w:r>
      <w:r w:rsidRPr="00512804">
        <w:rPr>
          <w:rFonts w:ascii="Book Antiqua" w:hAnsi="Book Antiqua"/>
        </w:rPr>
        <w:t>nisms involve HEV replication in affected tissues, resulting in cellular damage, whereas indirect mechanisms are caused by cross-reactive immune triggers, the formation of immune complexes, or by secondary infection</w:t>
      </w:r>
      <w:r w:rsidRPr="00512804">
        <w:rPr>
          <w:rFonts w:ascii="Book Antiqua" w:hAnsi="Book Antiqua"/>
          <w:vertAlign w:val="superscript"/>
        </w:rPr>
        <w:t>[10]</w:t>
      </w:r>
      <w:r w:rsidRPr="00512804">
        <w:rPr>
          <w:rFonts w:ascii="Book Antiqua" w:hAnsi="Book Antiqua"/>
        </w:rPr>
        <w:t xml:space="preserve">. Direct mechanisms are supported by </w:t>
      </w:r>
      <w:r w:rsidRPr="00512804">
        <w:rPr>
          <w:rFonts w:ascii="Book Antiqua" w:hAnsi="Book Antiqua"/>
          <w:i/>
          <w:iCs/>
          <w:lang w:val="it-IT"/>
        </w:rPr>
        <w:t>in vitro</w:t>
      </w:r>
      <w:r w:rsidRPr="00512804">
        <w:rPr>
          <w:rFonts w:ascii="Book Antiqua" w:hAnsi="Book Antiqua"/>
        </w:rPr>
        <w:t xml:space="preserve"> studies. HEV can infect neuronal cells </w:t>
      </w:r>
      <w:r w:rsidRPr="00512804">
        <w:rPr>
          <w:rFonts w:ascii="Book Antiqua" w:hAnsi="Book Antiqua"/>
          <w:i/>
          <w:iCs/>
          <w:lang w:val="it-IT"/>
        </w:rPr>
        <w:t>in vitro</w:t>
      </w:r>
      <w:r w:rsidRPr="00512804">
        <w:rPr>
          <w:rFonts w:ascii="Book Antiqua" w:hAnsi="Book Antiqua"/>
        </w:rPr>
        <w:t xml:space="preserve"> and human neuronal-derived cells support the full-length replication of viral RNA and translation of viral capsid protein</w:t>
      </w:r>
      <w:r w:rsidRPr="00512804">
        <w:rPr>
          <w:rFonts w:ascii="Book Antiqua" w:hAnsi="Book Antiqua"/>
          <w:vertAlign w:val="superscript"/>
          <w:lang w:val="pt-PT"/>
        </w:rPr>
        <w:t>[11,12]</w:t>
      </w:r>
      <w:r w:rsidRPr="00512804">
        <w:rPr>
          <w:rFonts w:ascii="Book Antiqua" w:hAnsi="Book Antiqua"/>
        </w:rPr>
        <w:t>. Indirect immune trigger-mediated mechanisms appear to be more relevant in pathogenesis. Both humoral and cellular immune responses are likely to be involved in the pathogenesis of hepatic and EHMs. Furthermore, the prevalence of EHM is more common in immunocompetent patients than immunocompromised patients. In a study, the neurological manifestations were found to be significantly more common (22.6% as against 3.2%) in immunocompetent patients (</w:t>
      </w:r>
      <w:r w:rsidRPr="00512804">
        <w:rPr>
          <w:rFonts w:ascii="Book Antiqua" w:hAnsi="Book Antiqua"/>
          <w:i/>
          <w:iCs/>
        </w:rPr>
        <w:t>n</w:t>
      </w:r>
      <w:r w:rsidRPr="00512804">
        <w:rPr>
          <w:rFonts w:ascii="Book Antiqua" w:hAnsi="Book Antiqua"/>
        </w:rPr>
        <w:t xml:space="preserve"> = 137) compared to immunocompromised patients (</w:t>
      </w:r>
      <w:r w:rsidRPr="00512804">
        <w:rPr>
          <w:rFonts w:ascii="Book Antiqua" w:hAnsi="Book Antiqua"/>
          <w:i/>
          <w:iCs/>
        </w:rPr>
        <w:t>n</w:t>
      </w:r>
      <w:r w:rsidRPr="00512804">
        <w:rPr>
          <w:rFonts w:ascii="Book Antiqua" w:hAnsi="Book Antiqua"/>
        </w:rPr>
        <w:t xml:space="preserve"> = 63). The higher frequency of neurological disorders in immunocompetent patients suggests immune-mediated mechanisms causing EHMs</w:t>
      </w:r>
      <w:r w:rsidRPr="00512804">
        <w:rPr>
          <w:rFonts w:ascii="Book Antiqua" w:hAnsi="Book Antiqua"/>
          <w:vertAlign w:val="superscript"/>
        </w:rPr>
        <w:t>[13]</w:t>
      </w:r>
      <w:r w:rsidRPr="00512804">
        <w:rPr>
          <w:rFonts w:ascii="Book Antiqua" w:hAnsi="Book Antiqua"/>
        </w:rPr>
        <w:t>. In another study, all patients with NA were immunocompetent</w:t>
      </w:r>
      <w:r w:rsidRPr="00512804">
        <w:rPr>
          <w:rFonts w:ascii="Book Antiqua" w:hAnsi="Book Antiqua"/>
          <w:vertAlign w:val="superscript"/>
        </w:rPr>
        <w:t>[14]</w:t>
      </w:r>
      <w:r w:rsidRPr="00512804">
        <w:rPr>
          <w:rFonts w:ascii="Book Antiqua" w:hAnsi="Book Antiqua"/>
        </w:rPr>
        <w:t>. A schematic diagram of the p</w:t>
      </w:r>
      <w:r w:rsidRPr="00512804">
        <w:rPr>
          <w:rFonts w:ascii="Book Antiqua" w:hAnsi="Book Antiqua"/>
        </w:rPr>
        <w:t>o</w:t>
      </w:r>
      <w:r w:rsidRPr="00512804">
        <w:rPr>
          <w:rFonts w:ascii="Book Antiqua" w:hAnsi="Book Antiqua"/>
        </w:rPr>
        <w:t>tential mechanisms of EHM is shown in Figure 1.</w:t>
      </w:r>
    </w:p>
    <w:p w14:paraId="1715CCCB" w14:textId="77777777" w:rsidR="00B4314C" w:rsidRPr="00512804" w:rsidRDefault="00B4314C">
      <w:pPr>
        <w:pStyle w:val="BodyA"/>
        <w:spacing w:line="360" w:lineRule="auto"/>
        <w:jc w:val="both"/>
      </w:pPr>
    </w:p>
    <w:p w14:paraId="3A5E5719" w14:textId="77777777" w:rsidR="00B4314C" w:rsidRPr="00512804" w:rsidRDefault="0027755F">
      <w:pPr>
        <w:pStyle w:val="BodyA"/>
        <w:spacing w:line="360" w:lineRule="auto"/>
        <w:jc w:val="both"/>
        <w:rPr>
          <w:lang w:val="es-ES_tradnl"/>
        </w:rPr>
      </w:pPr>
      <w:r w:rsidRPr="00512804">
        <w:rPr>
          <w:rFonts w:ascii="Book Antiqua" w:hAnsi="Book Antiqua"/>
          <w:b/>
          <w:bCs/>
          <w:caps/>
          <w:u w:val="single"/>
          <w:lang w:val="es-ES_tradnl"/>
        </w:rPr>
        <w:t>NEUROLOGICAL MANIFESTATIONS</w:t>
      </w:r>
    </w:p>
    <w:p w14:paraId="50401B45" w14:textId="693748C7" w:rsidR="00B4314C" w:rsidRPr="00512804" w:rsidRDefault="0027755F">
      <w:pPr>
        <w:pStyle w:val="BodyA"/>
        <w:spacing w:line="360" w:lineRule="auto"/>
        <w:jc w:val="both"/>
      </w:pPr>
      <w:r w:rsidRPr="00512804">
        <w:rPr>
          <w:rFonts w:ascii="Book Antiqua" w:hAnsi="Book Antiqua"/>
        </w:rPr>
        <w:t>The neurologic manifestations of HEV infection are being increasingly recognized. Retrospective studies from Europe</w:t>
      </w:r>
      <w:r w:rsidRPr="00512804">
        <w:rPr>
          <w:rFonts w:ascii="Book Antiqua" w:hAnsi="Book Antiqua"/>
          <w:b/>
          <w:bCs/>
        </w:rPr>
        <w:t xml:space="preserve"> </w:t>
      </w:r>
      <w:r w:rsidRPr="00512804">
        <w:rPr>
          <w:rFonts w:ascii="Book Antiqua" w:hAnsi="Book Antiqua"/>
        </w:rPr>
        <w:t>revealed 5.5%-7.5% of neurological manifestations in HEV-infected patients</w:t>
      </w:r>
      <w:r w:rsidRPr="00512804">
        <w:rPr>
          <w:rFonts w:ascii="Book Antiqua" w:hAnsi="Book Antiqua"/>
          <w:vertAlign w:val="superscript"/>
        </w:rPr>
        <w:t>[15,16]</w:t>
      </w:r>
      <w:r w:rsidRPr="00512804">
        <w:rPr>
          <w:rFonts w:ascii="Book Antiqua" w:hAnsi="Book Antiqua"/>
        </w:rPr>
        <w:t>. Furthermore, two recent European</w:t>
      </w:r>
      <w:r w:rsidRPr="00512804">
        <w:rPr>
          <w:rFonts w:ascii="Book Antiqua" w:hAnsi="Book Antiqua"/>
          <w:b/>
          <w:bCs/>
        </w:rPr>
        <w:t xml:space="preserve"> </w:t>
      </w:r>
      <w:r w:rsidRPr="00512804">
        <w:rPr>
          <w:rFonts w:ascii="Book Antiqua" w:hAnsi="Book Antiqua"/>
        </w:rPr>
        <w:t xml:space="preserve">prospective studies showed an even higher prevalence of neurological symptoms (16.5%-31%) in HEV-infected patients. Ripellino </w:t>
      </w:r>
      <w:r w:rsidRPr="00512804">
        <w:rPr>
          <w:rFonts w:ascii="Book Antiqua" w:hAnsi="Book Antiqua"/>
          <w:i/>
          <w:iCs/>
          <w:lang w:val="nl-NL"/>
        </w:rPr>
        <w:t>et al</w:t>
      </w:r>
      <w:r w:rsidRPr="00512804">
        <w:rPr>
          <w:rFonts w:ascii="Book Antiqua" w:hAnsi="Book Antiqua"/>
          <w:vertAlign w:val="superscript"/>
        </w:rPr>
        <w:t>[14]</w:t>
      </w:r>
      <w:r w:rsidRPr="00512804">
        <w:rPr>
          <w:rFonts w:ascii="Book Antiqua" w:hAnsi="Book Antiqua"/>
        </w:rPr>
        <w:t xml:space="preserve"> indicated 31% prevalence of neurological symptoms in HEV-infected patients. However, two-third of patients had myalgia only, and none of these patients underwent brachial plexus MRI or muscle biopsy. In another recent prospective case-control study, out of 200 HEV-infected patients, 33 (16.5%) showed neurological symptoms. The most frequent manifestation was neuropathic pain (42%), which suggests small fiber neuropathy. However, the results of their neurological examination were normal, and extensive investigations were not performed to detect small fiber neuropathy</w:t>
      </w:r>
      <w:r w:rsidRPr="00512804">
        <w:rPr>
          <w:rFonts w:ascii="Book Antiqua" w:hAnsi="Book Antiqua"/>
          <w:vertAlign w:val="superscript"/>
        </w:rPr>
        <w:t>[13]</w:t>
      </w:r>
      <w:r w:rsidRPr="00512804">
        <w:rPr>
          <w:rFonts w:ascii="Book Antiqua" w:hAnsi="Book Antiqua"/>
        </w:rPr>
        <w:t>. The prevalence of HEV infection in patients with non-traumatic neurological injury ranges from 2.4% to 6.9%. In a multi-centric European</w:t>
      </w:r>
      <w:r w:rsidRPr="00512804">
        <w:rPr>
          <w:rFonts w:ascii="Book Antiqua" w:hAnsi="Book Antiqua"/>
          <w:b/>
          <w:bCs/>
        </w:rPr>
        <w:t xml:space="preserve"> </w:t>
      </w:r>
      <w:r w:rsidRPr="00512804">
        <w:rPr>
          <w:rFonts w:ascii="Book Antiqua" w:hAnsi="Book Antiqua"/>
        </w:rPr>
        <w:t>study, 2.4% of 464 patients with non-traumatic neurological injury showed evidence of recent HEV infe</w:t>
      </w:r>
      <w:r w:rsidRPr="00512804">
        <w:rPr>
          <w:rFonts w:ascii="Book Antiqua" w:hAnsi="Book Antiqua"/>
        </w:rPr>
        <w:t>c</w:t>
      </w:r>
      <w:r w:rsidRPr="00512804">
        <w:rPr>
          <w:rFonts w:ascii="Book Antiqua" w:hAnsi="Book Antiqua"/>
        </w:rPr>
        <w:t>tion. Symptoms of hepatitis were mild or absent and all patients were anicteric</w:t>
      </w:r>
      <w:r w:rsidRPr="00512804">
        <w:rPr>
          <w:rFonts w:ascii="Book Antiqua" w:hAnsi="Book Antiqua"/>
          <w:vertAlign w:val="superscript"/>
        </w:rPr>
        <w:t>[17]</w:t>
      </w:r>
      <w:r w:rsidRPr="00512804">
        <w:rPr>
          <w:rFonts w:ascii="Book Antiqua" w:hAnsi="Book Antiqua"/>
        </w:rPr>
        <w:t>. A</w:t>
      </w:r>
      <w:r w:rsidRPr="00512804">
        <w:rPr>
          <w:rFonts w:ascii="Book Antiqua" w:hAnsi="Book Antiqua"/>
        </w:rPr>
        <w:t>n</w:t>
      </w:r>
      <w:r w:rsidRPr="00512804">
        <w:rPr>
          <w:rFonts w:ascii="Book Antiqua" w:hAnsi="Book Antiqua"/>
        </w:rPr>
        <w:t xml:space="preserve">other study from France demonstrated a high seroprevalence (6.9%) of positive anti-HEV </w:t>
      </w:r>
      <w:r w:rsidRPr="00512804">
        <w:rPr>
          <w:rFonts w:ascii="Book Antiqua" w:hAnsi="Book Antiqua"/>
          <w:u w:color="0000EE"/>
        </w:rPr>
        <w:t>IgM</w:t>
      </w:r>
      <w:r w:rsidRPr="00512804">
        <w:rPr>
          <w:rFonts w:ascii="Book Antiqua" w:hAnsi="Book Antiqua"/>
        </w:rPr>
        <w:t xml:space="preserve"> in a cohort (</w:t>
      </w:r>
      <w:r w:rsidRPr="00512804">
        <w:rPr>
          <w:rFonts w:ascii="Book Antiqua" w:hAnsi="Book Antiqua"/>
          <w:i/>
          <w:iCs/>
        </w:rPr>
        <w:t>n</w:t>
      </w:r>
      <w:r w:rsidRPr="00512804">
        <w:rPr>
          <w:rFonts w:ascii="Book Antiqua" w:hAnsi="Book Antiqua"/>
        </w:rPr>
        <w:t xml:space="preserve"> = 159) of patients with acute non-traumatic, non-vascular ne</w:t>
      </w:r>
      <w:r w:rsidRPr="00512804">
        <w:rPr>
          <w:rFonts w:ascii="Book Antiqua" w:hAnsi="Book Antiqua"/>
        </w:rPr>
        <w:t>u</w:t>
      </w:r>
      <w:r w:rsidRPr="00512804">
        <w:rPr>
          <w:rFonts w:ascii="Book Antiqua" w:hAnsi="Book Antiqua"/>
        </w:rPr>
        <w:t>rological injuries as compared to seroprevalence in blood donors (0.4%) at the same period of time</w:t>
      </w:r>
      <w:r w:rsidRPr="00512804">
        <w:rPr>
          <w:rFonts w:ascii="Book Antiqua" w:hAnsi="Book Antiqua"/>
          <w:vertAlign w:val="superscript"/>
        </w:rPr>
        <w:t>[18,19]</w:t>
      </w:r>
      <w:r w:rsidRPr="00512804">
        <w:rPr>
          <w:rFonts w:ascii="Book Antiqua" w:hAnsi="Book Antiqua"/>
        </w:rPr>
        <w:t>. However, a recent study from China showed a similar HEV seroprevalence in patients with acute non-traumatic neuropathy (</w:t>
      </w:r>
      <w:r w:rsidRPr="00512804">
        <w:rPr>
          <w:rFonts w:ascii="Book Antiqua" w:hAnsi="Book Antiqua"/>
          <w:i/>
          <w:iCs/>
        </w:rPr>
        <w:t>n</w:t>
      </w:r>
      <w:r w:rsidRPr="00512804">
        <w:rPr>
          <w:rFonts w:ascii="Book Antiqua" w:hAnsi="Book Antiqua"/>
        </w:rPr>
        <w:t xml:space="preserve"> = 1117) and healthy co</w:t>
      </w:r>
      <w:r w:rsidRPr="00512804">
        <w:rPr>
          <w:rFonts w:ascii="Book Antiqua" w:hAnsi="Book Antiqua"/>
        </w:rPr>
        <w:t>n</w:t>
      </w:r>
      <w:r w:rsidRPr="00512804">
        <w:rPr>
          <w:rFonts w:ascii="Book Antiqua" w:hAnsi="Book Antiqua"/>
        </w:rPr>
        <w:t>trols (</w:t>
      </w:r>
      <w:r w:rsidRPr="00512804">
        <w:rPr>
          <w:rFonts w:ascii="Book Antiqua" w:hAnsi="Book Antiqua"/>
          <w:i/>
          <w:iCs/>
        </w:rPr>
        <w:t>n</w:t>
      </w:r>
      <w:r w:rsidRPr="00512804">
        <w:rPr>
          <w:rFonts w:ascii="Book Antiqua" w:hAnsi="Book Antiqua"/>
        </w:rPr>
        <w:t xml:space="preserve"> = 1415) (0.54% </w:t>
      </w:r>
      <w:r w:rsidRPr="00512804">
        <w:rPr>
          <w:rFonts w:ascii="Book Antiqua" w:hAnsi="Book Antiqua"/>
          <w:i/>
          <w:iCs/>
          <w:lang w:val="da-DK"/>
        </w:rPr>
        <w:t>vs</w:t>
      </w:r>
      <w:r w:rsidRPr="00512804">
        <w:rPr>
          <w:rFonts w:ascii="Book Antiqua" w:hAnsi="Book Antiqua"/>
        </w:rPr>
        <w:t xml:space="preserve"> 0.68%; </w:t>
      </w:r>
      <w:r w:rsidRPr="00512804">
        <w:rPr>
          <w:rFonts w:ascii="Book Antiqua" w:hAnsi="Book Antiqua"/>
          <w:i/>
          <w:iCs/>
        </w:rPr>
        <w:t>P</w:t>
      </w:r>
      <w:r w:rsidRPr="00512804">
        <w:rPr>
          <w:rFonts w:ascii="Book Antiqua" w:hAnsi="Book Antiqua"/>
        </w:rPr>
        <w:t xml:space="preserve"> = 0.65)</w:t>
      </w:r>
      <w:r w:rsidRPr="00512804">
        <w:rPr>
          <w:rFonts w:ascii="Book Antiqua" w:hAnsi="Book Antiqua"/>
          <w:vertAlign w:val="superscript"/>
        </w:rPr>
        <w:t>[20]</w:t>
      </w:r>
      <w:r w:rsidRPr="00512804">
        <w:rPr>
          <w:rFonts w:ascii="Book Antiqua" w:hAnsi="Book Antiqua"/>
        </w:rPr>
        <w:t>.</w:t>
      </w:r>
    </w:p>
    <w:p w14:paraId="466300F4" w14:textId="292687EE" w:rsidR="00B4314C" w:rsidRPr="00512804" w:rsidRDefault="0027755F">
      <w:pPr>
        <w:pStyle w:val="BodyA"/>
        <w:spacing w:line="360" w:lineRule="auto"/>
        <w:ind w:firstLine="240"/>
        <w:jc w:val="both"/>
      </w:pPr>
      <w:r w:rsidRPr="00512804">
        <w:rPr>
          <w:rFonts w:ascii="Book Antiqua" w:hAnsi="Book Antiqua"/>
        </w:rPr>
        <w:t xml:space="preserve">Involvement of both the peripheral nervous system and CNS can occur together or in isolation. The various neurologic syndromes that have been reported in patients with HEV infection are shown in Table 3. Approximately 163 cases have been described </w:t>
      </w:r>
      <w:r w:rsidRPr="00512804">
        <w:rPr>
          <w:rFonts w:ascii="Book Antiqua" w:hAnsi="Book Antiqua"/>
          <w:lang w:val="it-IT"/>
        </w:rPr>
        <w:t>to date</w:t>
      </w:r>
      <w:r w:rsidRPr="00512804">
        <w:rPr>
          <w:rFonts w:ascii="Book Antiqua" w:hAnsi="Book Antiqua"/>
        </w:rPr>
        <w:t>, wherein the mean age of patients was 53.9 years with a male to female ratio (M:F) of 2.84:1. Neurological disorders are most commonly reported in Europe (74%) and SEAR nations (15%), mainly France, India, and Bangladesh. Nerve root and plexus disorders (</w:t>
      </w:r>
      <w:r w:rsidRPr="00512804">
        <w:rPr>
          <w:rFonts w:ascii="Book Antiqua" w:hAnsi="Book Antiqua"/>
          <w:lang w:val="pt-PT"/>
        </w:rPr>
        <w:t xml:space="preserve">NA </w:t>
      </w:r>
      <w:r w:rsidRPr="00512804">
        <w:rPr>
          <w:rFonts w:ascii="Book Antiqua" w:hAnsi="Book Antiqua"/>
        </w:rPr>
        <w:t xml:space="preserve">[39%] and GBS [37%]) were the most commonly reported HEV-related neurological disorders, followed by </w:t>
      </w:r>
      <w:r w:rsidRPr="00512804">
        <w:rPr>
          <w:rFonts w:ascii="Book Antiqua" w:hAnsi="Book Antiqua"/>
          <w:shd w:val="clear" w:color="auto" w:fill="FEFEFE"/>
        </w:rPr>
        <w:t>CNS</w:t>
      </w:r>
      <w:r w:rsidRPr="00512804">
        <w:rPr>
          <w:rFonts w:ascii="Book Antiqua" w:hAnsi="Book Antiqua"/>
        </w:rPr>
        <w:t xml:space="preserve"> disorder (</w:t>
      </w:r>
      <w:r w:rsidRPr="00512804">
        <w:rPr>
          <w:rFonts w:ascii="Book Antiqua" w:hAnsi="Book Antiqua"/>
          <w:lang w:val="nl-NL"/>
        </w:rPr>
        <w:t xml:space="preserve">meningoencephalitis </w:t>
      </w:r>
      <w:r w:rsidRPr="00512804">
        <w:rPr>
          <w:rFonts w:ascii="Book Antiqua" w:hAnsi="Book Antiqua"/>
        </w:rPr>
        <w:t>[4%]). The majority of patients (88%) had normal bilirubin levels. Alanine aminotransferase (ALT) levels were widely variable (</w:t>
      </w:r>
      <w:r w:rsidRPr="00512804">
        <w:rPr>
          <w:rFonts w:ascii="Book Antiqua" w:hAnsi="Book Antiqua"/>
          <w:lang w:val="it-IT"/>
        </w:rPr>
        <w:t xml:space="preserve">median </w:t>
      </w:r>
      <w:r w:rsidRPr="00512804">
        <w:rPr>
          <w:rFonts w:ascii="Book Antiqua" w:hAnsi="Book Antiqua"/>
        </w:rPr>
        <w:t xml:space="preserve">[range]: 345.5 [16-4502] IU/L). HEV RNA was detected in serum in 94 (58%) cases. Genotyping was performed in 62 (38%) cases, which revealed that GT3 is the main GT (90%) associated with neurological disorders. HEV RNA was identified in CSF in 12 (7%) cases. Patients were mainly treated with supportive measures, </w:t>
      </w:r>
      <w:r w:rsidRPr="00512804">
        <w:rPr>
          <w:rFonts w:ascii="Book Antiqua" w:hAnsi="Book Antiqua"/>
          <w:lang w:val="fr-FR"/>
        </w:rPr>
        <w:t>intravenous Ig</w:t>
      </w:r>
      <w:r w:rsidRPr="00512804">
        <w:rPr>
          <w:rFonts w:ascii="Book Antiqua" w:hAnsi="Book Antiqua"/>
        </w:rPr>
        <w:t xml:space="preserve"> (IVIG), plasmapheresis, steroids, and physiotherapy. Antiviral treatment (ribavirin) was given to 16 (10%) patients only. Of the 163 patients, the fo</w:t>
      </w:r>
      <w:r w:rsidRPr="00512804">
        <w:rPr>
          <w:rFonts w:ascii="Book Antiqua" w:hAnsi="Book Antiqua"/>
        </w:rPr>
        <w:t>l</w:t>
      </w:r>
      <w:r w:rsidRPr="00512804">
        <w:rPr>
          <w:rFonts w:ascii="Book Antiqua" w:hAnsi="Book Antiqua"/>
        </w:rPr>
        <w:t>low-up details of 130 patients were available. Complete recovery was observed in 60 (46%) patients, while partial recovery or long-term disability and death were noted in 68 (53%) and 2 patients respectively.</w:t>
      </w:r>
    </w:p>
    <w:p w14:paraId="5F287724" w14:textId="46397886" w:rsidR="00B4314C" w:rsidRPr="00512804" w:rsidRDefault="0027755F">
      <w:pPr>
        <w:pStyle w:val="BodyA"/>
        <w:spacing w:line="360" w:lineRule="auto"/>
        <w:ind w:firstLine="240"/>
        <w:jc w:val="both"/>
      </w:pPr>
      <w:r w:rsidRPr="00512804">
        <w:rPr>
          <w:rFonts w:ascii="Book Antiqua" w:hAnsi="Book Antiqua"/>
        </w:rPr>
        <w:t>Neurological disorders have also been described in cases of viral hepatitis A, B, and C</w:t>
      </w:r>
      <w:r w:rsidRPr="00512804">
        <w:rPr>
          <w:rFonts w:ascii="Book Antiqua" w:hAnsi="Book Antiqua"/>
          <w:vertAlign w:val="superscript"/>
        </w:rPr>
        <w:t>[21-26]</w:t>
      </w:r>
      <w:r w:rsidRPr="00512804">
        <w:rPr>
          <w:rFonts w:ascii="Book Antiqua" w:hAnsi="Book Antiqua"/>
        </w:rPr>
        <w:t>. Hepatitis C virus infection is often associated with neuropsychiatric disorders including peripheral neuropathy (mainly sensory), cognitive impairment, and cerebrovascular accidents. Encephalitis, myelitis, encephalomyelitis, and GBS are rarely d</w:t>
      </w:r>
      <w:r w:rsidRPr="00512804">
        <w:rPr>
          <w:rFonts w:ascii="Book Antiqua" w:hAnsi="Book Antiqua"/>
        </w:rPr>
        <w:t>e</w:t>
      </w:r>
      <w:r w:rsidRPr="00512804">
        <w:rPr>
          <w:rFonts w:ascii="Book Antiqua" w:hAnsi="Book Antiqua"/>
        </w:rPr>
        <w:t>scribed in patients with hepatitis C virus infection</w:t>
      </w:r>
      <w:r w:rsidRPr="00512804">
        <w:rPr>
          <w:rFonts w:ascii="Book Antiqua" w:hAnsi="Book Antiqua"/>
          <w:vertAlign w:val="superscript"/>
          <w:lang w:val="pt-PT"/>
        </w:rPr>
        <w:t>[21,22]</w:t>
      </w:r>
      <w:r w:rsidRPr="00512804">
        <w:rPr>
          <w:rFonts w:ascii="Book Antiqua" w:hAnsi="Book Antiqua"/>
        </w:rPr>
        <w:t>. Hepatitis A virus infection is rarely associated with neurological disorders, especially GBS and encephalitis. Other hepatitis A-related neurological disorders include meningoencephalitis, meningitis, transverse myelitis, peripheral neuropathy, optic neuritis, and neuromuscular junction and muscular disorders</w:t>
      </w:r>
      <w:r w:rsidRPr="00512804">
        <w:rPr>
          <w:rFonts w:ascii="Book Antiqua" w:hAnsi="Book Antiqua"/>
          <w:vertAlign w:val="superscript"/>
        </w:rPr>
        <w:t>[23-25]</w:t>
      </w:r>
      <w:r w:rsidRPr="00512804">
        <w:rPr>
          <w:rFonts w:ascii="Book Antiqua" w:hAnsi="Book Antiqua"/>
        </w:rPr>
        <w:t>. Hepatitis B virus infection is rarely associated with neurological disorders, especially GBS and peripheral neuropathy</w:t>
      </w:r>
      <w:r w:rsidRPr="00512804">
        <w:rPr>
          <w:rFonts w:ascii="Book Antiqua" w:hAnsi="Book Antiqua"/>
          <w:vertAlign w:val="superscript"/>
        </w:rPr>
        <w:t>[26]</w:t>
      </w:r>
      <w:r w:rsidRPr="00512804">
        <w:rPr>
          <w:rFonts w:ascii="Book Antiqua" w:hAnsi="Book Antiqua"/>
        </w:rPr>
        <w:t>. GBS and peripheral neuropathy have been reported with viral hepatitis A, B, C, and E. It is interesting to note that NA is described in HEV infection alone.</w:t>
      </w:r>
    </w:p>
    <w:p w14:paraId="2E6F8C80" w14:textId="77777777" w:rsidR="00B4314C" w:rsidRPr="00512804" w:rsidRDefault="0027755F">
      <w:pPr>
        <w:pStyle w:val="BodyA"/>
        <w:spacing w:line="360" w:lineRule="auto"/>
        <w:ind w:firstLine="240"/>
        <w:jc w:val="both"/>
      </w:pPr>
      <w:r w:rsidRPr="00512804">
        <w:rPr>
          <w:rFonts w:ascii="Book Antiqua" w:hAnsi="Book Antiqua"/>
        </w:rPr>
        <w:t>The causal association of HEV infection with GBS,</w:t>
      </w:r>
      <w:r w:rsidRPr="00512804">
        <w:rPr>
          <w:rFonts w:ascii="Book Antiqua" w:hAnsi="Book Antiqua"/>
          <w:position w:val="240"/>
        </w:rPr>
        <w:t xml:space="preserve"> </w:t>
      </w:r>
      <w:r w:rsidRPr="00512804">
        <w:rPr>
          <w:rFonts w:ascii="Book Antiqua" w:hAnsi="Book Antiqua"/>
        </w:rPr>
        <w:t>NA, and meningoencephalitis is supported by good evidence, including well-described case cohorts and a large number of case reports. However, the association of HEV infection with other neurological diseases is primarily based on a small number of case reports without sufficient evidence to establish a causal relationship.</w:t>
      </w:r>
    </w:p>
    <w:p w14:paraId="086DDDF9" w14:textId="77777777" w:rsidR="00B4314C" w:rsidRPr="00512804" w:rsidRDefault="00B4314C">
      <w:pPr>
        <w:pStyle w:val="BodyA"/>
        <w:spacing w:line="360" w:lineRule="auto"/>
        <w:jc w:val="both"/>
      </w:pPr>
    </w:p>
    <w:p w14:paraId="79E95A44" w14:textId="77777777" w:rsidR="00B4314C" w:rsidRPr="00512804" w:rsidRDefault="0027755F">
      <w:pPr>
        <w:pStyle w:val="BodyA"/>
        <w:spacing w:line="360" w:lineRule="auto"/>
        <w:jc w:val="both"/>
      </w:pPr>
      <w:r w:rsidRPr="00512804">
        <w:rPr>
          <w:rFonts w:ascii="Book Antiqua" w:hAnsi="Book Antiqua"/>
          <w:b/>
          <w:bCs/>
          <w:caps/>
          <w:u w:val="single"/>
        </w:rPr>
        <w:t>NERVE ROOT AND PLEXUS DISORDERS</w:t>
      </w:r>
    </w:p>
    <w:p w14:paraId="0838E77B" w14:textId="77777777" w:rsidR="00B4314C" w:rsidRPr="00512804" w:rsidRDefault="0027755F">
      <w:pPr>
        <w:pStyle w:val="BodyA"/>
        <w:spacing w:line="360" w:lineRule="auto"/>
        <w:jc w:val="both"/>
      </w:pPr>
      <w:r w:rsidRPr="00512804">
        <w:rPr>
          <w:rFonts w:ascii="Book Antiqua" w:hAnsi="Book Antiqua"/>
          <w:b/>
          <w:bCs/>
          <w:i/>
          <w:iCs/>
        </w:rPr>
        <w:t>NA</w:t>
      </w:r>
    </w:p>
    <w:p w14:paraId="0A150811" w14:textId="77777777" w:rsidR="00B4314C" w:rsidRPr="00512804" w:rsidRDefault="0027755F">
      <w:pPr>
        <w:pStyle w:val="BodyA"/>
        <w:spacing w:line="360" w:lineRule="auto"/>
        <w:jc w:val="both"/>
      </w:pPr>
      <w:r w:rsidRPr="00512804">
        <w:rPr>
          <w:rFonts w:ascii="Book Antiqua" w:hAnsi="Book Antiqua"/>
          <w:lang w:val="pt-PT"/>
        </w:rPr>
        <w:t xml:space="preserve">NA </w:t>
      </w:r>
      <w:r w:rsidRPr="00512804">
        <w:rPr>
          <w:rFonts w:ascii="Book Antiqua" w:hAnsi="Book Antiqua"/>
        </w:rPr>
        <w:t>— also known as Parsonage-Turner syndrome or brachial plexus neuritis—is a distinct disorder, with core features that include episodes of severe shoulder and arm pain at symptom onset, rapid multifocal paresis, and atrophy of the upper extremity muscles, and a slow recovery, requiring a few months to several years. The disease is cha</w:t>
      </w:r>
      <w:r w:rsidRPr="00512804">
        <w:rPr>
          <w:rFonts w:ascii="Book Antiqua" w:hAnsi="Book Antiqua"/>
        </w:rPr>
        <w:t>r</w:t>
      </w:r>
      <w:r w:rsidRPr="00512804">
        <w:rPr>
          <w:rFonts w:ascii="Book Antiqua" w:hAnsi="Book Antiqua"/>
        </w:rPr>
        <w:t>acterized by the patchy distribution of motor, sensory, and autonomic symptoms. Any part of the brachial plexus and the lumbosacral plexus can be involved, with any combination of motor and sensory impairment. Involvement of nerves from regions other than the brachial plexus is noted in about one-fourth of patients. The pathogenesis of NA is unknown, but it may share its pathogenesis mechanism with post-infectious GBS. No currently available tests can unequivocally confirm or exclude NA, although needle electromyography (EMG) can help in estimating axonal damage and reinnervation. Exclusion of other disorders such as cervical disc herniation and neoplasms of the superior sulcus region are usually required</w:t>
      </w:r>
      <w:r w:rsidRPr="00512804">
        <w:rPr>
          <w:rFonts w:ascii="Book Antiqua" w:hAnsi="Book Antiqua"/>
          <w:vertAlign w:val="superscript"/>
        </w:rPr>
        <w:t>[27]</w:t>
      </w:r>
      <w:r w:rsidRPr="00512804">
        <w:rPr>
          <w:rFonts w:ascii="Book Antiqua" w:hAnsi="Book Antiqua"/>
        </w:rPr>
        <w:t>.</w:t>
      </w:r>
    </w:p>
    <w:p w14:paraId="63E3385C" w14:textId="77777777" w:rsidR="00B4314C" w:rsidRPr="00512804" w:rsidRDefault="0027755F">
      <w:pPr>
        <w:pStyle w:val="BodyA"/>
        <w:spacing w:line="360" w:lineRule="auto"/>
        <w:ind w:firstLine="240"/>
        <w:jc w:val="both"/>
      </w:pPr>
      <w:r w:rsidRPr="00512804">
        <w:rPr>
          <w:rFonts w:ascii="Book Antiqua" w:hAnsi="Book Antiqua"/>
        </w:rPr>
        <w:t>NA is likely to be causally associated with HEV infection. In a study, acute HEV infection was identified in 10.6% of NA patients (</w:t>
      </w:r>
      <w:r w:rsidRPr="00512804">
        <w:rPr>
          <w:rFonts w:ascii="Book Antiqua" w:hAnsi="Book Antiqua"/>
          <w:i/>
          <w:iCs/>
        </w:rPr>
        <w:t>n</w:t>
      </w:r>
      <w:r w:rsidRPr="00512804">
        <w:rPr>
          <w:rFonts w:ascii="Book Antiqua" w:hAnsi="Book Antiqua"/>
        </w:rPr>
        <w:t xml:space="preserve"> = 47)</w:t>
      </w:r>
      <w:r w:rsidRPr="00512804">
        <w:rPr>
          <w:rFonts w:ascii="Book Antiqua" w:hAnsi="Book Antiqua"/>
          <w:vertAlign w:val="superscript"/>
        </w:rPr>
        <w:t>[28]</w:t>
      </w:r>
      <w:r w:rsidRPr="00512804">
        <w:rPr>
          <w:rFonts w:ascii="Book Antiqua" w:hAnsi="Book Antiqua"/>
        </w:rPr>
        <w:t>. Another study demonstrated a high seroprevalence (6.9%) of acute HEV infection in a cohort of patients with acute non-traumatic, non-vascular neurological injuries (</w:t>
      </w:r>
      <w:r w:rsidRPr="00512804">
        <w:rPr>
          <w:rFonts w:ascii="Book Antiqua" w:hAnsi="Book Antiqua"/>
          <w:i/>
          <w:iCs/>
        </w:rPr>
        <w:t>n</w:t>
      </w:r>
      <w:r w:rsidRPr="00512804">
        <w:rPr>
          <w:rFonts w:ascii="Book Antiqua" w:hAnsi="Book Antiqua"/>
        </w:rPr>
        <w:t xml:space="preserve"> = 159). Notably, more than half of the NA patients (57%) showed positive anti-HEV IgM assays</w:t>
      </w:r>
      <w:r w:rsidRPr="00512804">
        <w:rPr>
          <w:rFonts w:ascii="Book Antiqua" w:hAnsi="Book Antiqua"/>
          <w:vertAlign w:val="superscript"/>
        </w:rPr>
        <w:t>[18]</w:t>
      </w:r>
      <w:r w:rsidRPr="00512804">
        <w:rPr>
          <w:rFonts w:ascii="Book Antiqua" w:hAnsi="Book Antiqua"/>
        </w:rPr>
        <w:t>. Recently, a multi-center retrospective data analysis was performed for the comparison of HEV-associated NA (</w:t>
      </w:r>
      <w:r w:rsidRPr="00512804">
        <w:rPr>
          <w:rFonts w:ascii="Book Antiqua" w:hAnsi="Book Antiqua"/>
          <w:i/>
          <w:iCs/>
        </w:rPr>
        <w:t>n</w:t>
      </w:r>
      <w:r w:rsidRPr="00512804">
        <w:rPr>
          <w:rFonts w:ascii="Book Antiqua" w:hAnsi="Book Antiqua"/>
        </w:rPr>
        <w:t xml:space="preserve"> = 57) and NA without HEV infection (</w:t>
      </w:r>
      <w:r w:rsidRPr="00512804">
        <w:rPr>
          <w:rFonts w:ascii="Book Antiqua" w:hAnsi="Book Antiqua"/>
          <w:i/>
          <w:iCs/>
        </w:rPr>
        <w:t>n</w:t>
      </w:r>
      <w:r w:rsidRPr="00512804">
        <w:rPr>
          <w:rFonts w:ascii="Book Antiqua" w:hAnsi="Book Antiqua"/>
        </w:rPr>
        <w:t xml:space="preserve"> = 61). HEV-NA patients were found to have significantly more bilateral involvement (80% </w:t>
      </w:r>
      <w:r w:rsidRPr="00512804">
        <w:rPr>
          <w:rFonts w:ascii="Book Antiqua" w:hAnsi="Book Antiqua"/>
          <w:i/>
          <w:iCs/>
          <w:lang w:val="da-DK"/>
        </w:rPr>
        <w:t>vs</w:t>
      </w:r>
      <w:r w:rsidRPr="00512804">
        <w:rPr>
          <w:rFonts w:ascii="Book Antiqua" w:hAnsi="Book Antiqua"/>
        </w:rPr>
        <w:t xml:space="preserve"> 9%), damage outside the brachial plexus (59% </w:t>
      </w:r>
      <w:r w:rsidRPr="00512804">
        <w:rPr>
          <w:rFonts w:ascii="Book Antiqua" w:hAnsi="Book Antiqua"/>
          <w:i/>
          <w:iCs/>
          <w:lang w:val="da-DK"/>
        </w:rPr>
        <w:t>vs</w:t>
      </w:r>
      <w:r w:rsidRPr="00512804">
        <w:rPr>
          <w:rFonts w:ascii="Book Antiqua" w:hAnsi="Book Antiqua"/>
        </w:rPr>
        <w:t xml:space="preserve"> 11%), including phrenic nerve and lumbosacral plexus injury (25% </w:t>
      </w:r>
      <w:r w:rsidRPr="00512804">
        <w:rPr>
          <w:rFonts w:ascii="Book Antiqua" w:hAnsi="Book Antiqua"/>
          <w:i/>
          <w:iCs/>
          <w:lang w:val="da-DK"/>
        </w:rPr>
        <w:t>vs</w:t>
      </w:r>
      <w:r w:rsidRPr="00512804">
        <w:rPr>
          <w:rFonts w:ascii="Book Antiqua" w:hAnsi="Book Antiqua"/>
        </w:rPr>
        <w:t xml:space="preserve"> 4% and 26% </w:t>
      </w:r>
      <w:r w:rsidRPr="00512804">
        <w:rPr>
          <w:rFonts w:ascii="Book Antiqua" w:hAnsi="Book Antiqua"/>
          <w:i/>
          <w:iCs/>
          <w:lang w:val="da-DK"/>
        </w:rPr>
        <w:t>vs</w:t>
      </w:r>
      <w:r w:rsidRPr="00512804">
        <w:rPr>
          <w:rFonts w:ascii="Book Antiqua" w:hAnsi="Book Antiqua"/>
        </w:rPr>
        <w:t xml:space="preserve"> 7.0% respectively), sensory symptoms, and reduced reflexes. Despite more extensive damage to the brachial plexus in HEV-associated NA, the outcome was similar in the two groups. About 90% of patients with HEV-associated NA were anicteric</w:t>
      </w:r>
      <w:r w:rsidRPr="00512804">
        <w:rPr>
          <w:rFonts w:ascii="Book Antiqua" w:hAnsi="Book Antiqua"/>
          <w:vertAlign w:val="superscript"/>
        </w:rPr>
        <w:t>[29]</w:t>
      </w:r>
      <w:r w:rsidRPr="00512804">
        <w:rPr>
          <w:rFonts w:ascii="Book Antiqua" w:hAnsi="Book Antiqua"/>
        </w:rPr>
        <w:t>.</w:t>
      </w:r>
    </w:p>
    <w:p w14:paraId="1EF60681" w14:textId="183AE4C0" w:rsidR="00B4314C" w:rsidRPr="00512804" w:rsidRDefault="0027755F">
      <w:pPr>
        <w:pStyle w:val="BodyA"/>
        <w:spacing w:line="360" w:lineRule="auto"/>
        <w:ind w:firstLine="240"/>
        <w:jc w:val="both"/>
      </w:pPr>
      <w:r w:rsidRPr="00512804">
        <w:rPr>
          <w:rFonts w:ascii="Book Antiqua" w:hAnsi="Book Antiqua"/>
        </w:rPr>
        <w:t xml:space="preserve">Approximately 64 cases of HEV-associated NA have been reported </w:t>
      </w:r>
      <w:r w:rsidRPr="00512804">
        <w:rPr>
          <w:rFonts w:ascii="Book Antiqua" w:hAnsi="Book Antiqua"/>
          <w:lang w:val="it-IT"/>
        </w:rPr>
        <w:t>to date</w:t>
      </w:r>
      <w:r w:rsidRPr="00512804">
        <w:rPr>
          <w:rFonts w:ascii="Book Antiqua" w:hAnsi="Book Antiqua"/>
          <w:vertAlign w:val="superscript"/>
        </w:rPr>
        <w:t>[13,15-17,28-56]</w:t>
      </w:r>
      <w:r w:rsidRPr="00512804">
        <w:rPr>
          <w:rFonts w:ascii="Book Antiqua" w:hAnsi="Book Antiqua"/>
        </w:rPr>
        <w:t xml:space="preserve">. The salient clinico-demographic features of NA are summarized in Tables 3 and 4. HEV-associated NA is predominantly seen in middle-aged males (mean age: 45.7 years; M:F = 6.5:1). Genotyping was conducted in 28 cases; all were found to be GT3. All patients were immunocompetent. All patients, except two, were from European countries. About 90% of the cases had bilateral involvement (89% </w:t>
      </w:r>
      <w:r w:rsidRPr="00512804">
        <w:rPr>
          <w:rFonts w:ascii="Book Antiqua" w:hAnsi="Book Antiqua"/>
          <w:i/>
          <w:iCs/>
          <w:lang w:val="da-DK"/>
        </w:rPr>
        <w:t>vs</w:t>
      </w:r>
      <w:r w:rsidRPr="00512804">
        <w:rPr>
          <w:rFonts w:ascii="Book Antiqua" w:hAnsi="Book Antiqua"/>
        </w:rPr>
        <w:t xml:space="preserve"> 11% unilateral). Predominantly right-sided involvement was observed in 60% of the patients with bilateral involv</w:t>
      </w:r>
      <w:r w:rsidRPr="00512804">
        <w:rPr>
          <w:rFonts w:ascii="Book Antiqua" w:hAnsi="Book Antiqua"/>
        </w:rPr>
        <w:t>e</w:t>
      </w:r>
      <w:r w:rsidRPr="00512804">
        <w:rPr>
          <w:rFonts w:ascii="Book Antiqua" w:hAnsi="Book Antiqua"/>
        </w:rPr>
        <w:t>ment, whereas right-sided involvement was seen in 83% of the patients with unilateral involvement. An EMG was performed in 34 of the 64 cases and revealed denervation and/or damage of brachial plexus in 31 cases. Almost all patients (94%) had normal bi</w:t>
      </w:r>
      <w:r w:rsidRPr="00512804">
        <w:rPr>
          <w:rFonts w:ascii="Book Antiqua" w:hAnsi="Book Antiqua"/>
        </w:rPr>
        <w:t>l</w:t>
      </w:r>
      <w:r w:rsidRPr="00512804">
        <w:rPr>
          <w:rFonts w:ascii="Book Antiqua" w:hAnsi="Book Antiqua"/>
        </w:rPr>
        <w:t>irubin levels and ALT levels were variable (</w:t>
      </w:r>
      <w:r w:rsidRPr="00512804">
        <w:rPr>
          <w:rFonts w:ascii="Book Antiqua" w:hAnsi="Book Antiqua"/>
          <w:lang w:val="it-IT"/>
        </w:rPr>
        <w:t xml:space="preserve">median </w:t>
      </w:r>
      <w:r w:rsidRPr="00512804">
        <w:rPr>
          <w:rFonts w:ascii="Book Antiqua" w:hAnsi="Book Antiqua"/>
        </w:rPr>
        <w:t xml:space="preserve">[range]: 1007 [22-2579] IU/L). HEV RNA was detected in serum in 44 cases but not detected in CSF. Patients were primarily treated with supportive measures, including physiotherapy. A total of nine patients were treated with ribavirin and IVIG. Complete recovery was seen in six patients only. Partial recovery and long-term disability was noted in 40 and </w:t>
      </w:r>
      <w:r w:rsidRPr="00512804">
        <w:rPr>
          <w:rFonts w:ascii="Book Antiqua" w:hAnsi="Book Antiqua"/>
          <w:lang w:val="ru-RU"/>
        </w:rPr>
        <w:t xml:space="preserve">7 </w:t>
      </w:r>
      <w:r w:rsidRPr="00512804">
        <w:rPr>
          <w:rFonts w:ascii="Book Antiqua" w:hAnsi="Book Antiqua"/>
        </w:rPr>
        <w:t>patients respectively.</w:t>
      </w:r>
    </w:p>
    <w:p w14:paraId="5F64379C" w14:textId="77777777" w:rsidR="00B4314C" w:rsidRPr="00512804" w:rsidRDefault="00B4314C">
      <w:pPr>
        <w:pStyle w:val="BodyA"/>
        <w:spacing w:line="360" w:lineRule="auto"/>
        <w:jc w:val="both"/>
      </w:pPr>
    </w:p>
    <w:p w14:paraId="22B65715" w14:textId="77777777" w:rsidR="00B4314C" w:rsidRPr="00512804" w:rsidRDefault="0027755F">
      <w:pPr>
        <w:pStyle w:val="BodyA"/>
        <w:spacing w:line="360" w:lineRule="auto"/>
        <w:jc w:val="both"/>
      </w:pPr>
      <w:r w:rsidRPr="00512804">
        <w:rPr>
          <w:rFonts w:ascii="Book Antiqua" w:hAnsi="Book Antiqua"/>
          <w:b/>
          <w:bCs/>
          <w:i/>
          <w:iCs/>
        </w:rPr>
        <w:t>GBS</w:t>
      </w:r>
    </w:p>
    <w:p w14:paraId="48377A53" w14:textId="77777777" w:rsidR="00B4314C" w:rsidRPr="00512804" w:rsidRDefault="0027755F">
      <w:pPr>
        <w:pStyle w:val="BodyA"/>
        <w:spacing w:line="360" w:lineRule="auto"/>
        <w:jc w:val="both"/>
      </w:pPr>
      <w:r w:rsidRPr="00512804">
        <w:rPr>
          <w:rFonts w:ascii="Book Antiqua" w:hAnsi="Book Antiqua"/>
          <w:shd w:val="clear" w:color="auto" w:fill="FEFEFE"/>
        </w:rPr>
        <w:t xml:space="preserve">GBS is an inflammatory disease of the nerve root and plexus and is the most common cause of acute flaccid paralysis. It should be considered a diagnosis in patients who have experienced rapidly progressive bilateral weakness of the legs and/or arms, in the absence of CNS involvement or other obvious causes. Patients with the classic sensorimotor form of GBS present with distal paresthesia or sensory loss, accompanied or followed by weakness that starts in the legs and progresses to the arms and cranial muscles. Reflexes are decreased or absent in most patients at presentation and in almost all patients at nadir. GBS is a clinical diagnosis, but additional investigations are mostly performed for confirmation. The diagnosis of GBS can be supported by a CSF examination finding of classical cytoalbuminologic dissociation—the combination of a normal cell count and increased protein level. </w:t>
      </w:r>
      <w:r w:rsidRPr="00512804">
        <w:rPr>
          <w:rFonts w:ascii="Book Antiqua" w:hAnsi="Book Antiqua"/>
        </w:rPr>
        <w:t>Nerve conduction studies can be helpful but are generally not required to diagnose GBS</w:t>
      </w:r>
      <w:r w:rsidRPr="00512804">
        <w:rPr>
          <w:rFonts w:ascii="Book Antiqua" w:hAnsi="Book Antiqua"/>
          <w:vertAlign w:val="superscript"/>
        </w:rPr>
        <w:t>[57]</w:t>
      </w:r>
      <w:r w:rsidRPr="00512804">
        <w:rPr>
          <w:rFonts w:ascii="Book Antiqua" w:hAnsi="Book Antiqua"/>
        </w:rPr>
        <w:t>.</w:t>
      </w:r>
    </w:p>
    <w:p w14:paraId="135C96C0" w14:textId="4222A866" w:rsidR="00B4314C" w:rsidRPr="00512804" w:rsidRDefault="0027755F">
      <w:pPr>
        <w:pStyle w:val="BodyA"/>
        <w:spacing w:line="360" w:lineRule="auto"/>
        <w:ind w:firstLine="240"/>
        <w:jc w:val="both"/>
      </w:pPr>
      <w:r w:rsidRPr="00512804">
        <w:rPr>
          <w:rFonts w:ascii="Book Antiqua" w:hAnsi="Book Antiqua"/>
        </w:rPr>
        <w:t xml:space="preserve">Prior respiratory or gastrointestinal tract infection has been reported in approximately two-thirds of GBS patients. A specific pathogen can be identified in about 50% of cases of GBS with a suspected infectious precipitant. Epidemiological studies have shown that </w:t>
      </w:r>
      <w:r w:rsidRPr="00512804">
        <w:rPr>
          <w:rFonts w:ascii="Book Antiqua" w:hAnsi="Book Antiqua"/>
          <w:i/>
          <w:iCs/>
          <w:lang w:val="es-ES_tradnl"/>
        </w:rPr>
        <w:t>Campylobacter jejuni</w:t>
      </w:r>
      <w:r w:rsidRPr="00512804">
        <w:rPr>
          <w:rFonts w:ascii="Book Antiqua" w:hAnsi="Book Antiqua"/>
        </w:rPr>
        <w:t xml:space="preserve">, </w:t>
      </w:r>
      <w:r w:rsidRPr="00512804">
        <w:rPr>
          <w:rFonts w:ascii="Book Antiqua" w:hAnsi="Book Antiqua"/>
          <w:i/>
          <w:iCs/>
        </w:rPr>
        <w:t>Mycoplasma pneumoniae</w:t>
      </w:r>
      <w:r w:rsidRPr="00512804">
        <w:rPr>
          <w:rFonts w:ascii="Book Antiqua" w:hAnsi="Book Antiqua"/>
        </w:rPr>
        <w:t xml:space="preserve">, </w:t>
      </w:r>
      <w:r w:rsidRPr="00512804">
        <w:rPr>
          <w:rFonts w:ascii="Book Antiqua" w:hAnsi="Book Antiqua"/>
          <w:i/>
          <w:iCs/>
          <w:lang w:val="it-IT"/>
        </w:rPr>
        <w:t>Haemophilus influenzae</w:t>
      </w:r>
      <w:r w:rsidRPr="00512804">
        <w:rPr>
          <w:rFonts w:ascii="Book Antiqua" w:hAnsi="Book Antiqua"/>
        </w:rPr>
        <w:t>,</w:t>
      </w:r>
      <w:r w:rsidRPr="00512804">
        <w:rPr>
          <w:rFonts w:ascii="Book Antiqua" w:hAnsi="Book Antiqua"/>
          <w:i/>
          <w:iCs/>
        </w:rPr>
        <w:t xml:space="preserve"> Cytomegalovirus</w:t>
      </w:r>
      <w:r w:rsidRPr="00512804">
        <w:rPr>
          <w:rFonts w:ascii="Book Antiqua" w:hAnsi="Book Antiqua"/>
        </w:rPr>
        <w:t>, and Epstein-Barr virus infections are strongly associated with GBS. These pathogens appear to act as potential triggers of a postinfectious immune-mediated process leading to GBS. Molecular mimicry and cross-reactive immune triggers play an i</w:t>
      </w:r>
      <w:r w:rsidRPr="00512804">
        <w:rPr>
          <w:rFonts w:ascii="Book Antiqua" w:hAnsi="Book Antiqua"/>
        </w:rPr>
        <w:t>m</w:t>
      </w:r>
      <w:r w:rsidRPr="00512804">
        <w:rPr>
          <w:rFonts w:ascii="Book Antiqua" w:hAnsi="Book Antiqua"/>
        </w:rPr>
        <w:t xml:space="preserve">portant role in the immunopathogenesis of GBS. Antibodies to gangliosides following infection with </w:t>
      </w:r>
      <w:r w:rsidRPr="00512804">
        <w:rPr>
          <w:rFonts w:ascii="Book Antiqua" w:hAnsi="Book Antiqua"/>
          <w:i/>
          <w:iCs/>
        </w:rPr>
        <w:t xml:space="preserve">C. jejuni </w:t>
      </w:r>
      <w:r w:rsidRPr="00512804">
        <w:rPr>
          <w:rFonts w:ascii="Book Antiqua" w:hAnsi="Book Antiqua"/>
        </w:rPr>
        <w:t>have been demonstrated in patients with GBS.</w:t>
      </w:r>
    </w:p>
    <w:p w14:paraId="620FF9FF" w14:textId="77777777" w:rsidR="00B4314C" w:rsidRPr="00512804" w:rsidRDefault="0027755F">
      <w:pPr>
        <w:pStyle w:val="BodyA"/>
        <w:spacing w:line="360" w:lineRule="auto"/>
        <w:ind w:firstLine="240"/>
        <w:jc w:val="both"/>
      </w:pPr>
      <w:r w:rsidRPr="00512804">
        <w:rPr>
          <w:rFonts w:ascii="Book Antiqua" w:hAnsi="Book Antiqua"/>
        </w:rPr>
        <w:t>Recently, case-control studies and several case reports reported an association between acute HEV infection and GBS. The seroprevalence of acute HEV infection in patients with GBS has been found to range from 5% to 11%</w:t>
      </w:r>
      <w:r w:rsidRPr="00512804">
        <w:rPr>
          <w:rFonts w:ascii="Book Antiqua" w:hAnsi="Book Antiqua"/>
          <w:vertAlign w:val="superscript"/>
        </w:rPr>
        <w:t>[57-61]</w:t>
      </w:r>
      <w:r w:rsidRPr="00512804">
        <w:rPr>
          <w:rFonts w:ascii="Book Antiqua" w:hAnsi="Book Antiqua"/>
        </w:rPr>
        <w:t>. In a retrospective cohort study, 8% of patients (</w:t>
      </w:r>
      <w:r w:rsidRPr="00512804">
        <w:rPr>
          <w:rFonts w:ascii="Book Antiqua" w:hAnsi="Book Antiqua"/>
          <w:i/>
          <w:iCs/>
        </w:rPr>
        <w:t>n</w:t>
      </w:r>
      <w:r w:rsidRPr="00512804">
        <w:rPr>
          <w:rFonts w:ascii="Book Antiqua" w:hAnsi="Book Antiqua"/>
        </w:rPr>
        <w:t xml:space="preserve"> = 73) with GBS showed positive IgM assays for HEV</w:t>
      </w:r>
      <w:r w:rsidRPr="00512804">
        <w:rPr>
          <w:rFonts w:ascii="Book Antiqua" w:hAnsi="Book Antiqua"/>
          <w:vertAlign w:val="superscript"/>
        </w:rPr>
        <w:t>[58]</w:t>
      </w:r>
      <w:r w:rsidRPr="00512804">
        <w:rPr>
          <w:rFonts w:ascii="Book Antiqua" w:hAnsi="Book Antiqua"/>
        </w:rPr>
        <w:t>. The a</w:t>
      </w:r>
      <w:r w:rsidRPr="00512804">
        <w:rPr>
          <w:rFonts w:ascii="Book Antiqua" w:hAnsi="Book Antiqua"/>
        </w:rPr>
        <w:t>s</w:t>
      </w:r>
      <w:r w:rsidRPr="00512804">
        <w:rPr>
          <w:rFonts w:ascii="Book Antiqua" w:hAnsi="Book Antiqua"/>
        </w:rPr>
        <w:t>sociation of HEV infection with GBS has been described in at least three well-described case-control studies. A study conducted in the Netherlands indicated a significantly higher frequency of acute HEV infection in GBS patients (5%) compared to healthy controls (0.5%)</w:t>
      </w:r>
      <w:r w:rsidRPr="00512804">
        <w:rPr>
          <w:rFonts w:ascii="Book Antiqua" w:hAnsi="Book Antiqua"/>
          <w:vertAlign w:val="superscript"/>
        </w:rPr>
        <w:t>[59]</w:t>
      </w:r>
      <w:r w:rsidRPr="00512804">
        <w:rPr>
          <w:rFonts w:ascii="Book Antiqua" w:hAnsi="Book Antiqua"/>
        </w:rPr>
        <w:t>. Another study from Japan demonstrated that 4.8% of the patients (</w:t>
      </w:r>
      <w:r w:rsidRPr="00512804">
        <w:rPr>
          <w:rFonts w:ascii="Book Antiqua" w:hAnsi="Book Antiqua"/>
          <w:i/>
          <w:iCs/>
        </w:rPr>
        <w:t>n</w:t>
      </w:r>
      <w:r w:rsidRPr="00512804">
        <w:rPr>
          <w:rFonts w:ascii="Book Antiqua" w:hAnsi="Book Antiqua"/>
        </w:rPr>
        <w:t xml:space="preserve"> = 63) with GBS showed an association with acute HEV infection</w:t>
      </w:r>
      <w:r w:rsidRPr="00512804">
        <w:rPr>
          <w:rFonts w:ascii="Book Antiqua" w:hAnsi="Book Antiqua"/>
          <w:vertAlign w:val="superscript"/>
        </w:rPr>
        <w:t>[60]</w:t>
      </w:r>
      <w:r w:rsidRPr="00512804">
        <w:rPr>
          <w:rFonts w:ascii="Book Antiqua" w:hAnsi="Book Antiqua"/>
        </w:rPr>
        <w:t>. A study in Bangladesh documented that 11% of GBS patients (</w:t>
      </w:r>
      <w:r w:rsidRPr="00512804">
        <w:rPr>
          <w:rFonts w:ascii="Book Antiqua" w:hAnsi="Book Antiqua"/>
          <w:i/>
          <w:iCs/>
        </w:rPr>
        <w:t>n</w:t>
      </w:r>
      <w:r w:rsidRPr="00512804">
        <w:rPr>
          <w:rFonts w:ascii="Book Antiqua" w:hAnsi="Book Antiqua"/>
        </w:rPr>
        <w:t xml:space="preserve"> = 100) were associated with acute HEV infection and seroprevalence was significantly higher for this group compared to p</w:t>
      </w:r>
      <w:r w:rsidRPr="00512804">
        <w:rPr>
          <w:rFonts w:ascii="Book Antiqua" w:hAnsi="Book Antiqua"/>
        </w:rPr>
        <w:t>a</w:t>
      </w:r>
      <w:r w:rsidRPr="00512804">
        <w:rPr>
          <w:rFonts w:ascii="Book Antiqua" w:hAnsi="Book Antiqua"/>
        </w:rPr>
        <w:t>tients with other neurological disorders as well as healthy controls</w:t>
      </w:r>
      <w:r w:rsidRPr="00512804">
        <w:rPr>
          <w:rFonts w:ascii="Book Antiqua" w:hAnsi="Book Antiqua"/>
          <w:vertAlign w:val="superscript"/>
        </w:rPr>
        <w:t>[61]</w:t>
      </w:r>
      <w:r w:rsidRPr="00512804">
        <w:rPr>
          <w:rFonts w:ascii="Book Antiqua" w:hAnsi="Book Antiqua"/>
        </w:rPr>
        <w:t>. In all studies, no clinical differences were observed between HEV-associated GBS and other GBS cases</w:t>
      </w:r>
      <w:r w:rsidRPr="00512804">
        <w:rPr>
          <w:rFonts w:ascii="Book Antiqua" w:hAnsi="Book Antiqua"/>
          <w:vertAlign w:val="superscript"/>
        </w:rPr>
        <w:t>[58-61]</w:t>
      </w:r>
      <w:r w:rsidRPr="00512804">
        <w:rPr>
          <w:rFonts w:ascii="Book Antiqua" w:hAnsi="Book Antiqua"/>
        </w:rPr>
        <w:t>.</w:t>
      </w:r>
    </w:p>
    <w:p w14:paraId="19F698F6" w14:textId="52F80D10" w:rsidR="00B4314C" w:rsidRPr="00512804" w:rsidRDefault="0027755F">
      <w:pPr>
        <w:pStyle w:val="BodyA"/>
        <w:spacing w:line="360" w:lineRule="auto"/>
        <w:ind w:firstLine="240"/>
        <w:jc w:val="both"/>
      </w:pPr>
      <w:r w:rsidRPr="00512804">
        <w:rPr>
          <w:rFonts w:ascii="Book Antiqua" w:hAnsi="Book Antiqua"/>
        </w:rPr>
        <w:t>We found 61 cases of HEV-associated GBS reported in the medical literature</w:t>
      </w:r>
      <w:r w:rsidRPr="00512804">
        <w:rPr>
          <w:rFonts w:ascii="Book Antiqua" w:hAnsi="Book Antiqua"/>
          <w:vertAlign w:val="superscript"/>
        </w:rPr>
        <w:t>[13,15,16,20,36,58-85]</w:t>
      </w:r>
      <w:r w:rsidRPr="00512804">
        <w:rPr>
          <w:rFonts w:ascii="Book Antiqua" w:hAnsi="Book Antiqua"/>
        </w:rPr>
        <w:t>. Salient clinico-demographic features of GBS are summarized in Tables 3 and 4. The mean age of the patients was 51.16 years with an M:F of 2.42:1. Genotyping was performed in 13 cases. All patients, except three, were GT3.</w:t>
      </w:r>
      <w:r w:rsidRPr="00512804">
        <w:rPr>
          <w:rFonts w:ascii="Book Antiqua" w:hAnsi="Book Antiqua"/>
          <w:b/>
          <w:bCs/>
        </w:rPr>
        <w:t xml:space="preserve"> </w:t>
      </w:r>
      <w:r w:rsidRPr="00512804">
        <w:rPr>
          <w:rFonts w:ascii="Book Antiqua" w:hAnsi="Book Antiqua"/>
        </w:rPr>
        <w:t>HEV-associated GBS is most commonly reported in Europe and Southeast Asia, followed by East Asia and China. The patients most commonly presented with acute inflammatory demyelinating polyneuropathy.</w:t>
      </w:r>
      <w:r w:rsidRPr="00512804">
        <w:rPr>
          <w:rFonts w:ascii="Book Antiqua" w:hAnsi="Book Antiqua"/>
          <w:b/>
          <w:bCs/>
        </w:rPr>
        <w:t xml:space="preserve"> </w:t>
      </w:r>
      <w:r w:rsidRPr="00512804">
        <w:rPr>
          <w:rFonts w:ascii="Book Antiqua" w:hAnsi="Book Antiqua"/>
        </w:rPr>
        <w:t>The majority of patients (82%) had normal bilirubin levels, and ALT levels widely varied (</w:t>
      </w:r>
      <w:r w:rsidRPr="00512804">
        <w:rPr>
          <w:rFonts w:ascii="Book Antiqua" w:hAnsi="Book Antiqua"/>
          <w:lang w:val="it-IT"/>
        </w:rPr>
        <w:t xml:space="preserve">median </w:t>
      </w:r>
      <w:r w:rsidRPr="00512804">
        <w:rPr>
          <w:rFonts w:ascii="Book Antiqua" w:hAnsi="Book Antiqua"/>
        </w:rPr>
        <w:t xml:space="preserve">[range]: 1950 [57-4502] IU/L). HEV RNA was detected in serum in 20 cases, while HEV RNA was detected in CSF in 3 cases. Further, anti-ganglioside antibodies were documented in nine patients. Patients were mainly treated with supportive measures, including IVIG and physiotherapy. The follow-up details of 38 of 61 patients were available. Complete recovery was seen in only 23 patients. Partial recovery was noted in 14 patients and </w:t>
      </w:r>
      <w:r w:rsidRPr="00512804">
        <w:rPr>
          <w:rFonts w:ascii="Book Antiqua" w:hAnsi="Book Antiqua"/>
          <w:lang w:val="ru-RU"/>
        </w:rPr>
        <w:t xml:space="preserve">1 </w:t>
      </w:r>
      <w:r w:rsidRPr="00512804">
        <w:rPr>
          <w:rFonts w:ascii="Book Antiqua" w:hAnsi="Book Antiqua"/>
        </w:rPr>
        <w:t>patient died.</w:t>
      </w:r>
    </w:p>
    <w:p w14:paraId="2456C95F" w14:textId="77777777" w:rsidR="00B4314C" w:rsidRPr="00512804" w:rsidRDefault="00B4314C">
      <w:pPr>
        <w:pStyle w:val="BodyA"/>
        <w:spacing w:line="360" w:lineRule="auto"/>
        <w:jc w:val="both"/>
      </w:pPr>
    </w:p>
    <w:p w14:paraId="3077F73D" w14:textId="77777777" w:rsidR="00B4314C" w:rsidRPr="00512804" w:rsidRDefault="0027755F">
      <w:pPr>
        <w:pStyle w:val="BodyA"/>
        <w:spacing w:line="360" w:lineRule="auto"/>
        <w:jc w:val="both"/>
        <w:rPr>
          <w:lang w:val="nl-NL"/>
        </w:rPr>
      </w:pPr>
      <w:r w:rsidRPr="00512804">
        <w:rPr>
          <w:rFonts w:ascii="Book Antiqua" w:hAnsi="Book Antiqua"/>
          <w:b/>
          <w:bCs/>
          <w:caps/>
          <w:u w:val="single"/>
          <w:lang w:val="nl-NL"/>
        </w:rPr>
        <w:t>CNS Disorders</w:t>
      </w:r>
    </w:p>
    <w:p w14:paraId="05549BB5" w14:textId="2E5ED994" w:rsidR="00B4314C" w:rsidRPr="00512804" w:rsidRDefault="0027755F">
      <w:pPr>
        <w:pStyle w:val="BodyA"/>
        <w:spacing w:line="360" w:lineRule="auto"/>
        <w:jc w:val="both"/>
      </w:pPr>
      <w:r w:rsidRPr="00512804">
        <w:rPr>
          <w:rFonts w:ascii="Book Antiqua" w:hAnsi="Book Antiqua"/>
        </w:rPr>
        <w:t>The association between HEV infection and CNS disorders, including meningoencephalitis, cerebral ischemia, seizure, and transverse myelitis was reported in a few case r</w:t>
      </w:r>
      <w:r w:rsidRPr="00512804">
        <w:rPr>
          <w:rFonts w:ascii="Book Antiqua" w:hAnsi="Book Antiqua"/>
        </w:rPr>
        <w:t>e</w:t>
      </w:r>
      <w:r w:rsidRPr="00512804">
        <w:rPr>
          <w:rFonts w:ascii="Book Antiqua" w:hAnsi="Book Antiqua"/>
        </w:rPr>
        <w:t>ports. Meningoencephalitis was reported in six cases with acute HEV infection (mean age: 44 years; M:F = 1:1)</w:t>
      </w:r>
      <w:r w:rsidRPr="00512804">
        <w:rPr>
          <w:rFonts w:ascii="Book Antiqua" w:hAnsi="Book Antiqua"/>
          <w:vertAlign w:val="superscript"/>
        </w:rPr>
        <w:t>[17,20,35,86,87]</w:t>
      </w:r>
      <w:r w:rsidRPr="00512804">
        <w:rPr>
          <w:rFonts w:ascii="Book Antiqua" w:hAnsi="Book Antiqua"/>
        </w:rPr>
        <w:t>. Genotyping done in two cases revealed GT3, and all patients were anicteric. The median (range) ALT was 142 (20-479) IU/L. HEV RNA was detected in serum in all patients, except one. CSF examination for HEV RNA performed in four cases revealed the presence of HEV RNA in two cases. Of the six cases, complete recovery was seen in five.</w:t>
      </w:r>
    </w:p>
    <w:p w14:paraId="19E6193E" w14:textId="77777777" w:rsidR="00B4314C" w:rsidRPr="00512804" w:rsidRDefault="0027755F">
      <w:pPr>
        <w:pStyle w:val="BodyA"/>
        <w:spacing w:line="360" w:lineRule="auto"/>
        <w:ind w:firstLine="240"/>
        <w:jc w:val="both"/>
      </w:pPr>
      <w:r w:rsidRPr="00512804">
        <w:rPr>
          <w:rFonts w:ascii="Book Antiqua" w:hAnsi="Book Antiqua"/>
        </w:rPr>
        <w:t>Cerebral ischemia was reported in six cases</w:t>
      </w:r>
      <w:r w:rsidRPr="00512804">
        <w:rPr>
          <w:rFonts w:ascii="Book Antiqua" w:hAnsi="Book Antiqua"/>
          <w:vertAlign w:val="superscript"/>
        </w:rPr>
        <w:t>[17,20]</w:t>
      </w:r>
      <w:r w:rsidRPr="00512804">
        <w:rPr>
          <w:rFonts w:ascii="Book Antiqua" w:hAnsi="Book Antiqua"/>
        </w:rPr>
        <w:t>, and all patients were anicteric. Serum HEV RNA was detected in four patients with cerebral ischemia. However, HEV RNA was not detected in CSF. Seizures were reported in two cases with HEV infection</w:t>
      </w:r>
      <w:r w:rsidRPr="00512804">
        <w:rPr>
          <w:rFonts w:ascii="Book Antiqua" w:hAnsi="Book Antiqua"/>
          <w:vertAlign w:val="superscript"/>
        </w:rPr>
        <w:t>[17]</w:t>
      </w:r>
      <w:r w:rsidRPr="00512804">
        <w:rPr>
          <w:rFonts w:ascii="Book Antiqua" w:hAnsi="Book Antiqua"/>
        </w:rPr>
        <w:t>. Transverse myelitis was reported in an anicteric patient with acute HEV (GT3) infection, and HEV RNA was detected in both serum and CSF</w:t>
      </w:r>
      <w:r w:rsidRPr="00512804">
        <w:rPr>
          <w:rFonts w:ascii="Book Antiqua" w:hAnsi="Book Antiqua"/>
          <w:vertAlign w:val="superscript"/>
        </w:rPr>
        <w:t>[88]</w:t>
      </w:r>
      <w:r w:rsidRPr="00512804">
        <w:rPr>
          <w:rFonts w:ascii="Book Antiqua" w:hAnsi="Book Antiqua"/>
        </w:rPr>
        <w:t>.</w:t>
      </w:r>
    </w:p>
    <w:p w14:paraId="2B6312A0" w14:textId="77777777" w:rsidR="00B4314C" w:rsidRPr="00512804" w:rsidRDefault="00B4314C">
      <w:pPr>
        <w:pStyle w:val="BodyA"/>
        <w:spacing w:line="360" w:lineRule="auto"/>
        <w:jc w:val="both"/>
      </w:pPr>
    </w:p>
    <w:p w14:paraId="12CE5952" w14:textId="77777777" w:rsidR="00B4314C" w:rsidRPr="00512804" w:rsidRDefault="0027755F">
      <w:pPr>
        <w:pStyle w:val="BodyA"/>
        <w:spacing w:line="360" w:lineRule="auto"/>
        <w:jc w:val="both"/>
      </w:pPr>
      <w:r w:rsidRPr="00512804">
        <w:rPr>
          <w:rFonts w:ascii="Book Antiqua" w:hAnsi="Book Antiqua"/>
          <w:b/>
          <w:bCs/>
          <w:caps/>
          <w:u w:val="single"/>
        </w:rPr>
        <w:t>Neuropathies</w:t>
      </w:r>
    </w:p>
    <w:p w14:paraId="1145666C" w14:textId="77777777" w:rsidR="00B4314C" w:rsidRPr="00512804" w:rsidRDefault="0027755F">
      <w:pPr>
        <w:pStyle w:val="BodyA"/>
        <w:spacing w:line="360" w:lineRule="auto"/>
        <w:jc w:val="both"/>
      </w:pPr>
      <w:r w:rsidRPr="00512804">
        <w:rPr>
          <w:rFonts w:ascii="Book Antiqua" w:hAnsi="Book Antiqua"/>
        </w:rPr>
        <w:t>The association between HEV infection and neuropathy was reported in case series and reports. Mononeuritis multiplex, defined by asymmetric, asynchronous involvement of the noncontiguous nerve trunks has been documented in six patients with acute HEV infection (GT3) from France (mean age: 53.16 years; M:F = 1:1)</w:t>
      </w:r>
      <w:r w:rsidRPr="00512804">
        <w:rPr>
          <w:rFonts w:ascii="Book Antiqua" w:hAnsi="Book Antiqua"/>
          <w:vertAlign w:val="superscript"/>
        </w:rPr>
        <w:t>[36]</w:t>
      </w:r>
      <w:r w:rsidRPr="00512804">
        <w:rPr>
          <w:rFonts w:ascii="Book Antiqua" w:hAnsi="Book Antiqua"/>
        </w:rPr>
        <w:t>. All patients presented with neuropathic pain and paresthesia in multiple sites with hyporeflexia or areflexia, and all patients, except one, were anicteric. The median (range) ALT was 188 (118-3641) IU/L. HEV RNA was detected in serum in four cases. All patients, except one, had a complete recovery.</w:t>
      </w:r>
    </w:p>
    <w:p w14:paraId="2E770996" w14:textId="77777777" w:rsidR="00B4314C" w:rsidRPr="00512804" w:rsidRDefault="0027755F">
      <w:pPr>
        <w:pStyle w:val="BodyA"/>
        <w:spacing w:line="360" w:lineRule="auto"/>
        <w:ind w:firstLine="240"/>
        <w:jc w:val="both"/>
      </w:pPr>
      <w:r w:rsidRPr="00512804">
        <w:rPr>
          <w:rFonts w:ascii="Book Antiqua" w:hAnsi="Book Antiqua"/>
        </w:rPr>
        <w:t>Peripheral neuropathy and small fiber neuropathy were reported in five cases, mostly from Europe (4/5; mean age: 57.4 years; M:F = 3:2)</w:t>
      </w:r>
      <w:r w:rsidRPr="00512804">
        <w:rPr>
          <w:rFonts w:ascii="Book Antiqua" w:hAnsi="Book Antiqua"/>
          <w:vertAlign w:val="superscript"/>
        </w:rPr>
        <w:t>[16,20,89]</w:t>
      </w:r>
      <w:r w:rsidRPr="00512804">
        <w:rPr>
          <w:rFonts w:ascii="Book Antiqua" w:hAnsi="Book Antiqua"/>
        </w:rPr>
        <w:t>. Genotyping done in two cases revealed GT3. Patients presented with neuropathic pain, paresthesia and weakness of limbs. All patients, except one, were anicteric. Median (range) ALT was 285 (30-1606) IU/L. HEV RNA was detected in serum in all five cases. HEV RNA was detected in CSF in two cases. Out of five, complete recovery was seen in two-cases only.</w:t>
      </w:r>
    </w:p>
    <w:p w14:paraId="27B79CDB" w14:textId="77777777" w:rsidR="00B4314C" w:rsidRPr="00512804" w:rsidRDefault="00B4314C">
      <w:pPr>
        <w:pStyle w:val="BodyA"/>
        <w:spacing w:line="360" w:lineRule="auto"/>
        <w:jc w:val="both"/>
      </w:pPr>
    </w:p>
    <w:p w14:paraId="4A093D79" w14:textId="77777777" w:rsidR="00B4314C" w:rsidRPr="00512804" w:rsidRDefault="0027755F">
      <w:pPr>
        <w:pStyle w:val="BodyA"/>
        <w:spacing w:line="360" w:lineRule="auto"/>
        <w:jc w:val="both"/>
      </w:pPr>
      <w:r w:rsidRPr="00512804">
        <w:rPr>
          <w:rFonts w:ascii="Book Antiqua" w:hAnsi="Book Antiqua"/>
          <w:b/>
          <w:bCs/>
          <w:caps/>
          <w:u w:val="single"/>
        </w:rPr>
        <w:t>Cranial Neuropathies</w:t>
      </w:r>
    </w:p>
    <w:p w14:paraId="5F882279" w14:textId="77777777" w:rsidR="00B4314C" w:rsidRPr="00512804" w:rsidRDefault="0027755F">
      <w:pPr>
        <w:pStyle w:val="BodyA"/>
        <w:spacing w:line="360" w:lineRule="auto"/>
        <w:jc w:val="both"/>
      </w:pPr>
      <w:r w:rsidRPr="00512804">
        <w:rPr>
          <w:rFonts w:ascii="Book Antiqua" w:hAnsi="Book Antiqua"/>
        </w:rPr>
        <w:t>Cranial nerve involvement was seen in five patients with acute HEV infection (mean age: 53 years; M:F = 4:1)</w:t>
      </w:r>
      <w:r w:rsidRPr="00512804">
        <w:rPr>
          <w:rFonts w:ascii="Book Antiqua" w:hAnsi="Book Antiqua"/>
          <w:vertAlign w:val="superscript"/>
        </w:rPr>
        <w:t>[16,17,90-92]</w:t>
      </w:r>
      <w:r w:rsidRPr="00512804">
        <w:rPr>
          <w:rFonts w:ascii="Book Antiqua" w:hAnsi="Book Antiqua"/>
        </w:rPr>
        <w:t>. Cases were reported from Europe (</w:t>
      </w:r>
      <w:r w:rsidRPr="00512804">
        <w:rPr>
          <w:rFonts w:ascii="Book Antiqua" w:hAnsi="Book Antiqua"/>
          <w:i/>
          <w:iCs/>
        </w:rPr>
        <w:t>n</w:t>
      </w:r>
      <w:r w:rsidRPr="00512804">
        <w:rPr>
          <w:rFonts w:ascii="Book Antiqua" w:hAnsi="Book Antiqua"/>
        </w:rPr>
        <w:t xml:space="preserve"> = 2), India (</w:t>
      </w:r>
      <w:r w:rsidRPr="00512804">
        <w:rPr>
          <w:rFonts w:ascii="Book Antiqua" w:hAnsi="Book Antiqua"/>
          <w:i/>
          <w:iCs/>
        </w:rPr>
        <w:t>n</w:t>
      </w:r>
      <w:r w:rsidRPr="00512804">
        <w:rPr>
          <w:rFonts w:ascii="Book Antiqua" w:hAnsi="Book Antiqua"/>
        </w:rPr>
        <w:t xml:space="preserve"> = 2), and Japan (</w:t>
      </w:r>
      <w:r w:rsidRPr="00512804">
        <w:rPr>
          <w:rFonts w:ascii="Book Antiqua" w:hAnsi="Book Antiqua"/>
          <w:i/>
          <w:iCs/>
        </w:rPr>
        <w:t>n</w:t>
      </w:r>
      <w:r w:rsidRPr="00512804">
        <w:rPr>
          <w:rFonts w:ascii="Book Antiqua" w:hAnsi="Book Antiqua"/>
        </w:rPr>
        <w:t xml:space="preserve"> = 1) respectively. Isolated facial nerve palsy (Bell’s palsy) and vestibular nerve involvement were seen in three and one patient respectively. Combined facial nerve and vestibular nerve involvement was noted in one patient. All patients were anicteric. Median (range) ALT was 1200 (60-3866) IU/L. HEV RNA was detected in serum in two cases. Genotyping was done in two cases and revealed GT3 and GT4 (Europe: GT1; Japan: GT4). CSF examination for HEV RNA was performed in none of the patients, and complete recovery was observed in all.</w:t>
      </w:r>
    </w:p>
    <w:p w14:paraId="049F5BCB" w14:textId="77777777" w:rsidR="00B4314C" w:rsidRPr="00512804" w:rsidRDefault="00B4314C">
      <w:pPr>
        <w:pStyle w:val="BodyA"/>
        <w:spacing w:line="360" w:lineRule="auto"/>
        <w:jc w:val="both"/>
      </w:pPr>
    </w:p>
    <w:p w14:paraId="70913A6F" w14:textId="77777777" w:rsidR="00B4314C" w:rsidRPr="00512804" w:rsidRDefault="0027755F">
      <w:pPr>
        <w:pStyle w:val="BodyA"/>
        <w:spacing w:line="360" w:lineRule="auto"/>
        <w:jc w:val="both"/>
      </w:pPr>
      <w:r w:rsidRPr="00512804">
        <w:rPr>
          <w:rFonts w:ascii="Book Antiqua" w:hAnsi="Book Antiqua"/>
          <w:b/>
          <w:bCs/>
          <w:caps/>
          <w:u w:val="single"/>
          <w:shd w:val="clear" w:color="auto" w:fill="FEFEFE"/>
        </w:rPr>
        <w:t xml:space="preserve">Neuromuscular Junction and </w:t>
      </w:r>
      <w:r w:rsidRPr="00512804">
        <w:rPr>
          <w:rFonts w:ascii="Book Antiqua" w:hAnsi="Book Antiqua"/>
          <w:b/>
          <w:bCs/>
          <w:caps/>
          <w:u w:val="single"/>
        </w:rPr>
        <w:t>Muscle Disorders</w:t>
      </w:r>
    </w:p>
    <w:p w14:paraId="0E7B9D4D" w14:textId="77777777" w:rsidR="00B4314C" w:rsidRPr="00512804" w:rsidRDefault="0027755F">
      <w:pPr>
        <w:pStyle w:val="BodyA"/>
        <w:spacing w:line="360" w:lineRule="auto"/>
        <w:jc w:val="both"/>
      </w:pPr>
      <w:r w:rsidRPr="00512804">
        <w:rPr>
          <w:rFonts w:ascii="Book Antiqua" w:hAnsi="Book Antiqua"/>
        </w:rPr>
        <w:t>Cases of myasthenia gravis (</w:t>
      </w:r>
      <w:r w:rsidRPr="00512804">
        <w:rPr>
          <w:rFonts w:ascii="Book Antiqua" w:hAnsi="Book Antiqua"/>
          <w:i/>
          <w:iCs/>
        </w:rPr>
        <w:t>n</w:t>
      </w:r>
      <w:r w:rsidRPr="00512804">
        <w:rPr>
          <w:rFonts w:ascii="Book Antiqua" w:hAnsi="Book Antiqua"/>
        </w:rPr>
        <w:t xml:space="preserve"> = 1) and myositis (</w:t>
      </w:r>
      <w:r w:rsidRPr="00512804">
        <w:rPr>
          <w:rFonts w:ascii="Book Antiqua" w:hAnsi="Book Antiqua"/>
          <w:i/>
          <w:iCs/>
        </w:rPr>
        <w:t>n</w:t>
      </w:r>
      <w:r w:rsidRPr="00512804">
        <w:rPr>
          <w:rFonts w:ascii="Book Antiqua" w:hAnsi="Book Antiqua"/>
        </w:rPr>
        <w:t xml:space="preserve"> = 1) were also reported in serum HEV RNA positive patients</w:t>
      </w:r>
      <w:r w:rsidRPr="00512804">
        <w:rPr>
          <w:rFonts w:ascii="Book Antiqua" w:hAnsi="Book Antiqua"/>
          <w:vertAlign w:val="superscript"/>
          <w:lang w:val="pt-PT"/>
        </w:rPr>
        <w:t>[18,93]</w:t>
      </w:r>
      <w:r w:rsidRPr="00512804">
        <w:rPr>
          <w:rFonts w:ascii="Book Antiqua" w:hAnsi="Book Antiqua"/>
        </w:rPr>
        <w:t>. However, HEV RNA was not detected in CSF.</w:t>
      </w:r>
    </w:p>
    <w:p w14:paraId="374E58E2" w14:textId="77777777" w:rsidR="00B4314C" w:rsidRPr="00512804" w:rsidRDefault="00B4314C">
      <w:pPr>
        <w:pStyle w:val="BodyA"/>
        <w:spacing w:line="360" w:lineRule="auto"/>
        <w:jc w:val="both"/>
      </w:pPr>
    </w:p>
    <w:p w14:paraId="53B49BA2" w14:textId="77777777" w:rsidR="00B4314C" w:rsidRPr="00512804" w:rsidRDefault="0027755F">
      <w:pPr>
        <w:pStyle w:val="BodyA"/>
        <w:spacing w:line="360" w:lineRule="auto"/>
        <w:jc w:val="both"/>
      </w:pPr>
      <w:r w:rsidRPr="00512804">
        <w:rPr>
          <w:rFonts w:ascii="Book Antiqua" w:hAnsi="Book Antiqua"/>
          <w:b/>
          <w:bCs/>
          <w:caps/>
          <w:u w:val="single"/>
        </w:rPr>
        <w:t>Other Neurological Disorders</w:t>
      </w:r>
    </w:p>
    <w:p w14:paraId="52C38545" w14:textId="07CDDFC1" w:rsidR="00B4314C" w:rsidRPr="00512804" w:rsidRDefault="0027755F">
      <w:pPr>
        <w:pStyle w:val="BodyA"/>
        <w:spacing w:line="360" w:lineRule="auto"/>
        <w:jc w:val="both"/>
      </w:pPr>
      <w:r w:rsidRPr="00512804">
        <w:rPr>
          <w:rFonts w:ascii="Book Antiqua" w:hAnsi="Book Antiqua"/>
        </w:rPr>
        <w:t>Meningoradiculitis refers to the combined involvement of meninges and nerve roots, and the lumbosacral region is the most common site of involvement. Etiology includes inflammatory, infectious, and neoplastic disorders. Recently, meningoradiculitis was reported in six patients with acute HEV infection from Europe</w:t>
      </w:r>
      <w:r w:rsidRPr="00512804">
        <w:rPr>
          <w:rFonts w:ascii="Book Antiqua" w:hAnsi="Book Antiqua"/>
          <w:vertAlign w:val="superscript"/>
          <w:lang w:val="pt-PT"/>
        </w:rPr>
        <w:t>[36,94,95]</w:t>
      </w:r>
      <w:r w:rsidRPr="00512804">
        <w:rPr>
          <w:rFonts w:ascii="Book Antiqua" w:hAnsi="Book Antiqua"/>
        </w:rPr>
        <w:t>. The mean age of patients was 53.33 years with M:F of 1:1. Genotyping was done in five cases and showed GT3. Patients mainly presented with arthromyalgia and asthenia. All patients, except one, were anicteric. Median (range) ALT was 406 (40-822) IU/L. HEV RNA was detected in serum in all six cases. HEV RNA was detected in CSF in four cases. Of the six, complete recovery was noted in five cases.</w:t>
      </w:r>
    </w:p>
    <w:p w14:paraId="31DC85BA" w14:textId="77777777" w:rsidR="00B4314C" w:rsidRPr="00512804" w:rsidRDefault="00B4314C">
      <w:pPr>
        <w:pStyle w:val="BodyA"/>
        <w:spacing w:line="360" w:lineRule="auto"/>
        <w:jc w:val="both"/>
      </w:pPr>
    </w:p>
    <w:p w14:paraId="74030C5B" w14:textId="77777777" w:rsidR="00B4314C" w:rsidRPr="00512804" w:rsidRDefault="0027755F">
      <w:pPr>
        <w:pStyle w:val="BodyA"/>
        <w:spacing w:line="360" w:lineRule="auto"/>
        <w:jc w:val="both"/>
      </w:pPr>
      <w:r w:rsidRPr="00512804">
        <w:rPr>
          <w:rFonts w:ascii="Book Antiqua" w:hAnsi="Book Antiqua"/>
          <w:b/>
          <w:bCs/>
          <w:caps/>
          <w:u w:val="single"/>
        </w:rPr>
        <w:t>DIAGNOSIS OF HEV INFECTION</w:t>
      </w:r>
    </w:p>
    <w:p w14:paraId="33FDEC74" w14:textId="77777777" w:rsidR="00B4314C" w:rsidRPr="00512804" w:rsidRDefault="0027755F">
      <w:pPr>
        <w:pStyle w:val="BodyA"/>
        <w:spacing w:line="360" w:lineRule="auto"/>
        <w:jc w:val="both"/>
      </w:pPr>
      <w:r w:rsidRPr="00512804">
        <w:rPr>
          <w:rFonts w:ascii="Book Antiqua" w:hAnsi="Book Antiqua"/>
        </w:rPr>
        <w:t>Acute HEV infection is diagnosed through the detection of serum and/or stool HEV RNA by polymerase chain reaction (PCR), serum anti-HEV immunoglobulin M, HEV antigen, and rising anti-HEV immunoglobulin G titer. A negative PCR does not exclude acute infection, and serology sometimes gives false negatives in the case of immunocompromised patients. Therefore, serology and PCR testing are best used in combination. Testing for HEV should be conducted in all patients with suspicion of acute hepatitis, immunosuppressed patients with unexplained deranged liver function tests (LFTs), and in patients with NA and GBS. Testing is also suggested in patients with unexplained ACLF, and encephalitis or myelitis. Moreover, testing for proteinuria is su</w:t>
      </w:r>
      <w:r w:rsidRPr="00512804">
        <w:rPr>
          <w:rFonts w:ascii="Book Antiqua" w:hAnsi="Book Antiqua"/>
        </w:rPr>
        <w:t>g</w:t>
      </w:r>
      <w:r w:rsidRPr="00512804">
        <w:rPr>
          <w:rFonts w:ascii="Book Antiqua" w:hAnsi="Book Antiqua"/>
        </w:rPr>
        <w:t>gested in HEV-infected patients</w:t>
      </w:r>
      <w:r w:rsidRPr="00512804">
        <w:rPr>
          <w:rFonts w:ascii="Book Antiqua" w:hAnsi="Book Antiqua"/>
          <w:vertAlign w:val="superscript"/>
        </w:rPr>
        <w:t>[5]</w:t>
      </w:r>
      <w:r w:rsidRPr="00512804">
        <w:rPr>
          <w:rFonts w:ascii="Book Antiqua" w:hAnsi="Book Antiqua"/>
        </w:rPr>
        <w:t>.</w:t>
      </w:r>
    </w:p>
    <w:p w14:paraId="2F64FF79" w14:textId="77777777" w:rsidR="00B4314C" w:rsidRPr="00512804" w:rsidRDefault="00B4314C">
      <w:pPr>
        <w:pStyle w:val="BodyA"/>
        <w:spacing w:line="360" w:lineRule="auto"/>
        <w:jc w:val="both"/>
      </w:pPr>
    </w:p>
    <w:p w14:paraId="50A99CEC" w14:textId="77777777" w:rsidR="00B4314C" w:rsidRPr="00512804" w:rsidRDefault="0027755F">
      <w:pPr>
        <w:pStyle w:val="BodyA"/>
        <w:spacing w:line="360" w:lineRule="auto"/>
        <w:jc w:val="both"/>
        <w:rPr>
          <w:lang w:val="de-DE"/>
        </w:rPr>
      </w:pPr>
      <w:r w:rsidRPr="00512804">
        <w:rPr>
          <w:rFonts w:ascii="Book Antiqua" w:hAnsi="Book Antiqua"/>
          <w:b/>
          <w:bCs/>
          <w:caps/>
          <w:u w:val="single"/>
          <w:lang w:val="de-DE"/>
        </w:rPr>
        <w:t>TREATMENT</w:t>
      </w:r>
    </w:p>
    <w:p w14:paraId="15F5ED04" w14:textId="77777777" w:rsidR="00B4314C" w:rsidRPr="00512804" w:rsidRDefault="0027755F">
      <w:pPr>
        <w:pStyle w:val="BodyA"/>
        <w:spacing w:line="360" w:lineRule="auto"/>
        <w:jc w:val="both"/>
      </w:pPr>
      <w:r w:rsidRPr="00512804">
        <w:rPr>
          <w:rFonts w:ascii="Book Antiqua" w:hAnsi="Book Antiqua"/>
        </w:rPr>
        <w:t>The HEV is spontaneously cleared in almost all patients with acute infection. Therefore, acute hepatitis does not require antiviral therapy. In a few case studies, ribavirin treatment of severe acute HEV infection showed rapid normalization of liver enzymes and viremia. Therefore, ribavirin treatment may be considered in cases of severe acute hep</w:t>
      </w:r>
      <w:r w:rsidRPr="00512804">
        <w:rPr>
          <w:rFonts w:ascii="Book Antiqua" w:hAnsi="Book Antiqua"/>
        </w:rPr>
        <w:t>a</w:t>
      </w:r>
      <w:r w:rsidRPr="00512804">
        <w:rPr>
          <w:rFonts w:ascii="Book Antiqua" w:hAnsi="Book Antiqua"/>
        </w:rPr>
        <w:t>titis E or ACLF</w:t>
      </w:r>
      <w:r w:rsidRPr="00512804">
        <w:rPr>
          <w:rFonts w:ascii="Book Antiqua" w:hAnsi="Book Antiqua"/>
          <w:vertAlign w:val="superscript"/>
        </w:rPr>
        <w:t>[5,96]</w:t>
      </w:r>
      <w:r w:rsidRPr="00512804">
        <w:rPr>
          <w:rFonts w:ascii="Book Antiqua" w:hAnsi="Book Antiqua"/>
        </w:rPr>
        <w:t>. Antiviral treatment is also suggested for patients with chronic HEV infection, and HEV-associated glomerular disease. There is no sufficient evidence of ribavirin use in HEV-associated neurological disorders.</w:t>
      </w:r>
    </w:p>
    <w:p w14:paraId="16927FC8" w14:textId="77777777" w:rsidR="00B4314C" w:rsidRPr="00512804" w:rsidRDefault="00B4314C">
      <w:pPr>
        <w:pStyle w:val="BodyA"/>
        <w:spacing w:line="360" w:lineRule="auto"/>
        <w:jc w:val="both"/>
      </w:pPr>
    </w:p>
    <w:p w14:paraId="0D3CE085" w14:textId="77777777" w:rsidR="00B4314C" w:rsidRPr="00512804" w:rsidRDefault="0027755F">
      <w:pPr>
        <w:pStyle w:val="BodyA"/>
        <w:spacing w:line="360" w:lineRule="auto"/>
        <w:jc w:val="both"/>
      </w:pPr>
      <w:r w:rsidRPr="00512804">
        <w:rPr>
          <w:rFonts w:ascii="Book Antiqua" w:hAnsi="Book Antiqua"/>
          <w:b/>
          <w:bCs/>
          <w:caps/>
          <w:u w:val="single"/>
        </w:rPr>
        <w:t>PREVENTION</w:t>
      </w:r>
    </w:p>
    <w:p w14:paraId="737DFF04" w14:textId="77777777" w:rsidR="00B4314C" w:rsidRPr="00512804" w:rsidRDefault="0027755F">
      <w:pPr>
        <w:pStyle w:val="BodyA"/>
        <w:spacing w:line="360" w:lineRule="auto"/>
        <w:jc w:val="both"/>
      </w:pPr>
      <w:r w:rsidRPr="00512804">
        <w:rPr>
          <w:rFonts w:ascii="Book Antiqua" w:hAnsi="Book Antiqua"/>
        </w:rPr>
        <w:t xml:space="preserve">Several epidemiological factors associated with HEV infection are described in Table 1. HEV is principally transmitted </w:t>
      </w:r>
      <w:r w:rsidRPr="00512804">
        <w:rPr>
          <w:rFonts w:ascii="Book Antiqua" w:hAnsi="Book Antiqua"/>
          <w:i/>
          <w:iCs/>
          <w:lang w:val="it-IT"/>
        </w:rPr>
        <w:t>via</w:t>
      </w:r>
      <w:r w:rsidRPr="00512804">
        <w:rPr>
          <w:rFonts w:ascii="Book Antiqua" w:hAnsi="Book Antiqua"/>
        </w:rPr>
        <w:t xml:space="preserve"> the fecal-oral route due to fecal contamination of drinking water. As such, it has been detected in sewage water, rivers, pork liver sausages, shellfish, cattle milk, unpeeled fruit, strawberries, berries, salads, and leafy green vegetables. Poor hygiene, exposure to contaminated environments, consumption of raw meat, exposure to soil, travel to endemic areas, contact with farm animals and pets, li</w:t>
      </w:r>
      <w:r w:rsidRPr="00512804">
        <w:rPr>
          <w:rFonts w:ascii="Book Antiqua" w:hAnsi="Book Antiqua"/>
        </w:rPr>
        <w:t>v</w:t>
      </w:r>
      <w:r w:rsidRPr="00512804">
        <w:rPr>
          <w:rFonts w:ascii="Book Antiqua" w:hAnsi="Book Antiqua"/>
        </w:rPr>
        <w:t>ing in rural areas, and receiving lower levels of education were identified as risk factors for HEV infection. Transmission from infected blood products and vertical transmission are other modes of transmission</w:t>
      </w:r>
      <w:r w:rsidRPr="00512804">
        <w:rPr>
          <w:rFonts w:ascii="Book Antiqua" w:hAnsi="Book Antiqua"/>
          <w:vertAlign w:val="superscript"/>
        </w:rPr>
        <w:t>[13]</w:t>
      </w:r>
      <w:r w:rsidRPr="00512804">
        <w:rPr>
          <w:rFonts w:ascii="Book Antiqua" w:hAnsi="Book Antiqua"/>
        </w:rPr>
        <w:t>. The spread of HEV can be reduced by maintaining quality standards for public water supplies, ensuring proper disposal of human faces, maintaining individual hygienic practices, and avoiding consumption of foods of u</w:t>
      </w:r>
      <w:r w:rsidRPr="00512804">
        <w:rPr>
          <w:rFonts w:ascii="Book Antiqua" w:hAnsi="Book Antiqua"/>
        </w:rPr>
        <w:t>n</w:t>
      </w:r>
      <w:r w:rsidRPr="00512804">
        <w:rPr>
          <w:rFonts w:ascii="Book Antiqua" w:hAnsi="Book Antiqua"/>
        </w:rPr>
        <w:t>known purity. A recombinant subunit vaccine demonstrated efficacy against HEV infection. However, no vaccine is commercially available yet for this infection, except in China.</w:t>
      </w:r>
    </w:p>
    <w:p w14:paraId="43AD3F34" w14:textId="77777777" w:rsidR="00B4314C" w:rsidRPr="00512804" w:rsidRDefault="00B4314C">
      <w:pPr>
        <w:pStyle w:val="BodyA"/>
        <w:spacing w:line="360" w:lineRule="auto"/>
        <w:jc w:val="both"/>
      </w:pPr>
    </w:p>
    <w:p w14:paraId="685E8661" w14:textId="77777777" w:rsidR="00B4314C" w:rsidRPr="00512804" w:rsidRDefault="0027755F">
      <w:pPr>
        <w:pStyle w:val="BodyA"/>
        <w:spacing w:line="360" w:lineRule="auto"/>
        <w:jc w:val="both"/>
      </w:pPr>
      <w:r w:rsidRPr="00512804">
        <w:rPr>
          <w:rFonts w:ascii="Book Antiqua" w:hAnsi="Book Antiqua"/>
          <w:b/>
          <w:bCs/>
          <w:caps/>
          <w:u w:val="single"/>
        </w:rPr>
        <w:t>CONCLUSION</w:t>
      </w:r>
    </w:p>
    <w:p w14:paraId="0D5624F0" w14:textId="77777777" w:rsidR="00B4314C" w:rsidRPr="00512804" w:rsidRDefault="0027755F">
      <w:pPr>
        <w:pStyle w:val="BodyA"/>
        <w:spacing w:line="360" w:lineRule="auto"/>
        <w:jc w:val="both"/>
      </w:pPr>
      <w:r w:rsidRPr="00512804">
        <w:rPr>
          <w:rFonts w:ascii="Book Antiqua" w:hAnsi="Book Antiqua"/>
        </w:rPr>
        <w:t>The neurologic manifestations of HEV infection are increasingly recognized worldwide, especially in Europe and Southeast Asia. Nerve root and plexus disorder (NA and GBS) are the most commonly reported diseases followed by meningoencephalitis. NA, GBS, and meningoencephalitis appear to be causally associated with HEV-infection. Further, GT3 is the most common GT identified in these patients. The majority of patients present without jaundice. However, the absence of jaundice and normal LFTs can mislead the physician. Thus, detailed neurological evaluation is warranted in patients with HEV infection and neurological symptoms. Patients with neurological disorders and d</w:t>
      </w:r>
      <w:r w:rsidRPr="00512804">
        <w:rPr>
          <w:rFonts w:ascii="Book Antiqua" w:hAnsi="Book Antiqua"/>
        </w:rPr>
        <w:t>e</w:t>
      </w:r>
      <w:r w:rsidRPr="00512804">
        <w:rPr>
          <w:rFonts w:ascii="Book Antiqua" w:hAnsi="Book Antiqua"/>
        </w:rPr>
        <w:t>ranged LFTs require further investigation to diagnose HEV infection. Testing for HEV in patients with neurological disorders and unexplained etiology can also be rewarding. Finally, there is no sufficient evidence of routine use of an anti-viral agent in HEV-related neurological disorders.</w:t>
      </w:r>
    </w:p>
    <w:p w14:paraId="3CD3BBAB" w14:textId="77777777" w:rsidR="00B4314C" w:rsidRPr="00512804" w:rsidRDefault="00B4314C">
      <w:pPr>
        <w:pStyle w:val="BodyA"/>
        <w:spacing w:line="360" w:lineRule="auto"/>
        <w:jc w:val="both"/>
      </w:pPr>
    </w:p>
    <w:p w14:paraId="21D3569B" w14:textId="77777777" w:rsidR="00B4314C" w:rsidRPr="00512804" w:rsidRDefault="0027755F">
      <w:pPr>
        <w:pStyle w:val="BodyA"/>
        <w:spacing w:line="360" w:lineRule="auto"/>
        <w:jc w:val="both"/>
        <w:rPr>
          <w:lang w:val="de-DE"/>
        </w:rPr>
      </w:pPr>
      <w:r w:rsidRPr="00512804">
        <w:rPr>
          <w:rFonts w:ascii="Book Antiqua" w:hAnsi="Book Antiqua"/>
          <w:b/>
          <w:bCs/>
          <w:lang w:val="de-DE"/>
        </w:rPr>
        <w:t>REFERENCES</w:t>
      </w:r>
    </w:p>
    <w:p w14:paraId="43AE36B9" w14:textId="77777777" w:rsidR="00B4314C" w:rsidRPr="00512804" w:rsidRDefault="0027755F">
      <w:pPr>
        <w:pStyle w:val="BodyA"/>
        <w:spacing w:line="360" w:lineRule="auto"/>
        <w:jc w:val="both"/>
      </w:pPr>
      <w:r w:rsidRPr="00512804">
        <w:rPr>
          <w:rFonts w:ascii="Book Antiqua" w:hAnsi="Book Antiqua"/>
          <w:lang w:val="ru-RU"/>
        </w:rPr>
        <w:t xml:space="preserve">1 </w:t>
      </w:r>
      <w:r w:rsidRPr="00512804">
        <w:rPr>
          <w:rFonts w:ascii="Book Antiqua" w:hAnsi="Book Antiqua"/>
          <w:b/>
          <w:bCs/>
        </w:rPr>
        <w:t>Purdy MA</w:t>
      </w:r>
      <w:r w:rsidRPr="00512804">
        <w:rPr>
          <w:rFonts w:ascii="Book Antiqua" w:hAnsi="Book Antiqua"/>
          <w:lang w:val="de-DE"/>
        </w:rPr>
        <w:t xml:space="preserve">, Harrison TJ, Jameel S, Meng XJ, Okamoto H, Van der Poel WHM, Smith DB, Ictv Report Consortium. ICTV Virus Taxonomy Profile: Hepeviridae. </w:t>
      </w:r>
      <w:r w:rsidRPr="00512804">
        <w:rPr>
          <w:rFonts w:ascii="Book Antiqua" w:hAnsi="Book Antiqua"/>
          <w:i/>
          <w:iCs/>
        </w:rPr>
        <w:t>J Gen Virol</w:t>
      </w:r>
      <w:r w:rsidRPr="00512804">
        <w:rPr>
          <w:rFonts w:ascii="Book Antiqua" w:hAnsi="Book Antiqua"/>
        </w:rPr>
        <w:t xml:space="preserve"> 2017; </w:t>
      </w:r>
      <w:r w:rsidRPr="00512804">
        <w:rPr>
          <w:rFonts w:ascii="Book Antiqua" w:hAnsi="Book Antiqua"/>
          <w:b/>
          <w:bCs/>
        </w:rPr>
        <w:t>98</w:t>
      </w:r>
      <w:r w:rsidRPr="00512804">
        <w:rPr>
          <w:rFonts w:ascii="Book Antiqua" w:hAnsi="Book Antiqua"/>
          <w:lang w:val="pt-PT"/>
        </w:rPr>
        <w:t>: 2645-2646 [PMID: 29022866 DOI: 10.1099/jgv.0.000940]</w:t>
      </w:r>
    </w:p>
    <w:p w14:paraId="0D763CD0" w14:textId="77777777" w:rsidR="00B4314C" w:rsidRPr="00512804" w:rsidRDefault="0027755F" w:rsidP="0023617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 w:rsidRPr="00512804">
        <w:rPr>
          <w:rFonts w:ascii="Book Antiqua" w:hAnsi="Book Antiqua"/>
        </w:rPr>
        <w:t xml:space="preserve">2 </w:t>
      </w:r>
      <w:r w:rsidRPr="00512804">
        <w:rPr>
          <w:rFonts w:ascii="Book Antiqua" w:hAnsi="Book Antiqua"/>
          <w:b/>
          <w:bCs/>
        </w:rPr>
        <w:t>Li P</w:t>
      </w:r>
      <w:r w:rsidRPr="00512804">
        <w:rPr>
          <w:rFonts w:ascii="Book Antiqua" w:hAnsi="Book Antiqua"/>
        </w:rPr>
        <w:t xml:space="preserve">, Liu J, Li Y, Su J, Ma Z, Bramer WM, Cao W, de Man RA, Peppelenbosch MP, Pan Q. The global epidemiology of hepatitis E virus infection: A systematic review and meta-analysis. </w:t>
      </w:r>
      <w:r w:rsidRPr="00512804">
        <w:rPr>
          <w:rFonts w:ascii="Book Antiqua" w:hAnsi="Book Antiqua"/>
          <w:i/>
          <w:iCs/>
          <w:lang w:val="de-DE"/>
        </w:rPr>
        <w:t>Liver Int</w:t>
      </w:r>
      <w:r w:rsidRPr="00512804">
        <w:rPr>
          <w:rFonts w:ascii="Book Antiqua" w:hAnsi="Book Antiqua"/>
        </w:rPr>
        <w:t xml:space="preserve"> 2020; </w:t>
      </w:r>
      <w:r w:rsidRPr="00512804">
        <w:rPr>
          <w:rFonts w:ascii="Book Antiqua" w:hAnsi="Book Antiqua"/>
          <w:b/>
          <w:bCs/>
        </w:rPr>
        <w:t>40</w:t>
      </w:r>
      <w:r w:rsidRPr="00512804">
        <w:rPr>
          <w:rFonts w:ascii="Book Antiqua" w:hAnsi="Book Antiqua"/>
          <w:lang w:val="pt-PT"/>
        </w:rPr>
        <w:t>: 1516-1528 [PMID: 32281721 DOI: 10.1111/liv.14468]</w:t>
      </w:r>
    </w:p>
    <w:p w14:paraId="0C07B6BB" w14:textId="77777777" w:rsidR="00B4314C" w:rsidRPr="00512804" w:rsidRDefault="0027755F" w:rsidP="0023617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 w:rsidRPr="00512804">
        <w:rPr>
          <w:rFonts w:ascii="Book Antiqua" w:hAnsi="Book Antiqua"/>
        </w:rPr>
        <w:t xml:space="preserve">3 </w:t>
      </w:r>
      <w:r w:rsidRPr="00512804">
        <w:rPr>
          <w:rFonts w:ascii="Book Antiqua" w:hAnsi="Book Antiqua"/>
          <w:b/>
          <w:bCs/>
        </w:rPr>
        <w:t>World Health Organization</w:t>
      </w:r>
      <w:r w:rsidRPr="00512804">
        <w:rPr>
          <w:rFonts w:ascii="Book Antiqua" w:hAnsi="Book Antiqua"/>
        </w:rPr>
        <w:t>. Viral hepatitis in the WHO South-East Asia Region. [cited 15 November 2020]. In: World Health Organization [Internet]. Available from: https://apps.who.int/iris/handle/10665/206521</w:t>
      </w:r>
    </w:p>
    <w:p w14:paraId="1EF9DC22" w14:textId="77777777" w:rsidR="00B4314C" w:rsidRPr="00512804" w:rsidRDefault="0027755F">
      <w:pPr>
        <w:pStyle w:val="BodyA"/>
        <w:spacing w:line="360" w:lineRule="auto"/>
        <w:jc w:val="both"/>
      </w:pPr>
      <w:r w:rsidRPr="00512804">
        <w:rPr>
          <w:rFonts w:ascii="Book Antiqua" w:hAnsi="Book Antiqua"/>
        </w:rPr>
        <w:t xml:space="preserve">4 </w:t>
      </w:r>
      <w:r w:rsidRPr="00512804">
        <w:rPr>
          <w:rFonts w:ascii="Book Antiqua" w:hAnsi="Book Antiqua"/>
          <w:b/>
          <w:bCs/>
          <w:lang w:val="nl-NL"/>
        </w:rPr>
        <w:t>Kamar N</w:t>
      </w:r>
      <w:r w:rsidRPr="00512804">
        <w:rPr>
          <w:rFonts w:ascii="Book Antiqua" w:hAnsi="Book Antiqua"/>
          <w:lang w:val="it-IT"/>
        </w:rPr>
        <w:t>, Selves J, Mansuy JM, Ouezzani L, P</w:t>
      </w:r>
      <w:r w:rsidRPr="00512804">
        <w:rPr>
          <w:rFonts w:ascii="Book Antiqua" w:hAnsi="Book Antiqua"/>
        </w:rPr>
        <w:t>éron JM, Guitard J, Cointault O, Esposito L, Abravanel F, Danjoux M, Durand D, Vinel JP, Izopet J, Rostaing L. Hepatitis E v</w:t>
      </w:r>
      <w:r w:rsidRPr="00512804">
        <w:rPr>
          <w:rFonts w:ascii="Book Antiqua" w:hAnsi="Book Antiqua"/>
        </w:rPr>
        <w:t>i</w:t>
      </w:r>
      <w:r w:rsidRPr="00512804">
        <w:rPr>
          <w:rFonts w:ascii="Book Antiqua" w:hAnsi="Book Antiqua"/>
        </w:rPr>
        <w:t xml:space="preserve">rus and chronic hepatitis in organ-transplant recipients. </w:t>
      </w:r>
      <w:r w:rsidRPr="00512804">
        <w:rPr>
          <w:rFonts w:ascii="Book Antiqua" w:hAnsi="Book Antiqua"/>
          <w:i/>
          <w:iCs/>
        </w:rPr>
        <w:t>N Engl J Med</w:t>
      </w:r>
      <w:r w:rsidRPr="00512804">
        <w:rPr>
          <w:rFonts w:ascii="Book Antiqua" w:hAnsi="Book Antiqua"/>
        </w:rPr>
        <w:t xml:space="preserve"> 2008; </w:t>
      </w:r>
      <w:r w:rsidRPr="00512804">
        <w:rPr>
          <w:rFonts w:ascii="Book Antiqua" w:hAnsi="Book Antiqua"/>
          <w:b/>
          <w:bCs/>
          <w:lang w:val="ru-RU"/>
        </w:rPr>
        <w:t>358</w:t>
      </w:r>
      <w:r w:rsidRPr="00512804">
        <w:rPr>
          <w:rFonts w:ascii="Book Antiqua" w:hAnsi="Book Antiqua"/>
          <w:lang w:val="pt-PT"/>
        </w:rPr>
        <w:t>: 811-817 [PMID: 18287603 DOI: 10.1056/NEJMoa0706992]</w:t>
      </w:r>
    </w:p>
    <w:p w14:paraId="727EC0AB" w14:textId="77777777" w:rsidR="00B4314C" w:rsidRPr="00512804" w:rsidRDefault="0027755F">
      <w:pPr>
        <w:pStyle w:val="BodyA"/>
        <w:spacing w:line="360" w:lineRule="auto"/>
        <w:jc w:val="both"/>
      </w:pPr>
      <w:r w:rsidRPr="00512804">
        <w:rPr>
          <w:rFonts w:ascii="Book Antiqua" w:hAnsi="Book Antiqua"/>
        </w:rPr>
        <w:t xml:space="preserve">5 </w:t>
      </w:r>
      <w:r w:rsidRPr="00512804">
        <w:rPr>
          <w:rFonts w:ascii="Book Antiqua" w:hAnsi="Book Antiqua"/>
          <w:b/>
          <w:bCs/>
        </w:rPr>
        <w:t>European Association for the Study of the Liver</w:t>
      </w:r>
      <w:r w:rsidRPr="00512804">
        <w:rPr>
          <w:rFonts w:ascii="Book Antiqua" w:hAnsi="Book Antiqua"/>
        </w:rPr>
        <w:t xml:space="preserve">. EASL Clinical Practice Guidelines on hepatitis E virus infection. </w:t>
      </w:r>
      <w:r w:rsidRPr="00512804">
        <w:rPr>
          <w:rFonts w:ascii="Book Antiqua" w:hAnsi="Book Antiqua"/>
          <w:i/>
          <w:iCs/>
        </w:rPr>
        <w:t>J Hepatol</w:t>
      </w:r>
      <w:r w:rsidRPr="00512804">
        <w:rPr>
          <w:rFonts w:ascii="Book Antiqua" w:hAnsi="Book Antiqua"/>
        </w:rPr>
        <w:t xml:space="preserve"> 2018; </w:t>
      </w:r>
      <w:r w:rsidRPr="00512804">
        <w:rPr>
          <w:rFonts w:ascii="Book Antiqua" w:hAnsi="Book Antiqua"/>
          <w:b/>
          <w:bCs/>
        </w:rPr>
        <w:t>68</w:t>
      </w:r>
      <w:r w:rsidRPr="00512804">
        <w:rPr>
          <w:rFonts w:ascii="Book Antiqua" w:hAnsi="Book Antiqua"/>
          <w:lang w:val="pt-PT"/>
        </w:rPr>
        <w:t>: 1256-1271 [PMID: 29609832 DOI: 10.1016/j.jhep.2018.03.005]</w:t>
      </w:r>
    </w:p>
    <w:p w14:paraId="03B2426E" w14:textId="77777777" w:rsidR="00B4314C" w:rsidRPr="00512804" w:rsidRDefault="0027755F">
      <w:pPr>
        <w:pStyle w:val="BodyA"/>
        <w:spacing w:line="360" w:lineRule="auto"/>
        <w:jc w:val="both"/>
      </w:pPr>
      <w:r w:rsidRPr="00512804">
        <w:rPr>
          <w:rFonts w:ascii="Book Antiqua" w:hAnsi="Book Antiqua"/>
        </w:rPr>
        <w:t xml:space="preserve">6 </w:t>
      </w:r>
      <w:r w:rsidRPr="00512804">
        <w:rPr>
          <w:rFonts w:ascii="Book Antiqua" w:hAnsi="Book Antiqua"/>
          <w:b/>
          <w:bCs/>
        </w:rPr>
        <w:t>Jha AK</w:t>
      </w:r>
      <w:r w:rsidRPr="00512804">
        <w:rPr>
          <w:rFonts w:ascii="Book Antiqua" w:hAnsi="Book Antiqua"/>
        </w:rPr>
        <w:t xml:space="preserve">, Nijhawan S, Rai RR, Nepalia S, Jain P, Suchismita A. Etiology, clinical profile, and inhospital mortality of acute-on-chronic liver failure: a prospective study. </w:t>
      </w:r>
      <w:r w:rsidRPr="00512804">
        <w:rPr>
          <w:rFonts w:ascii="Book Antiqua" w:hAnsi="Book Antiqua"/>
          <w:i/>
          <w:iCs/>
          <w:lang w:val="nl-NL"/>
        </w:rPr>
        <w:t>Indian J Gastroenterol</w:t>
      </w:r>
      <w:r w:rsidRPr="00512804">
        <w:rPr>
          <w:rFonts w:ascii="Book Antiqua" w:hAnsi="Book Antiqua"/>
        </w:rPr>
        <w:t xml:space="preserve"> 2013; </w:t>
      </w:r>
      <w:r w:rsidRPr="00512804">
        <w:rPr>
          <w:rFonts w:ascii="Book Antiqua" w:hAnsi="Book Antiqua"/>
          <w:b/>
          <w:bCs/>
        </w:rPr>
        <w:t>32</w:t>
      </w:r>
      <w:r w:rsidRPr="00512804">
        <w:rPr>
          <w:rFonts w:ascii="Book Antiqua" w:hAnsi="Book Antiqua"/>
          <w:lang w:val="pt-PT"/>
        </w:rPr>
        <w:t>: 108-114 [PMID: 23526372 DOI: 10.1007/s12664-012-0295-9]</w:t>
      </w:r>
    </w:p>
    <w:p w14:paraId="68AB356C" w14:textId="77777777" w:rsidR="00B4314C" w:rsidRPr="00512804" w:rsidRDefault="0027755F">
      <w:pPr>
        <w:pStyle w:val="BodyA"/>
        <w:spacing w:line="360" w:lineRule="auto"/>
        <w:jc w:val="both"/>
      </w:pPr>
      <w:r w:rsidRPr="00512804">
        <w:rPr>
          <w:rFonts w:ascii="Book Antiqua" w:hAnsi="Book Antiqua"/>
          <w:lang w:val="ru-RU"/>
        </w:rPr>
        <w:t xml:space="preserve">7 </w:t>
      </w:r>
      <w:r w:rsidRPr="00512804">
        <w:rPr>
          <w:rFonts w:ascii="Book Antiqua" w:hAnsi="Book Antiqua"/>
          <w:b/>
          <w:bCs/>
        </w:rPr>
        <w:t>Kumar A</w:t>
      </w:r>
      <w:r w:rsidRPr="00512804">
        <w:rPr>
          <w:rFonts w:ascii="Book Antiqua" w:hAnsi="Book Antiqua"/>
        </w:rPr>
        <w:t xml:space="preserve">, Aggarwal R, Naik SR, Saraswat V, Ghoshal UC, Naik S. Hepatitis E virus is responsible for decompensation of chronic liver disease in an endemic region. </w:t>
      </w:r>
      <w:r w:rsidRPr="00512804">
        <w:rPr>
          <w:rFonts w:ascii="Book Antiqua" w:hAnsi="Book Antiqua"/>
          <w:i/>
          <w:iCs/>
          <w:lang w:val="nl-NL"/>
        </w:rPr>
        <w:t>Indian J Gastroenterol</w:t>
      </w:r>
      <w:r w:rsidRPr="00512804">
        <w:rPr>
          <w:rFonts w:ascii="Book Antiqua" w:hAnsi="Book Antiqua"/>
        </w:rPr>
        <w:t xml:space="preserve"> 2004; </w:t>
      </w:r>
      <w:r w:rsidRPr="00512804">
        <w:rPr>
          <w:rFonts w:ascii="Book Antiqua" w:hAnsi="Book Antiqua"/>
          <w:b/>
          <w:bCs/>
        </w:rPr>
        <w:t>23</w:t>
      </w:r>
      <w:r w:rsidRPr="00512804">
        <w:rPr>
          <w:rFonts w:ascii="Book Antiqua" w:hAnsi="Book Antiqua"/>
        </w:rPr>
        <w:t>: 59-62 [PMID: 15176538]</w:t>
      </w:r>
    </w:p>
    <w:p w14:paraId="0B2D6AAC" w14:textId="77777777" w:rsidR="00B4314C" w:rsidRPr="00512804" w:rsidRDefault="0027755F">
      <w:pPr>
        <w:pStyle w:val="BodyA"/>
        <w:spacing w:line="360" w:lineRule="auto"/>
        <w:jc w:val="both"/>
      </w:pPr>
      <w:r w:rsidRPr="00512804">
        <w:rPr>
          <w:rFonts w:ascii="Book Antiqua" w:hAnsi="Book Antiqua"/>
        </w:rPr>
        <w:t xml:space="preserve">8 </w:t>
      </w:r>
      <w:r w:rsidRPr="00512804">
        <w:rPr>
          <w:rFonts w:ascii="Book Antiqua" w:hAnsi="Book Antiqua"/>
          <w:b/>
          <w:bCs/>
        </w:rPr>
        <w:t>Rawla P</w:t>
      </w:r>
      <w:r w:rsidRPr="00512804">
        <w:rPr>
          <w:rFonts w:ascii="Book Antiqua" w:hAnsi="Book Antiqua"/>
        </w:rPr>
        <w:t xml:space="preserve">, Raj JP, Kannemkuzhiyil AJ, Aluru JS, Thandra KC, Gajendran M. A Systematic Review of the Extra-Hepatic Manifestations of Hepatitis E Virus Infection. </w:t>
      </w:r>
      <w:r w:rsidRPr="00512804">
        <w:rPr>
          <w:rFonts w:ascii="Book Antiqua" w:hAnsi="Book Antiqua"/>
          <w:i/>
          <w:iCs/>
          <w:lang w:val="fr-FR"/>
        </w:rPr>
        <w:t>Med Sci (Basel)</w:t>
      </w:r>
      <w:r w:rsidRPr="00512804">
        <w:rPr>
          <w:rFonts w:ascii="Book Antiqua" w:hAnsi="Book Antiqua"/>
        </w:rPr>
        <w:t xml:space="preserve"> 2020; </w:t>
      </w:r>
      <w:r w:rsidRPr="00512804">
        <w:rPr>
          <w:rFonts w:ascii="Book Antiqua" w:hAnsi="Book Antiqua"/>
          <w:b/>
          <w:bCs/>
        </w:rPr>
        <w:t>8</w:t>
      </w:r>
      <w:r w:rsidRPr="00512804">
        <w:rPr>
          <w:rFonts w:ascii="Book Antiqua" w:hAnsi="Book Antiqua"/>
          <w:lang w:val="pt-PT"/>
        </w:rPr>
        <w:t xml:space="preserve"> [PMID: 32033102 DOI: 10.3390/medsci8010009]</w:t>
      </w:r>
    </w:p>
    <w:p w14:paraId="6861F451" w14:textId="77777777" w:rsidR="00B4314C" w:rsidRPr="00512804" w:rsidRDefault="0027755F">
      <w:pPr>
        <w:pStyle w:val="BodyA"/>
        <w:spacing w:line="360" w:lineRule="auto"/>
        <w:jc w:val="both"/>
      </w:pPr>
      <w:r w:rsidRPr="00512804">
        <w:rPr>
          <w:rFonts w:ascii="Book Antiqua" w:hAnsi="Book Antiqua"/>
        </w:rPr>
        <w:t xml:space="preserve">9 </w:t>
      </w:r>
      <w:r w:rsidRPr="00512804">
        <w:rPr>
          <w:rFonts w:ascii="Book Antiqua" w:hAnsi="Book Antiqua"/>
          <w:b/>
          <w:bCs/>
          <w:lang w:val="de-DE"/>
        </w:rPr>
        <w:t>Pischke S</w:t>
      </w:r>
      <w:r w:rsidRPr="00512804">
        <w:rPr>
          <w:rFonts w:ascii="Book Antiqua" w:hAnsi="Book Antiqua"/>
        </w:rPr>
        <w:t xml:space="preserve">, Hartl J, Pas SD, Lohse AW, Jacobs BC, Van der Eijk AA. Hepatitis E virus: Infection beyond the liver? </w:t>
      </w:r>
      <w:r w:rsidRPr="00512804">
        <w:rPr>
          <w:rFonts w:ascii="Book Antiqua" w:hAnsi="Book Antiqua"/>
          <w:i/>
          <w:iCs/>
        </w:rPr>
        <w:t>J Hepatol</w:t>
      </w:r>
      <w:r w:rsidRPr="00512804">
        <w:rPr>
          <w:rFonts w:ascii="Book Antiqua" w:hAnsi="Book Antiqua"/>
        </w:rPr>
        <w:t xml:space="preserve"> 2017; </w:t>
      </w:r>
      <w:r w:rsidRPr="00512804">
        <w:rPr>
          <w:rFonts w:ascii="Book Antiqua" w:hAnsi="Book Antiqua"/>
          <w:b/>
          <w:bCs/>
        </w:rPr>
        <w:t>66</w:t>
      </w:r>
      <w:r w:rsidRPr="00512804">
        <w:rPr>
          <w:rFonts w:ascii="Book Antiqua" w:hAnsi="Book Antiqua"/>
          <w:lang w:val="pt-PT"/>
        </w:rPr>
        <w:t>: 1082-1095 [PMID: 27913223 DOI: 10.1016/j.jhep.2016.11.016]</w:t>
      </w:r>
    </w:p>
    <w:p w14:paraId="10E6AB3C" w14:textId="77777777" w:rsidR="00B4314C" w:rsidRPr="00512804" w:rsidRDefault="0027755F">
      <w:pPr>
        <w:pStyle w:val="BodyA"/>
        <w:spacing w:line="360" w:lineRule="auto"/>
        <w:jc w:val="both"/>
      </w:pPr>
      <w:r w:rsidRPr="00512804">
        <w:rPr>
          <w:rFonts w:ascii="Book Antiqua" w:hAnsi="Book Antiqua"/>
        </w:rPr>
        <w:t xml:space="preserve">10 </w:t>
      </w:r>
      <w:r w:rsidRPr="00512804">
        <w:rPr>
          <w:rFonts w:ascii="Book Antiqua" w:hAnsi="Book Antiqua"/>
          <w:b/>
          <w:bCs/>
          <w:lang w:val="de-DE"/>
        </w:rPr>
        <w:t>Feng Z</w:t>
      </w:r>
      <w:r w:rsidRPr="00512804">
        <w:rPr>
          <w:rFonts w:ascii="Book Antiqua" w:hAnsi="Book Antiqua"/>
        </w:rPr>
        <w:t xml:space="preserve">. Causation by HEV of extrahepatic manifestations remains unproven. </w:t>
      </w:r>
      <w:r w:rsidRPr="00512804">
        <w:rPr>
          <w:rFonts w:ascii="Book Antiqua" w:hAnsi="Book Antiqua"/>
          <w:i/>
          <w:iCs/>
          <w:lang w:val="de-DE"/>
        </w:rPr>
        <w:t>Liver Int</w:t>
      </w:r>
      <w:r w:rsidRPr="00512804">
        <w:rPr>
          <w:rFonts w:ascii="Book Antiqua" w:hAnsi="Book Antiqua"/>
        </w:rPr>
        <w:t xml:space="preserve"> 2016; </w:t>
      </w:r>
      <w:r w:rsidRPr="00512804">
        <w:rPr>
          <w:rFonts w:ascii="Book Antiqua" w:hAnsi="Book Antiqua"/>
          <w:b/>
          <w:bCs/>
        </w:rPr>
        <w:t>36</w:t>
      </w:r>
      <w:r w:rsidRPr="00512804">
        <w:rPr>
          <w:rFonts w:ascii="Book Antiqua" w:hAnsi="Book Antiqua"/>
          <w:lang w:val="pt-PT"/>
        </w:rPr>
        <w:t>: 477-479 [PMID: 27005694 DOI: 10.1111/liv.13085]</w:t>
      </w:r>
    </w:p>
    <w:p w14:paraId="7C43CE2C" w14:textId="77777777" w:rsidR="00B4314C" w:rsidRPr="00512804" w:rsidRDefault="0027755F">
      <w:pPr>
        <w:pStyle w:val="BodyA"/>
        <w:spacing w:line="360" w:lineRule="auto"/>
        <w:jc w:val="both"/>
      </w:pPr>
      <w:r w:rsidRPr="00512804">
        <w:rPr>
          <w:rFonts w:ascii="Book Antiqua" w:hAnsi="Book Antiqua"/>
        </w:rPr>
        <w:t xml:space="preserve">11 </w:t>
      </w:r>
      <w:r w:rsidRPr="00512804">
        <w:rPr>
          <w:rFonts w:ascii="Book Antiqua" w:hAnsi="Book Antiqua"/>
          <w:b/>
          <w:bCs/>
          <w:lang w:val="nl-NL"/>
        </w:rPr>
        <w:t>Zhou X</w:t>
      </w:r>
      <w:r w:rsidRPr="00512804">
        <w:rPr>
          <w:rFonts w:ascii="Book Antiqua" w:hAnsi="Book Antiqua"/>
          <w:lang w:val="nl-NL"/>
        </w:rPr>
        <w:t xml:space="preserve">, Huang F, Xu L, Lin Z, de Vrij FMS, Ayo-Martin AC, van der Kroeg M, Zhao M, Yin Y, Wang W, Cao W, Wang Y, Kushner SA, Marie Peron J, Alric L, de Man RA, Jacobs BC, van Eijk JJ, Aronica EMA, Sprengers D, Metselaar HJ, de Zeeuw CI, Dalton HR, Kamar N, Peppelenbosch MP, Pan Q. Hepatitis E Virus Infects Neurons and Brains. </w:t>
      </w:r>
      <w:r w:rsidRPr="00512804">
        <w:rPr>
          <w:rFonts w:ascii="Book Antiqua" w:hAnsi="Book Antiqua"/>
          <w:i/>
          <w:iCs/>
        </w:rPr>
        <w:t>J Infect Dis</w:t>
      </w:r>
      <w:r w:rsidRPr="00512804">
        <w:rPr>
          <w:rFonts w:ascii="Book Antiqua" w:hAnsi="Book Antiqua"/>
        </w:rPr>
        <w:t xml:space="preserve"> 2017; </w:t>
      </w:r>
      <w:r w:rsidRPr="00512804">
        <w:rPr>
          <w:rFonts w:ascii="Book Antiqua" w:hAnsi="Book Antiqua"/>
          <w:b/>
          <w:bCs/>
        </w:rPr>
        <w:t>215</w:t>
      </w:r>
      <w:r w:rsidRPr="00512804">
        <w:rPr>
          <w:rFonts w:ascii="Book Antiqua" w:hAnsi="Book Antiqua"/>
          <w:lang w:val="pt-PT"/>
        </w:rPr>
        <w:t>: 1197-1206 [PMID: 28199701 DOI: 10.1093/infdis/jix079]</w:t>
      </w:r>
    </w:p>
    <w:p w14:paraId="504962B9" w14:textId="77777777" w:rsidR="00B4314C" w:rsidRPr="00512804" w:rsidRDefault="0027755F">
      <w:pPr>
        <w:pStyle w:val="BodyA"/>
        <w:spacing w:line="360" w:lineRule="auto"/>
        <w:jc w:val="both"/>
      </w:pPr>
      <w:r w:rsidRPr="00512804">
        <w:rPr>
          <w:rFonts w:ascii="Book Antiqua" w:hAnsi="Book Antiqua"/>
        </w:rPr>
        <w:t xml:space="preserve">12 </w:t>
      </w:r>
      <w:r w:rsidRPr="00512804">
        <w:rPr>
          <w:rFonts w:ascii="Book Antiqua" w:hAnsi="Book Antiqua"/>
          <w:b/>
          <w:bCs/>
        </w:rPr>
        <w:t>Drave SA</w:t>
      </w:r>
      <w:r w:rsidRPr="00512804">
        <w:rPr>
          <w:rFonts w:ascii="Book Antiqua" w:hAnsi="Book Antiqua"/>
          <w:lang w:val="de-DE"/>
        </w:rPr>
        <w:t xml:space="preserve">, Debing Y, Walter S, Todt D, Engelmann M, Friesland M, Wedemeyer H, Neyts J, Behrendt P, Steinmann E. Extra-hepatic replication and infection of hepatitis E virus in neuronal-derived cells. </w:t>
      </w:r>
      <w:r w:rsidRPr="00512804">
        <w:rPr>
          <w:rFonts w:ascii="Book Antiqua" w:hAnsi="Book Antiqua"/>
          <w:i/>
          <w:iCs/>
        </w:rPr>
        <w:t>J Viral Hepat</w:t>
      </w:r>
      <w:r w:rsidRPr="00512804">
        <w:rPr>
          <w:rFonts w:ascii="Book Antiqua" w:hAnsi="Book Antiqua"/>
        </w:rPr>
        <w:t xml:space="preserve"> 2016; </w:t>
      </w:r>
      <w:r w:rsidRPr="00512804">
        <w:rPr>
          <w:rFonts w:ascii="Book Antiqua" w:hAnsi="Book Antiqua"/>
          <w:b/>
          <w:bCs/>
        </w:rPr>
        <w:t>23</w:t>
      </w:r>
      <w:r w:rsidRPr="00512804">
        <w:rPr>
          <w:rFonts w:ascii="Book Antiqua" w:hAnsi="Book Antiqua"/>
          <w:lang w:val="pt-PT"/>
        </w:rPr>
        <w:t>: 512-521 [PMID: 26891712 DOI: 10.1111/jvh.12515]</w:t>
      </w:r>
    </w:p>
    <w:p w14:paraId="2A5D2D0C" w14:textId="77777777" w:rsidR="00B4314C" w:rsidRPr="00512804" w:rsidRDefault="0027755F">
      <w:pPr>
        <w:pStyle w:val="BodyA"/>
        <w:spacing w:line="360" w:lineRule="auto"/>
        <w:jc w:val="both"/>
      </w:pPr>
      <w:r w:rsidRPr="00512804">
        <w:rPr>
          <w:rFonts w:ascii="Book Antiqua" w:hAnsi="Book Antiqua"/>
        </w:rPr>
        <w:t xml:space="preserve">13 </w:t>
      </w:r>
      <w:r w:rsidRPr="00512804">
        <w:rPr>
          <w:rFonts w:ascii="Book Antiqua" w:hAnsi="Book Antiqua"/>
          <w:b/>
          <w:bCs/>
          <w:lang w:val="it-IT"/>
        </w:rPr>
        <w:t>Abravanel F</w:t>
      </w:r>
      <w:r w:rsidRPr="00512804">
        <w:rPr>
          <w:rFonts w:ascii="Book Antiqua" w:hAnsi="Book Antiqua"/>
          <w:lang w:val="it-IT"/>
        </w:rPr>
        <w:t>, Pique J, Couturier E, Nicot F, Dimeglio C, Lhomme S, Chiabrando J, Saune K, P</w:t>
      </w:r>
      <w:r w:rsidRPr="00512804">
        <w:rPr>
          <w:rFonts w:ascii="Book Antiqua" w:hAnsi="Book Antiqua"/>
        </w:rPr>
        <w:t xml:space="preserve">éron JM, Kamar N, Evrard S, de Valk H, Cintas P, Izopet J; HEV study group. Acute hepatitis E in French patients and neurological manifestations. </w:t>
      </w:r>
      <w:r w:rsidRPr="00512804">
        <w:rPr>
          <w:rFonts w:ascii="Book Antiqua" w:hAnsi="Book Antiqua"/>
          <w:i/>
          <w:iCs/>
        </w:rPr>
        <w:t>J Infect</w:t>
      </w:r>
      <w:r w:rsidRPr="00512804">
        <w:rPr>
          <w:rFonts w:ascii="Book Antiqua" w:hAnsi="Book Antiqua"/>
        </w:rPr>
        <w:t xml:space="preserve"> 2018; </w:t>
      </w:r>
      <w:r w:rsidRPr="00512804">
        <w:rPr>
          <w:rFonts w:ascii="Book Antiqua" w:hAnsi="Book Antiqua"/>
          <w:b/>
          <w:bCs/>
        </w:rPr>
        <w:t>77</w:t>
      </w:r>
      <w:r w:rsidRPr="00512804">
        <w:rPr>
          <w:rFonts w:ascii="Book Antiqua" w:hAnsi="Book Antiqua"/>
          <w:lang w:val="pt-PT"/>
        </w:rPr>
        <w:t>: 220-226 [PMID: 29966614 DOI: 10.1016/j.jinf.2018.06.007]</w:t>
      </w:r>
    </w:p>
    <w:p w14:paraId="5395F708" w14:textId="77777777" w:rsidR="00B4314C" w:rsidRPr="00512804" w:rsidRDefault="0027755F">
      <w:pPr>
        <w:pStyle w:val="BodyA"/>
        <w:spacing w:line="360" w:lineRule="auto"/>
        <w:jc w:val="both"/>
        <w:rPr>
          <w:lang w:val="it-IT"/>
        </w:rPr>
      </w:pPr>
      <w:r w:rsidRPr="00512804">
        <w:rPr>
          <w:rFonts w:ascii="Book Antiqua" w:hAnsi="Book Antiqua"/>
        </w:rPr>
        <w:t xml:space="preserve">14 </w:t>
      </w:r>
      <w:r w:rsidRPr="00512804">
        <w:rPr>
          <w:rFonts w:ascii="Book Antiqua" w:hAnsi="Book Antiqua"/>
          <w:b/>
          <w:bCs/>
          <w:lang w:val="it-IT"/>
        </w:rPr>
        <w:t>Ripellino P</w:t>
      </w:r>
      <w:r w:rsidRPr="00512804">
        <w:rPr>
          <w:rFonts w:ascii="Book Antiqua" w:hAnsi="Book Antiqua"/>
          <w:lang w:val="it-IT"/>
        </w:rPr>
        <w:t xml:space="preserve">, Pasi E, Melli G, Staedler C, Fraga M, Moradpour D, Sahli R, Aubert V, Martinetti G, Bihl F, Bernasconi E, Terziroli Beretta-Piccoli B, Cerny A, Dalton HR, Zehnder C, Mathis B, Zecca C, Disanto G, Kaelin-Lang A, Gobbi C. Neurologic complications of acute hepatitis E virus infection. </w:t>
      </w:r>
      <w:r w:rsidRPr="00512804">
        <w:rPr>
          <w:rFonts w:ascii="Book Antiqua" w:hAnsi="Book Antiqua"/>
          <w:i/>
          <w:iCs/>
          <w:lang w:val="it-IT"/>
        </w:rPr>
        <w:t>Neurol Neuroimmunol Neuroinflamm</w:t>
      </w:r>
      <w:r w:rsidRPr="00512804">
        <w:rPr>
          <w:rFonts w:ascii="Book Antiqua" w:hAnsi="Book Antiqua"/>
          <w:lang w:val="it-IT"/>
        </w:rPr>
        <w:t xml:space="preserve"> 2020; </w:t>
      </w:r>
      <w:r w:rsidRPr="00512804">
        <w:rPr>
          <w:rFonts w:ascii="Book Antiqua" w:hAnsi="Book Antiqua"/>
          <w:b/>
          <w:bCs/>
          <w:lang w:val="it-IT"/>
        </w:rPr>
        <w:t>7</w:t>
      </w:r>
      <w:r w:rsidRPr="00512804">
        <w:rPr>
          <w:rFonts w:ascii="Book Antiqua" w:hAnsi="Book Antiqua"/>
          <w:lang w:val="pt-PT"/>
        </w:rPr>
        <w:t xml:space="preserve"> [PMID: 31806684 DOI: 10.1212/NXI.0000000000000643]</w:t>
      </w:r>
    </w:p>
    <w:p w14:paraId="3B32C74C" w14:textId="77777777" w:rsidR="00B4314C" w:rsidRPr="00512804" w:rsidRDefault="0027755F">
      <w:pPr>
        <w:pStyle w:val="BodyA"/>
        <w:spacing w:line="360" w:lineRule="auto"/>
        <w:jc w:val="both"/>
      </w:pPr>
      <w:r w:rsidRPr="00512804">
        <w:rPr>
          <w:rFonts w:ascii="Book Antiqua" w:hAnsi="Book Antiqua"/>
          <w:lang w:val="it-IT"/>
        </w:rPr>
        <w:t xml:space="preserve">15 </w:t>
      </w:r>
      <w:r w:rsidRPr="00512804">
        <w:rPr>
          <w:rFonts w:ascii="Book Antiqua" w:hAnsi="Book Antiqua"/>
          <w:b/>
          <w:bCs/>
          <w:lang w:val="nl-NL"/>
        </w:rPr>
        <w:t>Kamar N</w:t>
      </w:r>
      <w:r w:rsidRPr="00512804">
        <w:rPr>
          <w:rFonts w:ascii="Book Antiqua" w:hAnsi="Book Antiqua"/>
          <w:lang w:val="it-IT"/>
        </w:rPr>
        <w:t xml:space="preserve">, Bendall RP, Peron JM, Cintas P, Prudhomme L, Mansuy JM, Rostaing L, Keane F, Ijaz S, Izopet J, Dalton HR. </w:t>
      </w:r>
      <w:r w:rsidRPr="00512804">
        <w:rPr>
          <w:rFonts w:ascii="Book Antiqua" w:hAnsi="Book Antiqua"/>
        </w:rPr>
        <w:t xml:space="preserve">Hepatitis E virus and neurologic disorders. </w:t>
      </w:r>
      <w:r w:rsidRPr="00512804">
        <w:rPr>
          <w:rFonts w:ascii="Book Antiqua" w:hAnsi="Book Antiqua"/>
          <w:i/>
          <w:iCs/>
        </w:rPr>
        <w:t>Emerg Infect Dis</w:t>
      </w:r>
      <w:r w:rsidRPr="00512804">
        <w:rPr>
          <w:rFonts w:ascii="Book Antiqua" w:hAnsi="Book Antiqua"/>
        </w:rPr>
        <w:t xml:space="preserve"> 2011; </w:t>
      </w:r>
      <w:r w:rsidRPr="00512804">
        <w:rPr>
          <w:rFonts w:ascii="Book Antiqua" w:hAnsi="Book Antiqua"/>
          <w:b/>
          <w:bCs/>
        </w:rPr>
        <w:t>17</w:t>
      </w:r>
      <w:r w:rsidRPr="00512804">
        <w:rPr>
          <w:rFonts w:ascii="Book Antiqua" w:hAnsi="Book Antiqua"/>
        </w:rPr>
        <w:t>: 173-179 [PMID: 21291585 DOI: 10.3201/eid1702.100856]</w:t>
      </w:r>
    </w:p>
    <w:p w14:paraId="26147CD6" w14:textId="77777777" w:rsidR="00B4314C" w:rsidRPr="00512804" w:rsidRDefault="0027755F">
      <w:pPr>
        <w:pStyle w:val="BodyA"/>
        <w:spacing w:line="360" w:lineRule="auto"/>
        <w:jc w:val="both"/>
      </w:pPr>
      <w:r w:rsidRPr="00512804">
        <w:rPr>
          <w:rFonts w:ascii="Book Antiqua" w:hAnsi="Book Antiqua"/>
        </w:rPr>
        <w:t xml:space="preserve">16 </w:t>
      </w:r>
      <w:r w:rsidRPr="00512804">
        <w:rPr>
          <w:rFonts w:ascii="Book Antiqua" w:hAnsi="Book Antiqua"/>
          <w:b/>
          <w:bCs/>
        </w:rPr>
        <w:t>Woolson KL</w:t>
      </w:r>
      <w:r w:rsidRPr="00512804">
        <w:rPr>
          <w:rFonts w:ascii="Book Antiqua" w:hAnsi="Book Antiqua"/>
        </w:rPr>
        <w:t xml:space="preserve">, Forbes A, Vine L, Beynon L, McElhinney L, Panayi V, Hunter JG, Madden RG, Glasgow T, Kotecha A, Dalton HC, Mihailescu L, Warshow U, Hussaini HS, Palmer J, Mclean BN, Haywood B, Bendall RP, Dalton HR. Extra-hepatic manifestations of autochthonous hepatitis E infection. </w:t>
      </w:r>
      <w:r w:rsidRPr="00512804">
        <w:rPr>
          <w:rFonts w:ascii="Book Antiqua" w:hAnsi="Book Antiqua"/>
          <w:i/>
          <w:iCs/>
        </w:rPr>
        <w:t>Aliment Pharmacol Ther</w:t>
      </w:r>
      <w:r w:rsidRPr="00512804">
        <w:rPr>
          <w:rFonts w:ascii="Book Antiqua" w:hAnsi="Book Antiqua"/>
        </w:rPr>
        <w:t xml:space="preserve"> 2014; </w:t>
      </w:r>
      <w:r w:rsidRPr="00512804">
        <w:rPr>
          <w:rFonts w:ascii="Book Antiqua" w:hAnsi="Book Antiqua"/>
          <w:b/>
          <w:bCs/>
        </w:rPr>
        <w:t>40</w:t>
      </w:r>
      <w:r w:rsidRPr="00512804">
        <w:rPr>
          <w:rFonts w:ascii="Book Antiqua" w:hAnsi="Book Antiqua"/>
          <w:lang w:val="pt-PT"/>
        </w:rPr>
        <w:t>: 1282-1291 [PMID: 25303615 DOI: 10.1111/apt.12986]</w:t>
      </w:r>
    </w:p>
    <w:p w14:paraId="7B05E97E" w14:textId="77777777" w:rsidR="00B4314C" w:rsidRPr="00512804" w:rsidRDefault="0027755F">
      <w:pPr>
        <w:pStyle w:val="BodyA"/>
        <w:spacing w:line="360" w:lineRule="auto"/>
        <w:jc w:val="both"/>
      </w:pPr>
      <w:r w:rsidRPr="00512804">
        <w:rPr>
          <w:rFonts w:ascii="Book Antiqua" w:hAnsi="Book Antiqua"/>
          <w:lang w:val="ru-RU"/>
        </w:rPr>
        <w:t xml:space="preserve">17 </w:t>
      </w:r>
      <w:r w:rsidRPr="00512804">
        <w:rPr>
          <w:rFonts w:ascii="Book Antiqua" w:hAnsi="Book Antiqua"/>
          <w:b/>
          <w:bCs/>
        </w:rPr>
        <w:t>Dalton HR</w:t>
      </w:r>
      <w:r w:rsidRPr="00512804">
        <w:rPr>
          <w:rFonts w:ascii="Book Antiqua" w:hAnsi="Book Antiqua"/>
          <w:lang w:val="nl-NL"/>
        </w:rPr>
        <w:t xml:space="preserve">, van Eijk JJJ, Cintas P, Madden RG, Jones C, Webb GW, Norton B, Pique J, Lutgens S, Devooght-Johnson N, Woolson K, Baker J, Saunders M, Househam L, Griffiths J, Abravanel F, Izopet J, Kamar N, van Alfen N, van Engelen BGM, Hunter JG, van der Eijk AA, Bendall RP, Mclean BN, Jacobs BC. Hepatitis E virus infection and acute non-traumatic neurological injury: A prospective multicentre study. </w:t>
      </w:r>
      <w:r w:rsidRPr="00512804">
        <w:rPr>
          <w:rFonts w:ascii="Book Antiqua" w:hAnsi="Book Antiqua"/>
          <w:i/>
          <w:iCs/>
        </w:rPr>
        <w:t>J Hepatol</w:t>
      </w:r>
      <w:r w:rsidRPr="00512804">
        <w:rPr>
          <w:rFonts w:ascii="Book Antiqua" w:hAnsi="Book Antiqua"/>
        </w:rPr>
        <w:t xml:space="preserve"> 2017; </w:t>
      </w:r>
      <w:r w:rsidRPr="00512804">
        <w:rPr>
          <w:rFonts w:ascii="Book Antiqua" w:hAnsi="Book Antiqua"/>
          <w:b/>
          <w:bCs/>
        </w:rPr>
        <w:t>67</w:t>
      </w:r>
      <w:r w:rsidRPr="00512804">
        <w:rPr>
          <w:rFonts w:ascii="Book Antiqua" w:hAnsi="Book Antiqua"/>
          <w:lang w:val="pt-PT"/>
        </w:rPr>
        <w:t>: 925-932 [PMID: 28734938 DOI: 10.1016/j.jhep.2017.07.010]</w:t>
      </w:r>
    </w:p>
    <w:p w14:paraId="2CDB791E" w14:textId="77777777" w:rsidR="00B4314C" w:rsidRPr="00512804" w:rsidRDefault="0027755F">
      <w:pPr>
        <w:pStyle w:val="BodyA"/>
        <w:spacing w:line="360" w:lineRule="auto"/>
        <w:jc w:val="both"/>
      </w:pPr>
      <w:r w:rsidRPr="00512804">
        <w:rPr>
          <w:rFonts w:ascii="Book Antiqua" w:hAnsi="Book Antiqua"/>
        </w:rPr>
        <w:t xml:space="preserve">18 </w:t>
      </w:r>
      <w:r w:rsidRPr="00512804">
        <w:rPr>
          <w:rFonts w:ascii="Book Antiqua" w:hAnsi="Book Antiqua"/>
          <w:b/>
          <w:bCs/>
          <w:lang w:val="de-DE"/>
        </w:rPr>
        <w:t>Belb</w:t>
      </w:r>
      <w:r w:rsidRPr="00512804">
        <w:rPr>
          <w:rFonts w:ascii="Book Antiqua" w:hAnsi="Book Antiqua"/>
          <w:b/>
          <w:bCs/>
        </w:rPr>
        <w:t>é</w:t>
      </w:r>
      <w:r w:rsidRPr="00512804">
        <w:rPr>
          <w:rFonts w:ascii="Book Antiqua" w:hAnsi="Book Antiqua"/>
          <w:b/>
          <w:bCs/>
          <w:lang w:val="de-DE"/>
        </w:rPr>
        <w:t>zier A</w:t>
      </w:r>
      <w:r w:rsidRPr="00512804">
        <w:rPr>
          <w:rFonts w:ascii="Book Antiqua" w:hAnsi="Book Antiqua"/>
          <w:lang w:val="it-IT"/>
        </w:rPr>
        <w:t xml:space="preserve">, Deroux A, Sarrot-Reynauld F, Colombe B, Bosseray A, Wintenberger C, Dumanoir P, Lugosi M, Boccon-Gibod I, Leroy V, Maignan M, Collomb-Muret R, Viglino D, Vaillant M, Minotti L, Lagrange E, Epaulard O, Dumestre-Perard C, Lhomme S, Lupo J, Larrat S, Morand P, Schwebel C, Vilotitch A, Bosson JL, Bouillet L. Screening of hepatitis E in patients presenting for acute neurological disorders. </w:t>
      </w:r>
      <w:r w:rsidRPr="00512804">
        <w:rPr>
          <w:rFonts w:ascii="Book Antiqua" w:hAnsi="Book Antiqua"/>
          <w:i/>
          <w:iCs/>
        </w:rPr>
        <w:t>J Infect Public Health</w:t>
      </w:r>
      <w:r w:rsidRPr="00512804">
        <w:rPr>
          <w:rFonts w:ascii="Book Antiqua" w:hAnsi="Book Antiqua"/>
        </w:rPr>
        <w:t xml:space="preserve"> 2020; </w:t>
      </w:r>
      <w:r w:rsidRPr="00512804">
        <w:rPr>
          <w:rFonts w:ascii="Book Antiqua" w:hAnsi="Book Antiqua"/>
          <w:b/>
          <w:bCs/>
        </w:rPr>
        <w:t>13</w:t>
      </w:r>
      <w:r w:rsidRPr="00512804">
        <w:rPr>
          <w:rFonts w:ascii="Book Antiqua" w:hAnsi="Book Antiqua"/>
          <w:lang w:val="pt-PT"/>
        </w:rPr>
        <w:t>: 1047-1050 [PMID: 32224109 DOI: 10.1016/j.jiph.2019.12.012]</w:t>
      </w:r>
    </w:p>
    <w:p w14:paraId="7AC22E90" w14:textId="77777777" w:rsidR="00B4314C" w:rsidRPr="00512804" w:rsidRDefault="0027755F">
      <w:pPr>
        <w:pStyle w:val="BodyA"/>
        <w:spacing w:line="360" w:lineRule="auto"/>
        <w:jc w:val="both"/>
      </w:pPr>
      <w:r w:rsidRPr="00512804">
        <w:rPr>
          <w:rFonts w:ascii="Book Antiqua" w:hAnsi="Book Antiqua"/>
        </w:rPr>
        <w:t xml:space="preserve">19 </w:t>
      </w:r>
      <w:r w:rsidRPr="00512804">
        <w:rPr>
          <w:rFonts w:ascii="Book Antiqua" w:hAnsi="Book Antiqua"/>
          <w:b/>
          <w:bCs/>
          <w:lang w:val="es-ES_tradnl"/>
        </w:rPr>
        <w:t>Mansuy JM</w:t>
      </w:r>
      <w:r w:rsidRPr="00512804">
        <w:rPr>
          <w:rFonts w:ascii="Book Antiqua" w:hAnsi="Book Antiqua"/>
        </w:rPr>
        <w:t xml:space="preserve">, Gallian P, Dimeglio C, Saune K, Arnaud C, Pelletier B, Morel P, Legrand D, Tiberghien P, Izopet J. A nationwide survey of hepatitis E viral infection in French blood donors. </w:t>
      </w:r>
      <w:r w:rsidRPr="00512804">
        <w:rPr>
          <w:rFonts w:ascii="Book Antiqua" w:hAnsi="Book Antiqua"/>
          <w:i/>
          <w:iCs/>
        </w:rPr>
        <w:t>Hepatology</w:t>
      </w:r>
      <w:r w:rsidRPr="00512804">
        <w:rPr>
          <w:rFonts w:ascii="Book Antiqua" w:hAnsi="Book Antiqua"/>
        </w:rPr>
        <w:t xml:space="preserve"> 2016; </w:t>
      </w:r>
      <w:r w:rsidRPr="00512804">
        <w:rPr>
          <w:rFonts w:ascii="Book Antiqua" w:hAnsi="Book Antiqua"/>
          <w:b/>
          <w:bCs/>
        </w:rPr>
        <w:t>63</w:t>
      </w:r>
      <w:r w:rsidRPr="00512804">
        <w:rPr>
          <w:rFonts w:ascii="Book Antiqua" w:hAnsi="Book Antiqua"/>
          <w:lang w:val="pt-PT"/>
        </w:rPr>
        <w:t>: 1145-1154 [PMID: 27008201 DOI: 10.1002/hep.28436]</w:t>
      </w:r>
    </w:p>
    <w:p w14:paraId="06815323" w14:textId="77777777" w:rsidR="00B4314C" w:rsidRPr="00512804" w:rsidRDefault="0027755F">
      <w:pPr>
        <w:pStyle w:val="BodyA"/>
        <w:spacing w:line="360" w:lineRule="auto"/>
        <w:jc w:val="both"/>
      </w:pPr>
      <w:r w:rsidRPr="00512804">
        <w:rPr>
          <w:rFonts w:ascii="Book Antiqua" w:hAnsi="Book Antiqua"/>
        </w:rPr>
        <w:t xml:space="preserve">20 </w:t>
      </w:r>
      <w:r w:rsidRPr="00512804">
        <w:rPr>
          <w:rFonts w:ascii="Book Antiqua" w:hAnsi="Book Antiqua"/>
          <w:b/>
          <w:bCs/>
        </w:rPr>
        <w:t>Wang Y</w:t>
      </w:r>
      <w:r w:rsidRPr="00512804">
        <w:rPr>
          <w:rFonts w:ascii="Book Antiqua" w:hAnsi="Book Antiqua"/>
        </w:rPr>
        <w:t xml:space="preserve">, Wang S, Wu J, Jiang Y, Zhang H, Li S, Liu H, Yang C, Tang H, Guo N, Peppelenbosch MP, Wei L, Pan Q, Zhao J. Hepatitis E virus infection in acute non-traumatic neuropathy: A large prospective case-control study in China. </w:t>
      </w:r>
      <w:r w:rsidRPr="00512804">
        <w:rPr>
          <w:rFonts w:ascii="Book Antiqua" w:hAnsi="Book Antiqua"/>
          <w:i/>
          <w:iCs/>
        </w:rPr>
        <w:t>EBioMedicine</w:t>
      </w:r>
      <w:r w:rsidRPr="00512804">
        <w:rPr>
          <w:rFonts w:ascii="Book Antiqua" w:hAnsi="Book Antiqua"/>
        </w:rPr>
        <w:t xml:space="preserve"> 2018; </w:t>
      </w:r>
      <w:r w:rsidRPr="00512804">
        <w:rPr>
          <w:rFonts w:ascii="Book Antiqua" w:hAnsi="Book Antiqua"/>
          <w:b/>
          <w:bCs/>
        </w:rPr>
        <w:t>36</w:t>
      </w:r>
      <w:r w:rsidRPr="00512804">
        <w:rPr>
          <w:rFonts w:ascii="Book Antiqua" w:hAnsi="Book Antiqua"/>
          <w:lang w:val="pt-PT"/>
        </w:rPr>
        <w:t>: 122-130 [PMID: 30190208 DOI: 10.1016/j.ebiom.2018.08.053]</w:t>
      </w:r>
    </w:p>
    <w:p w14:paraId="2A5F0CE7" w14:textId="77777777" w:rsidR="00B4314C" w:rsidRPr="00512804" w:rsidRDefault="0027755F">
      <w:pPr>
        <w:pStyle w:val="BodyA"/>
        <w:spacing w:line="360" w:lineRule="auto"/>
        <w:jc w:val="both"/>
      </w:pPr>
      <w:r w:rsidRPr="00512804">
        <w:rPr>
          <w:rFonts w:ascii="Book Antiqua" w:hAnsi="Book Antiqua"/>
        </w:rPr>
        <w:t xml:space="preserve">21 </w:t>
      </w:r>
      <w:r w:rsidRPr="00512804">
        <w:rPr>
          <w:rFonts w:ascii="Book Antiqua" w:hAnsi="Book Antiqua"/>
          <w:b/>
          <w:bCs/>
          <w:lang w:val="it-IT"/>
        </w:rPr>
        <w:t>Adinolfi LE</w:t>
      </w:r>
      <w:r w:rsidRPr="00512804">
        <w:rPr>
          <w:rFonts w:ascii="Book Antiqua" w:hAnsi="Book Antiqua"/>
          <w:lang w:val="it-IT"/>
        </w:rPr>
        <w:t xml:space="preserve">, Nevola R, Lus G, Restivo L, Guerrera B, Romano C, Zampino R, Rinaldi L, Sellitto A, Giordano M, Marrone A. Chronic hepatitis C virus infection and neurological and psychiatric disorders: an overview. </w:t>
      </w:r>
      <w:r w:rsidRPr="00512804">
        <w:rPr>
          <w:rFonts w:ascii="Book Antiqua" w:hAnsi="Book Antiqua"/>
          <w:i/>
          <w:iCs/>
          <w:lang w:val="nl-NL"/>
        </w:rPr>
        <w:t>World J Gastroenterol</w:t>
      </w:r>
      <w:r w:rsidRPr="00512804">
        <w:rPr>
          <w:rFonts w:ascii="Book Antiqua" w:hAnsi="Book Antiqua"/>
        </w:rPr>
        <w:t xml:space="preserve"> 2015; </w:t>
      </w:r>
      <w:r w:rsidRPr="00512804">
        <w:rPr>
          <w:rFonts w:ascii="Book Antiqua" w:hAnsi="Book Antiqua"/>
          <w:b/>
          <w:bCs/>
        </w:rPr>
        <w:t>21</w:t>
      </w:r>
      <w:r w:rsidRPr="00512804">
        <w:rPr>
          <w:rFonts w:ascii="Book Antiqua" w:hAnsi="Book Antiqua"/>
          <w:lang w:val="pt-PT"/>
        </w:rPr>
        <w:t>: 2269-2280 [PMID: 25741133 DOI: 10.3748/wjg.v21.i8.2269]</w:t>
      </w:r>
    </w:p>
    <w:p w14:paraId="1B7ED3AF" w14:textId="77777777" w:rsidR="00B4314C" w:rsidRPr="00512804" w:rsidRDefault="0027755F">
      <w:pPr>
        <w:pStyle w:val="BodyA"/>
        <w:spacing w:line="360" w:lineRule="auto"/>
        <w:jc w:val="both"/>
      </w:pPr>
      <w:r w:rsidRPr="00512804">
        <w:rPr>
          <w:rFonts w:ascii="Book Antiqua" w:hAnsi="Book Antiqua"/>
        </w:rPr>
        <w:t xml:space="preserve">22 </w:t>
      </w:r>
      <w:r w:rsidRPr="00512804">
        <w:rPr>
          <w:rFonts w:ascii="Book Antiqua" w:hAnsi="Book Antiqua"/>
          <w:b/>
          <w:bCs/>
          <w:lang w:val="fr-FR"/>
        </w:rPr>
        <w:t>Mapoure NY</w:t>
      </w:r>
      <w:r w:rsidRPr="00512804">
        <w:rPr>
          <w:rFonts w:ascii="Book Antiqua" w:hAnsi="Book Antiqua"/>
        </w:rPr>
        <w:t xml:space="preserve">, Budzi MN, Eloumou SAFB, Malongue A, Okalla C, Luma HN. Neurological manifestations in chronic hepatitis C patients receiving care in a reference hospital in sub-Saharan Africa: A cross-sectional study. </w:t>
      </w:r>
      <w:r w:rsidRPr="00512804">
        <w:rPr>
          <w:rFonts w:ascii="Book Antiqua" w:hAnsi="Book Antiqua"/>
          <w:i/>
          <w:iCs/>
        </w:rPr>
        <w:t>PLoS One</w:t>
      </w:r>
      <w:r w:rsidRPr="00512804">
        <w:rPr>
          <w:rFonts w:ascii="Book Antiqua" w:hAnsi="Book Antiqua"/>
        </w:rPr>
        <w:t xml:space="preserve"> 2018; </w:t>
      </w:r>
      <w:r w:rsidRPr="00512804">
        <w:rPr>
          <w:rFonts w:ascii="Book Antiqua" w:hAnsi="Book Antiqua"/>
          <w:b/>
          <w:bCs/>
        </w:rPr>
        <w:t>13</w:t>
      </w:r>
      <w:r w:rsidRPr="00512804">
        <w:rPr>
          <w:rFonts w:ascii="Book Antiqua" w:hAnsi="Book Antiqua"/>
          <w:lang w:val="pt-PT"/>
        </w:rPr>
        <w:t>: e0192406 [PMID: 29513678 DOI: 10.1371/journal.pone.0192406]</w:t>
      </w:r>
    </w:p>
    <w:p w14:paraId="6B8BAB47" w14:textId="77777777" w:rsidR="00B4314C" w:rsidRPr="00512804" w:rsidRDefault="0027755F">
      <w:pPr>
        <w:pStyle w:val="BodyA"/>
        <w:spacing w:line="360" w:lineRule="auto"/>
        <w:jc w:val="both"/>
      </w:pPr>
      <w:r w:rsidRPr="00512804">
        <w:rPr>
          <w:rFonts w:ascii="Book Antiqua" w:hAnsi="Book Antiqua"/>
        </w:rPr>
        <w:t xml:space="preserve">23 </w:t>
      </w:r>
      <w:r w:rsidRPr="00512804">
        <w:rPr>
          <w:rFonts w:ascii="Book Antiqua" w:hAnsi="Book Antiqua"/>
          <w:b/>
          <w:bCs/>
          <w:lang w:val="it-IT"/>
        </w:rPr>
        <w:t>Menon D</w:t>
      </w:r>
      <w:r w:rsidRPr="00512804">
        <w:rPr>
          <w:rFonts w:ascii="Book Antiqua" w:hAnsi="Book Antiqua"/>
          <w:lang w:val="da-DK"/>
        </w:rPr>
        <w:t>, Jagtap SA, Nair MD. Guillain-Barr</w:t>
      </w:r>
      <w:r w:rsidRPr="00512804">
        <w:rPr>
          <w:rFonts w:ascii="Book Antiqua" w:hAnsi="Book Antiqua"/>
        </w:rPr>
        <w:t xml:space="preserve">é syndrome following acute viral hepatitis A. </w:t>
      </w:r>
      <w:r w:rsidRPr="00512804">
        <w:rPr>
          <w:rFonts w:ascii="Book Antiqua" w:hAnsi="Book Antiqua"/>
          <w:i/>
          <w:iCs/>
          <w:lang w:val="it-IT"/>
        </w:rPr>
        <w:t>J Neurosci Rural Pract</w:t>
      </w:r>
      <w:r w:rsidRPr="00512804">
        <w:rPr>
          <w:rFonts w:ascii="Book Antiqua" w:hAnsi="Book Antiqua"/>
        </w:rPr>
        <w:t xml:space="preserve"> 2014; </w:t>
      </w:r>
      <w:r w:rsidRPr="00512804">
        <w:rPr>
          <w:rFonts w:ascii="Book Antiqua" w:hAnsi="Book Antiqua"/>
          <w:b/>
          <w:bCs/>
        </w:rPr>
        <w:t>5</w:t>
      </w:r>
      <w:r w:rsidRPr="00512804">
        <w:rPr>
          <w:rFonts w:ascii="Book Antiqua" w:hAnsi="Book Antiqua"/>
          <w:lang w:val="pt-PT"/>
        </w:rPr>
        <w:t>: 204-205 [PMID: 24966576 DOI: 10.4103/0976-3147.131695]</w:t>
      </w:r>
    </w:p>
    <w:p w14:paraId="6836A04D" w14:textId="77777777" w:rsidR="00B4314C" w:rsidRPr="00512804" w:rsidRDefault="0027755F">
      <w:pPr>
        <w:pStyle w:val="BodyA"/>
        <w:spacing w:line="360" w:lineRule="auto"/>
        <w:jc w:val="both"/>
      </w:pPr>
      <w:r w:rsidRPr="00512804">
        <w:rPr>
          <w:rFonts w:ascii="Book Antiqua" w:hAnsi="Book Antiqua"/>
        </w:rPr>
        <w:t xml:space="preserve">24 </w:t>
      </w:r>
      <w:r w:rsidRPr="00512804">
        <w:rPr>
          <w:rFonts w:ascii="Book Antiqua" w:hAnsi="Book Antiqua"/>
          <w:b/>
          <w:bCs/>
          <w:lang w:val="nl-NL"/>
        </w:rPr>
        <w:t>Lee JJ</w:t>
      </w:r>
      <w:r w:rsidRPr="00512804">
        <w:rPr>
          <w:rFonts w:ascii="Book Antiqua" w:hAnsi="Book Antiqua"/>
        </w:rPr>
        <w:t xml:space="preserve">, Kang K, Park JM, Kwon O, Kim BK. Encephalitis associated with acute hepatitis a. </w:t>
      </w:r>
      <w:r w:rsidRPr="00512804">
        <w:rPr>
          <w:rFonts w:ascii="Book Antiqua" w:hAnsi="Book Antiqua"/>
          <w:i/>
          <w:iCs/>
        </w:rPr>
        <w:t>J Epilepsy Res</w:t>
      </w:r>
      <w:r w:rsidRPr="00512804">
        <w:rPr>
          <w:rFonts w:ascii="Book Antiqua" w:hAnsi="Book Antiqua"/>
        </w:rPr>
        <w:t xml:space="preserve"> 2011; </w:t>
      </w:r>
      <w:r w:rsidRPr="00512804">
        <w:rPr>
          <w:rFonts w:ascii="Book Antiqua" w:hAnsi="Book Antiqua"/>
          <w:b/>
          <w:bCs/>
        </w:rPr>
        <w:t>1</w:t>
      </w:r>
      <w:r w:rsidRPr="00512804">
        <w:rPr>
          <w:rFonts w:ascii="Book Antiqua" w:hAnsi="Book Antiqua"/>
          <w:lang w:val="pt-PT"/>
        </w:rPr>
        <w:t>: 27-28 [PMID: 24649441 DOI: 10.14581/jer.11005]</w:t>
      </w:r>
    </w:p>
    <w:p w14:paraId="12B09E31" w14:textId="77777777" w:rsidR="00B4314C" w:rsidRPr="00512804" w:rsidRDefault="0027755F">
      <w:pPr>
        <w:pStyle w:val="BodyA"/>
        <w:spacing w:line="360" w:lineRule="auto"/>
        <w:jc w:val="both"/>
      </w:pPr>
      <w:r w:rsidRPr="00512804">
        <w:rPr>
          <w:rFonts w:ascii="Book Antiqua" w:hAnsi="Book Antiqua"/>
        </w:rPr>
        <w:t xml:space="preserve">25 </w:t>
      </w:r>
      <w:r w:rsidRPr="00512804">
        <w:rPr>
          <w:rFonts w:ascii="Book Antiqua" w:hAnsi="Book Antiqua"/>
          <w:b/>
          <w:bCs/>
        </w:rPr>
        <w:t>Chonmaitree P</w:t>
      </w:r>
      <w:r w:rsidRPr="00512804">
        <w:rPr>
          <w:rFonts w:ascii="Book Antiqua" w:hAnsi="Book Antiqua"/>
        </w:rPr>
        <w:t xml:space="preserve">, Methawasin K. Transverse Myelitis in Acute Hepatitis A Infection: The Rare Co-Occurrence of Hepatology and Neurology. </w:t>
      </w:r>
      <w:r w:rsidRPr="00512804">
        <w:rPr>
          <w:rFonts w:ascii="Book Antiqua" w:hAnsi="Book Antiqua"/>
          <w:i/>
          <w:iCs/>
          <w:lang w:val="nl-NL"/>
        </w:rPr>
        <w:t>Case Rep Gastroenterol</w:t>
      </w:r>
      <w:r w:rsidRPr="00512804">
        <w:rPr>
          <w:rFonts w:ascii="Book Antiqua" w:hAnsi="Book Antiqua"/>
        </w:rPr>
        <w:t xml:space="preserve"> 2016; </w:t>
      </w:r>
      <w:r w:rsidRPr="00512804">
        <w:rPr>
          <w:rFonts w:ascii="Book Antiqua" w:hAnsi="Book Antiqua"/>
          <w:b/>
          <w:bCs/>
        </w:rPr>
        <w:t>10</w:t>
      </w:r>
      <w:r w:rsidRPr="00512804">
        <w:rPr>
          <w:rFonts w:ascii="Book Antiqua" w:hAnsi="Book Antiqua"/>
          <w:lang w:val="pt-PT"/>
        </w:rPr>
        <w:t>: 44-49 [PMID: 27403101 DOI: 10.1159/000444013]</w:t>
      </w:r>
    </w:p>
    <w:p w14:paraId="1CB166B7" w14:textId="77777777" w:rsidR="00B4314C" w:rsidRPr="00512804" w:rsidRDefault="0027755F">
      <w:pPr>
        <w:pStyle w:val="BodyA"/>
        <w:spacing w:line="360" w:lineRule="auto"/>
        <w:jc w:val="both"/>
      </w:pPr>
      <w:r w:rsidRPr="00512804">
        <w:rPr>
          <w:rFonts w:ascii="Book Antiqua" w:hAnsi="Book Antiqua"/>
        </w:rPr>
        <w:t xml:space="preserve">26 </w:t>
      </w:r>
      <w:r w:rsidRPr="00512804">
        <w:rPr>
          <w:rFonts w:ascii="Book Antiqua" w:hAnsi="Book Antiqua"/>
          <w:b/>
          <w:bCs/>
          <w:lang w:val="it-IT"/>
        </w:rPr>
        <w:t>Kappus MR</w:t>
      </w:r>
      <w:r w:rsidRPr="00512804">
        <w:rPr>
          <w:rFonts w:ascii="Book Antiqua" w:hAnsi="Book Antiqua"/>
        </w:rPr>
        <w:t xml:space="preserve">, Sterling RK. Extrahepatic manifestations of acute hepatitis B virus infection. </w:t>
      </w:r>
      <w:r w:rsidRPr="00512804">
        <w:rPr>
          <w:rFonts w:ascii="Book Antiqua" w:hAnsi="Book Antiqua"/>
          <w:i/>
          <w:iCs/>
          <w:lang w:val="pt-PT"/>
        </w:rPr>
        <w:t>Gastroenterol Hepatol (N Y)</w:t>
      </w:r>
      <w:r w:rsidRPr="00512804">
        <w:rPr>
          <w:rFonts w:ascii="Book Antiqua" w:hAnsi="Book Antiqua"/>
        </w:rPr>
        <w:t xml:space="preserve"> 2013; </w:t>
      </w:r>
      <w:r w:rsidRPr="00512804">
        <w:rPr>
          <w:rFonts w:ascii="Book Antiqua" w:hAnsi="Book Antiqua"/>
          <w:b/>
          <w:bCs/>
        </w:rPr>
        <w:t>9</w:t>
      </w:r>
      <w:r w:rsidRPr="00512804">
        <w:rPr>
          <w:rFonts w:ascii="Book Antiqua" w:hAnsi="Book Antiqua"/>
          <w:lang w:val="pt-PT"/>
        </w:rPr>
        <w:t>: 123-126 [PMID: 23983659]</w:t>
      </w:r>
    </w:p>
    <w:p w14:paraId="5CBE34B3" w14:textId="77777777" w:rsidR="00B4314C" w:rsidRPr="00512804" w:rsidRDefault="0027755F">
      <w:pPr>
        <w:pStyle w:val="BodyA"/>
        <w:spacing w:line="360" w:lineRule="auto"/>
        <w:jc w:val="both"/>
      </w:pPr>
      <w:r w:rsidRPr="00512804">
        <w:rPr>
          <w:rFonts w:ascii="Book Antiqua" w:hAnsi="Book Antiqua"/>
        </w:rPr>
        <w:t xml:space="preserve">27 </w:t>
      </w:r>
      <w:r w:rsidRPr="00512804">
        <w:rPr>
          <w:rFonts w:ascii="Book Antiqua" w:hAnsi="Book Antiqua"/>
          <w:b/>
          <w:bCs/>
          <w:lang w:val="nl-NL"/>
        </w:rPr>
        <w:t>van Alfen N</w:t>
      </w:r>
      <w:r w:rsidRPr="00512804">
        <w:rPr>
          <w:rFonts w:ascii="Book Antiqua" w:hAnsi="Book Antiqua"/>
        </w:rPr>
        <w:t xml:space="preserve">, van Engelen BG. The clinical spectrum of neuralgic amyotrophy in 246 cases. </w:t>
      </w:r>
      <w:r w:rsidRPr="00512804">
        <w:rPr>
          <w:rFonts w:ascii="Book Antiqua" w:hAnsi="Book Antiqua"/>
          <w:i/>
          <w:iCs/>
          <w:lang w:val="fr-FR"/>
        </w:rPr>
        <w:t>Brain</w:t>
      </w:r>
      <w:r w:rsidRPr="00512804">
        <w:rPr>
          <w:rFonts w:ascii="Book Antiqua" w:hAnsi="Book Antiqua"/>
        </w:rPr>
        <w:t xml:space="preserve"> 2006; </w:t>
      </w:r>
      <w:r w:rsidRPr="00512804">
        <w:rPr>
          <w:rFonts w:ascii="Book Antiqua" w:hAnsi="Book Antiqua"/>
          <w:b/>
          <w:bCs/>
        </w:rPr>
        <w:t>129</w:t>
      </w:r>
      <w:r w:rsidRPr="00512804">
        <w:rPr>
          <w:rFonts w:ascii="Book Antiqua" w:hAnsi="Book Antiqua"/>
          <w:lang w:val="pt-PT"/>
        </w:rPr>
        <w:t>: 438-450 [PMID: 16371410 DOI: 10.1093/brain/awh722]</w:t>
      </w:r>
    </w:p>
    <w:p w14:paraId="07F8960A" w14:textId="77777777" w:rsidR="00B4314C" w:rsidRPr="00512804" w:rsidRDefault="0027755F">
      <w:pPr>
        <w:pStyle w:val="BodyA"/>
        <w:spacing w:line="360" w:lineRule="auto"/>
        <w:jc w:val="both"/>
        <w:rPr>
          <w:lang w:val="nl-NL"/>
        </w:rPr>
      </w:pPr>
      <w:r w:rsidRPr="00512804">
        <w:rPr>
          <w:rFonts w:ascii="Book Antiqua" w:hAnsi="Book Antiqua"/>
        </w:rPr>
        <w:t xml:space="preserve">28 </w:t>
      </w:r>
      <w:r w:rsidRPr="00512804">
        <w:rPr>
          <w:rFonts w:ascii="Book Antiqua" w:hAnsi="Book Antiqua"/>
          <w:b/>
          <w:bCs/>
          <w:lang w:val="nl-NL"/>
        </w:rPr>
        <w:t>van Eijk JJ</w:t>
      </w:r>
      <w:r w:rsidRPr="00512804">
        <w:rPr>
          <w:rFonts w:ascii="Book Antiqua" w:hAnsi="Book Antiqua"/>
          <w:lang w:val="nl-NL"/>
        </w:rPr>
        <w:t xml:space="preserve">, Madden RG, van der Eijk AA, Hunter JG, Reimerink JH, Bendall RP, Pas SD, Ellis V, van Alfen N, Beynon L, Southwell L, McLean B, Jacobs BC, van Engelen BG, Dalton HR. Neuralgic amyotrophy and hepatitis E virus infection. </w:t>
      </w:r>
      <w:r w:rsidRPr="00512804">
        <w:rPr>
          <w:rFonts w:ascii="Book Antiqua" w:hAnsi="Book Antiqua"/>
          <w:i/>
          <w:iCs/>
          <w:lang w:val="nl-NL"/>
        </w:rPr>
        <w:t>Neurology</w:t>
      </w:r>
      <w:r w:rsidRPr="00512804">
        <w:rPr>
          <w:rFonts w:ascii="Book Antiqua" w:hAnsi="Book Antiqua"/>
          <w:lang w:val="nl-NL"/>
        </w:rPr>
        <w:t xml:space="preserve"> 2014; </w:t>
      </w:r>
      <w:r w:rsidRPr="00512804">
        <w:rPr>
          <w:rFonts w:ascii="Book Antiqua" w:hAnsi="Book Antiqua"/>
          <w:b/>
          <w:bCs/>
          <w:lang w:val="nl-NL"/>
        </w:rPr>
        <w:t>82</w:t>
      </w:r>
      <w:r w:rsidRPr="00512804">
        <w:rPr>
          <w:rFonts w:ascii="Book Antiqua" w:hAnsi="Book Antiqua"/>
          <w:lang w:val="pt-PT"/>
        </w:rPr>
        <w:t>: 498-503 [PMID: 24401685 DOI: 10.1212/WNL.0000000000000112]</w:t>
      </w:r>
    </w:p>
    <w:p w14:paraId="66A0BD65" w14:textId="77777777" w:rsidR="00B4314C" w:rsidRPr="00512804" w:rsidRDefault="0027755F">
      <w:pPr>
        <w:pStyle w:val="BodyA"/>
        <w:spacing w:line="360" w:lineRule="auto"/>
        <w:jc w:val="both"/>
      </w:pPr>
      <w:r w:rsidRPr="00512804">
        <w:rPr>
          <w:rFonts w:ascii="Book Antiqua" w:hAnsi="Book Antiqua"/>
          <w:lang w:val="nl-NL"/>
        </w:rPr>
        <w:t xml:space="preserve">29 </w:t>
      </w:r>
      <w:r w:rsidRPr="00512804">
        <w:rPr>
          <w:rFonts w:ascii="Book Antiqua" w:hAnsi="Book Antiqua"/>
          <w:b/>
          <w:bCs/>
          <w:lang w:val="nl-NL"/>
        </w:rPr>
        <w:t>van Eijk JJJ</w:t>
      </w:r>
      <w:r w:rsidRPr="00512804">
        <w:rPr>
          <w:rFonts w:ascii="Book Antiqua" w:hAnsi="Book Antiqua"/>
          <w:lang w:val="de-DE"/>
        </w:rPr>
        <w:t>, Dalton HR, Ripellino P, Madden RG, Jones C, Fritz M, Gobbi C, Melli G, Pasi E, Herrod J, Lissmann RF, Ashraf HH, Abdelrahim M, Masri OABAL, Fraga M, Benninger D, Kuntzer T, Aubert V, Sahli R, Moradpour D, Blasco-Perrin H, Attarian S, G</w:t>
      </w:r>
      <w:r w:rsidRPr="00512804">
        <w:rPr>
          <w:rFonts w:ascii="Book Antiqua" w:hAnsi="Book Antiqua"/>
          <w:lang w:val="nl-NL"/>
        </w:rPr>
        <w:t xml:space="preserve">érolami R, Colson P, Giordani MT, Hartl J, Pischke S, Lin NX, Mclean BN, Bendall RP, Panning M, Peron JM, Kamar N, Izopet J, Jacobs BC, van Alfen N, van Engelen BGM. </w:t>
      </w:r>
      <w:r w:rsidRPr="00512804">
        <w:rPr>
          <w:rFonts w:ascii="Book Antiqua" w:hAnsi="Book Antiqua"/>
        </w:rPr>
        <w:t xml:space="preserve">Clinical phenotype and outcome of hepatitis E virus-associated neuralgic amyotrophy. </w:t>
      </w:r>
      <w:r w:rsidRPr="00512804">
        <w:rPr>
          <w:rFonts w:ascii="Book Antiqua" w:hAnsi="Book Antiqua"/>
          <w:i/>
          <w:iCs/>
        </w:rPr>
        <w:t>Neurology</w:t>
      </w:r>
      <w:r w:rsidRPr="00512804">
        <w:rPr>
          <w:rFonts w:ascii="Book Antiqua" w:hAnsi="Book Antiqua"/>
        </w:rPr>
        <w:t xml:space="preserve"> 2017; </w:t>
      </w:r>
      <w:r w:rsidRPr="00512804">
        <w:rPr>
          <w:rFonts w:ascii="Book Antiqua" w:hAnsi="Book Antiqua"/>
          <w:b/>
          <w:bCs/>
        </w:rPr>
        <w:t>89</w:t>
      </w:r>
      <w:r w:rsidRPr="00512804">
        <w:rPr>
          <w:rFonts w:ascii="Book Antiqua" w:hAnsi="Book Antiqua"/>
          <w:lang w:val="pt-PT"/>
        </w:rPr>
        <w:t>: 909-917 [PMID: 28768846 DOI: 10.1212/WNL.0000000000004297]</w:t>
      </w:r>
    </w:p>
    <w:p w14:paraId="3F8EBBA2" w14:textId="77777777" w:rsidR="00B4314C" w:rsidRPr="00512804" w:rsidRDefault="0027755F">
      <w:pPr>
        <w:pStyle w:val="BodyA"/>
        <w:spacing w:line="360" w:lineRule="auto"/>
        <w:jc w:val="both"/>
      </w:pPr>
      <w:r w:rsidRPr="00512804">
        <w:rPr>
          <w:rFonts w:ascii="Book Antiqua" w:hAnsi="Book Antiqua"/>
        </w:rPr>
        <w:t xml:space="preserve">30 </w:t>
      </w:r>
      <w:r w:rsidRPr="00512804">
        <w:rPr>
          <w:rFonts w:ascii="Book Antiqua" w:hAnsi="Book Antiqua"/>
          <w:b/>
          <w:bCs/>
        </w:rPr>
        <w:t>Fong F</w:t>
      </w:r>
      <w:r w:rsidRPr="00512804">
        <w:rPr>
          <w:rFonts w:ascii="Book Antiqua" w:hAnsi="Book Antiqua"/>
        </w:rPr>
        <w:t xml:space="preserve">, Illahi M. Neuralgic amyotrophy associated with hepatitis E virus. </w:t>
      </w:r>
      <w:r w:rsidRPr="00512804">
        <w:rPr>
          <w:rFonts w:ascii="Book Antiqua" w:hAnsi="Book Antiqua"/>
          <w:i/>
          <w:iCs/>
          <w:lang w:val="de-DE"/>
        </w:rPr>
        <w:t>Clin Neurol Neurosurg</w:t>
      </w:r>
      <w:r w:rsidRPr="00512804">
        <w:rPr>
          <w:rFonts w:ascii="Book Antiqua" w:hAnsi="Book Antiqua"/>
        </w:rPr>
        <w:t xml:space="preserve"> 2009; </w:t>
      </w:r>
      <w:r w:rsidRPr="00512804">
        <w:rPr>
          <w:rFonts w:ascii="Book Antiqua" w:hAnsi="Book Antiqua"/>
          <w:b/>
          <w:bCs/>
        </w:rPr>
        <w:t>111</w:t>
      </w:r>
      <w:r w:rsidRPr="00512804">
        <w:rPr>
          <w:rFonts w:ascii="Book Antiqua" w:hAnsi="Book Antiqua"/>
          <w:lang w:val="pt-PT"/>
        </w:rPr>
        <w:t>: 193-195 [PMID: 18986757 DOI: 10.1016/j.clineuro.2008.09.005]</w:t>
      </w:r>
    </w:p>
    <w:p w14:paraId="61C11DED" w14:textId="77777777" w:rsidR="00B4314C" w:rsidRPr="00512804" w:rsidRDefault="0027755F">
      <w:pPr>
        <w:pStyle w:val="BodyA"/>
        <w:spacing w:line="360" w:lineRule="auto"/>
        <w:jc w:val="both"/>
      </w:pPr>
      <w:r w:rsidRPr="00512804">
        <w:rPr>
          <w:rFonts w:ascii="Book Antiqua" w:hAnsi="Book Antiqua"/>
          <w:lang w:val="ru-RU"/>
        </w:rPr>
        <w:t xml:space="preserve">31 </w:t>
      </w:r>
      <w:r w:rsidRPr="00512804">
        <w:rPr>
          <w:rFonts w:ascii="Book Antiqua" w:hAnsi="Book Antiqua"/>
          <w:b/>
          <w:bCs/>
          <w:lang w:val="da-DK"/>
        </w:rPr>
        <w:t>Rianthavorn P</w:t>
      </w:r>
      <w:r w:rsidRPr="00512804">
        <w:rPr>
          <w:rFonts w:ascii="Book Antiqua" w:hAnsi="Book Antiqua"/>
        </w:rPr>
        <w:t xml:space="preserve">, Thongmee C, Limpaphayom N, Komolmit P, Theamboonlers A, Poovorawan Y. The entire genome sequence of hepatitis E virus genotype 3 isolated from a patient with neuralgic amyotrophy. </w:t>
      </w:r>
      <w:r w:rsidRPr="00512804">
        <w:rPr>
          <w:rFonts w:ascii="Book Antiqua" w:hAnsi="Book Antiqua"/>
          <w:i/>
          <w:iCs/>
        </w:rPr>
        <w:t>Scand J Infect Dis</w:t>
      </w:r>
      <w:r w:rsidRPr="00512804">
        <w:rPr>
          <w:rFonts w:ascii="Book Antiqua" w:hAnsi="Book Antiqua"/>
        </w:rPr>
        <w:t xml:space="preserve"> 2010; </w:t>
      </w:r>
      <w:r w:rsidRPr="00512804">
        <w:rPr>
          <w:rFonts w:ascii="Book Antiqua" w:hAnsi="Book Antiqua"/>
          <w:b/>
          <w:bCs/>
        </w:rPr>
        <w:t>42</w:t>
      </w:r>
      <w:r w:rsidRPr="00512804">
        <w:rPr>
          <w:rFonts w:ascii="Book Antiqua" w:hAnsi="Book Antiqua"/>
          <w:lang w:val="pt-PT"/>
        </w:rPr>
        <w:t>: 395-400 [PMID: 20100114 DOI: 10.3109/00365540903496551]</w:t>
      </w:r>
    </w:p>
    <w:p w14:paraId="48A5F267" w14:textId="77777777" w:rsidR="00B4314C" w:rsidRPr="00512804" w:rsidRDefault="0027755F">
      <w:pPr>
        <w:pStyle w:val="BodyA"/>
        <w:spacing w:line="360" w:lineRule="auto"/>
        <w:jc w:val="both"/>
      </w:pPr>
      <w:r w:rsidRPr="00512804">
        <w:rPr>
          <w:rFonts w:ascii="Book Antiqua" w:hAnsi="Book Antiqua"/>
        </w:rPr>
        <w:t xml:space="preserve">32 </w:t>
      </w:r>
      <w:r w:rsidRPr="00512804">
        <w:rPr>
          <w:rFonts w:ascii="Book Antiqua" w:hAnsi="Book Antiqua"/>
          <w:b/>
          <w:bCs/>
          <w:lang w:val="it-IT"/>
        </w:rPr>
        <w:t>Carli P</w:t>
      </w:r>
      <w:r w:rsidRPr="00512804">
        <w:rPr>
          <w:rFonts w:ascii="Book Antiqua" w:hAnsi="Book Antiqua"/>
        </w:rPr>
        <w:t xml:space="preserve">, Landais C, Poisnel E, Cournac JM, Aletti M, Paris JF, Martinez V. [Shoulder pain in a 30-year-old man]. </w:t>
      </w:r>
      <w:r w:rsidRPr="00512804">
        <w:rPr>
          <w:rFonts w:ascii="Book Antiqua" w:hAnsi="Book Antiqua"/>
          <w:i/>
          <w:iCs/>
        </w:rPr>
        <w:t>Rev Med Interne</w:t>
      </w:r>
      <w:r w:rsidRPr="00512804">
        <w:rPr>
          <w:rFonts w:ascii="Book Antiqua" w:hAnsi="Book Antiqua"/>
        </w:rPr>
        <w:t xml:space="preserve"> 2012; </w:t>
      </w:r>
      <w:r w:rsidRPr="00512804">
        <w:rPr>
          <w:rFonts w:ascii="Book Antiqua" w:hAnsi="Book Antiqua"/>
          <w:b/>
          <w:bCs/>
        </w:rPr>
        <w:t>33</w:t>
      </w:r>
      <w:r w:rsidRPr="00512804">
        <w:rPr>
          <w:rFonts w:ascii="Book Antiqua" w:hAnsi="Book Antiqua"/>
        </w:rPr>
        <w:t>: 111-114 [PMID: 22192515 DOI: 10.1016/j.revmed.2011.11.004]</w:t>
      </w:r>
    </w:p>
    <w:p w14:paraId="21512313" w14:textId="77777777" w:rsidR="00B4314C" w:rsidRPr="00512804" w:rsidRDefault="0027755F">
      <w:pPr>
        <w:pStyle w:val="BodyA"/>
        <w:spacing w:line="360" w:lineRule="auto"/>
        <w:jc w:val="both"/>
      </w:pPr>
      <w:r w:rsidRPr="00512804">
        <w:rPr>
          <w:rFonts w:ascii="Book Antiqua" w:hAnsi="Book Antiqua"/>
        </w:rPr>
        <w:t xml:space="preserve">33 </w:t>
      </w:r>
      <w:r w:rsidRPr="00512804">
        <w:rPr>
          <w:rFonts w:ascii="Book Antiqua" w:hAnsi="Book Antiqua"/>
          <w:b/>
          <w:bCs/>
        </w:rPr>
        <w:t>Moisset X</w:t>
      </w:r>
      <w:r w:rsidRPr="00512804">
        <w:rPr>
          <w:rFonts w:ascii="Book Antiqua" w:hAnsi="Book Antiqua"/>
        </w:rPr>
        <w:t xml:space="preserve">, Vitello N, Bicilli E, Courtin R, Ferrier A, Taithe F, Lahaye C, Hssain AA, Garrouste C, Pierre C. Severe bilateral amyotrophic neuralgia associated with major dysphagia secondary to acute hepatitis E. </w:t>
      </w:r>
      <w:r w:rsidRPr="00512804">
        <w:rPr>
          <w:rFonts w:ascii="Book Antiqua" w:hAnsi="Book Antiqua"/>
          <w:i/>
          <w:iCs/>
        </w:rPr>
        <w:t>F1000Res</w:t>
      </w:r>
      <w:r w:rsidRPr="00512804">
        <w:rPr>
          <w:rFonts w:ascii="Book Antiqua" w:hAnsi="Book Antiqua"/>
        </w:rPr>
        <w:t xml:space="preserve"> 2013; </w:t>
      </w:r>
      <w:r w:rsidRPr="00512804">
        <w:rPr>
          <w:rFonts w:ascii="Book Antiqua" w:hAnsi="Book Antiqua"/>
          <w:b/>
          <w:bCs/>
        </w:rPr>
        <w:t>2</w:t>
      </w:r>
      <w:r w:rsidRPr="00512804">
        <w:rPr>
          <w:rFonts w:ascii="Book Antiqua" w:hAnsi="Book Antiqua"/>
          <w:lang w:val="pt-PT"/>
        </w:rPr>
        <w:t>: 259 [PMID: 24555112 DOI: 10.12688/f1000research.2-259.v2]</w:t>
      </w:r>
    </w:p>
    <w:p w14:paraId="40BB5895" w14:textId="77777777" w:rsidR="00B4314C" w:rsidRPr="00512804" w:rsidRDefault="0027755F">
      <w:pPr>
        <w:pStyle w:val="BodyA"/>
        <w:spacing w:line="360" w:lineRule="auto"/>
        <w:jc w:val="both"/>
      </w:pPr>
      <w:r w:rsidRPr="00512804">
        <w:rPr>
          <w:rFonts w:ascii="Book Antiqua" w:hAnsi="Book Antiqua"/>
          <w:lang w:val="ru-RU"/>
        </w:rPr>
        <w:t xml:space="preserve">34 </w:t>
      </w:r>
      <w:r w:rsidRPr="00512804">
        <w:rPr>
          <w:rFonts w:ascii="Book Antiqua" w:hAnsi="Book Antiqua"/>
          <w:b/>
          <w:bCs/>
          <w:lang w:val="it-IT"/>
        </w:rPr>
        <w:t>Motte A</w:t>
      </w:r>
      <w:r w:rsidRPr="00512804">
        <w:rPr>
          <w:rFonts w:ascii="Book Antiqua" w:hAnsi="Book Antiqua"/>
        </w:rPr>
        <w:t xml:space="preserve">, Franques J, Weitten T, Colson P. Hepatitis E-associated Parsonage-Turner syndrome, France. </w:t>
      </w:r>
      <w:r w:rsidRPr="00512804">
        <w:rPr>
          <w:rFonts w:ascii="Book Antiqua" w:hAnsi="Book Antiqua"/>
          <w:i/>
          <w:iCs/>
          <w:lang w:val="pt-PT"/>
        </w:rPr>
        <w:t>Clin Res Hepatol Gastroenterol</w:t>
      </w:r>
      <w:r w:rsidRPr="00512804">
        <w:rPr>
          <w:rFonts w:ascii="Book Antiqua" w:hAnsi="Book Antiqua"/>
        </w:rPr>
        <w:t xml:space="preserve"> 2014; </w:t>
      </w:r>
      <w:r w:rsidRPr="00512804">
        <w:rPr>
          <w:rFonts w:ascii="Book Antiqua" w:hAnsi="Book Antiqua"/>
          <w:b/>
          <w:bCs/>
        </w:rPr>
        <w:t>38</w:t>
      </w:r>
      <w:r w:rsidRPr="00512804">
        <w:rPr>
          <w:rFonts w:ascii="Book Antiqua" w:hAnsi="Book Antiqua"/>
          <w:lang w:val="pt-PT"/>
        </w:rPr>
        <w:t>: e11-e14 [PMID: 24246798 DOI: 10.1016/j.clinre.2013.08.011]</w:t>
      </w:r>
    </w:p>
    <w:p w14:paraId="6E422D4F" w14:textId="77777777" w:rsidR="00B4314C" w:rsidRPr="00512804" w:rsidRDefault="0027755F">
      <w:pPr>
        <w:pStyle w:val="BodyA"/>
        <w:spacing w:line="360" w:lineRule="auto"/>
        <w:jc w:val="both"/>
      </w:pPr>
      <w:r w:rsidRPr="00512804">
        <w:rPr>
          <w:rFonts w:ascii="Book Antiqua" w:hAnsi="Book Antiqua"/>
        </w:rPr>
        <w:t xml:space="preserve">35 </w:t>
      </w:r>
      <w:r w:rsidRPr="00512804">
        <w:rPr>
          <w:rFonts w:ascii="Book Antiqua" w:hAnsi="Book Antiqua"/>
          <w:b/>
          <w:bCs/>
          <w:lang w:val="fr-FR"/>
        </w:rPr>
        <w:t>Deroux A</w:t>
      </w:r>
      <w:r w:rsidRPr="00512804">
        <w:rPr>
          <w:rFonts w:ascii="Book Antiqua" w:hAnsi="Book Antiqua"/>
        </w:rPr>
        <w:t xml:space="preserve">, Brion JP, Hyerle L, Belbezier A, Vaillant M, Mosnier E, Larrat S, Morand P, Pavese P. Association between hepatitis E and neurological disorders: two case studies and literature review. </w:t>
      </w:r>
      <w:r w:rsidRPr="00512804">
        <w:rPr>
          <w:rFonts w:ascii="Book Antiqua" w:hAnsi="Book Antiqua"/>
          <w:i/>
          <w:iCs/>
        </w:rPr>
        <w:t>J Clin Virol</w:t>
      </w:r>
      <w:r w:rsidRPr="00512804">
        <w:rPr>
          <w:rFonts w:ascii="Book Antiqua" w:hAnsi="Book Antiqua"/>
        </w:rPr>
        <w:t xml:space="preserve"> 2014; </w:t>
      </w:r>
      <w:r w:rsidRPr="00512804">
        <w:rPr>
          <w:rFonts w:ascii="Book Antiqua" w:hAnsi="Book Antiqua"/>
          <w:b/>
          <w:bCs/>
        </w:rPr>
        <w:t>60</w:t>
      </w:r>
      <w:r w:rsidRPr="00512804">
        <w:rPr>
          <w:rFonts w:ascii="Book Antiqua" w:hAnsi="Book Antiqua"/>
          <w:lang w:val="pt-PT"/>
        </w:rPr>
        <w:t>: 60-62 [PMID: 24583064 DOI: 10.1016/j.jcv.2014.01.026]</w:t>
      </w:r>
    </w:p>
    <w:p w14:paraId="7BD12017" w14:textId="77777777" w:rsidR="00B4314C" w:rsidRPr="00512804" w:rsidRDefault="0027755F">
      <w:pPr>
        <w:pStyle w:val="BodyA"/>
        <w:spacing w:line="360" w:lineRule="auto"/>
        <w:jc w:val="both"/>
      </w:pPr>
      <w:r w:rsidRPr="00512804">
        <w:rPr>
          <w:rFonts w:ascii="Book Antiqua" w:hAnsi="Book Antiqua"/>
        </w:rPr>
        <w:t xml:space="preserve">36 </w:t>
      </w:r>
      <w:r w:rsidRPr="00512804">
        <w:rPr>
          <w:rFonts w:ascii="Book Antiqua" w:hAnsi="Book Antiqua"/>
          <w:b/>
          <w:bCs/>
          <w:lang w:val="de-DE"/>
        </w:rPr>
        <w:t>Perrin HB</w:t>
      </w:r>
      <w:r w:rsidRPr="00512804">
        <w:rPr>
          <w:rFonts w:ascii="Book Antiqua" w:hAnsi="Book Antiqua"/>
          <w:lang w:val="it-IT"/>
        </w:rPr>
        <w:t>, Cintas P, Abravanel F, G</w:t>
      </w:r>
      <w:r w:rsidRPr="00512804">
        <w:rPr>
          <w:rFonts w:ascii="Book Antiqua" w:hAnsi="Book Antiqua"/>
        </w:rPr>
        <w:t xml:space="preserve">érolami R, d'Alteroche L, Raynal JN, Alric L, Dupuis E, Prudhomme L, Vaucher E, Couzigou P, Liversain JM, Bureau C, Vinel JP, Kamar N, Izopet J, Peron JM. Neurologic Disorders in Immunocompetent Patients with Autochthonous Acute Hepatitis E. </w:t>
      </w:r>
      <w:r w:rsidRPr="00512804">
        <w:rPr>
          <w:rFonts w:ascii="Book Antiqua" w:hAnsi="Book Antiqua"/>
          <w:i/>
          <w:iCs/>
        </w:rPr>
        <w:t>Emerg Infect Dis</w:t>
      </w:r>
      <w:r w:rsidRPr="00512804">
        <w:rPr>
          <w:rFonts w:ascii="Book Antiqua" w:hAnsi="Book Antiqua"/>
        </w:rPr>
        <w:t xml:space="preserve"> 2015; </w:t>
      </w:r>
      <w:r w:rsidRPr="00512804">
        <w:rPr>
          <w:rFonts w:ascii="Book Antiqua" w:hAnsi="Book Antiqua"/>
          <w:b/>
          <w:bCs/>
        </w:rPr>
        <w:t>21</w:t>
      </w:r>
      <w:r w:rsidRPr="00512804">
        <w:rPr>
          <w:rFonts w:ascii="Book Antiqua" w:hAnsi="Book Antiqua"/>
          <w:lang w:val="pt-PT"/>
        </w:rPr>
        <w:t>: 1928-1934 [PMID: 26490255 DOI: 10.3201/eid2111.141789]</w:t>
      </w:r>
    </w:p>
    <w:p w14:paraId="20C8FDE1" w14:textId="77777777" w:rsidR="00B4314C" w:rsidRPr="00512804" w:rsidRDefault="0027755F">
      <w:pPr>
        <w:pStyle w:val="BodyA"/>
        <w:spacing w:line="360" w:lineRule="auto"/>
        <w:jc w:val="both"/>
      </w:pPr>
      <w:r w:rsidRPr="00512804">
        <w:rPr>
          <w:rFonts w:ascii="Book Antiqua" w:hAnsi="Book Antiqua"/>
        </w:rPr>
        <w:t xml:space="preserve">37 </w:t>
      </w:r>
      <w:r w:rsidRPr="00512804">
        <w:rPr>
          <w:rFonts w:ascii="Book Antiqua" w:hAnsi="Book Antiqua"/>
          <w:b/>
          <w:bCs/>
        </w:rPr>
        <w:t>Dé</w:t>
      </w:r>
      <w:r w:rsidRPr="00512804">
        <w:rPr>
          <w:rFonts w:ascii="Book Antiqua" w:hAnsi="Book Antiqua"/>
          <w:b/>
          <w:bCs/>
          <w:lang w:val="it-IT"/>
        </w:rPr>
        <w:t>card BF</w:t>
      </w:r>
      <w:r w:rsidRPr="00512804">
        <w:rPr>
          <w:rFonts w:ascii="Book Antiqua" w:hAnsi="Book Antiqua"/>
        </w:rPr>
        <w:t xml:space="preserve">, Grimm A, Andelova M, Deman A, Banderet B, Garcia M, Fuhr P. Hepatitis-E virus associated neuralgic amyotrophy with sustained plexus brachialis swelling visualized by high-resolution ultrasound. </w:t>
      </w:r>
      <w:r w:rsidRPr="00512804">
        <w:rPr>
          <w:rFonts w:ascii="Book Antiqua" w:hAnsi="Book Antiqua"/>
          <w:i/>
          <w:iCs/>
          <w:lang w:val="de-DE"/>
        </w:rPr>
        <w:t>J Neurol Sci</w:t>
      </w:r>
      <w:r w:rsidRPr="00512804">
        <w:rPr>
          <w:rFonts w:ascii="Book Antiqua" w:hAnsi="Book Antiqua"/>
        </w:rPr>
        <w:t xml:space="preserve"> 2015; </w:t>
      </w:r>
      <w:r w:rsidRPr="00512804">
        <w:rPr>
          <w:rFonts w:ascii="Book Antiqua" w:hAnsi="Book Antiqua"/>
          <w:b/>
          <w:bCs/>
        </w:rPr>
        <w:t>351</w:t>
      </w:r>
      <w:r w:rsidRPr="00512804">
        <w:rPr>
          <w:rFonts w:ascii="Book Antiqua" w:hAnsi="Book Antiqua"/>
          <w:lang w:val="pt-PT"/>
        </w:rPr>
        <w:t>: 208-210 [PMID: 25769655 DOI: 10.1016/j.jns.2015.03.003]</w:t>
      </w:r>
    </w:p>
    <w:p w14:paraId="59C06D64" w14:textId="77777777" w:rsidR="00B4314C" w:rsidRPr="00512804" w:rsidRDefault="0027755F">
      <w:pPr>
        <w:pStyle w:val="BodyA"/>
        <w:spacing w:line="360" w:lineRule="auto"/>
        <w:jc w:val="both"/>
      </w:pPr>
      <w:r w:rsidRPr="00512804">
        <w:rPr>
          <w:rFonts w:ascii="Book Antiqua" w:hAnsi="Book Antiqua"/>
        </w:rPr>
        <w:t xml:space="preserve">38 </w:t>
      </w:r>
      <w:r w:rsidRPr="00512804">
        <w:rPr>
          <w:rFonts w:ascii="Book Antiqua" w:hAnsi="Book Antiqua"/>
          <w:b/>
          <w:bCs/>
        </w:rPr>
        <w:t>Theochari E</w:t>
      </w:r>
      <w:r w:rsidRPr="00512804">
        <w:rPr>
          <w:rFonts w:ascii="Book Antiqua" w:hAnsi="Book Antiqua"/>
        </w:rPr>
        <w:t xml:space="preserve">, Vincent-Smith L, Ellis C. Neuralgic amyotrophy complicating acute hepatitis E infection: a rare association. </w:t>
      </w:r>
      <w:r w:rsidRPr="00512804">
        <w:rPr>
          <w:rFonts w:ascii="Book Antiqua" w:hAnsi="Book Antiqua"/>
          <w:i/>
          <w:iCs/>
          <w:lang w:val="it-IT"/>
        </w:rPr>
        <w:t>BMJ Case Rep</w:t>
      </w:r>
      <w:r w:rsidRPr="00512804">
        <w:rPr>
          <w:rFonts w:ascii="Book Antiqua" w:hAnsi="Book Antiqua"/>
        </w:rPr>
        <w:t xml:space="preserve"> 2015; </w:t>
      </w:r>
      <w:r w:rsidRPr="00512804">
        <w:rPr>
          <w:rFonts w:ascii="Book Antiqua" w:hAnsi="Book Antiqua"/>
          <w:b/>
          <w:bCs/>
        </w:rPr>
        <w:t>2015</w:t>
      </w:r>
      <w:r w:rsidRPr="00512804">
        <w:rPr>
          <w:rFonts w:ascii="Book Antiqua" w:hAnsi="Book Antiqua"/>
          <w:lang w:val="pt-PT"/>
        </w:rPr>
        <w:t xml:space="preserve"> [PMID: 25739795 DOI: 10.1136/bcr-2014-207669]</w:t>
      </w:r>
    </w:p>
    <w:p w14:paraId="46316833" w14:textId="77777777" w:rsidR="00B4314C" w:rsidRPr="00512804" w:rsidRDefault="0027755F">
      <w:pPr>
        <w:pStyle w:val="BodyA"/>
        <w:spacing w:line="360" w:lineRule="auto"/>
        <w:jc w:val="both"/>
      </w:pPr>
      <w:r w:rsidRPr="00512804">
        <w:rPr>
          <w:rFonts w:ascii="Book Antiqua" w:hAnsi="Book Antiqua"/>
        </w:rPr>
        <w:t xml:space="preserve">39 </w:t>
      </w:r>
      <w:r w:rsidRPr="00512804">
        <w:rPr>
          <w:rFonts w:ascii="Book Antiqua" w:hAnsi="Book Antiqua"/>
          <w:b/>
          <w:bCs/>
          <w:lang w:val="fr-FR"/>
        </w:rPr>
        <w:t>Mart</w:t>
      </w:r>
      <w:r w:rsidRPr="00512804">
        <w:rPr>
          <w:rFonts w:ascii="Book Antiqua" w:hAnsi="Book Antiqua"/>
          <w:b/>
          <w:bCs/>
        </w:rPr>
        <w:t>í</w:t>
      </w:r>
      <w:r w:rsidRPr="00512804">
        <w:rPr>
          <w:rFonts w:ascii="Book Antiqua" w:hAnsi="Book Antiqua"/>
          <w:b/>
          <w:bCs/>
          <w:lang w:val="es-ES_tradnl"/>
        </w:rPr>
        <w:t>nez Rodr</w:t>
      </w:r>
      <w:r w:rsidRPr="00512804">
        <w:rPr>
          <w:rFonts w:ascii="Book Antiqua" w:hAnsi="Book Antiqua"/>
          <w:b/>
          <w:bCs/>
        </w:rPr>
        <w:t>í</w:t>
      </w:r>
      <w:r w:rsidRPr="00512804">
        <w:rPr>
          <w:rFonts w:ascii="Book Antiqua" w:hAnsi="Book Antiqua"/>
          <w:b/>
          <w:bCs/>
          <w:lang w:val="es-ES_tradnl"/>
        </w:rPr>
        <w:t>guez L</w:t>
      </w:r>
      <w:r w:rsidRPr="00512804">
        <w:rPr>
          <w:rFonts w:ascii="Book Antiqua" w:hAnsi="Book Antiqua"/>
          <w:lang w:val="es-ES_tradnl"/>
        </w:rPr>
        <w:t>, Carvajal P, Mor</w:t>
      </w:r>
      <w:r w:rsidRPr="00512804">
        <w:rPr>
          <w:rFonts w:ascii="Book Antiqua" w:hAnsi="Book Antiqua"/>
        </w:rPr>
        <w:t xml:space="preserve">ís G. [Neuralgic amyotrophy associated to hepatitis E virus infection]. </w:t>
      </w:r>
      <w:r w:rsidRPr="00512804">
        <w:rPr>
          <w:rFonts w:ascii="Book Antiqua" w:hAnsi="Book Antiqua"/>
          <w:i/>
          <w:iCs/>
          <w:lang w:val="fr-FR"/>
        </w:rPr>
        <w:t>Med Clin (Barc)</w:t>
      </w:r>
      <w:r w:rsidRPr="00512804">
        <w:rPr>
          <w:rFonts w:ascii="Book Antiqua" w:hAnsi="Book Antiqua"/>
        </w:rPr>
        <w:t xml:space="preserve"> 2015; </w:t>
      </w:r>
      <w:r w:rsidRPr="00512804">
        <w:rPr>
          <w:rFonts w:ascii="Book Antiqua" w:hAnsi="Book Antiqua"/>
          <w:b/>
          <w:bCs/>
        </w:rPr>
        <w:t>145</w:t>
      </w:r>
      <w:r w:rsidRPr="00512804">
        <w:rPr>
          <w:rFonts w:ascii="Book Antiqua" w:hAnsi="Book Antiqua"/>
          <w:lang w:val="pt-PT"/>
        </w:rPr>
        <w:t>: 462-463 [PMID: 25817452 DOI: 10.1016/j.medcli.2015.01.021]</w:t>
      </w:r>
    </w:p>
    <w:p w14:paraId="70774251" w14:textId="77777777" w:rsidR="00B4314C" w:rsidRPr="00512804" w:rsidRDefault="0027755F">
      <w:pPr>
        <w:pStyle w:val="BodyA"/>
        <w:spacing w:line="360" w:lineRule="auto"/>
        <w:jc w:val="both"/>
      </w:pPr>
      <w:r w:rsidRPr="00512804">
        <w:rPr>
          <w:rFonts w:ascii="Book Antiqua" w:hAnsi="Book Antiqua"/>
        </w:rPr>
        <w:t xml:space="preserve">40 </w:t>
      </w:r>
      <w:r w:rsidRPr="00512804">
        <w:rPr>
          <w:rFonts w:ascii="Book Antiqua" w:hAnsi="Book Antiqua"/>
          <w:b/>
          <w:bCs/>
        </w:rPr>
        <w:t>Dartevel A</w:t>
      </w:r>
      <w:r w:rsidRPr="00512804">
        <w:rPr>
          <w:rFonts w:ascii="Book Antiqua" w:hAnsi="Book Antiqua"/>
        </w:rPr>
        <w:t xml:space="preserve">, Colombe B, Bosseray A, Larrat S, Sarrot-Reynauld F, Belbezier A, Lagrange E, Bouillet L. Hepatitis E and neuralgic amyotrophy: Five cases and review of literature. </w:t>
      </w:r>
      <w:r w:rsidRPr="00512804">
        <w:rPr>
          <w:rFonts w:ascii="Book Antiqua" w:hAnsi="Book Antiqua"/>
          <w:i/>
          <w:iCs/>
        </w:rPr>
        <w:t>J Clin Virol</w:t>
      </w:r>
      <w:r w:rsidRPr="00512804">
        <w:rPr>
          <w:rFonts w:ascii="Book Antiqua" w:hAnsi="Book Antiqua"/>
        </w:rPr>
        <w:t xml:space="preserve"> 2015; </w:t>
      </w:r>
      <w:r w:rsidRPr="00512804">
        <w:rPr>
          <w:rFonts w:ascii="Book Antiqua" w:hAnsi="Book Antiqua"/>
          <w:b/>
          <w:bCs/>
        </w:rPr>
        <w:t>69</w:t>
      </w:r>
      <w:r w:rsidRPr="00512804">
        <w:rPr>
          <w:rFonts w:ascii="Book Antiqua" w:hAnsi="Book Antiqua"/>
          <w:lang w:val="pt-PT"/>
        </w:rPr>
        <w:t>: 156-164 [PMID: 26209399 DOI: 10.1016/j.jcv.2015.06.091]</w:t>
      </w:r>
    </w:p>
    <w:p w14:paraId="2A381CCE" w14:textId="77777777" w:rsidR="00B4314C" w:rsidRPr="00512804" w:rsidRDefault="0027755F">
      <w:pPr>
        <w:pStyle w:val="BodyA"/>
        <w:spacing w:line="360" w:lineRule="auto"/>
        <w:jc w:val="both"/>
      </w:pPr>
      <w:r w:rsidRPr="00512804">
        <w:rPr>
          <w:rFonts w:ascii="Book Antiqua" w:hAnsi="Book Antiqua"/>
          <w:lang w:val="ru-RU"/>
        </w:rPr>
        <w:t xml:space="preserve">41 </w:t>
      </w:r>
      <w:r w:rsidRPr="00512804">
        <w:rPr>
          <w:rFonts w:ascii="Book Antiqua" w:hAnsi="Book Antiqua"/>
          <w:b/>
          <w:bCs/>
        </w:rPr>
        <w:t>Avila JD</w:t>
      </w:r>
      <w:r w:rsidRPr="00512804">
        <w:rPr>
          <w:rFonts w:ascii="Book Antiqua" w:hAnsi="Book Antiqua"/>
        </w:rPr>
        <w:t xml:space="preserve">, Lacomis D, Lam EM. Neuralgic Amyotrophy Associated With Hepatitis E Virus Infection: First Case in the United States. </w:t>
      </w:r>
      <w:r w:rsidRPr="00512804">
        <w:rPr>
          <w:rFonts w:ascii="Book Antiqua" w:hAnsi="Book Antiqua"/>
          <w:i/>
          <w:iCs/>
        </w:rPr>
        <w:t>J Clin Neuromuscul Dis</w:t>
      </w:r>
      <w:r w:rsidRPr="00512804">
        <w:rPr>
          <w:rFonts w:ascii="Book Antiqua" w:hAnsi="Book Antiqua"/>
        </w:rPr>
        <w:t xml:space="preserve"> 2016; </w:t>
      </w:r>
      <w:r w:rsidRPr="00512804">
        <w:rPr>
          <w:rFonts w:ascii="Book Antiqua" w:hAnsi="Book Antiqua"/>
          <w:b/>
          <w:bCs/>
        </w:rPr>
        <w:t>18</w:t>
      </w:r>
      <w:r w:rsidRPr="00512804">
        <w:rPr>
          <w:rFonts w:ascii="Book Antiqua" w:hAnsi="Book Antiqua"/>
          <w:lang w:val="pt-PT"/>
        </w:rPr>
        <w:t>: 96-100 [PMID: 27861224 DOI: 10.1097/CND.0000000000000137]</w:t>
      </w:r>
    </w:p>
    <w:p w14:paraId="45B5DC95" w14:textId="77777777" w:rsidR="00B4314C" w:rsidRPr="00512804" w:rsidRDefault="0027755F">
      <w:pPr>
        <w:pStyle w:val="BodyA"/>
        <w:spacing w:line="360" w:lineRule="auto"/>
        <w:jc w:val="both"/>
      </w:pPr>
      <w:r w:rsidRPr="00512804">
        <w:rPr>
          <w:rFonts w:ascii="Book Antiqua" w:hAnsi="Book Antiqua"/>
        </w:rPr>
        <w:t xml:space="preserve">42 </w:t>
      </w:r>
      <w:r w:rsidRPr="00512804">
        <w:rPr>
          <w:rFonts w:ascii="Book Antiqua" w:hAnsi="Book Antiqua"/>
          <w:b/>
          <w:bCs/>
          <w:lang w:val="pt-PT"/>
        </w:rPr>
        <w:t>Silva M</w:t>
      </w:r>
      <w:r w:rsidRPr="00512804">
        <w:rPr>
          <w:rFonts w:ascii="Book Antiqua" w:hAnsi="Book Antiqua"/>
        </w:rPr>
        <w:t xml:space="preserve">, Wicki B, Tsouni P, Cunningham S, Doerig C, Zanetti G, Aubert V, Sahli R, Moradpour D, Kuntzer T. Hepatitis E virus infection as a direct cause of neuralgic amyotrophy. </w:t>
      </w:r>
      <w:r w:rsidRPr="00512804">
        <w:rPr>
          <w:rFonts w:ascii="Book Antiqua" w:hAnsi="Book Antiqua"/>
          <w:i/>
          <w:iCs/>
        </w:rPr>
        <w:t>Muscle Nerve</w:t>
      </w:r>
      <w:r w:rsidRPr="00512804">
        <w:rPr>
          <w:rFonts w:ascii="Book Antiqua" w:hAnsi="Book Antiqua"/>
        </w:rPr>
        <w:t xml:space="preserve"> 2016; </w:t>
      </w:r>
      <w:r w:rsidRPr="00512804">
        <w:rPr>
          <w:rFonts w:ascii="Book Antiqua" w:hAnsi="Book Antiqua"/>
          <w:b/>
          <w:bCs/>
        </w:rPr>
        <w:t>54</w:t>
      </w:r>
      <w:r w:rsidRPr="00512804">
        <w:rPr>
          <w:rFonts w:ascii="Book Antiqua" w:hAnsi="Book Antiqua"/>
          <w:lang w:val="pt-PT"/>
        </w:rPr>
        <w:t>: 325-327 [PMID: 26939568 DOI: 10.1002/mus.25096]</w:t>
      </w:r>
    </w:p>
    <w:p w14:paraId="6CDC207C" w14:textId="77777777" w:rsidR="00B4314C" w:rsidRPr="00512804" w:rsidRDefault="0027755F">
      <w:pPr>
        <w:pStyle w:val="BodyA"/>
        <w:spacing w:line="360" w:lineRule="auto"/>
        <w:jc w:val="both"/>
      </w:pPr>
      <w:r w:rsidRPr="00512804">
        <w:rPr>
          <w:rFonts w:ascii="Book Antiqua" w:hAnsi="Book Antiqua"/>
        </w:rPr>
        <w:t xml:space="preserve">43 </w:t>
      </w:r>
      <w:r w:rsidRPr="00512804">
        <w:rPr>
          <w:rFonts w:ascii="Book Antiqua" w:hAnsi="Book Antiqua"/>
          <w:b/>
          <w:bCs/>
        </w:rPr>
        <w:t>Altuna-Azkargorta M</w:t>
      </w:r>
      <w:r w:rsidRPr="00512804">
        <w:rPr>
          <w:rFonts w:ascii="Book Antiqua" w:hAnsi="Book Antiqua"/>
        </w:rPr>
        <w:t xml:space="preserve">, Torne-Hernandez L, Aznar-Gomez P, Ibiricu-Yanguas MA, Ducouret A. [Infection by the hepatitis E virus as a precipitating factor of Parsonage-Turner syndrome]. </w:t>
      </w:r>
      <w:r w:rsidRPr="00512804">
        <w:rPr>
          <w:rFonts w:ascii="Book Antiqua" w:hAnsi="Book Antiqua"/>
          <w:i/>
          <w:iCs/>
        </w:rPr>
        <w:t>Rev Neurol</w:t>
      </w:r>
      <w:r w:rsidRPr="00512804">
        <w:rPr>
          <w:rFonts w:ascii="Book Antiqua" w:hAnsi="Book Antiqua"/>
        </w:rPr>
        <w:t xml:space="preserve"> 2016; </w:t>
      </w:r>
      <w:r w:rsidRPr="00512804">
        <w:rPr>
          <w:rFonts w:ascii="Book Antiqua" w:hAnsi="Book Antiqua"/>
          <w:b/>
          <w:bCs/>
        </w:rPr>
        <w:t>62</w:t>
      </w:r>
      <w:r w:rsidRPr="00512804">
        <w:rPr>
          <w:rFonts w:ascii="Book Antiqua" w:hAnsi="Book Antiqua"/>
          <w:lang w:val="pt-PT"/>
        </w:rPr>
        <w:t>: 572-574 [PMID: 27270680]</w:t>
      </w:r>
    </w:p>
    <w:p w14:paraId="53D72583" w14:textId="77777777" w:rsidR="00B4314C" w:rsidRPr="00512804" w:rsidRDefault="0027755F">
      <w:pPr>
        <w:pStyle w:val="BodyA"/>
        <w:spacing w:line="360" w:lineRule="auto"/>
        <w:jc w:val="both"/>
      </w:pPr>
      <w:r w:rsidRPr="00512804">
        <w:rPr>
          <w:rFonts w:ascii="Book Antiqua" w:hAnsi="Book Antiqua"/>
        </w:rPr>
        <w:t xml:space="preserve">44 </w:t>
      </w:r>
      <w:r w:rsidRPr="00512804">
        <w:rPr>
          <w:rFonts w:ascii="Book Antiqua" w:hAnsi="Book Antiqua"/>
          <w:b/>
          <w:bCs/>
          <w:lang w:val="de-DE"/>
        </w:rPr>
        <w:t>Pischke S</w:t>
      </w:r>
      <w:r w:rsidRPr="00512804">
        <w:rPr>
          <w:rFonts w:ascii="Book Antiqua" w:hAnsi="Book Antiqua"/>
        </w:rPr>
        <w:t xml:space="preserve">, Ryll U, De Weerth A, Ufer F, Gelderblom M. [Neuralgic amyotrophy: an extrahepatic manifestation of hepatitis E]. </w:t>
      </w:r>
      <w:r w:rsidRPr="00512804">
        <w:rPr>
          <w:rFonts w:ascii="Book Antiqua" w:hAnsi="Book Antiqua"/>
          <w:i/>
          <w:iCs/>
          <w:lang w:val="de-DE"/>
        </w:rPr>
        <w:t>Dtsch Med Wochenschr</w:t>
      </w:r>
      <w:r w:rsidRPr="00512804">
        <w:rPr>
          <w:rFonts w:ascii="Book Antiqua" w:hAnsi="Book Antiqua"/>
        </w:rPr>
        <w:t xml:space="preserve"> 2016; </w:t>
      </w:r>
      <w:r w:rsidRPr="00512804">
        <w:rPr>
          <w:rFonts w:ascii="Book Antiqua" w:hAnsi="Book Antiqua"/>
          <w:b/>
          <w:bCs/>
        </w:rPr>
        <w:t>141</w:t>
      </w:r>
      <w:r w:rsidRPr="00512804">
        <w:rPr>
          <w:rFonts w:ascii="Book Antiqua" w:hAnsi="Book Antiqua"/>
          <w:lang w:val="pt-PT"/>
        </w:rPr>
        <w:t>: 1239-1242 [PMID: 27557071 DOI: 10.1055/s-0042-102289]</w:t>
      </w:r>
    </w:p>
    <w:p w14:paraId="7FC70527" w14:textId="77777777" w:rsidR="00B4314C" w:rsidRPr="00512804" w:rsidRDefault="0027755F">
      <w:pPr>
        <w:pStyle w:val="BodyA"/>
        <w:spacing w:line="360" w:lineRule="auto"/>
        <w:jc w:val="both"/>
      </w:pPr>
      <w:r w:rsidRPr="00512804">
        <w:rPr>
          <w:rFonts w:ascii="Book Antiqua" w:hAnsi="Book Antiqua"/>
        </w:rPr>
        <w:t xml:space="preserve">45 </w:t>
      </w:r>
      <w:r w:rsidRPr="00512804">
        <w:rPr>
          <w:rFonts w:ascii="Book Antiqua" w:hAnsi="Book Antiqua"/>
          <w:b/>
          <w:bCs/>
          <w:lang w:val="it-IT"/>
        </w:rPr>
        <w:t>Bisciglia M</w:t>
      </w:r>
      <w:r w:rsidRPr="00512804">
        <w:rPr>
          <w:rFonts w:ascii="Book Antiqua" w:hAnsi="Book Antiqua"/>
        </w:rPr>
        <w:t xml:space="preserve">, Van den Bergh P, Duprez T, Kabamba BM, Ivanoiu A. Neuralgic amyotrophy associated with hepatitis E virus (HEV) infection: a case report. </w:t>
      </w:r>
      <w:r w:rsidRPr="00512804">
        <w:rPr>
          <w:rFonts w:ascii="Book Antiqua" w:hAnsi="Book Antiqua"/>
          <w:i/>
          <w:iCs/>
          <w:lang w:val="es-ES_tradnl"/>
        </w:rPr>
        <w:t>Acta Neurol Belg</w:t>
      </w:r>
      <w:r w:rsidRPr="00512804">
        <w:rPr>
          <w:rFonts w:ascii="Book Antiqua" w:hAnsi="Book Antiqua"/>
        </w:rPr>
        <w:t xml:space="preserve"> 2017; </w:t>
      </w:r>
      <w:r w:rsidRPr="00512804">
        <w:rPr>
          <w:rFonts w:ascii="Book Antiqua" w:hAnsi="Book Antiqua"/>
          <w:b/>
          <w:bCs/>
        </w:rPr>
        <w:t>117</w:t>
      </w:r>
      <w:r w:rsidRPr="00512804">
        <w:rPr>
          <w:rFonts w:ascii="Book Antiqua" w:hAnsi="Book Antiqua"/>
        </w:rPr>
        <w:t>: 555-557 [PMID: 27095100 DOI: 10.1007/s13760-016-0642-1]</w:t>
      </w:r>
    </w:p>
    <w:p w14:paraId="111D9EF5" w14:textId="77777777" w:rsidR="00B4314C" w:rsidRPr="00512804" w:rsidRDefault="0027755F">
      <w:pPr>
        <w:pStyle w:val="BodyA"/>
        <w:spacing w:line="360" w:lineRule="auto"/>
        <w:jc w:val="both"/>
      </w:pPr>
      <w:r w:rsidRPr="00512804">
        <w:rPr>
          <w:rFonts w:ascii="Book Antiqua" w:hAnsi="Book Antiqua"/>
        </w:rPr>
        <w:t xml:space="preserve">46 </w:t>
      </w:r>
      <w:r w:rsidRPr="00512804">
        <w:rPr>
          <w:rFonts w:ascii="Book Antiqua" w:hAnsi="Book Antiqua"/>
          <w:b/>
          <w:bCs/>
        </w:rPr>
        <w:t>Velay A</w:t>
      </w:r>
      <w:r w:rsidRPr="00512804">
        <w:rPr>
          <w:rFonts w:ascii="Book Antiqua" w:hAnsi="Book Antiqua"/>
        </w:rPr>
        <w:t xml:space="preserve">, Kack-Kack W, Abravanel F, Lhomme S, Leyendecker P, Kremer L, Chamouard P, Izopet J, Fafi-Kremer S, Barth H. Parsonage-Turner syndrome due to autochthonous acute genotype 3f hepatitis E virus infection in a nonimmunocompromised 55-year-old patient. </w:t>
      </w:r>
      <w:r w:rsidRPr="00512804">
        <w:rPr>
          <w:rFonts w:ascii="Book Antiqua" w:hAnsi="Book Antiqua"/>
          <w:i/>
          <w:iCs/>
        </w:rPr>
        <w:t>J Neurovirol</w:t>
      </w:r>
      <w:r w:rsidRPr="00512804">
        <w:rPr>
          <w:rFonts w:ascii="Book Antiqua" w:hAnsi="Book Antiqua"/>
        </w:rPr>
        <w:t xml:space="preserve"> 2017; </w:t>
      </w:r>
      <w:r w:rsidRPr="00512804">
        <w:rPr>
          <w:rFonts w:ascii="Book Antiqua" w:hAnsi="Book Antiqua"/>
          <w:b/>
          <w:bCs/>
        </w:rPr>
        <w:t>23</w:t>
      </w:r>
      <w:r w:rsidRPr="00512804">
        <w:rPr>
          <w:rFonts w:ascii="Book Antiqua" w:hAnsi="Book Antiqua"/>
        </w:rPr>
        <w:t>: 615-620 [PMID: 28439773 DOI: 10.1007/s13365-017-0525-0]</w:t>
      </w:r>
    </w:p>
    <w:p w14:paraId="3867E529" w14:textId="77777777" w:rsidR="00B4314C" w:rsidRPr="00512804" w:rsidRDefault="0027755F">
      <w:pPr>
        <w:pStyle w:val="BodyA"/>
        <w:spacing w:line="360" w:lineRule="auto"/>
        <w:jc w:val="both"/>
      </w:pPr>
      <w:r w:rsidRPr="00512804">
        <w:rPr>
          <w:rFonts w:ascii="Book Antiqua" w:hAnsi="Book Antiqua"/>
          <w:lang w:val="ru-RU"/>
        </w:rPr>
        <w:t xml:space="preserve">47 </w:t>
      </w:r>
      <w:r w:rsidRPr="00512804">
        <w:rPr>
          <w:rFonts w:ascii="Book Antiqua" w:hAnsi="Book Antiqua"/>
          <w:b/>
          <w:bCs/>
          <w:lang w:val="fr-FR"/>
        </w:rPr>
        <w:t>Scanvion Q</w:t>
      </w:r>
      <w:r w:rsidRPr="00512804">
        <w:rPr>
          <w:rFonts w:ascii="Book Antiqua" w:hAnsi="Book Antiqua"/>
        </w:rPr>
        <w:t xml:space="preserve">, Perez T, Cassim F, Outteryck O, Lanteri A, Hatron PY, Lambert M, Morell-Dubois S. Neuralgic amyotrophy triggered by hepatitis E virus: a particular phenotype. </w:t>
      </w:r>
      <w:r w:rsidRPr="00512804">
        <w:rPr>
          <w:rFonts w:ascii="Book Antiqua" w:hAnsi="Book Antiqua"/>
          <w:i/>
          <w:iCs/>
          <w:lang w:val="de-DE"/>
        </w:rPr>
        <w:t>J Neurol</w:t>
      </w:r>
      <w:r w:rsidRPr="00512804">
        <w:rPr>
          <w:rFonts w:ascii="Book Antiqua" w:hAnsi="Book Antiqua"/>
        </w:rPr>
        <w:t xml:space="preserve"> 2017; </w:t>
      </w:r>
      <w:r w:rsidRPr="00512804">
        <w:rPr>
          <w:rFonts w:ascii="Book Antiqua" w:hAnsi="Book Antiqua"/>
          <w:b/>
          <w:bCs/>
        </w:rPr>
        <w:t>264</w:t>
      </w:r>
      <w:r w:rsidRPr="00512804">
        <w:rPr>
          <w:rFonts w:ascii="Book Antiqua" w:hAnsi="Book Antiqua"/>
        </w:rPr>
        <w:t>: 770-780 [PMID: 28247042 DOI: 10.1007/s00415-017-8433-z]</w:t>
      </w:r>
    </w:p>
    <w:p w14:paraId="04CF2CAA" w14:textId="77777777" w:rsidR="00B4314C" w:rsidRPr="00512804" w:rsidRDefault="0027755F">
      <w:pPr>
        <w:pStyle w:val="BodyA"/>
        <w:spacing w:line="360" w:lineRule="auto"/>
        <w:jc w:val="both"/>
      </w:pPr>
      <w:r w:rsidRPr="00512804">
        <w:rPr>
          <w:rFonts w:ascii="Book Antiqua" w:hAnsi="Book Antiqua"/>
        </w:rPr>
        <w:t xml:space="preserve">48 </w:t>
      </w:r>
      <w:r w:rsidRPr="00512804">
        <w:rPr>
          <w:rFonts w:ascii="Book Antiqua" w:hAnsi="Book Antiqua"/>
          <w:b/>
          <w:bCs/>
          <w:lang w:val="pt-PT"/>
        </w:rPr>
        <w:t>Fraga M</w:t>
      </w:r>
      <w:r w:rsidRPr="00512804">
        <w:rPr>
          <w:rFonts w:ascii="Book Antiqua" w:hAnsi="Book Antiqua"/>
          <w:lang w:val="nl-NL"/>
        </w:rPr>
        <w:t>, Doerig C, Moulin H, Bihl F, Brunner F, M</w:t>
      </w:r>
      <w:r w:rsidRPr="00512804">
        <w:rPr>
          <w:rFonts w:ascii="Book Antiqua" w:hAnsi="Book Antiqua"/>
        </w:rPr>
        <w:t>ü</w:t>
      </w:r>
      <w:r w:rsidRPr="00512804">
        <w:rPr>
          <w:rFonts w:ascii="Book Antiqua" w:hAnsi="Book Antiqua"/>
          <w:lang w:val="it-IT"/>
        </w:rPr>
        <w:t xml:space="preserve">llhaupt B, Ripellino P, Semela D, Stickel F, Terziroli Beretta-Piccoli B, Aubert V, Telenti A, Greub G, Sahli R, Moradpour D. Hepatitis E virus as a cause of acute hepatitis acquired in Switzerland. </w:t>
      </w:r>
      <w:r w:rsidRPr="00512804">
        <w:rPr>
          <w:rFonts w:ascii="Book Antiqua" w:hAnsi="Book Antiqua"/>
          <w:i/>
          <w:iCs/>
          <w:lang w:val="de-DE"/>
        </w:rPr>
        <w:t>Liver Int</w:t>
      </w:r>
      <w:r w:rsidRPr="00512804">
        <w:rPr>
          <w:rFonts w:ascii="Book Antiqua" w:hAnsi="Book Antiqua"/>
        </w:rPr>
        <w:t xml:space="preserve"> 2018; </w:t>
      </w:r>
      <w:r w:rsidRPr="00512804">
        <w:rPr>
          <w:rFonts w:ascii="Book Antiqua" w:hAnsi="Book Antiqua"/>
          <w:b/>
          <w:bCs/>
        </w:rPr>
        <w:t>38</w:t>
      </w:r>
      <w:r w:rsidRPr="00512804">
        <w:rPr>
          <w:rFonts w:ascii="Book Antiqua" w:hAnsi="Book Antiqua"/>
          <w:lang w:val="pt-PT"/>
        </w:rPr>
        <w:t>: 619-626 [PMID: 28834649 DOI: 10.1111/liv.13557]</w:t>
      </w:r>
    </w:p>
    <w:p w14:paraId="1AF13646" w14:textId="77777777" w:rsidR="00B4314C" w:rsidRPr="00512804" w:rsidRDefault="0027755F">
      <w:pPr>
        <w:pStyle w:val="BodyA"/>
        <w:spacing w:line="360" w:lineRule="auto"/>
        <w:jc w:val="both"/>
      </w:pPr>
      <w:r w:rsidRPr="00512804">
        <w:rPr>
          <w:rFonts w:ascii="Book Antiqua" w:hAnsi="Book Antiqua"/>
        </w:rPr>
        <w:t xml:space="preserve">49 </w:t>
      </w:r>
      <w:r w:rsidRPr="00512804">
        <w:rPr>
          <w:rFonts w:ascii="Book Antiqua" w:hAnsi="Book Antiqua"/>
          <w:b/>
          <w:bCs/>
          <w:lang w:val="de-DE"/>
        </w:rPr>
        <w:t>Fritz M</w:t>
      </w:r>
      <w:r w:rsidRPr="00512804">
        <w:rPr>
          <w:rFonts w:ascii="Book Antiqua" w:hAnsi="Book Antiqua"/>
        </w:rPr>
        <w:t xml:space="preserve">, Berger B, Schemmerer M, Endres D, Wenzel JJ, Stich O, Panning M. Pathological Cerebrospinal Fluid Findings in Patients With Neuralgic Amyotrophy and Acute Hepatitis E Virus Infection. </w:t>
      </w:r>
      <w:r w:rsidRPr="00512804">
        <w:rPr>
          <w:rFonts w:ascii="Book Antiqua" w:hAnsi="Book Antiqua"/>
          <w:i/>
          <w:iCs/>
        </w:rPr>
        <w:t>J Infect Dis</w:t>
      </w:r>
      <w:r w:rsidRPr="00512804">
        <w:rPr>
          <w:rFonts w:ascii="Book Antiqua" w:hAnsi="Book Antiqua"/>
        </w:rPr>
        <w:t xml:space="preserve"> 2018; </w:t>
      </w:r>
      <w:r w:rsidRPr="00512804">
        <w:rPr>
          <w:rFonts w:ascii="Book Antiqua" w:hAnsi="Book Antiqua"/>
          <w:b/>
          <w:bCs/>
        </w:rPr>
        <w:t>217</w:t>
      </w:r>
      <w:r w:rsidRPr="00512804">
        <w:rPr>
          <w:rFonts w:ascii="Book Antiqua" w:hAnsi="Book Antiqua"/>
        </w:rPr>
        <w:t>: 1897-1901 [PMID: 29547884 DOI: 10.1093/infdis/jiy128]</w:t>
      </w:r>
    </w:p>
    <w:p w14:paraId="32BBDDF8" w14:textId="77777777" w:rsidR="00B4314C" w:rsidRPr="00512804" w:rsidRDefault="0027755F">
      <w:pPr>
        <w:pStyle w:val="BodyA"/>
        <w:spacing w:line="360" w:lineRule="auto"/>
        <w:jc w:val="both"/>
      </w:pPr>
      <w:r w:rsidRPr="00512804">
        <w:rPr>
          <w:rFonts w:ascii="Book Antiqua" w:hAnsi="Book Antiqua"/>
        </w:rPr>
        <w:t xml:space="preserve">50 </w:t>
      </w:r>
      <w:r w:rsidRPr="00512804">
        <w:rPr>
          <w:rFonts w:ascii="Book Antiqua" w:hAnsi="Book Antiqua"/>
          <w:b/>
          <w:bCs/>
        </w:rPr>
        <w:t>Sá</w:t>
      </w:r>
      <w:r w:rsidRPr="00512804">
        <w:rPr>
          <w:rFonts w:ascii="Book Antiqua" w:hAnsi="Book Antiqua"/>
          <w:b/>
          <w:bCs/>
          <w:lang w:val="es-ES_tradnl"/>
        </w:rPr>
        <w:t>nchez Azofra M</w:t>
      </w:r>
      <w:r w:rsidRPr="00512804">
        <w:rPr>
          <w:rFonts w:ascii="Book Antiqua" w:hAnsi="Book Antiqua"/>
          <w:lang w:val="pt-PT"/>
        </w:rPr>
        <w:t>, Romero Portales M, Tortajada Laureiro L, Garc</w:t>
      </w:r>
      <w:r w:rsidRPr="00512804">
        <w:rPr>
          <w:rFonts w:ascii="Book Antiqua" w:hAnsi="Book Antiqua"/>
        </w:rPr>
        <w:t xml:space="preserve">ía-Samaniego J, Mora Sanz P. Hepatitis E virus in neurological disorders: a case of Parsonage-Turner syndrome. </w:t>
      </w:r>
      <w:r w:rsidRPr="00512804">
        <w:rPr>
          <w:rFonts w:ascii="Book Antiqua" w:hAnsi="Book Antiqua"/>
          <w:i/>
          <w:iCs/>
          <w:lang w:val="pt-PT"/>
        </w:rPr>
        <w:t>Rev Esp Enferm Dig</w:t>
      </w:r>
      <w:r w:rsidRPr="00512804">
        <w:rPr>
          <w:rFonts w:ascii="Book Antiqua" w:hAnsi="Book Antiqua"/>
        </w:rPr>
        <w:t xml:space="preserve"> 2018; </w:t>
      </w:r>
      <w:r w:rsidRPr="00512804">
        <w:rPr>
          <w:rFonts w:ascii="Book Antiqua" w:hAnsi="Book Antiqua"/>
          <w:b/>
          <w:bCs/>
        </w:rPr>
        <w:t>110</w:t>
      </w:r>
      <w:r w:rsidRPr="00512804">
        <w:rPr>
          <w:rFonts w:ascii="Book Antiqua" w:hAnsi="Book Antiqua"/>
          <w:lang w:val="pt-PT"/>
        </w:rPr>
        <w:t>: 402-403 [PMID: 29685043 DOI: 10.17235/reed.2018.5506/2018]</w:t>
      </w:r>
    </w:p>
    <w:p w14:paraId="6C3F31F5" w14:textId="77777777" w:rsidR="00B4314C" w:rsidRPr="00512804" w:rsidRDefault="0027755F">
      <w:pPr>
        <w:pStyle w:val="BodyA"/>
        <w:spacing w:line="360" w:lineRule="auto"/>
        <w:jc w:val="both"/>
      </w:pPr>
      <w:r w:rsidRPr="00512804">
        <w:rPr>
          <w:rFonts w:ascii="Book Antiqua" w:hAnsi="Book Antiqua"/>
        </w:rPr>
        <w:t xml:space="preserve">51 </w:t>
      </w:r>
      <w:r w:rsidRPr="00512804">
        <w:rPr>
          <w:rFonts w:ascii="Book Antiqua" w:hAnsi="Book Antiqua"/>
          <w:b/>
          <w:bCs/>
        </w:rPr>
        <w:t>Njabom CN</w:t>
      </w:r>
      <w:r w:rsidRPr="00512804">
        <w:rPr>
          <w:rFonts w:ascii="Book Antiqua" w:hAnsi="Book Antiqua"/>
        </w:rPr>
        <w:t xml:space="preserve">, Gilbert A, Brasseur E, Zandona R, Ghuysen A, D'Orio V. Parsonage-Turner Syndrome as a Rare Extrahepatic Complication of Hepatitis E Infection. </w:t>
      </w:r>
      <w:r w:rsidRPr="00512804">
        <w:rPr>
          <w:rFonts w:ascii="Book Antiqua" w:hAnsi="Book Antiqua"/>
          <w:i/>
          <w:iCs/>
          <w:lang w:val="de-DE"/>
        </w:rPr>
        <w:t>Eur J Case Rep Intern Med</w:t>
      </w:r>
      <w:r w:rsidRPr="00512804">
        <w:rPr>
          <w:rFonts w:ascii="Book Antiqua" w:hAnsi="Book Antiqua"/>
        </w:rPr>
        <w:t xml:space="preserve"> 2019; </w:t>
      </w:r>
      <w:r w:rsidRPr="00512804">
        <w:rPr>
          <w:rFonts w:ascii="Book Antiqua" w:hAnsi="Book Antiqua"/>
          <w:b/>
          <w:bCs/>
        </w:rPr>
        <w:t>6</w:t>
      </w:r>
      <w:r w:rsidRPr="00512804">
        <w:rPr>
          <w:rFonts w:ascii="Book Antiqua" w:hAnsi="Book Antiqua"/>
          <w:lang w:val="pt-PT"/>
        </w:rPr>
        <w:t>: 001208 [PMID: 31508389 DOI: 10.12890/2019_001208]</w:t>
      </w:r>
    </w:p>
    <w:p w14:paraId="4F6C6D0E" w14:textId="77777777" w:rsidR="00B4314C" w:rsidRPr="00512804" w:rsidRDefault="0027755F">
      <w:pPr>
        <w:pStyle w:val="BodyA"/>
        <w:spacing w:line="360" w:lineRule="auto"/>
        <w:jc w:val="both"/>
      </w:pPr>
      <w:r w:rsidRPr="00512804">
        <w:rPr>
          <w:rFonts w:ascii="Book Antiqua" w:hAnsi="Book Antiqua"/>
        </w:rPr>
        <w:t xml:space="preserve">52 </w:t>
      </w:r>
      <w:r w:rsidRPr="00512804">
        <w:rPr>
          <w:rFonts w:ascii="Book Antiqua" w:hAnsi="Book Antiqua"/>
          <w:b/>
          <w:bCs/>
        </w:rPr>
        <w:t>Arányi Z</w:t>
      </w:r>
      <w:r w:rsidRPr="00512804">
        <w:rPr>
          <w:rFonts w:ascii="Book Antiqua" w:hAnsi="Book Antiqua"/>
        </w:rPr>
        <w:t xml:space="preserve">, Szpisjak L, Szőke K. Multiphasic presentation of neuralgic amyotrophy associated with hepatitis E virus infection. </w:t>
      </w:r>
      <w:r w:rsidRPr="00512804">
        <w:rPr>
          <w:rFonts w:ascii="Book Antiqua" w:hAnsi="Book Antiqua"/>
          <w:i/>
          <w:iCs/>
        </w:rPr>
        <w:t>Muscle Nerve</w:t>
      </w:r>
      <w:r w:rsidRPr="00512804">
        <w:rPr>
          <w:rFonts w:ascii="Book Antiqua" w:hAnsi="Book Antiqua"/>
        </w:rPr>
        <w:t xml:space="preserve"> 2020; </w:t>
      </w:r>
      <w:r w:rsidRPr="00512804">
        <w:rPr>
          <w:rFonts w:ascii="Book Antiqua" w:hAnsi="Book Antiqua"/>
          <w:b/>
          <w:bCs/>
        </w:rPr>
        <w:t>61</w:t>
      </w:r>
      <w:r w:rsidRPr="00512804">
        <w:rPr>
          <w:rFonts w:ascii="Book Antiqua" w:hAnsi="Book Antiqua"/>
          <w:lang w:val="pt-PT"/>
        </w:rPr>
        <w:t>: 108-110 [PMID: 31573093 DOI: 10.1002/mus.26722]</w:t>
      </w:r>
    </w:p>
    <w:p w14:paraId="0DA07F0A" w14:textId="77777777" w:rsidR="00B4314C" w:rsidRPr="00512804" w:rsidRDefault="0027755F">
      <w:pPr>
        <w:pStyle w:val="BodyA"/>
        <w:spacing w:line="360" w:lineRule="auto"/>
        <w:jc w:val="both"/>
      </w:pPr>
      <w:r w:rsidRPr="00512804">
        <w:rPr>
          <w:rFonts w:ascii="Book Antiqua" w:hAnsi="Book Antiqua"/>
        </w:rPr>
        <w:t xml:space="preserve">53 </w:t>
      </w:r>
      <w:r w:rsidRPr="00512804">
        <w:rPr>
          <w:rFonts w:ascii="Book Antiqua" w:hAnsi="Book Antiqua"/>
          <w:b/>
          <w:bCs/>
          <w:lang w:val="es-ES_tradnl"/>
        </w:rPr>
        <w:t>Mendoza-Lopez C</w:t>
      </w:r>
      <w:r w:rsidRPr="00512804">
        <w:rPr>
          <w:rFonts w:ascii="Book Antiqua" w:hAnsi="Book Antiqua"/>
        </w:rPr>
        <w:t xml:space="preserve">, Lopez-Lopez P, Atienza-Ayala S, Rivero-Juarez A, Benito R. Parsonage-Turner syndrome associated with hepatitis E infection in immunocompetent patients. </w:t>
      </w:r>
      <w:r w:rsidRPr="00512804">
        <w:rPr>
          <w:rFonts w:ascii="Book Antiqua" w:hAnsi="Book Antiqua"/>
          <w:i/>
          <w:iCs/>
          <w:lang w:val="de-DE"/>
        </w:rPr>
        <w:t>Virus Res</w:t>
      </w:r>
      <w:r w:rsidRPr="00512804">
        <w:rPr>
          <w:rFonts w:ascii="Book Antiqua" w:hAnsi="Book Antiqua"/>
        </w:rPr>
        <w:t xml:space="preserve"> 2020; </w:t>
      </w:r>
      <w:r w:rsidRPr="00512804">
        <w:rPr>
          <w:rFonts w:ascii="Book Antiqua" w:hAnsi="Book Antiqua"/>
          <w:b/>
          <w:bCs/>
        </w:rPr>
        <w:t>290</w:t>
      </w:r>
      <w:r w:rsidRPr="00512804">
        <w:rPr>
          <w:rFonts w:ascii="Book Antiqua" w:hAnsi="Book Antiqua"/>
          <w:lang w:val="pt-PT"/>
        </w:rPr>
        <w:t>: 198165 [PMID: 33007343 DOI: 10.1016/j.virusres.2020.198165]</w:t>
      </w:r>
    </w:p>
    <w:p w14:paraId="61366B03" w14:textId="77777777" w:rsidR="00B4314C" w:rsidRPr="00512804" w:rsidRDefault="0027755F">
      <w:pPr>
        <w:pStyle w:val="BodyA"/>
        <w:spacing w:line="360" w:lineRule="auto"/>
        <w:jc w:val="both"/>
      </w:pPr>
      <w:r w:rsidRPr="00512804">
        <w:rPr>
          <w:rFonts w:ascii="Book Antiqua" w:hAnsi="Book Antiqua"/>
        </w:rPr>
        <w:t xml:space="preserve">54 </w:t>
      </w:r>
      <w:r w:rsidRPr="00512804">
        <w:rPr>
          <w:rFonts w:ascii="Book Antiqua" w:hAnsi="Book Antiqua"/>
          <w:b/>
          <w:bCs/>
          <w:lang w:val="it-IT"/>
        </w:rPr>
        <w:t>Inghilleri ML</w:t>
      </w:r>
      <w:r w:rsidRPr="00512804">
        <w:rPr>
          <w:rFonts w:ascii="Book Antiqua" w:hAnsi="Book Antiqua"/>
        </w:rPr>
        <w:t xml:space="preserve">, Grini Mazouzi M, Juntas Morales R. [Neuralgic amyotrophy as a manifestation of hepatitis E infection]. </w:t>
      </w:r>
      <w:r w:rsidRPr="00512804">
        <w:rPr>
          <w:rFonts w:ascii="Book Antiqua" w:hAnsi="Book Antiqua"/>
          <w:i/>
          <w:iCs/>
        </w:rPr>
        <w:t>Rev Neurol (Paris)</w:t>
      </w:r>
      <w:r w:rsidRPr="00512804">
        <w:rPr>
          <w:rFonts w:ascii="Book Antiqua" w:hAnsi="Book Antiqua"/>
        </w:rPr>
        <w:t xml:space="preserve"> 2012; </w:t>
      </w:r>
      <w:r w:rsidRPr="00512804">
        <w:rPr>
          <w:rFonts w:ascii="Book Antiqua" w:hAnsi="Book Antiqua"/>
          <w:b/>
          <w:bCs/>
        </w:rPr>
        <w:t>168</w:t>
      </w:r>
      <w:r w:rsidRPr="00512804">
        <w:rPr>
          <w:rFonts w:ascii="Book Antiqua" w:hAnsi="Book Antiqua"/>
          <w:lang w:val="pt-PT"/>
        </w:rPr>
        <w:t>: 383-384 [PMID: 22398219 DOI: 10.1016/j.neurol.2011.07.014]</w:t>
      </w:r>
    </w:p>
    <w:p w14:paraId="7FB43DC2" w14:textId="77777777" w:rsidR="00B4314C" w:rsidRPr="00512804" w:rsidRDefault="0027755F">
      <w:pPr>
        <w:pStyle w:val="BodyA"/>
        <w:spacing w:line="360" w:lineRule="auto"/>
        <w:jc w:val="both"/>
      </w:pPr>
      <w:r w:rsidRPr="00512804">
        <w:rPr>
          <w:rFonts w:ascii="Book Antiqua" w:hAnsi="Book Antiqua"/>
        </w:rPr>
        <w:t xml:space="preserve">55 </w:t>
      </w:r>
      <w:r w:rsidRPr="00512804">
        <w:rPr>
          <w:rFonts w:ascii="Book Antiqua" w:hAnsi="Book Antiqua"/>
          <w:b/>
          <w:bCs/>
          <w:lang w:val="da-DK"/>
        </w:rPr>
        <w:t>Diebold M</w:t>
      </w:r>
      <w:r w:rsidRPr="00512804">
        <w:rPr>
          <w:rFonts w:ascii="Book Antiqua" w:hAnsi="Book Antiqua"/>
          <w:lang w:val="de-DE"/>
        </w:rPr>
        <w:t>, Fischer-Barnicol B, Tsagkas C, Kuhle J, Kappos L, Derfuss T, D</w:t>
      </w:r>
      <w:r w:rsidRPr="00512804">
        <w:rPr>
          <w:rFonts w:ascii="Book Antiqua" w:hAnsi="Book Antiqua"/>
        </w:rPr>
        <w:t xml:space="preserve">écard BF. Hepatitis E virus infections in patients with MS on oral disease-modifying treatment. </w:t>
      </w:r>
      <w:r w:rsidRPr="00512804">
        <w:rPr>
          <w:rFonts w:ascii="Book Antiqua" w:hAnsi="Book Antiqua"/>
          <w:i/>
          <w:iCs/>
        </w:rPr>
        <w:t>Neurol Neuroimmunol Neuroinflamm</w:t>
      </w:r>
      <w:r w:rsidRPr="00512804">
        <w:rPr>
          <w:rFonts w:ascii="Book Antiqua" w:hAnsi="Book Antiqua"/>
        </w:rPr>
        <w:t xml:space="preserve"> 2019; </w:t>
      </w:r>
      <w:r w:rsidRPr="00512804">
        <w:rPr>
          <w:rFonts w:ascii="Book Antiqua" w:hAnsi="Book Antiqua"/>
          <w:b/>
          <w:bCs/>
        </w:rPr>
        <w:t>6</w:t>
      </w:r>
      <w:r w:rsidRPr="00512804">
        <w:rPr>
          <w:rFonts w:ascii="Book Antiqua" w:hAnsi="Book Antiqua"/>
          <w:lang w:val="pt-PT"/>
        </w:rPr>
        <w:t xml:space="preserve"> [PMID: 31454772 DOI: 10.1212/NXI.0000000000000594]</w:t>
      </w:r>
    </w:p>
    <w:p w14:paraId="40B23C5A" w14:textId="000DB28E" w:rsidR="00B4314C" w:rsidRPr="00512804" w:rsidRDefault="0027755F">
      <w:pPr>
        <w:pStyle w:val="BodyA"/>
        <w:spacing w:line="360" w:lineRule="auto"/>
        <w:jc w:val="both"/>
      </w:pPr>
      <w:r w:rsidRPr="00512804">
        <w:rPr>
          <w:rFonts w:ascii="Book Antiqua" w:hAnsi="Book Antiqua"/>
        </w:rPr>
        <w:t xml:space="preserve">56 </w:t>
      </w:r>
      <w:r w:rsidRPr="00512804">
        <w:rPr>
          <w:rFonts w:ascii="Book Antiqua" w:hAnsi="Book Antiqua"/>
          <w:b/>
          <w:bCs/>
          <w:lang w:val="de-DE"/>
        </w:rPr>
        <w:t>Cheung MC</w:t>
      </w:r>
      <w:r w:rsidRPr="00512804">
        <w:rPr>
          <w:rFonts w:ascii="Book Antiqua" w:hAnsi="Book Antiqua"/>
        </w:rPr>
        <w:t xml:space="preserve">, Maguire J, Carey I, Wendon J, Agarwal K. Review of the neurological manifestations of hepatitis E infection. </w:t>
      </w:r>
      <w:r w:rsidRPr="00512804">
        <w:rPr>
          <w:rFonts w:ascii="Book Antiqua" w:hAnsi="Book Antiqua"/>
          <w:i/>
          <w:iCs/>
        </w:rPr>
        <w:t>Ann Hepatol</w:t>
      </w:r>
      <w:r w:rsidRPr="00512804">
        <w:rPr>
          <w:rFonts w:ascii="Book Antiqua" w:hAnsi="Book Antiqua"/>
        </w:rPr>
        <w:t xml:space="preserve"> 2012; </w:t>
      </w:r>
      <w:r w:rsidRPr="00512804">
        <w:rPr>
          <w:rFonts w:ascii="Book Antiqua" w:hAnsi="Book Antiqua"/>
          <w:b/>
          <w:bCs/>
        </w:rPr>
        <w:t>11</w:t>
      </w:r>
      <w:r w:rsidRPr="00512804">
        <w:rPr>
          <w:rFonts w:ascii="Book Antiqua" w:hAnsi="Book Antiqua"/>
          <w:lang w:val="pt-PT"/>
        </w:rPr>
        <w:t>: 618-622 [PMID: 22947521]</w:t>
      </w:r>
    </w:p>
    <w:p w14:paraId="10C232B9" w14:textId="77777777" w:rsidR="00B4314C" w:rsidRPr="00512804" w:rsidRDefault="0027755F">
      <w:pPr>
        <w:pStyle w:val="BodyA"/>
        <w:spacing w:line="360" w:lineRule="auto"/>
        <w:jc w:val="both"/>
      </w:pPr>
      <w:r w:rsidRPr="00512804">
        <w:rPr>
          <w:rFonts w:ascii="Book Antiqua" w:hAnsi="Book Antiqua"/>
          <w:lang w:val="ru-RU"/>
        </w:rPr>
        <w:t xml:space="preserve">57 </w:t>
      </w:r>
      <w:r w:rsidRPr="00512804">
        <w:rPr>
          <w:rFonts w:ascii="Book Antiqua" w:hAnsi="Book Antiqua"/>
          <w:b/>
          <w:bCs/>
          <w:lang w:val="nl-NL"/>
        </w:rPr>
        <w:t>van den Berg B</w:t>
      </w:r>
      <w:r w:rsidRPr="00512804">
        <w:rPr>
          <w:rFonts w:ascii="Book Antiqua" w:hAnsi="Book Antiqua"/>
          <w:lang w:val="nl-NL"/>
        </w:rPr>
        <w:t>, Walgaard C, Drenthen J, Fokke C, Jacobs BC, van Doorn PA. Guillain-Barr</w:t>
      </w:r>
      <w:r w:rsidRPr="00512804">
        <w:rPr>
          <w:rFonts w:ascii="Book Antiqua" w:hAnsi="Book Antiqua"/>
        </w:rPr>
        <w:t xml:space="preserve">é syndrome: pathogenesis, diagnosis, treatment and prognosis. </w:t>
      </w:r>
      <w:r w:rsidRPr="00512804">
        <w:rPr>
          <w:rFonts w:ascii="Book Antiqua" w:hAnsi="Book Antiqua"/>
          <w:i/>
          <w:iCs/>
          <w:lang w:val="da-DK"/>
        </w:rPr>
        <w:t>Nat Rev Neurol</w:t>
      </w:r>
      <w:r w:rsidRPr="00512804">
        <w:rPr>
          <w:rFonts w:ascii="Book Antiqua" w:hAnsi="Book Antiqua"/>
        </w:rPr>
        <w:t xml:space="preserve"> 2014; </w:t>
      </w:r>
      <w:r w:rsidRPr="00512804">
        <w:rPr>
          <w:rFonts w:ascii="Book Antiqua" w:hAnsi="Book Antiqua"/>
          <w:b/>
          <w:bCs/>
        </w:rPr>
        <w:t>10</w:t>
      </w:r>
      <w:r w:rsidRPr="00512804">
        <w:rPr>
          <w:rFonts w:ascii="Book Antiqua" w:hAnsi="Book Antiqua"/>
          <w:lang w:val="pt-PT"/>
        </w:rPr>
        <w:t>: 469-482 [PMID: 25023340 DOI: 10.1038/nrneurol.2014.121]</w:t>
      </w:r>
    </w:p>
    <w:p w14:paraId="05209783" w14:textId="77777777" w:rsidR="00B4314C" w:rsidRPr="00512804" w:rsidRDefault="0027755F">
      <w:pPr>
        <w:pStyle w:val="BodyA"/>
        <w:spacing w:line="360" w:lineRule="auto"/>
        <w:jc w:val="both"/>
      </w:pPr>
      <w:r w:rsidRPr="00512804">
        <w:rPr>
          <w:rFonts w:ascii="Book Antiqua" w:hAnsi="Book Antiqua"/>
          <w:lang w:val="ru-RU"/>
        </w:rPr>
        <w:t xml:space="preserve">58 </w:t>
      </w:r>
      <w:r w:rsidRPr="00512804">
        <w:rPr>
          <w:rFonts w:ascii="Book Antiqua" w:hAnsi="Book Antiqua"/>
          <w:b/>
          <w:bCs/>
          <w:lang w:val="nl-NL"/>
        </w:rPr>
        <w:t>Stevens O</w:t>
      </w:r>
      <w:r w:rsidRPr="00512804">
        <w:rPr>
          <w:rFonts w:ascii="Book Antiqua" w:hAnsi="Book Antiqua"/>
        </w:rPr>
        <w:t xml:space="preserve">, Claeys KG, Poesen K, Saegeman V, Van Damme P. Diagnostic Challenges and Clinical Characteristics of Hepatitis E Virus-Associated Guillain-Barré Syndrome. </w:t>
      </w:r>
      <w:r w:rsidRPr="00512804">
        <w:rPr>
          <w:rFonts w:ascii="Book Antiqua" w:hAnsi="Book Antiqua"/>
          <w:i/>
          <w:iCs/>
          <w:lang w:val="de-DE"/>
        </w:rPr>
        <w:t>JAMA Neurol</w:t>
      </w:r>
      <w:r w:rsidRPr="00512804">
        <w:rPr>
          <w:rFonts w:ascii="Book Antiqua" w:hAnsi="Book Antiqua"/>
        </w:rPr>
        <w:t xml:space="preserve"> 2017; </w:t>
      </w:r>
      <w:r w:rsidRPr="00512804">
        <w:rPr>
          <w:rFonts w:ascii="Book Antiqua" w:hAnsi="Book Antiqua"/>
          <w:b/>
          <w:bCs/>
          <w:lang w:val="ru-RU"/>
        </w:rPr>
        <w:t>74</w:t>
      </w:r>
      <w:r w:rsidRPr="00512804">
        <w:rPr>
          <w:rFonts w:ascii="Book Antiqua" w:hAnsi="Book Antiqua"/>
          <w:lang w:val="pt-PT"/>
        </w:rPr>
        <w:t>: 26-33 [PMID: 27820624 DOI: 10.1001/jamaneurol.2016.3541]</w:t>
      </w:r>
    </w:p>
    <w:p w14:paraId="4E6127D3" w14:textId="77777777" w:rsidR="00B4314C" w:rsidRPr="00512804" w:rsidRDefault="0027755F">
      <w:pPr>
        <w:pStyle w:val="BodyA"/>
        <w:spacing w:line="360" w:lineRule="auto"/>
        <w:jc w:val="both"/>
      </w:pPr>
      <w:r w:rsidRPr="00512804">
        <w:rPr>
          <w:rFonts w:ascii="Book Antiqua" w:hAnsi="Book Antiqua"/>
        </w:rPr>
        <w:t xml:space="preserve">59 </w:t>
      </w:r>
      <w:r w:rsidRPr="00512804">
        <w:rPr>
          <w:rFonts w:ascii="Book Antiqua" w:hAnsi="Book Antiqua"/>
          <w:b/>
          <w:bCs/>
          <w:lang w:val="nl-NL"/>
        </w:rPr>
        <w:t>van den Berg B</w:t>
      </w:r>
      <w:r w:rsidRPr="00512804">
        <w:rPr>
          <w:rFonts w:ascii="Book Antiqua" w:hAnsi="Book Antiqua"/>
          <w:lang w:val="nl-NL"/>
        </w:rPr>
        <w:t>, van der Eijk AA, Pas SD, Hunter JG, Madden RG, Tio-Gillen AP, Dalton HR, Jacobs BC. Guillain-Barr</w:t>
      </w:r>
      <w:r w:rsidRPr="00512804">
        <w:rPr>
          <w:rFonts w:ascii="Book Antiqua" w:hAnsi="Book Antiqua"/>
        </w:rPr>
        <w:t xml:space="preserve">é syndrome associated with preceding hepatitis E virus infection. </w:t>
      </w:r>
      <w:r w:rsidRPr="00512804">
        <w:rPr>
          <w:rFonts w:ascii="Book Antiqua" w:hAnsi="Book Antiqua"/>
          <w:i/>
          <w:iCs/>
        </w:rPr>
        <w:t>Neurology</w:t>
      </w:r>
      <w:r w:rsidRPr="00512804">
        <w:rPr>
          <w:rFonts w:ascii="Book Antiqua" w:hAnsi="Book Antiqua"/>
        </w:rPr>
        <w:t xml:space="preserve"> 2014; </w:t>
      </w:r>
      <w:r w:rsidRPr="00512804">
        <w:rPr>
          <w:rFonts w:ascii="Book Antiqua" w:hAnsi="Book Antiqua"/>
          <w:b/>
          <w:bCs/>
        </w:rPr>
        <w:t>82</w:t>
      </w:r>
      <w:r w:rsidRPr="00512804">
        <w:rPr>
          <w:rFonts w:ascii="Book Antiqua" w:hAnsi="Book Antiqua"/>
          <w:lang w:val="pt-PT"/>
        </w:rPr>
        <w:t>: 491-497 [PMID: 24415572 DOI: 10.1212/WNL.0000000000000111]</w:t>
      </w:r>
    </w:p>
    <w:p w14:paraId="00419C14" w14:textId="77777777" w:rsidR="00B4314C" w:rsidRPr="00512804" w:rsidRDefault="0027755F">
      <w:pPr>
        <w:pStyle w:val="BodyA"/>
        <w:spacing w:line="360" w:lineRule="auto"/>
        <w:jc w:val="both"/>
      </w:pPr>
      <w:r w:rsidRPr="00512804">
        <w:rPr>
          <w:rFonts w:ascii="Book Antiqua" w:hAnsi="Book Antiqua"/>
        </w:rPr>
        <w:t xml:space="preserve">60 </w:t>
      </w:r>
      <w:r w:rsidRPr="00512804">
        <w:rPr>
          <w:rFonts w:ascii="Book Antiqua" w:hAnsi="Book Antiqua"/>
          <w:b/>
          <w:bCs/>
        </w:rPr>
        <w:t>Fukae J</w:t>
      </w:r>
      <w:r w:rsidRPr="00512804">
        <w:rPr>
          <w:rFonts w:ascii="Book Antiqua" w:hAnsi="Book Antiqua"/>
        </w:rPr>
        <w:t xml:space="preserve">, Tsugawa J, Ouma S, Umezu T, Kusunoki S, Tsuboi Y. Guillain-Barré and Miller Fisher syndromes in patients with anti-hepatitis E virus antibody: a hospital-based survey in Japan. </w:t>
      </w:r>
      <w:r w:rsidRPr="00512804">
        <w:rPr>
          <w:rFonts w:ascii="Book Antiqua" w:hAnsi="Book Antiqua"/>
          <w:i/>
          <w:iCs/>
          <w:lang w:val="de-DE"/>
        </w:rPr>
        <w:t>Neurol Sci</w:t>
      </w:r>
      <w:r w:rsidRPr="00512804">
        <w:rPr>
          <w:rFonts w:ascii="Book Antiqua" w:hAnsi="Book Antiqua"/>
        </w:rPr>
        <w:t xml:space="preserve"> 2016; </w:t>
      </w:r>
      <w:r w:rsidRPr="00512804">
        <w:rPr>
          <w:rFonts w:ascii="Book Antiqua" w:hAnsi="Book Antiqua"/>
          <w:b/>
          <w:bCs/>
        </w:rPr>
        <w:t>37</w:t>
      </w:r>
      <w:r w:rsidRPr="00512804">
        <w:rPr>
          <w:rFonts w:ascii="Book Antiqua" w:hAnsi="Book Antiqua"/>
        </w:rPr>
        <w:t>: 1849-1851 [PMID: 27389141 DOI: 10.1007/s10072-016-2644-4]</w:t>
      </w:r>
    </w:p>
    <w:p w14:paraId="700D573F" w14:textId="77777777" w:rsidR="00B4314C" w:rsidRPr="00512804" w:rsidRDefault="0027755F">
      <w:pPr>
        <w:pStyle w:val="BodyA"/>
        <w:spacing w:line="360" w:lineRule="auto"/>
        <w:jc w:val="both"/>
      </w:pPr>
      <w:r w:rsidRPr="00512804">
        <w:rPr>
          <w:rFonts w:ascii="Book Antiqua" w:hAnsi="Book Antiqua"/>
          <w:lang w:val="ru-RU"/>
        </w:rPr>
        <w:t xml:space="preserve">61 </w:t>
      </w:r>
      <w:r w:rsidRPr="00512804">
        <w:rPr>
          <w:rFonts w:ascii="Book Antiqua" w:hAnsi="Book Antiqua"/>
          <w:b/>
          <w:bCs/>
          <w:lang w:val="nl-NL"/>
        </w:rPr>
        <w:t>Geurtsvankessel CH</w:t>
      </w:r>
      <w:r w:rsidRPr="00512804">
        <w:rPr>
          <w:rFonts w:ascii="Book Antiqua" w:hAnsi="Book Antiqua"/>
          <w:lang w:val="de-DE"/>
        </w:rPr>
        <w:t xml:space="preserve">, Islam Z, Mohammad QD, Jacobs BC, Endtz HP, Osterhaus AD. Hepatitis E and Guillain-Barre syndrome. </w:t>
      </w:r>
      <w:r w:rsidRPr="00512804">
        <w:rPr>
          <w:rFonts w:ascii="Book Antiqua" w:hAnsi="Book Antiqua"/>
          <w:i/>
          <w:iCs/>
        </w:rPr>
        <w:t>Clin Infect Dis</w:t>
      </w:r>
      <w:r w:rsidRPr="00512804">
        <w:rPr>
          <w:rFonts w:ascii="Book Antiqua" w:hAnsi="Book Antiqua"/>
        </w:rPr>
        <w:t xml:space="preserve"> 2013; </w:t>
      </w:r>
      <w:r w:rsidRPr="00512804">
        <w:rPr>
          <w:rFonts w:ascii="Book Antiqua" w:hAnsi="Book Antiqua"/>
          <w:b/>
          <w:bCs/>
          <w:lang w:val="ru-RU"/>
        </w:rPr>
        <w:t>57</w:t>
      </w:r>
      <w:r w:rsidRPr="00512804">
        <w:rPr>
          <w:rFonts w:ascii="Book Antiqua" w:hAnsi="Book Antiqua"/>
          <w:lang w:val="pt-PT"/>
        </w:rPr>
        <w:t>: 1369-1370 [PMID: 23899686 DOI: 10.1093/cid/cit512]</w:t>
      </w:r>
    </w:p>
    <w:p w14:paraId="4AD8FDA1" w14:textId="77777777" w:rsidR="00B4314C" w:rsidRPr="00512804" w:rsidRDefault="0027755F">
      <w:pPr>
        <w:pStyle w:val="BodyA"/>
        <w:spacing w:line="360" w:lineRule="auto"/>
        <w:jc w:val="both"/>
      </w:pPr>
      <w:r w:rsidRPr="00512804">
        <w:rPr>
          <w:rFonts w:ascii="Book Antiqua" w:hAnsi="Book Antiqua"/>
        </w:rPr>
        <w:t xml:space="preserve">62 </w:t>
      </w:r>
      <w:r w:rsidRPr="00512804">
        <w:rPr>
          <w:rFonts w:ascii="Book Antiqua" w:hAnsi="Book Antiqua"/>
          <w:b/>
          <w:bCs/>
        </w:rPr>
        <w:t>Sood A</w:t>
      </w:r>
      <w:r w:rsidRPr="00512804">
        <w:rPr>
          <w:rFonts w:ascii="Book Antiqua" w:hAnsi="Book Antiqua"/>
        </w:rPr>
        <w:t xml:space="preserve">, Midha V, Sood N. Guillain-Barré syndrome with acute hepatitis E. </w:t>
      </w:r>
      <w:r w:rsidRPr="00512804">
        <w:rPr>
          <w:rFonts w:ascii="Book Antiqua" w:hAnsi="Book Antiqua"/>
          <w:i/>
          <w:iCs/>
          <w:lang w:val="nl-NL"/>
        </w:rPr>
        <w:t>Am J Gastroenterol</w:t>
      </w:r>
      <w:r w:rsidRPr="00512804">
        <w:rPr>
          <w:rFonts w:ascii="Book Antiqua" w:hAnsi="Book Antiqua"/>
        </w:rPr>
        <w:t xml:space="preserve"> 2000; </w:t>
      </w:r>
      <w:r w:rsidRPr="00512804">
        <w:rPr>
          <w:rFonts w:ascii="Book Antiqua" w:hAnsi="Book Antiqua"/>
          <w:b/>
          <w:bCs/>
        </w:rPr>
        <w:t>95</w:t>
      </w:r>
      <w:r w:rsidRPr="00512804">
        <w:rPr>
          <w:rFonts w:ascii="Book Antiqua" w:hAnsi="Book Antiqua"/>
          <w:lang w:val="pt-PT"/>
        </w:rPr>
        <w:t>: 3667-3668 [PMID: 11151929 DOI: 10.1111/j.1572-0241.2000.03409.x]</w:t>
      </w:r>
    </w:p>
    <w:p w14:paraId="0186E761" w14:textId="77777777" w:rsidR="00B4314C" w:rsidRPr="00512804" w:rsidRDefault="0027755F">
      <w:pPr>
        <w:pStyle w:val="BodyA"/>
        <w:spacing w:line="360" w:lineRule="auto"/>
        <w:jc w:val="both"/>
      </w:pPr>
      <w:r w:rsidRPr="00512804">
        <w:rPr>
          <w:rFonts w:ascii="Book Antiqua" w:hAnsi="Book Antiqua"/>
        </w:rPr>
        <w:t xml:space="preserve">63 </w:t>
      </w:r>
      <w:r w:rsidRPr="00512804">
        <w:rPr>
          <w:rFonts w:ascii="Book Antiqua" w:hAnsi="Book Antiqua"/>
          <w:b/>
          <w:bCs/>
          <w:lang w:val="it-IT"/>
        </w:rPr>
        <w:t>Kamani P</w:t>
      </w:r>
      <w:r w:rsidRPr="00512804">
        <w:rPr>
          <w:rFonts w:ascii="Book Antiqua" w:hAnsi="Book Antiqua"/>
        </w:rPr>
        <w:t xml:space="preserve">, Baijal R, Amarapurkar D, Gupte P, Patel N, Kumar P, Agal S. Guillain-Barre syndrome associated with acute hepatitis E. </w:t>
      </w:r>
      <w:r w:rsidRPr="00512804">
        <w:rPr>
          <w:rFonts w:ascii="Book Antiqua" w:hAnsi="Book Antiqua"/>
          <w:i/>
          <w:iCs/>
          <w:lang w:val="nl-NL"/>
        </w:rPr>
        <w:t>Indian J Gastroenterol</w:t>
      </w:r>
      <w:r w:rsidRPr="00512804">
        <w:rPr>
          <w:rFonts w:ascii="Book Antiqua" w:hAnsi="Book Antiqua"/>
        </w:rPr>
        <w:t xml:space="preserve"> 2005; </w:t>
      </w:r>
      <w:r w:rsidRPr="00512804">
        <w:rPr>
          <w:rFonts w:ascii="Book Antiqua" w:hAnsi="Book Antiqua"/>
          <w:b/>
          <w:bCs/>
        </w:rPr>
        <w:t>24</w:t>
      </w:r>
      <w:r w:rsidRPr="00512804">
        <w:rPr>
          <w:rFonts w:ascii="Book Antiqua" w:hAnsi="Book Antiqua"/>
          <w:lang w:val="pt-PT"/>
        </w:rPr>
        <w:t>: 216 [PMID: 16361768]</w:t>
      </w:r>
    </w:p>
    <w:p w14:paraId="2F671835" w14:textId="77777777" w:rsidR="00B4314C" w:rsidRPr="00512804" w:rsidRDefault="0027755F">
      <w:pPr>
        <w:pStyle w:val="BodyA"/>
        <w:spacing w:line="360" w:lineRule="auto"/>
        <w:jc w:val="both"/>
      </w:pPr>
      <w:r w:rsidRPr="00512804">
        <w:rPr>
          <w:rFonts w:ascii="Book Antiqua" w:hAnsi="Book Antiqua"/>
        </w:rPr>
        <w:t xml:space="preserve">64 </w:t>
      </w:r>
      <w:r w:rsidRPr="00512804">
        <w:rPr>
          <w:rFonts w:ascii="Book Antiqua" w:hAnsi="Book Antiqua"/>
          <w:b/>
          <w:bCs/>
        </w:rPr>
        <w:t>Khanam R</w:t>
      </w:r>
      <w:r w:rsidRPr="00512804">
        <w:rPr>
          <w:rFonts w:ascii="Book Antiqua" w:hAnsi="Book Antiqua"/>
        </w:rPr>
        <w:t xml:space="preserve">, Faruq M, Basunia R, Ahsan A. Guillain-BarrÃ© Syndrome Associated with Acute HEV Hepatitis. </w:t>
      </w:r>
      <w:r w:rsidRPr="00512804">
        <w:rPr>
          <w:rFonts w:ascii="Book Antiqua" w:hAnsi="Book Antiqua"/>
          <w:i/>
          <w:iCs/>
        </w:rPr>
        <w:t>IMCJ</w:t>
      </w:r>
      <w:r w:rsidRPr="00512804">
        <w:rPr>
          <w:rFonts w:ascii="Book Antiqua" w:hAnsi="Book Antiqua"/>
        </w:rPr>
        <w:t xml:space="preserve"> 2008; </w:t>
      </w:r>
      <w:r w:rsidRPr="00512804">
        <w:rPr>
          <w:rFonts w:ascii="Book Antiqua" w:hAnsi="Book Antiqua"/>
          <w:b/>
          <w:bCs/>
        </w:rPr>
        <w:t>2</w:t>
      </w:r>
      <w:r w:rsidRPr="00512804">
        <w:rPr>
          <w:rFonts w:ascii="Book Antiqua" w:hAnsi="Book Antiqua"/>
        </w:rPr>
        <w:t>: 32-34 [DOI: 10.3329/imcj.v2i1.2930]</w:t>
      </w:r>
    </w:p>
    <w:p w14:paraId="211863ED" w14:textId="77777777" w:rsidR="00B4314C" w:rsidRPr="00512804" w:rsidRDefault="0027755F">
      <w:pPr>
        <w:pStyle w:val="BodyA"/>
        <w:spacing w:line="360" w:lineRule="auto"/>
        <w:jc w:val="both"/>
      </w:pPr>
      <w:r w:rsidRPr="00512804">
        <w:rPr>
          <w:rFonts w:ascii="Book Antiqua" w:hAnsi="Book Antiqua"/>
        </w:rPr>
        <w:t xml:space="preserve">65 </w:t>
      </w:r>
      <w:r w:rsidRPr="00512804">
        <w:rPr>
          <w:rFonts w:ascii="Book Antiqua" w:hAnsi="Book Antiqua"/>
          <w:b/>
          <w:bCs/>
        </w:rPr>
        <w:t>Loly JP</w:t>
      </w:r>
      <w:r w:rsidRPr="00512804">
        <w:rPr>
          <w:rFonts w:ascii="Book Antiqua" w:hAnsi="Book Antiqua"/>
          <w:lang w:val="it-IT"/>
        </w:rPr>
        <w:t>, Rikir E, Seivert M, Legros E, Defrance P, Belaiche J, Moonen G, Delwaide J. Guillain-Barr</w:t>
      </w:r>
      <w:r w:rsidRPr="00512804">
        <w:rPr>
          <w:rFonts w:ascii="Book Antiqua" w:hAnsi="Book Antiqua"/>
        </w:rPr>
        <w:t xml:space="preserve">é syndrome following hepatitis E. </w:t>
      </w:r>
      <w:r w:rsidRPr="00512804">
        <w:rPr>
          <w:rFonts w:ascii="Book Antiqua" w:hAnsi="Book Antiqua"/>
          <w:i/>
          <w:iCs/>
          <w:lang w:val="nl-NL"/>
        </w:rPr>
        <w:t>World J Gastroenterol</w:t>
      </w:r>
      <w:r w:rsidRPr="00512804">
        <w:rPr>
          <w:rFonts w:ascii="Book Antiqua" w:hAnsi="Book Antiqua"/>
        </w:rPr>
        <w:t xml:space="preserve"> 2009; </w:t>
      </w:r>
      <w:r w:rsidRPr="00512804">
        <w:rPr>
          <w:rFonts w:ascii="Book Antiqua" w:hAnsi="Book Antiqua"/>
          <w:b/>
          <w:bCs/>
        </w:rPr>
        <w:t>15</w:t>
      </w:r>
      <w:r w:rsidRPr="00512804">
        <w:rPr>
          <w:rFonts w:ascii="Book Antiqua" w:hAnsi="Book Antiqua"/>
          <w:lang w:val="pt-PT"/>
        </w:rPr>
        <w:t>: 1645-1647 [PMID: 19340910 DOI: 10.3748/wjg.15.1645]</w:t>
      </w:r>
    </w:p>
    <w:p w14:paraId="3FBE42B1" w14:textId="77777777" w:rsidR="00B4314C" w:rsidRPr="00512804" w:rsidRDefault="0027755F">
      <w:pPr>
        <w:pStyle w:val="BodyA"/>
        <w:spacing w:line="360" w:lineRule="auto"/>
        <w:jc w:val="both"/>
      </w:pPr>
      <w:r w:rsidRPr="00512804">
        <w:rPr>
          <w:rFonts w:ascii="Book Antiqua" w:hAnsi="Book Antiqua"/>
        </w:rPr>
        <w:t xml:space="preserve">66 </w:t>
      </w:r>
      <w:r w:rsidRPr="00512804">
        <w:rPr>
          <w:rFonts w:ascii="Book Antiqua" w:hAnsi="Book Antiqua"/>
          <w:b/>
          <w:bCs/>
        </w:rPr>
        <w:t>Cronin S</w:t>
      </w:r>
      <w:r w:rsidRPr="00512804">
        <w:rPr>
          <w:rFonts w:ascii="Book Antiqua" w:hAnsi="Book Antiqua"/>
        </w:rPr>
        <w:t xml:space="preserve">, McNicholas R, Kavanagh E, Reid V, O'Rourke K. Anti-glycolipid GM2-positive Guillain-Barre syndrome due to hepatitis E infection. </w:t>
      </w:r>
      <w:r w:rsidRPr="00512804">
        <w:rPr>
          <w:rFonts w:ascii="Book Antiqua" w:hAnsi="Book Antiqua"/>
          <w:i/>
          <w:iCs/>
        </w:rPr>
        <w:t>Ir J Med Sci</w:t>
      </w:r>
      <w:r w:rsidRPr="00512804">
        <w:rPr>
          <w:rFonts w:ascii="Book Antiqua" w:hAnsi="Book Antiqua"/>
        </w:rPr>
        <w:t xml:space="preserve"> 2011; </w:t>
      </w:r>
      <w:r w:rsidRPr="00512804">
        <w:rPr>
          <w:rFonts w:ascii="Book Antiqua" w:hAnsi="Book Antiqua"/>
          <w:b/>
          <w:bCs/>
        </w:rPr>
        <w:t>180</w:t>
      </w:r>
      <w:r w:rsidRPr="00512804">
        <w:rPr>
          <w:rFonts w:ascii="Book Antiqua" w:hAnsi="Book Antiqua"/>
          <w:lang w:val="pt-PT"/>
        </w:rPr>
        <w:t>: 255-257 [PMID: 21063804 DOI: 10.1007/s11845-010-0635-7]</w:t>
      </w:r>
    </w:p>
    <w:p w14:paraId="01115C5B" w14:textId="77777777" w:rsidR="00B4314C" w:rsidRPr="00512804" w:rsidRDefault="0027755F">
      <w:pPr>
        <w:pStyle w:val="BodyA"/>
        <w:spacing w:line="360" w:lineRule="auto"/>
        <w:jc w:val="both"/>
      </w:pPr>
      <w:r w:rsidRPr="00512804">
        <w:rPr>
          <w:rFonts w:ascii="Book Antiqua" w:hAnsi="Book Antiqua"/>
        </w:rPr>
        <w:t xml:space="preserve">67 </w:t>
      </w:r>
      <w:r w:rsidRPr="00512804">
        <w:rPr>
          <w:rFonts w:ascii="Book Antiqua" w:hAnsi="Book Antiqua"/>
          <w:b/>
          <w:bCs/>
          <w:lang w:val="nl-NL"/>
        </w:rPr>
        <w:t>Maurissen I</w:t>
      </w:r>
      <w:r w:rsidRPr="00512804">
        <w:rPr>
          <w:rFonts w:ascii="Book Antiqua" w:hAnsi="Book Antiqua"/>
          <w:lang w:val="it-IT"/>
        </w:rPr>
        <w:t>, Jeurissen A, Strauven T, Sprengers D, De Schepper B. First case of anti-ganglioside GM1-positive Guillain-Barr</w:t>
      </w:r>
      <w:r w:rsidRPr="00512804">
        <w:rPr>
          <w:rFonts w:ascii="Book Antiqua" w:hAnsi="Book Antiqua"/>
        </w:rPr>
        <w:t xml:space="preserve">é syndrome due to hepatitis E virus infection. </w:t>
      </w:r>
      <w:r w:rsidRPr="00512804">
        <w:rPr>
          <w:rFonts w:ascii="Book Antiqua" w:hAnsi="Book Antiqua"/>
          <w:i/>
          <w:iCs/>
          <w:lang w:val="fr-FR"/>
        </w:rPr>
        <w:t>Infection</w:t>
      </w:r>
      <w:r w:rsidRPr="00512804">
        <w:rPr>
          <w:rFonts w:ascii="Book Antiqua" w:hAnsi="Book Antiqua"/>
        </w:rPr>
        <w:t xml:space="preserve"> 2012; </w:t>
      </w:r>
      <w:r w:rsidRPr="00512804">
        <w:rPr>
          <w:rFonts w:ascii="Book Antiqua" w:hAnsi="Book Antiqua"/>
          <w:b/>
          <w:bCs/>
        </w:rPr>
        <w:t>40</w:t>
      </w:r>
      <w:r w:rsidRPr="00512804">
        <w:rPr>
          <w:rFonts w:ascii="Book Antiqua" w:hAnsi="Book Antiqua"/>
          <w:lang w:val="pt-PT"/>
        </w:rPr>
        <w:t>: 323-326 [PMID: 21877179 DOI: 10.1007/s15010-011-0185-6]</w:t>
      </w:r>
    </w:p>
    <w:p w14:paraId="1210B4FA" w14:textId="77777777" w:rsidR="00B4314C" w:rsidRPr="00512804" w:rsidRDefault="0027755F">
      <w:pPr>
        <w:pStyle w:val="BodyA"/>
        <w:spacing w:line="360" w:lineRule="auto"/>
        <w:jc w:val="both"/>
      </w:pPr>
      <w:r w:rsidRPr="00512804">
        <w:rPr>
          <w:rFonts w:ascii="Book Antiqua" w:hAnsi="Book Antiqua"/>
        </w:rPr>
        <w:t xml:space="preserve">68 </w:t>
      </w:r>
      <w:r w:rsidRPr="00512804">
        <w:rPr>
          <w:rFonts w:ascii="Book Antiqua" w:hAnsi="Book Antiqua"/>
          <w:b/>
          <w:bCs/>
          <w:lang w:val="it-IT"/>
        </w:rPr>
        <w:t>Del Bello A</w:t>
      </w:r>
      <w:r w:rsidRPr="00512804">
        <w:rPr>
          <w:rFonts w:ascii="Book Antiqua" w:hAnsi="Book Antiqua"/>
        </w:rPr>
        <w:t xml:space="preserve">, Arné-Bes MC, Lavayssière L, Kamar N. Hepatitis E virus-induced severe myositis. </w:t>
      </w:r>
      <w:r w:rsidRPr="00512804">
        <w:rPr>
          <w:rFonts w:ascii="Book Antiqua" w:hAnsi="Book Antiqua"/>
          <w:i/>
          <w:iCs/>
        </w:rPr>
        <w:t>J Hepatol</w:t>
      </w:r>
      <w:r w:rsidRPr="00512804">
        <w:rPr>
          <w:rFonts w:ascii="Book Antiqua" w:hAnsi="Book Antiqua"/>
        </w:rPr>
        <w:t xml:space="preserve"> 2012; </w:t>
      </w:r>
      <w:r w:rsidRPr="00512804">
        <w:rPr>
          <w:rFonts w:ascii="Book Antiqua" w:hAnsi="Book Antiqua"/>
          <w:b/>
          <w:bCs/>
          <w:lang w:val="ru-RU"/>
        </w:rPr>
        <w:t>57</w:t>
      </w:r>
      <w:r w:rsidRPr="00512804">
        <w:rPr>
          <w:rFonts w:ascii="Book Antiqua" w:hAnsi="Book Antiqua"/>
          <w:lang w:val="pt-PT"/>
        </w:rPr>
        <w:t>: 1152-1153 [PMID: 22641093 DOI: 10.1016/j.jhep.2012.05.010]</w:t>
      </w:r>
    </w:p>
    <w:p w14:paraId="25FB8ADA" w14:textId="77777777" w:rsidR="00B4314C" w:rsidRPr="00512804" w:rsidRDefault="0027755F">
      <w:pPr>
        <w:pStyle w:val="BodyA"/>
        <w:spacing w:line="360" w:lineRule="auto"/>
        <w:jc w:val="both"/>
      </w:pPr>
      <w:r w:rsidRPr="00512804">
        <w:rPr>
          <w:rFonts w:ascii="Book Antiqua" w:hAnsi="Book Antiqua"/>
        </w:rPr>
        <w:t xml:space="preserve">69 </w:t>
      </w:r>
      <w:r w:rsidRPr="00512804">
        <w:rPr>
          <w:rFonts w:ascii="Book Antiqua" w:hAnsi="Book Antiqua"/>
          <w:b/>
          <w:bCs/>
          <w:lang w:val="de-DE"/>
        </w:rPr>
        <w:t>Tse AC</w:t>
      </w:r>
      <w:r w:rsidRPr="00512804">
        <w:rPr>
          <w:rFonts w:ascii="Book Antiqua" w:hAnsi="Book Antiqua"/>
        </w:rPr>
        <w:t xml:space="preserve">, Cheung RT, Ho SL, Chan KH. Guillain-Barré syndrome associated with acute hepatitis E infection. </w:t>
      </w:r>
      <w:r w:rsidRPr="00512804">
        <w:rPr>
          <w:rFonts w:ascii="Book Antiqua" w:hAnsi="Book Antiqua"/>
          <w:i/>
          <w:iCs/>
          <w:lang w:val="it-IT"/>
        </w:rPr>
        <w:t>J Clin Neurosci</w:t>
      </w:r>
      <w:r w:rsidRPr="00512804">
        <w:rPr>
          <w:rFonts w:ascii="Book Antiqua" w:hAnsi="Book Antiqua"/>
        </w:rPr>
        <w:t xml:space="preserve"> 2012; </w:t>
      </w:r>
      <w:r w:rsidRPr="00512804">
        <w:rPr>
          <w:rFonts w:ascii="Book Antiqua" w:hAnsi="Book Antiqua"/>
          <w:b/>
          <w:bCs/>
        </w:rPr>
        <w:t>19</w:t>
      </w:r>
      <w:r w:rsidRPr="00512804">
        <w:rPr>
          <w:rFonts w:ascii="Book Antiqua" w:hAnsi="Book Antiqua"/>
        </w:rPr>
        <w:t>: 607-608 [PMID: 22285113 DOI: 10.1016/j.jocn.2011.06.024]</w:t>
      </w:r>
    </w:p>
    <w:p w14:paraId="3E0A9CBB" w14:textId="77777777" w:rsidR="00B4314C" w:rsidRPr="00512804" w:rsidRDefault="0027755F">
      <w:pPr>
        <w:pStyle w:val="BodyA"/>
        <w:spacing w:line="360" w:lineRule="auto"/>
        <w:jc w:val="both"/>
      </w:pPr>
      <w:r w:rsidRPr="00512804">
        <w:rPr>
          <w:rFonts w:ascii="Book Antiqua" w:hAnsi="Book Antiqua"/>
        </w:rPr>
        <w:t xml:space="preserve">70 </w:t>
      </w:r>
      <w:r w:rsidRPr="00512804">
        <w:rPr>
          <w:rFonts w:ascii="Book Antiqua" w:hAnsi="Book Antiqua"/>
          <w:b/>
          <w:bCs/>
          <w:lang w:val="pt-PT"/>
        </w:rPr>
        <w:t>Santos L</w:t>
      </w:r>
      <w:r w:rsidRPr="00512804">
        <w:rPr>
          <w:rFonts w:ascii="Book Antiqua" w:hAnsi="Book Antiqua"/>
          <w:lang w:val="pt-PT"/>
        </w:rPr>
        <w:t>, Mesquita JR, Rocha Pereira N, Lima-Alves C, Serr</w:t>
      </w:r>
      <w:r w:rsidRPr="00512804">
        <w:rPr>
          <w:rFonts w:ascii="Book Antiqua" w:hAnsi="Book Antiqua"/>
        </w:rPr>
        <w:t>ã</w:t>
      </w:r>
      <w:r w:rsidRPr="00512804">
        <w:rPr>
          <w:rFonts w:ascii="Book Antiqua" w:hAnsi="Book Antiqua"/>
          <w:lang w:val="pt-PT"/>
        </w:rPr>
        <w:t>o R, Figueiredo P, Reis J, Sim</w:t>
      </w:r>
      <w:r w:rsidRPr="00512804">
        <w:rPr>
          <w:rFonts w:ascii="Book Antiqua" w:hAnsi="Book Antiqua"/>
        </w:rPr>
        <w:t xml:space="preserve">ões J, Nascimento M, Sarmento A. Acute hepatitis E complicated by Guillain-Barre syndrome in Portugal, December 2012--a case report. </w:t>
      </w:r>
      <w:r w:rsidRPr="00512804">
        <w:rPr>
          <w:rFonts w:ascii="Book Antiqua" w:hAnsi="Book Antiqua"/>
          <w:i/>
          <w:iCs/>
          <w:lang w:val="fr-FR"/>
        </w:rPr>
        <w:t>Euro Surveill</w:t>
      </w:r>
      <w:r w:rsidRPr="00512804">
        <w:rPr>
          <w:rFonts w:ascii="Book Antiqua" w:hAnsi="Book Antiqua"/>
        </w:rPr>
        <w:t xml:space="preserve"> 2013; </w:t>
      </w:r>
      <w:r w:rsidRPr="00512804">
        <w:rPr>
          <w:rFonts w:ascii="Book Antiqua" w:hAnsi="Book Antiqua"/>
          <w:b/>
          <w:bCs/>
        </w:rPr>
        <w:t>18</w:t>
      </w:r>
      <w:r w:rsidRPr="00512804">
        <w:rPr>
          <w:rFonts w:ascii="Book Antiqua" w:hAnsi="Book Antiqua"/>
          <w:lang w:val="pt-PT"/>
        </w:rPr>
        <w:t xml:space="preserve"> [PMID: 23987830 DOI: 10.2807/1560-7917.es2013.18.34.20563]</w:t>
      </w:r>
    </w:p>
    <w:p w14:paraId="382B97B9" w14:textId="77777777" w:rsidR="00B4314C" w:rsidRPr="00512804" w:rsidRDefault="0027755F">
      <w:pPr>
        <w:pStyle w:val="BodyA"/>
        <w:spacing w:line="360" w:lineRule="auto"/>
        <w:jc w:val="both"/>
      </w:pPr>
      <w:r w:rsidRPr="00512804">
        <w:rPr>
          <w:rFonts w:ascii="Book Antiqua" w:hAnsi="Book Antiqua"/>
        </w:rPr>
        <w:t xml:space="preserve">71 </w:t>
      </w:r>
      <w:r w:rsidRPr="00512804">
        <w:rPr>
          <w:rFonts w:ascii="Book Antiqua" w:hAnsi="Book Antiqua"/>
          <w:b/>
          <w:bCs/>
        </w:rPr>
        <w:t>Sharma B</w:t>
      </w:r>
      <w:r w:rsidRPr="00512804">
        <w:rPr>
          <w:rFonts w:ascii="Book Antiqua" w:hAnsi="Book Antiqua"/>
        </w:rPr>
        <w:t xml:space="preserve">, Nagpal K, Bakki Sannegowda R, Prakash S. Hepatitis E with Gullain-Barré syndrome: still a rare association. </w:t>
      </w:r>
      <w:r w:rsidRPr="00512804">
        <w:rPr>
          <w:rFonts w:ascii="Book Antiqua" w:hAnsi="Book Antiqua"/>
          <w:i/>
          <w:iCs/>
        </w:rPr>
        <w:t>J Neurovirol</w:t>
      </w:r>
      <w:r w:rsidRPr="00512804">
        <w:rPr>
          <w:rFonts w:ascii="Book Antiqua" w:hAnsi="Book Antiqua"/>
        </w:rPr>
        <w:t xml:space="preserve"> 2013; </w:t>
      </w:r>
      <w:r w:rsidRPr="00512804">
        <w:rPr>
          <w:rFonts w:ascii="Book Antiqua" w:hAnsi="Book Antiqua"/>
          <w:b/>
          <w:bCs/>
        </w:rPr>
        <w:t>19</w:t>
      </w:r>
      <w:r w:rsidRPr="00512804">
        <w:rPr>
          <w:rFonts w:ascii="Book Antiqua" w:hAnsi="Book Antiqua"/>
        </w:rPr>
        <w:t>: 186-187 [PMID: 23471727 DOI: 10.1007/s13365-013-0156-z]</w:t>
      </w:r>
    </w:p>
    <w:p w14:paraId="7B687802" w14:textId="77777777" w:rsidR="00B4314C" w:rsidRPr="00512804" w:rsidRDefault="0027755F">
      <w:pPr>
        <w:pStyle w:val="BodyA"/>
        <w:spacing w:line="360" w:lineRule="auto"/>
        <w:jc w:val="both"/>
      </w:pPr>
      <w:r w:rsidRPr="00512804">
        <w:rPr>
          <w:rFonts w:ascii="Book Antiqua" w:hAnsi="Book Antiqua"/>
        </w:rPr>
        <w:t xml:space="preserve">72 </w:t>
      </w:r>
      <w:r w:rsidRPr="00512804">
        <w:rPr>
          <w:rFonts w:ascii="Book Antiqua" w:hAnsi="Book Antiqua"/>
          <w:b/>
          <w:bCs/>
          <w:lang w:val="de-DE"/>
        </w:rPr>
        <w:t>Chen XD</w:t>
      </w:r>
      <w:r w:rsidRPr="00512804">
        <w:rPr>
          <w:rFonts w:ascii="Book Antiqua" w:hAnsi="Book Antiqua"/>
        </w:rPr>
        <w:t>, Zhou YT, Zhou JJ, Wang YW, Tong DM. Guillain-Barré syndrome and encephalitis/encephalopathy of a rare case of Northern China acute severe hepatitis E i</w:t>
      </w:r>
      <w:r w:rsidRPr="00512804">
        <w:rPr>
          <w:rFonts w:ascii="Book Antiqua" w:hAnsi="Book Antiqua"/>
        </w:rPr>
        <w:t>n</w:t>
      </w:r>
      <w:r w:rsidRPr="00512804">
        <w:rPr>
          <w:rFonts w:ascii="Book Antiqua" w:hAnsi="Book Antiqua"/>
        </w:rPr>
        <w:t xml:space="preserve">fection. </w:t>
      </w:r>
      <w:r w:rsidRPr="00512804">
        <w:rPr>
          <w:rFonts w:ascii="Book Antiqua" w:hAnsi="Book Antiqua"/>
          <w:i/>
          <w:iCs/>
          <w:lang w:val="de-DE"/>
        </w:rPr>
        <w:t>Neurol Sci</w:t>
      </w:r>
      <w:r w:rsidRPr="00512804">
        <w:rPr>
          <w:rFonts w:ascii="Book Antiqua" w:hAnsi="Book Antiqua"/>
        </w:rPr>
        <w:t xml:space="preserve"> 2014; </w:t>
      </w:r>
      <w:r w:rsidRPr="00512804">
        <w:rPr>
          <w:rFonts w:ascii="Book Antiqua" w:hAnsi="Book Antiqua"/>
          <w:b/>
          <w:bCs/>
        </w:rPr>
        <w:t>35</w:t>
      </w:r>
      <w:r w:rsidRPr="00512804">
        <w:rPr>
          <w:rFonts w:ascii="Book Antiqua" w:hAnsi="Book Antiqua"/>
        </w:rPr>
        <w:t>: 1461-1463 [PMID: 24700050 DOI: 10.1007/s10072-014-1731-7]</w:t>
      </w:r>
    </w:p>
    <w:p w14:paraId="71D0E2D4" w14:textId="77777777" w:rsidR="00B4314C" w:rsidRPr="00512804" w:rsidRDefault="0027755F">
      <w:pPr>
        <w:pStyle w:val="BodyA"/>
        <w:spacing w:line="360" w:lineRule="auto"/>
        <w:jc w:val="both"/>
      </w:pPr>
      <w:r w:rsidRPr="00512804">
        <w:rPr>
          <w:rFonts w:ascii="Book Antiqua" w:hAnsi="Book Antiqua"/>
        </w:rPr>
        <w:t xml:space="preserve">73 </w:t>
      </w:r>
      <w:r w:rsidRPr="00512804">
        <w:rPr>
          <w:rFonts w:ascii="Book Antiqua" w:hAnsi="Book Antiqua"/>
          <w:b/>
          <w:bCs/>
          <w:lang w:val="de-DE"/>
        </w:rPr>
        <w:t>Scharn N</w:t>
      </w:r>
      <w:r w:rsidRPr="00512804">
        <w:rPr>
          <w:rFonts w:ascii="Book Antiqua" w:hAnsi="Book Antiqua"/>
          <w:lang w:val="de-DE"/>
        </w:rPr>
        <w:t>, Ganzenmueller T, Wenzel JJ, Dengler R, Heim A, Wegner F. Guillain-Barr</w:t>
      </w:r>
      <w:r w:rsidRPr="00512804">
        <w:rPr>
          <w:rFonts w:ascii="Book Antiqua" w:hAnsi="Book Antiqua"/>
        </w:rPr>
        <w:t xml:space="preserve">é syndrome associated with autochthonous infection by hepatitis E virus subgenotype 3c. </w:t>
      </w:r>
      <w:r w:rsidRPr="00512804">
        <w:rPr>
          <w:rFonts w:ascii="Book Antiqua" w:hAnsi="Book Antiqua"/>
          <w:i/>
          <w:iCs/>
          <w:lang w:val="fr-FR"/>
        </w:rPr>
        <w:t>Infection</w:t>
      </w:r>
      <w:r w:rsidRPr="00512804">
        <w:rPr>
          <w:rFonts w:ascii="Book Antiqua" w:hAnsi="Book Antiqua"/>
        </w:rPr>
        <w:t xml:space="preserve"> 2014; </w:t>
      </w:r>
      <w:r w:rsidRPr="00512804">
        <w:rPr>
          <w:rFonts w:ascii="Book Antiqua" w:hAnsi="Book Antiqua"/>
          <w:b/>
          <w:bCs/>
        </w:rPr>
        <w:t>42</w:t>
      </w:r>
      <w:r w:rsidRPr="00512804">
        <w:rPr>
          <w:rFonts w:ascii="Book Antiqua" w:hAnsi="Book Antiqua"/>
        </w:rPr>
        <w:t>: 171-173 [PMID: 23512540 DOI: 10.1007/s15010-013-0448-5]</w:t>
      </w:r>
    </w:p>
    <w:p w14:paraId="759AD3D3" w14:textId="77777777" w:rsidR="00B4314C" w:rsidRPr="00512804" w:rsidRDefault="0027755F">
      <w:pPr>
        <w:pStyle w:val="BodyA"/>
        <w:spacing w:line="360" w:lineRule="auto"/>
        <w:jc w:val="both"/>
      </w:pPr>
      <w:r w:rsidRPr="00512804">
        <w:rPr>
          <w:rFonts w:ascii="Book Antiqua" w:hAnsi="Book Antiqua"/>
          <w:lang w:val="ru-RU"/>
        </w:rPr>
        <w:t xml:space="preserve">74 </w:t>
      </w:r>
      <w:r w:rsidRPr="00512804">
        <w:rPr>
          <w:rFonts w:ascii="Book Antiqua" w:hAnsi="Book Antiqua"/>
          <w:b/>
          <w:bCs/>
          <w:lang w:val="fr-FR"/>
        </w:rPr>
        <w:t>Comont T</w:t>
      </w:r>
      <w:r w:rsidRPr="00512804">
        <w:rPr>
          <w:rFonts w:ascii="Book Antiqua" w:hAnsi="Book Antiqua"/>
        </w:rPr>
        <w:t xml:space="preserve">, Bonnet D, Sigur N, Gerdelat A, Legrand-Abravanel F, Kamar N, Alric L. [Acute hepatitis E infection associated with Guillain-Barré syndrome in an immunocompetent patient]. </w:t>
      </w:r>
      <w:r w:rsidRPr="00512804">
        <w:rPr>
          <w:rFonts w:ascii="Book Antiqua" w:hAnsi="Book Antiqua"/>
          <w:i/>
          <w:iCs/>
        </w:rPr>
        <w:t>Rev Med Interne</w:t>
      </w:r>
      <w:r w:rsidRPr="00512804">
        <w:rPr>
          <w:rFonts w:ascii="Book Antiqua" w:hAnsi="Book Antiqua"/>
        </w:rPr>
        <w:t xml:space="preserve"> 2014; </w:t>
      </w:r>
      <w:r w:rsidRPr="00512804">
        <w:rPr>
          <w:rFonts w:ascii="Book Antiqua" w:hAnsi="Book Antiqua"/>
          <w:b/>
          <w:bCs/>
        </w:rPr>
        <w:t>35</w:t>
      </w:r>
      <w:r w:rsidRPr="00512804">
        <w:rPr>
          <w:rFonts w:ascii="Book Antiqua" w:hAnsi="Book Antiqua"/>
          <w:lang w:val="pt-PT"/>
        </w:rPr>
        <w:t>: 333-336 [PMID: 24080239 DOI: 10.1016/j.revmed.2013.05.005]</w:t>
      </w:r>
    </w:p>
    <w:p w14:paraId="4FBD4CBF" w14:textId="77777777" w:rsidR="00B4314C" w:rsidRPr="00512804" w:rsidRDefault="0027755F">
      <w:pPr>
        <w:pStyle w:val="BodyA"/>
        <w:spacing w:line="360" w:lineRule="auto"/>
        <w:jc w:val="both"/>
      </w:pPr>
      <w:r w:rsidRPr="00512804">
        <w:rPr>
          <w:rFonts w:ascii="Book Antiqua" w:hAnsi="Book Antiqua"/>
        </w:rPr>
        <w:t xml:space="preserve">75 </w:t>
      </w:r>
      <w:r w:rsidRPr="00512804">
        <w:rPr>
          <w:rFonts w:ascii="Book Antiqua" w:hAnsi="Book Antiqua"/>
          <w:b/>
          <w:bCs/>
        </w:rPr>
        <w:t>Bandyopadhyay D</w:t>
      </w:r>
      <w:r w:rsidRPr="00512804">
        <w:rPr>
          <w:rFonts w:ascii="Book Antiqua" w:hAnsi="Book Antiqua"/>
        </w:rPr>
        <w:t xml:space="preserve">, Ganesan V, Choudhury C, Kar SS, Karmakar P, Choudhary V, Banerjee P, Bhar D, Hajra A, Layek M, Mukhopadhyay S. Two Uncommon Causes of Guillain-Barré </w:t>
      </w:r>
      <w:r w:rsidRPr="00512804">
        <w:rPr>
          <w:rFonts w:ascii="Book Antiqua" w:hAnsi="Book Antiqua"/>
          <w:lang w:val="it-IT"/>
        </w:rPr>
        <w:t xml:space="preserve">Syndrome: Hepatitis E and Japanese Encephalitis. </w:t>
      </w:r>
      <w:r w:rsidRPr="00512804">
        <w:rPr>
          <w:rFonts w:ascii="Book Antiqua" w:hAnsi="Book Antiqua"/>
          <w:i/>
          <w:iCs/>
          <w:lang w:val="nl-NL"/>
        </w:rPr>
        <w:t>Case Rep Neurol Med</w:t>
      </w:r>
      <w:r w:rsidRPr="00512804">
        <w:rPr>
          <w:rFonts w:ascii="Book Antiqua" w:hAnsi="Book Antiqua"/>
        </w:rPr>
        <w:t xml:space="preserve"> 2015; </w:t>
      </w:r>
      <w:r w:rsidRPr="00512804">
        <w:rPr>
          <w:rFonts w:ascii="Book Antiqua" w:hAnsi="Book Antiqua"/>
          <w:b/>
          <w:bCs/>
        </w:rPr>
        <w:t>2015</w:t>
      </w:r>
      <w:r w:rsidRPr="00512804">
        <w:rPr>
          <w:rFonts w:ascii="Book Antiqua" w:hAnsi="Book Antiqua"/>
          <w:lang w:val="pt-PT"/>
        </w:rPr>
        <w:t>: 759495 [PMID: 26798531 DOI: 10.1155/2015/759495]</w:t>
      </w:r>
    </w:p>
    <w:p w14:paraId="2C362869" w14:textId="77777777" w:rsidR="00B4314C" w:rsidRPr="00512804" w:rsidRDefault="0027755F">
      <w:pPr>
        <w:pStyle w:val="BodyA"/>
        <w:spacing w:line="360" w:lineRule="auto"/>
        <w:jc w:val="both"/>
      </w:pPr>
      <w:r w:rsidRPr="00512804">
        <w:rPr>
          <w:rFonts w:ascii="Book Antiqua" w:hAnsi="Book Antiqua"/>
        </w:rPr>
        <w:t xml:space="preserve">76 </w:t>
      </w:r>
      <w:r w:rsidRPr="00512804">
        <w:rPr>
          <w:rFonts w:ascii="Book Antiqua" w:hAnsi="Book Antiqua"/>
          <w:b/>
          <w:bCs/>
          <w:lang w:val="it-IT"/>
        </w:rPr>
        <w:t>Higuchi MA</w:t>
      </w:r>
      <w:r w:rsidRPr="00512804">
        <w:rPr>
          <w:rFonts w:ascii="Book Antiqua" w:hAnsi="Book Antiqua"/>
        </w:rPr>
        <w:t xml:space="preserve">, Fukae J, Tsugawa J, Ouma S, Takahashi K, Mishiro S, Tsuboi Y. Dysgeusia in a Patient with Guillain-Barré Syndrome Associated with Acute Hepatitis E: A Case Report and Literature Review. </w:t>
      </w:r>
      <w:r w:rsidRPr="00512804">
        <w:rPr>
          <w:rFonts w:ascii="Book Antiqua" w:hAnsi="Book Antiqua"/>
          <w:i/>
          <w:iCs/>
          <w:lang w:val="de-DE"/>
        </w:rPr>
        <w:t>Intern Med</w:t>
      </w:r>
      <w:r w:rsidRPr="00512804">
        <w:rPr>
          <w:rFonts w:ascii="Book Antiqua" w:hAnsi="Book Antiqua"/>
        </w:rPr>
        <w:t xml:space="preserve"> 2015; </w:t>
      </w:r>
      <w:r w:rsidRPr="00512804">
        <w:rPr>
          <w:rFonts w:ascii="Book Antiqua" w:hAnsi="Book Antiqua"/>
          <w:b/>
          <w:bCs/>
        </w:rPr>
        <w:t>54</w:t>
      </w:r>
      <w:r w:rsidRPr="00512804">
        <w:rPr>
          <w:rFonts w:ascii="Book Antiqua" w:hAnsi="Book Antiqua"/>
          <w:lang w:val="pt-PT"/>
        </w:rPr>
        <w:t>: 1543-1546 [PMID: 26073247 DOI: 10.2169/internalmedicine.54.3506]</w:t>
      </w:r>
    </w:p>
    <w:p w14:paraId="34B902A3" w14:textId="77777777" w:rsidR="00B4314C" w:rsidRPr="00512804" w:rsidRDefault="0027755F">
      <w:pPr>
        <w:pStyle w:val="BodyA"/>
        <w:spacing w:line="360" w:lineRule="auto"/>
        <w:jc w:val="both"/>
      </w:pPr>
      <w:r w:rsidRPr="00512804">
        <w:rPr>
          <w:rFonts w:ascii="Book Antiqua" w:hAnsi="Book Antiqua"/>
        </w:rPr>
        <w:t xml:space="preserve">77 </w:t>
      </w:r>
      <w:r w:rsidRPr="00512804">
        <w:rPr>
          <w:rFonts w:ascii="Book Antiqua" w:hAnsi="Book Antiqua"/>
          <w:b/>
          <w:bCs/>
        </w:rPr>
        <w:t>Ji SB</w:t>
      </w:r>
      <w:r w:rsidRPr="00512804">
        <w:rPr>
          <w:rFonts w:ascii="Book Antiqua" w:hAnsi="Book Antiqua"/>
        </w:rPr>
        <w:t xml:space="preserve">, Lee SS, Jung HC, Kim HJ, Kim HJ, Kim TH, Jung WT, Lee OJ, Song DH. A Korean patient with Guillain-Barré syndrome following acute hepatitis E whose cholestasis resolved with steroid therapy. </w:t>
      </w:r>
      <w:r w:rsidRPr="00512804">
        <w:rPr>
          <w:rFonts w:ascii="Book Antiqua" w:hAnsi="Book Antiqua"/>
          <w:i/>
          <w:iCs/>
        </w:rPr>
        <w:t>Clin Mol Hepatol</w:t>
      </w:r>
      <w:r w:rsidRPr="00512804">
        <w:rPr>
          <w:rFonts w:ascii="Book Antiqua" w:hAnsi="Book Antiqua"/>
        </w:rPr>
        <w:t xml:space="preserve"> 2016; </w:t>
      </w:r>
      <w:r w:rsidRPr="00512804">
        <w:rPr>
          <w:rFonts w:ascii="Book Antiqua" w:hAnsi="Book Antiqua"/>
          <w:b/>
          <w:bCs/>
        </w:rPr>
        <w:t>22</w:t>
      </w:r>
      <w:r w:rsidRPr="00512804">
        <w:rPr>
          <w:rFonts w:ascii="Book Antiqua" w:hAnsi="Book Antiqua"/>
          <w:lang w:val="pt-PT"/>
        </w:rPr>
        <w:t>: 396-399 [PMID: 27572076 DOI: 10.3350/cmh.2015.0039]</w:t>
      </w:r>
    </w:p>
    <w:p w14:paraId="38A6ED6C" w14:textId="77777777" w:rsidR="00B4314C" w:rsidRPr="00512804" w:rsidRDefault="0027755F">
      <w:pPr>
        <w:pStyle w:val="BodyA"/>
        <w:spacing w:line="360" w:lineRule="auto"/>
        <w:jc w:val="both"/>
      </w:pPr>
      <w:r w:rsidRPr="00512804">
        <w:rPr>
          <w:rFonts w:ascii="Book Antiqua" w:hAnsi="Book Antiqua"/>
        </w:rPr>
        <w:t xml:space="preserve">78 </w:t>
      </w:r>
      <w:r w:rsidRPr="00512804">
        <w:rPr>
          <w:rFonts w:ascii="Book Antiqua" w:hAnsi="Book Antiqua"/>
          <w:b/>
          <w:bCs/>
          <w:lang w:val="pt-PT"/>
        </w:rPr>
        <w:t>Lei JH</w:t>
      </w:r>
      <w:r w:rsidRPr="00512804">
        <w:rPr>
          <w:rFonts w:ascii="Book Antiqua" w:hAnsi="Book Antiqua"/>
        </w:rPr>
        <w:t xml:space="preserve">, Tian Y, Luo HY, Chen Z, Peng F. Guillain-Barré syndrome following acute co-super-infection of hepatitis E virus and cytomegalovirus in a chronic hepatitis B virus carrier. </w:t>
      </w:r>
      <w:r w:rsidRPr="00512804">
        <w:rPr>
          <w:rFonts w:ascii="Book Antiqua" w:hAnsi="Book Antiqua"/>
          <w:i/>
          <w:iCs/>
        </w:rPr>
        <w:t>J Med Virol</w:t>
      </w:r>
      <w:r w:rsidRPr="00512804">
        <w:rPr>
          <w:rFonts w:ascii="Book Antiqua" w:hAnsi="Book Antiqua"/>
        </w:rPr>
        <w:t xml:space="preserve"> 2017; </w:t>
      </w:r>
      <w:r w:rsidRPr="00512804">
        <w:rPr>
          <w:rFonts w:ascii="Book Antiqua" w:hAnsi="Book Antiqua"/>
          <w:b/>
          <w:bCs/>
        </w:rPr>
        <w:t>89</w:t>
      </w:r>
      <w:r w:rsidRPr="00512804">
        <w:rPr>
          <w:rFonts w:ascii="Book Antiqua" w:hAnsi="Book Antiqua"/>
          <w:lang w:val="pt-PT"/>
        </w:rPr>
        <w:t>: 368-372 [PMID: 27358107 DOI: 10.1002/jmv.24620]</w:t>
      </w:r>
    </w:p>
    <w:p w14:paraId="76EF29A3" w14:textId="77777777" w:rsidR="00B4314C" w:rsidRPr="00512804" w:rsidRDefault="0027755F">
      <w:pPr>
        <w:pStyle w:val="BodyA"/>
        <w:spacing w:line="360" w:lineRule="auto"/>
        <w:jc w:val="both"/>
      </w:pPr>
      <w:r w:rsidRPr="00512804">
        <w:rPr>
          <w:rFonts w:ascii="Book Antiqua" w:hAnsi="Book Antiqua"/>
        </w:rPr>
        <w:t xml:space="preserve">79 </w:t>
      </w:r>
      <w:r w:rsidRPr="00512804">
        <w:rPr>
          <w:rFonts w:ascii="Book Antiqua" w:hAnsi="Book Antiqua"/>
          <w:b/>
          <w:bCs/>
        </w:rPr>
        <w:t>Salim OJ</w:t>
      </w:r>
      <w:r w:rsidRPr="00512804">
        <w:rPr>
          <w:rFonts w:ascii="Book Antiqua" w:hAnsi="Book Antiqua"/>
        </w:rPr>
        <w:t xml:space="preserve">, Davidson A, Li K, Leach JP, Heath C. Brainstem encephalitis and acute polyneuropathy associated with hepatitis E infection. </w:t>
      </w:r>
      <w:r w:rsidRPr="00512804">
        <w:rPr>
          <w:rFonts w:ascii="Book Antiqua" w:hAnsi="Book Antiqua"/>
          <w:i/>
          <w:iCs/>
          <w:lang w:val="it-IT"/>
        </w:rPr>
        <w:t>BMJ Case Rep</w:t>
      </w:r>
      <w:r w:rsidRPr="00512804">
        <w:rPr>
          <w:rFonts w:ascii="Book Antiqua" w:hAnsi="Book Antiqua"/>
        </w:rPr>
        <w:t xml:space="preserve"> 2017; </w:t>
      </w:r>
      <w:r w:rsidRPr="00512804">
        <w:rPr>
          <w:rFonts w:ascii="Book Antiqua" w:hAnsi="Book Antiqua"/>
          <w:b/>
          <w:bCs/>
        </w:rPr>
        <w:t>2017</w:t>
      </w:r>
      <w:r w:rsidRPr="00512804">
        <w:rPr>
          <w:rFonts w:ascii="Book Antiqua" w:hAnsi="Book Antiqua"/>
          <w:lang w:val="pt-PT"/>
        </w:rPr>
        <w:t xml:space="preserve"> [PMID: 28899886 DOI: 10.1136/bcr-2017-220799]</w:t>
      </w:r>
    </w:p>
    <w:p w14:paraId="501D5783" w14:textId="77777777" w:rsidR="00B4314C" w:rsidRPr="00512804" w:rsidRDefault="0027755F">
      <w:pPr>
        <w:pStyle w:val="BodyA"/>
        <w:spacing w:line="360" w:lineRule="auto"/>
        <w:jc w:val="both"/>
      </w:pPr>
      <w:r w:rsidRPr="00512804">
        <w:rPr>
          <w:rFonts w:ascii="Book Antiqua" w:hAnsi="Book Antiqua"/>
        </w:rPr>
        <w:t xml:space="preserve">80 </w:t>
      </w:r>
      <w:r w:rsidRPr="00512804">
        <w:rPr>
          <w:rFonts w:ascii="Book Antiqua" w:hAnsi="Book Antiqua"/>
          <w:b/>
          <w:bCs/>
          <w:lang w:val="fr-FR"/>
        </w:rPr>
        <w:t>Troussi</w:t>
      </w:r>
      <w:r w:rsidRPr="00512804">
        <w:rPr>
          <w:rFonts w:ascii="Book Antiqua" w:hAnsi="Book Antiqua"/>
          <w:b/>
          <w:bCs/>
        </w:rPr>
        <w:t>è</w:t>
      </w:r>
      <w:r w:rsidRPr="00512804">
        <w:rPr>
          <w:rFonts w:ascii="Book Antiqua" w:hAnsi="Book Antiqua"/>
          <w:b/>
          <w:bCs/>
          <w:lang w:val="de-DE"/>
        </w:rPr>
        <w:t>re AC</w:t>
      </w:r>
      <w:r w:rsidRPr="00512804">
        <w:rPr>
          <w:rFonts w:ascii="Book Antiqua" w:hAnsi="Book Antiqua"/>
          <w:lang w:val="it-IT"/>
        </w:rPr>
        <w:t>, Sudaveschi V, Collardelle P, Marque Julliet S, Servan J, Pico F. Guillain-Barr</w:t>
      </w:r>
      <w:r w:rsidRPr="00512804">
        <w:rPr>
          <w:rFonts w:ascii="Book Antiqua" w:hAnsi="Book Antiqua"/>
        </w:rPr>
        <w:t xml:space="preserve">é syndrome due to hepatitis E. </w:t>
      </w:r>
      <w:r w:rsidRPr="00512804">
        <w:rPr>
          <w:rFonts w:ascii="Book Antiqua" w:hAnsi="Book Antiqua"/>
          <w:i/>
          <w:iCs/>
        </w:rPr>
        <w:t>Rev Neurol (Paris)</w:t>
      </w:r>
      <w:r w:rsidRPr="00512804">
        <w:rPr>
          <w:rFonts w:ascii="Book Antiqua" w:hAnsi="Book Antiqua"/>
        </w:rPr>
        <w:t xml:space="preserve"> 2018; </w:t>
      </w:r>
      <w:r w:rsidRPr="00512804">
        <w:rPr>
          <w:rFonts w:ascii="Book Antiqua" w:hAnsi="Book Antiqua"/>
          <w:b/>
          <w:bCs/>
          <w:lang w:val="ru-RU"/>
        </w:rPr>
        <w:t>174</w:t>
      </w:r>
      <w:r w:rsidRPr="00512804">
        <w:rPr>
          <w:rFonts w:ascii="Book Antiqua" w:hAnsi="Book Antiqua"/>
          <w:lang w:val="pt-PT"/>
        </w:rPr>
        <w:t>: 72-74 [PMID: 29132643 DOI: 10.1016/j.neurol.2017.06.018]</w:t>
      </w:r>
    </w:p>
    <w:p w14:paraId="10B31BD4" w14:textId="77777777" w:rsidR="00B4314C" w:rsidRPr="00512804" w:rsidRDefault="0027755F">
      <w:pPr>
        <w:pStyle w:val="BodyA"/>
        <w:spacing w:line="360" w:lineRule="auto"/>
        <w:jc w:val="both"/>
      </w:pPr>
      <w:r w:rsidRPr="00512804">
        <w:rPr>
          <w:rFonts w:ascii="Book Antiqua" w:hAnsi="Book Antiqua"/>
          <w:lang w:val="ru-RU"/>
        </w:rPr>
        <w:t xml:space="preserve">81 </w:t>
      </w:r>
      <w:r w:rsidRPr="00512804">
        <w:rPr>
          <w:rFonts w:ascii="Book Antiqua" w:hAnsi="Book Antiqua"/>
          <w:b/>
          <w:bCs/>
        </w:rPr>
        <w:t>Zheng X</w:t>
      </w:r>
      <w:r w:rsidRPr="00512804">
        <w:rPr>
          <w:rFonts w:ascii="Book Antiqua" w:hAnsi="Book Antiqua"/>
        </w:rPr>
        <w:t xml:space="preserve">, Yu L, Xu Q, Gu S, Tang L. Guillain-Barre syndrome caused by hepatitis E infection: case report and literature review. </w:t>
      </w:r>
      <w:r w:rsidRPr="00512804">
        <w:rPr>
          <w:rFonts w:ascii="Book Antiqua" w:hAnsi="Book Antiqua"/>
          <w:i/>
          <w:iCs/>
        </w:rPr>
        <w:t>BMC Infect Dis</w:t>
      </w:r>
      <w:r w:rsidRPr="00512804">
        <w:rPr>
          <w:rFonts w:ascii="Book Antiqua" w:hAnsi="Book Antiqua"/>
        </w:rPr>
        <w:t xml:space="preserve"> 2018; </w:t>
      </w:r>
      <w:r w:rsidRPr="00512804">
        <w:rPr>
          <w:rFonts w:ascii="Book Antiqua" w:hAnsi="Book Antiqua"/>
          <w:b/>
          <w:bCs/>
        </w:rPr>
        <w:t>18</w:t>
      </w:r>
      <w:r w:rsidRPr="00512804">
        <w:rPr>
          <w:rFonts w:ascii="Book Antiqua" w:hAnsi="Book Antiqua"/>
          <w:lang w:val="pt-PT"/>
        </w:rPr>
        <w:t>: 50 [PMID: 29357816 DOI: 10.1186/s12879-018-2959-2]</w:t>
      </w:r>
    </w:p>
    <w:p w14:paraId="423F4252" w14:textId="77777777" w:rsidR="00B4314C" w:rsidRPr="00512804" w:rsidRDefault="0027755F">
      <w:pPr>
        <w:pStyle w:val="BodyA"/>
        <w:spacing w:line="360" w:lineRule="auto"/>
        <w:jc w:val="both"/>
      </w:pPr>
      <w:r w:rsidRPr="00512804">
        <w:rPr>
          <w:rFonts w:ascii="Book Antiqua" w:hAnsi="Book Antiqua"/>
        </w:rPr>
        <w:t xml:space="preserve">82 </w:t>
      </w:r>
      <w:r w:rsidRPr="00512804">
        <w:rPr>
          <w:rFonts w:ascii="Book Antiqua" w:hAnsi="Book Antiqua"/>
          <w:b/>
          <w:bCs/>
          <w:lang w:val="nl-NL"/>
        </w:rPr>
        <w:t>Choudhary MC</w:t>
      </w:r>
      <w:r w:rsidRPr="00512804">
        <w:rPr>
          <w:rFonts w:ascii="Book Antiqua" w:hAnsi="Book Antiqua"/>
        </w:rPr>
        <w:t xml:space="preserve">, Bajpai V, Anand L, Gupta E. Guillain-Barré syndrome in a patient of acute Hepatitis E virus infection associated with genotype 1: Case report and literature review. </w:t>
      </w:r>
      <w:r w:rsidRPr="00512804">
        <w:rPr>
          <w:rFonts w:ascii="Book Antiqua" w:hAnsi="Book Antiqua"/>
          <w:i/>
          <w:iCs/>
        </w:rPr>
        <w:t>Intractable Rare Dis Res</w:t>
      </w:r>
      <w:r w:rsidRPr="00512804">
        <w:rPr>
          <w:rFonts w:ascii="Book Antiqua" w:hAnsi="Book Antiqua"/>
        </w:rPr>
        <w:t xml:space="preserve"> 2019; </w:t>
      </w:r>
      <w:r w:rsidRPr="00512804">
        <w:rPr>
          <w:rFonts w:ascii="Book Antiqua" w:hAnsi="Book Antiqua"/>
          <w:b/>
          <w:bCs/>
        </w:rPr>
        <w:t>8</w:t>
      </w:r>
      <w:r w:rsidRPr="00512804">
        <w:rPr>
          <w:rFonts w:ascii="Book Antiqua" w:hAnsi="Book Antiqua"/>
          <w:lang w:val="pt-PT"/>
        </w:rPr>
        <w:t>: 43-47 [PMID: 30881857 DOI: 10.5582/irdr.2018.01099]</w:t>
      </w:r>
    </w:p>
    <w:p w14:paraId="0FE0275F" w14:textId="77777777" w:rsidR="00B4314C" w:rsidRPr="00512804" w:rsidRDefault="0027755F">
      <w:pPr>
        <w:pStyle w:val="BodyA"/>
        <w:spacing w:line="360" w:lineRule="auto"/>
        <w:jc w:val="both"/>
      </w:pPr>
      <w:r w:rsidRPr="00512804">
        <w:rPr>
          <w:rFonts w:ascii="Book Antiqua" w:hAnsi="Book Antiqua"/>
        </w:rPr>
        <w:t xml:space="preserve">83 </w:t>
      </w:r>
      <w:r w:rsidRPr="00512804">
        <w:rPr>
          <w:rFonts w:ascii="Book Antiqua" w:hAnsi="Book Antiqua"/>
          <w:b/>
          <w:bCs/>
        </w:rPr>
        <w:t>Kumar R</w:t>
      </w:r>
      <w:r w:rsidRPr="00512804">
        <w:rPr>
          <w:rFonts w:ascii="Book Antiqua" w:hAnsi="Book Antiqua"/>
        </w:rPr>
        <w:t xml:space="preserve">, Bhoi S, Kumar M, Sharma B, Singh BM, Gupta BB. Guillain-Barré syndrome and acute hepatitis E: A rare association. </w:t>
      </w:r>
      <w:r w:rsidRPr="00512804">
        <w:rPr>
          <w:rFonts w:ascii="Book Antiqua" w:hAnsi="Book Antiqua"/>
          <w:i/>
          <w:iCs/>
          <w:lang w:val="de-DE"/>
        </w:rPr>
        <w:t>JIACM</w:t>
      </w:r>
      <w:r w:rsidRPr="00512804">
        <w:rPr>
          <w:rFonts w:ascii="Book Antiqua" w:hAnsi="Book Antiqua"/>
        </w:rPr>
        <w:t xml:space="preserve"> 2002; </w:t>
      </w:r>
      <w:r w:rsidRPr="00512804">
        <w:rPr>
          <w:rFonts w:ascii="Book Antiqua" w:hAnsi="Book Antiqua"/>
          <w:b/>
          <w:bCs/>
        </w:rPr>
        <w:t>4</w:t>
      </w:r>
      <w:r w:rsidRPr="00512804">
        <w:rPr>
          <w:rFonts w:ascii="Book Antiqua" w:hAnsi="Book Antiqua"/>
        </w:rPr>
        <w:t>: 389-391</w:t>
      </w:r>
    </w:p>
    <w:p w14:paraId="25532A5A" w14:textId="77777777" w:rsidR="00B4314C" w:rsidRPr="00512804" w:rsidRDefault="0027755F">
      <w:pPr>
        <w:pStyle w:val="BodyA"/>
        <w:spacing w:line="360" w:lineRule="auto"/>
        <w:jc w:val="both"/>
      </w:pPr>
      <w:r w:rsidRPr="00512804">
        <w:rPr>
          <w:rFonts w:ascii="Book Antiqua" w:hAnsi="Book Antiqua"/>
        </w:rPr>
        <w:t xml:space="preserve">84 </w:t>
      </w:r>
      <w:r w:rsidRPr="00512804">
        <w:rPr>
          <w:rFonts w:ascii="Book Antiqua" w:hAnsi="Book Antiqua"/>
          <w:b/>
          <w:bCs/>
          <w:lang w:val="de-DE"/>
        </w:rPr>
        <w:t>Oh HW</w:t>
      </w:r>
      <w:r w:rsidRPr="00512804">
        <w:rPr>
          <w:rFonts w:ascii="Book Antiqua" w:hAnsi="Book Antiqua"/>
        </w:rPr>
        <w:t xml:space="preserve">, Cha RR, Lee SS, Lee CM, Kim WS, Jo YW, Kim JJ, Lee JM, Kim HJ, Ha CY, Kim HJ, Kim TH, Jung WT, Lee OJ. Comparing the Clinical Features and Outcomes of Acute Hepatitis E Viral Infections with Those of Acute Hepatitis A, B, and C Infections in Korea. </w:t>
      </w:r>
      <w:r w:rsidRPr="00512804">
        <w:rPr>
          <w:rFonts w:ascii="Book Antiqua" w:hAnsi="Book Antiqua"/>
          <w:i/>
          <w:iCs/>
        </w:rPr>
        <w:t>Intervirology</w:t>
      </w:r>
      <w:r w:rsidRPr="00512804">
        <w:rPr>
          <w:rFonts w:ascii="Book Antiqua" w:hAnsi="Book Antiqua"/>
        </w:rPr>
        <w:t xml:space="preserve"> 2017; </w:t>
      </w:r>
      <w:r w:rsidRPr="00512804">
        <w:rPr>
          <w:rFonts w:ascii="Book Antiqua" w:hAnsi="Book Antiqua"/>
          <w:b/>
          <w:bCs/>
        </w:rPr>
        <w:t>60</w:t>
      </w:r>
      <w:r w:rsidRPr="00512804">
        <w:rPr>
          <w:rFonts w:ascii="Book Antiqua" w:hAnsi="Book Antiqua"/>
          <w:lang w:val="pt-PT"/>
        </w:rPr>
        <w:t>: 109-117 [PMID: 29145204 DOI: 10.1159/000480506]</w:t>
      </w:r>
    </w:p>
    <w:p w14:paraId="028C7313" w14:textId="77777777" w:rsidR="00B4314C" w:rsidRPr="00512804" w:rsidRDefault="0027755F">
      <w:pPr>
        <w:pStyle w:val="BodyA"/>
        <w:spacing w:line="360" w:lineRule="auto"/>
        <w:jc w:val="both"/>
      </w:pPr>
      <w:r w:rsidRPr="00512804">
        <w:rPr>
          <w:rFonts w:ascii="Book Antiqua" w:hAnsi="Book Antiqua"/>
        </w:rPr>
        <w:t xml:space="preserve">85 </w:t>
      </w:r>
      <w:r w:rsidRPr="00512804">
        <w:rPr>
          <w:rFonts w:ascii="Book Antiqua" w:hAnsi="Book Antiqua"/>
          <w:b/>
          <w:bCs/>
          <w:lang w:val="it-IT"/>
        </w:rPr>
        <w:t>Al-Saffar A</w:t>
      </w:r>
      <w:r w:rsidRPr="00512804">
        <w:rPr>
          <w:rFonts w:ascii="Book Antiqua" w:hAnsi="Book Antiqua"/>
        </w:rPr>
        <w:t xml:space="preserve">, Al-Fatly B. Acute Motor Axonal Neuropathy in Association with Hepatitis E. </w:t>
      </w:r>
      <w:r w:rsidRPr="00512804">
        <w:rPr>
          <w:rFonts w:ascii="Book Antiqua" w:hAnsi="Book Antiqua"/>
          <w:i/>
          <w:iCs/>
          <w:lang w:val="fr-FR"/>
        </w:rPr>
        <w:t>Front Neurol</w:t>
      </w:r>
      <w:r w:rsidRPr="00512804">
        <w:rPr>
          <w:rFonts w:ascii="Book Antiqua" w:hAnsi="Book Antiqua"/>
        </w:rPr>
        <w:t xml:space="preserve"> 2018; </w:t>
      </w:r>
      <w:r w:rsidRPr="00512804">
        <w:rPr>
          <w:rFonts w:ascii="Book Antiqua" w:hAnsi="Book Antiqua"/>
          <w:b/>
          <w:bCs/>
        </w:rPr>
        <w:t>9</w:t>
      </w:r>
      <w:r w:rsidRPr="00512804">
        <w:rPr>
          <w:rFonts w:ascii="Book Antiqua" w:hAnsi="Book Antiqua"/>
          <w:lang w:val="pt-PT"/>
        </w:rPr>
        <w:t>: 62 [PMID: 29479336 DOI: 10.3389/fneur.2018.00062]</w:t>
      </w:r>
    </w:p>
    <w:p w14:paraId="6127521A" w14:textId="77777777" w:rsidR="00B4314C" w:rsidRPr="00512804" w:rsidRDefault="0027755F">
      <w:pPr>
        <w:pStyle w:val="BodyA"/>
        <w:spacing w:line="360" w:lineRule="auto"/>
        <w:jc w:val="both"/>
      </w:pPr>
      <w:r w:rsidRPr="00512804">
        <w:rPr>
          <w:rFonts w:ascii="Book Antiqua" w:hAnsi="Book Antiqua"/>
        </w:rPr>
        <w:t xml:space="preserve">86 </w:t>
      </w:r>
      <w:r w:rsidRPr="00512804">
        <w:rPr>
          <w:rFonts w:ascii="Book Antiqua" w:hAnsi="Book Antiqua"/>
          <w:b/>
          <w:bCs/>
        </w:rPr>
        <w:t>Pasha SA</w:t>
      </w:r>
      <w:r w:rsidRPr="00512804">
        <w:rPr>
          <w:rFonts w:ascii="Book Antiqua" w:hAnsi="Book Antiqua"/>
        </w:rPr>
        <w:t xml:space="preserve">, Pasha SA, Suhasini T, Rao DA. Hepatitis E Virus-Associated Acute Encephalitic Parkinsonism. </w:t>
      </w:r>
      <w:r w:rsidRPr="00512804">
        <w:rPr>
          <w:rFonts w:ascii="Book Antiqua" w:hAnsi="Book Antiqua"/>
          <w:i/>
          <w:iCs/>
        </w:rPr>
        <w:t>J Assoc Physicians India</w:t>
      </w:r>
      <w:r w:rsidRPr="00512804">
        <w:rPr>
          <w:rFonts w:ascii="Book Antiqua" w:hAnsi="Book Antiqua"/>
        </w:rPr>
        <w:t xml:space="preserve"> 2018; </w:t>
      </w:r>
      <w:r w:rsidRPr="00512804">
        <w:rPr>
          <w:rFonts w:ascii="Book Antiqua" w:hAnsi="Book Antiqua"/>
          <w:b/>
          <w:bCs/>
        </w:rPr>
        <w:t>66</w:t>
      </w:r>
      <w:r w:rsidRPr="00512804">
        <w:rPr>
          <w:rFonts w:ascii="Book Antiqua" w:hAnsi="Book Antiqua"/>
          <w:lang w:val="pt-PT"/>
        </w:rPr>
        <w:t>: 92-93 [PMID: 30341882]</w:t>
      </w:r>
    </w:p>
    <w:p w14:paraId="3C85A41D" w14:textId="77777777" w:rsidR="00B4314C" w:rsidRPr="00512804" w:rsidRDefault="0027755F">
      <w:pPr>
        <w:pStyle w:val="BodyA"/>
        <w:spacing w:line="360" w:lineRule="auto"/>
        <w:jc w:val="both"/>
      </w:pPr>
      <w:r w:rsidRPr="00512804">
        <w:rPr>
          <w:rFonts w:ascii="Book Antiqua" w:hAnsi="Book Antiqua"/>
        </w:rPr>
        <w:t xml:space="preserve">87 </w:t>
      </w:r>
      <w:r w:rsidRPr="00512804">
        <w:rPr>
          <w:rFonts w:ascii="Book Antiqua" w:hAnsi="Book Antiqua"/>
          <w:b/>
          <w:bCs/>
        </w:rPr>
        <w:t>Murkey JA</w:t>
      </w:r>
      <w:r w:rsidRPr="00512804">
        <w:rPr>
          <w:rFonts w:ascii="Book Antiqua" w:hAnsi="Book Antiqua"/>
        </w:rPr>
        <w:t xml:space="preserve">, Chew KW, Carlson M, Shannon CL, Sirohi D, Sample HA, Wilson MR, Vespa P, Humphries RM, Miller S, Klausner JD, Chiu CY. Hepatitis E Virus-Associated Meningoencephalitis in a Lung Transplant Recipient Diagnosed by Clinical Metagenomic Sequencing. </w:t>
      </w:r>
      <w:r w:rsidRPr="00512804">
        <w:rPr>
          <w:rFonts w:ascii="Book Antiqua" w:hAnsi="Book Antiqua"/>
          <w:i/>
          <w:iCs/>
        </w:rPr>
        <w:t>Open Forum Infect Dis</w:t>
      </w:r>
      <w:r w:rsidRPr="00512804">
        <w:rPr>
          <w:rFonts w:ascii="Book Antiqua" w:hAnsi="Book Antiqua"/>
        </w:rPr>
        <w:t xml:space="preserve"> 2017; </w:t>
      </w:r>
      <w:r w:rsidRPr="00512804">
        <w:rPr>
          <w:rFonts w:ascii="Book Antiqua" w:hAnsi="Book Antiqua"/>
          <w:b/>
          <w:bCs/>
        </w:rPr>
        <w:t>4</w:t>
      </w:r>
      <w:r w:rsidRPr="00512804">
        <w:rPr>
          <w:rFonts w:ascii="Book Antiqua" w:hAnsi="Book Antiqua"/>
        </w:rPr>
        <w:t>: ofx121 [PMID: 28721353 DOI: 10.1093/ofid/ofx121]</w:t>
      </w:r>
    </w:p>
    <w:p w14:paraId="6DF5AFE5" w14:textId="77777777" w:rsidR="00B4314C" w:rsidRPr="00512804" w:rsidRDefault="0027755F">
      <w:pPr>
        <w:pStyle w:val="BodyA"/>
        <w:spacing w:line="360" w:lineRule="auto"/>
        <w:jc w:val="both"/>
      </w:pPr>
      <w:r w:rsidRPr="00512804">
        <w:rPr>
          <w:rFonts w:ascii="Book Antiqua" w:hAnsi="Book Antiqua"/>
        </w:rPr>
        <w:t xml:space="preserve">88 </w:t>
      </w:r>
      <w:r w:rsidRPr="00512804">
        <w:rPr>
          <w:rFonts w:ascii="Book Antiqua" w:hAnsi="Book Antiqua"/>
          <w:b/>
          <w:bCs/>
          <w:lang w:val="sv-SE"/>
        </w:rPr>
        <w:t>Sarkar P</w:t>
      </w:r>
      <w:r w:rsidRPr="00512804">
        <w:rPr>
          <w:rFonts w:ascii="Book Antiqua" w:hAnsi="Book Antiqua"/>
        </w:rPr>
        <w:t xml:space="preserve">, Morgan C, Ijaz S. Transverse myelitis caused by hepatitis E: previously undescribed in adults. </w:t>
      </w:r>
      <w:r w:rsidRPr="00512804">
        <w:rPr>
          <w:rFonts w:ascii="Book Antiqua" w:hAnsi="Book Antiqua"/>
          <w:i/>
          <w:iCs/>
          <w:lang w:val="it-IT"/>
        </w:rPr>
        <w:t>BMJ Case Rep</w:t>
      </w:r>
      <w:r w:rsidRPr="00512804">
        <w:rPr>
          <w:rFonts w:ascii="Book Antiqua" w:hAnsi="Book Antiqua"/>
        </w:rPr>
        <w:t xml:space="preserve"> 2015; </w:t>
      </w:r>
      <w:r w:rsidRPr="00512804">
        <w:rPr>
          <w:rFonts w:ascii="Book Antiqua" w:hAnsi="Book Antiqua"/>
          <w:b/>
          <w:bCs/>
        </w:rPr>
        <w:t>2015</w:t>
      </w:r>
      <w:r w:rsidRPr="00512804">
        <w:rPr>
          <w:rFonts w:ascii="Book Antiqua" w:hAnsi="Book Antiqua"/>
          <w:lang w:val="pt-PT"/>
        </w:rPr>
        <w:t xml:space="preserve"> [PMID: 26150621 DOI: 10.1136/bcr-2014-209031]</w:t>
      </w:r>
    </w:p>
    <w:p w14:paraId="0569C959" w14:textId="77777777" w:rsidR="00B4314C" w:rsidRPr="00512804" w:rsidRDefault="0027755F">
      <w:pPr>
        <w:pStyle w:val="BodyA"/>
        <w:spacing w:line="360" w:lineRule="auto"/>
        <w:jc w:val="both"/>
      </w:pPr>
      <w:r w:rsidRPr="00512804">
        <w:rPr>
          <w:rFonts w:ascii="Book Antiqua" w:hAnsi="Book Antiqua"/>
        </w:rPr>
        <w:t xml:space="preserve">89 </w:t>
      </w:r>
      <w:r w:rsidRPr="00512804">
        <w:rPr>
          <w:rFonts w:ascii="Book Antiqua" w:hAnsi="Book Antiqua"/>
          <w:b/>
          <w:bCs/>
        </w:rPr>
        <w:t>Bennett S</w:t>
      </w:r>
      <w:r w:rsidRPr="00512804">
        <w:rPr>
          <w:rFonts w:ascii="Book Antiqua" w:hAnsi="Book Antiqua"/>
        </w:rPr>
        <w:t xml:space="preserve">, Li K, Gunson RN. Hepatitis E virus infection presenting with paraesthesia. </w:t>
      </w:r>
      <w:r w:rsidRPr="00512804">
        <w:rPr>
          <w:rFonts w:ascii="Book Antiqua" w:hAnsi="Book Antiqua"/>
          <w:i/>
          <w:iCs/>
        </w:rPr>
        <w:t>Scott Med J</w:t>
      </w:r>
      <w:r w:rsidRPr="00512804">
        <w:rPr>
          <w:rFonts w:ascii="Book Antiqua" w:hAnsi="Book Antiqua"/>
        </w:rPr>
        <w:t xml:space="preserve"> 2015; </w:t>
      </w:r>
      <w:r w:rsidRPr="00512804">
        <w:rPr>
          <w:rFonts w:ascii="Book Antiqua" w:hAnsi="Book Antiqua"/>
          <w:b/>
          <w:bCs/>
        </w:rPr>
        <w:t>60</w:t>
      </w:r>
      <w:r w:rsidRPr="00512804">
        <w:rPr>
          <w:rFonts w:ascii="Book Antiqua" w:hAnsi="Book Antiqua"/>
          <w:lang w:val="pt-PT"/>
        </w:rPr>
        <w:t>: e27-e29 [PMID: 25663032 DOI: 10.1177/0036933015572093]</w:t>
      </w:r>
    </w:p>
    <w:p w14:paraId="465E1733" w14:textId="77777777" w:rsidR="00B4314C" w:rsidRPr="00512804" w:rsidRDefault="0027755F">
      <w:pPr>
        <w:pStyle w:val="BodyA"/>
        <w:spacing w:line="360" w:lineRule="auto"/>
        <w:jc w:val="both"/>
      </w:pPr>
      <w:r w:rsidRPr="00512804">
        <w:rPr>
          <w:rFonts w:ascii="Book Antiqua" w:hAnsi="Book Antiqua"/>
        </w:rPr>
        <w:t xml:space="preserve">90 </w:t>
      </w:r>
      <w:r w:rsidRPr="00512804">
        <w:rPr>
          <w:rFonts w:ascii="Book Antiqua" w:hAnsi="Book Antiqua"/>
          <w:b/>
          <w:bCs/>
          <w:lang w:val="de-DE"/>
        </w:rPr>
        <w:t>Dixit VK</w:t>
      </w:r>
      <w:r w:rsidRPr="00512804">
        <w:rPr>
          <w:rFonts w:ascii="Book Antiqua" w:hAnsi="Book Antiqua"/>
        </w:rPr>
        <w:t xml:space="preserve">, Abhilash VB, Kate MP, Jain AK. Hepatitis E infection with Bell's palsy. </w:t>
      </w:r>
      <w:r w:rsidRPr="00512804">
        <w:rPr>
          <w:rFonts w:ascii="Book Antiqua" w:hAnsi="Book Antiqua"/>
          <w:i/>
          <w:iCs/>
        </w:rPr>
        <w:t>J Assoc Physicians India</w:t>
      </w:r>
      <w:r w:rsidRPr="00512804">
        <w:rPr>
          <w:rFonts w:ascii="Book Antiqua" w:hAnsi="Book Antiqua"/>
        </w:rPr>
        <w:t xml:space="preserve"> 2006; </w:t>
      </w:r>
      <w:r w:rsidRPr="00512804">
        <w:rPr>
          <w:rFonts w:ascii="Book Antiqua" w:hAnsi="Book Antiqua"/>
          <w:b/>
          <w:bCs/>
        </w:rPr>
        <w:t>54</w:t>
      </w:r>
      <w:r w:rsidRPr="00512804">
        <w:rPr>
          <w:rFonts w:ascii="Book Antiqua" w:hAnsi="Book Antiqua"/>
          <w:lang w:val="pt-PT"/>
        </w:rPr>
        <w:t>: 418 [PMID: 16909746]</w:t>
      </w:r>
    </w:p>
    <w:p w14:paraId="22ACDE64" w14:textId="77777777" w:rsidR="00B4314C" w:rsidRPr="00512804" w:rsidRDefault="0027755F">
      <w:pPr>
        <w:pStyle w:val="BodyA"/>
        <w:spacing w:line="360" w:lineRule="auto"/>
        <w:jc w:val="both"/>
      </w:pPr>
      <w:r w:rsidRPr="00512804">
        <w:rPr>
          <w:rFonts w:ascii="Book Antiqua" w:hAnsi="Book Antiqua"/>
          <w:lang w:val="ru-RU"/>
        </w:rPr>
        <w:t xml:space="preserve">91 </w:t>
      </w:r>
      <w:r w:rsidRPr="00512804">
        <w:rPr>
          <w:rFonts w:ascii="Book Antiqua" w:hAnsi="Book Antiqua"/>
          <w:b/>
          <w:bCs/>
        </w:rPr>
        <w:t>Jha AK</w:t>
      </w:r>
      <w:r w:rsidRPr="00512804">
        <w:rPr>
          <w:rFonts w:ascii="Book Antiqua" w:hAnsi="Book Antiqua"/>
        </w:rPr>
        <w:t xml:space="preserve">, Nijhawan S, Nepalia S, Suchismita A. Association of Bell's Palsy with Hepatitis E Virus Infection: A Rare Entity. </w:t>
      </w:r>
      <w:r w:rsidRPr="00512804">
        <w:rPr>
          <w:rFonts w:ascii="Book Antiqua" w:hAnsi="Book Antiqua"/>
          <w:i/>
          <w:iCs/>
          <w:lang w:val="de-DE"/>
        </w:rPr>
        <w:t>J Clin Exp Hepatol</w:t>
      </w:r>
      <w:r w:rsidRPr="00512804">
        <w:rPr>
          <w:rFonts w:ascii="Book Antiqua" w:hAnsi="Book Antiqua"/>
        </w:rPr>
        <w:t xml:space="preserve"> 2012; </w:t>
      </w:r>
      <w:r w:rsidRPr="00512804">
        <w:rPr>
          <w:rFonts w:ascii="Book Antiqua" w:hAnsi="Book Antiqua"/>
          <w:b/>
          <w:bCs/>
        </w:rPr>
        <w:t>2</w:t>
      </w:r>
      <w:r w:rsidRPr="00512804">
        <w:rPr>
          <w:rFonts w:ascii="Book Antiqua" w:hAnsi="Book Antiqua"/>
        </w:rPr>
        <w:t>: 88-90 [PMID: 25755411 DOI: 10.1016/S0973-6883(12)60082-6]</w:t>
      </w:r>
    </w:p>
    <w:p w14:paraId="5CDC5427" w14:textId="77777777" w:rsidR="00B4314C" w:rsidRPr="00512804" w:rsidRDefault="0027755F">
      <w:pPr>
        <w:pStyle w:val="BodyA"/>
        <w:spacing w:line="360" w:lineRule="auto"/>
        <w:jc w:val="both"/>
      </w:pPr>
      <w:r w:rsidRPr="00512804">
        <w:rPr>
          <w:rFonts w:ascii="Book Antiqua" w:hAnsi="Book Antiqua"/>
        </w:rPr>
        <w:t xml:space="preserve">92 </w:t>
      </w:r>
      <w:r w:rsidRPr="00512804">
        <w:rPr>
          <w:rFonts w:ascii="Book Antiqua" w:hAnsi="Book Antiqua"/>
          <w:b/>
          <w:bCs/>
        </w:rPr>
        <w:t>Yazaki Y</w:t>
      </w:r>
      <w:r w:rsidRPr="00512804">
        <w:rPr>
          <w:rFonts w:ascii="Book Antiqua" w:hAnsi="Book Antiqua"/>
        </w:rPr>
        <w:t xml:space="preserve">, Sugawara K, Honda M, Ohnishi H, Nagashima S, Takahashi M, Okamoto H. Characteristics of 20 Patients with Autochthonous Acute Hepatitis E in Hokkaido, Japan: First Report of Bilateral Facial Palsy Following the Infection with Genotype 4 Hepatitis E Virus. </w:t>
      </w:r>
      <w:r w:rsidRPr="00512804">
        <w:rPr>
          <w:rFonts w:ascii="Book Antiqua" w:hAnsi="Book Antiqua"/>
          <w:i/>
          <w:iCs/>
        </w:rPr>
        <w:t>Tohoku J Exp Med</w:t>
      </w:r>
      <w:r w:rsidRPr="00512804">
        <w:rPr>
          <w:rFonts w:ascii="Book Antiqua" w:hAnsi="Book Antiqua"/>
        </w:rPr>
        <w:t xml:space="preserve"> 2015; </w:t>
      </w:r>
      <w:r w:rsidRPr="00512804">
        <w:rPr>
          <w:rFonts w:ascii="Book Antiqua" w:hAnsi="Book Antiqua"/>
          <w:b/>
          <w:bCs/>
        </w:rPr>
        <w:t>236</w:t>
      </w:r>
      <w:r w:rsidRPr="00512804">
        <w:rPr>
          <w:rFonts w:ascii="Book Antiqua" w:hAnsi="Book Antiqua"/>
          <w:lang w:val="pt-PT"/>
        </w:rPr>
        <w:t>: 263-271 [PMID: 26228039 DOI: 10.1620/tjem.236.263]</w:t>
      </w:r>
    </w:p>
    <w:p w14:paraId="0B95545B" w14:textId="77777777" w:rsidR="00B4314C" w:rsidRPr="00512804" w:rsidRDefault="0027755F">
      <w:pPr>
        <w:pStyle w:val="BodyA"/>
        <w:spacing w:line="360" w:lineRule="auto"/>
        <w:jc w:val="both"/>
      </w:pPr>
      <w:r w:rsidRPr="00512804">
        <w:rPr>
          <w:rFonts w:ascii="Book Antiqua" w:hAnsi="Book Antiqua"/>
        </w:rPr>
        <w:t xml:space="preserve">93 </w:t>
      </w:r>
      <w:r w:rsidRPr="00512804">
        <w:rPr>
          <w:rFonts w:ascii="Book Antiqua" w:hAnsi="Book Antiqua"/>
          <w:b/>
          <w:bCs/>
          <w:lang w:val="de-DE"/>
        </w:rPr>
        <w:t>Mengel AM</w:t>
      </w:r>
      <w:r w:rsidRPr="00512804">
        <w:rPr>
          <w:rFonts w:ascii="Book Antiqua" w:hAnsi="Book Antiqua"/>
          <w:lang w:val="de-DE"/>
        </w:rPr>
        <w:t>, Stenzel W, Meisel A, B</w:t>
      </w:r>
      <w:r w:rsidRPr="00512804">
        <w:rPr>
          <w:rFonts w:ascii="Book Antiqua" w:hAnsi="Book Antiqua"/>
        </w:rPr>
        <w:t xml:space="preserve">üning C. Hepatitis E-induced severe myositis. </w:t>
      </w:r>
      <w:r w:rsidRPr="00512804">
        <w:rPr>
          <w:rFonts w:ascii="Book Antiqua" w:hAnsi="Book Antiqua"/>
          <w:i/>
          <w:iCs/>
        </w:rPr>
        <w:t>Muscle Nerve</w:t>
      </w:r>
      <w:r w:rsidRPr="00512804">
        <w:rPr>
          <w:rFonts w:ascii="Book Antiqua" w:hAnsi="Book Antiqua"/>
        </w:rPr>
        <w:t xml:space="preserve"> 2016; </w:t>
      </w:r>
      <w:r w:rsidRPr="00512804">
        <w:rPr>
          <w:rFonts w:ascii="Book Antiqua" w:hAnsi="Book Antiqua"/>
          <w:b/>
          <w:bCs/>
        </w:rPr>
        <w:t>53</w:t>
      </w:r>
      <w:r w:rsidRPr="00512804">
        <w:rPr>
          <w:rFonts w:ascii="Book Antiqua" w:hAnsi="Book Antiqua"/>
          <w:lang w:val="pt-PT"/>
        </w:rPr>
        <w:t>: 317-320 [PMID: 26514272 DOI: 10.1002/mus.24959]</w:t>
      </w:r>
    </w:p>
    <w:p w14:paraId="7AD1E805" w14:textId="77777777" w:rsidR="00B4314C" w:rsidRPr="00512804" w:rsidRDefault="0027755F">
      <w:pPr>
        <w:pStyle w:val="BodyA"/>
        <w:spacing w:line="360" w:lineRule="auto"/>
        <w:jc w:val="both"/>
      </w:pPr>
      <w:r w:rsidRPr="00512804">
        <w:rPr>
          <w:rFonts w:ascii="Book Antiqua" w:hAnsi="Book Antiqua"/>
        </w:rPr>
        <w:t xml:space="preserve">94 </w:t>
      </w:r>
      <w:r w:rsidRPr="00512804">
        <w:rPr>
          <w:rFonts w:ascii="Book Antiqua" w:hAnsi="Book Antiqua"/>
          <w:b/>
          <w:bCs/>
          <w:lang w:val="fr-FR"/>
        </w:rPr>
        <w:t>Despierres LA</w:t>
      </w:r>
      <w:r w:rsidRPr="00512804">
        <w:rPr>
          <w:rFonts w:ascii="Book Antiqua" w:hAnsi="Book Antiqua"/>
          <w:lang w:val="de-DE"/>
        </w:rPr>
        <w:t xml:space="preserve">, Kaphan E, Attarian S, Cohen-Bacrie S, Pelletier J, Pouget J, Motte A, Charrel R, Gerolami R, Colson P. Neurologic disorders and hepatitis E, France, 2010. </w:t>
      </w:r>
      <w:r w:rsidRPr="00512804">
        <w:rPr>
          <w:rFonts w:ascii="Book Antiqua" w:hAnsi="Book Antiqua"/>
          <w:i/>
          <w:iCs/>
        </w:rPr>
        <w:t>Emerg Infect Dis</w:t>
      </w:r>
      <w:r w:rsidRPr="00512804">
        <w:rPr>
          <w:rFonts w:ascii="Book Antiqua" w:hAnsi="Book Antiqua"/>
        </w:rPr>
        <w:t xml:space="preserve"> 2011; </w:t>
      </w:r>
      <w:r w:rsidRPr="00512804">
        <w:rPr>
          <w:rFonts w:ascii="Book Antiqua" w:hAnsi="Book Antiqua"/>
          <w:b/>
          <w:bCs/>
        </w:rPr>
        <w:t>17</w:t>
      </w:r>
      <w:r w:rsidRPr="00512804">
        <w:rPr>
          <w:rFonts w:ascii="Book Antiqua" w:hAnsi="Book Antiqua"/>
          <w:lang w:val="pt-PT"/>
        </w:rPr>
        <w:t>: 1510-1512 [PMID: 21801637 DOI: 10.3201/eid1708.102028]</w:t>
      </w:r>
    </w:p>
    <w:p w14:paraId="61BEF429" w14:textId="77777777" w:rsidR="00B4314C" w:rsidRPr="00512804" w:rsidRDefault="0027755F">
      <w:pPr>
        <w:pStyle w:val="BodyA"/>
        <w:spacing w:line="360" w:lineRule="auto"/>
        <w:jc w:val="both"/>
      </w:pPr>
      <w:r w:rsidRPr="00512804">
        <w:rPr>
          <w:rFonts w:ascii="Book Antiqua" w:hAnsi="Book Antiqua"/>
        </w:rPr>
        <w:t xml:space="preserve">95 </w:t>
      </w:r>
      <w:r w:rsidRPr="00512804">
        <w:rPr>
          <w:rFonts w:ascii="Book Antiqua" w:hAnsi="Book Antiqua"/>
          <w:b/>
          <w:bCs/>
          <w:lang w:val="it-IT"/>
        </w:rPr>
        <w:t>Belliere J</w:t>
      </w:r>
      <w:r w:rsidRPr="00512804">
        <w:rPr>
          <w:rFonts w:ascii="Book Antiqua" w:hAnsi="Book Antiqua"/>
          <w:lang w:val="fr-FR"/>
        </w:rPr>
        <w:t>, Abravanel F, Nogier MB, Martinez S, Cintas P, Lhomme S, Lavayssi</w:t>
      </w:r>
      <w:r w:rsidRPr="00512804">
        <w:rPr>
          <w:rFonts w:ascii="Book Antiqua" w:hAnsi="Book Antiqua"/>
        </w:rPr>
        <w:t xml:space="preserve">ère L, Cointault O, Faguer S, Izopet J, Kamar N. Transfusion-acquired hepatitis E infection misdiagnosed as severe critical illness polyneuromyopathy in a heart transplant patient. </w:t>
      </w:r>
      <w:r w:rsidRPr="00512804">
        <w:rPr>
          <w:rFonts w:ascii="Book Antiqua" w:hAnsi="Book Antiqua"/>
          <w:i/>
          <w:iCs/>
        </w:rPr>
        <w:t>Transpl Infect Dis</w:t>
      </w:r>
      <w:r w:rsidRPr="00512804">
        <w:rPr>
          <w:rFonts w:ascii="Book Antiqua" w:hAnsi="Book Antiqua"/>
        </w:rPr>
        <w:t xml:space="preserve"> 2017; </w:t>
      </w:r>
      <w:r w:rsidRPr="00512804">
        <w:rPr>
          <w:rFonts w:ascii="Book Antiqua" w:hAnsi="Book Antiqua"/>
          <w:b/>
          <w:bCs/>
        </w:rPr>
        <w:t>19</w:t>
      </w:r>
      <w:r w:rsidRPr="00512804">
        <w:rPr>
          <w:rFonts w:ascii="Book Antiqua" w:hAnsi="Book Antiqua"/>
          <w:lang w:val="pt-PT"/>
        </w:rPr>
        <w:t xml:space="preserve"> [PMID: 28963742 DOI: 10.1111/tid.12784]</w:t>
      </w:r>
    </w:p>
    <w:p w14:paraId="75A9BBE8" w14:textId="77777777" w:rsidR="00B4314C" w:rsidRPr="00512804" w:rsidRDefault="0027755F">
      <w:pPr>
        <w:pStyle w:val="BodyA"/>
        <w:spacing w:line="360" w:lineRule="auto"/>
        <w:jc w:val="both"/>
      </w:pPr>
      <w:r w:rsidRPr="00512804">
        <w:rPr>
          <w:rFonts w:ascii="Book Antiqua" w:hAnsi="Book Antiqua"/>
        </w:rPr>
        <w:t xml:space="preserve">96 </w:t>
      </w:r>
      <w:r w:rsidRPr="00512804">
        <w:rPr>
          <w:rFonts w:ascii="Book Antiqua" w:hAnsi="Book Antiqua"/>
          <w:b/>
          <w:bCs/>
        </w:rPr>
        <w:t>Pé</w:t>
      </w:r>
      <w:r w:rsidRPr="00512804">
        <w:rPr>
          <w:rFonts w:ascii="Book Antiqua" w:hAnsi="Book Antiqua"/>
          <w:b/>
          <w:bCs/>
          <w:lang w:val="es-ES_tradnl"/>
        </w:rPr>
        <w:t>ron JM</w:t>
      </w:r>
      <w:r w:rsidRPr="00512804">
        <w:rPr>
          <w:rFonts w:ascii="Book Antiqua" w:hAnsi="Book Antiqua"/>
        </w:rPr>
        <w:t xml:space="preserve">, Dalton H, Izopet J, Kamar N. Acute autochthonous hepatitis E in western patients with underlying chronic liver disease: a role for ribavirin? </w:t>
      </w:r>
      <w:r w:rsidRPr="00512804">
        <w:rPr>
          <w:rFonts w:ascii="Book Antiqua" w:hAnsi="Book Antiqua"/>
          <w:i/>
          <w:iCs/>
        </w:rPr>
        <w:t>J Hepatol</w:t>
      </w:r>
      <w:r w:rsidRPr="00512804">
        <w:rPr>
          <w:rFonts w:ascii="Book Antiqua" w:hAnsi="Book Antiqua"/>
        </w:rPr>
        <w:t xml:space="preserve"> 2011; </w:t>
      </w:r>
      <w:r w:rsidRPr="00512804">
        <w:rPr>
          <w:rFonts w:ascii="Book Antiqua" w:hAnsi="Book Antiqua"/>
          <w:b/>
          <w:bCs/>
        </w:rPr>
        <w:t>54</w:t>
      </w:r>
      <w:r w:rsidRPr="00512804">
        <w:rPr>
          <w:rFonts w:ascii="Book Antiqua" w:hAnsi="Book Antiqua"/>
        </w:rPr>
        <w:t>: 1323-4; author reply 1324-5 [PMID: 21281681 DOI: 10.1016/j.jhep.2011.01.009]</w:t>
      </w:r>
    </w:p>
    <w:p w14:paraId="0B9AAC85" w14:textId="77777777" w:rsidR="00B4314C" w:rsidRPr="00512804" w:rsidRDefault="0027755F">
      <w:pPr>
        <w:pStyle w:val="BodyA"/>
        <w:spacing w:line="360" w:lineRule="auto"/>
        <w:jc w:val="both"/>
      </w:pPr>
      <w:r w:rsidRPr="00512804">
        <w:rPr>
          <w:rFonts w:ascii="Book Antiqua" w:hAnsi="Book Antiqua"/>
        </w:rPr>
        <w:t xml:space="preserve">97 </w:t>
      </w:r>
      <w:r w:rsidRPr="00512804">
        <w:rPr>
          <w:rFonts w:ascii="Book Antiqua" w:hAnsi="Book Antiqua"/>
          <w:b/>
          <w:bCs/>
        </w:rPr>
        <w:t>Hill AB</w:t>
      </w:r>
      <w:r w:rsidRPr="00512804">
        <w:rPr>
          <w:rFonts w:ascii="Book Antiqua" w:hAnsi="Book Antiqua"/>
        </w:rPr>
        <w:t xml:space="preserve">. The environment and disease: Association or causation? </w:t>
      </w:r>
      <w:r w:rsidRPr="00512804">
        <w:rPr>
          <w:rFonts w:ascii="Book Antiqua" w:hAnsi="Book Antiqua"/>
          <w:i/>
          <w:iCs/>
          <w:lang w:val="de-DE"/>
        </w:rPr>
        <w:t>Proc R Soc Med</w:t>
      </w:r>
      <w:r w:rsidRPr="00512804">
        <w:rPr>
          <w:rFonts w:ascii="Book Antiqua" w:hAnsi="Book Antiqua"/>
        </w:rPr>
        <w:t xml:space="preserve"> 1965; </w:t>
      </w:r>
      <w:r w:rsidRPr="00512804">
        <w:rPr>
          <w:rFonts w:ascii="Book Antiqua" w:hAnsi="Book Antiqua"/>
          <w:b/>
          <w:bCs/>
          <w:lang w:val="ru-RU"/>
        </w:rPr>
        <w:t>58</w:t>
      </w:r>
      <w:r w:rsidRPr="00512804">
        <w:rPr>
          <w:rFonts w:ascii="Book Antiqua" w:hAnsi="Book Antiqua"/>
          <w:lang w:val="pt-PT"/>
        </w:rPr>
        <w:t>: 295-300 [PMID: 14283879]</w:t>
      </w:r>
    </w:p>
    <w:p w14:paraId="47D919E5" w14:textId="77777777" w:rsidR="00B4314C" w:rsidRPr="00512804" w:rsidRDefault="00B4314C">
      <w:pPr>
        <w:pStyle w:val="BodyA"/>
        <w:spacing w:line="360" w:lineRule="auto"/>
        <w:jc w:val="both"/>
        <w:sectPr w:rsidR="00B4314C" w:rsidRPr="00512804">
          <w:pgSz w:w="12240" w:h="15840"/>
          <w:pgMar w:top="1440" w:right="1440" w:bottom="1440" w:left="1440" w:header="720" w:footer="720" w:gutter="0"/>
          <w:cols w:space="720"/>
        </w:sectPr>
      </w:pPr>
    </w:p>
    <w:p w14:paraId="6EC34D24" w14:textId="77777777" w:rsidR="00B4314C" w:rsidRPr="00512804" w:rsidRDefault="0027755F">
      <w:pPr>
        <w:pStyle w:val="BodyA"/>
        <w:spacing w:line="360" w:lineRule="auto"/>
        <w:jc w:val="both"/>
      </w:pPr>
      <w:r w:rsidRPr="00512804">
        <w:rPr>
          <w:rFonts w:ascii="Book Antiqua" w:hAnsi="Book Antiqua"/>
          <w:b/>
          <w:bCs/>
        </w:rPr>
        <w:t>Footnotes</w:t>
      </w:r>
    </w:p>
    <w:p w14:paraId="55734DF2" w14:textId="77777777" w:rsidR="00B4314C" w:rsidRPr="00512804" w:rsidRDefault="0027755F">
      <w:pPr>
        <w:pStyle w:val="BodyA"/>
        <w:spacing w:line="360" w:lineRule="auto"/>
        <w:jc w:val="both"/>
      </w:pPr>
      <w:r w:rsidRPr="00512804">
        <w:rPr>
          <w:rFonts w:ascii="Book Antiqua" w:hAnsi="Book Antiqua"/>
          <w:b/>
          <w:bCs/>
        </w:rPr>
        <w:t xml:space="preserve">Conflict-of-interest statement: </w:t>
      </w:r>
      <w:r w:rsidRPr="00512804">
        <w:rPr>
          <w:rFonts w:ascii="Book Antiqua" w:hAnsi="Book Antiqua"/>
        </w:rPr>
        <w:t>There is no conflict of interest associated with any of the senior author or other coauthors contributed their efforts in this manuscript.</w:t>
      </w:r>
    </w:p>
    <w:p w14:paraId="43821E19" w14:textId="77777777" w:rsidR="00B4314C" w:rsidRPr="00512804" w:rsidRDefault="00B4314C">
      <w:pPr>
        <w:pStyle w:val="BodyA"/>
        <w:spacing w:line="360" w:lineRule="auto"/>
        <w:jc w:val="both"/>
      </w:pPr>
    </w:p>
    <w:p w14:paraId="71C96F1C" w14:textId="77777777" w:rsidR="00B4314C" w:rsidRPr="00512804" w:rsidRDefault="0027755F">
      <w:pPr>
        <w:pStyle w:val="BodyA"/>
        <w:spacing w:line="360" w:lineRule="auto"/>
        <w:jc w:val="both"/>
      </w:pPr>
      <w:r w:rsidRPr="00512804">
        <w:rPr>
          <w:rFonts w:ascii="Book Antiqua" w:hAnsi="Book Antiqua"/>
          <w:b/>
          <w:bCs/>
        </w:rPr>
        <w:t xml:space="preserve">Open-Access: </w:t>
      </w:r>
      <w:r w:rsidRPr="00512804">
        <w:rPr>
          <w:rFonts w:ascii="Book Antiqua" w:hAnsi="Book Antiqua"/>
        </w:rPr>
        <w:t>This article is an open-access article that was selected by an in-house ed</w:t>
      </w:r>
      <w:r w:rsidRPr="00512804">
        <w:rPr>
          <w:rFonts w:ascii="Book Antiqua" w:hAnsi="Book Antiqua"/>
        </w:rPr>
        <w:t>i</w:t>
      </w:r>
      <w:r w:rsidRPr="00512804">
        <w:rPr>
          <w:rFonts w:ascii="Book Antiqua" w:hAnsi="Book Antiqua"/>
        </w:rPr>
        <w:t>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B870B1" w14:textId="77777777" w:rsidR="00B4314C" w:rsidRPr="00512804" w:rsidRDefault="00B4314C">
      <w:pPr>
        <w:pStyle w:val="BodyA"/>
        <w:spacing w:line="360" w:lineRule="auto"/>
        <w:jc w:val="both"/>
      </w:pPr>
    </w:p>
    <w:p w14:paraId="59C82951" w14:textId="77777777" w:rsidR="00B4314C" w:rsidRPr="00512804" w:rsidRDefault="0027755F">
      <w:pPr>
        <w:pStyle w:val="BodyA"/>
        <w:spacing w:line="360" w:lineRule="auto"/>
        <w:jc w:val="both"/>
        <w:rPr>
          <w:rFonts w:ascii="Book Antiqua" w:eastAsia="Book Antiqua" w:hAnsi="Book Antiqua" w:cs="Book Antiqua"/>
        </w:rPr>
      </w:pPr>
      <w:r w:rsidRPr="00512804">
        <w:rPr>
          <w:rFonts w:ascii="Book Antiqua" w:hAnsi="Book Antiqua"/>
          <w:b/>
          <w:bCs/>
          <w:lang w:val="fr-FR"/>
        </w:rPr>
        <w:t xml:space="preserve">Manuscript source: </w:t>
      </w:r>
      <w:r w:rsidRPr="00512804">
        <w:rPr>
          <w:rFonts w:ascii="Book Antiqua" w:hAnsi="Book Antiqua"/>
        </w:rPr>
        <w:t>Invited manuscript</w:t>
      </w:r>
    </w:p>
    <w:p w14:paraId="6EE5DB4B" w14:textId="77777777" w:rsidR="00B4314C" w:rsidRPr="00512804" w:rsidRDefault="00B4314C">
      <w:pPr>
        <w:pStyle w:val="BodyA"/>
        <w:spacing w:line="360" w:lineRule="auto"/>
        <w:jc w:val="both"/>
      </w:pPr>
    </w:p>
    <w:p w14:paraId="031AC868" w14:textId="77777777" w:rsidR="00B4314C" w:rsidRPr="00512804" w:rsidRDefault="0027755F">
      <w:pPr>
        <w:pStyle w:val="BodyA"/>
        <w:spacing w:line="360" w:lineRule="auto"/>
        <w:jc w:val="both"/>
      </w:pPr>
      <w:r w:rsidRPr="00512804">
        <w:rPr>
          <w:rFonts w:ascii="Book Antiqua" w:hAnsi="Book Antiqua"/>
          <w:b/>
          <w:bCs/>
        </w:rPr>
        <w:t xml:space="preserve">Corresponding Author's Membership in Professional Societies: </w:t>
      </w:r>
      <w:r w:rsidRPr="00512804">
        <w:rPr>
          <w:rFonts w:ascii="Book Antiqua" w:hAnsi="Book Antiqua"/>
        </w:rPr>
        <w:t>American College of Gastroenterology, No. 56353; Indian Society of Gastroenterology, No. LM002279.</w:t>
      </w:r>
    </w:p>
    <w:p w14:paraId="3586F082" w14:textId="77777777" w:rsidR="00B4314C" w:rsidRPr="00512804" w:rsidRDefault="00B4314C">
      <w:pPr>
        <w:pStyle w:val="BodyA"/>
        <w:spacing w:line="360" w:lineRule="auto"/>
        <w:jc w:val="both"/>
      </w:pPr>
    </w:p>
    <w:p w14:paraId="14C583F2" w14:textId="77777777" w:rsidR="00B4314C" w:rsidRPr="00512804" w:rsidRDefault="0027755F">
      <w:pPr>
        <w:pStyle w:val="BodyA"/>
        <w:spacing w:line="360" w:lineRule="auto"/>
        <w:jc w:val="both"/>
      </w:pPr>
      <w:r w:rsidRPr="00512804">
        <w:rPr>
          <w:rFonts w:ascii="Book Antiqua" w:hAnsi="Book Antiqua"/>
          <w:b/>
          <w:bCs/>
        </w:rPr>
        <w:t xml:space="preserve">Peer-review started: </w:t>
      </w:r>
      <w:r w:rsidRPr="00512804">
        <w:rPr>
          <w:rFonts w:ascii="Book Antiqua" w:hAnsi="Book Antiqua"/>
        </w:rPr>
        <w:t>January 3, 2021</w:t>
      </w:r>
    </w:p>
    <w:p w14:paraId="7863A7CA" w14:textId="77777777" w:rsidR="00B4314C" w:rsidRPr="00512804" w:rsidRDefault="0027755F">
      <w:pPr>
        <w:pStyle w:val="BodyA"/>
        <w:spacing w:line="360" w:lineRule="auto"/>
        <w:jc w:val="both"/>
      </w:pPr>
      <w:r w:rsidRPr="00512804">
        <w:rPr>
          <w:rFonts w:ascii="Book Antiqua" w:hAnsi="Book Antiqua"/>
          <w:b/>
          <w:bCs/>
        </w:rPr>
        <w:t xml:space="preserve">First decision: </w:t>
      </w:r>
      <w:r w:rsidRPr="00512804">
        <w:rPr>
          <w:rFonts w:ascii="Book Antiqua" w:hAnsi="Book Antiqua"/>
        </w:rPr>
        <w:t>January 23, 2021</w:t>
      </w:r>
    </w:p>
    <w:p w14:paraId="2228D829" w14:textId="22DAC922" w:rsidR="00B4314C" w:rsidRPr="00512804" w:rsidRDefault="0027755F">
      <w:pPr>
        <w:pStyle w:val="BodyA"/>
        <w:spacing w:line="360" w:lineRule="auto"/>
        <w:jc w:val="both"/>
      </w:pPr>
      <w:r w:rsidRPr="00512804">
        <w:rPr>
          <w:rFonts w:ascii="Book Antiqua" w:hAnsi="Book Antiqua"/>
          <w:b/>
          <w:bCs/>
        </w:rPr>
        <w:t xml:space="preserve">Article in press: </w:t>
      </w:r>
      <w:r w:rsidR="00FB3965" w:rsidRPr="00512804">
        <w:rPr>
          <w:rFonts w:ascii="Book Antiqua" w:hAnsi="Book Antiqua"/>
        </w:rPr>
        <w:t>April 5, 2021</w:t>
      </w:r>
    </w:p>
    <w:p w14:paraId="13F96667" w14:textId="77777777" w:rsidR="00B4314C" w:rsidRPr="00512804" w:rsidRDefault="00B4314C">
      <w:pPr>
        <w:pStyle w:val="BodyA"/>
        <w:spacing w:line="360" w:lineRule="auto"/>
        <w:jc w:val="both"/>
      </w:pPr>
    </w:p>
    <w:p w14:paraId="61DA3829" w14:textId="77777777" w:rsidR="00B4314C" w:rsidRPr="00512804" w:rsidRDefault="0027755F">
      <w:pPr>
        <w:pStyle w:val="BodyA"/>
        <w:spacing w:line="360" w:lineRule="auto"/>
        <w:jc w:val="both"/>
      </w:pPr>
      <w:r w:rsidRPr="00512804">
        <w:rPr>
          <w:rFonts w:ascii="Book Antiqua" w:hAnsi="Book Antiqua"/>
          <w:b/>
          <w:bCs/>
        </w:rPr>
        <w:t xml:space="preserve">Specialty type: </w:t>
      </w:r>
      <w:r w:rsidRPr="00512804">
        <w:rPr>
          <w:rFonts w:ascii="Book Antiqua" w:hAnsi="Book Antiqua"/>
        </w:rPr>
        <w:t>Gastroenterology and hepatology</w:t>
      </w:r>
    </w:p>
    <w:p w14:paraId="0BA96652" w14:textId="77777777" w:rsidR="00B4314C" w:rsidRPr="00512804" w:rsidRDefault="0027755F">
      <w:pPr>
        <w:pStyle w:val="BodyA"/>
        <w:spacing w:line="360" w:lineRule="auto"/>
        <w:jc w:val="both"/>
      </w:pPr>
      <w:r w:rsidRPr="00512804">
        <w:rPr>
          <w:rFonts w:ascii="Book Antiqua" w:hAnsi="Book Antiqua"/>
          <w:b/>
          <w:bCs/>
        </w:rPr>
        <w:t xml:space="preserve">Country/Territory of origin: </w:t>
      </w:r>
      <w:r w:rsidRPr="00512804">
        <w:rPr>
          <w:rFonts w:ascii="Book Antiqua" w:hAnsi="Book Antiqua"/>
          <w:lang w:val="it-IT"/>
        </w:rPr>
        <w:t>India</w:t>
      </w:r>
    </w:p>
    <w:p w14:paraId="7CC72111" w14:textId="77777777" w:rsidR="00B4314C" w:rsidRPr="00512804" w:rsidRDefault="0027755F">
      <w:pPr>
        <w:pStyle w:val="BodyA"/>
        <w:spacing w:line="360" w:lineRule="auto"/>
        <w:jc w:val="both"/>
      </w:pPr>
      <w:r w:rsidRPr="00512804">
        <w:rPr>
          <w:rFonts w:ascii="Book Antiqua" w:hAnsi="Book Antiqua"/>
          <w:b/>
          <w:bCs/>
        </w:rPr>
        <w:t>Peer-review report’s scientific quality classification</w:t>
      </w:r>
    </w:p>
    <w:p w14:paraId="7E4C7BBD" w14:textId="77777777" w:rsidR="00B4314C" w:rsidRPr="00512804" w:rsidRDefault="0027755F">
      <w:pPr>
        <w:pStyle w:val="BodyA"/>
        <w:spacing w:line="360" w:lineRule="auto"/>
        <w:jc w:val="both"/>
      </w:pPr>
      <w:r w:rsidRPr="00512804">
        <w:rPr>
          <w:rFonts w:ascii="Book Antiqua" w:hAnsi="Book Antiqua"/>
        </w:rPr>
        <w:t>Grade A (Excellent): 0</w:t>
      </w:r>
    </w:p>
    <w:p w14:paraId="5733F785" w14:textId="77777777" w:rsidR="00B4314C" w:rsidRPr="00512804" w:rsidRDefault="0027755F">
      <w:pPr>
        <w:pStyle w:val="BodyA"/>
        <w:spacing w:line="360" w:lineRule="auto"/>
        <w:jc w:val="both"/>
      </w:pPr>
      <w:r w:rsidRPr="00512804">
        <w:rPr>
          <w:rFonts w:ascii="Book Antiqua" w:hAnsi="Book Antiqua"/>
        </w:rPr>
        <w:t>Grade B (Very good): B, B, B, B</w:t>
      </w:r>
    </w:p>
    <w:p w14:paraId="7FAB9EE0" w14:textId="77777777" w:rsidR="00B4314C" w:rsidRPr="00512804" w:rsidRDefault="0027755F">
      <w:pPr>
        <w:pStyle w:val="BodyA"/>
        <w:spacing w:line="360" w:lineRule="auto"/>
        <w:jc w:val="both"/>
      </w:pPr>
      <w:r w:rsidRPr="00512804">
        <w:rPr>
          <w:rFonts w:ascii="Book Antiqua" w:hAnsi="Book Antiqua"/>
        </w:rPr>
        <w:t>Grade C (Good): 0</w:t>
      </w:r>
    </w:p>
    <w:p w14:paraId="75FAF759" w14:textId="77777777" w:rsidR="00B4314C" w:rsidRPr="00512804" w:rsidRDefault="0027755F">
      <w:pPr>
        <w:pStyle w:val="BodyA"/>
        <w:spacing w:line="360" w:lineRule="auto"/>
        <w:jc w:val="both"/>
      </w:pPr>
      <w:r w:rsidRPr="00512804">
        <w:rPr>
          <w:rFonts w:ascii="Book Antiqua" w:hAnsi="Book Antiqua"/>
        </w:rPr>
        <w:t>Grade D (Fair): 0</w:t>
      </w:r>
    </w:p>
    <w:p w14:paraId="37F01AD4" w14:textId="77777777" w:rsidR="00B4314C" w:rsidRPr="00512804" w:rsidRDefault="0027755F">
      <w:pPr>
        <w:pStyle w:val="BodyA"/>
        <w:spacing w:line="360" w:lineRule="auto"/>
        <w:jc w:val="both"/>
        <w:rPr>
          <w:lang w:val="nl-NL"/>
        </w:rPr>
      </w:pPr>
      <w:r w:rsidRPr="00512804">
        <w:rPr>
          <w:rFonts w:ascii="Book Antiqua" w:hAnsi="Book Antiqua"/>
          <w:lang w:val="nl-NL"/>
        </w:rPr>
        <w:t>Grade E (Poor): 0</w:t>
      </w:r>
    </w:p>
    <w:p w14:paraId="1141F67C" w14:textId="77777777" w:rsidR="00B4314C" w:rsidRPr="00512804" w:rsidRDefault="00B4314C">
      <w:pPr>
        <w:pStyle w:val="BodyA"/>
        <w:spacing w:line="360" w:lineRule="auto"/>
        <w:jc w:val="both"/>
      </w:pPr>
    </w:p>
    <w:p w14:paraId="2A99A0C1" w14:textId="33E0DCA8" w:rsidR="00B4314C" w:rsidRPr="00512804" w:rsidRDefault="0027755F">
      <w:pPr>
        <w:pStyle w:val="BodyA"/>
        <w:spacing w:line="360" w:lineRule="auto"/>
        <w:jc w:val="both"/>
        <w:rPr>
          <w:rFonts w:ascii="Book Antiqua" w:hAnsi="Book Antiqua"/>
          <w:b/>
          <w:bCs/>
          <w:lang w:eastAsia="zh-CN"/>
        </w:rPr>
      </w:pPr>
      <w:r w:rsidRPr="00512804">
        <w:rPr>
          <w:rFonts w:ascii="Book Antiqua" w:hAnsi="Book Antiqua"/>
          <w:b/>
          <w:bCs/>
        </w:rPr>
        <w:t xml:space="preserve">P-Reviewer: </w:t>
      </w:r>
      <w:r w:rsidRPr="00512804">
        <w:rPr>
          <w:rFonts w:ascii="Book Antiqua" w:hAnsi="Book Antiqua"/>
        </w:rPr>
        <w:t>Chawla S, Granito A, Shimizu Y</w:t>
      </w:r>
      <w:r w:rsidRPr="00512804">
        <w:rPr>
          <w:rFonts w:ascii="Book Antiqua" w:hAnsi="Book Antiqua"/>
          <w:b/>
          <w:bCs/>
        </w:rPr>
        <w:t xml:space="preserve"> S-Editor: </w:t>
      </w:r>
      <w:r w:rsidRPr="00512804">
        <w:rPr>
          <w:rFonts w:ascii="Book Antiqua" w:hAnsi="Book Antiqua"/>
          <w:lang w:val="pt-PT"/>
        </w:rPr>
        <w:t>Gao CC</w:t>
      </w:r>
      <w:r w:rsidRPr="00512804">
        <w:rPr>
          <w:rFonts w:ascii="Book Antiqua" w:hAnsi="Book Antiqua"/>
          <w:b/>
          <w:bCs/>
        </w:rPr>
        <w:t xml:space="preserve"> L-Editor: </w:t>
      </w:r>
      <w:r w:rsidRPr="00512804">
        <w:rPr>
          <w:rFonts w:ascii="Book Antiqua" w:hAnsi="Book Antiqua"/>
          <w:lang w:val="pt-PT"/>
        </w:rPr>
        <w:t>Filipodia</w:t>
      </w:r>
      <w:r w:rsidRPr="00512804">
        <w:rPr>
          <w:rFonts w:ascii="Book Antiqua" w:hAnsi="Book Antiqua"/>
          <w:b/>
          <w:bCs/>
        </w:rPr>
        <w:t xml:space="preserve"> P-Editor: </w:t>
      </w:r>
      <w:r w:rsidR="00FB3965" w:rsidRPr="00512804">
        <w:rPr>
          <w:rFonts w:ascii="Book Antiqua" w:hAnsi="Book Antiqua" w:hint="eastAsia"/>
          <w:bCs/>
          <w:lang w:eastAsia="zh-CN"/>
        </w:rPr>
        <w:t>Liu JH</w:t>
      </w:r>
    </w:p>
    <w:p w14:paraId="3E62F11F" w14:textId="77777777" w:rsidR="00FB3965" w:rsidRPr="00512804" w:rsidRDefault="00FB3965">
      <w:pPr>
        <w:pStyle w:val="BodyA"/>
        <w:spacing w:line="360" w:lineRule="auto"/>
        <w:jc w:val="both"/>
        <w:rPr>
          <w:lang w:eastAsia="zh-CN"/>
        </w:rPr>
        <w:sectPr w:rsidR="00FB3965" w:rsidRPr="00512804">
          <w:pgSz w:w="12240" w:h="15840"/>
          <w:pgMar w:top="1440" w:right="1440" w:bottom="1440" w:left="1440" w:header="720" w:footer="720" w:gutter="0"/>
          <w:cols w:space="720"/>
        </w:sectPr>
      </w:pPr>
    </w:p>
    <w:p w14:paraId="62B8DE4F" w14:textId="77777777" w:rsidR="00B4314C" w:rsidRPr="00512804" w:rsidRDefault="0027755F">
      <w:pPr>
        <w:pStyle w:val="BodyA"/>
        <w:spacing w:line="360" w:lineRule="auto"/>
        <w:jc w:val="both"/>
        <w:rPr>
          <w:rFonts w:ascii="Book Antiqua" w:eastAsia="Book Antiqua" w:hAnsi="Book Antiqua" w:cs="Book Antiqua"/>
          <w:b/>
          <w:bCs/>
          <w:lang w:val="de-DE"/>
        </w:rPr>
      </w:pPr>
      <w:r w:rsidRPr="00512804">
        <w:rPr>
          <w:rFonts w:ascii="Book Antiqua" w:hAnsi="Book Antiqua"/>
          <w:b/>
          <w:bCs/>
          <w:lang w:val="de-DE"/>
        </w:rPr>
        <w:t>Figure Legends</w:t>
      </w:r>
    </w:p>
    <w:p w14:paraId="69356080" w14:textId="77777777" w:rsidR="00B4314C" w:rsidRPr="00512804" w:rsidRDefault="0027755F">
      <w:pPr>
        <w:pStyle w:val="BodyA"/>
        <w:spacing w:line="360" w:lineRule="auto"/>
        <w:jc w:val="both"/>
      </w:pPr>
      <w:r w:rsidRPr="00512804">
        <w:rPr>
          <w:noProof/>
          <w:lang w:eastAsia="zh-CN"/>
        </w:rPr>
        <w:drawing>
          <wp:inline distT="0" distB="0" distL="0" distR="0" wp14:anchorId="2069739B" wp14:editId="0884C619">
            <wp:extent cx="5943600" cy="413864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a:stretch>
                      <a:fillRect/>
                    </a:stretch>
                  </pic:blipFill>
                  <pic:spPr>
                    <a:xfrm>
                      <a:off x="0" y="0"/>
                      <a:ext cx="5943600" cy="4138647"/>
                    </a:xfrm>
                    <a:prstGeom prst="rect">
                      <a:avLst/>
                    </a:prstGeom>
                    <a:ln w="12700" cap="flat">
                      <a:noFill/>
                      <a:miter lim="400000"/>
                    </a:ln>
                    <a:effectLst/>
                  </pic:spPr>
                </pic:pic>
              </a:graphicData>
            </a:graphic>
          </wp:inline>
        </w:drawing>
      </w:r>
    </w:p>
    <w:p w14:paraId="3FC40C9B" w14:textId="73D1CB24" w:rsidR="00B4314C" w:rsidRPr="00512804" w:rsidRDefault="0027755F">
      <w:pPr>
        <w:pStyle w:val="BodyA"/>
        <w:spacing w:line="360" w:lineRule="auto"/>
        <w:jc w:val="both"/>
        <w:rPr>
          <w:rFonts w:ascii="Book Antiqua" w:eastAsia="Book Antiqua" w:hAnsi="Book Antiqua" w:cs="Book Antiqua"/>
        </w:rPr>
      </w:pPr>
      <w:r w:rsidRPr="00512804">
        <w:rPr>
          <w:rFonts w:ascii="Book Antiqua" w:hAnsi="Book Antiqua"/>
          <w:b/>
          <w:bCs/>
        </w:rPr>
        <w:t xml:space="preserve">Figure 1 Schematic diagram demonstrating the potential mechanisms of extrahepatic manifestations of hepatitis E virus infection. </w:t>
      </w:r>
      <w:r w:rsidRPr="00512804">
        <w:rPr>
          <w:rFonts w:ascii="Book Antiqua" w:hAnsi="Book Antiqua"/>
          <w:lang w:val="de-DE"/>
        </w:rPr>
        <w:t xml:space="preserve">HEV: </w:t>
      </w:r>
      <w:bookmarkStart w:id="4" w:name="_Hlk68024883"/>
      <w:r w:rsidRPr="00512804">
        <w:rPr>
          <w:rFonts w:ascii="Book Antiqua" w:hAnsi="Book Antiqua"/>
        </w:rPr>
        <w:t>Hepatitis E virus</w:t>
      </w:r>
      <w:bookmarkEnd w:id="4"/>
      <w:r w:rsidRPr="00512804">
        <w:rPr>
          <w:rFonts w:ascii="Book Antiqua" w:hAnsi="Book Antiqua"/>
        </w:rPr>
        <w:t xml:space="preserve">; </w:t>
      </w:r>
      <w:bookmarkStart w:id="5" w:name="_Hlk61966603"/>
      <w:r w:rsidRPr="00512804">
        <w:rPr>
          <w:rFonts w:ascii="Book Antiqua" w:hAnsi="Book Antiqua"/>
        </w:rPr>
        <w:t>IL:</w:t>
      </w:r>
      <w:bookmarkEnd w:id="5"/>
      <w:r w:rsidRPr="00512804">
        <w:rPr>
          <w:rFonts w:ascii="Book Antiqua" w:hAnsi="Book Antiqua"/>
        </w:rPr>
        <w:t xml:space="preserve"> </w:t>
      </w:r>
      <w:bookmarkStart w:id="6" w:name="_Hlk58003126"/>
      <w:r w:rsidRPr="00512804">
        <w:rPr>
          <w:rFonts w:ascii="Book Antiqua" w:hAnsi="Book Antiqua"/>
          <w:lang w:val="de-DE"/>
        </w:rPr>
        <w:t>Interleukin</w:t>
      </w:r>
      <w:bookmarkEnd w:id="6"/>
      <w:r w:rsidRPr="00512804">
        <w:rPr>
          <w:rFonts w:ascii="Book Antiqua" w:hAnsi="Book Antiqua"/>
        </w:rPr>
        <w:t>.</w:t>
      </w:r>
    </w:p>
    <w:p w14:paraId="5F2464AF" w14:textId="77777777" w:rsidR="00B4314C" w:rsidRPr="00512804" w:rsidRDefault="0027755F">
      <w:pPr>
        <w:pStyle w:val="BodyA"/>
        <w:spacing w:line="360" w:lineRule="auto"/>
        <w:jc w:val="both"/>
      </w:pPr>
      <w:r w:rsidRPr="00512804">
        <w:rPr>
          <w:rFonts w:ascii="Arial Unicode MS" w:hAnsi="Arial Unicode MS"/>
        </w:rPr>
        <w:br w:type="page"/>
      </w:r>
    </w:p>
    <w:p w14:paraId="12376744" w14:textId="77777777" w:rsidR="00B4314C" w:rsidRPr="00512804" w:rsidRDefault="0027755F">
      <w:pPr>
        <w:pStyle w:val="BodyA"/>
        <w:spacing w:line="360" w:lineRule="auto"/>
        <w:jc w:val="both"/>
        <w:rPr>
          <w:rFonts w:ascii="Book Antiqua" w:eastAsia="Book Antiqua" w:hAnsi="Book Antiqua" w:cs="Book Antiqua"/>
          <w:b/>
          <w:bCs/>
        </w:rPr>
      </w:pPr>
      <w:r w:rsidRPr="00512804">
        <w:rPr>
          <w:rFonts w:ascii="Book Antiqua" w:hAnsi="Book Antiqua"/>
          <w:b/>
          <w:bCs/>
          <w:lang w:val="fr-FR"/>
        </w:rPr>
        <w:t xml:space="preserve">Table 1 </w:t>
      </w:r>
      <w:bookmarkStart w:id="7" w:name="_Hlk68025204"/>
      <w:r w:rsidRPr="00512804">
        <w:rPr>
          <w:rFonts w:ascii="Book Antiqua" w:hAnsi="Book Antiqua"/>
          <w:b/>
          <w:bCs/>
        </w:rPr>
        <w:t>Hepatitis E virus</w:t>
      </w:r>
      <w:bookmarkEnd w:id="7"/>
      <w:r w:rsidRPr="00512804">
        <w:rPr>
          <w:rFonts w:ascii="Book Antiqua" w:hAnsi="Book Antiqua"/>
          <w:b/>
          <w:bCs/>
        </w:rPr>
        <w:t>: Epidemiological features</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96"/>
        <w:gridCol w:w="1812"/>
        <w:gridCol w:w="1532"/>
        <w:gridCol w:w="1533"/>
        <w:gridCol w:w="1727"/>
        <w:gridCol w:w="1560"/>
      </w:tblGrid>
      <w:tr w:rsidR="00B4314C" w:rsidRPr="00512804" w14:paraId="10E6DCA1" w14:textId="77777777">
        <w:trPr>
          <w:trHeight w:val="1970"/>
        </w:trPr>
        <w:tc>
          <w:tcPr>
            <w:tcW w:w="11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815F6F"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b/>
                <w:bCs/>
              </w:rPr>
              <w:t>Genotype</w:t>
            </w:r>
          </w:p>
        </w:tc>
        <w:tc>
          <w:tcPr>
            <w:tcW w:w="18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372D51"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b/>
                <w:bCs/>
              </w:rPr>
              <w:t>Hosts/reservoir</w:t>
            </w:r>
          </w:p>
        </w:tc>
        <w:tc>
          <w:tcPr>
            <w:tcW w:w="153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D27057"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b/>
                <w:bCs/>
              </w:rPr>
              <w:t>Mode of transmission</w:t>
            </w:r>
          </w:p>
        </w:tc>
        <w:tc>
          <w:tcPr>
            <w:tcW w:w="153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2C935E"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b/>
                <w:bCs/>
              </w:rPr>
              <w:t>Geographic distribution</w:t>
            </w:r>
          </w:p>
        </w:tc>
        <w:tc>
          <w:tcPr>
            <w:tcW w:w="17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1E6E36"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b/>
                <w:bCs/>
              </w:rPr>
              <w:t>Remarks</w:t>
            </w:r>
          </w:p>
        </w:tc>
        <w:tc>
          <w:tcPr>
            <w:tcW w:w="15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77117E"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b/>
                <w:bCs/>
              </w:rPr>
              <w:t>Reported neurological manifestations</w:t>
            </w:r>
            <w:r w:rsidRPr="00512804">
              <w:rPr>
                <w:rFonts w:ascii="Book Antiqua" w:hAnsi="Book Antiqua"/>
                <w:b/>
                <w:bCs/>
                <w:vertAlign w:val="superscript"/>
              </w:rPr>
              <w:t>1</w:t>
            </w:r>
          </w:p>
        </w:tc>
      </w:tr>
      <w:tr w:rsidR="00B4314C" w:rsidRPr="00512804" w14:paraId="085DA198" w14:textId="77777777">
        <w:trPr>
          <w:trHeight w:val="2395"/>
        </w:trPr>
        <w:tc>
          <w:tcPr>
            <w:tcW w:w="1196" w:type="dxa"/>
            <w:tcBorders>
              <w:top w:val="single" w:sz="4" w:space="0" w:color="000000"/>
              <w:left w:val="nil"/>
              <w:bottom w:val="nil"/>
              <w:right w:val="nil"/>
            </w:tcBorders>
            <w:shd w:val="clear" w:color="auto" w:fill="auto"/>
            <w:tcMar>
              <w:top w:w="80" w:type="dxa"/>
              <w:left w:w="80" w:type="dxa"/>
              <w:bottom w:w="80" w:type="dxa"/>
              <w:right w:w="80" w:type="dxa"/>
            </w:tcMar>
          </w:tcPr>
          <w:p w14:paraId="03AAB567"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rPr>
              <w:t>GT1</w:t>
            </w:r>
          </w:p>
        </w:tc>
        <w:tc>
          <w:tcPr>
            <w:tcW w:w="1812" w:type="dxa"/>
            <w:tcBorders>
              <w:top w:val="single" w:sz="4" w:space="0" w:color="000000"/>
              <w:left w:val="nil"/>
              <w:bottom w:val="nil"/>
              <w:right w:val="nil"/>
            </w:tcBorders>
            <w:shd w:val="clear" w:color="auto" w:fill="auto"/>
            <w:tcMar>
              <w:top w:w="80" w:type="dxa"/>
              <w:left w:w="80" w:type="dxa"/>
              <w:bottom w:w="80" w:type="dxa"/>
              <w:right w:w="80" w:type="dxa"/>
            </w:tcMar>
          </w:tcPr>
          <w:p w14:paraId="46FDEAA3"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rPr>
              <w:t>Only humans</w:t>
            </w:r>
          </w:p>
        </w:tc>
        <w:tc>
          <w:tcPr>
            <w:tcW w:w="1532" w:type="dxa"/>
            <w:tcBorders>
              <w:top w:val="single" w:sz="4" w:space="0" w:color="000000"/>
              <w:left w:val="nil"/>
              <w:bottom w:val="nil"/>
              <w:right w:val="nil"/>
            </w:tcBorders>
            <w:shd w:val="clear" w:color="auto" w:fill="auto"/>
            <w:tcMar>
              <w:top w:w="80" w:type="dxa"/>
              <w:left w:w="80" w:type="dxa"/>
              <w:bottom w:w="80" w:type="dxa"/>
              <w:right w:w="80" w:type="dxa"/>
            </w:tcMar>
          </w:tcPr>
          <w:p w14:paraId="161F4E3A"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rPr>
              <w:t>Fecal-oral transmission</w:t>
            </w:r>
          </w:p>
        </w:tc>
        <w:tc>
          <w:tcPr>
            <w:tcW w:w="1533" w:type="dxa"/>
            <w:tcBorders>
              <w:top w:val="single" w:sz="4" w:space="0" w:color="000000"/>
              <w:left w:val="nil"/>
              <w:bottom w:val="nil"/>
              <w:right w:val="nil"/>
            </w:tcBorders>
            <w:shd w:val="clear" w:color="auto" w:fill="auto"/>
            <w:tcMar>
              <w:top w:w="80" w:type="dxa"/>
              <w:left w:w="80" w:type="dxa"/>
              <w:bottom w:w="80" w:type="dxa"/>
              <w:right w:w="80" w:type="dxa"/>
            </w:tcMar>
          </w:tcPr>
          <w:p w14:paraId="4A08C6D6"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rPr>
              <w:t>Mostly Asia and Africa</w:t>
            </w:r>
          </w:p>
        </w:tc>
        <w:tc>
          <w:tcPr>
            <w:tcW w:w="1727" w:type="dxa"/>
            <w:tcBorders>
              <w:top w:val="single" w:sz="4" w:space="0" w:color="000000"/>
              <w:left w:val="nil"/>
              <w:bottom w:val="nil"/>
              <w:right w:val="nil"/>
            </w:tcBorders>
            <w:shd w:val="clear" w:color="auto" w:fill="auto"/>
            <w:tcMar>
              <w:top w:w="80" w:type="dxa"/>
              <w:left w:w="80" w:type="dxa"/>
              <w:bottom w:w="80" w:type="dxa"/>
              <w:right w:w="80" w:type="dxa"/>
            </w:tcMar>
          </w:tcPr>
          <w:p w14:paraId="4DC0C952" w14:textId="77777777" w:rsidR="00B4314C" w:rsidRPr="00512804" w:rsidRDefault="0027755F">
            <w:pPr>
              <w:pStyle w:val="a5"/>
              <w:tabs>
                <w:tab w:val="left" w:pos="1440"/>
              </w:tabs>
              <w:spacing w:line="360" w:lineRule="auto"/>
              <w:jc w:val="both"/>
            </w:pPr>
            <w:r w:rsidRPr="00512804">
              <w:rPr>
                <w:rFonts w:ascii="Book Antiqua" w:hAnsi="Book Antiqua"/>
                <w:sz w:val="24"/>
                <w:szCs w:val="24"/>
              </w:rPr>
              <w:t>Large outbreaks; Self-limiting; High mortality in pregnancy</w:t>
            </w:r>
          </w:p>
        </w:tc>
        <w:tc>
          <w:tcPr>
            <w:tcW w:w="1560" w:type="dxa"/>
            <w:tcBorders>
              <w:top w:val="single" w:sz="4" w:space="0" w:color="000000"/>
              <w:left w:val="nil"/>
              <w:bottom w:val="nil"/>
              <w:right w:val="nil"/>
            </w:tcBorders>
            <w:shd w:val="clear" w:color="auto" w:fill="auto"/>
            <w:tcMar>
              <w:top w:w="80" w:type="dxa"/>
              <w:left w:w="80" w:type="dxa"/>
              <w:bottom w:w="80" w:type="dxa"/>
              <w:right w:w="80" w:type="dxa"/>
            </w:tcMar>
          </w:tcPr>
          <w:p w14:paraId="77F836DD"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rPr>
              <w:t>Yes (2 cases)</w:t>
            </w:r>
          </w:p>
        </w:tc>
      </w:tr>
      <w:tr w:rsidR="00B4314C" w:rsidRPr="00512804" w14:paraId="774FB743" w14:textId="77777777">
        <w:trPr>
          <w:trHeight w:val="2400"/>
        </w:trPr>
        <w:tc>
          <w:tcPr>
            <w:tcW w:w="1196" w:type="dxa"/>
            <w:tcBorders>
              <w:top w:val="nil"/>
              <w:left w:val="nil"/>
              <w:bottom w:val="nil"/>
              <w:right w:val="nil"/>
            </w:tcBorders>
            <w:shd w:val="clear" w:color="auto" w:fill="auto"/>
            <w:tcMar>
              <w:top w:w="80" w:type="dxa"/>
              <w:left w:w="80" w:type="dxa"/>
              <w:bottom w:w="80" w:type="dxa"/>
              <w:right w:w="80" w:type="dxa"/>
            </w:tcMar>
          </w:tcPr>
          <w:p w14:paraId="0B0CE783"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rPr>
              <w:t>GT2</w:t>
            </w:r>
          </w:p>
        </w:tc>
        <w:tc>
          <w:tcPr>
            <w:tcW w:w="1812" w:type="dxa"/>
            <w:tcBorders>
              <w:top w:val="nil"/>
              <w:left w:val="nil"/>
              <w:bottom w:val="nil"/>
              <w:right w:val="nil"/>
            </w:tcBorders>
            <w:shd w:val="clear" w:color="auto" w:fill="auto"/>
            <w:tcMar>
              <w:top w:w="80" w:type="dxa"/>
              <w:left w:w="80" w:type="dxa"/>
              <w:bottom w:w="80" w:type="dxa"/>
              <w:right w:w="80" w:type="dxa"/>
            </w:tcMar>
          </w:tcPr>
          <w:p w14:paraId="091A5546"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rPr>
              <w:t>Only humans</w:t>
            </w:r>
          </w:p>
        </w:tc>
        <w:tc>
          <w:tcPr>
            <w:tcW w:w="1532" w:type="dxa"/>
            <w:tcBorders>
              <w:top w:val="nil"/>
              <w:left w:val="nil"/>
              <w:bottom w:val="nil"/>
              <w:right w:val="nil"/>
            </w:tcBorders>
            <w:shd w:val="clear" w:color="auto" w:fill="auto"/>
            <w:tcMar>
              <w:top w:w="80" w:type="dxa"/>
              <w:left w:w="80" w:type="dxa"/>
              <w:bottom w:w="80" w:type="dxa"/>
              <w:right w:w="80" w:type="dxa"/>
            </w:tcMar>
          </w:tcPr>
          <w:p w14:paraId="5246193F"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rPr>
              <w:t>Fecal-oral transmission</w:t>
            </w:r>
          </w:p>
        </w:tc>
        <w:tc>
          <w:tcPr>
            <w:tcW w:w="1533" w:type="dxa"/>
            <w:tcBorders>
              <w:top w:val="nil"/>
              <w:left w:val="nil"/>
              <w:bottom w:val="nil"/>
              <w:right w:val="nil"/>
            </w:tcBorders>
            <w:shd w:val="clear" w:color="auto" w:fill="auto"/>
            <w:tcMar>
              <w:top w:w="80" w:type="dxa"/>
              <w:left w:w="80" w:type="dxa"/>
              <w:bottom w:w="80" w:type="dxa"/>
              <w:right w:w="80" w:type="dxa"/>
            </w:tcMar>
          </w:tcPr>
          <w:p w14:paraId="66437647"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rPr>
              <w:t>Africa and Mexico</w:t>
            </w:r>
          </w:p>
        </w:tc>
        <w:tc>
          <w:tcPr>
            <w:tcW w:w="1727" w:type="dxa"/>
            <w:tcBorders>
              <w:top w:val="nil"/>
              <w:left w:val="nil"/>
              <w:bottom w:val="nil"/>
              <w:right w:val="nil"/>
            </w:tcBorders>
            <w:shd w:val="clear" w:color="auto" w:fill="auto"/>
            <w:tcMar>
              <w:top w:w="80" w:type="dxa"/>
              <w:left w:w="80" w:type="dxa"/>
              <w:bottom w:w="80" w:type="dxa"/>
              <w:right w:w="80" w:type="dxa"/>
            </w:tcMar>
          </w:tcPr>
          <w:p w14:paraId="451D6D51" w14:textId="77777777" w:rsidR="00B4314C" w:rsidRPr="00512804" w:rsidRDefault="0027755F">
            <w:pPr>
              <w:pStyle w:val="a5"/>
              <w:tabs>
                <w:tab w:val="left" w:pos="1440"/>
              </w:tabs>
              <w:spacing w:line="360" w:lineRule="auto"/>
              <w:jc w:val="both"/>
            </w:pPr>
            <w:r w:rsidRPr="00512804">
              <w:rPr>
                <w:rFonts w:ascii="Book Antiqua" w:hAnsi="Book Antiqua"/>
                <w:sz w:val="24"/>
                <w:szCs w:val="24"/>
              </w:rPr>
              <w:t>Large outbreaks; Self-limiting; High mortality in pregnancy</w:t>
            </w:r>
          </w:p>
        </w:tc>
        <w:tc>
          <w:tcPr>
            <w:tcW w:w="1560" w:type="dxa"/>
            <w:tcBorders>
              <w:top w:val="nil"/>
              <w:left w:val="nil"/>
              <w:bottom w:val="nil"/>
              <w:right w:val="nil"/>
            </w:tcBorders>
            <w:shd w:val="clear" w:color="auto" w:fill="auto"/>
            <w:tcMar>
              <w:top w:w="80" w:type="dxa"/>
              <w:left w:w="80" w:type="dxa"/>
              <w:bottom w:w="80" w:type="dxa"/>
              <w:right w:w="80" w:type="dxa"/>
            </w:tcMar>
          </w:tcPr>
          <w:p w14:paraId="14F78901"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rPr>
              <w:t>None</w:t>
            </w:r>
          </w:p>
        </w:tc>
      </w:tr>
      <w:tr w:rsidR="00B4314C" w:rsidRPr="00512804" w14:paraId="2C91231F" w14:textId="77777777">
        <w:trPr>
          <w:trHeight w:val="2380"/>
        </w:trPr>
        <w:tc>
          <w:tcPr>
            <w:tcW w:w="1196" w:type="dxa"/>
            <w:tcBorders>
              <w:top w:val="nil"/>
              <w:left w:val="nil"/>
              <w:bottom w:val="nil"/>
              <w:right w:val="nil"/>
            </w:tcBorders>
            <w:shd w:val="clear" w:color="auto" w:fill="auto"/>
            <w:tcMar>
              <w:top w:w="80" w:type="dxa"/>
              <w:left w:w="80" w:type="dxa"/>
              <w:bottom w:w="80" w:type="dxa"/>
              <w:right w:w="80" w:type="dxa"/>
            </w:tcMar>
          </w:tcPr>
          <w:p w14:paraId="4836859E"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rPr>
              <w:t>GT3</w:t>
            </w:r>
          </w:p>
        </w:tc>
        <w:tc>
          <w:tcPr>
            <w:tcW w:w="1812" w:type="dxa"/>
            <w:tcBorders>
              <w:top w:val="nil"/>
              <w:left w:val="nil"/>
              <w:bottom w:val="nil"/>
              <w:right w:val="nil"/>
            </w:tcBorders>
            <w:shd w:val="clear" w:color="auto" w:fill="auto"/>
            <w:tcMar>
              <w:top w:w="80" w:type="dxa"/>
              <w:left w:w="80" w:type="dxa"/>
              <w:bottom w:w="80" w:type="dxa"/>
              <w:right w:w="80" w:type="dxa"/>
            </w:tcMar>
          </w:tcPr>
          <w:p w14:paraId="6EB0D709" w14:textId="77777777" w:rsidR="00B4314C" w:rsidRPr="00512804" w:rsidRDefault="0027755F">
            <w:pPr>
              <w:pStyle w:val="Default"/>
              <w:suppressAutoHyphens w:val="0"/>
              <w:spacing w:after="240" w:line="360" w:lineRule="auto"/>
              <w:jc w:val="both"/>
            </w:pPr>
            <w:r w:rsidRPr="00512804">
              <w:rPr>
                <w:rFonts w:ascii="Book Antiqua" w:hAnsi="Book Antiqua"/>
                <w:sz w:val="24"/>
                <w:szCs w:val="24"/>
              </w:rPr>
              <w:t>Human, swine, wild boar, goat, cattle, deer, camel and yak</w:t>
            </w:r>
          </w:p>
        </w:tc>
        <w:tc>
          <w:tcPr>
            <w:tcW w:w="1532" w:type="dxa"/>
            <w:tcBorders>
              <w:top w:val="nil"/>
              <w:left w:val="nil"/>
              <w:bottom w:val="nil"/>
              <w:right w:val="nil"/>
            </w:tcBorders>
            <w:shd w:val="clear" w:color="auto" w:fill="auto"/>
            <w:tcMar>
              <w:top w:w="80" w:type="dxa"/>
              <w:left w:w="80" w:type="dxa"/>
              <w:bottom w:w="80" w:type="dxa"/>
              <w:right w:w="80" w:type="dxa"/>
            </w:tcMar>
          </w:tcPr>
          <w:p w14:paraId="11366FE8" w14:textId="77777777" w:rsidR="00B4314C" w:rsidRPr="00512804" w:rsidRDefault="0027755F">
            <w:pPr>
              <w:pStyle w:val="a5"/>
              <w:tabs>
                <w:tab w:val="left" w:pos="1440"/>
              </w:tabs>
              <w:spacing w:line="360" w:lineRule="auto"/>
              <w:jc w:val="both"/>
            </w:pPr>
            <w:r w:rsidRPr="00512804">
              <w:rPr>
                <w:rFonts w:ascii="Book Antiqua" w:hAnsi="Book Antiqua"/>
                <w:sz w:val="24"/>
                <w:szCs w:val="24"/>
              </w:rPr>
              <w:t>Zoonotic infections in humans; Blood transfusion</w:t>
            </w:r>
          </w:p>
        </w:tc>
        <w:tc>
          <w:tcPr>
            <w:tcW w:w="1533" w:type="dxa"/>
            <w:tcBorders>
              <w:top w:val="nil"/>
              <w:left w:val="nil"/>
              <w:bottom w:val="nil"/>
              <w:right w:val="nil"/>
            </w:tcBorders>
            <w:shd w:val="clear" w:color="auto" w:fill="auto"/>
            <w:tcMar>
              <w:top w:w="80" w:type="dxa"/>
              <w:left w:w="80" w:type="dxa"/>
              <w:bottom w:w="80" w:type="dxa"/>
              <w:right w:w="80" w:type="dxa"/>
            </w:tcMar>
          </w:tcPr>
          <w:p w14:paraId="706FBFAA"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rPr>
              <w:t>Worldwide including Europe and America</w:t>
            </w:r>
          </w:p>
        </w:tc>
        <w:tc>
          <w:tcPr>
            <w:tcW w:w="1727" w:type="dxa"/>
            <w:tcBorders>
              <w:top w:val="nil"/>
              <w:left w:val="nil"/>
              <w:bottom w:val="nil"/>
              <w:right w:val="nil"/>
            </w:tcBorders>
            <w:shd w:val="clear" w:color="auto" w:fill="auto"/>
            <w:tcMar>
              <w:top w:w="80" w:type="dxa"/>
              <w:left w:w="80" w:type="dxa"/>
              <w:bottom w:w="80" w:type="dxa"/>
              <w:right w:w="80" w:type="dxa"/>
            </w:tcMar>
          </w:tcPr>
          <w:p w14:paraId="0A18D94B" w14:textId="77777777" w:rsidR="00B4314C" w:rsidRPr="00512804" w:rsidRDefault="0027755F">
            <w:pPr>
              <w:pStyle w:val="Default"/>
              <w:suppressAutoHyphens w:val="0"/>
              <w:spacing w:after="240" w:line="360" w:lineRule="auto"/>
              <w:jc w:val="both"/>
            </w:pPr>
            <w:r w:rsidRPr="00512804">
              <w:rPr>
                <w:rFonts w:ascii="Book Antiqua" w:hAnsi="Book Antiqua"/>
                <w:sz w:val="24"/>
                <w:szCs w:val="24"/>
              </w:rPr>
              <w:t>Can cause chronic infe</w:t>
            </w:r>
            <w:r w:rsidRPr="00512804">
              <w:rPr>
                <w:rFonts w:ascii="Book Antiqua" w:hAnsi="Book Antiqua"/>
                <w:sz w:val="24"/>
                <w:szCs w:val="24"/>
              </w:rPr>
              <w:t>c</w:t>
            </w:r>
            <w:r w:rsidRPr="00512804">
              <w:rPr>
                <w:rFonts w:ascii="Book Antiqua" w:hAnsi="Book Antiqua"/>
                <w:sz w:val="24"/>
                <w:szCs w:val="24"/>
              </w:rPr>
              <w:t>tion in organ transplant p</w:t>
            </w:r>
            <w:r w:rsidRPr="00512804">
              <w:rPr>
                <w:rFonts w:ascii="Book Antiqua" w:hAnsi="Book Antiqua"/>
                <w:sz w:val="24"/>
                <w:szCs w:val="24"/>
              </w:rPr>
              <w:t>a</w:t>
            </w:r>
            <w:r w:rsidRPr="00512804">
              <w:rPr>
                <w:rFonts w:ascii="Book Antiqua" w:hAnsi="Book Antiqua"/>
                <w:sz w:val="24"/>
                <w:szCs w:val="24"/>
              </w:rPr>
              <w:t>tients</w:t>
            </w:r>
          </w:p>
        </w:tc>
        <w:tc>
          <w:tcPr>
            <w:tcW w:w="1560" w:type="dxa"/>
            <w:tcBorders>
              <w:top w:val="nil"/>
              <w:left w:val="nil"/>
              <w:bottom w:val="nil"/>
              <w:right w:val="nil"/>
            </w:tcBorders>
            <w:shd w:val="clear" w:color="auto" w:fill="auto"/>
            <w:tcMar>
              <w:top w:w="80" w:type="dxa"/>
              <w:left w:w="80" w:type="dxa"/>
              <w:bottom w:w="80" w:type="dxa"/>
              <w:right w:w="80" w:type="dxa"/>
            </w:tcMar>
          </w:tcPr>
          <w:p w14:paraId="7654C186"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rPr>
              <w:t>Yes (56 cases)</w:t>
            </w:r>
          </w:p>
        </w:tc>
      </w:tr>
      <w:tr w:rsidR="00B4314C" w:rsidRPr="00512804" w14:paraId="26577168" w14:textId="77777777">
        <w:trPr>
          <w:trHeight w:val="2385"/>
        </w:trPr>
        <w:tc>
          <w:tcPr>
            <w:tcW w:w="1196" w:type="dxa"/>
            <w:tcBorders>
              <w:top w:val="nil"/>
              <w:left w:val="nil"/>
              <w:bottom w:val="single" w:sz="4" w:space="0" w:color="000000"/>
              <w:right w:val="nil"/>
            </w:tcBorders>
            <w:shd w:val="clear" w:color="auto" w:fill="auto"/>
            <w:tcMar>
              <w:top w:w="80" w:type="dxa"/>
              <w:left w:w="80" w:type="dxa"/>
              <w:bottom w:w="80" w:type="dxa"/>
              <w:right w:w="80" w:type="dxa"/>
            </w:tcMar>
          </w:tcPr>
          <w:p w14:paraId="56FD3666"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rPr>
              <w:t>GT4</w:t>
            </w:r>
          </w:p>
        </w:tc>
        <w:tc>
          <w:tcPr>
            <w:tcW w:w="1812" w:type="dxa"/>
            <w:tcBorders>
              <w:top w:val="nil"/>
              <w:left w:val="nil"/>
              <w:bottom w:val="single" w:sz="4" w:space="0" w:color="000000"/>
              <w:right w:val="nil"/>
            </w:tcBorders>
            <w:shd w:val="clear" w:color="auto" w:fill="auto"/>
            <w:tcMar>
              <w:top w:w="80" w:type="dxa"/>
              <w:left w:w="80" w:type="dxa"/>
              <w:bottom w:w="80" w:type="dxa"/>
              <w:right w:w="80" w:type="dxa"/>
            </w:tcMar>
          </w:tcPr>
          <w:p w14:paraId="4B1CD499" w14:textId="77777777" w:rsidR="00B4314C" w:rsidRPr="00512804" w:rsidRDefault="0027755F">
            <w:pPr>
              <w:pStyle w:val="Default"/>
              <w:suppressAutoHyphens w:val="0"/>
              <w:spacing w:after="240" w:line="360" w:lineRule="auto"/>
              <w:jc w:val="both"/>
            </w:pPr>
            <w:r w:rsidRPr="00512804">
              <w:rPr>
                <w:rFonts w:ascii="Book Antiqua" w:hAnsi="Book Antiqua"/>
                <w:sz w:val="24"/>
                <w:szCs w:val="24"/>
              </w:rPr>
              <w:t xml:space="preserve">Human, swine, wild boar, goat, cattle, deer, camel and yak </w:t>
            </w:r>
          </w:p>
        </w:tc>
        <w:tc>
          <w:tcPr>
            <w:tcW w:w="1532" w:type="dxa"/>
            <w:tcBorders>
              <w:top w:val="nil"/>
              <w:left w:val="nil"/>
              <w:bottom w:val="single" w:sz="4" w:space="0" w:color="000000"/>
              <w:right w:val="nil"/>
            </w:tcBorders>
            <w:shd w:val="clear" w:color="auto" w:fill="auto"/>
            <w:tcMar>
              <w:top w:w="80" w:type="dxa"/>
              <w:left w:w="80" w:type="dxa"/>
              <w:bottom w:w="80" w:type="dxa"/>
              <w:right w:w="80" w:type="dxa"/>
            </w:tcMar>
          </w:tcPr>
          <w:p w14:paraId="2C14E0DA" w14:textId="77777777" w:rsidR="00B4314C" w:rsidRPr="00512804" w:rsidRDefault="0027755F">
            <w:pPr>
              <w:pStyle w:val="a5"/>
              <w:tabs>
                <w:tab w:val="left" w:pos="1440"/>
              </w:tabs>
              <w:spacing w:line="360" w:lineRule="auto"/>
              <w:jc w:val="both"/>
            </w:pPr>
            <w:r w:rsidRPr="00512804">
              <w:rPr>
                <w:rFonts w:ascii="Book Antiqua" w:hAnsi="Book Antiqua"/>
                <w:sz w:val="24"/>
                <w:szCs w:val="24"/>
              </w:rPr>
              <w:t>Zoonotic infections in humans; Blood transfusion</w:t>
            </w:r>
          </w:p>
        </w:tc>
        <w:tc>
          <w:tcPr>
            <w:tcW w:w="1533" w:type="dxa"/>
            <w:tcBorders>
              <w:top w:val="nil"/>
              <w:left w:val="nil"/>
              <w:bottom w:val="single" w:sz="4" w:space="0" w:color="000000"/>
              <w:right w:val="nil"/>
            </w:tcBorders>
            <w:shd w:val="clear" w:color="auto" w:fill="auto"/>
            <w:tcMar>
              <w:top w:w="80" w:type="dxa"/>
              <w:left w:w="80" w:type="dxa"/>
              <w:bottom w:w="80" w:type="dxa"/>
              <w:right w:w="80" w:type="dxa"/>
            </w:tcMar>
          </w:tcPr>
          <w:p w14:paraId="3802DAEB"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rPr>
              <w:t>China, Japan, South-east Asia</w:t>
            </w:r>
          </w:p>
        </w:tc>
        <w:tc>
          <w:tcPr>
            <w:tcW w:w="1727" w:type="dxa"/>
            <w:tcBorders>
              <w:top w:val="nil"/>
              <w:left w:val="nil"/>
              <w:bottom w:val="single" w:sz="4" w:space="0" w:color="000000"/>
              <w:right w:val="nil"/>
            </w:tcBorders>
            <w:shd w:val="clear" w:color="auto" w:fill="auto"/>
            <w:tcMar>
              <w:top w:w="80" w:type="dxa"/>
              <w:left w:w="80" w:type="dxa"/>
              <w:bottom w:w="80" w:type="dxa"/>
              <w:right w:w="80" w:type="dxa"/>
            </w:tcMar>
          </w:tcPr>
          <w:p w14:paraId="60954D66" w14:textId="77777777" w:rsidR="00B4314C" w:rsidRPr="00512804" w:rsidRDefault="0027755F">
            <w:pPr>
              <w:pStyle w:val="Default"/>
              <w:suppressAutoHyphens w:val="0"/>
              <w:spacing w:after="240" w:line="360" w:lineRule="auto"/>
              <w:jc w:val="both"/>
            </w:pPr>
            <w:r w:rsidRPr="00512804">
              <w:rPr>
                <w:rFonts w:ascii="Book Antiqua" w:hAnsi="Book Antiqua"/>
                <w:sz w:val="24"/>
                <w:szCs w:val="24"/>
              </w:rPr>
              <w:t>Can cause chronic infe</w:t>
            </w:r>
            <w:r w:rsidRPr="00512804">
              <w:rPr>
                <w:rFonts w:ascii="Book Antiqua" w:hAnsi="Book Antiqua"/>
                <w:sz w:val="24"/>
                <w:szCs w:val="24"/>
              </w:rPr>
              <w:t>c</w:t>
            </w:r>
            <w:r w:rsidRPr="00512804">
              <w:rPr>
                <w:rFonts w:ascii="Book Antiqua" w:hAnsi="Book Antiqua"/>
                <w:sz w:val="24"/>
                <w:szCs w:val="24"/>
              </w:rPr>
              <w:t>tion in organ transplant p</w:t>
            </w:r>
            <w:r w:rsidRPr="00512804">
              <w:rPr>
                <w:rFonts w:ascii="Book Antiqua" w:hAnsi="Book Antiqua"/>
                <w:sz w:val="24"/>
                <w:szCs w:val="24"/>
              </w:rPr>
              <w:t>a</w:t>
            </w:r>
            <w:r w:rsidRPr="00512804">
              <w:rPr>
                <w:rFonts w:ascii="Book Antiqua" w:hAnsi="Book Antiqua"/>
                <w:sz w:val="24"/>
                <w:szCs w:val="24"/>
              </w:rPr>
              <w:t>tients</w:t>
            </w:r>
          </w:p>
        </w:tc>
        <w:tc>
          <w:tcPr>
            <w:tcW w:w="1560" w:type="dxa"/>
            <w:tcBorders>
              <w:top w:val="nil"/>
              <w:left w:val="nil"/>
              <w:bottom w:val="single" w:sz="4" w:space="0" w:color="000000"/>
              <w:right w:val="nil"/>
            </w:tcBorders>
            <w:shd w:val="clear" w:color="auto" w:fill="auto"/>
            <w:tcMar>
              <w:top w:w="80" w:type="dxa"/>
              <w:left w:w="80" w:type="dxa"/>
              <w:bottom w:w="80" w:type="dxa"/>
              <w:right w:w="80" w:type="dxa"/>
            </w:tcMar>
          </w:tcPr>
          <w:p w14:paraId="5AC72EB3"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rPr>
              <w:t>Yes (4 cases)</w:t>
            </w:r>
          </w:p>
        </w:tc>
      </w:tr>
    </w:tbl>
    <w:p w14:paraId="03A6573C" w14:textId="77777777" w:rsidR="00B4314C" w:rsidRPr="00512804" w:rsidRDefault="00B4314C">
      <w:pPr>
        <w:pStyle w:val="BodyA"/>
        <w:widowControl w:val="0"/>
        <w:ind w:left="108" w:hanging="108"/>
        <w:rPr>
          <w:rFonts w:ascii="Book Antiqua" w:eastAsia="Book Antiqua" w:hAnsi="Book Antiqua" w:cs="Book Antiqua"/>
          <w:b/>
          <w:bCs/>
        </w:rPr>
      </w:pPr>
    </w:p>
    <w:p w14:paraId="1F6D51F8" w14:textId="77777777" w:rsidR="00B4314C" w:rsidRPr="00512804" w:rsidRDefault="00B4314C">
      <w:pPr>
        <w:pStyle w:val="BodyA"/>
        <w:widowControl w:val="0"/>
        <w:jc w:val="both"/>
        <w:rPr>
          <w:rFonts w:ascii="Book Antiqua" w:eastAsia="Book Antiqua" w:hAnsi="Book Antiqua" w:cs="Book Antiqua"/>
          <w:b/>
          <w:bCs/>
        </w:rPr>
      </w:pPr>
    </w:p>
    <w:p w14:paraId="3FEE6146" w14:textId="77777777" w:rsidR="00B4314C" w:rsidRPr="00512804" w:rsidRDefault="0027755F">
      <w:pPr>
        <w:pStyle w:val="BodyA"/>
        <w:spacing w:line="360" w:lineRule="auto"/>
        <w:jc w:val="both"/>
        <w:rPr>
          <w:rFonts w:ascii="Book Antiqua" w:eastAsia="Book Antiqua" w:hAnsi="Book Antiqua" w:cs="Book Antiqua"/>
        </w:rPr>
      </w:pPr>
      <w:r w:rsidRPr="00512804">
        <w:rPr>
          <w:rFonts w:ascii="Book Antiqua" w:hAnsi="Book Antiqua"/>
          <w:vertAlign w:val="superscript"/>
        </w:rPr>
        <w:t>1</w:t>
      </w:r>
      <w:r w:rsidRPr="00512804">
        <w:rPr>
          <w:rFonts w:ascii="Book Antiqua" w:hAnsi="Book Antiqua"/>
        </w:rPr>
        <w:t>See Table 3 for reported neurological manifestations. GT: Genotype.</w:t>
      </w:r>
    </w:p>
    <w:p w14:paraId="37168D87" w14:textId="77777777" w:rsidR="00B4314C" w:rsidRPr="00512804" w:rsidRDefault="00B4314C">
      <w:pPr>
        <w:pStyle w:val="BodyA"/>
        <w:spacing w:line="360" w:lineRule="auto"/>
        <w:jc w:val="both"/>
        <w:rPr>
          <w:rFonts w:ascii="Book Antiqua" w:eastAsia="Book Antiqua" w:hAnsi="Book Antiqua" w:cs="Book Antiqua"/>
          <w:b/>
          <w:bCs/>
        </w:rPr>
      </w:pPr>
    </w:p>
    <w:p w14:paraId="77403860" w14:textId="77777777" w:rsidR="00B4314C" w:rsidRPr="00512804" w:rsidRDefault="0027755F">
      <w:pPr>
        <w:pStyle w:val="BodyA"/>
        <w:spacing w:line="360" w:lineRule="auto"/>
        <w:jc w:val="both"/>
        <w:rPr>
          <w:rFonts w:ascii="Book Antiqua" w:eastAsia="Book Antiqua" w:hAnsi="Book Antiqua" w:cs="Book Antiqua"/>
          <w:b/>
          <w:bCs/>
        </w:rPr>
      </w:pPr>
      <w:r w:rsidRPr="00512804">
        <w:rPr>
          <w:rFonts w:ascii="Book Antiqua" w:hAnsi="Book Antiqua"/>
          <w:b/>
          <w:bCs/>
        </w:rPr>
        <w:t>Table 2 Relationship of hepatitis E virus infection with extrahepatic manifestations</w:t>
      </w:r>
    </w:p>
    <w:tbl>
      <w:tblPr>
        <w:tblW w:w="95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70"/>
        <w:gridCol w:w="3170"/>
        <w:gridCol w:w="3170"/>
      </w:tblGrid>
      <w:tr w:rsidR="00B4314C" w:rsidRPr="00512804" w14:paraId="3861A911" w14:textId="77777777">
        <w:trPr>
          <w:trHeight w:val="1140"/>
        </w:trPr>
        <w:tc>
          <w:tcPr>
            <w:tcW w:w="31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BFADE3" w14:textId="77777777" w:rsidR="00B4314C" w:rsidRPr="00512804" w:rsidRDefault="0027755F">
            <w:pPr>
              <w:pStyle w:val="BodyA"/>
              <w:tabs>
                <w:tab w:val="left" w:pos="1440"/>
                <w:tab w:val="left" w:pos="2880"/>
              </w:tabs>
              <w:suppressAutoHyphens/>
              <w:spacing w:line="360" w:lineRule="auto"/>
              <w:jc w:val="both"/>
              <w:outlineLvl w:val="0"/>
            </w:pPr>
            <w:r w:rsidRPr="00512804">
              <w:rPr>
                <w:rFonts w:ascii="Book Antiqua" w:hAnsi="Book Antiqua"/>
                <w:b/>
                <w:bCs/>
              </w:rPr>
              <w:t>Extrahepatic manifestations</w:t>
            </w:r>
          </w:p>
        </w:tc>
        <w:tc>
          <w:tcPr>
            <w:tcW w:w="31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57ED6C6" w14:textId="77777777" w:rsidR="00B4314C" w:rsidRPr="00512804" w:rsidRDefault="0027755F">
            <w:pPr>
              <w:pStyle w:val="Default"/>
              <w:suppressAutoHyphens w:val="0"/>
              <w:spacing w:after="0" w:line="360" w:lineRule="auto"/>
              <w:jc w:val="both"/>
            </w:pPr>
            <w:r w:rsidRPr="00512804">
              <w:rPr>
                <w:rFonts w:ascii="Book Antiqua" w:hAnsi="Book Antiqua"/>
                <w:b/>
                <w:bCs/>
                <w:sz w:val="24"/>
                <w:szCs w:val="24"/>
              </w:rPr>
              <w:t>Likelihood of causal rel</w:t>
            </w:r>
            <w:r w:rsidRPr="00512804">
              <w:rPr>
                <w:rFonts w:ascii="Book Antiqua" w:hAnsi="Book Antiqua"/>
                <w:b/>
                <w:bCs/>
                <w:sz w:val="24"/>
                <w:szCs w:val="24"/>
              </w:rPr>
              <w:t>a</w:t>
            </w:r>
            <w:r w:rsidRPr="00512804">
              <w:rPr>
                <w:rFonts w:ascii="Book Antiqua" w:hAnsi="Book Antiqua"/>
                <w:b/>
                <w:bCs/>
                <w:sz w:val="24"/>
                <w:szCs w:val="24"/>
              </w:rPr>
              <w:t>tionship, Hill</w:t>
            </w:r>
            <w:r w:rsidRPr="00512804">
              <w:rPr>
                <w:rFonts w:ascii="Book Antiqua" w:hAnsi="Book Antiqua"/>
                <w:b/>
                <w:bCs/>
                <w:sz w:val="24"/>
                <w:szCs w:val="24"/>
                <w:lang w:val="fr-FR"/>
              </w:rPr>
              <w:t xml:space="preserve"> criteria</w:t>
            </w:r>
            <w:r w:rsidRPr="00512804">
              <w:rPr>
                <w:rFonts w:ascii="Book Antiqua" w:hAnsi="Book Antiqua"/>
                <w:b/>
                <w:bCs/>
                <w:sz w:val="24"/>
                <w:szCs w:val="24"/>
                <w:vertAlign w:val="superscript"/>
              </w:rPr>
              <w:t>[9,97]</w:t>
            </w:r>
          </w:p>
        </w:tc>
        <w:tc>
          <w:tcPr>
            <w:tcW w:w="31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E0246C3" w14:textId="77777777" w:rsidR="00B4314C" w:rsidRPr="00512804" w:rsidRDefault="0027755F">
            <w:pPr>
              <w:pStyle w:val="BodyA"/>
              <w:tabs>
                <w:tab w:val="left" w:pos="1440"/>
                <w:tab w:val="left" w:pos="2880"/>
              </w:tabs>
              <w:suppressAutoHyphens/>
              <w:spacing w:line="360" w:lineRule="auto"/>
              <w:jc w:val="both"/>
              <w:outlineLvl w:val="0"/>
            </w:pPr>
            <w:r w:rsidRPr="00512804">
              <w:rPr>
                <w:rFonts w:ascii="Book Antiqua" w:hAnsi="Book Antiqua"/>
                <w:b/>
                <w:bCs/>
              </w:rPr>
              <w:t>Evidence to support a casual role</w:t>
            </w:r>
          </w:p>
        </w:tc>
      </w:tr>
      <w:tr w:rsidR="00B4314C" w:rsidRPr="00512804" w14:paraId="1AB2730D" w14:textId="77777777">
        <w:trPr>
          <w:trHeight w:val="305"/>
        </w:trPr>
        <w:tc>
          <w:tcPr>
            <w:tcW w:w="3170" w:type="dxa"/>
            <w:tcBorders>
              <w:top w:val="single" w:sz="4" w:space="0" w:color="000000"/>
              <w:left w:val="nil"/>
              <w:bottom w:val="nil"/>
              <w:right w:val="nil"/>
            </w:tcBorders>
            <w:shd w:val="clear" w:color="auto" w:fill="auto"/>
            <w:tcMar>
              <w:top w:w="80" w:type="dxa"/>
              <w:left w:w="80" w:type="dxa"/>
              <w:bottom w:w="80" w:type="dxa"/>
              <w:right w:w="80" w:type="dxa"/>
            </w:tcMar>
          </w:tcPr>
          <w:p w14:paraId="159FBF54" w14:textId="77777777" w:rsidR="00B4314C" w:rsidRPr="00512804" w:rsidRDefault="0027755F">
            <w:pPr>
              <w:pStyle w:val="BodyA"/>
              <w:tabs>
                <w:tab w:val="left" w:pos="1440"/>
                <w:tab w:val="left" w:pos="2880"/>
              </w:tabs>
              <w:suppressAutoHyphens/>
              <w:spacing w:after="240" w:line="360" w:lineRule="auto"/>
              <w:jc w:val="both"/>
              <w:outlineLvl w:val="0"/>
            </w:pPr>
            <w:r w:rsidRPr="00512804">
              <w:rPr>
                <w:rFonts w:ascii="Book Antiqua" w:hAnsi="Book Antiqua"/>
              </w:rPr>
              <w:t>Neurological disorders</w:t>
            </w:r>
          </w:p>
        </w:tc>
        <w:tc>
          <w:tcPr>
            <w:tcW w:w="3170" w:type="dxa"/>
            <w:tcBorders>
              <w:top w:val="single" w:sz="4" w:space="0" w:color="000000"/>
              <w:left w:val="nil"/>
              <w:bottom w:val="nil"/>
              <w:right w:val="nil"/>
            </w:tcBorders>
            <w:shd w:val="clear" w:color="auto" w:fill="auto"/>
            <w:tcMar>
              <w:top w:w="80" w:type="dxa"/>
              <w:left w:w="80" w:type="dxa"/>
              <w:bottom w:w="80" w:type="dxa"/>
              <w:right w:w="80" w:type="dxa"/>
            </w:tcMar>
          </w:tcPr>
          <w:p w14:paraId="2C7BBE4D" w14:textId="77777777" w:rsidR="00B4314C" w:rsidRPr="00512804" w:rsidRDefault="00B4314C"/>
        </w:tc>
        <w:tc>
          <w:tcPr>
            <w:tcW w:w="3170" w:type="dxa"/>
            <w:tcBorders>
              <w:top w:val="single" w:sz="4" w:space="0" w:color="000000"/>
              <w:left w:val="nil"/>
              <w:bottom w:val="nil"/>
              <w:right w:val="nil"/>
            </w:tcBorders>
            <w:shd w:val="clear" w:color="auto" w:fill="auto"/>
            <w:tcMar>
              <w:top w:w="80" w:type="dxa"/>
              <w:left w:w="80" w:type="dxa"/>
              <w:bottom w:w="80" w:type="dxa"/>
              <w:right w:w="80" w:type="dxa"/>
            </w:tcMar>
          </w:tcPr>
          <w:p w14:paraId="22406013" w14:textId="77777777" w:rsidR="00B4314C" w:rsidRPr="00512804" w:rsidRDefault="00B4314C"/>
        </w:tc>
      </w:tr>
      <w:tr w:rsidR="00B4314C" w:rsidRPr="00512804" w14:paraId="5824B0BB" w14:textId="77777777">
        <w:trPr>
          <w:trHeight w:val="300"/>
        </w:trPr>
        <w:tc>
          <w:tcPr>
            <w:tcW w:w="3170" w:type="dxa"/>
            <w:tcBorders>
              <w:top w:val="nil"/>
              <w:left w:val="nil"/>
              <w:bottom w:val="nil"/>
              <w:right w:val="nil"/>
            </w:tcBorders>
            <w:shd w:val="clear" w:color="auto" w:fill="auto"/>
            <w:tcMar>
              <w:top w:w="80" w:type="dxa"/>
              <w:left w:w="80" w:type="dxa"/>
              <w:bottom w:w="80" w:type="dxa"/>
              <w:right w:w="80" w:type="dxa"/>
            </w:tcMar>
          </w:tcPr>
          <w:p w14:paraId="4AF46B66" w14:textId="77777777" w:rsidR="00B4314C" w:rsidRPr="00512804" w:rsidRDefault="0027755F">
            <w:pPr>
              <w:pStyle w:val="BodyA"/>
              <w:tabs>
                <w:tab w:val="left" w:pos="1440"/>
                <w:tab w:val="left" w:pos="2880"/>
              </w:tabs>
              <w:suppressAutoHyphens/>
              <w:spacing w:after="240" w:line="360" w:lineRule="auto"/>
              <w:ind w:firstLine="240"/>
              <w:jc w:val="both"/>
              <w:outlineLvl w:val="0"/>
            </w:pPr>
            <w:r w:rsidRPr="00512804">
              <w:rPr>
                <w:rFonts w:ascii="Book Antiqua" w:hAnsi="Book Antiqua"/>
              </w:rPr>
              <w:t>Neuralgic amyotrophy</w:t>
            </w:r>
          </w:p>
        </w:tc>
        <w:tc>
          <w:tcPr>
            <w:tcW w:w="3170" w:type="dxa"/>
            <w:tcBorders>
              <w:top w:val="nil"/>
              <w:left w:val="nil"/>
              <w:bottom w:val="nil"/>
              <w:right w:val="nil"/>
            </w:tcBorders>
            <w:shd w:val="clear" w:color="auto" w:fill="auto"/>
            <w:tcMar>
              <w:top w:w="80" w:type="dxa"/>
              <w:left w:w="80" w:type="dxa"/>
              <w:bottom w:w="80" w:type="dxa"/>
              <w:right w:w="80" w:type="dxa"/>
            </w:tcMar>
          </w:tcPr>
          <w:p w14:paraId="1DC9124E" w14:textId="77777777" w:rsidR="00B4314C" w:rsidRPr="00512804" w:rsidRDefault="0027755F">
            <w:pPr>
              <w:pStyle w:val="BodyA"/>
              <w:tabs>
                <w:tab w:val="left" w:pos="1440"/>
                <w:tab w:val="left" w:pos="2880"/>
              </w:tabs>
              <w:suppressAutoHyphens/>
              <w:spacing w:line="360" w:lineRule="auto"/>
              <w:jc w:val="both"/>
              <w:outlineLvl w:val="0"/>
            </w:pPr>
            <w:r w:rsidRPr="00512804">
              <w:rPr>
                <w:rFonts w:ascii="Book Antiqua" w:hAnsi="Book Antiqua"/>
              </w:rPr>
              <w:t>Very probable</w:t>
            </w:r>
          </w:p>
        </w:tc>
        <w:tc>
          <w:tcPr>
            <w:tcW w:w="3170" w:type="dxa"/>
            <w:tcBorders>
              <w:top w:val="nil"/>
              <w:left w:val="nil"/>
              <w:bottom w:val="nil"/>
              <w:right w:val="nil"/>
            </w:tcBorders>
            <w:shd w:val="clear" w:color="auto" w:fill="auto"/>
            <w:tcMar>
              <w:top w:w="80" w:type="dxa"/>
              <w:left w:w="80" w:type="dxa"/>
              <w:bottom w:w="80" w:type="dxa"/>
              <w:right w:w="80" w:type="dxa"/>
            </w:tcMar>
          </w:tcPr>
          <w:p w14:paraId="45D0038A" w14:textId="77777777" w:rsidR="00B4314C" w:rsidRPr="00512804" w:rsidRDefault="0027755F">
            <w:pPr>
              <w:pStyle w:val="BodyA"/>
              <w:tabs>
                <w:tab w:val="left" w:pos="1440"/>
                <w:tab w:val="left" w:pos="2880"/>
              </w:tabs>
              <w:suppressAutoHyphens/>
              <w:spacing w:line="360" w:lineRule="auto"/>
              <w:jc w:val="both"/>
              <w:outlineLvl w:val="0"/>
            </w:pPr>
            <w:r w:rsidRPr="00512804">
              <w:rPr>
                <w:rFonts w:ascii="Book Antiqua" w:hAnsi="Book Antiqua"/>
              </w:rPr>
              <w:t>Good</w:t>
            </w:r>
          </w:p>
        </w:tc>
      </w:tr>
      <w:tr w:rsidR="00B4314C" w:rsidRPr="00512804" w14:paraId="28B7A970" w14:textId="77777777">
        <w:trPr>
          <w:trHeight w:val="300"/>
        </w:trPr>
        <w:tc>
          <w:tcPr>
            <w:tcW w:w="3170" w:type="dxa"/>
            <w:tcBorders>
              <w:top w:val="nil"/>
              <w:left w:val="nil"/>
              <w:bottom w:val="nil"/>
              <w:right w:val="nil"/>
            </w:tcBorders>
            <w:shd w:val="clear" w:color="auto" w:fill="auto"/>
            <w:tcMar>
              <w:top w:w="80" w:type="dxa"/>
              <w:left w:w="80" w:type="dxa"/>
              <w:bottom w:w="80" w:type="dxa"/>
              <w:right w:w="80" w:type="dxa"/>
            </w:tcMar>
          </w:tcPr>
          <w:p w14:paraId="129CC97B" w14:textId="77777777" w:rsidR="00B4314C" w:rsidRPr="00512804" w:rsidRDefault="0027755F">
            <w:pPr>
              <w:pStyle w:val="BodyA"/>
              <w:tabs>
                <w:tab w:val="left" w:pos="1440"/>
                <w:tab w:val="left" w:pos="2880"/>
              </w:tabs>
              <w:suppressAutoHyphens/>
              <w:spacing w:after="240" w:line="360" w:lineRule="auto"/>
              <w:ind w:firstLine="240"/>
              <w:jc w:val="both"/>
              <w:outlineLvl w:val="0"/>
            </w:pPr>
            <w:r w:rsidRPr="00512804">
              <w:rPr>
                <w:rFonts w:ascii="Book Antiqua" w:hAnsi="Book Antiqua"/>
              </w:rPr>
              <w:t>Guillain-Barré syndrome</w:t>
            </w:r>
          </w:p>
        </w:tc>
        <w:tc>
          <w:tcPr>
            <w:tcW w:w="3170" w:type="dxa"/>
            <w:tcBorders>
              <w:top w:val="nil"/>
              <w:left w:val="nil"/>
              <w:bottom w:val="nil"/>
              <w:right w:val="nil"/>
            </w:tcBorders>
            <w:shd w:val="clear" w:color="auto" w:fill="auto"/>
            <w:tcMar>
              <w:top w:w="80" w:type="dxa"/>
              <w:left w:w="80" w:type="dxa"/>
              <w:bottom w:w="80" w:type="dxa"/>
              <w:right w:w="80" w:type="dxa"/>
            </w:tcMar>
          </w:tcPr>
          <w:p w14:paraId="23EA3B78" w14:textId="77777777" w:rsidR="00B4314C" w:rsidRPr="00512804" w:rsidRDefault="0027755F">
            <w:pPr>
              <w:pStyle w:val="BodyA"/>
              <w:tabs>
                <w:tab w:val="left" w:pos="1440"/>
                <w:tab w:val="left" w:pos="2880"/>
              </w:tabs>
              <w:suppressAutoHyphens/>
              <w:spacing w:line="360" w:lineRule="auto"/>
              <w:jc w:val="both"/>
              <w:outlineLvl w:val="0"/>
            </w:pPr>
            <w:r w:rsidRPr="00512804">
              <w:rPr>
                <w:rFonts w:ascii="Book Antiqua" w:hAnsi="Book Antiqua"/>
              </w:rPr>
              <w:t>Very probable</w:t>
            </w:r>
          </w:p>
        </w:tc>
        <w:tc>
          <w:tcPr>
            <w:tcW w:w="3170" w:type="dxa"/>
            <w:tcBorders>
              <w:top w:val="nil"/>
              <w:left w:val="nil"/>
              <w:bottom w:val="nil"/>
              <w:right w:val="nil"/>
            </w:tcBorders>
            <w:shd w:val="clear" w:color="auto" w:fill="auto"/>
            <w:tcMar>
              <w:top w:w="80" w:type="dxa"/>
              <w:left w:w="80" w:type="dxa"/>
              <w:bottom w:w="80" w:type="dxa"/>
              <w:right w:w="80" w:type="dxa"/>
            </w:tcMar>
          </w:tcPr>
          <w:p w14:paraId="6BF81E84" w14:textId="77777777" w:rsidR="00B4314C" w:rsidRPr="00512804" w:rsidRDefault="0027755F">
            <w:pPr>
              <w:pStyle w:val="BodyA"/>
              <w:tabs>
                <w:tab w:val="left" w:pos="1440"/>
                <w:tab w:val="left" w:pos="2880"/>
              </w:tabs>
              <w:suppressAutoHyphens/>
              <w:spacing w:line="360" w:lineRule="auto"/>
              <w:jc w:val="both"/>
              <w:outlineLvl w:val="0"/>
            </w:pPr>
            <w:r w:rsidRPr="00512804">
              <w:rPr>
                <w:rFonts w:ascii="Book Antiqua" w:hAnsi="Book Antiqua"/>
              </w:rPr>
              <w:t>Good</w:t>
            </w:r>
          </w:p>
        </w:tc>
      </w:tr>
      <w:tr w:rsidR="00B4314C" w:rsidRPr="00512804" w14:paraId="3CC6952F" w14:textId="77777777">
        <w:trPr>
          <w:trHeight w:val="300"/>
        </w:trPr>
        <w:tc>
          <w:tcPr>
            <w:tcW w:w="3170" w:type="dxa"/>
            <w:tcBorders>
              <w:top w:val="nil"/>
              <w:left w:val="nil"/>
              <w:bottom w:val="nil"/>
              <w:right w:val="nil"/>
            </w:tcBorders>
            <w:shd w:val="clear" w:color="auto" w:fill="auto"/>
            <w:tcMar>
              <w:top w:w="80" w:type="dxa"/>
              <w:left w:w="80" w:type="dxa"/>
              <w:bottom w:w="80" w:type="dxa"/>
              <w:right w:w="80" w:type="dxa"/>
            </w:tcMar>
          </w:tcPr>
          <w:p w14:paraId="28EBEE5A" w14:textId="77777777" w:rsidR="00B4314C" w:rsidRPr="00512804" w:rsidRDefault="0027755F">
            <w:pPr>
              <w:pStyle w:val="BodyA"/>
              <w:tabs>
                <w:tab w:val="left" w:pos="1440"/>
                <w:tab w:val="left" w:pos="2880"/>
              </w:tabs>
              <w:suppressAutoHyphens/>
              <w:spacing w:after="240" w:line="360" w:lineRule="auto"/>
              <w:ind w:firstLine="240"/>
              <w:jc w:val="both"/>
              <w:outlineLvl w:val="0"/>
            </w:pPr>
            <w:r w:rsidRPr="00512804">
              <w:rPr>
                <w:rFonts w:ascii="Book Antiqua" w:hAnsi="Book Antiqua"/>
              </w:rPr>
              <w:t>Meningoencephaltis</w:t>
            </w:r>
          </w:p>
        </w:tc>
        <w:tc>
          <w:tcPr>
            <w:tcW w:w="3170" w:type="dxa"/>
            <w:tcBorders>
              <w:top w:val="nil"/>
              <w:left w:val="nil"/>
              <w:bottom w:val="nil"/>
              <w:right w:val="nil"/>
            </w:tcBorders>
            <w:shd w:val="clear" w:color="auto" w:fill="auto"/>
            <w:tcMar>
              <w:top w:w="80" w:type="dxa"/>
              <w:left w:w="80" w:type="dxa"/>
              <w:bottom w:w="80" w:type="dxa"/>
              <w:right w:w="80" w:type="dxa"/>
            </w:tcMar>
          </w:tcPr>
          <w:p w14:paraId="7E23C32A" w14:textId="77777777" w:rsidR="00B4314C" w:rsidRPr="00512804" w:rsidRDefault="0027755F">
            <w:pPr>
              <w:pStyle w:val="BodyA"/>
              <w:tabs>
                <w:tab w:val="left" w:pos="1440"/>
                <w:tab w:val="left" w:pos="2880"/>
              </w:tabs>
              <w:suppressAutoHyphens/>
              <w:spacing w:line="360" w:lineRule="auto"/>
              <w:jc w:val="both"/>
              <w:outlineLvl w:val="0"/>
            </w:pPr>
            <w:r w:rsidRPr="00512804">
              <w:rPr>
                <w:rFonts w:ascii="Book Antiqua" w:hAnsi="Book Antiqua"/>
              </w:rPr>
              <w:t>Very probable</w:t>
            </w:r>
          </w:p>
        </w:tc>
        <w:tc>
          <w:tcPr>
            <w:tcW w:w="3170" w:type="dxa"/>
            <w:tcBorders>
              <w:top w:val="nil"/>
              <w:left w:val="nil"/>
              <w:bottom w:val="nil"/>
              <w:right w:val="nil"/>
            </w:tcBorders>
            <w:shd w:val="clear" w:color="auto" w:fill="auto"/>
            <w:tcMar>
              <w:top w:w="80" w:type="dxa"/>
              <w:left w:w="80" w:type="dxa"/>
              <w:bottom w:w="80" w:type="dxa"/>
              <w:right w:w="80" w:type="dxa"/>
            </w:tcMar>
          </w:tcPr>
          <w:p w14:paraId="3D03259C" w14:textId="77777777" w:rsidR="00B4314C" w:rsidRPr="00512804" w:rsidRDefault="0027755F">
            <w:pPr>
              <w:pStyle w:val="BodyA"/>
              <w:tabs>
                <w:tab w:val="left" w:pos="1440"/>
                <w:tab w:val="left" w:pos="2880"/>
              </w:tabs>
              <w:suppressAutoHyphens/>
              <w:spacing w:line="360" w:lineRule="auto"/>
              <w:jc w:val="both"/>
              <w:outlineLvl w:val="0"/>
            </w:pPr>
            <w:r w:rsidRPr="00512804">
              <w:rPr>
                <w:rFonts w:ascii="Book Antiqua" w:hAnsi="Book Antiqua"/>
              </w:rPr>
              <w:t>Good</w:t>
            </w:r>
          </w:p>
        </w:tc>
      </w:tr>
      <w:tr w:rsidR="00B4314C" w:rsidRPr="00512804" w14:paraId="702D55AF" w14:textId="77777777">
        <w:trPr>
          <w:trHeight w:val="300"/>
        </w:trPr>
        <w:tc>
          <w:tcPr>
            <w:tcW w:w="3170" w:type="dxa"/>
            <w:tcBorders>
              <w:top w:val="nil"/>
              <w:left w:val="nil"/>
              <w:bottom w:val="nil"/>
              <w:right w:val="nil"/>
            </w:tcBorders>
            <w:shd w:val="clear" w:color="auto" w:fill="auto"/>
            <w:tcMar>
              <w:top w:w="80" w:type="dxa"/>
              <w:left w:w="80" w:type="dxa"/>
              <w:bottom w:w="80" w:type="dxa"/>
              <w:right w:w="80" w:type="dxa"/>
            </w:tcMar>
          </w:tcPr>
          <w:p w14:paraId="2955F8CD" w14:textId="77777777" w:rsidR="00B4314C" w:rsidRPr="00512804" w:rsidRDefault="0027755F">
            <w:pPr>
              <w:pStyle w:val="BodyA"/>
              <w:tabs>
                <w:tab w:val="left" w:pos="1440"/>
                <w:tab w:val="left" w:pos="2880"/>
              </w:tabs>
              <w:suppressAutoHyphens/>
              <w:spacing w:after="240" w:line="360" w:lineRule="auto"/>
              <w:ind w:firstLine="240"/>
              <w:jc w:val="both"/>
              <w:outlineLvl w:val="0"/>
            </w:pPr>
            <w:r w:rsidRPr="00512804">
              <w:rPr>
                <w:rFonts w:ascii="Book Antiqua" w:hAnsi="Book Antiqua"/>
              </w:rPr>
              <w:t>Others</w:t>
            </w:r>
            <w:r w:rsidRPr="00512804">
              <w:rPr>
                <w:rFonts w:ascii="Book Antiqua" w:hAnsi="Book Antiqua"/>
                <w:vertAlign w:val="superscript"/>
              </w:rPr>
              <w:t>1</w:t>
            </w:r>
          </w:p>
        </w:tc>
        <w:tc>
          <w:tcPr>
            <w:tcW w:w="3170" w:type="dxa"/>
            <w:tcBorders>
              <w:top w:val="nil"/>
              <w:left w:val="nil"/>
              <w:bottom w:val="nil"/>
              <w:right w:val="nil"/>
            </w:tcBorders>
            <w:shd w:val="clear" w:color="auto" w:fill="auto"/>
            <w:tcMar>
              <w:top w:w="80" w:type="dxa"/>
              <w:left w:w="80" w:type="dxa"/>
              <w:bottom w:w="80" w:type="dxa"/>
              <w:right w:w="80" w:type="dxa"/>
            </w:tcMar>
          </w:tcPr>
          <w:p w14:paraId="6236AA4F" w14:textId="77777777" w:rsidR="00B4314C" w:rsidRPr="00512804" w:rsidRDefault="0027755F">
            <w:pPr>
              <w:pStyle w:val="BodyA"/>
              <w:tabs>
                <w:tab w:val="left" w:pos="1440"/>
                <w:tab w:val="left" w:pos="2880"/>
              </w:tabs>
              <w:suppressAutoHyphens/>
              <w:spacing w:line="360" w:lineRule="auto"/>
              <w:jc w:val="both"/>
              <w:outlineLvl w:val="0"/>
            </w:pPr>
            <w:r w:rsidRPr="00512804">
              <w:rPr>
                <w:rFonts w:ascii="Book Antiqua" w:hAnsi="Book Antiqua"/>
              </w:rPr>
              <w:t>Possible/under debate</w:t>
            </w:r>
          </w:p>
        </w:tc>
        <w:tc>
          <w:tcPr>
            <w:tcW w:w="3170" w:type="dxa"/>
            <w:tcBorders>
              <w:top w:val="nil"/>
              <w:left w:val="nil"/>
              <w:bottom w:val="nil"/>
              <w:right w:val="nil"/>
            </w:tcBorders>
            <w:shd w:val="clear" w:color="auto" w:fill="auto"/>
            <w:tcMar>
              <w:top w:w="80" w:type="dxa"/>
              <w:left w:w="80" w:type="dxa"/>
              <w:bottom w:w="80" w:type="dxa"/>
              <w:right w:w="80" w:type="dxa"/>
            </w:tcMar>
          </w:tcPr>
          <w:p w14:paraId="663090BB" w14:textId="77777777" w:rsidR="00B4314C" w:rsidRPr="00512804" w:rsidRDefault="0027755F">
            <w:pPr>
              <w:pStyle w:val="BodyA"/>
              <w:tabs>
                <w:tab w:val="left" w:pos="1440"/>
                <w:tab w:val="left" w:pos="2880"/>
              </w:tabs>
              <w:suppressAutoHyphens/>
              <w:spacing w:line="360" w:lineRule="auto"/>
              <w:jc w:val="both"/>
              <w:outlineLvl w:val="0"/>
            </w:pPr>
            <w:r w:rsidRPr="00512804">
              <w:rPr>
                <w:rFonts w:ascii="Book Antiqua" w:hAnsi="Book Antiqua"/>
              </w:rPr>
              <w:t>Remains to be established</w:t>
            </w:r>
          </w:p>
        </w:tc>
      </w:tr>
      <w:tr w:rsidR="00B4314C" w:rsidRPr="00512804" w14:paraId="691AAA0E" w14:textId="77777777">
        <w:trPr>
          <w:trHeight w:val="310"/>
        </w:trPr>
        <w:tc>
          <w:tcPr>
            <w:tcW w:w="3170" w:type="dxa"/>
            <w:tcBorders>
              <w:top w:val="nil"/>
              <w:left w:val="nil"/>
              <w:bottom w:val="nil"/>
              <w:right w:val="nil"/>
            </w:tcBorders>
            <w:shd w:val="clear" w:color="auto" w:fill="auto"/>
            <w:tcMar>
              <w:top w:w="80" w:type="dxa"/>
              <w:left w:w="80" w:type="dxa"/>
              <w:bottom w:w="80" w:type="dxa"/>
              <w:right w:w="80" w:type="dxa"/>
            </w:tcMar>
          </w:tcPr>
          <w:p w14:paraId="163D0F2A" w14:textId="77777777" w:rsidR="00B4314C" w:rsidRPr="00512804" w:rsidRDefault="0027755F">
            <w:pPr>
              <w:pStyle w:val="Default"/>
              <w:suppressAutoHyphens w:val="0"/>
              <w:spacing w:after="240" w:line="360" w:lineRule="auto"/>
              <w:jc w:val="both"/>
            </w:pPr>
            <w:r w:rsidRPr="00512804">
              <w:rPr>
                <w:rFonts w:ascii="Book Antiqua" w:hAnsi="Book Antiqua"/>
                <w:sz w:val="24"/>
                <w:szCs w:val="24"/>
              </w:rPr>
              <w:t>Kidney disorders</w:t>
            </w:r>
          </w:p>
        </w:tc>
        <w:tc>
          <w:tcPr>
            <w:tcW w:w="3170" w:type="dxa"/>
            <w:tcBorders>
              <w:top w:val="nil"/>
              <w:left w:val="nil"/>
              <w:bottom w:val="nil"/>
              <w:right w:val="nil"/>
            </w:tcBorders>
            <w:shd w:val="clear" w:color="auto" w:fill="auto"/>
            <w:tcMar>
              <w:top w:w="80" w:type="dxa"/>
              <w:left w:w="80" w:type="dxa"/>
              <w:bottom w:w="80" w:type="dxa"/>
              <w:right w:w="80" w:type="dxa"/>
            </w:tcMar>
          </w:tcPr>
          <w:p w14:paraId="3F7B8A03" w14:textId="77777777" w:rsidR="00B4314C" w:rsidRPr="00512804" w:rsidRDefault="00B4314C"/>
        </w:tc>
        <w:tc>
          <w:tcPr>
            <w:tcW w:w="3170" w:type="dxa"/>
            <w:tcBorders>
              <w:top w:val="nil"/>
              <w:left w:val="nil"/>
              <w:bottom w:val="nil"/>
              <w:right w:val="nil"/>
            </w:tcBorders>
            <w:shd w:val="clear" w:color="auto" w:fill="auto"/>
            <w:tcMar>
              <w:top w:w="80" w:type="dxa"/>
              <w:left w:w="80" w:type="dxa"/>
              <w:bottom w:w="80" w:type="dxa"/>
              <w:right w:w="80" w:type="dxa"/>
            </w:tcMar>
          </w:tcPr>
          <w:p w14:paraId="016A6112" w14:textId="77777777" w:rsidR="00B4314C" w:rsidRPr="00512804" w:rsidRDefault="00B4314C"/>
        </w:tc>
      </w:tr>
      <w:tr w:rsidR="00B4314C" w:rsidRPr="00512804" w14:paraId="404E5EEC" w14:textId="77777777">
        <w:trPr>
          <w:trHeight w:val="720"/>
        </w:trPr>
        <w:tc>
          <w:tcPr>
            <w:tcW w:w="3170" w:type="dxa"/>
            <w:tcBorders>
              <w:top w:val="nil"/>
              <w:left w:val="nil"/>
              <w:bottom w:val="nil"/>
              <w:right w:val="nil"/>
            </w:tcBorders>
            <w:shd w:val="clear" w:color="auto" w:fill="auto"/>
            <w:tcMar>
              <w:top w:w="80" w:type="dxa"/>
              <w:left w:w="80" w:type="dxa"/>
              <w:bottom w:w="80" w:type="dxa"/>
              <w:right w:w="80" w:type="dxa"/>
            </w:tcMar>
          </w:tcPr>
          <w:p w14:paraId="3EFAD5F8" w14:textId="77777777" w:rsidR="00B4314C" w:rsidRPr="00512804" w:rsidRDefault="0027755F">
            <w:pPr>
              <w:pStyle w:val="Default"/>
              <w:suppressAutoHyphens w:val="0"/>
              <w:spacing w:after="240" w:line="360" w:lineRule="auto"/>
              <w:ind w:firstLine="240"/>
              <w:jc w:val="both"/>
            </w:pPr>
            <w:r w:rsidRPr="00512804">
              <w:rPr>
                <w:rFonts w:ascii="Book Antiqua" w:hAnsi="Book Antiqua"/>
                <w:sz w:val="24"/>
                <w:szCs w:val="24"/>
              </w:rPr>
              <w:t>Membranoproliferative glomerulonephritis</w:t>
            </w:r>
          </w:p>
        </w:tc>
        <w:tc>
          <w:tcPr>
            <w:tcW w:w="3170" w:type="dxa"/>
            <w:tcBorders>
              <w:top w:val="nil"/>
              <w:left w:val="nil"/>
              <w:bottom w:val="nil"/>
              <w:right w:val="nil"/>
            </w:tcBorders>
            <w:shd w:val="clear" w:color="auto" w:fill="auto"/>
            <w:tcMar>
              <w:top w:w="80" w:type="dxa"/>
              <w:left w:w="80" w:type="dxa"/>
              <w:bottom w:w="80" w:type="dxa"/>
              <w:right w:w="80" w:type="dxa"/>
            </w:tcMar>
          </w:tcPr>
          <w:p w14:paraId="37EF6C34" w14:textId="77777777" w:rsidR="00B4314C" w:rsidRPr="00512804" w:rsidRDefault="0027755F">
            <w:pPr>
              <w:pStyle w:val="BodyA"/>
              <w:tabs>
                <w:tab w:val="left" w:pos="1440"/>
                <w:tab w:val="left" w:pos="2880"/>
              </w:tabs>
              <w:suppressAutoHyphens/>
              <w:spacing w:line="360" w:lineRule="auto"/>
              <w:jc w:val="both"/>
              <w:outlineLvl w:val="0"/>
            </w:pPr>
            <w:r w:rsidRPr="00512804">
              <w:rPr>
                <w:rFonts w:ascii="Book Antiqua" w:hAnsi="Book Antiqua"/>
              </w:rPr>
              <w:t>Very probable</w:t>
            </w:r>
          </w:p>
        </w:tc>
        <w:tc>
          <w:tcPr>
            <w:tcW w:w="3170" w:type="dxa"/>
            <w:tcBorders>
              <w:top w:val="nil"/>
              <w:left w:val="nil"/>
              <w:bottom w:val="nil"/>
              <w:right w:val="nil"/>
            </w:tcBorders>
            <w:shd w:val="clear" w:color="auto" w:fill="auto"/>
            <w:tcMar>
              <w:top w:w="80" w:type="dxa"/>
              <w:left w:w="80" w:type="dxa"/>
              <w:bottom w:w="80" w:type="dxa"/>
              <w:right w:w="80" w:type="dxa"/>
            </w:tcMar>
          </w:tcPr>
          <w:p w14:paraId="7716C9F3" w14:textId="77777777" w:rsidR="00B4314C" w:rsidRPr="00512804" w:rsidRDefault="0027755F">
            <w:pPr>
              <w:pStyle w:val="BodyA"/>
              <w:tabs>
                <w:tab w:val="left" w:pos="1440"/>
                <w:tab w:val="left" w:pos="2880"/>
              </w:tabs>
              <w:suppressAutoHyphens/>
              <w:spacing w:line="360" w:lineRule="auto"/>
              <w:jc w:val="both"/>
              <w:outlineLvl w:val="0"/>
            </w:pPr>
            <w:r w:rsidRPr="00512804">
              <w:rPr>
                <w:rFonts w:ascii="Book Antiqua" w:hAnsi="Book Antiqua"/>
              </w:rPr>
              <w:t>Good</w:t>
            </w:r>
          </w:p>
        </w:tc>
      </w:tr>
      <w:tr w:rsidR="00B4314C" w:rsidRPr="00512804" w14:paraId="31D682F9" w14:textId="77777777">
        <w:trPr>
          <w:trHeight w:val="720"/>
        </w:trPr>
        <w:tc>
          <w:tcPr>
            <w:tcW w:w="3170" w:type="dxa"/>
            <w:tcBorders>
              <w:top w:val="nil"/>
              <w:left w:val="nil"/>
              <w:bottom w:val="nil"/>
              <w:right w:val="nil"/>
            </w:tcBorders>
            <w:shd w:val="clear" w:color="auto" w:fill="auto"/>
            <w:tcMar>
              <w:top w:w="80" w:type="dxa"/>
              <w:left w:w="80" w:type="dxa"/>
              <w:bottom w:w="80" w:type="dxa"/>
              <w:right w:w="80" w:type="dxa"/>
            </w:tcMar>
          </w:tcPr>
          <w:p w14:paraId="199C5017" w14:textId="77777777" w:rsidR="00B4314C" w:rsidRPr="00512804" w:rsidRDefault="0027755F">
            <w:pPr>
              <w:pStyle w:val="Default"/>
              <w:suppressAutoHyphens w:val="0"/>
              <w:spacing w:after="240" w:line="360" w:lineRule="auto"/>
              <w:ind w:firstLine="240"/>
              <w:jc w:val="both"/>
            </w:pPr>
            <w:r w:rsidRPr="00512804">
              <w:rPr>
                <w:rFonts w:ascii="Book Antiqua" w:hAnsi="Book Antiqua"/>
                <w:sz w:val="24"/>
                <w:szCs w:val="24"/>
              </w:rPr>
              <w:t>Membranous glomerul</w:t>
            </w:r>
            <w:r w:rsidRPr="00512804">
              <w:rPr>
                <w:rFonts w:ascii="Book Antiqua" w:hAnsi="Book Antiqua"/>
                <w:sz w:val="24"/>
                <w:szCs w:val="24"/>
              </w:rPr>
              <w:t>o</w:t>
            </w:r>
            <w:r w:rsidRPr="00512804">
              <w:rPr>
                <w:rFonts w:ascii="Book Antiqua" w:hAnsi="Book Antiqua"/>
                <w:sz w:val="24"/>
                <w:szCs w:val="24"/>
              </w:rPr>
              <w:t>nephritis</w:t>
            </w:r>
          </w:p>
        </w:tc>
        <w:tc>
          <w:tcPr>
            <w:tcW w:w="3170" w:type="dxa"/>
            <w:tcBorders>
              <w:top w:val="nil"/>
              <w:left w:val="nil"/>
              <w:bottom w:val="nil"/>
              <w:right w:val="nil"/>
            </w:tcBorders>
            <w:shd w:val="clear" w:color="auto" w:fill="auto"/>
            <w:tcMar>
              <w:top w:w="80" w:type="dxa"/>
              <w:left w:w="80" w:type="dxa"/>
              <w:bottom w:w="80" w:type="dxa"/>
              <w:right w:w="80" w:type="dxa"/>
            </w:tcMar>
          </w:tcPr>
          <w:p w14:paraId="1CB9395B" w14:textId="77777777" w:rsidR="00B4314C" w:rsidRPr="00512804" w:rsidRDefault="0027755F">
            <w:pPr>
              <w:pStyle w:val="BodyA"/>
              <w:tabs>
                <w:tab w:val="left" w:pos="1440"/>
                <w:tab w:val="left" w:pos="2880"/>
              </w:tabs>
              <w:suppressAutoHyphens/>
              <w:spacing w:line="360" w:lineRule="auto"/>
              <w:jc w:val="both"/>
              <w:outlineLvl w:val="0"/>
            </w:pPr>
            <w:r w:rsidRPr="00512804">
              <w:rPr>
                <w:rFonts w:ascii="Book Antiqua" w:hAnsi="Book Antiqua"/>
              </w:rPr>
              <w:t>Very probable</w:t>
            </w:r>
          </w:p>
        </w:tc>
        <w:tc>
          <w:tcPr>
            <w:tcW w:w="3170" w:type="dxa"/>
            <w:tcBorders>
              <w:top w:val="nil"/>
              <w:left w:val="nil"/>
              <w:bottom w:val="nil"/>
              <w:right w:val="nil"/>
            </w:tcBorders>
            <w:shd w:val="clear" w:color="auto" w:fill="auto"/>
            <w:tcMar>
              <w:top w:w="80" w:type="dxa"/>
              <w:left w:w="80" w:type="dxa"/>
              <w:bottom w:w="80" w:type="dxa"/>
              <w:right w:w="80" w:type="dxa"/>
            </w:tcMar>
          </w:tcPr>
          <w:p w14:paraId="08DA17FA" w14:textId="77777777" w:rsidR="00B4314C" w:rsidRPr="00512804" w:rsidRDefault="0027755F">
            <w:pPr>
              <w:pStyle w:val="BodyA"/>
              <w:tabs>
                <w:tab w:val="left" w:pos="1440"/>
                <w:tab w:val="left" w:pos="2880"/>
              </w:tabs>
              <w:suppressAutoHyphens/>
              <w:spacing w:line="360" w:lineRule="auto"/>
              <w:jc w:val="both"/>
              <w:outlineLvl w:val="0"/>
            </w:pPr>
            <w:r w:rsidRPr="00512804">
              <w:rPr>
                <w:rFonts w:ascii="Book Antiqua" w:hAnsi="Book Antiqua"/>
              </w:rPr>
              <w:t>Good</w:t>
            </w:r>
          </w:p>
        </w:tc>
      </w:tr>
      <w:tr w:rsidR="00B4314C" w:rsidRPr="00512804" w14:paraId="421EA162" w14:textId="77777777">
        <w:trPr>
          <w:trHeight w:val="300"/>
        </w:trPr>
        <w:tc>
          <w:tcPr>
            <w:tcW w:w="3170" w:type="dxa"/>
            <w:tcBorders>
              <w:top w:val="nil"/>
              <w:left w:val="nil"/>
              <w:bottom w:val="nil"/>
              <w:right w:val="nil"/>
            </w:tcBorders>
            <w:shd w:val="clear" w:color="auto" w:fill="auto"/>
            <w:tcMar>
              <w:top w:w="80" w:type="dxa"/>
              <w:left w:w="80" w:type="dxa"/>
              <w:bottom w:w="80" w:type="dxa"/>
              <w:right w:w="80" w:type="dxa"/>
            </w:tcMar>
          </w:tcPr>
          <w:p w14:paraId="0D6B6A4B" w14:textId="77777777" w:rsidR="00B4314C" w:rsidRPr="00512804" w:rsidRDefault="0027755F">
            <w:pPr>
              <w:pStyle w:val="Default"/>
              <w:suppressAutoHyphens w:val="0"/>
              <w:spacing w:after="240" w:line="360" w:lineRule="auto"/>
              <w:ind w:firstLine="240"/>
              <w:jc w:val="both"/>
            </w:pPr>
            <w:r w:rsidRPr="00512804">
              <w:rPr>
                <w:rFonts w:ascii="Book Antiqua" w:hAnsi="Book Antiqua"/>
                <w:sz w:val="24"/>
                <w:szCs w:val="24"/>
              </w:rPr>
              <w:t>IgA nephropathy</w:t>
            </w:r>
          </w:p>
        </w:tc>
        <w:tc>
          <w:tcPr>
            <w:tcW w:w="3170" w:type="dxa"/>
            <w:tcBorders>
              <w:top w:val="nil"/>
              <w:left w:val="nil"/>
              <w:bottom w:val="nil"/>
              <w:right w:val="nil"/>
            </w:tcBorders>
            <w:shd w:val="clear" w:color="auto" w:fill="auto"/>
            <w:tcMar>
              <w:top w:w="80" w:type="dxa"/>
              <w:left w:w="80" w:type="dxa"/>
              <w:bottom w:w="80" w:type="dxa"/>
              <w:right w:w="80" w:type="dxa"/>
            </w:tcMar>
          </w:tcPr>
          <w:p w14:paraId="6CD97EEF" w14:textId="77777777" w:rsidR="00B4314C" w:rsidRPr="00512804" w:rsidRDefault="0027755F">
            <w:pPr>
              <w:pStyle w:val="BodyA"/>
              <w:tabs>
                <w:tab w:val="left" w:pos="1440"/>
                <w:tab w:val="left" w:pos="2880"/>
              </w:tabs>
              <w:suppressAutoHyphens/>
              <w:spacing w:line="360" w:lineRule="auto"/>
              <w:jc w:val="both"/>
              <w:outlineLvl w:val="0"/>
            </w:pPr>
            <w:r w:rsidRPr="00512804">
              <w:rPr>
                <w:rFonts w:ascii="Book Antiqua" w:hAnsi="Book Antiqua"/>
              </w:rPr>
              <w:t>Very probable</w:t>
            </w:r>
          </w:p>
        </w:tc>
        <w:tc>
          <w:tcPr>
            <w:tcW w:w="3170" w:type="dxa"/>
            <w:tcBorders>
              <w:top w:val="nil"/>
              <w:left w:val="nil"/>
              <w:bottom w:val="nil"/>
              <w:right w:val="nil"/>
            </w:tcBorders>
            <w:shd w:val="clear" w:color="auto" w:fill="auto"/>
            <w:tcMar>
              <w:top w:w="80" w:type="dxa"/>
              <w:left w:w="80" w:type="dxa"/>
              <w:bottom w:w="80" w:type="dxa"/>
              <w:right w:w="80" w:type="dxa"/>
            </w:tcMar>
          </w:tcPr>
          <w:p w14:paraId="6EE77FCC" w14:textId="77777777" w:rsidR="00B4314C" w:rsidRPr="00512804" w:rsidRDefault="0027755F">
            <w:pPr>
              <w:pStyle w:val="BodyA"/>
              <w:tabs>
                <w:tab w:val="left" w:pos="1440"/>
                <w:tab w:val="left" w:pos="2880"/>
              </w:tabs>
              <w:suppressAutoHyphens/>
              <w:spacing w:line="360" w:lineRule="auto"/>
              <w:jc w:val="both"/>
              <w:outlineLvl w:val="0"/>
            </w:pPr>
            <w:r w:rsidRPr="00512804">
              <w:rPr>
                <w:rFonts w:ascii="Book Antiqua" w:hAnsi="Book Antiqua"/>
              </w:rPr>
              <w:t>Good</w:t>
            </w:r>
          </w:p>
        </w:tc>
      </w:tr>
      <w:tr w:rsidR="00B4314C" w:rsidRPr="00512804" w14:paraId="68860D0F" w14:textId="77777777">
        <w:trPr>
          <w:trHeight w:val="310"/>
        </w:trPr>
        <w:tc>
          <w:tcPr>
            <w:tcW w:w="3170" w:type="dxa"/>
            <w:tcBorders>
              <w:top w:val="nil"/>
              <w:left w:val="nil"/>
              <w:bottom w:val="nil"/>
              <w:right w:val="nil"/>
            </w:tcBorders>
            <w:shd w:val="clear" w:color="auto" w:fill="auto"/>
            <w:tcMar>
              <w:top w:w="80" w:type="dxa"/>
              <w:left w:w="80" w:type="dxa"/>
              <w:bottom w:w="80" w:type="dxa"/>
              <w:right w:w="80" w:type="dxa"/>
            </w:tcMar>
          </w:tcPr>
          <w:p w14:paraId="2C21F236" w14:textId="77777777" w:rsidR="00B4314C" w:rsidRPr="00512804" w:rsidRDefault="0027755F">
            <w:pPr>
              <w:pStyle w:val="Default"/>
              <w:suppressAutoHyphens w:val="0"/>
              <w:spacing w:after="240" w:line="360" w:lineRule="auto"/>
              <w:jc w:val="both"/>
            </w:pPr>
            <w:r w:rsidRPr="00512804">
              <w:rPr>
                <w:rFonts w:ascii="Book Antiqua" w:hAnsi="Book Antiqua"/>
                <w:sz w:val="24"/>
                <w:szCs w:val="24"/>
              </w:rPr>
              <w:t>Gastrointestinal disorder</w:t>
            </w:r>
          </w:p>
        </w:tc>
        <w:tc>
          <w:tcPr>
            <w:tcW w:w="3170" w:type="dxa"/>
            <w:tcBorders>
              <w:top w:val="nil"/>
              <w:left w:val="nil"/>
              <w:bottom w:val="nil"/>
              <w:right w:val="nil"/>
            </w:tcBorders>
            <w:shd w:val="clear" w:color="auto" w:fill="auto"/>
            <w:tcMar>
              <w:top w:w="80" w:type="dxa"/>
              <w:left w:w="80" w:type="dxa"/>
              <w:bottom w:w="80" w:type="dxa"/>
              <w:right w:w="80" w:type="dxa"/>
            </w:tcMar>
          </w:tcPr>
          <w:p w14:paraId="2D55D1A4" w14:textId="77777777" w:rsidR="00B4314C" w:rsidRPr="00512804" w:rsidRDefault="00B4314C"/>
        </w:tc>
        <w:tc>
          <w:tcPr>
            <w:tcW w:w="3170" w:type="dxa"/>
            <w:tcBorders>
              <w:top w:val="nil"/>
              <w:left w:val="nil"/>
              <w:bottom w:val="nil"/>
              <w:right w:val="nil"/>
            </w:tcBorders>
            <w:shd w:val="clear" w:color="auto" w:fill="auto"/>
            <w:tcMar>
              <w:top w:w="80" w:type="dxa"/>
              <w:left w:w="80" w:type="dxa"/>
              <w:bottom w:w="80" w:type="dxa"/>
              <w:right w:w="80" w:type="dxa"/>
            </w:tcMar>
          </w:tcPr>
          <w:p w14:paraId="50585A1E" w14:textId="77777777" w:rsidR="00B4314C" w:rsidRPr="00512804" w:rsidRDefault="00B4314C"/>
        </w:tc>
      </w:tr>
      <w:tr w:rsidR="00B4314C" w:rsidRPr="00512804" w14:paraId="1FAF3284" w14:textId="77777777">
        <w:trPr>
          <w:trHeight w:val="300"/>
        </w:trPr>
        <w:tc>
          <w:tcPr>
            <w:tcW w:w="3170" w:type="dxa"/>
            <w:tcBorders>
              <w:top w:val="nil"/>
              <w:left w:val="nil"/>
              <w:bottom w:val="nil"/>
              <w:right w:val="nil"/>
            </w:tcBorders>
            <w:shd w:val="clear" w:color="auto" w:fill="auto"/>
            <w:tcMar>
              <w:top w:w="80" w:type="dxa"/>
              <w:left w:w="80" w:type="dxa"/>
              <w:bottom w:w="80" w:type="dxa"/>
              <w:right w:w="80" w:type="dxa"/>
            </w:tcMar>
          </w:tcPr>
          <w:p w14:paraId="79AFE252" w14:textId="77777777" w:rsidR="00B4314C" w:rsidRPr="00512804" w:rsidRDefault="0027755F">
            <w:pPr>
              <w:pStyle w:val="Default"/>
              <w:suppressAutoHyphens w:val="0"/>
              <w:spacing w:after="240" w:line="360" w:lineRule="auto"/>
              <w:ind w:firstLine="240"/>
              <w:jc w:val="both"/>
            </w:pPr>
            <w:r w:rsidRPr="00512804">
              <w:rPr>
                <w:rFonts w:ascii="Book Antiqua" w:hAnsi="Book Antiqua"/>
                <w:sz w:val="24"/>
                <w:szCs w:val="24"/>
              </w:rPr>
              <w:t>Acute pancreatitis</w:t>
            </w:r>
          </w:p>
        </w:tc>
        <w:tc>
          <w:tcPr>
            <w:tcW w:w="3170" w:type="dxa"/>
            <w:tcBorders>
              <w:top w:val="nil"/>
              <w:left w:val="nil"/>
              <w:bottom w:val="nil"/>
              <w:right w:val="nil"/>
            </w:tcBorders>
            <w:shd w:val="clear" w:color="auto" w:fill="auto"/>
            <w:tcMar>
              <w:top w:w="80" w:type="dxa"/>
              <w:left w:w="80" w:type="dxa"/>
              <w:bottom w:w="80" w:type="dxa"/>
              <w:right w:w="80" w:type="dxa"/>
            </w:tcMar>
          </w:tcPr>
          <w:p w14:paraId="6B8A56E0" w14:textId="77777777" w:rsidR="00B4314C" w:rsidRPr="00512804" w:rsidRDefault="0027755F">
            <w:pPr>
              <w:pStyle w:val="BodyA"/>
              <w:tabs>
                <w:tab w:val="left" w:pos="1440"/>
                <w:tab w:val="left" w:pos="2880"/>
              </w:tabs>
              <w:suppressAutoHyphens/>
              <w:spacing w:line="360" w:lineRule="auto"/>
              <w:jc w:val="both"/>
              <w:outlineLvl w:val="0"/>
            </w:pPr>
            <w:r w:rsidRPr="00512804">
              <w:rPr>
                <w:rFonts w:ascii="Book Antiqua" w:hAnsi="Book Antiqua"/>
              </w:rPr>
              <w:t>Very probable</w:t>
            </w:r>
          </w:p>
        </w:tc>
        <w:tc>
          <w:tcPr>
            <w:tcW w:w="3170" w:type="dxa"/>
            <w:tcBorders>
              <w:top w:val="nil"/>
              <w:left w:val="nil"/>
              <w:bottom w:val="nil"/>
              <w:right w:val="nil"/>
            </w:tcBorders>
            <w:shd w:val="clear" w:color="auto" w:fill="auto"/>
            <w:tcMar>
              <w:top w:w="80" w:type="dxa"/>
              <w:left w:w="80" w:type="dxa"/>
              <w:bottom w:w="80" w:type="dxa"/>
              <w:right w:w="80" w:type="dxa"/>
            </w:tcMar>
          </w:tcPr>
          <w:p w14:paraId="3533CF94" w14:textId="77777777" w:rsidR="00B4314C" w:rsidRPr="00512804" w:rsidRDefault="0027755F">
            <w:pPr>
              <w:pStyle w:val="BodyA"/>
              <w:tabs>
                <w:tab w:val="left" w:pos="1440"/>
                <w:tab w:val="left" w:pos="2880"/>
              </w:tabs>
              <w:suppressAutoHyphens/>
              <w:spacing w:line="360" w:lineRule="auto"/>
              <w:jc w:val="both"/>
              <w:outlineLvl w:val="0"/>
            </w:pPr>
            <w:r w:rsidRPr="00512804">
              <w:rPr>
                <w:rFonts w:ascii="Book Antiqua" w:hAnsi="Book Antiqua"/>
              </w:rPr>
              <w:t>Remains to be established</w:t>
            </w:r>
          </w:p>
        </w:tc>
      </w:tr>
      <w:tr w:rsidR="00B4314C" w:rsidRPr="00512804" w14:paraId="5BFCA863" w14:textId="77777777">
        <w:trPr>
          <w:trHeight w:val="310"/>
        </w:trPr>
        <w:tc>
          <w:tcPr>
            <w:tcW w:w="3170" w:type="dxa"/>
            <w:tcBorders>
              <w:top w:val="nil"/>
              <w:left w:val="nil"/>
              <w:bottom w:val="nil"/>
              <w:right w:val="nil"/>
            </w:tcBorders>
            <w:shd w:val="clear" w:color="auto" w:fill="auto"/>
            <w:tcMar>
              <w:top w:w="80" w:type="dxa"/>
              <w:left w:w="80" w:type="dxa"/>
              <w:bottom w:w="80" w:type="dxa"/>
              <w:right w:w="80" w:type="dxa"/>
            </w:tcMar>
          </w:tcPr>
          <w:p w14:paraId="1F31ABF3" w14:textId="77777777" w:rsidR="00B4314C" w:rsidRPr="00512804" w:rsidRDefault="0027755F">
            <w:pPr>
              <w:pStyle w:val="Default"/>
              <w:suppressAutoHyphens w:val="0"/>
              <w:spacing w:after="240" w:line="360" w:lineRule="auto"/>
              <w:jc w:val="both"/>
            </w:pPr>
            <w:r w:rsidRPr="00512804">
              <w:rPr>
                <w:rFonts w:ascii="Book Antiqua" w:hAnsi="Book Antiqua"/>
                <w:sz w:val="24"/>
                <w:szCs w:val="24"/>
              </w:rPr>
              <w:t>Hematological diseases</w:t>
            </w:r>
          </w:p>
        </w:tc>
        <w:tc>
          <w:tcPr>
            <w:tcW w:w="3170" w:type="dxa"/>
            <w:tcBorders>
              <w:top w:val="nil"/>
              <w:left w:val="nil"/>
              <w:bottom w:val="nil"/>
              <w:right w:val="nil"/>
            </w:tcBorders>
            <w:shd w:val="clear" w:color="auto" w:fill="auto"/>
            <w:tcMar>
              <w:top w:w="80" w:type="dxa"/>
              <w:left w:w="80" w:type="dxa"/>
              <w:bottom w:w="80" w:type="dxa"/>
              <w:right w:w="80" w:type="dxa"/>
            </w:tcMar>
          </w:tcPr>
          <w:p w14:paraId="4F9E5361" w14:textId="77777777" w:rsidR="00B4314C" w:rsidRPr="00512804" w:rsidRDefault="00B4314C"/>
        </w:tc>
        <w:tc>
          <w:tcPr>
            <w:tcW w:w="3170" w:type="dxa"/>
            <w:tcBorders>
              <w:top w:val="nil"/>
              <w:left w:val="nil"/>
              <w:bottom w:val="nil"/>
              <w:right w:val="nil"/>
            </w:tcBorders>
            <w:shd w:val="clear" w:color="auto" w:fill="auto"/>
            <w:tcMar>
              <w:top w:w="80" w:type="dxa"/>
              <w:left w:w="80" w:type="dxa"/>
              <w:bottom w:w="80" w:type="dxa"/>
              <w:right w:w="80" w:type="dxa"/>
            </w:tcMar>
          </w:tcPr>
          <w:p w14:paraId="07F1A2BC" w14:textId="77777777" w:rsidR="00B4314C" w:rsidRPr="00512804" w:rsidRDefault="00B4314C"/>
        </w:tc>
      </w:tr>
      <w:tr w:rsidR="00B4314C" w:rsidRPr="00512804" w14:paraId="126375BE" w14:textId="77777777">
        <w:trPr>
          <w:trHeight w:val="2400"/>
        </w:trPr>
        <w:tc>
          <w:tcPr>
            <w:tcW w:w="3170" w:type="dxa"/>
            <w:tcBorders>
              <w:top w:val="nil"/>
              <w:left w:val="nil"/>
              <w:bottom w:val="nil"/>
              <w:right w:val="nil"/>
            </w:tcBorders>
            <w:shd w:val="clear" w:color="auto" w:fill="auto"/>
            <w:tcMar>
              <w:top w:w="80" w:type="dxa"/>
              <w:left w:w="80" w:type="dxa"/>
              <w:bottom w:w="80" w:type="dxa"/>
              <w:right w:w="80" w:type="dxa"/>
            </w:tcMar>
          </w:tcPr>
          <w:p w14:paraId="06D4D09C" w14:textId="77777777" w:rsidR="00B4314C" w:rsidRPr="00512804" w:rsidRDefault="0027755F">
            <w:pPr>
              <w:pStyle w:val="BodyA"/>
              <w:tabs>
                <w:tab w:val="left" w:pos="1440"/>
                <w:tab w:val="left" w:pos="2880"/>
              </w:tabs>
              <w:suppressAutoHyphens/>
              <w:spacing w:line="360" w:lineRule="auto"/>
              <w:ind w:firstLine="240"/>
              <w:jc w:val="both"/>
              <w:outlineLvl w:val="0"/>
            </w:pPr>
            <w:r w:rsidRPr="00512804">
              <w:rPr>
                <w:rFonts w:ascii="Book Antiqua" w:hAnsi="Book Antiqua"/>
              </w:rPr>
              <w:t>Thrombocytopenia, monoclonal gammopathy of uncertain significance, Cryoglobulinemia, hemolytic anemia, aplastic anemia</w:t>
            </w:r>
          </w:p>
        </w:tc>
        <w:tc>
          <w:tcPr>
            <w:tcW w:w="3170" w:type="dxa"/>
            <w:tcBorders>
              <w:top w:val="nil"/>
              <w:left w:val="nil"/>
              <w:bottom w:val="nil"/>
              <w:right w:val="nil"/>
            </w:tcBorders>
            <w:shd w:val="clear" w:color="auto" w:fill="auto"/>
            <w:tcMar>
              <w:top w:w="80" w:type="dxa"/>
              <w:left w:w="80" w:type="dxa"/>
              <w:bottom w:w="80" w:type="dxa"/>
              <w:right w:w="80" w:type="dxa"/>
            </w:tcMar>
          </w:tcPr>
          <w:p w14:paraId="2D53A0B4" w14:textId="77777777" w:rsidR="00B4314C" w:rsidRPr="00512804" w:rsidRDefault="0027755F">
            <w:pPr>
              <w:pStyle w:val="BodyA"/>
              <w:tabs>
                <w:tab w:val="left" w:pos="1440"/>
                <w:tab w:val="left" w:pos="2880"/>
              </w:tabs>
              <w:suppressAutoHyphens/>
              <w:spacing w:line="360" w:lineRule="auto"/>
              <w:jc w:val="both"/>
              <w:outlineLvl w:val="0"/>
            </w:pPr>
            <w:r w:rsidRPr="00512804">
              <w:rPr>
                <w:rFonts w:ascii="Book Antiqua" w:hAnsi="Book Antiqua"/>
              </w:rPr>
              <w:t>Possible</w:t>
            </w:r>
          </w:p>
        </w:tc>
        <w:tc>
          <w:tcPr>
            <w:tcW w:w="3170" w:type="dxa"/>
            <w:tcBorders>
              <w:top w:val="nil"/>
              <w:left w:val="nil"/>
              <w:bottom w:val="nil"/>
              <w:right w:val="nil"/>
            </w:tcBorders>
            <w:shd w:val="clear" w:color="auto" w:fill="auto"/>
            <w:tcMar>
              <w:top w:w="80" w:type="dxa"/>
              <w:left w:w="80" w:type="dxa"/>
              <w:bottom w:w="80" w:type="dxa"/>
              <w:right w:w="80" w:type="dxa"/>
            </w:tcMar>
          </w:tcPr>
          <w:p w14:paraId="7C48DD6C" w14:textId="77777777" w:rsidR="00B4314C" w:rsidRPr="00512804" w:rsidRDefault="0027755F">
            <w:pPr>
              <w:pStyle w:val="BodyA"/>
              <w:tabs>
                <w:tab w:val="left" w:pos="1440"/>
                <w:tab w:val="left" w:pos="2880"/>
              </w:tabs>
              <w:suppressAutoHyphens/>
              <w:spacing w:line="360" w:lineRule="auto"/>
              <w:jc w:val="both"/>
              <w:outlineLvl w:val="0"/>
            </w:pPr>
            <w:r w:rsidRPr="00512804">
              <w:rPr>
                <w:rFonts w:ascii="Book Antiqua" w:hAnsi="Book Antiqua"/>
              </w:rPr>
              <w:t>Remains to be established</w:t>
            </w:r>
          </w:p>
        </w:tc>
      </w:tr>
      <w:tr w:rsidR="00B4314C" w:rsidRPr="00512804" w14:paraId="03ACB90F" w14:textId="77777777">
        <w:trPr>
          <w:trHeight w:val="715"/>
        </w:trPr>
        <w:tc>
          <w:tcPr>
            <w:tcW w:w="3170" w:type="dxa"/>
            <w:tcBorders>
              <w:top w:val="nil"/>
              <w:left w:val="nil"/>
              <w:bottom w:val="single" w:sz="4" w:space="0" w:color="000000"/>
              <w:right w:val="nil"/>
            </w:tcBorders>
            <w:shd w:val="clear" w:color="auto" w:fill="auto"/>
            <w:tcMar>
              <w:top w:w="80" w:type="dxa"/>
              <w:left w:w="80" w:type="dxa"/>
              <w:bottom w:w="80" w:type="dxa"/>
              <w:right w:w="80" w:type="dxa"/>
            </w:tcMar>
          </w:tcPr>
          <w:p w14:paraId="0CA8B718" w14:textId="77777777" w:rsidR="00B4314C" w:rsidRPr="00512804" w:rsidRDefault="0027755F">
            <w:pPr>
              <w:pStyle w:val="BodyA"/>
              <w:tabs>
                <w:tab w:val="left" w:pos="1440"/>
                <w:tab w:val="left" w:pos="2880"/>
              </w:tabs>
              <w:suppressAutoHyphens/>
              <w:spacing w:line="360" w:lineRule="auto"/>
              <w:ind w:firstLine="240"/>
              <w:jc w:val="both"/>
              <w:outlineLvl w:val="0"/>
            </w:pPr>
            <w:r w:rsidRPr="00512804">
              <w:rPr>
                <w:rFonts w:ascii="Book Antiqua" w:hAnsi="Book Antiqua"/>
              </w:rPr>
              <w:t>Autoimmune hepatitis, myocarditis, thyroiditis</w:t>
            </w:r>
          </w:p>
        </w:tc>
        <w:tc>
          <w:tcPr>
            <w:tcW w:w="3170" w:type="dxa"/>
            <w:tcBorders>
              <w:top w:val="nil"/>
              <w:left w:val="nil"/>
              <w:bottom w:val="single" w:sz="4" w:space="0" w:color="000000"/>
              <w:right w:val="nil"/>
            </w:tcBorders>
            <w:shd w:val="clear" w:color="auto" w:fill="auto"/>
            <w:tcMar>
              <w:top w:w="80" w:type="dxa"/>
              <w:left w:w="80" w:type="dxa"/>
              <w:bottom w:w="80" w:type="dxa"/>
              <w:right w:w="80" w:type="dxa"/>
            </w:tcMar>
          </w:tcPr>
          <w:p w14:paraId="3F84C89E" w14:textId="77777777" w:rsidR="00B4314C" w:rsidRPr="00512804" w:rsidRDefault="0027755F">
            <w:pPr>
              <w:pStyle w:val="BodyA"/>
              <w:tabs>
                <w:tab w:val="left" w:pos="1440"/>
                <w:tab w:val="left" w:pos="2880"/>
              </w:tabs>
              <w:suppressAutoHyphens/>
              <w:spacing w:line="360" w:lineRule="auto"/>
              <w:jc w:val="both"/>
              <w:outlineLvl w:val="0"/>
            </w:pPr>
            <w:r w:rsidRPr="00512804">
              <w:rPr>
                <w:rFonts w:ascii="Book Antiqua" w:hAnsi="Book Antiqua"/>
              </w:rPr>
              <w:t>Doubtful/under debate</w:t>
            </w:r>
          </w:p>
        </w:tc>
        <w:tc>
          <w:tcPr>
            <w:tcW w:w="3170" w:type="dxa"/>
            <w:tcBorders>
              <w:top w:val="nil"/>
              <w:left w:val="nil"/>
              <w:bottom w:val="single" w:sz="4" w:space="0" w:color="000000"/>
              <w:right w:val="nil"/>
            </w:tcBorders>
            <w:shd w:val="clear" w:color="auto" w:fill="auto"/>
            <w:tcMar>
              <w:top w:w="80" w:type="dxa"/>
              <w:left w:w="80" w:type="dxa"/>
              <w:bottom w:w="80" w:type="dxa"/>
              <w:right w:w="80" w:type="dxa"/>
            </w:tcMar>
          </w:tcPr>
          <w:p w14:paraId="64113860" w14:textId="77777777" w:rsidR="00B4314C" w:rsidRPr="00512804" w:rsidRDefault="0027755F">
            <w:pPr>
              <w:pStyle w:val="BodyA"/>
              <w:tabs>
                <w:tab w:val="left" w:pos="1440"/>
                <w:tab w:val="left" w:pos="2880"/>
              </w:tabs>
              <w:suppressAutoHyphens/>
              <w:spacing w:line="360" w:lineRule="auto"/>
              <w:jc w:val="both"/>
              <w:outlineLvl w:val="0"/>
            </w:pPr>
            <w:r w:rsidRPr="00512804">
              <w:rPr>
                <w:rFonts w:ascii="Book Antiqua" w:hAnsi="Book Antiqua"/>
              </w:rPr>
              <w:t>Remains to be established</w:t>
            </w:r>
          </w:p>
        </w:tc>
      </w:tr>
    </w:tbl>
    <w:p w14:paraId="1444236F" w14:textId="77777777" w:rsidR="00B4314C" w:rsidRPr="00512804" w:rsidRDefault="00B4314C">
      <w:pPr>
        <w:pStyle w:val="BodyA"/>
        <w:widowControl w:val="0"/>
        <w:ind w:left="108" w:hanging="108"/>
        <w:rPr>
          <w:rFonts w:ascii="Book Antiqua" w:eastAsia="Book Antiqua" w:hAnsi="Book Antiqua" w:cs="Book Antiqua"/>
          <w:b/>
          <w:bCs/>
        </w:rPr>
      </w:pPr>
    </w:p>
    <w:p w14:paraId="15100888" w14:textId="77777777" w:rsidR="00B4314C" w:rsidRPr="00512804" w:rsidRDefault="00B4314C">
      <w:pPr>
        <w:pStyle w:val="BodyA"/>
        <w:widowControl w:val="0"/>
        <w:jc w:val="both"/>
        <w:rPr>
          <w:rFonts w:ascii="Book Antiqua" w:eastAsia="Book Antiqua" w:hAnsi="Book Antiqua" w:cs="Book Antiqua"/>
          <w:b/>
          <w:bCs/>
        </w:rPr>
      </w:pPr>
    </w:p>
    <w:p w14:paraId="23240D85" w14:textId="77777777" w:rsidR="00B4314C" w:rsidRPr="00512804" w:rsidRDefault="0027755F">
      <w:pPr>
        <w:pStyle w:val="BodyA"/>
        <w:spacing w:line="360" w:lineRule="auto"/>
        <w:jc w:val="both"/>
        <w:rPr>
          <w:rFonts w:ascii="Book Antiqua" w:eastAsia="Book Antiqua" w:hAnsi="Book Antiqua" w:cs="Book Antiqua"/>
        </w:rPr>
      </w:pPr>
      <w:r w:rsidRPr="00512804">
        <w:rPr>
          <w:rFonts w:ascii="Book Antiqua" w:hAnsi="Book Antiqua"/>
          <w:vertAlign w:val="superscript"/>
        </w:rPr>
        <w:t>1</w:t>
      </w:r>
      <w:r w:rsidRPr="00512804">
        <w:rPr>
          <w:rFonts w:ascii="Book Antiqua" w:hAnsi="Book Antiqua"/>
        </w:rPr>
        <w:t xml:space="preserve">See Table 3 for other </w:t>
      </w:r>
      <w:r w:rsidRPr="00512804">
        <w:rPr>
          <w:rFonts w:ascii="Book Antiqua" w:hAnsi="Book Antiqua"/>
          <w:lang w:val="it-IT"/>
        </w:rPr>
        <w:t>neurological disorders.</w:t>
      </w:r>
      <w:r w:rsidRPr="00512804">
        <w:rPr>
          <w:rFonts w:ascii="Book Antiqua" w:hAnsi="Book Antiqua"/>
        </w:rPr>
        <w:t xml:space="preserve"> IgA: Immunoglobulin A.</w:t>
      </w:r>
    </w:p>
    <w:p w14:paraId="39275F10" w14:textId="77777777" w:rsidR="00B4314C" w:rsidRPr="00512804" w:rsidRDefault="00B4314C">
      <w:pPr>
        <w:pStyle w:val="BodyA"/>
        <w:spacing w:line="360" w:lineRule="auto"/>
        <w:jc w:val="both"/>
        <w:sectPr w:rsidR="00B4314C" w:rsidRPr="00512804">
          <w:pgSz w:w="12240" w:h="15840"/>
          <w:pgMar w:top="1440" w:right="1440" w:bottom="1440" w:left="1440" w:header="720" w:footer="720" w:gutter="0"/>
          <w:cols w:space="720"/>
        </w:sectPr>
      </w:pPr>
    </w:p>
    <w:p w14:paraId="3676C80C" w14:textId="77777777" w:rsidR="00B4314C" w:rsidRPr="00512804" w:rsidRDefault="0027755F">
      <w:pPr>
        <w:pStyle w:val="BodyA"/>
        <w:spacing w:line="360" w:lineRule="auto"/>
        <w:jc w:val="both"/>
        <w:rPr>
          <w:rFonts w:ascii="Book Antiqua" w:eastAsia="Book Antiqua" w:hAnsi="Book Antiqua" w:cs="Book Antiqua"/>
          <w:b/>
          <w:bCs/>
        </w:rPr>
      </w:pPr>
      <w:r w:rsidRPr="00512804">
        <w:rPr>
          <w:rFonts w:ascii="Book Antiqua" w:hAnsi="Book Antiqua"/>
          <w:b/>
          <w:bCs/>
        </w:rPr>
        <w:t>Table 3 Hepatitis E virus-related neurological manifestations</w:t>
      </w:r>
    </w:p>
    <w:tbl>
      <w:tblPr>
        <w:tblW w:w="129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02"/>
        <w:gridCol w:w="876"/>
        <w:gridCol w:w="1748"/>
        <w:gridCol w:w="777"/>
        <w:gridCol w:w="892"/>
        <w:gridCol w:w="706"/>
        <w:gridCol w:w="832"/>
        <w:gridCol w:w="834"/>
        <w:gridCol w:w="689"/>
        <w:gridCol w:w="689"/>
        <w:gridCol w:w="1532"/>
        <w:gridCol w:w="960"/>
        <w:gridCol w:w="822"/>
      </w:tblGrid>
      <w:tr w:rsidR="00B4314C" w:rsidRPr="00512804" w14:paraId="25FD8327" w14:textId="77777777">
        <w:trPr>
          <w:trHeight w:val="3660"/>
        </w:trPr>
        <w:tc>
          <w:tcPr>
            <w:tcW w:w="16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5E54908" w14:textId="77777777" w:rsidR="00B4314C" w:rsidRPr="00512804" w:rsidRDefault="0027755F">
            <w:pPr>
              <w:pStyle w:val="BodyAA"/>
              <w:spacing w:after="240" w:line="360" w:lineRule="auto"/>
              <w:jc w:val="both"/>
              <w:outlineLvl w:val="0"/>
            </w:pPr>
            <w:r w:rsidRPr="00512804">
              <w:rPr>
                <w:rFonts w:ascii="Book Antiqua" w:hAnsi="Book Antiqua"/>
                <w:b/>
                <w:bCs/>
                <w:color w:val="0B0403"/>
                <w:sz w:val="24"/>
                <w:szCs w:val="24"/>
                <w:u w:color="0B0403"/>
              </w:rPr>
              <w:t>Diseases</w:t>
            </w:r>
          </w:p>
        </w:tc>
        <w:tc>
          <w:tcPr>
            <w:tcW w:w="8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2F751F" w14:textId="77777777" w:rsidR="00B4314C" w:rsidRPr="00512804" w:rsidRDefault="0027755F">
            <w:pPr>
              <w:pStyle w:val="BodyAA"/>
              <w:spacing w:after="0" w:line="360" w:lineRule="auto"/>
              <w:jc w:val="both"/>
              <w:outlineLvl w:val="0"/>
            </w:pPr>
            <w:r w:rsidRPr="00512804">
              <w:rPr>
                <w:rFonts w:ascii="Book Antiqua" w:hAnsi="Book Antiqua"/>
                <w:b/>
                <w:bCs/>
                <w:i/>
                <w:iCs/>
                <w:color w:val="0B0403"/>
                <w:sz w:val="24"/>
                <w:szCs w:val="24"/>
                <w:u w:color="0B0403"/>
              </w:rPr>
              <w:t>n</w:t>
            </w:r>
            <w:r w:rsidRPr="00512804">
              <w:rPr>
                <w:rFonts w:ascii="Book Antiqua" w:hAnsi="Book Antiqua"/>
                <w:b/>
                <w:bCs/>
                <w:color w:val="0B0403"/>
                <w:sz w:val="24"/>
                <w:szCs w:val="24"/>
                <w:u w:color="0B0403"/>
              </w:rPr>
              <w:t xml:space="preserve"> (%)</w:t>
            </w:r>
          </w:p>
        </w:tc>
        <w:tc>
          <w:tcPr>
            <w:tcW w:w="17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AD0F76" w14:textId="77777777" w:rsidR="00B4314C" w:rsidRPr="00512804" w:rsidRDefault="0027755F">
            <w:pPr>
              <w:pStyle w:val="BodyA"/>
              <w:suppressAutoHyphens/>
              <w:spacing w:line="360" w:lineRule="auto"/>
              <w:jc w:val="both"/>
              <w:outlineLvl w:val="0"/>
            </w:pPr>
            <w:r w:rsidRPr="00512804">
              <w:rPr>
                <w:rFonts w:ascii="Book Antiqua" w:hAnsi="Book Antiqua"/>
                <w:b/>
                <w:bCs/>
                <w:color w:val="0B0403"/>
                <w:u w:color="0B0403"/>
              </w:rPr>
              <w:t>Geographic distribution</w:t>
            </w:r>
          </w:p>
        </w:tc>
        <w:tc>
          <w:tcPr>
            <w:tcW w:w="7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36FC9C" w14:textId="77777777" w:rsidR="00B4314C" w:rsidRPr="00512804" w:rsidRDefault="0027755F">
            <w:pPr>
              <w:pStyle w:val="BodyAA"/>
              <w:spacing w:after="0" w:line="360" w:lineRule="auto"/>
              <w:jc w:val="both"/>
              <w:outlineLvl w:val="0"/>
            </w:pPr>
            <w:r w:rsidRPr="00512804">
              <w:rPr>
                <w:rFonts w:ascii="Book Antiqua" w:hAnsi="Book Antiqua"/>
                <w:b/>
                <w:bCs/>
                <w:color w:val="0B0403"/>
                <w:sz w:val="24"/>
                <w:szCs w:val="24"/>
                <w:u w:color="0B0403"/>
              </w:rPr>
              <w:t>Mean age in yr</w:t>
            </w:r>
          </w:p>
        </w:tc>
        <w:tc>
          <w:tcPr>
            <w:tcW w:w="89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859EE1" w14:textId="77777777" w:rsidR="00B4314C" w:rsidRPr="00512804" w:rsidRDefault="0027755F">
            <w:pPr>
              <w:pStyle w:val="BodyAA"/>
              <w:spacing w:after="0" w:line="360" w:lineRule="auto"/>
              <w:jc w:val="both"/>
              <w:outlineLvl w:val="0"/>
            </w:pPr>
            <w:r w:rsidRPr="00512804">
              <w:rPr>
                <w:rFonts w:ascii="Book Antiqua" w:hAnsi="Book Antiqua"/>
                <w:b/>
                <w:bCs/>
                <w:color w:val="0B0403"/>
                <w:sz w:val="24"/>
                <w:szCs w:val="24"/>
                <w:u w:color="0B0403"/>
              </w:rPr>
              <w:t>M:F ratio</w:t>
            </w:r>
          </w:p>
        </w:tc>
        <w:tc>
          <w:tcPr>
            <w:tcW w:w="70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E2CC5AD" w14:textId="77777777" w:rsidR="00B4314C" w:rsidRPr="00512804" w:rsidRDefault="0027755F">
            <w:pPr>
              <w:pStyle w:val="BodyAA"/>
              <w:spacing w:after="0" w:line="360" w:lineRule="auto"/>
              <w:jc w:val="both"/>
              <w:outlineLvl w:val="0"/>
            </w:pPr>
            <w:r w:rsidRPr="00512804">
              <w:rPr>
                <w:rFonts w:ascii="Book Antiqua" w:hAnsi="Book Antiqua"/>
                <w:b/>
                <w:bCs/>
                <w:color w:val="0B0403"/>
                <w:sz w:val="24"/>
                <w:szCs w:val="24"/>
                <w:u w:color="0B0403"/>
              </w:rPr>
              <w:t>Serological diagnosis</w:t>
            </w:r>
          </w:p>
        </w:tc>
        <w:tc>
          <w:tcPr>
            <w:tcW w:w="83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A85092" w14:textId="77777777" w:rsidR="00B4314C" w:rsidRPr="00512804" w:rsidRDefault="0027755F">
            <w:pPr>
              <w:pStyle w:val="BodyAA"/>
              <w:spacing w:after="0" w:line="360" w:lineRule="auto"/>
              <w:jc w:val="both"/>
              <w:outlineLvl w:val="0"/>
            </w:pPr>
            <w:r w:rsidRPr="00512804">
              <w:rPr>
                <w:rFonts w:ascii="Book Antiqua" w:hAnsi="Book Antiqua"/>
                <w:b/>
                <w:bCs/>
                <w:color w:val="0B0403"/>
                <w:sz w:val="24"/>
                <w:szCs w:val="24"/>
                <w:u w:color="0B0403"/>
              </w:rPr>
              <w:t>Serum HEV-RNA</w:t>
            </w:r>
          </w:p>
        </w:tc>
        <w:tc>
          <w:tcPr>
            <w:tcW w:w="8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27B8E6" w14:textId="77777777" w:rsidR="00B4314C" w:rsidRPr="00512804" w:rsidRDefault="0027755F">
            <w:pPr>
              <w:pStyle w:val="BodyAA"/>
              <w:spacing w:after="0" w:line="360" w:lineRule="auto"/>
              <w:jc w:val="both"/>
              <w:outlineLvl w:val="0"/>
            </w:pPr>
            <w:r w:rsidRPr="00512804">
              <w:rPr>
                <w:rFonts w:ascii="Book Antiqua" w:hAnsi="Book Antiqua"/>
                <w:b/>
                <w:bCs/>
                <w:color w:val="0B0403"/>
                <w:sz w:val="24"/>
                <w:szCs w:val="24"/>
                <w:u w:color="0B0403"/>
              </w:rPr>
              <w:t>Genotype</w:t>
            </w:r>
          </w:p>
        </w:tc>
        <w:tc>
          <w:tcPr>
            <w:tcW w:w="68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ED0A72" w14:textId="77777777" w:rsidR="00B4314C" w:rsidRPr="00512804" w:rsidRDefault="0027755F">
            <w:pPr>
              <w:pStyle w:val="BodyAA"/>
              <w:spacing w:after="0" w:line="360" w:lineRule="auto"/>
              <w:jc w:val="both"/>
              <w:outlineLvl w:val="0"/>
            </w:pPr>
            <w:r w:rsidRPr="00512804">
              <w:rPr>
                <w:rFonts w:ascii="Book Antiqua" w:hAnsi="Book Antiqua"/>
                <w:b/>
                <w:bCs/>
                <w:color w:val="0B0403"/>
                <w:sz w:val="24"/>
                <w:szCs w:val="24"/>
                <w:u w:color="0B0403"/>
              </w:rPr>
              <w:t>CSF HEV-RNA</w:t>
            </w:r>
          </w:p>
        </w:tc>
        <w:tc>
          <w:tcPr>
            <w:tcW w:w="68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B6AEC6" w14:textId="77777777" w:rsidR="00B4314C" w:rsidRPr="00512804" w:rsidRDefault="0027755F">
            <w:pPr>
              <w:pStyle w:val="BodyAA"/>
              <w:spacing w:after="0" w:line="360" w:lineRule="auto"/>
              <w:jc w:val="both"/>
              <w:outlineLvl w:val="0"/>
            </w:pPr>
            <w:r w:rsidRPr="00512804">
              <w:rPr>
                <w:rFonts w:ascii="Book Antiqua" w:hAnsi="Book Antiqua"/>
                <w:b/>
                <w:bCs/>
                <w:color w:val="0B0403"/>
                <w:sz w:val="24"/>
                <w:szCs w:val="24"/>
                <w:u w:color="0B0403"/>
              </w:rPr>
              <w:t xml:space="preserve">Elevated bilirubin, </w:t>
            </w:r>
            <w:r w:rsidRPr="00512804">
              <w:rPr>
                <w:rFonts w:ascii="Book Antiqua" w:hAnsi="Book Antiqua"/>
                <w:b/>
                <w:bCs/>
                <w:i/>
                <w:iCs/>
                <w:color w:val="0B0403"/>
                <w:sz w:val="24"/>
                <w:szCs w:val="24"/>
                <w:u w:color="0B0403"/>
              </w:rPr>
              <w:t>n</w:t>
            </w:r>
          </w:p>
        </w:tc>
        <w:tc>
          <w:tcPr>
            <w:tcW w:w="153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5BC955" w14:textId="77777777" w:rsidR="00B4314C" w:rsidRPr="00512804" w:rsidRDefault="0027755F">
            <w:pPr>
              <w:pStyle w:val="BodyAA"/>
              <w:spacing w:after="0" w:line="360" w:lineRule="auto"/>
              <w:jc w:val="both"/>
              <w:outlineLvl w:val="0"/>
            </w:pPr>
            <w:r w:rsidRPr="00512804">
              <w:rPr>
                <w:rFonts w:ascii="Book Antiqua" w:hAnsi="Book Antiqua"/>
                <w:b/>
                <w:bCs/>
                <w:color w:val="0B0403"/>
                <w:sz w:val="24"/>
                <w:szCs w:val="24"/>
                <w:u w:color="0B0403"/>
              </w:rPr>
              <w:t>Median (range) ALT in IU/L</w:t>
            </w:r>
          </w:p>
        </w:tc>
        <w:tc>
          <w:tcPr>
            <w:tcW w:w="9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478ED5" w14:textId="77777777" w:rsidR="00B4314C" w:rsidRPr="00512804" w:rsidRDefault="0027755F">
            <w:pPr>
              <w:pStyle w:val="BodyA"/>
              <w:suppressAutoHyphens/>
              <w:spacing w:line="360" w:lineRule="auto"/>
              <w:jc w:val="both"/>
              <w:outlineLvl w:val="0"/>
            </w:pPr>
            <w:r w:rsidRPr="00512804">
              <w:rPr>
                <w:rFonts w:ascii="Book Antiqua" w:hAnsi="Book Antiqua"/>
                <w:b/>
                <w:bCs/>
                <w:color w:val="0B0403"/>
                <w:u w:color="0B0403"/>
              </w:rPr>
              <w:t>Use of anti-viral</w:t>
            </w:r>
          </w:p>
        </w:tc>
        <w:tc>
          <w:tcPr>
            <w:tcW w:w="8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3F49C2" w14:textId="77777777" w:rsidR="00B4314C" w:rsidRPr="00512804" w:rsidRDefault="0027755F">
            <w:pPr>
              <w:pStyle w:val="BodyA"/>
              <w:suppressAutoHyphens/>
              <w:spacing w:line="360" w:lineRule="auto"/>
              <w:jc w:val="both"/>
              <w:outlineLvl w:val="0"/>
            </w:pPr>
            <w:r w:rsidRPr="00512804">
              <w:rPr>
                <w:rFonts w:ascii="Book Antiqua" w:hAnsi="Book Antiqua"/>
                <w:b/>
                <w:bCs/>
                <w:color w:val="0B0403"/>
                <w:u w:color="0B0403"/>
              </w:rPr>
              <w:t>Recovery</w:t>
            </w:r>
          </w:p>
        </w:tc>
      </w:tr>
      <w:tr w:rsidR="00B4314C" w:rsidRPr="00512804" w14:paraId="6C60C472" w14:textId="77777777">
        <w:trPr>
          <w:trHeight w:val="295"/>
        </w:trPr>
        <w:tc>
          <w:tcPr>
            <w:tcW w:w="12959" w:type="dxa"/>
            <w:gridSpan w:val="13"/>
            <w:tcBorders>
              <w:top w:val="single" w:sz="4" w:space="0" w:color="000000"/>
              <w:left w:val="nil"/>
              <w:bottom w:val="nil"/>
              <w:right w:val="nil"/>
            </w:tcBorders>
            <w:shd w:val="clear" w:color="auto" w:fill="auto"/>
            <w:tcMar>
              <w:top w:w="80" w:type="dxa"/>
              <w:left w:w="80" w:type="dxa"/>
              <w:bottom w:w="80" w:type="dxa"/>
              <w:right w:w="80" w:type="dxa"/>
            </w:tcMar>
          </w:tcPr>
          <w:p w14:paraId="099D2352" w14:textId="77777777" w:rsidR="00B4314C" w:rsidRPr="00512804" w:rsidRDefault="0027755F">
            <w:pPr>
              <w:pStyle w:val="BodyAA"/>
              <w:suppressAutoHyphens w:val="0"/>
              <w:spacing w:after="0" w:line="360" w:lineRule="auto"/>
              <w:jc w:val="both"/>
              <w:rPr>
                <w:b/>
              </w:rPr>
            </w:pPr>
            <w:r w:rsidRPr="00512804">
              <w:rPr>
                <w:rFonts w:ascii="Book Antiqua" w:hAnsi="Book Antiqua"/>
                <w:b/>
                <w:bCs/>
                <w:color w:val="0B0403"/>
                <w:sz w:val="24"/>
                <w:szCs w:val="24"/>
                <w:u w:color="0B0403"/>
              </w:rPr>
              <w:t>Nerve root and plexus disorders</w:t>
            </w:r>
          </w:p>
        </w:tc>
      </w:tr>
      <w:tr w:rsidR="00B4314C" w:rsidRPr="00512804" w14:paraId="26674C72" w14:textId="77777777">
        <w:trPr>
          <w:trHeight w:val="2820"/>
        </w:trPr>
        <w:tc>
          <w:tcPr>
            <w:tcW w:w="1602" w:type="dxa"/>
            <w:tcBorders>
              <w:top w:val="nil"/>
              <w:left w:val="nil"/>
              <w:bottom w:val="nil"/>
              <w:right w:val="nil"/>
            </w:tcBorders>
            <w:shd w:val="clear" w:color="auto" w:fill="auto"/>
            <w:tcMar>
              <w:top w:w="80" w:type="dxa"/>
              <w:left w:w="80" w:type="dxa"/>
              <w:bottom w:w="80" w:type="dxa"/>
              <w:right w:w="80" w:type="dxa"/>
            </w:tcMar>
          </w:tcPr>
          <w:p w14:paraId="575D4A71"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Neuralgic amyotrophy</w:t>
            </w:r>
            <w:r w:rsidRPr="00512804">
              <w:rPr>
                <w:rFonts w:ascii="Book Antiqua" w:hAnsi="Book Antiqua"/>
                <w:color w:val="0B0403"/>
                <w:sz w:val="24"/>
                <w:szCs w:val="24"/>
                <w:u w:color="0B0403"/>
                <w:vertAlign w:val="superscript"/>
              </w:rPr>
              <w:t>[13,15-17,28-56]</w:t>
            </w:r>
          </w:p>
        </w:tc>
        <w:tc>
          <w:tcPr>
            <w:tcW w:w="876" w:type="dxa"/>
            <w:tcBorders>
              <w:top w:val="nil"/>
              <w:left w:val="nil"/>
              <w:bottom w:val="nil"/>
              <w:right w:val="nil"/>
            </w:tcBorders>
            <w:shd w:val="clear" w:color="auto" w:fill="auto"/>
            <w:tcMar>
              <w:top w:w="80" w:type="dxa"/>
              <w:left w:w="80" w:type="dxa"/>
              <w:bottom w:w="80" w:type="dxa"/>
              <w:right w:w="80" w:type="dxa"/>
            </w:tcMar>
          </w:tcPr>
          <w:p w14:paraId="30FDA2CC"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64 (39)</w:t>
            </w:r>
          </w:p>
        </w:tc>
        <w:tc>
          <w:tcPr>
            <w:tcW w:w="1748" w:type="dxa"/>
            <w:tcBorders>
              <w:top w:val="nil"/>
              <w:left w:val="nil"/>
              <w:bottom w:val="nil"/>
              <w:right w:val="nil"/>
            </w:tcBorders>
            <w:shd w:val="clear" w:color="auto" w:fill="auto"/>
            <w:tcMar>
              <w:top w:w="80" w:type="dxa"/>
              <w:left w:w="80" w:type="dxa"/>
              <w:bottom w:w="80" w:type="dxa"/>
              <w:right w:w="80" w:type="dxa"/>
            </w:tcMar>
          </w:tcPr>
          <w:p w14:paraId="0D5B4C78" w14:textId="77777777" w:rsidR="00B4314C" w:rsidRPr="00512804" w:rsidRDefault="0027755F">
            <w:pPr>
              <w:pStyle w:val="Default"/>
              <w:suppressAutoHyphens w:val="0"/>
              <w:spacing w:after="0" w:line="360" w:lineRule="auto"/>
              <w:jc w:val="both"/>
            </w:pPr>
            <w:r w:rsidRPr="00512804">
              <w:rPr>
                <w:rFonts w:ascii="Book Antiqua" w:hAnsi="Book Antiqua"/>
                <w:color w:val="0B0403"/>
                <w:sz w:val="24"/>
                <w:szCs w:val="24"/>
                <w:u w:color="0B0403"/>
              </w:rPr>
              <w:t>Europe: 62; SEAR: 1; Uni</w:t>
            </w:r>
            <w:r w:rsidRPr="00512804">
              <w:rPr>
                <w:rFonts w:ascii="Book Antiqua" w:hAnsi="Book Antiqua"/>
                <w:color w:val="0B0403"/>
                <w:sz w:val="24"/>
                <w:szCs w:val="24"/>
                <w:u w:color="0B0403"/>
              </w:rPr>
              <w:t>t</w:t>
            </w:r>
            <w:r w:rsidRPr="00512804">
              <w:rPr>
                <w:rFonts w:ascii="Book Antiqua" w:hAnsi="Book Antiqua"/>
                <w:color w:val="0B0403"/>
                <w:sz w:val="24"/>
                <w:szCs w:val="24"/>
                <w:u w:color="0B0403"/>
              </w:rPr>
              <w:t xml:space="preserve">ed States: 1 </w:t>
            </w:r>
          </w:p>
        </w:tc>
        <w:tc>
          <w:tcPr>
            <w:tcW w:w="777" w:type="dxa"/>
            <w:tcBorders>
              <w:top w:val="nil"/>
              <w:left w:val="nil"/>
              <w:bottom w:val="nil"/>
              <w:right w:val="nil"/>
            </w:tcBorders>
            <w:shd w:val="clear" w:color="auto" w:fill="auto"/>
            <w:tcMar>
              <w:top w:w="80" w:type="dxa"/>
              <w:left w:w="80" w:type="dxa"/>
              <w:bottom w:w="80" w:type="dxa"/>
              <w:right w:w="80" w:type="dxa"/>
            </w:tcMar>
          </w:tcPr>
          <w:p w14:paraId="029161B4"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45.7</w:t>
            </w:r>
          </w:p>
        </w:tc>
        <w:tc>
          <w:tcPr>
            <w:tcW w:w="892" w:type="dxa"/>
            <w:tcBorders>
              <w:top w:val="nil"/>
              <w:left w:val="nil"/>
              <w:bottom w:val="nil"/>
              <w:right w:val="nil"/>
            </w:tcBorders>
            <w:shd w:val="clear" w:color="auto" w:fill="auto"/>
            <w:tcMar>
              <w:top w:w="80" w:type="dxa"/>
              <w:left w:w="80" w:type="dxa"/>
              <w:bottom w:w="80" w:type="dxa"/>
              <w:right w:w="80" w:type="dxa"/>
            </w:tcMar>
          </w:tcPr>
          <w:p w14:paraId="1E5DDC28"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6.5:1</w:t>
            </w:r>
          </w:p>
        </w:tc>
        <w:tc>
          <w:tcPr>
            <w:tcW w:w="706" w:type="dxa"/>
            <w:tcBorders>
              <w:top w:val="nil"/>
              <w:left w:val="nil"/>
              <w:bottom w:val="nil"/>
              <w:right w:val="nil"/>
            </w:tcBorders>
            <w:shd w:val="clear" w:color="auto" w:fill="auto"/>
            <w:tcMar>
              <w:top w:w="80" w:type="dxa"/>
              <w:left w:w="80" w:type="dxa"/>
              <w:bottom w:w="80" w:type="dxa"/>
              <w:right w:w="80" w:type="dxa"/>
            </w:tcMar>
          </w:tcPr>
          <w:p w14:paraId="11D3B2FE"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FF0000"/>
              </w:rPr>
              <w:t>51</w:t>
            </w:r>
          </w:p>
        </w:tc>
        <w:tc>
          <w:tcPr>
            <w:tcW w:w="832" w:type="dxa"/>
            <w:tcBorders>
              <w:top w:val="nil"/>
              <w:left w:val="nil"/>
              <w:bottom w:val="nil"/>
              <w:right w:val="nil"/>
            </w:tcBorders>
            <w:shd w:val="clear" w:color="auto" w:fill="auto"/>
            <w:tcMar>
              <w:top w:w="80" w:type="dxa"/>
              <w:left w:w="80" w:type="dxa"/>
              <w:bottom w:w="80" w:type="dxa"/>
              <w:right w:w="80" w:type="dxa"/>
            </w:tcMar>
          </w:tcPr>
          <w:p w14:paraId="01867732"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FF0000"/>
              </w:rPr>
              <w:t>44</w:t>
            </w:r>
          </w:p>
        </w:tc>
        <w:tc>
          <w:tcPr>
            <w:tcW w:w="834" w:type="dxa"/>
            <w:tcBorders>
              <w:top w:val="nil"/>
              <w:left w:val="nil"/>
              <w:bottom w:val="nil"/>
              <w:right w:val="nil"/>
            </w:tcBorders>
            <w:shd w:val="clear" w:color="auto" w:fill="auto"/>
            <w:tcMar>
              <w:top w:w="80" w:type="dxa"/>
              <w:left w:w="80" w:type="dxa"/>
              <w:bottom w:w="80" w:type="dxa"/>
              <w:right w:w="80" w:type="dxa"/>
            </w:tcMar>
          </w:tcPr>
          <w:p w14:paraId="1E976021"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GT3: 28</w:t>
            </w:r>
          </w:p>
        </w:tc>
        <w:tc>
          <w:tcPr>
            <w:tcW w:w="689" w:type="dxa"/>
            <w:tcBorders>
              <w:top w:val="nil"/>
              <w:left w:val="nil"/>
              <w:bottom w:val="nil"/>
              <w:right w:val="nil"/>
            </w:tcBorders>
            <w:shd w:val="clear" w:color="auto" w:fill="auto"/>
            <w:tcMar>
              <w:top w:w="80" w:type="dxa"/>
              <w:left w:w="80" w:type="dxa"/>
              <w:bottom w:w="80" w:type="dxa"/>
              <w:right w:w="80" w:type="dxa"/>
            </w:tcMar>
          </w:tcPr>
          <w:p w14:paraId="304F96DA"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0</w:t>
            </w:r>
          </w:p>
        </w:tc>
        <w:tc>
          <w:tcPr>
            <w:tcW w:w="689" w:type="dxa"/>
            <w:tcBorders>
              <w:top w:val="nil"/>
              <w:left w:val="nil"/>
              <w:bottom w:val="nil"/>
              <w:right w:val="nil"/>
            </w:tcBorders>
            <w:shd w:val="clear" w:color="auto" w:fill="auto"/>
            <w:tcMar>
              <w:top w:w="80" w:type="dxa"/>
              <w:left w:w="80" w:type="dxa"/>
              <w:bottom w:w="80" w:type="dxa"/>
              <w:right w:w="80" w:type="dxa"/>
            </w:tcMar>
          </w:tcPr>
          <w:p w14:paraId="785AE566"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4</w:t>
            </w:r>
          </w:p>
        </w:tc>
        <w:tc>
          <w:tcPr>
            <w:tcW w:w="1532" w:type="dxa"/>
            <w:tcBorders>
              <w:top w:val="nil"/>
              <w:left w:val="nil"/>
              <w:bottom w:val="nil"/>
              <w:right w:val="nil"/>
            </w:tcBorders>
            <w:shd w:val="clear" w:color="auto" w:fill="auto"/>
            <w:tcMar>
              <w:top w:w="80" w:type="dxa"/>
              <w:left w:w="80" w:type="dxa"/>
              <w:bottom w:w="80" w:type="dxa"/>
              <w:right w:w="80" w:type="dxa"/>
            </w:tcMar>
          </w:tcPr>
          <w:p w14:paraId="521F6517"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FF0000"/>
              </w:rPr>
              <w:t xml:space="preserve">1007 </w:t>
            </w:r>
            <w:r w:rsidRPr="00512804">
              <w:rPr>
                <w:rFonts w:ascii="Book Antiqua" w:hAnsi="Book Antiqua"/>
                <w:color w:val="0B0403"/>
                <w:sz w:val="24"/>
                <w:szCs w:val="24"/>
                <w:u w:color="0B0403"/>
              </w:rPr>
              <w:t>(22-2579)</w:t>
            </w:r>
          </w:p>
        </w:tc>
        <w:tc>
          <w:tcPr>
            <w:tcW w:w="960" w:type="dxa"/>
            <w:tcBorders>
              <w:top w:val="nil"/>
              <w:left w:val="nil"/>
              <w:bottom w:val="nil"/>
              <w:right w:val="nil"/>
            </w:tcBorders>
            <w:shd w:val="clear" w:color="auto" w:fill="auto"/>
            <w:tcMar>
              <w:top w:w="80" w:type="dxa"/>
              <w:left w:w="80" w:type="dxa"/>
              <w:bottom w:w="80" w:type="dxa"/>
              <w:right w:w="80" w:type="dxa"/>
            </w:tcMar>
          </w:tcPr>
          <w:p w14:paraId="1975FC4C"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9</w:t>
            </w:r>
          </w:p>
        </w:tc>
        <w:tc>
          <w:tcPr>
            <w:tcW w:w="821" w:type="dxa"/>
            <w:tcBorders>
              <w:top w:val="nil"/>
              <w:left w:val="nil"/>
              <w:bottom w:val="nil"/>
              <w:right w:val="nil"/>
            </w:tcBorders>
            <w:shd w:val="clear" w:color="auto" w:fill="auto"/>
            <w:tcMar>
              <w:top w:w="80" w:type="dxa"/>
              <w:left w:w="80" w:type="dxa"/>
              <w:bottom w:w="80" w:type="dxa"/>
              <w:right w:w="80" w:type="dxa"/>
            </w:tcMar>
          </w:tcPr>
          <w:p w14:paraId="5E5CBA63"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CR: 9; PR: 47; NM: 8</w:t>
            </w:r>
          </w:p>
        </w:tc>
      </w:tr>
      <w:tr w:rsidR="00B4314C" w:rsidRPr="00512804" w14:paraId="1B99F801" w14:textId="77777777">
        <w:trPr>
          <w:trHeight w:val="4080"/>
        </w:trPr>
        <w:tc>
          <w:tcPr>
            <w:tcW w:w="1602" w:type="dxa"/>
            <w:tcBorders>
              <w:top w:val="nil"/>
              <w:left w:val="nil"/>
              <w:bottom w:val="nil"/>
              <w:right w:val="nil"/>
            </w:tcBorders>
            <w:shd w:val="clear" w:color="auto" w:fill="auto"/>
            <w:tcMar>
              <w:top w:w="80" w:type="dxa"/>
              <w:left w:w="80" w:type="dxa"/>
              <w:bottom w:w="80" w:type="dxa"/>
              <w:right w:w="80" w:type="dxa"/>
            </w:tcMar>
          </w:tcPr>
          <w:p w14:paraId="63EC7B24"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Guillain-Barré syndrome</w:t>
            </w:r>
            <w:r w:rsidRPr="00512804">
              <w:rPr>
                <w:rFonts w:ascii="Book Antiqua" w:hAnsi="Book Antiqua"/>
                <w:color w:val="0B0403"/>
                <w:sz w:val="24"/>
                <w:szCs w:val="24"/>
                <w:u w:color="0B0403"/>
                <w:vertAlign w:val="superscript"/>
              </w:rPr>
              <w:t>[13,15,16,20,36,58-85]</w:t>
            </w:r>
          </w:p>
        </w:tc>
        <w:tc>
          <w:tcPr>
            <w:tcW w:w="876" w:type="dxa"/>
            <w:tcBorders>
              <w:top w:val="nil"/>
              <w:left w:val="nil"/>
              <w:bottom w:val="nil"/>
              <w:right w:val="nil"/>
            </w:tcBorders>
            <w:shd w:val="clear" w:color="auto" w:fill="auto"/>
            <w:tcMar>
              <w:top w:w="80" w:type="dxa"/>
              <w:left w:w="80" w:type="dxa"/>
              <w:bottom w:w="80" w:type="dxa"/>
              <w:right w:w="80" w:type="dxa"/>
            </w:tcMar>
          </w:tcPr>
          <w:p w14:paraId="023D0A18"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61 (37)</w:t>
            </w:r>
          </w:p>
        </w:tc>
        <w:tc>
          <w:tcPr>
            <w:tcW w:w="1748" w:type="dxa"/>
            <w:tcBorders>
              <w:top w:val="nil"/>
              <w:left w:val="nil"/>
              <w:bottom w:val="nil"/>
              <w:right w:val="nil"/>
            </w:tcBorders>
            <w:shd w:val="clear" w:color="auto" w:fill="auto"/>
            <w:tcMar>
              <w:top w:w="80" w:type="dxa"/>
              <w:left w:w="80" w:type="dxa"/>
              <w:bottom w:w="80" w:type="dxa"/>
              <w:right w:w="80" w:type="dxa"/>
            </w:tcMar>
          </w:tcPr>
          <w:p w14:paraId="7AB8F16A" w14:textId="77777777" w:rsidR="00B4314C" w:rsidRPr="00512804" w:rsidRDefault="0027755F">
            <w:pPr>
              <w:pStyle w:val="Default"/>
              <w:suppressAutoHyphens w:val="0"/>
              <w:spacing w:after="0" w:line="360" w:lineRule="auto"/>
              <w:jc w:val="both"/>
            </w:pPr>
            <w:r w:rsidRPr="00512804">
              <w:rPr>
                <w:rFonts w:ascii="Book Antiqua" w:hAnsi="Book Antiqua"/>
                <w:color w:val="0B0403"/>
                <w:sz w:val="24"/>
                <w:szCs w:val="24"/>
                <w:u w:color="0B0403"/>
              </w:rPr>
              <w:t>SEAR: 21; E</w:t>
            </w:r>
            <w:r w:rsidRPr="00512804">
              <w:rPr>
                <w:rFonts w:ascii="Book Antiqua" w:hAnsi="Book Antiqua"/>
                <w:color w:val="0B0403"/>
                <w:sz w:val="24"/>
                <w:szCs w:val="24"/>
                <w:u w:color="0B0403"/>
              </w:rPr>
              <w:t>u</w:t>
            </w:r>
            <w:r w:rsidRPr="00512804">
              <w:rPr>
                <w:rFonts w:ascii="Book Antiqua" w:hAnsi="Book Antiqua"/>
                <w:color w:val="0B0403"/>
                <w:sz w:val="24"/>
                <w:szCs w:val="24"/>
                <w:u w:color="0B0403"/>
              </w:rPr>
              <w:t>rope: 30; Ch</w:t>
            </w:r>
            <w:r w:rsidRPr="00512804">
              <w:rPr>
                <w:rFonts w:ascii="Book Antiqua" w:hAnsi="Book Antiqua"/>
                <w:color w:val="0B0403"/>
                <w:sz w:val="24"/>
                <w:szCs w:val="24"/>
                <w:u w:color="0B0403"/>
              </w:rPr>
              <w:t>i</w:t>
            </w:r>
            <w:r w:rsidRPr="00512804">
              <w:rPr>
                <w:rFonts w:ascii="Book Antiqua" w:hAnsi="Book Antiqua"/>
                <w:color w:val="0B0403"/>
                <w:sz w:val="24"/>
                <w:szCs w:val="24"/>
                <w:u w:color="0B0403"/>
              </w:rPr>
              <w:t>na/Hong Kong: 5; J</w:t>
            </w:r>
            <w:r w:rsidRPr="00512804">
              <w:rPr>
                <w:rFonts w:ascii="Book Antiqua" w:hAnsi="Book Antiqua"/>
                <w:color w:val="0B0403"/>
                <w:sz w:val="24"/>
                <w:szCs w:val="24"/>
                <w:u w:color="0B0403"/>
              </w:rPr>
              <w:t>a</w:t>
            </w:r>
            <w:r w:rsidRPr="00512804">
              <w:rPr>
                <w:rFonts w:ascii="Book Antiqua" w:hAnsi="Book Antiqua"/>
                <w:color w:val="0B0403"/>
                <w:sz w:val="24"/>
                <w:szCs w:val="24"/>
                <w:u w:color="0B0403"/>
              </w:rPr>
              <w:t>pan: 4; Iraq: 1</w:t>
            </w:r>
          </w:p>
        </w:tc>
        <w:tc>
          <w:tcPr>
            <w:tcW w:w="777" w:type="dxa"/>
            <w:tcBorders>
              <w:top w:val="nil"/>
              <w:left w:val="nil"/>
              <w:bottom w:val="nil"/>
              <w:right w:val="nil"/>
            </w:tcBorders>
            <w:shd w:val="clear" w:color="auto" w:fill="auto"/>
            <w:tcMar>
              <w:top w:w="80" w:type="dxa"/>
              <w:left w:w="80" w:type="dxa"/>
              <w:bottom w:w="80" w:type="dxa"/>
              <w:right w:w="80" w:type="dxa"/>
            </w:tcMar>
          </w:tcPr>
          <w:p w14:paraId="24126047"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51.16</w:t>
            </w:r>
          </w:p>
        </w:tc>
        <w:tc>
          <w:tcPr>
            <w:tcW w:w="892" w:type="dxa"/>
            <w:tcBorders>
              <w:top w:val="nil"/>
              <w:left w:val="nil"/>
              <w:bottom w:val="nil"/>
              <w:right w:val="nil"/>
            </w:tcBorders>
            <w:shd w:val="clear" w:color="auto" w:fill="auto"/>
            <w:tcMar>
              <w:top w:w="80" w:type="dxa"/>
              <w:left w:w="80" w:type="dxa"/>
              <w:bottom w:w="80" w:type="dxa"/>
              <w:right w:w="80" w:type="dxa"/>
            </w:tcMar>
          </w:tcPr>
          <w:p w14:paraId="70045C6E"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2.42:1</w:t>
            </w:r>
          </w:p>
        </w:tc>
        <w:tc>
          <w:tcPr>
            <w:tcW w:w="706" w:type="dxa"/>
            <w:tcBorders>
              <w:top w:val="nil"/>
              <w:left w:val="nil"/>
              <w:bottom w:val="nil"/>
              <w:right w:val="nil"/>
            </w:tcBorders>
            <w:shd w:val="clear" w:color="auto" w:fill="auto"/>
            <w:tcMar>
              <w:top w:w="80" w:type="dxa"/>
              <w:left w:w="80" w:type="dxa"/>
              <w:bottom w:w="80" w:type="dxa"/>
              <w:right w:w="80" w:type="dxa"/>
            </w:tcMar>
          </w:tcPr>
          <w:p w14:paraId="725AE397"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46</w:t>
            </w:r>
          </w:p>
        </w:tc>
        <w:tc>
          <w:tcPr>
            <w:tcW w:w="832" w:type="dxa"/>
            <w:tcBorders>
              <w:top w:val="nil"/>
              <w:left w:val="nil"/>
              <w:bottom w:val="nil"/>
              <w:right w:val="nil"/>
            </w:tcBorders>
            <w:shd w:val="clear" w:color="auto" w:fill="auto"/>
            <w:tcMar>
              <w:top w:w="80" w:type="dxa"/>
              <w:left w:w="80" w:type="dxa"/>
              <w:bottom w:w="80" w:type="dxa"/>
              <w:right w:w="80" w:type="dxa"/>
            </w:tcMar>
          </w:tcPr>
          <w:p w14:paraId="23DA0CF8"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20</w:t>
            </w:r>
          </w:p>
        </w:tc>
        <w:tc>
          <w:tcPr>
            <w:tcW w:w="834" w:type="dxa"/>
            <w:tcBorders>
              <w:top w:val="nil"/>
              <w:left w:val="nil"/>
              <w:bottom w:val="nil"/>
              <w:right w:val="nil"/>
            </w:tcBorders>
            <w:shd w:val="clear" w:color="auto" w:fill="auto"/>
            <w:tcMar>
              <w:top w:w="80" w:type="dxa"/>
              <w:left w:w="80" w:type="dxa"/>
              <w:bottom w:w="80" w:type="dxa"/>
              <w:right w:w="80" w:type="dxa"/>
            </w:tcMar>
          </w:tcPr>
          <w:p w14:paraId="7F305C55"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GT3: 10; GT4: 1; GT1: 2</w:t>
            </w:r>
          </w:p>
        </w:tc>
        <w:tc>
          <w:tcPr>
            <w:tcW w:w="689" w:type="dxa"/>
            <w:tcBorders>
              <w:top w:val="nil"/>
              <w:left w:val="nil"/>
              <w:bottom w:val="nil"/>
              <w:right w:val="nil"/>
            </w:tcBorders>
            <w:shd w:val="clear" w:color="auto" w:fill="auto"/>
            <w:tcMar>
              <w:top w:w="80" w:type="dxa"/>
              <w:left w:w="80" w:type="dxa"/>
              <w:bottom w:w="80" w:type="dxa"/>
              <w:right w:w="80" w:type="dxa"/>
            </w:tcMar>
          </w:tcPr>
          <w:p w14:paraId="7D532BB3"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3</w:t>
            </w:r>
          </w:p>
        </w:tc>
        <w:tc>
          <w:tcPr>
            <w:tcW w:w="689" w:type="dxa"/>
            <w:tcBorders>
              <w:top w:val="nil"/>
              <w:left w:val="nil"/>
              <w:bottom w:val="nil"/>
              <w:right w:val="nil"/>
            </w:tcBorders>
            <w:shd w:val="clear" w:color="auto" w:fill="auto"/>
            <w:tcMar>
              <w:top w:w="80" w:type="dxa"/>
              <w:left w:w="80" w:type="dxa"/>
              <w:bottom w:w="80" w:type="dxa"/>
              <w:right w:w="80" w:type="dxa"/>
            </w:tcMar>
          </w:tcPr>
          <w:p w14:paraId="7AC077EC"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11</w:t>
            </w:r>
          </w:p>
        </w:tc>
        <w:tc>
          <w:tcPr>
            <w:tcW w:w="1532" w:type="dxa"/>
            <w:tcBorders>
              <w:top w:val="nil"/>
              <w:left w:val="nil"/>
              <w:bottom w:val="nil"/>
              <w:right w:val="nil"/>
            </w:tcBorders>
            <w:shd w:val="clear" w:color="auto" w:fill="auto"/>
            <w:tcMar>
              <w:top w:w="80" w:type="dxa"/>
              <w:left w:w="80" w:type="dxa"/>
              <w:bottom w:w="80" w:type="dxa"/>
              <w:right w:w="80" w:type="dxa"/>
            </w:tcMar>
          </w:tcPr>
          <w:p w14:paraId="44C5895A"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1950 (57-4502)</w:t>
            </w:r>
          </w:p>
        </w:tc>
        <w:tc>
          <w:tcPr>
            <w:tcW w:w="960" w:type="dxa"/>
            <w:tcBorders>
              <w:top w:val="nil"/>
              <w:left w:val="nil"/>
              <w:bottom w:val="nil"/>
              <w:right w:val="nil"/>
            </w:tcBorders>
            <w:shd w:val="clear" w:color="auto" w:fill="auto"/>
            <w:tcMar>
              <w:top w:w="80" w:type="dxa"/>
              <w:left w:w="80" w:type="dxa"/>
              <w:bottom w:w="80" w:type="dxa"/>
              <w:right w:w="80" w:type="dxa"/>
            </w:tcMar>
          </w:tcPr>
          <w:p w14:paraId="69331BD5"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w:t>
            </w:r>
          </w:p>
        </w:tc>
        <w:tc>
          <w:tcPr>
            <w:tcW w:w="821" w:type="dxa"/>
            <w:tcBorders>
              <w:top w:val="nil"/>
              <w:left w:val="nil"/>
              <w:bottom w:val="nil"/>
              <w:right w:val="nil"/>
            </w:tcBorders>
            <w:shd w:val="clear" w:color="auto" w:fill="auto"/>
            <w:tcMar>
              <w:top w:w="80" w:type="dxa"/>
              <w:left w:w="80" w:type="dxa"/>
              <w:bottom w:w="80" w:type="dxa"/>
              <w:right w:w="80" w:type="dxa"/>
            </w:tcMar>
          </w:tcPr>
          <w:p w14:paraId="68BFA7EC"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CR: 23; PR: 14; Died: 1; NM: 23</w:t>
            </w:r>
          </w:p>
        </w:tc>
      </w:tr>
      <w:tr w:rsidR="00B4314C" w:rsidRPr="00512804" w14:paraId="3B454606" w14:textId="77777777">
        <w:trPr>
          <w:trHeight w:val="300"/>
        </w:trPr>
        <w:tc>
          <w:tcPr>
            <w:tcW w:w="12959" w:type="dxa"/>
            <w:gridSpan w:val="13"/>
            <w:tcBorders>
              <w:top w:val="nil"/>
              <w:left w:val="nil"/>
              <w:bottom w:val="nil"/>
              <w:right w:val="nil"/>
            </w:tcBorders>
            <w:shd w:val="clear" w:color="auto" w:fill="auto"/>
            <w:tcMar>
              <w:top w:w="80" w:type="dxa"/>
              <w:left w:w="80" w:type="dxa"/>
              <w:bottom w:w="80" w:type="dxa"/>
              <w:right w:w="80" w:type="dxa"/>
            </w:tcMar>
          </w:tcPr>
          <w:p w14:paraId="7CCC0E15" w14:textId="77777777" w:rsidR="00B4314C" w:rsidRPr="00512804" w:rsidRDefault="0027755F">
            <w:pPr>
              <w:pStyle w:val="BodyAA"/>
              <w:suppressAutoHyphens w:val="0"/>
              <w:spacing w:after="0" w:line="360" w:lineRule="auto"/>
              <w:jc w:val="both"/>
            </w:pPr>
            <w:r w:rsidRPr="00512804">
              <w:rPr>
                <w:rFonts w:ascii="Book Antiqua" w:hAnsi="Book Antiqua"/>
                <w:b/>
                <w:bCs/>
                <w:color w:val="0B0403"/>
                <w:sz w:val="24"/>
                <w:szCs w:val="24"/>
                <w:u w:color="0B0403"/>
              </w:rPr>
              <w:t>Central nervous system disorder</w:t>
            </w:r>
          </w:p>
        </w:tc>
      </w:tr>
      <w:tr w:rsidR="00B4314C" w:rsidRPr="00512804" w14:paraId="571A5F89" w14:textId="77777777">
        <w:trPr>
          <w:trHeight w:val="1980"/>
        </w:trPr>
        <w:tc>
          <w:tcPr>
            <w:tcW w:w="1602" w:type="dxa"/>
            <w:tcBorders>
              <w:top w:val="nil"/>
              <w:left w:val="nil"/>
              <w:bottom w:val="nil"/>
              <w:right w:val="nil"/>
            </w:tcBorders>
            <w:shd w:val="clear" w:color="auto" w:fill="auto"/>
            <w:tcMar>
              <w:top w:w="80" w:type="dxa"/>
              <w:left w:w="80" w:type="dxa"/>
              <w:bottom w:w="80" w:type="dxa"/>
              <w:right w:w="80" w:type="dxa"/>
            </w:tcMar>
          </w:tcPr>
          <w:p w14:paraId="6B9C1A89"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Meningoencephalitis</w:t>
            </w:r>
            <w:r w:rsidRPr="00512804">
              <w:rPr>
                <w:rFonts w:ascii="Book Antiqua" w:hAnsi="Book Antiqua"/>
                <w:color w:val="0B0403"/>
                <w:sz w:val="24"/>
                <w:szCs w:val="24"/>
                <w:u w:color="0B0403"/>
                <w:vertAlign w:val="superscript"/>
              </w:rPr>
              <w:t>[17,20,35,86,87]</w:t>
            </w:r>
          </w:p>
        </w:tc>
        <w:tc>
          <w:tcPr>
            <w:tcW w:w="876" w:type="dxa"/>
            <w:tcBorders>
              <w:top w:val="nil"/>
              <w:left w:val="nil"/>
              <w:bottom w:val="nil"/>
              <w:right w:val="nil"/>
            </w:tcBorders>
            <w:shd w:val="clear" w:color="auto" w:fill="auto"/>
            <w:tcMar>
              <w:top w:w="80" w:type="dxa"/>
              <w:left w:w="80" w:type="dxa"/>
              <w:bottom w:w="80" w:type="dxa"/>
              <w:right w:w="80" w:type="dxa"/>
            </w:tcMar>
          </w:tcPr>
          <w:p w14:paraId="5EB2E91D"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6 (4)</w:t>
            </w:r>
          </w:p>
        </w:tc>
        <w:tc>
          <w:tcPr>
            <w:tcW w:w="1748" w:type="dxa"/>
            <w:tcBorders>
              <w:top w:val="nil"/>
              <w:left w:val="nil"/>
              <w:bottom w:val="nil"/>
              <w:right w:val="nil"/>
            </w:tcBorders>
            <w:shd w:val="clear" w:color="auto" w:fill="auto"/>
            <w:tcMar>
              <w:top w:w="80" w:type="dxa"/>
              <w:left w:w="80" w:type="dxa"/>
              <w:bottom w:w="80" w:type="dxa"/>
              <w:right w:w="80" w:type="dxa"/>
            </w:tcMar>
          </w:tcPr>
          <w:p w14:paraId="10A5D461"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Europe: 2; China: 2; SEAR: 1; United States: 1</w:t>
            </w:r>
          </w:p>
        </w:tc>
        <w:tc>
          <w:tcPr>
            <w:tcW w:w="777" w:type="dxa"/>
            <w:tcBorders>
              <w:top w:val="nil"/>
              <w:left w:val="nil"/>
              <w:bottom w:val="nil"/>
              <w:right w:val="nil"/>
            </w:tcBorders>
            <w:shd w:val="clear" w:color="auto" w:fill="auto"/>
            <w:tcMar>
              <w:top w:w="80" w:type="dxa"/>
              <w:left w:w="80" w:type="dxa"/>
              <w:bottom w:w="80" w:type="dxa"/>
              <w:right w:w="80" w:type="dxa"/>
            </w:tcMar>
          </w:tcPr>
          <w:p w14:paraId="44D154B8"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44</w:t>
            </w:r>
          </w:p>
        </w:tc>
        <w:tc>
          <w:tcPr>
            <w:tcW w:w="892" w:type="dxa"/>
            <w:tcBorders>
              <w:top w:val="nil"/>
              <w:left w:val="nil"/>
              <w:bottom w:val="nil"/>
              <w:right w:val="nil"/>
            </w:tcBorders>
            <w:shd w:val="clear" w:color="auto" w:fill="auto"/>
            <w:tcMar>
              <w:top w:w="80" w:type="dxa"/>
              <w:left w:w="80" w:type="dxa"/>
              <w:bottom w:w="80" w:type="dxa"/>
              <w:right w:w="80" w:type="dxa"/>
            </w:tcMar>
          </w:tcPr>
          <w:p w14:paraId="2DABFBA0"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1:1</w:t>
            </w:r>
          </w:p>
        </w:tc>
        <w:tc>
          <w:tcPr>
            <w:tcW w:w="706" w:type="dxa"/>
            <w:tcBorders>
              <w:top w:val="nil"/>
              <w:left w:val="nil"/>
              <w:bottom w:val="nil"/>
              <w:right w:val="nil"/>
            </w:tcBorders>
            <w:shd w:val="clear" w:color="auto" w:fill="auto"/>
            <w:tcMar>
              <w:top w:w="80" w:type="dxa"/>
              <w:left w:w="80" w:type="dxa"/>
              <w:bottom w:w="80" w:type="dxa"/>
              <w:right w:w="80" w:type="dxa"/>
            </w:tcMar>
          </w:tcPr>
          <w:p w14:paraId="39E0E85D"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6</w:t>
            </w:r>
          </w:p>
        </w:tc>
        <w:tc>
          <w:tcPr>
            <w:tcW w:w="832" w:type="dxa"/>
            <w:tcBorders>
              <w:top w:val="nil"/>
              <w:left w:val="nil"/>
              <w:bottom w:val="nil"/>
              <w:right w:val="nil"/>
            </w:tcBorders>
            <w:shd w:val="clear" w:color="auto" w:fill="auto"/>
            <w:tcMar>
              <w:top w:w="80" w:type="dxa"/>
              <w:left w:w="80" w:type="dxa"/>
              <w:bottom w:w="80" w:type="dxa"/>
              <w:right w:w="80" w:type="dxa"/>
            </w:tcMar>
          </w:tcPr>
          <w:p w14:paraId="043F1D51"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5</w:t>
            </w:r>
          </w:p>
        </w:tc>
        <w:tc>
          <w:tcPr>
            <w:tcW w:w="834" w:type="dxa"/>
            <w:tcBorders>
              <w:top w:val="nil"/>
              <w:left w:val="nil"/>
              <w:bottom w:val="nil"/>
              <w:right w:val="nil"/>
            </w:tcBorders>
            <w:shd w:val="clear" w:color="auto" w:fill="auto"/>
            <w:tcMar>
              <w:top w:w="80" w:type="dxa"/>
              <w:left w:w="80" w:type="dxa"/>
              <w:bottom w:w="80" w:type="dxa"/>
              <w:right w:w="80" w:type="dxa"/>
            </w:tcMar>
          </w:tcPr>
          <w:p w14:paraId="045464A0"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GT 3: 2</w:t>
            </w:r>
          </w:p>
        </w:tc>
        <w:tc>
          <w:tcPr>
            <w:tcW w:w="689" w:type="dxa"/>
            <w:tcBorders>
              <w:top w:val="nil"/>
              <w:left w:val="nil"/>
              <w:bottom w:val="nil"/>
              <w:right w:val="nil"/>
            </w:tcBorders>
            <w:shd w:val="clear" w:color="auto" w:fill="auto"/>
            <w:tcMar>
              <w:top w:w="80" w:type="dxa"/>
              <w:left w:w="80" w:type="dxa"/>
              <w:bottom w:w="80" w:type="dxa"/>
              <w:right w:w="80" w:type="dxa"/>
            </w:tcMar>
          </w:tcPr>
          <w:p w14:paraId="34A50A71"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2</w:t>
            </w:r>
          </w:p>
        </w:tc>
        <w:tc>
          <w:tcPr>
            <w:tcW w:w="689" w:type="dxa"/>
            <w:tcBorders>
              <w:top w:val="nil"/>
              <w:left w:val="nil"/>
              <w:bottom w:val="nil"/>
              <w:right w:val="nil"/>
            </w:tcBorders>
            <w:shd w:val="clear" w:color="auto" w:fill="auto"/>
            <w:tcMar>
              <w:top w:w="80" w:type="dxa"/>
              <w:left w:w="80" w:type="dxa"/>
              <w:bottom w:w="80" w:type="dxa"/>
              <w:right w:w="80" w:type="dxa"/>
            </w:tcMar>
          </w:tcPr>
          <w:p w14:paraId="3A8E735B"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0</w:t>
            </w:r>
          </w:p>
        </w:tc>
        <w:tc>
          <w:tcPr>
            <w:tcW w:w="1532" w:type="dxa"/>
            <w:tcBorders>
              <w:top w:val="nil"/>
              <w:left w:val="nil"/>
              <w:bottom w:val="nil"/>
              <w:right w:val="nil"/>
            </w:tcBorders>
            <w:shd w:val="clear" w:color="auto" w:fill="auto"/>
            <w:tcMar>
              <w:top w:w="80" w:type="dxa"/>
              <w:left w:w="80" w:type="dxa"/>
              <w:bottom w:w="80" w:type="dxa"/>
              <w:right w:w="80" w:type="dxa"/>
            </w:tcMar>
          </w:tcPr>
          <w:p w14:paraId="05EC4FE4"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142 (20-479)</w:t>
            </w:r>
          </w:p>
        </w:tc>
        <w:tc>
          <w:tcPr>
            <w:tcW w:w="960" w:type="dxa"/>
            <w:tcBorders>
              <w:top w:val="nil"/>
              <w:left w:val="nil"/>
              <w:bottom w:val="nil"/>
              <w:right w:val="nil"/>
            </w:tcBorders>
            <w:shd w:val="clear" w:color="auto" w:fill="auto"/>
            <w:tcMar>
              <w:top w:w="80" w:type="dxa"/>
              <w:left w:w="80" w:type="dxa"/>
              <w:bottom w:w="80" w:type="dxa"/>
              <w:right w:w="80" w:type="dxa"/>
            </w:tcMar>
          </w:tcPr>
          <w:p w14:paraId="55C18B89"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w:t>
            </w:r>
          </w:p>
        </w:tc>
        <w:tc>
          <w:tcPr>
            <w:tcW w:w="821" w:type="dxa"/>
            <w:tcBorders>
              <w:top w:val="nil"/>
              <w:left w:val="nil"/>
              <w:bottom w:val="nil"/>
              <w:right w:val="nil"/>
            </w:tcBorders>
            <w:shd w:val="clear" w:color="auto" w:fill="auto"/>
            <w:tcMar>
              <w:top w:w="80" w:type="dxa"/>
              <w:left w:w="80" w:type="dxa"/>
              <w:bottom w:w="80" w:type="dxa"/>
              <w:right w:w="80" w:type="dxa"/>
            </w:tcMar>
          </w:tcPr>
          <w:p w14:paraId="7D12D8F6"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CR: 5; NM: 1</w:t>
            </w:r>
          </w:p>
        </w:tc>
      </w:tr>
      <w:tr w:rsidR="00B4314C" w:rsidRPr="00512804" w14:paraId="74FDCB9D" w14:textId="77777777">
        <w:trPr>
          <w:trHeight w:val="1560"/>
        </w:trPr>
        <w:tc>
          <w:tcPr>
            <w:tcW w:w="1602" w:type="dxa"/>
            <w:tcBorders>
              <w:top w:val="nil"/>
              <w:left w:val="nil"/>
              <w:bottom w:val="nil"/>
              <w:right w:val="nil"/>
            </w:tcBorders>
            <w:shd w:val="clear" w:color="auto" w:fill="auto"/>
            <w:tcMar>
              <w:top w:w="80" w:type="dxa"/>
              <w:left w:w="80" w:type="dxa"/>
              <w:bottom w:w="80" w:type="dxa"/>
              <w:right w:w="80" w:type="dxa"/>
            </w:tcMar>
          </w:tcPr>
          <w:p w14:paraId="29CFE283" w14:textId="77777777" w:rsidR="00B4314C" w:rsidRPr="00512804" w:rsidRDefault="0027755F">
            <w:pPr>
              <w:pStyle w:val="4"/>
              <w:suppressAutoHyphens w:val="0"/>
              <w:spacing w:after="0" w:line="360" w:lineRule="auto"/>
              <w:jc w:val="both"/>
            </w:pPr>
            <w:r w:rsidRPr="00512804">
              <w:rPr>
                <w:rFonts w:ascii="Book Antiqua" w:hAnsi="Book Antiqua"/>
                <w:color w:val="0B0403"/>
                <w:sz w:val="24"/>
                <w:szCs w:val="24"/>
                <w:u w:color="0B0403"/>
              </w:rPr>
              <w:t>Cerebral i</w:t>
            </w:r>
            <w:r w:rsidRPr="00512804">
              <w:rPr>
                <w:rFonts w:ascii="Book Antiqua" w:hAnsi="Book Antiqua"/>
                <w:color w:val="0B0403"/>
                <w:sz w:val="24"/>
                <w:szCs w:val="24"/>
                <w:u w:color="0B0403"/>
              </w:rPr>
              <w:t>s</w:t>
            </w:r>
            <w:r w:rsidRPr="00512804">
              <w:rPr>
                <w:rFonts w:ascii="Book Antiqua" w:hAnsi="Book Antiqua"/>
                <w:color w:val="0B0403"/>
                <w:sz w:val="24"/>
                <w:szCs w:val="24"/>
                <w:u w:color="0B0403"/>
              </w:rPr>
              <w:t>chemia</w:t>
            </w:r>
            <w:r w:rsidRPr="00512804">
              <w:rPr>
                <w:rFonts w:ascii="Book Antiqua" w:hAnsi="Book Antiqua"/>
                <w:color w:val="0B0403"/>
                <w:sz w:val="24"/>
                <w:szCs w:val="24"/>
                <w:u w:color="0B0403"/>
                <w:vertAlign w:val="superscript"/>
              </w:rPr>
              <w:t>[17,20]</w:t>
            </w:r>
          </w:p>
        </w:tc>
        <w:tc>
          <w:tcPr>
            <w:tcW w:w="876" w:type="dxa"/>
            <w:tcBorders>
              <w:top w:val="nil"/>
              <w:left w:val="nil"/>
              <w:bottom w:val="nil"/>
              <w:right w:val="nil"/>
            </w:tcBorders>
            <w:shd w:val="clear" w:color="auto" w:fill="auto"/>
            <w:tcMar>
              <w:top w:w="80" w:type="dxa"/>
              <w:left w:w="80" w:type="dxa"/>
              <w:bottom w:w="80" w:type="dxa"/>
              <w:right w:w="80" w:type="dxa"/>
            </w:tcMar>
          </w:tcPr>
          <w:p w14:paraId="273189F7"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5 (3)</w:t>
            </w:r>
          </w:p>
        </w:tc>
        <w:tc>
          <w:tcPr>
            <w:tcW w:w="1748" w:type="dxa"/>
            <w:tcBorders>
              <w:top w:val="nil"/>
              <w:left w:val="nil"/>
              <w:bottom w:val="nil"/>
              <w:right w:val="nil"/>
            </w:tcBorders>
            <w:shd w:val="clear" w:color="auto" w:fill="auto"/>
            <w:tcMar>
              <w:top w:w="80" w:type="dxa"/>
              <w:left w:w="80" w:type="dxa"/>
              <w:bottom w:w="80" w:type="dxa"/>
              <w:right w:w="80" w:type="dxa"/>
            </w:tcMar>
          </w:tcPr>
          <w:p w14:paraId="3286A26C"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Europe: 3; China: 2</w:t>
            </w:r>
          </w:p>
        </w:tc>
        <w:tc>
          <w:tcPr>
            <w:tcW w:w="777" w:type="dxa"/>
            <w:tcBorders>
              <w:top w:val="nil"/>
              <w:left w:val="nil"/>
              <w:bottom w:val="nil"/>
              <w:right w:val="nil"/>
            </w:tcBorders>
            <w:shd w:val="clear" w:color="auto" w:fill="auto"/>
            <w:tcMar>
              <w:top w:w="80" w:type="dxa"/>
              <w:left w:w="80" w:type="dxa"/>
              <w:bottom w:w="80" w:type="dxa"/>
              <w:right w:w="80" w:type="dxa"/>
            </w:tcMar>
          </w:tcPr>
          <w:p w14:paraId="7211CCF8"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66</w:t>
            </w:r>
          </w:p>
        </w:tc>
        <w:tc>
          <w:tcPr>
            <w:tcW w:w="892" w:type="dxa"/>
            <w:tcBorders>
              <w:top w:val="nil"/>
              <w:left w:val="nil"/>
              <w:bottom w:val="nil"/>
              <w:right w:val="nil"/>
            </w:tcBorders>
            <w:shd w:val="clear" w:color="auto" w:fill="auto"/>
            <w:tcMar>
              <w:top w:w="80" w:type="dxa"/>
              <w:left w:w="80" w:type="dxa"/>
              <w:bottom w:w="80" w:type="dxa"/>
              <w:right w:w="80" w:type="dxa"/>
            </w:tcMar>
          </w:tcPr>
          <w:p w14:paraId="2FF127BA"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4:1</w:t>
            </w:r>
          </w:p>
        </w:tc>
        <w:tc>
          <w:tcPr>
            <w:tcW w:w="706" w:type="dxa"/>
            <w:tcBorders>
              <w:top w:val="nil"/>
              <w:left w:val="nil"/>
              <w:bottom w:val="nil"/>
              <w:right w:val="nil"/>
            </w:tcBorders>
            <w:shd w:val="clear" w:color="auto" w:fill="auto"/>
            <w:tcMar>
              <w:top w:w="80" w:type="dxa"/>
              <w:left w:w="80" w:type="dxa"/>
              <w:bottom w:w="80" w:type="dxa"/>
              <w:right w:w="80" w:type="dxa"/>
            </w:tcMar>
          </w:tcPr>
          <w:p w14:paraId="518DD81F"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FF0000"/>
              </w:rPr>
              <w:t>5</w:t>
            </w:r>
          </w:p>
        </w:tc>
        <w:tc>
          <w:tcPr>
            <w:tcW w:w="832" w:type="dxa"/>
            <w:tcBorders>
              <w:top w:val="nil"/>
              <w:left w:val="nil"/>
              <w:bottom w:val="nil"/>
              <w:right w:val="nil"/>
            </w:tcBorders>
            <w:shd w:val="clear" w:color="auto" w:fill="auto"/>
            <w:tcMar>
              <w:top w:w="80" w:type="dxa"/>
              <w:left w:w="80" w:type="dxa"/>
              <w:bottom w:w="80" w:type="dxa"/>
              <w:right w:w="80" w:type="dxa"/>
            </w:tcMar>
          </w:tcPr>
          <w:p w14:paraId="49A8F707"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FF0000"/>
              </w:rPr>
              <w:t>4</w:t>
            </w:r>
          </w:p>
        </w:tc>
        <w:tc>
          <w:tcPr>
            <w:tcW w:w="834" w:type="dxa"/>
            <w:tcBorders>
              <w:top w:val="nil"/>
              <w:left w:val="nil"/>
              <w:bottom w:val="nil"/>
              <w:right w:val="nil"/>
            </w:tcBorders>
            <w:shd w:val="clear" w:color="auto" w:fill="auto"/>
            <w:tcMar>
              <w:top w:w="80" w:type="dxa"/>
              <w:left w:w="80" w:type="dxa"/>
              <w:bottom w:w="80" w:type="dxa"/>
              <w:right w:w="80" w:type="dxa"/>
            </w:tcMar>
          </w:tcPr>
          <w:p w14:paraId="7219923E"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GT3: 2</w:t>
            </w:r>
          </w:p>
        </w:tc>
        <w:tc>
          <w:tcPr>
            <w:tcW w:w="689" w:type="dxa"/>
            <w:tcBorders>
              <w:top w:val="nil"/>
              <w:left w:val="nil"/>
              <w:bottom w:val="nil"/>
              <w:right w:val="nil"/>
            </w:tcBorders>
            <w:shd w:val="clear" w:color="auto" w:fill="auto"/>
            <w:tcMar>
              <w:top w:w="80" w:type="dxa"/>
              <w:left w:w="80" w:type="dxa"/>
              <w:bottom w:w="80" w:type="dxa"/>
              <w:right w:w="80" w:type="dxa"/>
            </w:tcMar>
          </w:tcPr>
          <w:p w14:paraId="5A0C5865"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0</w:t>
            </w:r>
          </w:p>
        </w:tc>
        <w:tc>
          <w:tcPr>
            <w:tcW w:w="689" w:type="dxa"/>
            <w:tcBorders>
              <w:top w:val="nil"/>
              <w:left w:val="nil"/>
              <w:bottom w:val="nil"/>
              <w:right w:val="nil"/>
            </w:tcBorders>
            <w:shd w:val="clear" w:color="auto" w:fill="auto"/>
            <w:tcMar>
              <w:top w:w="80" w:type="dxa"/>
              <w:left w:w="80" w:type="dxa"/>
              <w:bottom w:w="80" w:type="dxa"/>
              <w:right w:w="80" w:type="dxa"/>
            </w:tcMar>
          </w:tcPr>
          <w:p w14:paraId="26A80EE8"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0</w:t>
            </w:r>
          </w:p>
        </w:tc>
        <w:tc>
          <w:tcPr>
            <w:tcW w:w="1532" w:type="dxa"/>
            <w:tcBorders>
              <w:top w:val="nil"/>
              <w:left w:val="nil"/>
              <w:bottom w:val="nil"/>
              <w:right w:val="nil"/>
            </w:tcBorders>
            <w:shd w:val="clear" w:color="auto" w:fill="auto"/>
            <w:tcMar>
              <w:top w:w="80" w:type="dxa"/>
              <w:left w:w="80" w:type="dxa"/>
              <w:bottom w:w="80" w:type="dxa"/>
              <w:right w:w="80" w:type="dxa"/>
            </w:tcMar>
          </w:tcPr>
          <w:p w14:paraId="1850A98F"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18 (8-28)</w:t>
            </w:r>
          </w:p>
        </w:tc>
        <w:tc>
          <w:tcPr>
            <w:tcW w:w="960" w:type="dxa"/>
            <w:tcBorders>
              <w:top w:val="nil"/>
              <w:left w:val="nil"/>
              <w:bottom w:val="nil"/>
              <w:right w:val="nil"/>
            </w:tcBorders>
            <w:shd w:val="clear" w:color="auto" w:fill="auto"/>
            <w:tcMar>
              <w:top w:w="80" w:type="dxa"/>
              <w:left w:w="80" w:type="dxa"/>
              <w:bottom w:w="80" w:type="dxa"/>
              <w:right w:w="80" w:type="dxa"/>
            </w:tcMar>
          </w:tcPr>
          <w:p w14:paraId="69858D2B"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0</w:t>
            </w:r>
          </w:p>
        </w:tc>
        <w:tc>
          <w:tcPr>
            <w:tcW w:w="821" w:type="dxa"/>
            <w:tcBorders>
              <w:top w:val="nil"/>
              <w:left w:val="nil"/>
              <w:bottom w:val="nil"/>
              <w:right w:val="nil"/>
            </w:tcBorders>
            <w:shd w:val="clear" w:color="auto" w:fill="auto"/>
            <w:tcMar>
              <w:top w:w="80" w:type="dxa"/>
              <w:left w:w="80" w:type="dxa"/>
              <w:bottom w:w="80" w:type="dxa"/>
              <w:right w:w="80" w:type="dxa"/>
            </w:tcMar>
          </w:tcPr>
          <w:p w14:paraId="438589A1"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FF0000"/>
              </w:rPr>
              <w:t>CR: 3; PR: 2</w:t>
            </w:r>
          </w:p>
        </w:tc>
      </w:tr>
      <w:tr w:rsidR="00B4314C" w:rsidRPr="00512804" w14:paraId="2E8E2B60" w14:textId="77777777">
        <w:trPr>
          <w:trHeight w:val="720"/>
        </w:trPr>
        <w:tc>
          <w:tcPr>
            <w:tcW w:w="1602" w:type="dxa"/>
            <w:tcBorders>
              <w:top w:val="nil"/>
              <w:left w:val="nil"/>
              <w:bottom w:val="nil"/>
              <w:right w:val="nil"/>
            </w:tcBorders>
            <w:shd w:val="clear" w:color="auto" w:fill="auto"/>
            <w:tcMar>
              <w:top w:w="80" w:type="dxa"/>
              <w:left w:w="80" w:type="dxa"/>
              <w:bottom w:w="80" w:type="dxa"/>
              <w:right w:w="80" w:type="dxa"/>
            </w:tcMar>
          </w:tcPr>
          <w:p w14:paraId="477935FA" w14:textId="77777777" w:rsidR="00B4314C" w:rsidRPr="00512804" w:rsidRDefault="0027755F">
            <w:pPr>
              <w:pStyle w:val="4"/>
              <w:suppressAutoHyphens w:val="0"/>
              <w:spacing w:after="0" w:line="360" w:lineRule="auto"/>
              <w:jc w:val="both"/>
            </w:pPr>
            <w:r w:rsidRPr="00512804">
              <w:rPr>
                <w:rFonts w:ascii="Book Antiqua" w:hAnsi="Book Antiqua"/>
                <w:color w:val="0B0403"/>
                <w:sz w:val="24"/>
                <w:szCs w:val="24"/>
                <w:u w:color="0B0403"/>
              </w:rPr>
              <w:t>Seizures</w:t>
            </w:r>
            <w:r w:rsidRPr="00512804">
              <w:rPr>
                <w:rFonts w:ascii="Book Antiqua" w:hAnsi="Book Antiqua"/>
                <w:color w:val="0B0403"/>
                <w:sz w:val="24"/>
                <w:szCs w:val="24"/>
                <w:u w:color="0B0403"/>
                <w:vertAlign w:val="superscript"/>
              </w:rPr>
              <w:t>[17]</w:t>
            </w:r>
          </w:p>
        </w:tc>
        <w:tc>
          <w:tcPr>
            <w:tcW w:w="876" w:type="dxa"/>
            <w:tcBorders>
              <w:top w:val="nil"/>
              <w:left w:val="nil"/>
              <w:bottom w:val="nil"/>
              <w:right w:val="nil"/>
            </w:tcBorders>
            <w:shd w:val="clear" w:color="auto" w:fill="auto"/>
            <w:tcMar>
              <w:top w:w="80" w:type="dxa"/>
              <w:left w:w="80" w:type="dxa"/>
              <w:bottom w:w="80" w:type="dxa"/>
              <w:right w:w="80" w:type="dxa"/>
            </w:tcMar>
          </w:tcPr>
          <w:p w14:paraId="1018A00C"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2 (1)</w:t>
            </w:r>
          </w:p>
        </w:tc>
        <w:tc>
          <w:tcPr>
            <w:tcW w:w="1748" w:type="dxa"/>
            <w:tcBorders>
              <w:top w:val="nil"/>
              <w:left w:val="nil"/>
              <w:bottom w:val="nil"/>
              <w:right w:val="nil"/>
            </w:tcBorders>
            <w:shd w:val="clear" w:color="auto" w:fill="auto"/>
            <w:tcMar>
              <w:top w:w="80" w:type="dxa"/>
              <w:left w:w="80" w:type="dxa"/>
              <w:bottom w:w="80" w:type="dxa"/>
              <w:right w:w="80" w:type="dxa"/>
            </w:tcMar>
          </w:tcPr>
          <w:p w14:paraId="1BC0B93D"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Europe</w:t>
            </w:r>
          </w:p>
        </w:tc>
        <w:tc>
          <w:tcPr>
            <w:tcW w:w="777" w:type="dxa"/>
            <w:tcBorders>
              <w:top w:val="nil"/>
              <w:left w:val="nil"/>
              <w:bottom w:val="nil"/>
              <w:right w:val="nil"/>
            </w:tcBorders>
            <w:shd w:val="clear" w:color="auto" w:fill="auto"/>
            <w:tcMar>
              <w:top w:w="80" w:type="dxa"/>
              <w:left w:w="80" w:type="dxa"/>
              <w:bottom w:w="80" w:type="dxa"/>
              <w:right w:w="80" w:type="dxa"/>
            </w:tcMar>
          </w:tcPr>
          <w:p w14:paraId="4B8F1A92"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71</w:t>
            </w:r>
          </w:p>
        </w:tc>
        <w:tc>
          <w:tcPr>
            <w:tcW w:w="892" w:type="dxa"/>
            <w:tcBorders>
              <w:top w:val="nil"/>
              <w:left w:val="nil"/>
              <w:bottom w:val="nil"/>
              <w:right w:val="nil"/>
            </w:tcBorders>
            <w:shd w:val="clear" w:color="auto" w:fill="auto"/>
            <w:tcMar>
              <w:top w:w="80" w:type="dxa"/>
              <w:left w:w="80" w:type="dxa"/>
              <w:bottom w:w="80" w:type="dxa"/>
              <w:right w:w="80" w:type="dxa"/>
            </w:tcMar>
          </w:tcPr>
          <w:p w14:paraId="4BFB42D5"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1:1</w:t>
            </w:r>
          </w:p>
        </w:tc>
        <w:tc>
          <w:tcPr>
            <w:tcW w:w="706" w:type="dxa"/>
            <w:tcBorders>
              <w:top w:val="nil"/>
              <w:left w:val="nil"/>
              <w:bottom w:val="nil"/>
              <w:right w:val="nil"/>
            </w:tcBorders>
            <w:shd w:val="clear" w:color="auto" w:fill="auto"/>
            <w:tcMar>
              <w:top w:w="80" w:type="dxa"/>
              <w:left w:w="80" w:type="dxa"/>
              <w:bottom w:w="80" w:type="dxa"/>
              <w:right w:w="80" w:type="dxa"/>
            </w:tcMar>
          </w:tcPr>
          <w:p w14:paraId="013FBF86"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2</w:t>
            </w:r>
          </w:p>
        </w:tc>
        <w:tc>
          <w:tcPr>
            <w:tcW w:w="832" w:type="dxa"/>
            <w:tcBorders>
              <w:top w:val="nil"/>
              <w:left w:val="nil"/>
              <w:bottom w:val="nil"/>
              <w:right w:val="nil"/>
            </w:tcBorders>
            <w:shd w:val="clear" w:color="auto" w:fill="auto"/>
            <w:tcMar>
              <w:top w:w="80" w:type="dxa"/>
              <w:left w:w="80" w:type="dxa"/>
              <w:bottom w:w="80" w:type="dxa"/>
              <w:right w:w="80" w:type="dxa"/>
            </w:tcMar>
          </w:tcPr>
          <w:p w14:paraId="05A31881"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w:t>
            </w:r>
          </w:p>
        </w:tc>
        <w:tc>
          <w:tcPr>
            <w:tcW w:w="834" w:type="dxa"/>
            <w:tcBorders>
              <w:top w:val="nil"/>
              <w:left w:val="nil"/>
              <w:bottom w:val="nil"/>
              <w:right w:val="nil"/>
            </w:tcBorders>
            <w:shd w:val="clear" w:color="auto" w:fill="auto"/>
            <w:tcMar>
              <w:top w:w="80" w:type="dxa"/>
              <w:left w:w="80" w:type="dxa"/>
              <w:bottom w:w="80" w:type="dxa"/>
              <w:right w:w="80" w:type="dxa"/>
            </w:tcMar>
          </w:tcPr>
          <w:p w14:paraId="5CEFAF68"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GT3: 1</w:t>
            </w:r>
          </w:p>
        </w:tc>
        <w:tc>
          <w:tcPr>
            <w:tcW w:w="689" w:type="dxa"/>
            <w:tcBorders>
              <w:top w:val="nil"/>
              <w:left w:val="nil"/>
              <w:bottom w:val="nil"/>
              <w:right w:val="nil"/>
            </w:tcBorders>
            <w:shd w:val="clear" w:color="auto" w:fill="auto"/>
            <w:tcMar>
              <w:top w:w="80" w:type="dxa"/>
              <w:left w:w="80" w:type="dxa"/>
              <w:bottom w:w="80" w:type="dxa"/>
              <w:right w:w="80" w:type="dxa"/>
            </w:tcMar>
          </w:tcPr>
          <w:p w14:paraId="72290400"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0</w:t>
            </w:r>
          </w:p>
        </w:tc>
        <w:tc>
          <w:tcPr>
            <w:tcW w:w="689" w:type="dxa"/>
            <w:tcBorders>
              <w:top w:val="nil"/>
              <w:left w:val="nil"/>
              <w:bottom w:val="nil"/>
              <w:right w:val="nil"/>
            </w:tcBorders>
            <w:shd w:val="clear" w:color="auto" w:fill="auto"/>
            <w:tcMar>
              <w:top w:w="80" w:type="dxa"/>
              <w:left w:w="80" w:type="dxa"/>
              <w:bottom w:w="80" w:type="dxa"/>
              <w:right w:w="80" w:type="dxa"/>
            </w:tcMar>
          </w:tcPr>
          <w:p w14:paraId="2A8B5F13"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0</w:t>
            </w:r>
          </w:p>
        </w:tc>
        <w:tc>
          <w:tcPr>
            <w:tcW w:w="1532" w:type="dxa"/>
            <w:tcBorders>
              <w:top w:val="nil"/>
              <w:left w:val="nil"/>
              <w:bottom w:val="nil"/>
              <w:right w:val="nil"/>
            </w:tcBorders>
            <w:shd w:val="clear" w:color="auto" w:fill="auto"/>
            <w:tcMar>
              <w:top w:w="80" w:type="dxa"/>
              <w:left w:w="80" w:type="dxa"/>
              <w:bottom w:w="80" w:type="dxa"/>
              <w:right w:w="80" w:type="dxa"/>
            </w:tcMar>
          </w:tcPr>
          <w:p w14:paraId="3FCB251C"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19 (10-28)</w:t>
            </w:r>
          </w:p>
        </w:tc>
        <w:tc>
          <w:tcPr>
            <w:tcW w:w="960" w:type="dxa"/>
            <w:tcBorders>
              <w:top w:val="nil"/>
              <w:left w:val="nil"/>
              <w:bottom w:val="nil"/>
              <w:right w:val="nil"/>
            </w:tcBorders>
            <w:shd w:val="clear" w:color="auto" w:fill="auto"/>
            <w:tcMar>
              <w:top w:w="80" w:type="dxa"/>
              <w:left w:w="80" w:type="dxa"/>
              <w:bottom w:w="80" w:type="dxa"/>
              <w:right w:w="80" w:type="dxa"/>
            </w:tcMar>
          </w:tcPr>
          <w:p w14:paraId="6F5B6867"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0</w:t>
            </w:r>
          </w:p>
        </w:tc>
        <w:tc>
          <w:tcPr>
            <w:tcW w:w="821" w:type="dxa"/>
            <w:tcBorders>
              <w:top w:val="nil"/>
              <w:left w:val="nil"/>
              <w:bottom w:val="nil"/>
              <w:right w:val="nil"/>
            </w:tcBorders>
            <w:shd w:val="clear" w:color="auto" w:fill="auto"/>
            <w:tcMar>
              <w:top w:w="80" w:type="dxa"/>
              <w:left w:w="80" w:type="dxa"/>
              <w:bottom w:w="80" w:type="dxa"/>
              <w:right w:w="80" w:type="dxa"/>
            </w:tcMar>
          </w:tcPr>
          <w:p w14:paraId="20C13154"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CR: 2</w:t>
            </w:r>
          </w:p>
        </w:tc>
      </w:tr>
      <w:tr w:rsidR="00B4314C" w:rsidRPr="00512804" w14:paraId="6F66B751" w14:textId="77777777">
        <w:trPr>
          <w:trHeight w:val="1560"/>
        </w:trPr>
        <w:tc>
          <w:tcPr>
            <w:tcW w:w="1602" w:type="dxa"/>
            <w:tcBorders>
              <w:top w:val="nil"/>
              <w:left w:val="nil"/>
              <w:bottom w:val="nil"/>
              <w:right w:val="nil"/>
            </w:tcBorders>
            <w:shd w:val="clear" w:color="auto" w:fill="auto"/>
            <w:tcMar>
              <w:top w:w="80" w:type="dxa"/>
              <w:left w:w="80" w:type="dxa"/>
              <w:bottom w:w="80" w:type="dxa"/>
              <w:right w:w="80" w:type="dxa"/>
            </w:tcMar>
          </w:tcPr>
          <w:p w14:paraId="1F22BCC5" w14:textId="77777777" w:rsidR="00B4314C" w:rsidRPr="00512804" w:rsidRDefault="0027755F">
            <w:pPr>
              <w:pStyle w:val="4"/>
              <w:suppressAutoHyphens w:val="0"/>
              <w:spacing w:after="0" w:line="360" w:lineRule="auto"/>
              <w:jc w:val="both"/>
            </w:pPr>
            <w:r w:rsidRPr="00512804">
              <w:rPr>
                <w:rFonts w:ascii="Book Antiqua" w:hAnsi="Book Antiqua"/>
                <w:color w:val="0B0403"/>
                <w:sz w:val="24"/>
                <w:szCs w:val="24"/>
                <w:u w:color="0B0403"/>
              </w:rPr>
              <w:t>Transverse myelitis</w:t>
            </w:r>
            <w:r w:rsidRPr="00512804">
              <w:rPr>
                <w:rFonts w:ascii="Book Antiqua" w:hAnsi="Book Antiqua"/>
                <w:color w:val="0B0403"/>
                <w:sz w:val="24"/>
                <w:szCs w:val="24"/>
                <w:u w:color="0B0403"/>
                <w:vertAlign w:val="superscript"/>
              </w:rPr>
              <w:t>[88]</w:t>
            </w:r>
          </w:p>
        </w:tc>
        <w:tc>
          <w:tcPr>
            <w:tcW w:w="876" w:type="dxa"/>
            <w:tcBorders>
              <w:top w:val="nil"/>
              <w:left w:val="nil"/>
              <w:bottom w:val="nil"/>
              <w:right w:val="nil"/>
            </w:tcBorders>
            <w:shd w:val="clear" w:color="auto" w:fill="auto"/>
            <w:tcMar>
              <w:top w:w="80" w:type="dxa"/>
              <w:left w:w="80" w:type="dxa"/>
              <w:bottom w:w="80" w:type="dxa"/>
              <w:right w:w="80" w:type="dxa"/>
            </w:tcMar>
          </w:tcPr>
          <w:p w14:paraId="12B0A291"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 (0.6)</w:t>
            </w:r>
          </w:p>
        </w:tc>
        <w:tc>
          <w:tcPr>
            <w:tcW w:w="1748" w:type="dxa"/>
            <w:tcBorders>
              <w:top w:val="nil"/>
              <w:left w:val="nil"/>
              <w:bottom w:val="nil"/>
              <w:right w:val="nil"/>
            </w:tcBorders>
            <w:shd w:val="clear" w:color="auto" w:fill="auto"/>
            <w:tcMar>
              <w:top w:w="80" w:type="dxa"/>
              <w:left w:w="80" w:type="dxa"/>
              <w:bottom w:w="80" w:type="dxa"/>
              <w:right w:w="80" w:type="dxa"/>
            </w:tcMar>
          </w:tcPr>
          <w:p w14:paraId="1D5955B7"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Europe</w:t>
            </w:r>
          </w:p>
        </w:tc>
        <w:tc>
          <w:tcPr>
            <w:tcW w:w="777" w:type="dxa"/>
            <w:tcBorders>
              <w:top w:val="nil"/>
              <w:left w:val="nil"/>
              <w:bottom w:val="nil"/>
              <w:right w:val="nil"/>
            </w:tcBorders>
            <w:shd w:val="clear" w:color="auto" w:fill="auto"/>
            <w:tcMar>
              <w:top w:w="80" w:type="dxa"/>
              <w:left w:w="80" w:type="dxa"/>
              <w:bottom w:w="80" w:type="dxa"/>
              <w:right w:w="80" w:type="dxa"/>
            </w:tcMar>
          </w:tcPr>
          <w:p w14:paraId="073A1A70"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62</w:t>
            </w:r>
          </w:p>
        </w:tc>
        <w:tc>
          <w:tcPr>
            <w:tcW w:w="892" w:type="dxa"/>
            <w:tcBorders>
              <w:top w:val="nil"/>
              <w:left w:val="nil"/>
              <w:bottom w:val="nil"/>
              <w:right w:val="nil"/>
            </w:tcBorders>
            <w:shd w:val="clear" w:color="auto" w:fill="auto"/>
            <w:tcMar>
              <w:top w:w="80" w:type="dxa"/>
              <w:left w:w="80" w:type="dxa"/>
              <w:bottom w:w="80" w:type="dxa"/>
              <w:right w:w="80" w:type="dxa"/>
            </w:tcMar>
          </w:tcPr>
          <w:p w14:paraId="5B14DCB4"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0:1</w:t>
            </w:r>
          </w:p>
        </w:tc>
        <w:tc>
          <w:tcPr>
            <w:tcW w:w="706" w:type="dxa"/>
            <w:tcBorders>
              <w:top w:val="nil"/>
              <w:left w:val="nil"/>
              <w:bottom w:val="nil"/>
              <w:right w:val="nil"/>
            </w:tcBorders>
            <w:shd w:val="clear" w:color="auto" w:fill="auto"/>
            <w:tcMar>
              <w:top w:w="80" w:type="dxa"/>
              <w:left w:w="80" w:type="dxa"/>
              <w:bottom w:w="80" w:type="dxa"/>
              <w:right w:w="80" w:type="dxa"/>
            </w:tcMar>
          </w:tcPr>
          <w:p w14:paraId="4A63D110"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w:t>
            </w:r>
          </w:p>
        </w:tc>
        <w:tc>
          <w:tcPr>
            <w:tcW w:w="832" w:type="dxa"/>
            <w:tcBorders>
              <w:top w:val="nil"/>
              <w:left w:val="nil"/>
              <w:bottom w:val="nil"/>
              <w:right w:val="nil"/>
            </w:tcBorders>
            <w:shd w:val="clear" w:color="auto" w:fill="auto"/>
            <w:tcMar>
              <w:top w:w="80" w:type="dxa"/>
              <w:left w:w="80" w:type="dxa"/>
              <w:bottom w:w="80" w:type="dxa"/>
              <w:right w:w="80" w:type="dxa"/>
            </w:tcMar>
          </w:tcPr>
          <w:p w14:paraId="72582D53"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w:t>
            </w:r>
          </w:p>
        </w:tc>
        <w:tc>
          <w:tcPr>
            <w:tcW w:w="834" w:type="dxa"/>
            <w:tcBorders>
              <w:top w:val="nil"/>
              <w:left w:val="nil"/>
              <w:bottom w:val="nil"/>
              <w:right w:val="nil"/>
            </w:tcBorders>
            <w:shd w:val="clear" w:color="auto" w:fill="auto"/>
            <w:tcMar>
              <w:top w:w="80" w:type="dxa"/>
              <w:left w:w="80" w:type="dxa"/>
              <w:bottom w:w="80" w:type="dxa"/>
              <w:right w:w="80" w:type="dxa"/>
            </w:tcMar>
          </w:tcPr>
          <w:p w14:paraId="3BCFB32D"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GT3: 1</w:t>
            </w:r>
          </w:p>
        </w:tc>
        <w:tc>
          <w:tcPr>
            <w:tcW w:w="689" w:type="dxa"/>
            <w:tcBorders>
              <w:top w:val="nil"/>
              <w:left w:val="nil"/>
              <w:bottom w:val="nil"/>
              <w:right w:val="nil"/>
            </w:tcBorders>
            <w:shd w:val="clear" w:color="auto" w:fill="auto"/>
            <w:tcMar>
              <w:top w:w="80" w:type="dxa"/>
              <w:left w:w="80" w:type="dxa"/>
              <w:bottom w:w="80" w:type="dxa"/>
              <w:right w:w="80" w:type="dxa"/>
            </w:tcMar>
          </w:tcPr>
          <w:p w14:paraId="2A19A016"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w:t>
            </w:r>
          </w:p>
        </w:tc>
        <w:tc>
          <w:tcPr>
            <w:tcW w:w="689" w:type="dxa"/>
            <w:tcBorders>
              <w:top w:val="nil"/>
              <w:left w:val="nil"/>
              <w:bottom w:val="nil"/>
              <w:right w:val="nil"/>
            </w:tcBorders>
            <w:shd w:val="clear" w:color="auto" w:fill="auto"/>
            <w:tcMar>
              <w:top w:w="80" w:type="dxa"/>
              <w:left w:w="80" w:type="dxa"/>
              <w:bottom w:w="80" w:type="dxa"/>
              <w:right w:w="80" w:type="dxa"/>
            </w:tcMar>
          </w:tcPr>
          <w:p w14:paraId="341F448F"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0</w:t>
            </w:r>
          </w:p>
        </w:tc>
        <w:tc>
          <w:tcPr>
            <w:tcW w:w="1532" w:type="dxa"/>
            <w:tcBorders>
              <w:top w:val="nil"/>
              <w:left w:val="nil"/>
              <w:bottom w:val="nil"/>
              <w:right w:val="nil"/>
            </w:tcBorders>
            <w:shd w:val="clear" w:color="auto" w:fill="auto"/>
            <w:tcMar>
              <w:top w:w="80" w:type="dxa"/>
              <w:left w:w="80" w:type="dxa"/>
              <w:bottom w:w="80" w:type="dxa"/>
              <w:right w:w="80" w:type="dxa"/>
            </w:tcMar>
          </w:tcPr>
          <w:p w14:paraId="2E95F040"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1152</w:t>
            </w:r>
          </w:p>
        </w:tc>
        <w:tc>
          <w:tcPr>
            <w:tcW w:w="960" w:type="dxa"/>
            <w:tcBorders>
              <w:top w:val="nil"/>
              <w:left w:val="nil"/>
              <w:bottom w:val="nil"/>
              <w:right w:val="nil"/>
            </w:tcBorders>
            <w:shd w:val="clear" w:color="auto" w:fill="auto"/>
            <w:tcMar>
              <w:top w:w="80" w:type="dxa"/>
              <w:left w:w="80" w:type="dxa"/>
              <w:bottom w:w="80" w:type="dxa"/>
              <w:right w:w="80" w:type="dxa"/>
            </w:tcMar>
          </w:tcPr>
          <w:p w14:paraId="492E99F8"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0</w:t>
            </w:r>
          </w:p>
        </w:tc>
        <w:tc>
          <w:tcPr>
            <w:tcW w:w="821" w:type="dxa"/>
            <w:tcBorders>
              <w:top w:val="nil"/>
              <w:left w:val="nil"/>
              <w:bottom w:val="nil"/>
              <w:right w:val="nil"/>
            </w:tcBorders>
            <w:shd w:val="clear" w:color="auto" w:fill="auto"/>
            <w:tcMar>
              <w:top w:w="80" w:type="dxa"/>
              <w:left w:w="80" w:type="dxa"/>
              <w:bottom w:w="80" w:type="dxa"/>
              <w:right w:w="80" w:type="dxa"/>
            </w:tcMar>
          </w:tcPr>
          <w:p w14:paraId="1BD5AD51"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PR: 1</w:t>
            </w:r>
          </w:p>
        </w:tc>
      </w:tr>
      <w:tr w:rsidR="00B4314C" w:rsidRPr="00512804" w14:paraId="02E62780" w14:textId="77777777">
        <w:trPr>
          <w:trHeight w:val="300"/>
        </w:trPr>
        <w:tc>
          <w:tcPr>
            <w:tcW w:w="12959" w:type="dxa"/>
            <w:gridSpan w:val="13"/>
            <w:tcBorders>
              <w:top w:val="nil"/>
              <w:left w:val="nil"/>
              <w:bottom w:val="nil"/>
              <w:right w:val="nil"/>
            </w:tcBorders>
            <w:shd w:val="clear" w:color="auto" w:fill="auto"/>
            <w:tcMar>
              <w:top w:w="80" w:type="dxa"/>
              <w:left w:w="80" w:type="dxa"/>
              <w:bottom w:w="80" w:type="dxa"/>
              <w:right w:w="80" w:type="dxa"/>
            </w:tcMar>
          </w:tcPr>
          <w:p w14:paraId="529395C9" w14:textId="77777777" w:rsidR="00B4314C" w:rsidRPr="00512804" w:rsidRDefault="0027755F">
            <w:pPr>
              <w:pStyle w:val="BodyA"/>
              <w:spacing w:line="360" w:lineRule="auto"/>
              <w:jc w:val="both"/>
            </w:pPr>
            <w:r w:rsidRPr="00512804">
              <w:rPr>
                <w:rFonts w:ascii="Book Antiqua" w:hAnsi="Book Antiqua"/>
                <w:b/>
                <w:bCs/>
                <w:color w:val="0B0403"/>
                <w:u w:color="0B0403"/>
              </w:rPr>
              <w:t>Neuropathy</w:t>
            </w:r>
          </w:p>
        </w:tc>
      </w:tr>
      <w:tr w:rsidR="00B4314C" w:rsidRPr="00512804" w14:paraId="2278BD9B" w14:textId="77777777">
        <w:trPr>
          <w:trHeight w:val="1560"/>
        </w:trPr>
        <w:tc>
          <w:tcPr>
            <w:tcW w:w="1602" w:type="dxa"/>
            <w:tcBorders>
              <w:top w:val="nil"/>
              <w:left w:val="nil"/>
              <w:bottom w:val="nil"/>
              <w:right w:val="nil"/>
            </w:tcBorders>
            <w:shd w:val="clear" w:color="auto" w:fill="auto"/>
            <w:tcMar>
              <w:top w:w="80" w:type="dxa"/>
              <w:left w:w="80" w:type="dxa"/>
              <w:bottom w:w="80" w:type="dxa"/>
              <w:right w:w="80" w:type="dxa"/>
            </w:tcMar>
          </w:tcPr>
          <w:p w14:paraId="5286070E" w14:textId="77777777" w:rsidR="00B4314C" w:rsidRPr="00512804" w:rsidRDefault="0027755F">
            <w:pPr>
              <w:pStyle w:val="Default"/>
              <w:suppressAutoHyphens w:val="0"/>
              <w:spacing w:after="0" w:line="360" w:lineRule="auto"/>
              <w:jc w:val="both"/>
            </w:pPr>
            <w:r w:rsidRPr="00512804">
              <w:rPr>
                <w:rFonts w:ascii="Book Antiqua" w:hAnsi="Book Antiqua"/>
                <w:color w:val="0B0403"/>
                <w:sz w:val="24"/>
                <w:szCs w:val="24"/>
                <w:u w:color="0B0403"/>
              </w:rPr>
              <w:t>Mononeur</w:t>
            </w:r>
            <w:r w:rsidRPr="00512804">
              <w:rPr>
                <w:rFonts w:ascii="Book Antiqua" w:hAnsi="Book Antiqua"/>
                <w:color w:val="0B0403"/>
                <w:sz w:val="24"/>
                <w:szCs w:val="24"/>
                <w:u w:color="0B0403"/>
              </w:rPr>
              <w:t>i</w:t>
            </w:r>
            <w:r w:rsidRPr="00512804">
              <w:rPr>
                <w:rFonts w:ascii="Book Antiqua" w:hAnsi="Book Antiqua"/>
                <w:color w:val="0B0403"/>
                <w:sz w:val="24"/>
                <w:szCs w:val="24"/>
                <w:u w:color="0B0403"/>
              </w:rPr>
              <w:t>tis mult</w:t>
            </w:r>
            <w:r w:rsidRPr="00512804">
              <w:rPr>
                <w:rFonts w:ascii="Book Antiqua" w:hAnsi="Book Antiqua"/>
                <w:color w:val="0B0403"/>
                <w:sz w:val="24"/>
                <w:szCs w:val="24"/>
                <w:u w:color="0B0403"/>
              </w:rPr>
              <w:t>i</w:t>
            </w:r>
            <w:r w:rsidRPr="00512804">
              <w:rPr>
                <w:rFonts w:ascii="Book Antiqua" w:hAnsi="Book Antiqua"/>
                <w:color w:val="0B0403"/>
                <w:sz w:val="24"/>
                <w:szCs w:val="24"/>
                <w:u w:color="0B0403"/>
              </w:rPr>
              <w:t>plex</w:t>
            </w:r>
            <w:r w:rsidRPr="00512804">
              <w:rPr>
                <w:rFonts w:ascii="Book Antiqua" w:hAnsi="Book Antiqua"/>
                <w:color w:val="0B0403"/>
                <w:sz w:val="24"/>
                <w:szCs w:val="24"/>
                <w:u w:color="0B0403"/>
                <w:vertAlign w:val="superscript"/>
              </w:rPr>
              <w:t>[36]</w:t>
            </w:r>
          </w:p>
        </w:tc>
        <w:tc>
          <w:tcPr>
            <w:tcW w:w="876" w:type="dxa"/>
            <w:tcBorders>
              <w:top w:val="nil"/>
              <w:left w:val="nil"/>
              <w:bottom w:val="nil"/>
              <w:right w:val="nil"/>
            </w:tcBorders>
            <w:shd w:val="clear" w:color="auto" w:fill="auto"/>
            <w:tcMar>
              <w:top w:w="80" w:type="dxa"/>
              <w:left w:w="80" w:type="dxa"/>
              <w:bottom w:w="80" w:type="dxa"/>
              <w:right w:w="80" w:type="dxa"/>
            </w:tcMar>
          </w:tcPr>
          <w:p w14:paraId="7AC98EB5"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6 (4)</w:t>
            </w:r>
          </w:p>
        </w:tc>
        <w:tc>
          <w:tcPr>
            <w:tcW w:w="1748" w:type="dxa"/>
            <w:tcBorders>
              <w:top w:val="nil"/>
              <w:left w:val="nil"/>
              <w:bottom w:val="nil"/>
              <w:right w:val="nil"/>
            </w:tcBorders>
            <w:shd w:val="clear" w:color="auto" w:fill="auto"/>
            <w:tcMar>
              <w:top w:w="80" w:type="dxa"/>
              <w:left w:w="80" w:type="dxa"/>
              <w:bottom w:w="80" w:type="dxa"/>
              <w:right w:w="80" w:type="dxa"/>
            </w:tcMar>
          </w:tcPr>
          <w:p w14:paraId="2174B8CE"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Europe</w:t>
            </w:r>
          </w:p>
        </w:tc>
        <w:tc>
          <w:tcPr>
            <w:tcW w:w="777" w:type="dxa"/>
            <w:tcBorders>
              <w:top w:val="nil"/>
              <w:left w:val="nil"/>
              <w:bottom w:val="nil"/>
              <w:right w:val="nil"/>
            </w:tcBorders>
            <w:shd w:val="clear" w:color="auto" w:fill="auto"/>
            <w:tcMar>
              <w:top w:w="80" w:type="dxa"/>
              <w:left w:w="80" w:type="dxa"/>
              <w:bottom w:w="80" w:type="dxa"/>
              <w:right w:w="80" w:type="dxa"/>
            </w:tcMar>
          </w:tcPr>
          <w:p w14:paraId="15E284D7"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53.16</w:t>
            </w:r>
          </w:p>
        </w:tc>
        <w:tc>
          <w:tcPr>
            <w:tcW w:w="892" w:type="dxa"/>
            <w:tcBorders>
              <w:top w:val="nil"/>
              <w:left w:val="nil"/>
              <w:bottom w:val="nil"/>
              <w:right w:val="nil"/>
            </w:tcBorders>
            <w:shd w:val="clear" w:color="auto" w:fill="auto"/>
            <w:tcMar>
              <w:top w:w="80" w:type="dxa"/>
              <w:left w:w="80" w:type="dxa"/>
              <w:bottom w:w="80" w:type="dxa"/>
              <w:right w:w="80" w:type="dxa"/>
            </w:tcMar>
          </w:tcPr>
          <w:p w14:paraId="2E0EE2F4"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1:1</w:t>
            </w:r>
          </w:p>
        </w:tc>
        <w:tc>
          <w:tcPr>
            <w:tcW w:w="706" w:type="dxa"/>
            <w:tcBorders>
              <w:top w:val="nil"/>
              <w:left w:val="nil"/>
              <w:bottom w:val="nil"/>
              <w:right w:val="nil"/>
            </w:tcBorders>
            <w:shd w:val="clear" w:color="auto" w:fill="auto"/>
            <w:tcMar>
              <w:top w:w="80" w:type="dxa"/>
              <w:left w:w="80" w:type="dxa"/>
              <w:bottom w:w="80" w:type="dxa"/>
              <w:right w:w="80" w:type="dxa"/>
            </w:tcMar>
          </w:tcPr>
          <w:p w14:paraId="0C2582FC"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6</w:t>
            </w:r>
          </w:p>
        </w:tc>
        <w:tc>
          <w:tcPr>
            <w:tcW w:w="832" w:type="dxa"/>
            <w:tcBorders>
              <w:top w:val="nil"/>
              <w:left w:val="nil"/>
              <w:bottom w:val="nil"/>
              <w:right w:val="nil"/>
            </w:tcBorders>
            <w:shd w:val="clear" w:color="auto" w:fill="auto"/>
            <w:tcMar>
              <w:top w:w="80" w:type="dxa"/>
              <w:left w:w="80" w:type="dxa"/>
              <w:bottom w:w="80" w:type="dxa"/>
              <w:right w:w="80" w:type="dxa"/>
            </w:tcMar>
          </w:tcPr>
          <w:p w14:paraId="161EB6F2"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4</w:t>
            </w:r>
          </w:p>
        </w:tc>
        <w:tc>
          <w:tcPr>
            <w:tcW w:w="834" w:type="dxa"/>
            <w:tcBorders>
              <w:top w:val="nil"/>
              <w:left w:val="nil"/>
              <w:bottom w:val="nil"/>
              <w:right w:val="nil"/>
            </w:tcBorders>
            <w:shd w:val="clear" w:color="auto" w:fill="auto"/>
            <w:tcMar>
              <w:top w:w="80" w:type="dxa"/>
              <w:left w:w="80" w:type="dxa"/>
              <w:bottom w:w="80" w:type="dxa"/>
              <w:right w:w="80" w:type="dxa"/>
            </w:tcMar>
          </w:tcPr>
          <w:p w14:paraId="335D1AA3"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GT3: 3</w:t>
            </w:r>
          </w:p>
        </w:tc>
        <w:tc>
          <w:tcPr>
            <w:tcW w:w="689" w:type="dxa"/>
            <w:tcBorders>
              <w:top w:val="nil"/>
              <w:left w:val="nil"/>
              <w:bottom w:val="nil"/>
              <w:right w:val="nil"/>
            </w:tcBorders>
            <w:shd w:val="clear" w:color="auto" w:fill="auto"/>
            <w:tcMar>
              <w:top w:w="80" w:type="dxa"/>
              <w:left w:w="80" w:type="dxa"/>
              <w:bottom w:w="80" w:type="dxa"/>
              <w:right w:w="80" w:type="dxa"/>
            </w:tcMar>
          </w:tcPr>
          <w:p w14:paraId="15D3A5F3"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0</w:t>
            </w:r>
          </w:p>
        </w:tc>
        <w:tc>
          <w:tcPr>
            <w:tcW w:w="689" w:type="dxa"/>
            <w:tcBorders>
              <w:top w:val="nil"/>
              <w:left w:val="nil"/>
              <w:bottom w:val="nil"/>
              <w:right w:val="nil"/>
            </w:tcBorders>
            <w:shd w:val="clear" w:color="auto" w:fill="auto"/>
            <w:tcMar>
              <w:top w:w="80" w:type="dxa"/>
              <w:left w:w="80" w:type="dxa"/>
              <w:bottom w:w="80" w:type="dxa"/>
              <w:right w:w="80" w:type="dxa"/>
            </w:tcMar>
          </w:tcPr>
          <w:p w14:paraId="739220BC"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w:t>
            </w:r>
          </w:p>
        </w:tc>
        <w:tc>
          <w:tcPr>
            <w:tcW w:w="1532" w:type="dxa"/>
            <w:tcBorders>
              <w:top w:val="nil"/>
              <w:left w:val="nil"/>
              <w:bottom w:val="nil"/>
              <w:right w:val="nil"/>
            </w:tcBorders>
            <w:shd w:val="clear" w:color="auto" w:fill="auto"/>
            <w:tcMar>
              <w:top w:w="80" w:type="dxa"/>
              <w:left w:w="80" w:type="dxa"/>
              <w:bottom w:w="80" w:type="dxa"/>
              <w:right w:w="80" w:type="dxa"/>
            </w:tcMar>
          </w:tcPr>
          <w:p w14:paraId="47FEB4BF"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FF0000"/>
              </w:rPr>
              <w:t xml:space="preserve">188 </w:t>
            </w:r>
            <w:r w:rsidRPr="00512804">
              <w:rPr>
                <w:rFonts w:ascii="Book Antiqua" w:hAnsi="Book Antiqua"/>
                <w:color w:val="0B0403"/>
                <w:sz w:val="24"/>
                <w:szCs w:val="24"/>
                <w:u w:color="0B0403"/>
              </w:rPr>
              <w:t>(118-3641)</w:t>
            </w:r>
          </w:p>
        </w:tc>
        <w:tc>
          <w:tcPr>
            <w:tcW w:w="960" w:type="dxa"/>
            <w:tcBorders>
              <w:top w:val="nil"/>
              <w:left w:val="nil"/>
              <w:bottom w:val="nil"/>
              <w:right w:val="nil"/>
            </w:tcBorders>
            <w:shd w:val="clear" w:color="auto" w:fill="auto"/>
            <w:tcMar>
              <w:top w:w="80" w:type="dxa"/>
              <w:left w:w="80" w:type="dxa"/>
              <w:bottom w:w="80" w:type="dxa"/>
              <w:right w:w="80" w:type="dxa"/>
            </w:tcMar>
          </w:tcPr>
          <w:p w14:paraId="1168E552"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w:t>
            </w:r>
          </w:p>
        </w:tc>
        <w:tc>
          <w:tcPr>
            <w:tcW w:w="821" w:type="dxa"/>
            <w:tcBorders>
              <w:top w:val="nil"/>
              <w:left w:val="nil"/>
              <w:bottom w:val="nil"/>
              <w:right w:val="nil"/>
            </w:tcBorders>
            <w:shd w:val="clear" w:color="auto" w:fill="auto"/>
            <w:tcMar>
              <w:top w:w="80" w:type="dxa"/>
              <w:left w:w="80" w:type="dxa"/>
              <w:bottom w:w="80" w:type="dxa"/>
              <w:right w:w="80" w:type="dxa"/>
            </w:tcMar>
          </w:tcPr>
          <w:p w14:paraId="00323DC7"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CR: 5; PR: 1</w:t>
            </w:r>
          </w:p>
        </w:tc>
      </w:tr>
      <w:tr w:rsidR="00B4314C" w:rsidRPr="00512804" w14:paraId="3CE326D2" w14:textId="77777777">
        <w:trPr>
          <w:trHeight w:val="1560"/>
        </w:trPr>
        <w:tc>
          <w:tcPr>
            <w:tcW w:w="1602" w:type="dxa"/>
            <w:tcBorders>
              <w:top w:val="nil"/>
              <w:left w:val="nil"/>
              <w:bottom w:val="nil"/>
              <w:right w:val="nil"/>
            </w:tcBorders>
            <w:shd w:val="clear" w:color="auto" w:fill="auto"/>
            <w:tcMar>
              <w:top w:w="80" w:type="dxa"/>
              <w:left w:w="80" w:type="dxa"/>
              <w:bottom w:w="80" w:type="dxa"/>
              <w:right w:w="80" w:type="dxa"/>
            </w:tcMar>
          </w:tcPr>
          <w:p w14:paraId="0D0EB3A3" w14:textId="77777777" w:rsidR="00B4314C" w:rsidRPr="00512804" w:rsidRDefault="0027755F">
            <w:pPr>
              <w:pStyle w:val="4"/>
              <w:suppressAutoHyphens w:val="0"/>
              <w:spacing w:after="0" w:line="360" w:lineRule="auto"/>
              <w:jc w:val="both"/>
            </w:pPr>
            <w:r w:rsidRPr="00512804">
              <w:rPr>
                <w:rFonts w:ascii="Book Antiqua" w:hAnsi="Book Antiqua"/>
                <w:color w:val="0B0403"/>
                <w:sz w:val="24"/>
                <w:szCs w:val="24"/>
                <w:u w:color="0B0403"/>
              </w:rPr>
              <w:t>Peripheral neurop</w:t>
            </w:r>
            <w:r w:rsidRPr="00512804">
              <w:rPr>
                <w:rFonts w:ascii="Book Antiqua" w:hAnsi="Book Antiqua"/>
                <w:color w:val="0B0403"/>
                <w:sz w:val="24"/>
                <w:szCs w:val="24"/>
                <w:u w:color="0B0403"/>
              </w:rPr>
              <w:t>a</w:t>
            </w:r>
            <w:r w:rsidRPr="00512804">
              <w:rPr>
                <w:rFonts w:ascii="Book Antiqua" w:hAnsi="Book Antiqua"/>
                <w:color w:val="0B0403"/>
                <w:sz w:val="24"/>
                <w:szCs w:val="24"/>
                <w:u w:color="0B0403"/>
              </w:rPr>
              <w:t>thy</w:t>
            </w:r>
            <w:r w:rsidRPr="00512804">
              <w:rPr>
                <w:rFonts w:ascii="Book Antiqua" w:hAnsi="Book Antiqua"/>
                <w:color w:val="0B0403"/>
                <w:sz w:val="24"/>
                <w:szCs w:val="24"/>
                <w:u w:color="0B0403"/>
                <w:vertAlign w:val="superscript"/>
              </w:rPr>
              <w:t>[16,20,89]</w:t>
            </w:r>
          </w:p>
        </w:tc>
        <w:tc>
          <w:tcPr>
            <w:tcW w:w="876" w:type="dxa"/>
            <w:tcBorders>
              <w:top w:val="nil"/>
              <w:left w:val="nil"/>
              <w:bottom w:val="nil"/>
              <w:right w:val="nil"/>
            </w:tcBorders>
            <w:shd w:val="clear" w:color="auto" w:fill="auto"/>
            <w:tcMar>
              <w:top w:w="80" w:type="dxa"/>
              <w:left w:w="80" w:type="dxa"/>
              <w:bottom w:w="80" w:type="dxa"/>
              <w:right w:w="80" w:type="dxa"/>
            </w:tcMar>
          </w:tcPr>
          <w:p w14:paraId="080E2B4A"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5 (3)</w:t>
            </w:r>
          </w:p>
        </w:tc>
        <w:tc>
          <w:tcPr>
            <w:tcW w:w="1748" w:type="dxa"/>
            <w:tcBorders>
              <w:top w:val="nil"/>
              <w:left w:val="nil"/>
              <w:bottom w:val="nil"/>
              <w:right w:val="nil"/>
            </w:tcBorders>
            <w:shd w:val="clear" w:color="auto" w:fill="auto"/>
            <w:tcMar>
              <w:top w:w="80" w:type="dxa"/>
              <w:left w:w="80" w:type="dxa"/>
              <w:bottom w:w="80" w:type="dxa"/>
              <w:right w:w="80" w:type="dxa"/>
            </w:tcMar>
          </w:tcPr>
          <w:p w14:paraId="229F7CC4"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Europe: 4; China: 1</w:t>
            </w:r>
          </w:p>
        </w:tc>
        <w:tc>
          <w:tcPr>
            <w:tcW w:w="777" w:type="dxa"/>
            <w:tcBorders>
              <w:top w:val="nil"/>
              <w:left w:val="nil"/>
              <w:bottom w:val="nil"/>
              <w:right w:val="nil"/>
            </w:tcBorders>
            <w:shd w:val="clear" w:color="auto" w:fill="auto"/>
            <w:tcMar>
              <w:top w:w="80" w:type="dxa"/>
              <w:left w:w="80" w:type="dxa"/>
              <w:bottom w:w="80" w:type="dxa"/>
              <w:right w:w="80" w:type="dxa"/>
            </w:tcMar>
          </w:tcPr>
          <w:p w14:paraId="5B823E99"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57.4</w:t>
            </w:r>
          </w:p>
        </w:tc>
        <w:tc>
          <w:tcPr>
            <w:tcW w:w="892" w:type="dxa"/>
            <w:tcBorders>
              <w:top w:val="nil"/>
              <w:left w:val="nil"/>
              <w:bottom w:val="nil"/>
              <w:right w:val="nil"/>
            </w:tcBorders>
            <w:shd w:val="clear" w:color="auto" w:fill="auto"/>
            <w:tcMar>
              <w:top w:w="80" w:type="dxa"/>
              <w:left w:w="80" w:type="dxa"/>
              <w:bottom w:w="80" w:type="dxa"/>
              <w:right w:w="80" w:type="dxa"/>
            </w:tcMar>
          </w:tcPr>
          <w:p w14:paraId="2EA853CB"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3:2</w:t>
            </w:r>
          </w:p>
        </w:tc>
        <w:tc>
          <w:tcPr>
            <w:tcW w:w="706" w:type="dxa"/>
            <w:tcBorders>
              <w:top w:val="nil"/>
              <w:left w:val="nil"/>
              <w:bottom w:val="nil"/>
              <w:right w:val="nil"/>
            </w:tcBorders>
            <w:shd w:val="clear" w:color="auto" w:fill="auto"/>
            <w:tcMar>
              <w:top w:w="80" w:type="dxa"/>
              <w:left w:w="80" w:type="dxa"/>
              <w:bottom w:w="80" w:type="dxa"/>
              <w:right w:w="80" w:type="dxa"/>
            </w:tcMar>
          </w:tcPr>
          <w:p w14:paraId="0AA34EEB"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5</w:t>
            </w:r>
          </w:p>
        </w:tc>
        <w:tc>
          <w:tcPr>
            <w:tcW w:w="832" w:type="dxa"/>
            <w:tcBorders>
              <w:top w:val="nil"/>
              <w:left w:val="nil"/>
              <w:bottom w:val="nil"/>
              <w:right w:val="nil"/>
            </w:tcBorders>
            <w:shd w:val="clear" w:color="auto" w:fill="auto"/>
            <w:tcMar>
              <w:top w:w="80" w:type="dxa"/>
              <w:left w:w="80" w:type="dxa"/>
              <w:bottom w:w="80" w:type="dxa"/>
              <w:right w:w="80" w:type="dxa"/>
            </w:tcMar>
          </w:tcPr>
          <w:p w14:paraId="36173B61"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5</w:t>
            </w:r>
          </w:p>
        </w:tc>
        <w:tc>
          <w:tcPr>
            <w:tcW w:w="834" w:type="dxa"/>
            <w:tcBorders>
              <w:top w:val="nil"/>
              <w:left w:val="nil"/>
              <w:bottom w:val="nil"/>
              <w:right w:val="nil"/>
            </w:tcBorders>
            <w:shd w:val="clear" w:color="auto" w:fill="auto"/>
            <w:tcMar>
              <w:top w:w="80" w:type="dxa"/>
              <w:left w:w="80" w:type="dxa"/>
              <w:bottom w:w="80" w:type="dxa"/>
              <w:right w:w="80" w:type="dxa"/>
            </w:tcMar>
          </w:tcPr>
          <w:p w14:paraId="344DBFF2"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GT3: 2</w:t>
            </w:r>
          </w:p>
        </w:tc>
        <w:tc>
          <w:tcPr>
            <w:tcW w:w="689" w:type="dxa"/>
            <w:tcBorders>
              <w:top w:val="nil"/>
              <w:left w:val="nil"/>
              <w:bottom w:val="nil"/>
              <w:right w:val="nil"/>
            </w:tcBorders>
            <w:shd w:val="clear" w:color="auto" w:fill="auto"/>
            <w:tcMar>
              <w:top w:w="80" w:type="dxa"/>
              <w:left w:w="80" w:type="dxa"/>
              <w:bottom w:w="80" w:type="dxa"/>
              <w:right w:w="80" w:type="dxa"/>
            </w:tcMar>
          </w:tcPr>
          <w:p w14:paraId="25C97A3C"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2</w:t>
            </w:r>
          </w:p>
        </w:tc>
        <w:tc>
          <w:tcPr>
            <w:tcW w:w="689" w:type="dxa"/>
            <w:tcBorders>
              <w:top w:val="nil"/>
              <w:left w:val="nil"/>
              <w:bottom w:val="nil"/>
              <w:right w:val="nil"/>
            </w:tcBorders>
            <w:shd w:val="clear" w:color="auto" w:fill="auto"/>
            <w:tcMar>
              <w:top w:w="80" w:type="dxa"/>
              <w:left w:w="80" w:type="dxa"/>
              <w:bottom w:w="80" w:type="dxa"/>
              <w:right w:w="80" w:type="dxa"/>
            </w:tcMar>
          </w:tcPr>
          <w:p w14:paraId="3D632909"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w:t>
            </w:r>
          </w:p>
        </w:tc>
        <w:tc>
          <w:tcPr>
            <w:tcW w:w="1532" w:type="dxa"/>
            <w:tcBorders>
              <w:top w:val="nil"/>
              <w:left w:val="nil"/>
              <w:bottom w:val="nil"/>
              <w:right w:val="nil"/>
            </w:tcBorders>
            <w:shd w:val="clear" w:color="auto" w:fill="auto"/>
            <w:tcMar>
              <w:top w:w="80" w:type="dxa"/>
              <w:left w:w="80" w:type="dxa"/>
              <w:bottom w:w="80" w:type="dxa"/>
              <w:right w:w="80" w:type="dxa"/>
            </w:tcMar>
          </w:tcPr>
          <w:p w14:paraId="202A24EC"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285 (30-1606)</w:t>
            </w:r>
          </w:p>
        </w:tc>
        <w:tc>
          <w:tcPr>
            <w:tcW w:w="960" w:type="dxa"/>
            <w:tcBorders>
              <w:top w:val="nil"/>
              <w:left w:val="nil"/>
              <w:bottom w:val="nil"/>
              <w:right w:val="nil"/>
            </w:tcBorders>
            <w:shd w:val="clear" w:color="auto" w:fill="auto"/>
            <w:tcMar>
              <w:top w:w="80" w:type="dxa"/>
              <w:left w:w="80" w:type="dxa"/>
              <w:bottom w:w="80" w:type="dxa"/>
              <w:right w:w="80" w:type="dxa"/>
            </w:tcMar>
          </w:tcPr>
          <w:p w14:paraId="0BD745BC"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w:t>
            </w:r>
          </w:p>
        </w:tc>
        <w:tc>
          <w:tcPr>
            <w:tcW w:w="821" w:type="dxa"/>
            <w:tcBorders>
              <w:top w:val="nil"/>
              <w:left w:val="nil"/>
              <w:bottom w:val="nil"/>
              <w:right w:val="nil"/>
            </w:tcBorders>
            <w:shd w:val="clear" w:color="auto" w:fill="auto"/>
            <w:tcMar>
              <w:top w:w="80" w:type="dxa"/>
              <w:left w:w="80" w:type="dxa"/>
              <w:bottom w:w="80" w:type="dxa"/>
              <w:right w:w="80" w:type="dxa"/>
            </w:tcMar>
          </w:tcPr>
          <w:p w14:paraId="5C9AE229"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CR: 2; PR: 3</w:t>
            </w:r>
          </w:p>
        </w:tc>
      </w:tr>
      <w:tr w:rsidR="00B4314C" w:rsidRPr="00512804" w14:paraId="695F87ED" w14:textId="77777777">
        <w:trPr>
          <w:trHeight w:val="300"/>
        </w:trPr>
        <w:tc>
          <w:tcPr>
            <w:tcW w:w="12959" w:type="dxa"/>
            <w:gridSpan w:val="13"/>
            <w:tcBorders>
              <w:top w:val="nil"/>
              <w:left w:val="nil"/>
              <w:bottom w:val="nil"/>
              <w:right w:val="nil"/>
            </w:tcBorders>
            <w:shd w:val="clear" w:color="auto" w:fill="auto"/>
            <w:tcMar>
              <w:top w:w="80" w:type="dxa"/>
              <w:left w:w="80" w:type="dxa"/>
              <w:bottom w:w="80" w:type="dxa"/>
              <w:right w:w="80" w:type="dxa"/>
            </w:tcMar>
          </w:tcPr>
          <w:p w14:paraId="71551DA7" w14:textId="77777777" w:rsidR="00B4314C" w:rsidRPr="00512804" w:rsidRDefault="0027755F">
            <w:pPr>
              <w:pStyle w:val="Default"/>
              <w:suppressAutoHyphens w:val="0"/>
              <w:spacing w:after="0" w:line="360" w:lineRule="auto"/>
              <w:jc w:val="both"/>
            </w:pPr>
            <w:r w:rsidRPr="00512804">
              <w:rPr>
                <w:rFonts w:ascii="Book Antiqua" w:hAnsi="Book Antiqua"/>
                <w:b/>
                <w:bCs/>
                <w:color w:val="0B0403"/>
                <w:sz w:val="24"/>
                <w:szCs w:val="24"/>
                <w:u w:color="0B0403"/>
              </w:rPr>
              <w:t>Cranial neuropathy</w:t>
            </w:r>
          </w:p>
        </w:tc>
      </w:tr>
      <w:tr w:rsidR="00B4314C" w:rsidRPr="00512804" w14:paraId="2AAF2EF2" w14:textId="77777777">
        <w:trPr>
          <w:trHeight w:val="2820"/>
        </w:trPr>
        <w:tc>
          <w:tcPr>
            <w:tcW w:w="1602" w:type="dxa"/>
            <w:tcBorders>
              <w:top w:val="nil"/>
              <w:left w:val="nil"/>
              <w:bottom w:val="nil"/>
              <w:right w:val="nil"/>
            </w:tcBorders>
            <w:shd w:val="clear" w:color="auto" w:fill="auto"/>
            <w:tcMar>
              <w:top w:w="80" w:type="dxa"/>
              <w:left w:w="80" w:type="dxa"/>
              <w:bottom w:w="80" w:type="dxa"/>
              <w:right w:w="80" w:type="dxa"/>
            </w:tcMar>
          </w:tcPr>
          <w:p w14:paraId="10EE7D78" w14:textId="77777777" w:rsidR="00B4314C" w:rsidRPr="00512804" w:rsidRDefault="0027755F">
            <w:pPr>
              <w:pStyle w:val="Default"/>
              <w:suppressAutoHyphens w:val="0"/>
              <w:spacing w:after="0" w:line="360" w:lineRule="auto"/>
              <w:jc w:val="both"/>
            </w:pPr>
            <w:r w:rsidRPr="00512804">
              <w:rPr>
                <w:rFonts w:ascii="Book Antiqua" w:hAnsi="Book Antiqua"/>
                <w:color w:val="0B0403"/>
                <w:sz w:val="24"/>
                <w:szCs w:val="24"/>
                <w:u w:color="0B0403"/>
              </w:rPr>
              <w:t>Cranial ne</w:t>
            </w:r>
            <w:r w:rsidRPr="00512804">
              <w:rPr>
                <w:rFonts w:ascii="Book Antiqua" w:hAnsi="Book Antiqua"/>
                <w:color w:val="0B0403"/>
                <w:sz w:val="24"/>
                <w:szCs w:val="24"/>
                <w:u w:color="0B0403"/>
              </w:rPr>
              <w:t>u</w:t>
            </w:r>
            <w:r w:rsidRPr="00512804">
              <w:rPr>
                <w:rFonts w:ascii="Book Antiqua" w:hAnsi="Book Antiqua"/>
                <w:color w:val="0B0403"/>
                <w:sz w:val="24"/>
                <w:szCs w:val="24"/>
                <w:u w:color="0B0403"/>
              </w:rPr>
              <w:t>rop</w:t>
            </w:r>
            <w:r w:rsidRPr="00512804">
              <w:rPr>
                <w:rFonts w:ascii="Book Antiqua" w:hAnsi="Book Antiqua"/>
                <w:color w:val="0B0403"/>
                <w:sz w:val="24"/>
                <w:szCs w:val="24"/>
                <w:u w:color="0B0403"/>
              </w:rPr>
              <w:t>a</w:t>
            </w:r>
            <w:r w:rsidRPr="00512804">
              <w:rPr>
                <w:rFonts w:ascii="Book Antiqua" w:hAnsi="Book Antiqua"/>
                <w:color w:val="0B0403"/>
                <w:sz w:val="24"/>
                <w:szCs w:val="24"/>
                <w:u w:color="0B0403"/>
              </w:rPr>
              <w:t>thy</w:t>
            </w:r>
            <w:r w:rsidRPr="00512804">
              <w:rPr>
                <w:rFonts w:ascii="Book Antiqua" w:hAnsi="Book Antiqua"/>
                <w:color w:val="0B0403"/>
                <w:sz w:val="24"/>
                <w:szCs w:val="24"/>
                <w:u w:color="0B0403"/>
                <w:vertAlign w:val="superscript"/>
              </w:rPr>
              <w:t>[16,17,90-92]</w:t>
            </w:r>
          </w:p>
        </w:tc>
        <w:tc>
          <w:tcPr>
            <w:tcW w:w="876" w:type="dxa"/>
            <w:tcBorders>
              <w:top w:val="nil"/>
              <w:left w:val="nil"/>
              <w:bottom w:val="nil"/>
              <w:right w:val="nil"/>
            </w:tcBorders>
            <w:shd w:val="clear" w:color="auto" w:fill="auto"/>
            <w:tcMar>
              <w:top w:w="80" w:type="dxa"/>
              <w:left w:w="80" w:type="dxa"/>
              <w:bottom w:w="80" w:type="dxa"/>
              <w:right w:w="80" w:type="dxa"/>
            </w:tcMar>
          </w:tcPr>
          <w:p w14:paraId="28502D6D"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5 (3)</w:t>
            </w:r>
          </w:p>
        </w:tc>
        <w:tc>
          <w:tcPr>
            <w:tcW w:w="1748" w:type="dxa"/>
            <w:tcBorders>
              <w:top w:val="nil"/>
              <w:left w:val="nil"/>
              <w:bottom w:val="nil"/>
              <w:right w:val="nil"/>
            </w:tcBorders>
            <w:shd w:val="clear" w:color="auto" w:fill="auto"/>
            <w:tcMar>
              <w:top w:w="80" w:type="dxa"/>
              <w:left w:w="80" w:type="dxa"/>
              <w:bottom w:w="80" w:type="dxa"/>
              <w:right w:w="80" w:type="dxa"/>
            </w:tcMar>
          </w:tcPr>
          <w:p w14:paraId="26EB775B"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SEAR: 2; Europe: 2; Japan: 1</w:t>
            </w:r>
          </w:p>
        </w:tc>
        <w:tc>
          <w:tcPr>
            <w:tcW w:w="777" w:type="dxa"/>
            <w:tcBorders>
              <w:top w:val="nil"/>
              <w:left w:val="nil"/>
              <w:bottom w:val="nil"/>
              <w:right w:val="nil"/>
            </w:tcBorders>
            <w:shd w:val="clear" w:color="auto" w:fill="auto"/>
            <w:tcMar>
              <w:top w:w="80" w:type="dxa"/>
              <w:left w:w="80" w:type="dxa"/>
              <w:bottom w:w="80" w:type="dxa"/>
              <w:right w:w="80" w:type="dxa"/>
            </w:tcMar>
          </w:tcPr>
          <w:p w14:paraId="324E9FD9"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53</w:t>
            </w:r>
          </w:p>
        </w:tc>
        <w:tc>
          <w:tcPr>
            <w:tcW w:w="892" w:type="dxa"/>
            <w:tcBorders>
              <w:top w:val="nil"/>
              <w:left w:val="nil"/>
              <w:bottom w:val="nil"/>
              <w:right w:val="nil"/>
            </w:tcBorders>
            <w:shd w:val="clear" w:color="auto" w:fill="auto"/>
            <w:tcMar>
              <w:top w:w="80" w:type="dxa"/>
              <w:left w:w="80" w:type="dxa"/>
              <w:bottom w:w="80" w:type="dxa"/>
              <w:right w:w="80" w:type="dxa"/>
            </w:tcMar>
          </w:tcPr>
          <w:p w14:paraId="0D570DBE"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4:1</w:t>
            </w:r>
          </w:p>
        </w:tc>
        <w:tc>
          <w:tcPr>
            <w:tcW w:w="706" w:type="dxa"/>
            <w:tcBorders>
              <w:top w:val="nil"/>
              <w:left w:val="nil"/>
              <w:bottom w:val="nil"/>
              <w:right w:val="nil"/>
            </w:tcBorders>
            <w:shd w:val="clear" w:color="auto" w:fill="auto"/>
            <w:tcMar>
              <w:top w:w="80" w:type="dxa"/>
              <w:left w:w="80" w:type="dxa"/>
              <w:bottom w:w="80" w:type="dxa"/>
              <w:right w:w="80" w:type="dxa"/>
            </w:tcMar>
          </w:tcPr>
          <w:p w14:paraId="5FB6F78E" w14:textId="77777777" w:rsidR="00B4314C" w:rsidRPr="00512804" w:rsidRDefault="0027755F">
            <w:pPr>
              <w:pStyle w:val="BodyAA"/>
              <w:spacing w:after="0" w:line="360" w:lineRule="auto"/>
              <w:jc w:val="both"/>
              <w:outlineLvl w:val="0"/>
            </w:pPr>
            <w:r w:rsidRPr="00512804">
              <w:rPr>
                <w:rFonts w:ascii="Book Antiqua" w:hAnsi="Book Antiqua"/>
                <w:b/>
                <w:bCs/>
                <w:color w:val="0B0403"/>
                <w:sz w:val="24"/>
                <w:szCs w:val="24"/>
                <w:u w:color="FF0000"/>
              </w:rPr>
              <w:t>2</w:t>
            </w:r>
          </w:p>
        </w:tc>
        <w:tc>
          <w:tcPr>
            <w:tcW w:w="832" w:type="dxa"/>
            <w:tcBorders>
              <w:top w:val="nil"/>
              <w:left w:val="nil"/>
              <w:bottom w:val="nil"/>
              <w:right w:val="nil"/>
            </w:tcBorders>
            <w:shd w:val="clear" w:color="auto" w:fill="auto"/>
            <w:tcMar>
              <w:top w:w="80" w:type="dxa"/>
              <w:left w:w="80" w:type="dxa"/>
              <w:bottom w:w="80" w:type="dxa"/>
              <w:right w:w="80" w:type="dxa"/>
            </w:tcMar>
          </w:tcPr>
          <w:p w14:paraId="0943F202"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2</w:t>
            </w:r>
          </w:p>
        </w:tc>
        <w:tc>
          <w:tcPr>
            <w:tcW w:w="834" w:type="dxa"/>
            <w:tcBorders>
              <w:top w:val="nil"/>
              <w:left w:val="nil"/>
              <w:bottom w:val="nil"/>
              <w:right w:val="nil"/>
            </w:tcBorders>
            <w:shd w:val="clear" w:color="auto" w:fill="auto"/>
            <w:tcMar>
              <w:top w:w="80" w:type="dxa"/>
              <w:left w:w="80" w:type="dxa"/>
              <w:bottom w:w="80" w:type="dxa"/>
              <w:right w:w="80" w:type="dxa"/>
            </w:tcMar>
          </w:tcPr>
          <w:p w14:paraId="0EA7EE07"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GT3: 1; GT4: 3; ND</w:t>
            </w:r>
          </w:p>
        </w:tc>
        <w:tc>
          <w:tcPr>
            <w:tcW w:w="689" w:type="dxa"/>
            <w:tcBorders>
              <w:top w:val="nil"/>
              <w:left w:val="nil"/>
              <w:bottom w:val="nil"/>
              <w:right w:val="nil"/>
            </w:tcBorders>
            <w:shd w:val="clear" w:color="auto" w:fill="auto"/>
            <w:tcMar>
              <w:top w:w="80" w:type="dxa"/>
              <w:left w:w="80" w:type="dxa"/>
              <w:bottom w:w="80" w:type="dxa"/>
              <w:right w:w="80" w:type="dxa"/>
            </w:tcMar>
          </w:tcPr>
          <w:p w14:paraId="5B6337F7"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0</w:t>
            </w:r>
          </w:p>
        </w:tc>
        <w:tc>
          <w:tcPr>
            <w:tcW w:w="689" w:type="dxa"/>
            <w:tcBorders>
              <w:top w:val="nil"/>
              <w:left w:val="nil"/>
              <w:bottom w:val="nil"/>
              <w:right w:val="nil"/>
            </w:tcBorders>
            <w:shd w:val="clear" w:color="auto" w:fill="auto"/>
            <w:tcMar>
              <w:top w:w="80" w:type="dxa"/>
              <w:left w:w="80" w:type="dxa"/>
              <w:bottom w:w="80" w:type="dxa"/>
              <w:right w:w="80" w:type="dxa"/>
            </w:tcMar>
          </w:tcPr>
          <w:p w14:paraId="0866EC21"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0</w:t>
            </w:r>
          </w:p>
        </w:tc>
        <w:tc>
          <w:tcPr>
            <w:tcW w:w="1532" w:type="dxa"/>
            <w:tcBorders>
              <w:top w:val="nil"/>
              <w:left w:val="nil"/>
              <w:bottom w:val="nil"/>
              <w:right w:val="nil"/>
            </w:tcBorders>
            <w:shd w:val="clear" w:color="auto" w:fill="auto"/>
            <w:tcMar>
              <w:top w:w="80" w:type="dxa"/>
              <w:left w:w="80" w:type="dxa"/>
              <w:bottom w:w="80" w:type="dxa"/>
              <w:right w:w="80" w:type="dxa"/>
            </w:tcMar>
          </w:tcPr>
          <w:p w14:paraId="6F7D68F4"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1200 (60-3866)</w:t>
            </w:r>
          </w:p>
        </w:tc>
        <w:tc>
          <w:tcPr>
            <w:tcW w:w="960" w:type="dxa"/>
            <w:tcBorders>
              <w:top w:val="nil"/>
              <w:left w:val="nil"/>
              <w:bottom w:val="nil"/>
              <w:right w:val="nil"/>
            </w:tcBorders>
            <w:shd w:val="clear" w:color="auto" w:fill="auto"/>
            <w:tcMar>
              <w:top w:w="80" w:type="dxa"/>
              <w:left w:w="80" w:type="dxa"/>
              <w:bottom w:w="80" w:type="dxa"/>
              <w:right w:w="80" w:type="dxa"/>
            </w:tcMar>
          </w:tcPr>
          <w:p w14:paraId="393056F8"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0</w:t>
            </w:r>
          </w:p>
        </w:tc>
        <w:tc>
          <w:tcPr>
            <w:tcW w:w="821" w:type="dxa"/>
            <w:tcBorders>
              <w:top w:val="nil"/>
              <w:left w:val="nil"/>
              <w:bottom w:val="nil"/>
              <w:right w:val="nil"/>
            </w:tcBorders>
            <w:shd w:val="clear" w:color="auto" w:fill="auto"/>
            <w:tcMar>
              <w:top w:w="80" w:type="dxa"/>
              <w:left w:w="80" w:type="dxa"/>
              <w:bottom w:w="80" w:type="dxa"/>
              <w:right w:w="80" w:type="dxa"/>
            </w:tcMar>
          </w:tcPr>
          <w:p w14:paraId="0E854B87"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CR: 5</w:t>
            </w:r>
          </w:p>
        </w:tc>
      </w:tr>
      <w:tr w:rsidR="00B4314C" w:rsidRPr="00512804" w14:paraId="6C6F5738" w14:textId="77777777">
        <w:trPr>
          <w:trHeight w:val="300"/>
        </w:trPr>
        <w:tc>
          <w:tcPr>
            <w:tcW w:w="12959" w:type="dxa"/>
            <w:gridSpan w:val="13"/>
            <w:tcBorders>
              <w:top w:val="nil"/>
              <w:left w:val="nil"/>
              <w:bottom w:val="nil"/>
              <w:right w:val="nil"/>
            </w:tcBorders>
            <w:shd w:val="clear" w:color="auto" w:fill="auto"/>
            <w:tcMar>
              <w:top w:w="80" w:type="dxa"/>
              <w:left w:w="80" w:type="dxa"/>
              <w:bottom w:w="80" w:type="dxa"/>
              <w:right w:w="80" w:type="dxa"/>
            </w:tcMar>
          </w:tcPr>
          <w:p w14:paraId="1DA8B689" w14:textId="77777777" w:rsidR="00B4314C" w:rsidRPr="00512804" w:rsidRDefault="0027755F">
            <w:pPr>
              <w:pStyle w:val="BodyA"/>
              <w:spacing w:line="360" w:lineRule="auto"/>
              <w:jc w:val="both"/>
            </w:pPr>
            <w:r w:rsidRPr="00512804">
              <w:rPr>
                <w:rFonts w:ascii="Book Antiqua" w:hAnsi="Book Antiqua"/>
                <w:b/>
                <w:bCs/>
                <w:color w:val="0B0403"/>
                <w:u w:color="0B0403"/>
              </w:rPr>
              <w:t>Neuromuscular junction and muscle disorders</w:t>
            </w:r>
          </w:p>
        </w:tc>
      </w:tr>
      <w:tr w:rsidR="00B4314C" w:rsidRPr="00512804" w14:paraId="298E8D4A" w14:textId="77777777">
        <w:trPr>
          <w:trHeight w:val="1140"/>
        </w:trPr>
        <w:tc>
          <w:tcPr>
            <w:tcW w:w="1602" w:type="dxa"/>
            <w:tcBorders>
              <w:top w:val="nil"/>
              <w:left w:val="nil"/>
              <w:bottom w:val="nil"/>
              <w:right w:val="nil"/>
            </w:tcBorders>
            <w:shd w:val="clear" w:color="auto" w:fill="auto"/>
            <w:tcMar>
              <w:top w:w="80" w:type="dxa"/>
              <w:left w:w="80" w:type="dxa"/>
              <w:bottom w:w="80" w:type="dxa"/>
              <w:right w:w="80" w:type="dxa"/>
            </w:tcMar>
          </w:tcPr>
          <w:p w14:paraId="0671FB0E" w14:textId="77777777" w:rsidR="00B4314C" w:rsidRPr="00512804" w:rsidRDefault="0027755F">
            <w:pPr>
              <w:pStyle w:val="4"/>
              <w:suppressAutoHyphens w:val="0"/>
              <w:spacing w:after="0" w:line="360" w:lineRule="auto"/>
              <w:jc w:val="both"/>
            </w:pPr>
            <w:r w:rsidRPr="00512804">
              <w:rPr>
                <w:rFonts w:ascii="Book Antiqua" w:hAnsi="Book Antiqua"/>
                <w:color w:val="0B0403"/>
                <w:sz w:val="24"/>
                <w:szCs w:val="24"/>
                <w:u w:color="0B0403"/>
              </w:rPr>
              <w:t>Myositis</w:t>
            </w:r>
            <w:r w:rsidRPr="00512804">
              <w:rPr>
                <w:rFonts w:ascii="Book Antiqua" w:hAnsi="Book Antiqua"/>
                <w:color w:val="0B0403"/>
                <w:sz w:val="24"/>
                <w:szCs w:val="24"/>
                <w:u w:color="0B0403"/>
                <w:vertAlign w:val="superscript"/>
              </w:rPr>
              <w:t>[93]</w:t>
            </w:r>
          </w:p>
        </w:tc>
        <w:tc>
          <w:tcPr>
            <w:tcW w:w="876" w:type="dxa"/>
            <w:tcBorders>
              <w:top w:val="nil"/>
              <w:left w:val="nil"/>
              <w:bottom w:val="nil"/>
              <w:right w:val="nil"/>
            </w:tcBorders>
            <w:shd w:val="clear" w:color="auto" w:fill="auto"/>
            <w:tcMar>
              <w:top w:w="80" w:type="dxa"/>
              <w:left w:w="80" w:type="dxa"/>
              <w:bottom w:w="80" w:type="dxa"/>
              <w:right w:w="80" w:type="dxa"/>
            </w:tcMar>
          </w:tcPr>
          <w:p w14:paraId="5DB8F75D"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 (0.6)</w:t>
            </w:r>
          </w:p>
        </w:tc>
        <w:tc>
          <w:tcPr>
            <w:tcW w:w="1748" w:type="dxa"/>
            <w:tcBorders>
              <w:top w:val="nil"/>
              <w:left w:val="nil"/>
              <w:bottom w:val="nil"/>
              <w:right w:val="nil"/>
            </w:tcBorders>
            <w:shd w:val="clear" w:color="auto" w:fill="auto"/>
            <w:tcMar>
              <w:top w:w="80" w:type="dxa"/>
              <w:left w:w="80" w:type="dxa"/>
              <w:bottom w:w="80" w:type="dxa"/>
              <w:right w:w="80" w:type="dxa"/>
            </w:tcMar>
          </w:tcPr>
          <w:p w14:paraId="1BF69C3B"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Europe</w:t>
            </w:r>
          </w:p>
        </w:tc>
        <w:tc>
          <w:tcPr>
            <w:tcW w:w="777" w:type="dxa"/>
            <w:tcBorders>
              <w:top w:val="nil"/>
              <w:left w:val="nil"/>
              <w:bottom w:val="nil"/>
              <w:right w:val="nil"/>
            </w:tcBorders>
            <w:shd w:val="clear" w:color="auto" w:fill="auto"/>
            <w:tcMar>
              <w:top w:w="80" w:type="dxa"/>
              <w:left w:w="80" w:type="dxa"/>
              <w:bottom w:w="80" w:type="dxa"/>
              <w:right w:w="80" w:type="dxa"/>
            </w:tcMar>
          </w:tcPr>
          <w:p w14:paraId="5ED4370F"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57</w:t>
            </w:r>
          </w:p>
        </w:tc>
        <w:tc>
          <w:tcPr>
            <w:tcW w:w="892" w:type="dxa"/>
            <w:tcBorders>
              <w:top w:val="nil"/>
              <w:left w:val="nil"/>
              <w:bottom w:val="nil"/>
              <w:right w:val="nil"/>
            </w:tcBorders>
            <w:shd w:val="clear" w:color="auto" w:fill="auto"/>
            <w:tcMar>
              <w:top w:w="80" w:type="dxa"/>
              <w:left w:w="80" w:type="dxa"/>
              <w:bottom w:w="80" w:type="dxa"/>
              <w:right w:w="80" w:type="dxa"/>
            </w:tcMar>
          </w:tcPr>
          <w:p w14:paraId="0E511A10"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1:0</w:t>
            </w:r>
          </w:p>
        </w:tc>
        <w:tc>
          <w:tcPr>
            <w:tcW w:w="706" w:type="dxa"/>
            <w:tcBorders>
              <w:top w:val="nil"/>
              <w:left w:val="nil"/>
              <w:bottom w:val="nil"/>
              <w:right w:val="nil"/>
            </w:tcBorders>
            <w:shd w:val="clear" w:color="auto" w:fill="auto"/>
            <w:tcMar>
              <w:top w:w="80" w:type="dxa"/>
              <w:left w:w="80" w:type="dxa"/>
              <w:bottom w:w="80" w:type="dxa"/>
              <w:right w:w="80" w:type="dxa"/>
            </w:tcMar>
          </w:tcPr>
          <w:p w14:paraId="58618298"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w:t>
            </w:r>
          </w:p>
        </w:tc>
        <w:tc>
          <w:tcPr>
            <w:tcW w:w="832" w:type="dxa"/>
            <w:tcBorders>
              <w:top w:val="nil"/>
              <w:left w:val="nil"/>
              <w:bottom w:val="nil"/>
              <w:right w:val="nil"/>
            </w:tcBorders>
            <w:shd w:val="clear" w:color="auto" w:fill="auto"/>
            <w:tcMar>
              <w:top w:w="80" w:type="dxa"/>
              <w:left w:w="80" w:type="dxa"/>
              <w:bottom w:w="80" w:type="dxa"/>
              <w:right w:w="80" w:type="dxa"/>
            </w:tcMar>
          </w:tcPr>
          <w:p w14:paraId="2FDBF68F"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w:t>
            </w:r>
          </w:p>
        </w:tc>
        <w:tc>
          <w:tcPr>
            <w:tcW w:w="834" w:type="dxa"/>
            <w:tcBorders>
              <w:top w:val="nil"/>
              <w:left w:val="nil"/>
              <w:bottom w:val="nil"/>
              <w:right w:val="nil"/>
            </w:tcBorders>
            <w:shd w:val="clear" w:color="auto" w:fill="auto"/>
            <w:tcMar>
              <w:top w:w="80" w:type="dxa"/>
              <w:left w:w="80" w:type="dxa"/>
              <w:bottom w:w="80" w:type="dxa"/>
              <w:right w:w="80" w:type="dxa"/>
            </w:tcMar>
          </w:tcPr>
          <w:p w14:paraId="248E90A9"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ND</w:t>
            </w:r>
          </w:p>
        </w:tc>
        <w:tc>
          <w:tcPr>
            <w:tcW w:w="689" w:type="dxa"/>
            <w:tcBorders>
              <w:top w:val="nil"/>
              <w:left w:val="nil"/>
              <w:bottom w:val="nil"/>
              <w:right w:val="nil"/>
            </w:tcBorders>
            <w:shd w:val="clear" w:color="auto" w:fill="auto"/>
            <w:tcMar>
              <w:top w:w="80" w:type="dxa"/>
              <w:left w:w="80" w:type="dxa"/>
              <w:bottom w:w="80" w:type="dxa"/>
              <w:right w:w="80" w:type="dxa"/>
            </w:tcMar>
          </w:tcPr>
          <w:p w14:paraId="0C506C87"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0</w:t>
            </w:r>
          </w:p>
        </w:tc>
        <w:tc>
          <w:tcPr>
            <w:tcW w:w="689" w:type="dxa"/>
            <w:tcBorders>
              <w:top w:val="nil"/>
              <w:left w:val="nil"/>
              <w:bottom w:val="nil"/>
              <w:right w:val="nil"/>
            </w:tcBorders>
            <w:shd w:val="clear" w:color="auto" w:fill="auto"/>
            <w:tcMar>
              <w:top w:w="80" w:type="dxa"/>
              <w:left w:w="80" w:type="dxa"/>
              <w:bottom w:w="80" w:type="dxa"/>
              <w:right w:w="80" w:type="dxa"/>
            </w:tcMar>
          </w:tcPr>
          <w:p w14:paraId="04603550"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w:t>
            </w:r>
          </w:p>
        </w:tc>
        <w:tc>
          <w:tcPr>
            <w:tcW w:w="1532" w:type="dxa"/>
            <w:tcBorders>
              <w:top w:val="nil"/>
              <w:left w:val="nil"/>
              <w:bottom w:val="nil"/>
              <w:right w:val="nil"/>
            </w:tcBorders>
            <w:shd w:val="clear" w:color="auto" w:fill="auto"/>
            <w:tcMar>
              <w:top w:w="80" w:type="dxa"/>
              <w:left w:w="80" w:type="dxa"/>
              <w:bottom w:w="80" w:type="dxa"/>
              <w:right w:w="80" w:type="dxa"/>
            </w:tcMar>
          </w:tcPr>
          <w:p w14:paraId="79E9EF5D"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1030</w:t>
            </w:r>
          </w:p>
        </w:tc>
        <w:tc>
          <w:tcPr>
            <w:tcW w:w="960" w:type="dxa"/>
            <w:tcBorders>
              <w:top w:val="nil"/>
              <w:left w:val="nil"/>
              <w:bottom w:val="nil"/>
              <w:right w:val="nil"/>
            </w:tcBorders>
            <w:shd w:val="clear" w:color="auto" w:fill="auto"/>
            <w:tcMar>
              <w:top w:w="80" w:type="dxa"/>
              <w:left w:w="80" w:type="dxa"/>
              <w:bottom w:w="80" w:type="dxa"/>
              <w:right w:w="80" w:type="dxa"/>
            </w:tcMar>
          </w:tcPr>
          <w:p w14:paraId="1E90B08F"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w:t>
            </w:r>
          </w:p>
        </w:tc>
        <w:tc>
          <w:tcPr>
            <w:tcW w:w="821" w:type="dxa"/>
            <w:tcBorders>
              <w:top w:val="nil"/>
              <w:left w:val="nil"/>
              <w:bottom w:val="nil"/>
              <w:right w:val="nil"/>
            </w:tcBorders>
            <w:shd w:val="clear" w:color="auto" w:fill="auto"/>
            <w:tcMar>
              <w:top w:w="80" w:type="dxa"/>
              <w:left w:w="80" w:type="dxa"/>
              <w:bottom w:w="80" w:type="dxa"/>
              <w:right w:w="80" w:type="dxa"/>
            </w:tcMar>
          </w:tcPr>
          <w:p w14:paraId="2FD21579"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CR:1</w:t>
            </w:r>
          </w:p>
        </w:tc>
      </w:tr>
      <w:tr w:rsidR="00B4314C" w:rsidRPr="00512804" w14:paraId="413EA3C7" w14:textId="77777777">
        <w:trPr>
          <w:trHeight w:val="1140"/>
        </w:trPr>
        <w:tc>
          <w:tcPr>
            <w:tcW w:w="1602" w:type="dxa"/>
            <w:tcBorders>
              <w:top w:val="nil"/>
              <w:left w:val="nil"/>
              <w:bottom w:val="nil"/>
              <w:right w:val="nil"/>
            </w:tcBorders>
            <w:shd w:val="clear" w:color="auto" w:fill="auto"/>
            <w:tcMar>
              <w:top w:w="80" w:type="dxa"/>
              <w:left w:w="80" w:type="dxa"/>
              <w:bottom w:w="80" w:type="dxa"/>
              <w:right w:w="80" w:type="dxa"/>
            </w:tcMar>
          </w:tcPr>
          <w:p w14:paraId="5CCF0A8D" w14:textId="77777777" w:rsidR="00B4314C" w:rsidRPr="00512804" w:rsidRDefault="0027755F">
            <w:pPr>
              <w:pStyle w:val="4"/>
              <w:suppressAutoHyphens w:val="0"/>
              <w:spacing w:after="0" w:line="360" w:lineRule="auto"/>
              <w:jc w:val="both"/>
            </w:pPr>
            <w:r w:rsidRPr="00512804">
              <w:rPr>
                <w:rFonts w:ascii="Book Antiqua" w:hAnsi="Book Antiqua"/>
                <w:color w:val="0B0403"/>
                <w:sz w:val="24"/>
                <w:szCs w:val="24"/>
                <w:u w:color="0B0403"/>
              </w:rPr>
              <w:t>Myasthenia gravis</w:t>
            </w:r>
            <w:r w:rsidRPr="00512804">
              <w:rPr>
                <w:rFonts w:ascii="Book Antiqua" w:hAnsi="Book Antiqua"/>
                <w:color w:val="0B0403"/>
                <w:sz w:val="24"/>
                <w:szCs w:val="24"/>
                <w:u w:color="0B0403"/>
                <w:vertAlign w:val="superscript"/>
              </w:rPr>
              <w:t>[18]</w:t>
            </w:r>
          </w:p>
        </w:tc>
        <w:tc>
          <w:tcPr>
            <w:tcW w:w="876" w:type="dxa"/>
            <w:tcBorders>
              <w:top w:val="nil"/>
              <w:left w:val="nil"/>
              <w:bottom w:val="nil"/>
              <w:right w:val="nil"/>
            </w:tcBorders>
            <w:shd w:val="clear" w:color="auto" w:fill="auto"/>
            <w:tcMar>
              <w:top w:w="80" w:type="dxa"/>
              <w:left w:w="80" w:type="dxa"/>
              <w:bottom w:w="80" w:type="dxa"/>
              <w:right w:w="80" w:type="dxa"/>
            </w:tcMar>
          </w:tcPr>
          <w:p w14:paraId="0DD4A5AF"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 (0.6)</w:t>
            </w:r>
          </w:p>
        </w:tc>
        <w:tc>
          <w:tcPr>
            <w:tcW w:w="1748" w:type="dxa"/>
            <w:tcBorders>
              <w:top w:val="nil"/>
              <w:left w:val="nil"/>
              <w:bottom w:val="nil"/>
              <w:right w:val="nil"/>
            </w:tcBorders>
            <w:shd w:val="clear" w:color="auto" w:fill="auto"/>
            <w:tcMar>
              <w:top w:w="80" w:type="dxa"/>
              <w:left w:w="80" w:type="dxa"/>
              <w:bottom w:w="80" w:type="dxa"/>
              <w:right w:w="80" w:type="dxa"/>
            </w:tcMar>
          </w:tcPr>
          <w:p w14:paraId="31E4D19D"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Europe</w:t>
            </w:r>
          </w:p>
        </w:tc>
        <w:tc>
          <w:tcPr>
            <w:tcW w:w="777" w:type="dxa"/>
            <w:tcBorders>
              <w:top w:val="nil"/>
              <w:left w:val="nil"/>
              <w:bottom w:val="nil"/>
              <w:right w:val="nil"/>
            </w:tcBorders>
            <w:shd w:val="clear" w:color="auto" w:fill="auto"/>
            <w:tcMar>
              <w:top w:w="80" w:type="dxa"/>
              <w:left w:w="80" w:type="dxa"/>
              <w:bottom w:w="80" w:type="dxa"/>
              <w:right w:w="80" w:type="dxa"/>
            </w:tcMar>
          </w:tcPr>
          <w:p w14:paraId="324A3FDD"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33</w:t>
            </w:r>
          </w:p>
        </w:tc>
        <w:tc>
          <w:tcPr>
            <w:tcW w:w="892" w:type="dxa"/>
            <w:tcBorders>
              <w:top w:val="nil"/>
              <w:left w:val="nil"/>
              <w:bottom w:val="nil"/>
              <w:right w:val="nil"/>
            </w:tcBorders>
            <w:shd w:val="clear" w:color="auto" w:fill="auto"/>
            <w:tcMar>
              <w:top w:w="80" w:type="dxa"/>
              <w:left w:w="80" w:type="dxa"/>
              <w:bottom w:w="80" w:type="dxa"/>
              <w:right w:w="80" w:type="dxa"/>
            </w:tcMar>
          </w:tcPr>
          <w:p w14:paraId="6580D43B"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0:1</w:t>
            </w:r>
          </w:p>
        </w:tc>
        <w:tc>
          <w:tcPr>
            <w:tcW w:w="706" w:type="dxa"/>
            <w:tcBorders>
              <w:top w:val="nil"/>
              <w:left w:val="nil"/>
              <w:bottom w:val="nil"/>
              <w:right w:val="nil"/>
            </w:tcBorders>
            <w:shd w:val="clear" w:color="auto" w:fill="auto"/>
            <w:tcMar>
              <w:top w:w="80" w:type="dxa"/>
              <w:left w:w="80" w:type="dxa"/>
              <w:bottom w:w="80" w:type="dxa"/>
              <w:right w:w="80" w:type="dxa"/>
            </w:tcMar>
          </w:tcPr>
          <w:p w14:paraId="1A5AB833"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w:t>
            </w:r>
          </w:p>
        </w:tc>
        <w:tc>
          <w:tcPr>
            <w:tcW w:w="832" w:type="dxa"/>
            <w:tcBorders>
              <w:top w:val="nil"/>
              <w:left w:val="nil"/>
              <w:bottom w:val="nil"/>
              <w:right w:val="nil"/>
            </w:tcBorders>
            <w:shd w:val="clear" w:color="auto" w:fill="auto"/>
            <w:tcMar>
              <w:top w:w="80" w:type="dxa"/>
              <w:left w:w="80" w:type="dxa"/>
              <w:bottom w:w="80" w:type="dxa"/>
              <w:right w:w="80" w:type="dxa"/>
            </w:tcMar>
          </w:tcPr>
          <w:p w14:paraId="25592B0F"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w:t>
            </w:r>
          </w:p>
        </w:tc>
        <w:tc>
          <w:tcPr>
            <w:tcW w:w="834" w:type="dxa"/>
            <w:tcBorders>
              <w:top w:val="nil"/>
              <w:left w:val="nil"/>
              <w:bottom w:val="nil"/>
              <w:right w:val="nil"/>
            </w:tcBorders>
            <w:shd w:val="clear" w:color="auto" w:fill="auto"/>
            <w:tcMar>
              <w:top w:w="80" w:type="dxa"/>
              <w:left w:w="80" w:type="dxa"/>
              <w:bottom w:w="80" w:type="dxa"/>
              <w:right w:w="80" w:type="dxa"/>
            </w:tcMar>
          </w:tcPr>
          <w:p w14:paraId="68D5B092"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GT3: 1</w:t>
            </w:r>
          </w:p>
        </w:tc>
        <w:tc>
          <w:tcPr>
            <w:tcW w:w="689" w:type="dxa"/>
            <w:tcBorders>
              <w:top w:val="nil"/>
              <w:left w:val="nil"/>
              <w:bottom w:val="nil"/>
              <w:right w:val="nil"/>
            </w:tcBorders>
            <w:shd w:val="clear" w:color="auto" w:fill="auto"/>
            <w:tcMar>
              <w:top w:w="80" w:type="dxa"/>
              <w:left w:w="80" w:type="dxa"/>
              <w:bottom w:w="80" w:type="dxa"/>
              <w:right w:w="80" w:type="dxa"/>
            </w:tcMar>
          </w:tcPr>
          <w:p w14:paraId="68E3ADDF"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0</w:t>
            </w:r>
          </w:p>
        </w:tc>
        <w:tc>
          <w:tcPr>
            <w:tcW w:w="689" w:type="dxa"/>
            <w:tcBorders>
              <w:top w:val="nil"/>
              <w:left w:val="nil"/>
              <w:bottom w:val="nil"/>
              <w:right w:val="nil"/>
            </w:tcBorders>
            <w:shd w:val="clear" w:color="auto" w:fill="auto"/>
            <w:tcMar>
              <w:top w:w="80" w:type="dxa"/>
              <w:left w:w="80" w:type="dxa"/>
              <w:bottom w:w="80" w:type="dxa"/>
              <w:right w:w="80" w:type="dxa"/>
            </w:tcMar>
          </w:tcPr>
          <w:p w14:paraId="0192463E"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0</w:t>
            </w:r>
          </w:p>
        </w:tc>
        <w:tc>
          <w:tcPr>
            <w:tcW w:w="1532" w:type="dxa"/>
            <w:tcBorders>
              <w:top w:val="nil"/>
              <w:left w:val="nil"/>
              <w:bottom w:val="nil"/>
              <w:right w:val="nil"/>
            </w:tcBorders>
            <w:shd w:val="clear" w:color="auto" w:fill="auto"/>
            <w:tcMar>
              <w:top w:w="80" w:type="dxa"/>
              <w:left w:w="80" w:type="dxa"/>
              <w:bottom w:w="80" w:type="dxa"/>
              <w:right w:w="80" w:type="dxa"/>
            </w:tcMar>
          </w:tcPr>
          <w:p w14:paraId="639D6029"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190</w:t>
            </w:r>
          </w:p>
        </w:tc>
        <w:tc>
          <w:tcPr>
            <w:tcW w:w="960" w:type="dxa"/>
            <w:tcBorders>
              <w:top w:val="nil"/>
              <w:left w:val="nil"/>
              <w:bottom w:val="nil"/>
              <w:right w:val="nil"/>
            </w:tcBorders>
            <w:shd w:val="clear" w:color="auto" w:fill="auto"/>
            <w:tcMar>
              <w:top w:w="80" w:type="dxa"/>
              <w:left w:w="80" w:type="dxa"/>
              <w:bottom w:w="80" w:type="dxa"/>
              <w:right w:w="80" w:type="dxa"/>
            </w:tcMar>
          </w:tcPr>
          <w:p w14:paraId="277EE21C"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w:t>
            </w:r>
          </w:p>
        </w:tc>
        <w:tc>
          <w:tcPr>
            <w:tcW w:w="821" w:type="dxa"/>
            <w:tcBorders>
              <w:top w:val="nil"/>
              <w:left w:val="nil"/>
              <w:bottom w:val="nil"/>
              <w:right w:val="nil"/>
            </w:tcBorders>
            <w:shd w:val="clear" w:color="auto" w:fill="auto"/>
            <w:tcMar>
              <w:top w:w="80" w:type="dxa"/>
              <w:left w:w="80" w:type="dxa"/>
              <w:bottom w:w="80" w:type="dxa"/>
              <w:right w:w="80" w:type="dxa"/>
            </w:tcMar>
          </w:tcPr>
          <w:p w14:paraId="49B5099D"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FF0000"/>
              </w:rPr>
              <w:t>NM: 1</w:t>
            </w:r>
          </w:p>
        </w:tc>
      </w:tr>
      <w:tr w:rsidR="00B4314C" w:rsidRPr="00512804" w14:paraId="62E794CF" w14:textId="77777777">
        <w:trPr>
          <w:trHeight w:val="300"/>
        </w:trPr>
        <w:tc>
          <w:tcPr>
            <w:tcW w:w="12959" w:type="dxa"/>
            <w:gridSpan w:val="13"/>
            <w:tcBorders>
              <w:top w:val="nil"/>
              <w:left w:val="nil"/>
              <w:bottom w:val="nil"/>
              <w:right w:val="nil"/>
            </w:tcBorders>
            <w:shd w:val="clear" w:color="auto" w:fill="auto"/>
            <w:tcMar>
              <w:top w:w="80" w:type="dxa"/>
              <w:left w:w="80" w:type="dxa"/>
              <w:bottom w:w="80" w:type="dxa"/>
              <w:right w:w="80" w:type="dxa"/>
            </w:tcMar>
          </w:tcPr>
          <w:p w14:paraId="1B1DD7AC" w14:textId="77777777" w:rsidR="00B4314C" w:rsidRPr="00512804" w:rsidRDefault="0027755F">
            <w:pPr>
              <w:pStyle w:val="Default"/>
              <w:suppressAutoHyphens w:val="0"/>
              <w:spacing w:after="0" w:line="360" w:lineRule="auto"/>
              <w:jc w:val="both"/>
            </w:pPr>
            <w:r w:rsidRPr="00512804">
              <w:rPr>
                <w:rFonts w:ascii="Book Antiqua" w:hAnsi="Book Antiqua"/>
                <w:b/>
                <w:bCs/>
                <w:color w:val="0B0403"/>
                <w:sz w:val="24"/>
                <w:szCs w:val="24"/>
                <w:u w:color="0B0403"/>
              </w:rPr>
              <w:t>Others neurological disorders</w:t>
            </w:r>
          </w:p>
        </w:tc>
      </w:tr>
      <w:tr w:rsidR="00B4314C" w:rsidRPr="00512804" w14:paraId="381E1D98" w14:textId="77777777">
        <w:trPr>
          <w:trHeight w:val="1560"/>
        </w:trPr>
        <w:tc>
          <w:tcPr>
            <w:tcW w:w="1602" w:type="dxa"/>
            <w:tcBorders>
              <w:top w:val="nil"/>
              <w:left w:val="nil"/>
              <w:bottom w:val="nil"/>
              <w:right w:val="nil"/>
            </w:tcBorders>
            <w:shd w:val="clear" w:color="auto" w:fill="auto"/>
            <w:tcMar>
              <w:top w:w="80" w:type="dxa"/>
              <w:left w:w="80" w:type="dxa"/>
              <w:bottom w:w="80" w:type="dxa"/>
              <w:right w:w="80" w:type="dxa"/>
            </w:tcMar>
          </w:tcPr>
          <w:p w14:paraId="6944B34C" w14:textId="77777777" w:rsidR="00B4314C" w:rsidRPr="00512804" w:rsidRDefault="0027755F">
            <w:pPr>
              <w:pStyle w:val="4"/>
              <w:suppressAutoHyphens w:val="0"/>
              <w:spacing w:after="0" w:line="360" w:lineRule="auto"/>
              <w:jc w:val="both"/>
            </w:pPr>
            <w:r w:rsidRPr="00512804">
              <w:rPr>
                <w:rFonts w:ascii="Book Antiqua" w:hAnsi="Book Antiqua"/>
                <w:color w:val="0B0403"/>
                <w:sz w:val="24"/>
                <w:szCs w:val="24"/>
                <w:u w:color="0B0403"/>
              </w:rPr>
              <w:t>Mening</w:t>
            </w:r>
            <w:r w:rsidRPr="00512804">
              <w:rPr>
                <w:rFonts w:ascii="Book Antiqua" w:hAnsi="Book Antiqua"/>
                <w:color w:val="0B0403"/>
                <w:sz w:val="24"/>
                <w:szCs w:val="24"/>
                <w:u w:color="0B0403"/>
              </w:rPr>
              <w:t>o</w:t>
            </w:r>
            <w:r w:rsidRPr="00512804">
              <w:rPr>
                <w:rFonts w:ascii="Book Antiqua" w:hAnsi="Book Antiqua"/>
                <w:color w:val="0B0403"/>
                <w:sz w:val="24"/>
                <w:szCs w:val="24"/>
                <w:u w:color="0B0403"/>
              </w:rPr>
              <w:t>radicul</w:t>
            </w:r>
            <w:r w:rsidRPr="00512804">
              <w:rPr>
                <w:rFonts w:ascii="Book Antiqua" w:hAnsi="Book Antiqua"/>
                <w:color w:val="0B0403"/>
                <w:sz w:val="24"/>
                <w:szCs w:val="24"/>
                <w:u w:color="0B0403"/>
              </w:rPr>
              <w:t>i</w:t>
            </w:r>
            <w:r w:rsidRPr="00512804">
              <w:rPr>
                <w:rFonts w:ascii="Book Antiqua" w:hAnsi="Book Antiqua"/>
                <w:color w:val="0B0403"/>
                <w:sz w:val="24"/>
                <w:szCs w:val="24"/>
                <w:u w:color="0B0403"/>
              </w:rPr>
              <w:t>tis</w:t>
            </w:r>
            <w:r w:rsidRPr="00512804">
              <w:rPr>
                <w:rFonts w:ascii="Book Antiqua" w:hAnsi="Book Antiqua"/>
                <w:color w:val="0B0403"/>
                <w:sz w:val="24"/>
                <w:szCs w:val="24"/>
                <w:u w:color="0B0403"/>
                <w:vertAlign w:val="superscript"/>
              </w:rPr>
              <w:t>[36,94,95]</w:t>
            </w:r>
          </w:p>
        </w:tc>
        <w:tc>
          <w:tcPr>
            <w:tcW w:w="876" w:type="dxa"/>
            <w:tcBorders>
              <w:top w:val="nil"/>
              <w:left w:val="nil"/>
              <w:bottom w:val="nil"/>
              <w:right w:val="nil"/>
            </w:tcBorders>
            <w:shd w:val="clear" w:color="auto" w:fill="auto"/>
            <w:tcMar>
              <w:top w:w="80" w:type="dxa"/>
              <w:left w:w="80" w:type="dxa"/>
              <w:bottom w:w="80" w:type="dxa"/>
              <w:right w:w="80" w:type="dxa"/>
            </w:tcMar>
          </w:tcPr>
          <w:p w14:paraId="0B9F4C3F"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6 (4)</w:t>
            </w:r>
          </w:p>
        </w:tc>
        <w:tc>
          <w:tcPr>
            <w:tcW w:w="1748" w:type="dxa"/>
            <w:tcBorders>
              <w:top w:val="nil"/>
              <w:left w:val="nil"/>
              <w:bottom w:val="nil"/>
              <w:right w:val="nil"/>
            </w:tcBorders>
            <w:shd w:val="clear" w:color="auto" w:fill="auto"/>
            <w:tcMar>
              <w:top w:w="80" w:type="dxa"/>
              <w:left w:w="80" w:type="dxa"/>
              <w:bottom w:w="80" w:type="dxa"/>
              <w:right w:w="80" w:type="dxa"/>
            </w:tcMar>
          </w:tcPr>
          <w:p w14:paraId="793CB3FF"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Europe</w:t>
            </w:r>
          </w:p>
        </w:tc>
        <w:tc>
          <w:tcPr>
            <w:tcW w:w="777" w:type="dxa"/>
            <w:tcBorders>
              <w:top w:val="nil"/>
              <w:left w:val="nil"/>
              <w:bottom w:val="nil"/>
              <w:right w:val="nil"/>
            </w:tcBorders>
            <w:shd w:val="clear" w:color="auto" w:fill="auto"/>
            <w:tcMar>
              <w:top w:w="80" w:type="dxa"/>
              <w:left w:w="80" w:type="dxa"/>
              <w:bottom w:w="80" w:type="dxa"/>
              <w:right w:w="80" w:type="dxa"/>
            </w:tcMar>
          </w:tcPr>
          <w:p w14:paraId="28D236CC"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53.33</w:t>
            </w:r>
          </w:p>
        </w:tc>
        <w:tc>
          <w:tcPr>
            <w:tcW w:w="892" w:type="dxa"/>
            <w:tcBorders>
              <w:top w:val="nil"/>
              <w:left w:val="nil"/>
              <w:bottom w:val="nil"/>
              <w:right w:val="nil"/>
            </w:tcBorders>
            <w:shd w:val="clear" w:color="auto" w:fill="auto"/>
            <w:tcMar>
              <w:top w:w="80" w:type="dxa"/>
              <w:left w:w="80" w:type="dxa"/>
              <w:bottom w:w="80" w:type="dxa"/>
              <w:right w:w="80" w:type="dxa"/>
            </w:tcMar>
          </w:tcPr>
          <w:p w14:paraId="238CFF03"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1:1</w:t>
            </w:r>
          </w:p>
        </w:tc>
        <w:tc>
          <w:tcPr>
            <w:tcW w:w="706" w:type="dxa"/>
            <w:tcBorders>
              <w:top w:val="nil"/>
              <w:left w:val="nil"/>
              <w:bottom w:val="nil"/>
              <w:right w:val="nil"/>
            </w:tcBorders>
            <w:shd w:val="clear" w:color="auto" w:fill="auto"/>
            <w:tcMar>
              <w:top w:w="80" w:type="dxa"/>
              <w:left w:w="80" w:type="dxa"/>
              <w:bottom w:w="80" w:type="dxa"/>
              <w:right w:w="80" w:type="dxa"/>
            </w:tcMar>
          </w:tcPr>
          <w:p w14:paraId="731FD3D4"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6</w:t>
            </w:r>
          </w:p>
        </w:tc>
        <w:tc>
          <w:tcPr>
            <w:tcW w:w="832" w:type="dxa"/>
            <w:tcBorders>
              <w:top w:val="nil"/>
              <w:left w:val="nil"/>
              <w:bottom w:val="nil"/>
              <w:right w:val="nil"/>
            </w:tcBorders>
            <w:shd w:val="clear" w:color="auto" w:fill="auto"/>
            <w:tcMar>
              <w:top w:w="80" w:type="dxa"/>
              <w:left w:w="80" w:type="dxa"/>
              <w:bottom w:w="80" w:type="dxa"/>
              <w:right w:w="80" w:type="dxa"/>
            </w:tcMar>
          </w:tcPr>
          <w:p w14:paraId="270E5FA2"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6</w:t>
            </w:r>
          </w:p>
        </w:tc>
        <w:tc>
          <w:tcPr>
            <w:tcW w:w="834" w:type="dxa"/>
            <w:tcBorders>
              <w:top w:val="nil"/>
              <w:left w:val="nil"/>
              <w:bottom w:val="nil"/>
              <w:right w:val="nil"/>
            </w:tcBorders>
            <w:shd w:val="clear" w:color="auto" w:fill="auto"/>
            <w:tcMar>
              <w:top w:w="80" w:type="dxa"/>
              <w:left w:w="80" w:type="dxa"/>
              <w:bottom w:w="80" w:type="dxa"/>
              <w:right w:w="80" w:type="dxa"/>
            </w:tcMar>
          </w:tcPr>
          <w:p w14:paraId="6D7787D1"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GT3: 5</w:t>
            </w:r>
          </w:p>
        </w:tc>
        <w:tc>
          <w:tcPr>
            <w:tcW w:w="689" w:type="dxa"/>
            <w:tcBorders>
              <w:top w:val="nil"/>
              <w:left w:val="nil"/>
              <w:bottom w:val="nil"/>
              <w:right w:val="nil"/>
            </w:tcBorders>
            <w:shd w:val="clear" w:color="auto" w:fill="auto"/>
            <w:tcMar>
              <w:top w:w="80" w:type="dxa"/>
              <w:left w:w="80" w:type="dxa"/>
              <w:bottom w:w="80" w:type="dxa"/>
              <w:right w:w="80" w:type="dxa"/>
            </w:tcMar>
          </w:tcPr>
          <w:p w14:paraId="1DA23F16"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4</w:t>
            </w:r>
          </w:p>
        </w:tc>
        <w:tc>
          <w:tcPr>
            <w:tcW w:w="689" w:type="dxa"/>
            <w:tcBorders>
              <w:top w:val="nil"/>
              <w:left w:val="nil"/>
              <w:bottom w:val="nil"/>
              <w:right w:val="nil"/>
            </w:tcBorders>
            <w:shd w:val="clear" w:color="auto" w:fill="auto"/>
            <w:tcMar>
              <w:top w:w="80" w:type="dxa"/>
              <w:left w:w="80" w:type="dxa"/>
              <w:bottom w:w="80" w:type="dxa"/>
              <w:right w:w="80" w:type="dxa"/>
            </w:tcMar>
          </w:tcPr>
          <w:p w14:paraId="745AE0AB"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w:t>
            </w:r>
          </w:p>
        </w:tc>
        <w:tc>
          <w:tcPr>
            <w:tcW w:w="1532" w:type="dxa"/>
            <w:tcBorders>
              <w:top w:val="nil"/>
              <w:left w:val="nil"/>
              <w:bottom w:val="nil"/>
              <w:right w:val="nil"/>
            </w:tcBorders>
            <w:shd w:val="clear" w:color="auto" w:fill="auto"/>
            <w:tcMar>
              <w:top w:w="80" w:type="dxa"/>
              <w:left w:w="80" w:type="dxa"/>
              <w:bottom w:w="80" w:type="dxa"/>
              <w:right w:w="80" w:type="dxa"/>
            </w:tcMar>
          </w:tcPr>
          <w:p w14:paraId="5D69EA5E"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406 (40-822)</w:t>
            </w:r>
          </w:p>
        </w:tc>
        <w:tc>
          <w:tcPr>
            <w:tcW w:w="960" w:type="dxa"/>
            <w:tcBorders>
              <w:top w:val="nil"/>
              <w:left w:val="nil"/>
              <w:bottom w:val="nil"/>
              <w:right w:val="nil"/>
            </w:tcBorders>
            <w:shd w:val="clear" w:color="auto" w:fill="auto"/>
            <w:tcMar>
              <w:top w:w="80" w:type="dxa"/>
              <w:left w:w="80" w:type="dxa"/>
              <w:bottom w:w="80" w:type="dxa"/>
              <w:right w:w="80" w:type="dxa"/>
            </w:tcMar>
          </w:tcPr>
          <w:p w14:paraId="435107DE"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1</w:t>
            </w:r>
          </w:p>
        </w:tc>
        <w:tc>
          <w:tcPr>
            <w:tcW w:w="821" w:type="dxa"/>
            <w:tcBorders>
              <w:top w:val="nil"/>
              <w:left w:val="nil"/>
              <w:bottom w:val="nil"/>
              <w:right w:val="nil"/>
            </w:tcBorders>
            <w:shd w:val="clear" w:color="auto" w:fill="auto"/>
            <w:tcMar>
              <w:top w:w="80" w:type="dxa"/>
              <w:left w:w="80" w:type="dxa"/>
              <w:bottom w:w="80" w:type="dxa"/>
              <w:right w:w="80" w:type="dxa"/>
            </w:tcMar>
          </w:tcPr>
          <w:p w14:paraId="16A7A2D2"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CR: 5; Died: 1</w:t>
            </w:r>
          </w:p>
        </w:tc>
      </w:tr>
      <w:tr w:rsidR="00B4314C" w:rsidRPr="00512804" w14:paraId="2C5C50FF" w14:textId="77777777">
        <w:trPr>
          <w:trHeight w:val="300"/>
        </w:trPr>
        <w:tc>
          <w:tcPr>
            <w:tcW w:w="12959" w:type="dxa"/>
            <w:gridSpan w:val="13"/>
            <w:tcBorders>
              <w:top w:val="nil"/>
              <w:left w:val="nil"/>
              <w:bottom w:val="nil"/>
              <w:right w:val="nil"/>
            </w:tcBorders>
            <w:shd w:val="clear" w:color="auto" w:fill="auto"/>
            <w:tcMar>
              <w:top w:w="80" w:type="dxa"/>
              <w:left w:w="80" w:type="dxa"/>
              <w:bottom w:w="80" w:type="dxa"/>
              <w:right w:w="80" w:type="dxa"/>
            </w:tcMar>
          </w:tcPr>
          <w:p w14:paraId="766218BF" w14:textId="77777777" w:rsidR="00B4314C" w:rsidRPr="00512804" w:rsidRDefault="0027755F">
            <w:pPr>
              <w:pStyle w:val="BodyA"/>
              <w:spacing w:line="360" w:lineRule="auto"/>
              <w:jc w:val="both"/>
            </w:pPr>
            <w:r w:rsidRPr="00512804">
              <w:rPr>
                <w:rFonts w:ascii="Book Antiqua" w:hAnsi="Book Antiqua"/>
                <w:b/>
                <w:bCs/>
                <w:color w:val="0B0403"/>
                <w:u w:color="0B0403"/>
              </w:rPr>
              <w:t>Total cases,</w:t>
            </w:r>
            <w:r w:rsidRPr="00512804">
              <w:rPr>
                <w:rFonts w:ascii="Book Antiqua" w:hAnsi="Book Antiqua"/>
                <w:color w:val="0B0403"/>
                <w:u w:color="0B0403"/>
              </w:rPr>
              <w:t xml:space="preserve"> </w:t>
            </w:r>
            <w:r w:rsidRPr="00512804">
              <w:rPr>
                <w:rFonts w:ascii="Book Antiqua" w:hAnsi="Book Antiqua"/>
                <w:i/>
                <w:iCs/>
                <w:color w:val="0B0403"/>
                <w:u w:color="0B0403"/>
              </w:rPr>
              <w:t>n</w:t>
            </w:r>
            <w:r w:rsidRPr="00512804">
              <w:rPr>
                <w:rFonts w:ascii="Book Antiqua" w:hAnsi="Book Antiqua"/>
                <w:color w:val="0B0403"/>
                <w:u w:color="0B0403"/>
              </w:rPr>
              <w:t xml:space="preserve"> (%)</w:t>
            </w:r>
          </w:p>
        </w:tc>
      </w:tr>
      <w:tr w:rsidR="00B4314C" w:rsidRPr="00512804" w14:paraId="299C1177" w14:textId="77777777">
        <w:trPr>
          <w:trHeight w:val="5335"/>
        </w:trPr>
        <w:tc>
          <w:tcPr>
            <w:tcW w:w="1602" w:type="dxa"/>
            <w:tcBorders>
              <w:top w:val="nil"/>
              <w:left w:val="nil"/>
              <w:bottom w:val="single" w:sz="4" w:space="0" w:color="000000"/>
              <w:right w:val="nil"/>
            </w:tcBorders>
            <w:shd w:val="clear" w:color="auto" w:fill="auto"/>
            <w:tcMar>
              <w:top w:w="80" w:type="dxa"/>
              <w:left w:w="80" w:type="dxa"/>
              <w:bottom w:w="80" w:type="dxa"/>
              <w:right w:w="80" w:type="dxa"/>
            </w:tcMar>
          </w:tcPr>
          <w:p w14:paraId="6C9C18FB" w14:textId="77777777" w:rsidR="00B4314C" w:rsidRPr="00512804" w:rsidRDefault="0027755F">
            <w:pPr>
              <w:pStyle w:val="BodyA"/>
              <w:spacing w:line="360" w:lineRule="auto"/>
              <w:jc w:val="both"/>
            </w:pPr>
            <w:r w:rsidRPr="00512804">
              <w:rPr>
                <w:rFonts w:ascii="Book Antiqua" w:hAnsi="Book Antiqua"/>
              </w:rPr>
              <w:t>Total</w:t>
            </w:r>
          </w:p>
        </w:tc>
        <w:tc>
          <w:tcPr>
            <w:tcW w:w="876" w:type="dxa"/>
            <w:tcBorders>
              <w:top w:val="nil"/>
              <w:left w:val="nil"/>
              <w:bottom w:val="single" w:sz="4" w:space="0" w:color="000000"/>
              <w:right w:val="nil"/>
            </w:tcBorders>
            <w:shd w:val="clear" w:color="auto" w:fill="auto"/>
            <w:tcMar>
              <w:top w:w="80" w:type="dxa"/>
              <w:left w:w="80" w:type="dxa"/>
              <w:bottom w:w="80" w:type="dxa"/>
              <w:right w:w="80" w:type="dxa"/>
            </w:tcMar>
          </w:tcPr>
          <w:p w14:paraId="3B7746ED" w14:textId="77777777" w:rsidR="00B4314C" w:rsidRPr="00512804" w:rsidRDefault="0027755F">
            <w:pPr>
              <w:pStyle w:val="BodyAA"/>
              <w:suppressAutoHyphens w:val="0"/>
              <w:spacing w:after="0" w:line="360" w:lineRule="auto"/>
              <w:jc w:val="both"/>
            </w:pPr>
            <w:r w:rsidRPr="00512804">
              <w:rPr>
                <w:rFonts w:ascii="Book Antiqua" w:hAnsi="Book Antiqua"/>
                <w:color w:val="0B0403"/>
                <w:sz w:val="24"/>
                <w:szCs w:val="24"/>
                <w:u w:color="0B0403"/>
              </w:rPr>
              <w:t>163</w:t>
            </w:r>
          </w:p>
        </w:tc>
        <w:tc>
          <w:tcPr>
            <w:tcW w:w="1748" w:type="dxa"/>
            <w:tcBorders>
              <w:top w:val="nil"/>
              <w:left w:val="nil"/>
              <w:bottom w:val="single" w:sz="4" w:space="0" w:color="000000"/>
              <w:right w:val="nil"/>
            </w:tcBorders>
            <w:shd w:val="clear" w:color="auto" w:fill="auto"/>
            <w:tcMar>
              <w:top w:w="80" w:type="dxa"/>
              <w:left w:w="80" w:type="dxa"/>
              <w:bottom w:w="80" w:type="dxa"/>
              <w:right w:w="80" w:type="dxa"/>
            </w:tcMar>
          </w:tcPr>
          <w:p w14:paraId="69E8C1BF" w14:textId="77777777" w:rsidR="00B4314C" w:rsidRPr="00512804" w:rsidRDefault="0027755F">
            <w:pPr>
              <w:pStyle w:val="BodyAA"/>
              <w:suppressAutoHyphens w:val="0"/>
              <w:spacing w:after="0" w:line="360" w:lineRule="auto"/>
              <w:jc w:val="both"/>
            </w:pPr>
            <w:r w:rsidRPr="00512804">
              <w:rPr>
                <w:rFonts w:ascii="Book Antiqua" w:hAnsi="Book Antiqua"/>
                <w:color w:val="0B0403"/>
                <w:sz w:val="24"/>
                <w:szCs w:val="24"/>
                <w:u w:color="0B0403"/>
              </w:rPr>
              <w:t>Europe: 120 (74); WHO SEAR: 25 (15); China/Hong Kong: 10 (6), Japan: 4; Uni</w:t>
            </w:r>
            <w:r w:rsidRPr="00512804">
              <w:rPr>
                <w:rFonts w:ascii="Book Antiqua" w:hAnsi="Book Antiqua"/>
                <w:color w:val="0B0403"/>
                <w:sz w:val="24"/>
                <w:szCs w:val="24"/>
                <w:u w:color="0B0403"/>
              </w:rPr>
              <w:t>t</w:t>
            </w:r>
            <w:r w:rsidRPr="00512804">
              <w:rPr>
                <w:rFonts w:ascii="Book Antiqua" w:hAnsi="Book Antiqua"/>
                <w:color w:val="0B0403"/>
                <w:sz w:val="24"/>
                <w:szCs w:val="24"/>
                <w:u w:color="0B0403"/>
              </w:rPr>
              <w:t>ed States: 2; Iraq: 1</w:t>
            </w:r>
          </w:p>
        </w:tc>
        <w:tc>
          <w:tcPr>
            <w:tcW w:w="777" w:type="dxa"/>
            <w:tcBorders>
              <w:top w:val="nil"/>
              <w:left w:val="nil"/>
              <w:bottom w:val="single" w:sz="4" w:space="0" w:color="000000"/>
              <w:right w:val="nil"/>
            </w:tcBorders>
            <w:shd w:val="clear" w:color="auto" w:fill="auto"/>
            <w:tcMar>
              <w:top w:w="80" w:type="dxa"/>
              <w:left w:w="80" w:type="dxa"/>
              <w:bottom w:w="80" w:type="dxa"/>
              <w:right w:w="80" w:type="dxa"/>
            </w:tcMar>
          </w:tcPr>
          <w:p w14:paraId="215D9973" w14:textId="77777777" w:rsidR="00B4314C" w:rsidRPr="00512804" w:rsidRDefault="0027755F">
            <w:pPr>
              <w:pStyle w:val="BodyAA"/>
              <w:suppressAutoHyphens w:val="0"/>
              <w:spacing w:after="0" w:line="360" w:lineRule="auto"/>
              <w:jc w:val="both"/>
            </w:pPr>
            <w:r w:rsidRPr="00512804">
              <w:rPr>
                <w:rFonts w:ascii="Book Antiqua" w:hAnsi="Book Antiqua"/>
                <w:color w:val="0B0403"/>
                <w:sz w:val="24"/>
                <w:szCs w:val="24"/>
                <w:u w:color="0B0403"/>
              </w:rPr>
              <w:t>53.9</w:t>
            </w:r>
          </w:p>
        </w:tc>
        <w:tc>
          <w:tcPr>
            <w:tcW w:w="892" w:type="dxa"/>
            <w:tcBorders>
              <w:top w:val="nil"/>
              <w:left w:val="nil"/>
              <w:bottom w:val="single" w:sz="4" w:space="0" w:color="000000"/>
              <w:right w:val="nil"/>
            </w:tcBorders>
            <w:shd w:val="clear" w:color="auto" w:fill="auto"/>
            <w:tcMar>
              <w:top w:w="80" w:type="dxa"/>
              <w:left w:w="80" w:type="dxa"/>
              <w:bottom w:w="80" w:type="dxa"/>
              <w:right w:w="80" w:type="dxa"/>
            </w:tcMar>
          </w:tcPr>
          <w:p w14:paraId="1ED49B2F" w14:textId="77777777" w:rsidR="00B4314C" w:rsidRPr="00512804" w:rsidRDefault="0027755F">
            <w:pPr>
              <w:pStyle w:val="BodyAA"/>
              <w:suppressAutoHyphens w:val="0"/>
              <w:spacing w:after="0" w:line="360" w:lineRule="auto"/>
              <w:jc w:val="both"/>
            </w:pPr>
            <w:r w:rsidRPr="00512804">
              <w:rPr>
                <w:rFonts w:ascii="Book Antiqua" w:hAnsi="Book Antiqua"/>
                <w:color w:val="0B0403"/>
                <w:sz w:val="24"/>
                <w:szCs w:val="24"/>
                <w:u w:color="0B0403"/>
              </w:rPr>
              <w:t>2.84:1</w:t>
            </w:r>
          </w:p>
        </w:tc>
        <w:tc>
          <w:tcPr>
            <w:tcW w:w="706" w:type="dxa"/>
            <w:tcBorders>
              <w:top w:val="nil"/>
              <w:left w:val="nil"/>
              <w:bottom w:val="single" w:sz="4" w:space="0" w:color="000000"/>
              <w:right w:val="nil"/>
            </w:tcBorders>
            <w:shd w:val="clear" w:color="auto" w:fill="auto"/>
            <w:tcMar>
              <w:top w:w="80" w:type="dxa"/>
              <w:left w:w="80" w:type="dxa"/>
              <w:bottom w:w="80" w:type="dxa"/>
              <w:right w:w="80" w:type="dxa"/>
            </w:tcMar>
          </w:tcPr>
          <w:p w14:paraId="5D521BB6" w14:textId="77777777" w:rsidR="00B4314C" w:rsidRPr="00512804" w:rsidRDefault="0027755F">
            <w:pPr>
              <w:pStyle w:val="BodyAA"/>
              <w:suppressAutoHyphens w:val="0"/>
              <w:spacing w:after="0" w:line="360" w:lineRule="auto"/>
              <w:jc w:val="both"/>
            </w:pPr>
            <w:r w:rsidRPr="00512804">
              <w:rPr>
                <w:rFonts w:ascii="Book Antiqua" w:hAnsi="Book Antiqua"/>
                <w:color w:val="0B0403"/>
                <w:sz w:val="24"/>
                <w:szCs w:val="24"/>
                <w:u w:color="0B0403"/>
              </w:rPr>
              <w:t>132 (81)</w:t>
            </w:r>
          </w:p>
        </w:tc>
        <w:tc>
          <w:tcPr>
            <w:tcW w:w="832" w:type="dxa"/>
            <w:tcBorders>
              <w:top w:val="nil"/>
              <w:left w:val="nil"/>
              <w:bottom w:val="single" w:sz="4" w:space="0" w:color="000000"/>
              <w:right w:val="nil"/>
            </w:tcBorders>
            <w:shd w:val="clear" w:color="auto" w:fill="auto"/>
            <w:tcMar>
              <w:top w:w="80" w:type="dxa"/>
              <w:left w:w="80" w:type="dxa"/>
              <w:bottom w:w="80" w:type="dxa"/>
              <w:right w:w="80" w:type="dxa"/>
            </w:tcMar>
          </w:tcPr>
          <w:p w14:paraId="31FDF374" w14:textId="77777777" w:rsidR="00B4314C" w:rsidRPr="00512804" w:rsidRDefault="0027755F">
            <w:pPr>
              <w:pStyle w:val="BodyAA"/>
              <w:suppressAutoHyphens w:val="0"/>
              <w:spacing w:after="0" w:line="360" w:lineRule="auto"/>
              <w:jc w:val="both"/>
            </w:pPr>
            <w:r w:rsidRPr="00512804">
              <w:rPr>
                <w:rFonts w:ascii="Book Antiqua" w:hAnsi="Book Antiqua"/>
                <w:color w:val="0B0403"/>
                <w:sz w:val="24"/>
                <w:szCs w:val="24"/>
                <w:u w:color="0B0403"/>
              </w:rPr>
              <w:t>94 (58)</w:t>
            </w:r>
          </w:p>
        </w:tc>
        <w:tc>
          <w:tcPr>
            <w:tcW w:w="834" w:type="dxa"/>
            <w:tcBorders>
              <w:top w:val="nil"/>
              <w:left w:val="nil"/>
              <w:bottom w:val="single" w:sz="4" w:space="0" w:color="000000"/>
              <w:right w:val="nil"/>
            </w:tcBorders>
            <w:shd w:val="clear" w:color="auto" w:fill="auto"/>
            <w:tcMar>
              <w:top w:w="80" w:type="dxa"/>
              <w:left w:w="80" w:type="dxa"/>
              <w:bottom w:w="80" w:type="dxa"/>
              <w:right w:w="80" w:type="dxa"/>
            </w:tcMar>
          </w:tcPr>
          <w:p w14:paraId="767176EA" w14:textId="77777777" w:rsidR="00B4314C" w:rsidRPr="00512804" w:rsidRDefault="0027755F">
            <w:pPr>
              <w:pStyle w:val="BodyAA"/>
              <w:suppressAutoHyphens w:val="0"/>
              <w:spacing w:after="0" w:line="360" w:lineRule="auto"/>
              <w:jc w:val="both"/>
            </w:pPr>
            <w:r w:rsidRPr="00512804">
              <w:rPr>
                <w:rFonts w:ascii="Book Antiqua" w:hAnsi="Book Antiqua"/>
                <w:color w:val="0B0403"/>
                <w:sz w:val="24"/>
                <w:szCs w:val="24"/>
                <w:u w:color="0B0403"/>
              </w:rPr>
              <w:t>GT3: 56 (90); GT4: 4; GT1: 2</w:t>
            </w:r>
          </w:p>
        </w:tc>
        <w:tc>
          <w:tcPr>
            <w:tcW w:w="689" w:type="dxa"/>
            <w:tcBorders>
              <w:top w:val="nil"/>
              <w:left w:val="nil"/>
              <w:bottom w:val="single" w:sz="4" w:space="0" w:color="000000"/>
              <w:right w:val="nil"/>
            </w:tcBorders>
            <w:shd w:val="clear" w:color="auto" w:fill="auto"/>
            <w:tcMar>
              <w:top w:w="80" w:type="dxa"/>
              <w:left w:w="80" w:type="dxa"/>
              <w:bottom w:w="80" w:type="dxa"/>
              <w:right w:w="80" w:type="dxa"/>
            </w:tcMar>
          </w:tcPr>
          <w:p w14:paraId="79EBDDAC" w14:textId="77777777" w:rsidR="00B4314C" w:rsidRPr="00512804" w:rsidRDefault="0027755F">
            <w:pPr>
              <w:pStyle w:val="BodyAA"/>
              <w:suppressAutoHyphens w:val="0"/>
              <w:spacing w:after="0" w:line="360" w:lineRule="auto"/>
              <w:jc w:val="both"/>
            </w:pPr>
            <w:r w:rsidRPr="00512804">
              <w:rPr>
                <w:rFonts w:ascii="Book Antiqua" w:hAnsi="Book Antiqua"/>
                <w:color w:val="0B0403"/>
                <w:sz w:val="24"/>
                <w:szCs w:val="24"/>
                <w:u w:color="0B0403"/>
              </w:rPr>
              <w:t>12</w:t>
            </w:r>
            <w:r w:rsidRPr="00512804">
              <w:rPr>
                <w:rFonts w:ascii="Book Antiqua" w:hAnsi="Book Antiqua"/>
                <w:b/>
                <w:bCs/>
                <w:color w:val="0B0403"/>
                <w:sz w:val="24"/>
                <w:szCs w:val="24"/>
                <w:u w:color="0B0403"/>
              </w:rPr>
              <w:t xml:space="preserve"> </w:t>
            </w:r>
            <w:r w:rsidRPr="00512804">
              <w:rPr>
                <w:rFonts w:ascii="Book Antiqua" w:hAnsi="Book Antiqua"/>
                <w:color w:val="0B0403"/>
                <w:sz w:val="24"/>
                <w:szCs w:val="24"/>
                <w:u w:color="0B0403"/>
              </w:rPr>
              <w:t>(7)</w:t>
            </w:r>
          </w:p>
        </w:tc>
        <w:tc>
          <w:tcPr>
            <w:tcW w:w="689" w:type="dxa"/>
            <w:tcBorders>
              <w:top w:val="nil"/>
              <w:left w:val="nil"/>
              <w:bottom w:val="single" w:sz="4" w:space="0" w:color="000000"/>
              <w:right w:val="nil"/>
            </w:tcBorders>
            <w:shd w:val="clear" w:color="auto" w:fill="auto"/>
            <w:tcMar>
              <w:top w:w="80" w:type="dxa"/>
              <w:left w:w="80" w:type="dxa"/>
              <w:bottom w:w="80" w:type="dxa"/>
              <w:right w:w="80" w:type="dxa"/>
            </w:tcMar>
          </w:tcPr>
          <w:p w14:paraId="68A41AA0" w14:textId="77777777" w:rsidR="00B4314C" w:rsidRPr="00512804" w:rsidRDefault="0027755F">
            <w:pPr>
              <w:pStyle w:val="BodyAA"/>
              <w:suppressAutoHyphens w:val="0"/>
              <w:spacing w:after="0" w:line="360" w:lineRule="auto"/>
              <w:jc w:val="both"/>
            </w:pPr>
            <w:r w:rsidRPr="00512804">
              <w:rPr>
                <w:rFonts w:ascii="Book Antiqua" w:hAnsi="Book Antiqua"/>
                <w:color w:val="0B0403"/>
                <w:sz w:val="24"/>
                <w:szCs w:val="24"/>
                <w:u w:color="0B0403"/>
              </w:rPr>
              <w:t>19 (12)</w:t>
            </w:r>
          </w:p>
        </w:tc>
        <w:tc>
          <w:tcPr>
            <w:tcW w:w="1532" w:type="dxa"/>
            <w:tcBorders>
              <w:top w:val="nil"/>
              <w:left w:val="nil"/>
              <w:bottom w:val="single" w:sz="4" w:space="0" w:color="000000"/>
              <w:right w:val="nil"/>
            </w:tcBorders>
            <w:shd w:val="clear" w:color="auto" w:fill="auto"/>
            <w:tcMar>
              <w:top w:w="80" w:type="dxa"/>
              <w:left w:w="80" w:type="dxa"/>
              <w:bottom w:w="80" w:type="dxa"/>
              <w:right w:w="80" w:type="dxa"/>
            </w:tcMar>
          </w:tcPr>
          <w:p w14:paraId="7A9E51CD" w14:textId="77777777" w:rsidR="00B4314C" w:rsidRPr="00512804" w:rsidRDefault="0027755F">
            <w:pPr>
              <w:pStyle w:val="BodyAA"/>
              <w:suppressAutoHyphens w:val="0"/>
              <w:spacing w:after="0" w:line="360" w:lineRule="auto"/>
              <w:jc w:val="both"/>
            </w:pPr>
            <w:r w:rsidRPr="00512804">
              <w:rPr>
                <w:rFonts w:ascii="Book Antiqua" w:hAnsi="Book Antiqua"/>
                <w:color w:val="0B0403"/>
                <w:sz w:val="24"/>
                <w:szCs w:val="24"/>
                <w:u w:color="0B0403"/>
              </w:rPr>
              <w:t>345.5 (16-4502)</w:t>
            </w:r>
          </w:p>
        </w:tc>
        <w:tc>
          <w:tcPr>
            <w:tcW w:w="960" w:type="dxa"/>
            <w:tcBorders>
              <w:top w:val="nil"/>
              <w:left w:val="nil"/>
              <w:bottom w:val="single" w:sz="4" w:space="0" w:color="000000"/>
              <w:right w:val="nil"/>
            </w:tcBorders>
            <w:shd w:val="clear" w:color="auto" w:fill="auto"/>
            <w:tcMar>
              <w:top w:w="80" w:type="dxa"/>
              <w:left w:w="80" w:type="dxa"/>
              <w:bottom w:w="80" w:type="dxa"/>
              <w:right w:w="80" w:type="dxa"/>
            </w:tcMar>
          </w:tcPr>
          <w:p w14:paraId="26B511F8" w14:textId="77777777" w:rsidR="00B4314C" w:rsidRPr="00512804" w:rsidRDefault="0027755F">
            <w:pPr>
              <w:pStyle w:val="BodyAA"/>
              <w:spacing w:after="0" w:line="360" w:lineRule="auto"/>
              <w:jc w:val="both"/>
              <w:outlineLvl w:val="0"/>
            </w:pPr>
            <w:r w:rsidRPr="00512804">
              <w:rPr>
                <w:rFonts w:ascii="Book Antiqua" w:hAnsi="Book Antiqua"/>
                <w:color w:val="0B0403"/>
                <w:sz w:val="24"/>
                <w:szCs w:val="24"/>
                <w:u w:color="0B0403"/>
              </w:rPr>
              <w:t>Ribavirin: 16 (10)</w:t>
            </w:r>
          </w:p>
        </w:tc>
        <w:tc>
          <w:tcPr>
            <w:tcW w:w="821" w:type="dxa"/>
            <w:tcBorders>
              <w:top w:val="nil"/>
              <w:left w:val="nil"/>
              <w:bottom w:val="single" w:sz="4" w:space="0" w:color="000000"/>
              <w:right w:val="nil"/>
            </w:tcBorders>
            <w:shd w:val="clear" w:color="auto" w:fill="auto"/>
            <w:tcMar>
              <w:top w:w="80" w:type="dxa"/>
              <w:left w:w="80" w:type="dxa"/>
              <w:bottom w:w="80" w:type="dxa"/>
              <w:right w:w="80" w:type="dxa"/>
            </w:tcMar>
          </w:tcPr>
          <w:p w14:paraId="0B7F3189" w14:textId="77777777" w:rsidR="00B4314C" w:rsidRPr="00512804" w:rsidRDefault="0027755F">
            <w:pPr>
              <w:pStyle w:val="BodyAA"/>
              <w:suppressAutoHyphens w:val="0"/>
              <w:spacing w:after="0" w:line="360" w:lineRule="auto"/>
              <w:jc w:val="both"/>
            </w:pPr>
            <w:r w:rsidRPr="00512804">
              <w:rPr>
                <w:rFonts w:ascii="Book Antiqua" w:hAnsi="Book Antiqua"/>
                <w:color w:val="0B0403"/>
                <w:sz w:val="24"/>
                <w:szCs w:val="24"/>
                <w:u w:color="0B0403"/>
              </w:rPr>
              <w:t>CR: 60 (46); PR: 68 (53) Died:2; NM 33 (20)</w:t>
            </w:r>
          </w:p>
        </w:tc>
      </w:tr>
    </w:tbl>
    <w:p w14:paraId="6356BAA6" w14:textId="77777777" w:rsidR="00B4314C" w:rsidRPr="00512804" w:rsidRDefault="00B4314C">
      <w:pPr>
        <w:pStyle w:val="BodyA"/>
        <w:widowControl w:val="0"/>
        <w:ind w:left="108" w:hanging="108"/>
        <w:rPr>
          <w:rFonts w:ascii="Book Antiqua" w:eastAsia="Book Antiqua" w:hAnsi="Book Antiqua" w:cs="Book Antiqua"/>
          <w:b/>
          <w:bCs/>
        </w:rPr>
      </w:pPr>
    </w:p>
    <w:p w14:paraId="114369E5" w14:textId="77777777" w:rsidR="00B4314C" w:rsidRPr="00512804" w:rsidRDefault="00B4314C">
      <w:pPr>
        <w:pStyle w:val="BodyA"/>
        <w:widowControl w:val="0"/>
        <w:jc w:val="both"/>
        <w:rPr>
          <w:rFonts w:ascii="Book Antiqua" w:eastAsia="Book Antiqua" w:hAnsi="Book Antiqua" w:cs="Book Antiqua"/>
          <w:b/>
          <w:bCs/>
        </w:rPr>
      </w:pPr>
    </w:p>
    <w:p w14:paraId="624225C5" w14:textId="38712A84" w:rsidR="00B4314C" w:rsidRPr="00512804" w:rsidRDefault="0027755F">
      <w:pPr>
        <w:pStyle w:val="BodyA"/>
        <w:spacing w:line="360" w:lineRule="auto"/>
        <w:jc w:val="both"/>
        <w:rPr>
          <w:rFonts w:ascii="Book Antiqua" w:eastAsia="Book Antiqua" w:hAnsi="Book Antiqua" w:cs="Book Antiqua"/>
        </w:rPr>
      </w:pPr>
      <w:r w:rsidRPr="00512804">
        <w:rPr>
          <w:rFonts w:ascii="Book Antiqua" w:hAnsi="Book Antiqua"/>
        </w:rPr>
        <w:t xml:space="preserve">ALT: Alanine aminotransferase; CR: Complete recovery; </w:t>
      </w:r>
      <w:r w:rsidRPr="00512804">
        <w:rPr>
          <w:rFonts w:ascii="Book Antiqua" w:hAnsi="Book Antiqua"/>
          <w:lang w:val="it-IT"/>
        </w:rPr>
        <w:t xml:space="preserve">CSF: Cerebrospinal fluid; GT: Genotype; </w:t>
      </w:r>
      <w:r w:rsidRPr="00512804">
        <w:rPr>
          <w:rFonts w:ascii="Book Antiqua" w:hAnsi="Book Antiqua"/>
        </w:rPr>
        <w:t xml:space="preserve">HEV: Hepatitis E virus; M:F </w:t>
      </w:r>
      <w:r w:rsidRPr="00512804">
        <w:rPr>
          <w:rFonts w:ascii="Book Antiqua" w:hAnsi="Book Antiqua"/>
          <w:lang w:val="fr-FR"/>
        </w:rPr>
        <w:t>ratio</w:t>
      </w:r>
      <w:r w:rsidRPr="00512804">
        <w:rPr>
          <w:rFonts w:ascii="Book Antiqua" w:hAnsi="Book Antiqua"/>
        </w:rPr>
        <w:t>: Male to female ratio; NM: Not mention; PR: Partial recovery; SEAR: South-East Asia Region; WHO: World Health Organization.</w:t>
      </w:r>
    </w:p>
    <w:p w14:paraId="1EAFDD85" w14:textId="77777777" w:rsidR="00B4314C" w:rsidRPr="00512804" w:rsidRDefault="00B4314C">
      <w:pPr>
        <w:pStyle w:val="BodyA"/>
        <w:spacing w:line="360" w:lineRule="auto"/>
        <w:jc w:val="both"/>
        <w:sectPr w:rsidR="00B4314C" w:rsidRPr="00512804">
          <w:pgSz w:w="12240" w:h="15840"/>
          <w:pgMar w:top="1440" w:right="1440" w:bottom="1440" w:left="1440" w:header="720" w:footer="720" w:gutter="0"/>
          <w:cols w:space="720"/>
        </w:sectPr>
      </w:pPr>
    </w:p>
    <w:p w14:paraId="5BD200D2" w14:textId="7FAE0117" w:rsidR="00B4314C" w:rsidRPr="00512804" w:rsidRDefault="0027755F">
      <w:pPr>
        <w:pStyle w:val="BodyA"/>
        <w:spacing w:line="360" w:lineRule="auto"/>
        <w:jc w:val="both"/>
        <w:rPr>
          <w:rFonts w:ascii="Book Antiqua" w:eastAsia="Book Antiqua" w:hAnsi="Book Antiqua" w:cs="Book Antiqua"/>
          <w:b/>
          <w:bCs/>
        </w:rPr>
      </w:pPr>
      <w:r w:rsidRPr="00512804">
        <w:rPr>
          <w:rFonts w:ascii="Book Antiqua" w:hAnsi="Book Antiqua"/>
          <w:b/>
          <w:bCs/>
        </w:rPr>
        <w:t xml:space="preserve">Table 4 Clinical description of nerve root and plexus disorders, </w:t>
      </w:r>
      <w:r w:rsidRPr="00512804">
        <w:rPr>
          <w:rFonts w:ascii="Book Antiqua" w:hAnsi="Book Antiqua"/>
          <w:b/>
          <w:bCs/>
          <w:i/>
          <w:iCs/>
        </w:rPr>
        <w:t>n</w:t>
      </w:r>
      <w:r w:rsidRPr="00512804">
        <w:rPr>
          <w:rFonts w:ascii="Book Antiqua" w:hAnsi="Book Antiqua"/>
          <w:b/>
          <w:bCs/>
        </w:rPr>
        <w:t xml:space="preserve"> = 125</w:t>
      </w:r>
    </w:p>
    <w:tbl>
      <w:tblPr>
        <w:tblW w:w="95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44"/>
        <w:gridCol w:w="1486"/>
        <w:gridCol w:w="1617"/>
        <w:gridCol w:w="2907"/>
        <w:gridCol w:w="1756"/>
      </w:tblGrid>
      <w:tr w:rsidR="00B4314C" w:rsidRPr="00512804" w14:paraId="4B66736D" w14:textId="77777777">
        <w:trPr>
          <w:trHeight w:val="1560"/>
        </w:trPr>
        <w:tc>
          <w:tcPr>
            <w:tcW w:w="17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765966"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b/>
                <w:bCs/>
              </w:rPr>
              <w:t>Nerve root and plexus disorders</w:t>
            </w:r>
          </w:p>
        </w:tc>
        <w:tc>
          <w:tcPr>
            <w:tcW w:w="14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50611E" w14:textId="77777777" w:rsidR="00B4314C" w:rsidRPr="00512804" w:rsidRDefault="0027755F">
            <w:pPr>
              <w:pStyle w:val="BodyA"/>
              <w:suppressAutoHyphens/>
              <w:spacing w:line="360" w:lineRule="auto"/>
              <w:jc w:val="both"/>
              <w:outlineLvl w:val="0"/>
            </w:pPr>
            <w:r w:rsidRPr="00512804">
              <w:rPr>
                <w:rFonts w:ascii="Book Antiqua" w:hAnsi="Book Antiqua"/>
                <w:b/>
                <w:bCs/>
              </w:rPr>
              <w:t>Source of infection</w:t>
            </w:r>
          </w:p>
        </w:tc>
        <w:tc>
          <w:tcPr>
            <w:tcW w:w="16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AA852D"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b/>
                <w:bCs/>
              </w:rPr>
              <w:t>Hepatitis-neurological involvement interval</w:t>
            </w:r>
          </w:p>
        </w:tc>
        <w:tc>
          <w:tcPr>
            <w:tcW w:w="2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C401E9"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b/>
                <w:bCs/>
              </w:rPr>
              <w:t xml:space="preserve">Type of involvement, </w:t>
            </w:r>
            <w:r w:rsidRPr="00512804">
              <w:rPr>
                <w:rFonts w:ascii="Book Antiqua" w:hAnsi="Book Antiqua"/>
                <w:b/>
                <w:bCs/>
                <w:i/>
                <w:iCs/>
              </w:rPr>
              <w:t>n</w:t>
            </w:r>
            <w:r w:rsidRPr="00512804">
              <w:rPr>
                <w:rFonts w:ascii="Book Antiqua" w:hAnsi="Book Antiqua"/>
                <w:b/>
                <w:bCs/>
              </w:rPr>
              <w:t xml:space="preserve"> (%)</w:t>
            </w:r>
          </w:p>
        </w:tc>
        <w:tc>
          <w:tcPr>
            <w:tcW w:w="17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8A3D82"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b/>
                <w:bCs/>
              </w:rPr>
              <w:t xml:space="preserve">Specific remarks, </w:t>
            </w:r>
            <w:r w:rsidRPr="00512804">
              <w:rPr>
                <w:rFonts w:ascii="Book Antiqua" w:hAnsi="Book Antiqua"/>
                <w:b/>
                <w:bCs/>
                <w:i/>
                <w:iCs/>
              </w:rPr>
              <w:t>n</w:t>
            </w:r>
            <w:r w:rsidRPr="00512804">
              <w:rPr>
                <w:rFonts w:ascii="Book Antiqua" w:hAnsi="Book Antiqua"/>
                <w:b/>
                <w:bCs/>
              </w:rPr>
              <w:t xml:space="preserve"> (%)</w:t>
            </w:r>
          </w:p>
        </w:tc>
      </w:tr>
      <w:tr w:rsidR="00B4314C" w:rsidRPr="00512804" w14:paraId="712265C0" w14:textId="77777777">
        <w:trPr>
          <w:trHeight w:val="5755"/>
        </w:trPr>
        <w:tc>
          <w:tcPr>
            <w:tcW w:w="1743" w:type="dxa"/>
            <w:tcBorders>
              <w:top w:val="single" w:sz="4" w:space="0" w:color="000000"/>
              <w:left w:val="nil"/>
              <w:bottom w:val="nil"/>
              <w:right w:val="nil"/>
            </w:tcBorders>
            <w:shd w:val="clear" w:color="auto" w:fill="auto"/>
            <w:tcMar>
              <w:top w:w="80" w:type="dxa"/>
              <w:left w:w="80" w:type="dxa"/>
              <w:bottom w:w="80" w:type="dxa"/>
              <w:right w:w="80" w:type="dxa"/>
            </w:tcMar>
          </w:tcPr>
          <w:p w14:paraId="3466F637"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u w:color="0B0403"/>
              </w:rPr>
              <w:t xml:space="preserve">Neuralgic amyotrophy </w:t>
            </w:r>
            <w:r w:rsidRPr="00512804">
              <w:rPr>
                <w:rFonts w:ascii="Book Antiqua" w:hAnsi="Book Antiqua"/>
              </w:rPr>
              <w:t>(</w:t>
            </w:r>
            <w:r w:rsidRPr="00512804">
              <w:rPr>
                <w:rFonts w:ascii="Book Antiqua" w:hAnsi="Book Antiqua"/>
                <w:i/>
                <w:iCs/>
              </w:rPr>
              <w:t>n</w:t>
            </w:r>
            <w:r w:rsidRPr="00512804">
              <w:rPr>
                <w:rFonts w:ascii="Book Antiqua" w:hAnsi="Book Antiqua"/>
              </w:rPr>
              <w:t xml:space="preserve"> = 64)</w:t>
            </w:r>
          </w:p>
        </w:tc>
        <w:tc>
          <w:tcPr>
            <w:tcW w:w="1486" w:type="dxa"/>
            <w:tcBorders>
              <w:top w:val="single" w:sz="4" w:space="0" w:color="000000"/>
              <w:left w:val="nil"/>
              <w:bottom w:val="nil"/>
              <w:right w:val="nil"/>
            </w:tcBorders>
            <w:shd w:val="clear" w:color="auto" w:fill="auto"/>
            <w:tcMar>
              <w:top w:w="80" w:type="dxa"/>
              <w:left w:w="80" w:type="dxa"/>
              <w:bottom w:w="80" w:type="dxa"/>
              <w:right w:w="80" w:type="dxa"/>
            </w:tcMar>
          </w:tcPr>
          <w:p w14:paraId="6D0058BF" w14:textId="77777777" w:rsidR="00B4314C" w:rsidRPr="00512804" w:rsidRDefault="0027755F">
            <w:pPr>
              <w:pStyle w:val="Default"/>
              <w:suppressAutoHyphens w:val="0"/>
              <w:spacing w:after="0" w:line="360" w:lineRule="auto"/>
              <w:jc w:val="both"/>
            </w:pPr>
            <w:r w:rsidRPr="00512804">
              <w:rPr>
                <w:rFonts w:ascii="Book Antiqua" w:hAnsi="Book Antiqua"/>
                <w:sz w:val="24"/>
                <w:szCs w:val="24"/>
              </w:rPr>
              <w:t>Described in 9. Sa</w:t>
            </w:r>
            <w:r w:rsidRPr="00512804">
              <w:rPr>
                <w:rFonts w:ascii="Book Antiqua" w:hAnsi="Book Antiqua"/>
                <w:sz w:val="24"/>
                <w:szCs w:val="24"/>
              </w:rPr>
              <w:t>u</w:t>
            </w:r>
            <w:r w:rsidRPr="00512804">
              <w:rPr>
                <w:rFonts w:ascii="Book Antiqua" w:hAnsi="Book Antiqua"/>
                <w:sz w:val="24"/>
                <w:szCs w:val="24"/>
              </w:rPr>
              <w:t>sage figatelli: 3; Vegetables: 2; U</w:t>
            </w:r>
            <w:r w:rsidRPr="00512804">
              <w:rPr>
                <w:rFonts w:ascii="Book Antiqua" w:hAnsi="Book Antiqua"/>
                <w:sz w:val="24"/>
                <w:szCs w:val="24"/>
              </w:rPr>
              <w:t>n</w:t>
            </w:r>
            <w:r w:rsidRPr="00512804">
              <w:rPr>
                <w:rFonts w:ascii="Book Antiqua" w:hAnsi="Book Antiqua"/>
                <w:sz w:val="24"/>
                <w:szCs w:val="24"/>
              </w:rPr>
              <w:t>cooked pork: 1; Manipul</w:t>
            </w:r>
            <w:r w:rsidRPr="00512804">
              <w:rPr>
                <w:rFonts w:ascii="Book Antiqua" w:hAnsi="Book Antiqua"/>
                <w:sz w:val="24"/>
                <w:szCs w:val="24"/>
              </w:rPr>
              <w:t>a</w:t>
            </w:r>
            <w:r w:rsidRPr="00512804">
              <w:rPr>
                <w:rFonts w:ascii="Book Antiqua" w:hAnsi="Book Antiqua"/>
                <w:sz w:val="24"/>
                <w:szCs w:val="24"/>
              </w:rPr>
              <w:t>tion of horse m</w:t>
            </w:r>
            <w:r w:rsidRPr="00512804">
              <w:rPr>
                <w:rFonts w:ascii="Book Antiqua" w:hAnsi="Book Antiqua"/>
                <w:sz w:val="24"/>
                <w:szCs w:val="24"/>
              </w:rPr>
              <w:t>a</w:t>
            </w:r>
            <w:r w:rsidRPr="00512804">
              <w:rPr>
                <w:rFonts w:ascii="Book Antiqua" w:hAnsi="Book Antiqua"/>
                <w:sz w:val="24"/>
                <w:szCs w:val="24"/>
              </w:rPr>
              <w:t>nure: 1; Travel hi</w:t>
            </w:r>
            <w:r w:rsidRPr="00512804">
              <w:rPr>
                <w:rFonts w:ascii="Book Antiqua" w:hAnsi="Book Antiqua"/>
                <w:sz w:val="24"/>
                <w:szCs w:val="24"/>
              </w:rPr>
              <w:t>s</w:t>
            </w:r>
            <w:r w:rsidRPr="00512804">
              <w:rPr>
                <w:rFonts w:ascii="Book Antiqua" w:hAnsi="Book Antiqua"/>
                <w:sz w:val="24"/>
                <w:szCs w:val="24"/>
              </w:rPr>
              <w:t>tory: 2</w:t>
            </w:r>
          </w:p>
        </w:tc>
        <w:tc>
          <w:tcPr>
            <w:tcW w:w="1617" w:type="dxa"/>
            <w:tcBorders>
              <w:top w:val="single" w:sz="4" w:space="0" w:color="000000"/>
              <w:left w:val="nil"/>
              <w:bottom w:val="nil"/>
              <w:right w:val="nil"/>
            </w:tcBorders>
            <w:shd w:val="clear" w:color="auto" w:fill="auto"/>
            <w:tcMar>
              <w:top w:w="80" w:type="dxa"/>
              <w:left w:w="80" w:type="dxa"/>
              <w:bottom w:w="80" w:type="dxa"/>
              <w:right w:w="80" w:type="dxa"/>
            </w:tcMar>
          </w:tcPr>
          <w:p w14:paraId="41597D24"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rPr>
              <w:t>Described in 29. Mean delay: 8.4 d</w:t>
            </w:r>
          </w:p>
        </w:tc>
        <w:tc>
          <w:tcPr>
            <w:tcW w:w="2907" w:type="dxa"/>
            <w:tcBorders>
              <w:top w:val="single" w:sz="4" w:space="0" w:color="000000"/>
              <w:left w:val="nil"/>
              <w:bottom w:val="nil"/>
              <w:right w:val="nil"/>
            </w:tcBorders>
            <w:shd w:val="clear" w:color="auto" w:fill="auto"/>
            <w:tcMar>
              <w:top w:w="80" w:type="dxa"/>
              <w:left w:w="80" w:type="dxa"/>
              <w:bottom w:w="80" w:type="dxa"/>
              <w:right w:w="80" w:type="dxa"/>
            </w:tcMar>
          </w:tcPr>
          <w:p w14:paraId="21229B55"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rPr>
              <w:t>Described in 54. Brachial plexus involvement: Bilateral 48 (89) [right &gt; left: 15 (60); left &gt; right: 10 (40); not described: 23]; Unilateral 6 (11) [right: 5 (83); left: 1]</w:t>
            </w:r>
          </w:p>
        </w:tc>
        <w:tc>
          <w:tcPr>
            <w:tcW w:w="1756" w:type="dxa"/>
            <w:tcBorders>
              <w:top w:val="single" w:sz="4" w:space="0" w:color="000000"/>
              <w:left w:val="nil"/>
              <w:bottom w:val="nil"/>
              <w:right w:val="nil"/>
            </w:tcBorders>
            <w:shd w:val="clear" w:color="auto" w:fill="auto"/>
            <w:tcMar>
              <w:top w:w="80" w:type="dxa"/>
              <w:left w:w="80" w:type="dxa"/>
              <w:bottom w:w="80" w:type="dxa"/>
              <w:right w:w="80" w:type="dxa"/>
            </w:tcMar>
          </w:tcPr>
          <w:p w14:paraId="47ADC9C5"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rPr>
              <w:t xml:space="preserve">94% had normal bilirubin levels. EMG findings mentioned: </w:t>
            </w:r>
            <w:r w:rsidRPr="00512804">
              <w:rPr>
                <w:rFonts w:ascii="Book Antiqua" w:hAnsi="Book Antiqua"/>
                <w:lang w:val="ru-RU"/>
              </w:rPr>
              <w:t>34</w:t>
            </w:r>
            <w:r w:rsidRPr="00512804">
              <w:rPr>
                <w:rFonts w:ascii="Book Antiqua" w:hAnsi="Book Antiqua"/>
              </w:rPr>
              <w:t>; D</w:t>
            </w:r>
            <w:r w:rsidRPr="00512804">
              <w:rPr>
                <w:rFonts w:ascii="Book Antiqua" w:hAnsi="Book Antiqua"/>
                <w:color w:val="080101"/>
                <w:u w:color="080101"/>
              </w:rPr>
              <w:t>enervation and/or damage of brachial plexus: 31 (91)</w:t>
            </w:r>
          </w:p>
        </w:tc>
      </w:tr>
      <w:tr w:rsidR="00B4314C" w:rsidRPr="00512804" w14:paraId="5B40D92E" w14:textId="77777777">
        <w:trPr>
          <w:trHeight w:val="5755"/>
        </w:trPr>
        <w:tc>
          <w:tcPr>
            <w:tcW w:w="1743" w:type="dxa"/>
            <w:tcBorders>
              <w:top w:val="nil"/>
              <w:left w:val="nil"/>
              <w:bottom w:val="single" w:sz="4" w:space="0" w:color="000000"/>
              <w:right w:val="nil"/>
            </w:tcBorders>
            <w:shd w:val="clear" w:color="auto" w:fill="auto"/>
            <w:tcMar>
              <w:top w:w="80" w:type="dxa"/>
              <w:left w:w="80" w:type="dxa"/>
              <w:bottom w:w="80" w:type="dxa"/>
              <w:right w:w="80" w:type="dxa"/>
            </w:tcMar>
          </w:tcPr>
          <w:p w14:paraId="4FA67920"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u w:color="0B0403"/>
              </w:rPr>
              <w:t xml:space="preserve">Guillain-Barré syndrome </w:t>
            </w:r>
            <w:r w:rsidRPr="00512804">
              <w:rPr>
                <w:rFonts w:ascii="Book Antiqua" w:hAnsi="Book Antiqua"/>
              </w:rPr>
              <w:t>(</w:t>
            </w:r>
            <w:r w:rsidRPr="00512804">
              <w:rPr>
                <w:rFonts w:ascii="Book Antiqua" w:hAnsi="Book Antiqua"/>
                <w:i/>
                <w:iCs/>
              </w:rPr>
              <w:t>n</w:t>
            </w:r>
            <w:r w:rsidRPr="00512804">
              <w:rPr>
                <w:rFonts w:ascii="Book Antiqua" w:hAnsi="Book Antiqua"/>
              </w:rPr>
              <w:t xml:space="preserve"> = 61)</w:t>
            </w:r>
          </w:p>
        </w:tc>
        <w:tc>
          <w:tcPr>
            <w:tcW w:w="1486" w:type="dxa"/>
            <w:tcBorders>
              <w:top w:val="nil"/>
              <w:left w:val="nil"/>
              <w:bottom w:val="single" w:sz="4" w:space="0" w:color="000000"/>
              <w:right w:val="nil"/>
            </w:tcBorders>
            <w:shd w:val="clear" w:color="auto" w:fill="auto"/>
            <w:tcMar>
              <w:top w:w="80" w:type="dxa"/>
              <w:left w:w="80" w:type="dxa"/>
              <w:bottom w:w="80" w:type="dxa"/>
              <w:right w:w="80" w:type="dxa"/>
            </w:tcMar>
          </w:tcPr>
          <w:p w14:paraId="40819C90" w14:textId="77777777" w:rsidR="00B4314C" w:rsidRPr="00512804" w:rsidRDefault="0027755F">
            <w:pPr>
              <w:pStyle w:val="Default"/>
              <w:suppressAutoHyphens w:val="0"/>
              <w:spacing w:after="0" w:line="360" w:lineRule="auto"/>
              <w:jc w:val="both"/>
            </w:pPr>
            <w:r w:rsidRPr="00512804">
              <w:rPr>
                <w:rFonts w:ascii="Book Antiqua" w:hAnsi="Book Antiqua"/>
                <w:sz w:val="24"/>
                <w:szCs w:val="24"/>
              </w:rPr>
              <w:t>Described in 5. Sa</w:t>
            </w:r>
            <w:r w:rsidRPr="00512804">
              <w:rPr>
                <w:rFonts w:ascii="Book Antiqua" w:hAnsi="Book Antiqua"/>
                <w:sz w:val="24"/>
                <w:szCs w:val="24"/>
              </w:rPr>
              <w:t>u</w:t>
            </w:r>
            <w:r w:rsidRPr="00512804">
              <w:rPr>
                <w:rFonts w:ascii="Book Antiqua" w:hAnsi="Book Antiqua"/>
                <w:sz w:val="24"/>
                <w:szCs w:val="24"/>
              </w:rPr>
              <w:t>sage figatelli: 2; Uncooked pork: 1; Dear meat: 1; Contact with farm animals: 1</w:t>
            </w:r>
          </w:p>
        </w:tc>
        <w:tc>
          <w:tcPr>
            <w:tcW w:w="1617" w:type="dxa"/>
            <w:tcBorders>
              <w:top w:val="nil"/>
              <w:left w:val="nil"/>
              <w:bottom w:val="single" w:sz="4" w:space="0" w:color="000000"/>
              <w:right w:val="nil"/>
            </w:tcBorders>
            <w:shd w:val="clear" w:color="auto" w:fill="auto"/>
            <w:tcMar>
              <w:top w:w="80" w:type="dxa"/>
              <w:left w:w="80" w:type="dxa"/>
              <w:bottom w:w="80" w:type="dxa"/>
              <w:right w:w="80" w:type="dxa"/>
            </w:tcMar>
          </w:tcPr>
          <w:p w14:paraId="47601548"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rPr>
              <w:t>Described in 51. Mean delay:15 d; Concomitant: 6 patients</w:t>
            </w:r>
          </w:p>
        </w:tc>
        <w:tc>
          <w:tcPr>
            <w:tcW w:w="2907" w:type="dxa"/>
            <w:tcBorders>
              <w:top w:val="nil"/>
              <w:left w:val="nil"/>
              <w:bottom w:val="single" w:sz="4" w:space="0" w:color="000000"/>
              <w:right w:val="nil"/>
            </w:tcBorders>
            <w:shd w:val="clear" w:color="auto" w:fill="auto"/>
            <w:tcMar>
              <w:top w:w="80" w:type="dxa"/>
              <w:left w:w="80" w:type="dxa"/>
              <w:bottom w:w="80" w:type="dxa"/>
              <w:right w:w="80" w:type="dxa"/>
            </w:tcMar>
          </w:tcPr>
          <w:p w14:paraId="4C1D443F"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rPr>
              <w:t>Described in 38. Acute inflammatory demyelinating polyneuropathy: 28 (74); Acute motor-sensory axonal neuropathy: 5 (13); Acute motor axonal neuropathy: 4 (11); Miller Fisher syndrome: 1 (3)</w:t>
            </w:r>
          </w:p>
        </w:tc>
        <w:tc>
          <w:tcPr>
            <w:tcW w:w="1756" w:type="dxa"/>
            <w:tcBorders>
              <w:top w:val="nil"/>
              <w:left w:val="nil"/>
              <w:bottom w:val="single" w:sz="4" w:space="0" w:color="000000"/>
              <w:right w:val="nil"/>
            </w:tcBorders>
            <w:shd w:val="clear" w:color="auto" w:fill="auto"/>
            <w:tcMar>
              <w:top w:w="80" w:type="dxa"/>
              <w:left w:w="80" w:type="dxa"/>
              <w:bottom w:w="80" w:type="dxa"/>
              <w:right w:w="80" w:type="dxa"/>
            </w:tcMar>
          </w:tcPr>
          <w:p w14:paraId="19CFFD9B" w14:textId="77777777" w:rsidR="00B4314C" w:rsidRPr="00512804" w:rsidRDefault="0027755F">
            <w:pPr>
              <w:pStyle w:val="BodyA"/>
              <w:tabs>
                <w:tab w:val="left" w:pos="1440"/>
              </w:tabs>
              <w:suppressAutoHyphens/>
              <w:spacing w:line="360" w:lineRule="auto"/>
              <w:jc w:val="both"/>
              <w:outlineLvl w:val="0"/>
            </w:pPr>
            <w:r w:rsidRPr="00512804">
              <w:rPr>
                <w:rFonts w:ascii="Book Antiqua" w:hAnsi="Book Antiqua"/>
              </w:rPr>
              <w:t>82% had normal bilirubin levels; Anti-ganglioside GM1 antibodies: 4; Anti-ganglioside GM 2 antibodies: 4; Anti-GQ1b ganglioside antibody: 1</w:t>
            </w:r>
          </w:p>
        </w:tc>
      </w:tr>
    </w:tbl>
    <w:p w14:paraId="61D8AA8D" w14:textId="77777777" w:rsidR="00B4314C" w:rsidRPr="00512804" w:rsidRDefault="00B4314C">
      <w:pPr>
        <w:pStyle w:val="BodyA"/>
        <w:widowControl w:val="0"/>
        <w:ind w:left="108" w:hanging="108"/>
        <w:rPr>
          <w:rFonts w:ascii="Book Antiqua" w:eastAsia="Book Antiqua" w:hAnsi="Book Antiqua" w:cs="Book Antiqua"/>
          <w:b/>
          <w:bCs/>
        </w:rPr>
      </w:pPr>
    </w:p>
    <w:p w14:paraId="5013D231" w14:textId="77777777" w:rsidR="00B4314C" w:rsidRPr="00512804" w:rsidRDefault="00B4314C">
      <w:pPr>
        <w:pStyle w:val="BodyA"/>
        <w:widowControl w:val="0"/>
        <w:jc w:val="both"/>
        <w:rPr>
          <w:rFonts w:ascii="Book Antiqua" w:eastAsia="Book Antiqua" w:hAnsi="Book Antiqua" w:cs="Book Antiqua"/>
          <w:b/>
          <w:bCs/>
        </w:rPr>
      </w:pPr>
    </w:p>
    <w:p w14:paraId="23737C04" w14:textId="1EE1EB8B" w:rsidR="0033619A" w:rsidRDefault="0027755F">
      <w:pPr>
        <w:pStyle w:val="BodyA"/>
        <w:spacing w:line="360" w:lineRule="auto"/>
        <w:jc w:val="both"/>
        <w:rPr>
          <w:rFonts w:ascii="Book Antiqua" w:hAnsi="Book Antiqua"/>
          <w:lang w:val="fr-FR"/>
        </w:rPr>
      </w:pPr>
      <w:r w:rsidRPr="00512804">
        <w:rPr>
          <w:rFonts w:ascii="Book Antiqua" w:hAnsi="Book Antiqua"/>
          <w:lang w:val="da-DK"/>
        </w:rPr>
        <w:t xml:space="preserve">EMG: </w:t>
      </w:r>
      <w:r w:rsidRPr="00512804">
        <w:rPr>
          <w:rFonts w:ascii="Book Antiqua" w:hAnsi="Book Antiqua"/>
          <w:caps/>
        </w:rPr>
        <w:t>e</w:t>
      </w:r>
      <w:r w:rsidRPr="00512804">
        <w:rPr>
          <w:rFonts w:ascii="Book Antiqua" w:hAnsi="Book Antiqua"/>
          <w:lang w:val="fr-FR"/>
        </w:rPr>
        <w:t>lectromyography.</w:t>
      </w:r>
    </w:p>
    <w:p w14:paraId="5C160385" w14:textId="77777777" w:rsidR="0033619A" w:rsidRDefault="0033619A">
      <w:pPr>
        <w:rPr>
          <w:rFonts w:ascii="Book Antiqua" w:hAnsi="Book Antiqua" w:cs="Arial Unicode MS"/>
          <w:color w:val="000000"/>
          <w:u w:color="000000"/>
          <w:lang w:val="fr-FR"/>
        </w:rPr>
      </w:pPr>
      <w:r>
        <w:rPr>
          <w:rFonts w:ascii="Book Antiqua" w:hAnsi="Book Antiqua"/>
          <w:lang w:val="fr-FR"/>
        </w:rPr>
        <w:br w:type="page"/>
      </w:r>
    </w:p>
    <w:p w14:paraId="5C15BFBD" w14:textId="77777777" w:rsidR="0033619A" w:rsidRDefault="0033619A" w:rsidP="0033619A">
      <w:pPr>
        <w:jc w:val="center"/>
        <w:rPr>
          <w:rFonts w:ascii="Book Antiqua" w:hAnsi="Book Antiqua"/>
          <w:lang w:eastAsia="zh-CN"/>
        </w:rPr>
      </w:pPr>
      <w:bookmarkStart w:id="8" w:name="OLE_LINK1"/>
      <w:bookmarkStart w:id="9" w:name="OLE_LINK2"/>
    </w:p>
    <w:p w14:paraId="4969A48E" w14:textId="77777777" w:rsidR="0033619A" w:rsidRDefault="0033619A" w:rsidP="0033619A">
      <w:pPr>
        <w:jc w:val="center"/>
        <w:rPr>
          <w:rFonts w:ascii="Book Antiqua" w:hAnsi="Book Antiqua"/>
          <w:lang w:eastAsia="zh-CN"/>
        </w:rPr>
      </w:pPr>
    </w:p>
    <w:p w14:paraId="74DAAED4" w14:textId="77777777" w:rsidR="0033619A" w:rsidRDefault="0033619A" w:rsidP="0033619A">
      <w:pPr>
        <w:jc w:val="center"/>
        <w:rPr>
          <w:rFonts w:ascii="Book Antiqua" w:hAnsi="Book Antiqua"/>
          <w:lang w:eastAsia="zh-CN"/>
        </w:rPr>
      </w:pPr>
    </w:p>
    <w:p w14:paraId="0471F3A7" w14:textId="77777777" w:rsidR="0033619A" w:rsidRDefault="0033619A" w:rsidP="0033619A">
      <w:pPr>
        <w:jc w:val="center"/>
        <w:rPr>
          <w:rFonts w:ascii="Book Antiqua" w:hAnsi="Book Antiqua"/>
          <w:lang w:eastAsia="zh-CN"/>
        </w:rPr>
      </w:pPr>
    </w:p>
    <w:p w14:paraId="229D1214" w14:textId="77777777" w:rsidR="0033619A" w:rsidRDefault="0033619A" w:rsidP="0033619A">
      <w:pPr>
        <w:jc w:val="center"/>
        <w:rPr>
          <w:rFonts w:ascii="Book Antiqua" w:hAnsi="Book Antiqua"/>
          <w:lang w:eastAsia="zh-CN"/>
        </w:rPr>
      </w:pPr>
    </w:p>
    <w:p w14:paraId="7ECB5CE2" w14:textId="77777777" w:rsidR="0033619A" w:rsidRDefault="0033619A" w:rsidP="0033619A">
      <w:pPr>
        <w:jc w:val="center"/>
        <w:rPr>
          <w:rFonts w:ascii="Book Antiqua" w:hAnsi="Book Antiqua"/>
          <w:lang w:eastAsia="zh-CN"/>
        </w:rPr>
      </w:pPr>
      <w:r>
        <w:rPr>
          <w:rFonts w:ascii="Book Antiqua" w:hAnsi="Book Antiqua"/>
          <w:noProof/>
          <w:lang w:eastAsia="zh-CN"/>
        </w:rPr>
        <w:drawing>
          <wp:inline distT="0" distB="0" distL="0" distR="0" wp14:anchorId="0DC71465" wp14:editId="296626F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AB73F37" w14:textId="77777777" w:rsidR="0033619A" w:rsidRDefault="0033619A" w:rsidP="0033619A">
      <w:pPr>
        <w:jc w:val="center"/>
        <w:rPr>
          <w:rFonts w:ascii="Book Antiqua" w:hAnsi="Book Antiqua"/>
          <w:lang w:eastAsia="zh-CN"/>
        </w:rPr>
      </w:pPr>
    </w:p>
    <w:p w14:paraId="4300F739" w14:textId="77777777" w:rsidR="0033619A" w:rsidRPr="00763D22" w:rsidRDefault="0033619A" w:rsidP="0033619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719222C" w14:textId="77777777" w:rsidR="0033619A" w:rsidRPr="00763D22" w:rsidRDefault="0033619A" w:rsidP="0033619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A40AB01" w14:textId="77777777" w:rsidR="0033619A" w:rsidRPr="00763D22" w:rsidRDefault="0033619A" w:rsidP="0033619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DED27F8" w14:textId="77777777" w:rsidR="0033619A" w:rsidRPr="00763D22" w:rsidRDefault="0033619A" w:rsidP="0033619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E23306E" w14:textId="77777777" w:rsidR="0033619A" w:rsidRPr="00763D22" w:rsidRDefault="0033619A" w:rsidP="0033619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705D5E9" w14:textId="77777777" w:rsidR="0033619A" w:rsidRPr="00763D22" w:rsidRDefault="0033619A" w:rsidP="0033619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5EC1F58" w14:textId="77777777" w:rsidR="0033619A" w:rsidRDefault="0033619A" w:rsidP="0033619A">
      <w:pPr>
        <w:jc w:val="center"/>
        <w:rPr>
          <w:rFonts w:ascii="Book Antiqua" w:hAnsi="Book Antiqua"/>
          <w:lang w:eastAsia="zh-CN"/>
        </w:rPr>
      </w:pPr>
    </w:p>
    <w:p w14:paraId="1E7B2253" w14:textId="77777777" w:rsidR="0033619A" w:rsidRDefault="0033619A" w:rsidP="0033619A">
      <w:pPr>
        <w:jc w:val="center"/>
        <w:rPr>
          <w:rFonts w:ascii="Book Antiqua" w:hAnsi="Book Antiqua"/>
          <w:lang w:eastAsia="zh-CN"/>
        </w:rPr>
      </w:pPr>
    </w:p>
    <w:p w14:paraId="74E09C32" w14:textId="77777777" w:rsidR="0033619A" w:rsidRDefault="0033619A" w:rsidP="0033619A">
      <w:pPr>
        <w:jc w:val="center"/>
        <w:rPr>
          <w:rFonts w:ascii="Book Antiqua" w:hAnsi="Book Antiqua"/>
          <w:lang w:eastAsia="zh-CN"/>
        </w:rPr>
      </w:pPr>
    </w:p>
    <w:p w14:paraId="67D52665" w14:textId="77777777" w:rsidR="0033619A" w:rsidRDefault="0033619A" w:rsidP="0033619A">
      <w:pPr>
        <w:jc w:val="center"/>
        <w:rPr>
          <w:rFonts w:ascii="Book Antiqua" w:hAnsi="Book Antiqua"/>
          <w:lang w:eastAsia="zh-CN"/>
        </w:rPr>
      </w:pPr>
      <w:r>
        <w:rPr>
          <w:rFonts w:ascii="Book Antiqua" w:hAnsi="Book Antiqua"/>
          <w:noProof/>
          <w:lang w:eastAsia="zh-CN"/>
        </w:rPr>
        <w:drawing>
          <wp:inline distT="0" distB="0" distL="0" distR="0" wp14:anchorId="4EF23F2D" wp14:editId="3E6E92F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72ED0AC" w14:textId="77777777" w:rsidR="0033619A" w:rsidRDefault="0033619A" w:rsidP="0033619A">
      <w:pPr>
        <w:jc w:val="center"/>
        <w:rPr>
          <w:rFonts w:ascii="Book Antiqua" w:hAnsi="Book Antiqua"/>
          <w:lang w:eastAsia="zh-CN"/>
        </w:rPr>
      </w:pPr>
    </w:p>
    <w:p w14:paraId="5A084A79" w14:textId="77777777" w:rsidR="0033619A" w:rsidRDefault="0033619A" w:rsidP="0033619A">
      <w:pPr>
        <w:jc w:val="center"/>
        <w:rPr>
          <w:rFonts w:ascii="Book Antiqua" w:hAnsi="Book Antiqua"/>
          <w:lang w:eastAsia="zh-CN"/>
        </w:rPr>
      </w:pPr>
    </w:p>
    <w:p w14:paraId="0B1DE4B1" w14:textId="77777777" w:rsidR="0033619A" w:rsidRDefault="0033619A" w:rsidP="0033619A">
      <w:pPr>
        <w:jc w:val="center"/>
        <w:rPr>
          <w:rFonts w:ascii="Book Antiqua" w:hAnsi="Book Antiqua"/>
          <w:lang w:eastAsia="zh-CN"/>
        </w:rPr>
      </w:pPr>
    </w:p>
    <w:p w14:paraId="14DB20E3" w14:textId="77777777" w:rsidR="0033619A" w:rsidRDefault="0033619A" w:rsidP="0033619A">
      <w:pPr>
        <w:jc w:val="center"/>
        <w:rPr>
          <w:rFonts w:ascii="Book Antiqua" w:hAnsi="Book Antiqua"/>
          <w:lang w:eastAsia="zh-CN"/>
        </w:rPr>
      </w:pPr>
    </w:p>
    <w:p w14:paraId="35895BFD" w14:textId="77777777" w:rsidR="0033619A" w:rsidRDefault="0033619A" w:rsidP="0033619A">
      <w:pPr>
        <w:jc w:val="center"/>
        <w:rPr>
          <w:rFonts w:ascii="Book Antiqua" w:hAnsi="Book Antiqua"/>
          <w:lang w:eastAsia="zh-CN"/>
        </w:rPr>
      </w:pPr>
    </w:p>
    <w:p w14:paraId="719AC33C" w14:textId="77777777" w:rsidR="0033619A" w:rsidRDefault="0033619A" w:rsidP="0033619A">
      <w:pPr>
        <w:jc w:val="center"/>
        <w:rPr>
          <w:rFonts w:ascii="Book Antiqua" w:hAnsi="Book Antiqua"/>
          <w:lang w:eastAsia="zh-CN"/>
        </w:rPr>
      </w:pPr>
    </w:p>
    <w:p w14:paraId="5940DC31" w14:textId="77777777" w:rsidR="0033619A" w:rsidRDefault="0033619A" w:rsidP="0033619A">
      <w:pPr>
        <w:jc w:val="center"/>
        <w:rPr>
          <w:rFonts w:ascii="Book Antiqua" w:hAnsi="Book Antiqua"/>
          <w:lang w:eastAsia="zh-CN"/>
        </w:rPr>
      </w:pPr>
    </w:p>
    <w:p w14:paraId="284C2655" w14:textId="77777777" w:rsidR="0033619A" w:rsidRDefault="0033619A" w:rsidP="0033619A">
      <w:pPr>
        <w:jc w:val="center"/>
        <w:rPr>
          <w:rFonts w:ascii="Book Antiqua" w:hAnsi="Book Antiqua"/>
          <w:lang w:eastAsia="zh-CN"/>
        </w:rPr>
      </w:pPr>
    </w:p>
    <w:p w14:paraId="0C675F40" w14:textId="77777777" w:rsidR="0033619A" w:rsidRDefault="0033619A" w:rsidP="0033619A">
      <w:pPr>
        <w:jc w:val="center"/>
        <w:rPr>
          <w:rFonts w:ascii="Book Antiqua" w:hAnsi="Book Antiqua"/>
          <w:lang w:eastAsia="zh-CN"/>
        </w:rPr>
      </w:pPr>
    </w:p>
    <w:p w14:paraId="74BDE1F4" w14:textId="77777777" w:rsidR="0033619A" w:rsidRPr="00763D22" w:rsidRDefault="0033619A" w:rsidP="0033619A">
      <w:pPr>
        <w:jc w:val="right"/>
        <w:rPr>
          <w:rFonts w:ascii="Book Antiqua" w:hAnsi="Book Antiqua"/>
          <w:color w:val="000000" w:themeColor="text1"/>
          <w:lang w:eastAsia="zh-CN"/>
        </w:rPr>
      </w:pPr>
    </w:p>
    <w:p w14:paraId="33924753" w14:textId="77777777" w:rsidR="0033619A" w:rsidRPr="00763D22" w:rsidRDefault="0033619A" w:rsidP="0033619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bookmarkEnd w:id="9"/>
    </w:p>
    <w:p w14:paraId="00CBA0BC" w14:textId="77777777" w:rsidR="00B4314C" w:rsidRDefault="00B4314C">
      <w:pPr>
        <w:pStyle w:val="BodyA"/>
        <w:spacing w:line="360" w:lineRule="auto"/>
        <w:jc w:val="both"/>
      </w:pPr>
      <w:bookmarkStart w:id="10" w:name="_GoBack"/>
      <w:bookmarkEnd w:id="10"/>
    </w:p>
    <w:sectPr w:rsidR="00B4314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122DD" w14:textId="77777777" w:rsidR="005B3155" w:rsidRDefault="005B3155">
      <w:r>
        <w:separator/>
      </w:r>
    </w:p>
  </w:endnote>
  <w:endnote w:type="continuationSeparator" w:id="0">
    <w:p w14:paraId="64AE58C1" w14:textId="77777777" w:rsidR="005B3155" w:rsidRDefault="005B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97FA2" w14:textId="77777777" w:rsidR="00B4314C" w:rsidRDefault="0027755F">
    <w:pPr>
      <w:pStyle w:val="a4"/>
      <w:jc w:val="right"/>
    </w:pPr>
    <w:r>
      <w:rPr>
        <w:rFonts w:ascii="Book Antiqua" w:hAnsi="Book Antiqua"/>
        <w:sz w:val="24"/>
        <w:szCs w:val="24"/>
        <w:lang w:val="zh-TW" w:eastAsia="zh-TW"/>
      </w:rPr>
      <w:t xml:space="preserve">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PAGE </w:instrText>
    </w:r>
    <w:r>
      <w:rPr>
        <w:rFonts w:ascii="Book Antiqua" w:eastAsia="Book Antiqua" w:hAnsi="Book Antiqua" w:cs="Book Antiqua"/>
        <w:sz w:val="24"/>
        <w:szCs w:val="24"/>
      </w:rPr>
      <w:fldChar w:fldCharType="separate"/>
    </w:r>
    <w:r w:rsidR="005B3155">
      <w:rPr>
        <w:rFonts w:ascii="Book Antiqua" w:eastAsia="Book Antiqua" w:hAnsi="Book Antiqua" w:cs="Book Antiqua"/>
        <w:noProof/>
        <w:sz w:val="24"/>
        <w:szCs w:val="24"/>
      </w:rPr>
      <w:t>1</w:t>
    </w:r>
    <w:r>
      <w:rPr>
        <w:rFonts w:ascii="Book Antiqua" w:eastAsia="Book Antiqua" w:hAnsi="Book Antiqua" w:cs="Book Antiqua"/>
        <w:sz w:val="24"/>
        <w:szCs w:val="24"/>
      </w:rPr>
      <w:fldChar w:fldCharType="end"/>
    </w:r>
    <w:r>
      <w:rPr>
        <w:rFonts w:ascii="Book Antiqua" w:hAnsi="Book Antiqua"/>
        <w:sz w:val="24"/>
        <w:szCs w:val="24"/>
        <w:lang w:val="zh-TW" w:eastAsia="zh-TW"/>
      </w:rPr>
      <w:t xml:space="preserve"> /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NUMPAGES </w:instrText>
    </w:r>
    <w:r>
      <w:rPr>
        <w:rFonts w:ascii="Book Antiqua" w:eastAsia="Book Antiqua" w:hAnsi="Book Antiqua" w:cs="Book Antiqua"/>
        <w:sz w:val="24"/>
        <w:szCs w:val="24"/>
      </w:rPr>
      <w:fldChar w:fldCharType="separate"/>
    </w:r>
    <w:r w:rsidR="005B3155">
      <w:rPr>
        <w:rFonts w:ascii="Book Antiqua" w:eastAsia="Book Antiqua" w:hAnsi="Book Antiqua" w:cs="Book Antiqua"/>
        <w:noProof/>
        <w:sz w:val="24"/>
        <w:szCs w:val="24"/>
      </w:rPr>
      <w:t>1</w:t>
    </w:r>
    <w:r>
      <w:rPr>
        <w:rFonts w:ascii="Book Antiqua" w:eastAsia="Book Antiqua" w:hAnsi="Book Antiqua" w:cs="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D38F7" w14:textId="77777777" w:rsidR="005B3155" w:rsidRDefault="005B3155">
      <w:r>
        <w:separator/>
      </w:r>
    </w:p>
  </w:footnote>
  <w:footnote w:type="continuationSeparator" w:id="0">
    <w:p w14:paraId="09712DD2" w14:textId="77777777" w:rsidR="005B3155" w:rsidRDefault="005B3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D5483" w14:textId="77777777" w:rsidR="00B4314C" w:rsidRDefault="00B4314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4C"/>
    <w:rsid w:val="00133A13"/>
    <w:rsid w:val="0023617B"/>
    <w:rsid w:val="0027755F"/>
    <w:rsid w:val="0033619A"/>
    <w:rsid w:val="003B5D89"/>
    <w:rsid w:val="004434E4"/>
    <w:rsid w:val="00512804"/>
    <w:rsid w:val="005B3155"/>
    <w:rsid w:val="00606994"/>
    <w:rsid w:val="006A683E"/>
    <w:rsid w:val="00735E47"/>
    <w:rsid w:val="007C0A34"/>
    <w:rsid w:val="007F6B68"/>
    <w:rsid w:val="00937284"/>
    <w:rsid w:val="00A3603D"/>
    <w:rsid w:val="00AB6917"/>
    <w:rsid w:val="00B4314C"/>
    <w:rsid w:val="00D1574E"/>
    <w:rsid w:val="00E35ACC"/>
    <w:rsid w:val="00FB3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4">
    <w:name w:val="heading 4"/>
    <w:uiPriority w:val="9"/>
    <w:unhideWhenUsed/>
    <w:qFormat/>
    <w:pPr>
      <w:suppressAutoHyphens/>
      <w:spacing w:after="160"/>
      <w:outlineLvl w:val="3"/>
    </w:pPr>
    <w:rPr>
      <w:rFonts w:ascii="Trebuchet MS" w:hAnsi="Trebuchet MS" w:cs="Arial Unicode MS"/>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a4">
    <w:name w:val="footer"/>
    <w:pPr>
      <w:tabs>
        <w:tab w:val="center" w:pos="4153"/>
        <w:tab w:val="right" w:pos="8306"/>
      </w:tabs>
    </w:pPr>
    <w:rPr>
      <w:rFonts w:cs="Arial Unicode MS"/>
      <w:color w:val="000000"/>
      <w:sz w:val="18"/>
      <w:szCs w:val="18"/>
      <w:u w:color="000000"/>
    </w:rPr>
  </w:style>
  <w:style w:type="paragraph" w:customStyle="1" w:styleId="BodyA">
    <w:name w:val="Body A"/>
    <w:rPr>
      <w:rFonts w:cs="Arial Unicode MS"/>
      <w:color w:val="000000"/>
      <w:sz w:val="24"/>
      <w:szCs w:val="24"/>
      <w:u w:color="000000"/>
    </w:rPr>
  </w:style>
  <w:style w:type="paragraph" w:styleId="a5">
    <w:name w:val="caption"/>
    <w:pPr>
      <w:suppressAutoHyphens/>
      <w:outlineLvl w:val="0"/>
    </w:pPr>
    <w:rPr>
      <w:rFonts w:ascii="Helvetica" w:hAnsi="Helvetica" w:cs="Arial Unicode MS"/>
      <w:color w:val="000000"/>
      <w:sz w:val="36"/>
      <w:szCs w:val="36"/>
      <w:u w:color="000000"/>
    </w:rPr>
  </w:style>
  <w:style w:type="paragraph" w:customStyle="1" w:styleId="Default">
    <w:name w:val="Default"/>
    <w:pPr>
      <w:suppressAutoHyphens/>
      <w:spacing w:after="160"/>
    </w:pPr>
    <w:rPr>
      <w:rFonts w:ascii="Helvetica" w:hAnsi="Helvetica" w:cs="Arial Unicode MS"/>
      <w:color w:val="000000"/>
      <w:sz w:val="22"/>
      <w:szCs w:val="22"/>
      <w:u w:color="000000"/>
    </w:rPr>
  </w:style>
  <w:style w:type="paragraph" w:customStyle="1" w:styleId="BodyAA">
    <w:name w:val="Body A A"/>
    <w:pPr>
      <w:suppressAutoHyphens/>
      <w:spacing w:after="160"/>
    </w:pPr>
    <w:rPr>
      <w:rFonts w:ascii="Trebuchet MS" w:hAnsi="Trebuchet MS" w:cs="Arial Unicode MS"/>
      <w:color w:val="000000"/>
      <w:sz w:val="22"/>
      <w:szCs w:val="22"/>
      <w:u w:color="000000"/>
    </w:rPr>
  </w:style>
  <w:style w:type="paragraph" w:styleId="a6">
    <w:name w:val="Balloon Text"/>
    <w:basedOn w:val="a"/>
    <w:link w:val="Char"/>
    <w:uiPriority w:val="99"/>
    <w:semiHidden/>
    <w:unhideWhenUsed/>
    <w:rsid w:val="00FB3965"/>
    <w:rPr>
      <w:sz w:val="18"/>
      <w:szCs w:val="18"/>
    </w:rPr>
  </w:style>
  <w:style w:type="character" w:customStyle="1" w:styleId="Char">
    <w:name w:val="批注框文本 Char"/>
    <w:basedOn w:val="a0"/>
    <w:link w:val="a6"/>
    <w:uiPriority w:val="99"/>
    <w:semiHidden/>
    <w:rsid w:val="00FB39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4">
    <w:name w:val="heading 4"/>
    <w:uiPriority w:val="9"/>
    <w:unhideWhenUsed/>
    <w:qFormat/>
    <w:pPr>
      <w:suppressAutoHyphens/>
      <w:spacing w:after="160"/>
      <w:outlineLvl w:val="3"/>
    </w:pPr>
    <w:rPr>
      <w:rFonts w:ascii="Trebuchet MS" w:hAnsi="Trebuchet MS" w:cs="Arial Unicode MS"/>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a4">
    <w:name w:val="footer"/>
    <w:pPr>
      <w:tabs>
        <w:tab w:val="center" w:pos="4153"/>
        <w:tab w:val="right" w:pos="8306"/>
      </w:tabs>
    </w:pPr>
    <w:rPr>
      <w:rFonts w:cs="Arial Unicode MS"/>
      <w:color w:val="000000"/>
      <w:sz w:val="18"/>
      <w:szCs w:val="18"/>
      <w:u w:color="000000"/>
    </w:rPr>
  </w:style>
  <w:style w:type="paragraph" w:customStyle="1" w:styleId="BodyA">
    <w:name w:val="Body A"/>
    <w:rPr>
      <w:rFonts w:cs="Arial Unicode MS"/>
      <w:color w:val="000000"/>
      <w:sz w:val="24"/>
      <w:szCs w:val="24"/>
      <w:u w:color="000000"/>
    </w:rPr>
  </w:style>
  <w:style w:type="paragraph" w:styleId="a5">
    <w:name w:val="caption"/>
    <w:pPr>
      <w:suppressAutoHyphens/>
      <w:outlineLvl w:val="0"/>
    </w:pPr>
    <w:rPr>
      <w:rFonts w:ascii="Helvetica" w:hAnsi="Helvetica" w:cs="Arial Unicode MS"/>
      <w:color w:val="000000"/>
      <w:sz w:val="36"/>
      <w:szCs w:val="36"/>
      <w:u w:color="000000"/>
    </w:rPr>
  </w:style>
  <w:style w:type="paragraph" w:customStyle="1" w:styleId="Default">
    <w:name w:val="Default"/>
    <w:pPr>
      <w:suppressAutoHyphens/>
      <w:spacing w:after="160"/>
    </w:pPr>
    <w:rPr>
      <w:rFonts w:ascii="Helvetica" w:hAnsi="Helvetica" w:cs="Arial Unicode MS"/>
      <w:color w:val="000000"/>
      <w:sz w:val="22"/>
      <w:szCs w:val="22"/>
      <w:u w:color="000000"/>
    </w:rPr>
  </w:style>
  <w:style w:type="paragraph" w:customStyle="1" w:styleId="BodyAA">
    <w:name w:val="Body A A"/>
    <w:pPr>
      <w:suppressAutoHyphens/>
      <w:spacing w:after="160"/>
    </w:pPr>
    <w:rPr>
      <w:rFonts w:ascii="Trebuchet MS" w:hAnsi="Trebuchet MS" w:cs="Arial Unicode MS"/>
      <w:color w:val="000000"/>
      <w:sz w:val="22"/>
      <w:szCs w:val="22"/>
      <w:u w:color="000000"/>
    </w:rPr>
  </w:style>
  <w:style w:type="paragraph" w:styleId="a6">
    <w:name w:val="Balloon Text"/>
    <w:basedOn w:val="a"/>
    <w:link w:val="Char"/>
    <w:uiPriority w:val="99"/>
    <w:semiHidden/>
    <w:unhideWhenUsed/>
    <w:rsid w:val="00FB3965"/>
    <w:rPr>
      <w:sz w:val="18"/>
      <w:szCs w:val="18"/>
    </w:rPr>
  </w:style>
  <w:style w:type="character" w:customStyle="1" w:styleId="Char">
    <w:name w:val="批注框文本 Char"/>
    <w:basedOn w:val="a0"/>
    <w:link w:val="a6"/>
    <w:uiPriority w:val="99"/>
    <w:semiHidden/>
    <w:rsid w:val="00FB39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黑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41</Pages>
  <Words>9034</Words>
  <Characters>51499</Characters>
  <Application>Microsoft Office Word</Application>
  <DocSecurity>0</DocSecurity>
  <Lines>429</Lines>
  <Paragraphs>120</Paragraphs>
  <ScaleCrop>false</ScaleCrop>
  <Company/>
  <LinksUpToDate>false</LinksUpToDate>
  <CharactersWithSpaces>60413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14</cp:revision>
  <dcterms:created xsi:type="dcterms:W3CDTF">2021-04-12T19:37:00Z</dcterms:created>
  <dcterms:modified xsi:type="dcterms:W3CDTF">2021-05-08T04:31:00Z</dcterms:modified>
</cp:coreProperties>
</file>