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200109" w14:textId="77777777" w:rsidR="00A77B3E" w:rsidRPr="00654F9A" w:rsidRDefault="00717DC8">
      <w:pPr>
        <w:spacing w:line="360" w:lineRule="auto"/>
        <w:jc w:val="both"/>
      </w:pPr>
      <w:r w:rsidRPr="00654F9A">
        <w:rPr>
          <w:rFonts w:ascii="Book Antiqua" w:eastAsia="Book Antiqua" w:hAnsi="Book Antiqua" w:cs="Book Antiqua"/>
          <w:b/>
          <w:color w:val="000000"/>
        </w:rPr>
        <w:t xml:space="preserve">Name of Journal: </w:t>
      </w:r>
      <w:r w:rsidRPr="00654F9A">
        <w:rPr>
          <w:rFonts w:ascii="Book Antiqua" w:eastAsia="Book Antiqua" w:hAnsi="Book Antiqua" w:cs="Book Antiqua"/>
          <w:i/>
          <w:color w:val="000000"/>
        </w:rPr>
        <w:t>World Journal of Clinical Cases</w:t>
      </w:r>
    </w:p>
    <w:p w14:paraId="76D4A28A" w14:textId="77777777" w:rsidR="00A77B3E" w:rsidRPr="00654F9A" w:rsidRDefault="00717DC8">
      <w:pPr>
        <w:spacing w:line="360" w:lineRule="auto"/>
        <w:jc w:val="both"/>
      </w:pPr>
      <w:r w:rsidRPr="00654F9A">
        <w:rPr>
          <w:rFonts w:ascii="Book Antiqua" w:eastAsia="Book Antiqua" w:hAnsi="Book Antiqua" w:cs="Book Antiqua"/>
          <w:b/>
          <w:color w:val="000000"/>
        </w:rPr>
        <w:t xml:space="preserve">Manuscript NO: </w:t>
      </w:r>
      <w:r w:rsidRPr="00654F9A">
        <w:rPr>
          <w:rFonts w:ascii="Book Antiqua" w:eastAsia="Book Antiqua" w:hAnsi="Book Antiqua" w:cs="Book Antiqua"/>
          <w:color w:val="000000"/>
        </w:rPr>
        <w:t>62352</w:t>
      </w:r>
    </w:p>
    <w:p w14:paraId="566C7407" w14:textId="77777777" w:rsidR="00A77B3E" w:rsidRPr="00654F9A" w:rsidRDefault="00717DC8">
      <w:pPr>
        <w:spacing w:line="360" w:lineRule="auto"/>
        <w:jc w:val="both"/>
      </w:pPr>
      <w:r w:rsidRPr="00654F9A">
        <w:rPr>
          <w:rFonts w:ascii="Book Antiqua" w:eastAsia="Book Antiqua" w:hAnsi="Book Antiqua" w:cs="Book Antiqua"/>
          <w:b/>
          <w:color w:val="000000"/>
        </w:rPr>
        <w:t xml:space="preserve">Manuscript Type: </w:t>
      </w:r>
      <w:r w:rsidRPr="00654F9A">
        <w:rPr>
          <w:rFonts w:ascii="Book Antiqua" w:eastAsia="Book Antiqua" w:hAnsi="Book Antiqua" w:cs="Book Antiqua"/>
          <w:color w:val="000000"/>
        </w:rPr>
        <w:t>ORIGINAL ARTICLE</w:t>
      </w:r>
    </w:p>
    <w:p w14:paraId="19AC1FF7" w14:textId="77777777" w:rsidR="00A77B3E" w:rsidRPr="00654F9A" w:rsidRDefault="00A77B3E">
      <w:pPr>
        <w:spacing w:line="360" w:lineRule="auto"/>
        <w:jc w:val="both"/>
      </w:pPr>
    </w:p>
    <w:p w14:paraId="7B52FE06" w14:textId="77777777" w:rsidR="00A77B3E" w:rsidRPr="00654F9A" w:rsidRDefault="00717DC8">
      <w:pPr>
        <w:spacing w:line="360" w:lineRule="auto"/>
        <w:jc w:val="both"/>
      </w:pPr>
      <w:bookmarkStart w:id="0" w:name="OLE_LINK5"/>
      <w:bookmarkStart w:id="1" w:name="OLE_LINK6"/>
      <w:r w:rsidRPr="00654F9A">
        <w:rPr>
          <w:rFonts w:ascii="Book Antiqua" w:eastAsia="Book Antiqua" w:hAnsi="Book Antiqua" w:cs="Book Antiqua"/>
          <w:b/>
          <w:i/>
          <w:color w:val="000000"/>
        </w:rPr>
        <w:t>Observational Study</w:t>
      </w:r>
    </w:p>
    <w:p w14:paraId="39E82E55" w14:textId="77777777" w:rsidR="00A77B3E" w:rsidRPr="00654F9A" w:rsidRDefault="00717DC8">
      <w:pPr>
        <w:spacing w:line="360" w:lineRule="auto"/>
        <w:jc w:val="both"/>
      </w:pPr>
      <w:bookmarkStart w:id="2" w:name="OLE_LINK288"/>
      <w:bookmarkStart w:id="3" w:name="OLE_LINK289"/>
      <w:bookmarkStart w:id="4" w:name="OLE_LINK17"/>
      <w:bookmarkEnd w:id="0"/>
      <w:bookmarkEnd w:id="1"/>
      <w:r w:rsidRPr="00654F9A">
        <w:rPr>
          <w:rFonts w:ascii="Book Antiqua" w:eastAsia="Book Antiqua" w:hAnsi="Book Antiqua" w:cs="Book Antiqua"/>
          <w:b/>
          <w:color w:val="000000"/>
        </w:rPr>
        <w:t>Clinically significant endoscopic findings in patients of dyspepsia with no warning symptoms: A cross-sectional study</w:t>
      </w:r>
    </w:p>
    <w:bookmarkEnd w:id="2"/>
    <w:bookmarkEnd w:id="3"/>
    <w:bookmarkEnd w:id="4"/>
    <w:p w14:paraId="1B4639FD" w14:textId="77777777" w:rsidR="00A77B3E" w:rsidRPr="00654F9A" w:rsidRDefault="00A77B3E">
      <w:pPr>
        <w:spacing w:line="360" w:lineRule="auto"/>
        <w:jc w:val="both"/>
      </w:pPr>
    </w:p>
    <w:p w14:paraId="702B60D8" w14:textId="77777777" w:rsidR="00A77B3E" w:rsidRPr="00654F9A" w:rsidRDefault="00AB4BEF">
      <w:pPr>
        <w:spacing w:line="360" w:lineRule="auto"/>
        <w:jc w:val="both"/>
      </w:pPr>
      <w:r w:rsidRPr="00654F9A">
        <w:rPr>
          <w:rFonts w:ascii="Book Antiqua" w:eastAsia="Book Antiqua" w:hAnsi="Book Antiqua" w:cs="Book Antiqua"/>
          <w:color w:val="000000"/>
        </w:rPr>
        <w:t xml:space="preserve">Mao </w:t>
      </w:r>
      <w:r w:rsidRPr="00654F9A">
        <w:rPr>
          <w:rFonts w:ascii="Book Antiqua" w:hAnsi="Book Antiqua" w:cs="Book Antiqua"/>
          <w:color w:val="000000"/>
          <w:lang w:eastAsia="zh-CN"/>
        </w:rPr>
        <w:t xml:space="preserve">LQ </w:t>
      </w:r>
      <w:r w:rsidRPr="00654F9A">
        <w:rPr>
          <w:rFonts w:ascii="Book Antiqua" w:hAnsi="Book Antiqua" w:cs="Book Antiqua"/>
          <w:i/>
          <w:color w:val="000000"/>
          <w:lang w:eastAsia="zh-CN"/>
        </w:rPr>
        <w:t>et al</w:t>
      </w:r>
      <w:r w:rsidRPr="00654F9A">
        <w:rPr>
          <w:rFonts w:ascii="Book Antiqua" w:hAnsi="Book Antiqua" w:cs="Book Antiqua"/>
          <w:color w:val="000000"/>
          <w:lang w:eastAsia="zh-CN"/>
        </w:rPr>
        <w:t xml:space="preserve">. </w:t>
      </w:r>
      <w:bookmarkStart w:id="5" w:name="OLE_LINK18"/>
      <w:bookmarkStart w:id="6" w:name="OLE_LINK19"/>
      <w:bookmarkStart w:id="7" w:name="OLE_LINK1"/>
      <w:bookmarkStart w:id="8" w:name="OLE_LINK2"/>
      <w:bookmarkStart w:id="9" w:name="OLE_LINK3"/>
      <w:r w:rsidR="00717DC8" w:rsidRPr="00654F9A">
        <w:rPr>
          <w:rFonts w:ascii="Book Antiqua" w:eastAsia="Book Antiqua" w:hAnsi="Book Antiqua" w:cs="Book Antiqua"/>
          <w:color w:val="000000"/>
        </w:rPr>
        <w:t>Role of endoscopy in dyspepsia</w:t>
      </w:r>
      <w:bookmarkEnd w:id="5"/>
      <w:bookmarkEnd w:id="6"/>
    </w:p>
    <w:bookmarkEnd w:id="7"/>
    <w:bookmarkEnd w:id="8"/>
    <w:bookmarkEnd w:id="9"/>
    <w:p w14:paraId="4B2F38AD" w14:textId="77777777" w:rsidR="00A77B3E" w:rsidRPr="00654F9A" w:rsidRDefault="00A77B3E">
      <w:pPr>
        <w:spacing w:line="360" w:lineRule="auto"/>
        <w:jc w:val="both"/>
      </w:pPr>
    </w:p>
    <w:p w14:paraId="6D9E2893" w14:textId="77777777" w:rsidR="00A77B3E" w:rsidRPr="00654F9A" w:rsidRDefault="00717DC8">
      <w:pPr>
        <w:spacing w:line="360" w:lineRule="auto"/>
        <w:jc w:val="both"/>
      </w:pPr>
      <w:r w:rsidRPr="00654F9A">
        <w:rPr>
          <w:rFonts w:ascii="Book Antiqua" w:eastAsia="Book Antiqua" w:hAnsi="Book Antiqua" w:cs="Book Antiqua"/>
          <w:color w:val="000000"/>
        </w:rPr>
        <w:t xml:space="preserve">Li-Qi </w:t>
      </w:r>
      <w:bookmarkStart w:id="10" w:name="OLE_LINK230"/>
      <w:bookmarkStart w:id="11" w:name="OLE_LINK231"/>
      <w:r w:rsidRPr="00654F9A">
        <w:rPr>
          <w:rFonts w:ascii="Book Antiqua" w:eastAsia="Book Antiqua" w:hAnsi="Book Antiqua" w:cs="Book Antiqua"/>
          <w:color w:val="000000"/>
        </w:rPr>
        <w:t>Mao</w:t>
      </w:r>
      <w:bookmarkEnd w:id="10"/>
      <w:bookmarkEnd w:id="11"/>
      <w:r w:rsidRPr="00654F9A">
        <w:rPr>
          <w:rFonts w:ascii="Book Antiqua" w:eastAsia="Book Antiqua" w:hAnsi="Book Antiqua" w:cs="Book Antiqua"/>
          <w:color w:val="000000"/>
        </w:rPr>
        <w:t>, Shuang-Shuang Wang, Yan-Lin Zhou, Lin Chen, Lei-Min Yu, Meng Li, Bin Lv</w:t>
      </w:r>
    </w:p>
    <w:p w14:paraId="67878689" w14:textId="77777777" w:rsidR="00A77B3E" w:rsidRPr="00654F9A" w:rsidRDefault="00A77B3E">
      <w:pPr>
        <w:spacing w:line="360" w:lineRule="auto"/>
        <w:jc w:val="both"/>
      </w:pPr>
    </w:p>
    <w:p w14:paraId="55412EC7" w14:textId="77777777" w:rsidR="00A77B3E" w:rsidRPr="00654F9A" w:rsidRDefault="00717DC8">
      <w:pPr>
        <w:spacing w:line="360" w:lineRule="auto"/>
        <w:jc w:val="both"/>
      </w:pPr>
      <w:r w:rsidRPr="00654F9A">
        <w:rPr>
          <w:rFonts w:ascii="Book Antiqua" w:eastAsia="Book Antiqua" w:hAnsi="Book Antiqua" w:cs="Book Antiqua"/>
          <w:b/>
          <w:bCs/>
          <w:color w:val="000000"/>
        </w:rPr>
        <w:t xml:space="preserve">Li-Qi Mao, Shuang-Shuang Wang, Yan-Lin Zhou, Lin Chen, Lei-Min Yu, Meng Li, Bin Lv, </w:t>
      </w:r>
      <w:r w:rsidRPr="00654F9A">
        <w:rPr>
          <w:rFonts w:ascii="Book Antiqua" w:eastAsia="Book Antiqua" w:hAnsi="Book Antiqua" w:cs="Book Antiqua"/>
          <w:color w:val="000000"/>
        </w:rPr>
        <w:t xml:space="preserve">Department of Gastroenterology, The First Affiliated Hospital of </w:t>
      </w:r>
      <w:bookmarkStart w:id="12" w:name="OLE_LINK232"/>
      <w:bookmarkStart w:id="13" w:name="OLE_LINK233"/>
      <w:r w:rsidRPr="00654F9A">
        <w:rPr>
          <w:rFonts w:ascii="Book Antiqua" w:eastAsia="Book Antiqua" w:hAnsi="Book Antiqua" w:cs="Book Antiqua"/>
          <w:color w:val="000000"/>
        </w:rPr>
        <w:t xml:space="preserve">Zhejiang </w:t>
      </w:r>
      <w:bookmarkEnd w:id="12"/>
      <w:bookmarkEnd w:id="13"/>
      <w:r w:rsidRPr="00654F9A">
        <w:rPr>
          <w:rFonts w:ascii="Book Antiqua" w:eastAsia="Book Antiqua" w:hAnsi="Book Antiqua" w:cs="Book Antiqua"/>
          <w:color w:val="000000"/>
        </w:rPr>
        <w:t xml:space="preserve">Chinese Medical University, Hangzhou 310006, </w:t>
      </w:r>
      <w:bookmarkStart w:id="14" w:name="OLE_LINK234"/>
      <w:bookmarkStart w:id="15" w:name="OLE_LINK235"/>
      <w:r w:rsidR="004E0813" w:rsidRPr="00654F9A">
        <w:rPr>
          <w:rFonts w:ascii="Book Antiqua" w:eastAsia="Book Antiqua" w:hAnsi="Book Antiqua" w:cs="Book Antiqua"/>
          <w:color w:val="000000"/>
        </w:rPr>
        <w:t xml:space="preserve">Zhejiang </w:t>
      </w:r>
      <w:r w:rsidR="004E0813" w:rsidRPr="00654F9A">
        <w:rPr>
          <w:rFonts w:ascii="Book Antiqua" w:hAnsi="Book Antiqua" w:cs="Book Antiqua"/>
          <w:color w:val="000000"/>
          <w:lang w:eastAsia="zh-CN"/>
        </w:rPr>
        <w:t>Province,</w:t>
      </w:r>
      <w:bookmarkEnd w:id="14"/>
      <w:bookmarkEnd w:id="15"/>
      <w:r w:rsidR="004E0813"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China</w:t>
      </w:r>
    </w:p>
    <w:p w14:paraId="40AC6F8B" w14:textId="77777777" w:rsidR="00A77B3E" w:rsidRPr="00654F9A" w:rsidRDefault="00A77B3E">
      <w:pPr>
        <w:spacing w:line="360" w:lineRule="auto"/>
        <w:jc w:val="both"/>
      </w:pPr>
    </w:p>
    <w:p w14:paraId="32400CE0" w14:textId="77777777" w:rsidR="00A77B3E" w:rsidRPr="00654F9A" w:rsidRDefault="00717DC8">
      <w:pPr>
        <w:spacing w:line="360" w:lineRule="auto"/>
        <w:jc w:val="both"/>
      </w:pPr>
      <w:r w:rsidRPr="00654F9A">
        <w:rPr>
          <w:rFonts w:ascii="Book Antiqua" w:eastAsia="Book Antiqua" w:hAnsi="Book Antiqua" w:cs="Book Antiqua"/>
          <w:b/>
          <w:bCs/>
          <w:color w:val="000000"/>
        </w:rPr>
        <w:t xml:space="preserve">Shuang-Shuang Wang, </w:t>
      </w:r>
      <w:r w:rsidRPr="00654F9A">
        <w:rPr>
          <w:rFonts w:ascii="Book Antiqua" w:eastAsia="Book Antiqua" w:hAnsi="Book Antiqua" w:cs="Book Antiqua"/>
          <w:color w:val="000000"/>
        </w:rPr>
        <w:t>Department of Gastroenterology, Taizhou Hospital of Zhejiang Province affiliated to Wenzhou Medical University, Taizhou 317000,</w:t>
      </w:r>
      <w:r w:rsidR="004E0813" w:rsidRPr="00654F9A">
        <w:rPr>
          <w:rFonts w:ascii="Book Antiqua" w:eastAsia="Book Antiqua" w:hAnsi="Book Antiqua" w:cs="Book Antiqua"/>
          <w:color w:val="000000"/>
        </w:rPr>
        <w:t xml:space="preserve"> Zhejiang </w:t>
      </w:r>
      <w:r w:rsidR="004E0813" w:rsidRPr="00654F9A">
        <w:rPr>
          <w:rFonts w:ascii="Book Antiqua" w:hAnsi="Book Antiqua" w:cs="Book Antiqua"/>
          <w:color w:val="000000"/>
          <w:lang w:eastAsia="zh-CN"/>
        </w:rPr>
        <w:t>Province,</w:t>
      </w:r>
      <w:r w:rsidRPr="00654F9A">
        <w:rPr>
          <w:rFonts w:ascii="Book Antiqua" w:eastAsia="Book Antiqua" w:hAnsi="Book Antiqua" w:cs="Book Antiqua"/>
          <w:color w:val="000000"/>
        </w:rPr>
        <w:t xml:space="preserve"> </w:t>
      </w:r>
      <w:bookmarkStart w:id="16" w:name="OLE_LINK4"/>
      <w:r w:rsidRPr="00654F9A">
        <w:rPr>
          <w:rFonts w:ascii="Book Antiqua" w:eastAsia="Book Antiqua" w:hAnsi="Book Antiqua" w:cs="Book Antiqua"/>
          <w:color w:val="000000"/>
        </w:rPr>
        <w:t>China</w:t>
      </w:r>
      <w:bookmarkEnd w:id="16"/>
    </w:p>
    <w:p w14:paraId="5E3ABDFF" w14:textId="77777777" w:rsidR="00A77B3E" w:rsidRPr="00654F9A" w:rsidRDefault="00A77B3E">
      <w:pPr>
        <w:spacing w:line="360" w:lineRule="auto"/>
        <w:jc w:val="both"/>
      </w:pPr>
    </w:p>
    <w:p w14:paraId="0E97CA90" w14:textId="77777777" w:rsidR="00A77B3E" w:rsidRPr="00654F9A" w:rsidRDefault="00717DC8">
      <w:pPr>
        <w:spacing w:line="360" w:lineRule="auto"/>
        <w:jc w:val="both"/>
      </w:pPr>
      <w:r w:rsidRPr="00654F9A">
        <w:rPr>
          <w:rFonts w:ascii="Book Antiqua" w:eastAsia="Book Antiqua" w:hAnsi="Book Antiqua" w:cs="Book Antiqua"/>
          <w:b/>
          <w:bCs/>
          <w:color w:val="000000"/>
        </w:rPr>
        <w:t xml:space="preserve">Lei-Min Yu, </w:t>
      </w:r>
      <w:r w:rsidRPr="00654F9A">
        <w:rPr>
          <w:rFonts w:ascii="Book Antiqua" w:eastAsia="Book Antiqua" w:hAnsi="Book Antiqua" w:cs="Book Antiqua"/>
          <w:color w:val="000000"/>
        </w:rPr>
        <w:t xml:space="preserve">Department of Gastroenterology, Guangxing Hospital Affiliated to Zhejiang Chinese Medical University, Hangzhou 310007, </w:t>
      </w:r>
      <w:r w:rsidR="004E0813" w:rsidRPr="00654F9A">
        <w:rPr>
          <w:rFonts w:ascii="Book Antiqua" w:eastAsia="Book Antiqua" w:hAnsi="Book Antiqua" w:cs="Book Antiqua"/>
          <w:color w:val="000000"/>
        </w:rPr>
        <w:t xml:space="preserve">Zhejiang </w:t>
      </w:r>
      <w:r w:rsidR="004E0813" w:rsidRPr="00654F9A">
        <w:rPr>
          <w:rFonts w:ascii="Book Antiqua" w:hAnsi="Book Antiqua" w:cs="Book Antiqua"/>
          <w:color w:val="000000"/>
          <w:lang w:eastAsia="zh-CN"/>
        </w:rPr>
        <w:t xml:space="preserve">Province, </w:t>
      </w:r>
      <w:r w:rsidRPr="00654F9A">
        <w:rPr>
          <w:rFonts w:ascii="Book Antiqua" w:eastAsia="Book Antiqua" w:hAnsi="Book Antiqua" w:cs="Book Antiqua"/>
          <w:color w:val="000000"/>
        </w:rPr>
        <w:t>China</w:t>
      </w:r>
    </w:p>
    <w:p w14:paraId="7042B181" w14:textId="77777777" w:rsidR="00A77B3E" w:rsidRPr="00654F9A" w:rsidRDefault="00A77B3E">
      <w:pPr>
        <w:spacing w:line="360" w:lineRule="auto"/>
        <w:jc w:val="both"/>
      </w:pPr>
    </w:p>
    <w:p w14:paraId="49A08EBC" w14:textId="77777777" w:rsidR="00A77B3E" w:rsidRPr="00654F9A" w:rsidRDefault="00717DC8">
      <w:pPr>
        <w:spacing w:line="360" w:lineRule="auto"/>
        <w:jc w:val="both"/>
        <w:rPr>
          <w:lang w:eastAsia="zh-CN"/>
        </w:rPr>
      </w:pPr>
      <w:r w:rsidRPr="00654F9A">
        <w:rPr>
          <w:rFonts w:ascii="Book Antiqua" w:eastAsia="Book Antiqua" w:hAnsi="Book Antiqua" w:cs="Book Antiqua"/>
          <w:b/>
          <w:bCs/>
          <w:color w:val="000000"/>
        </w:rPr>
        <w:t xml:space="preserve">Author contributions: </w:t>
      </w:r>
      <w:bookmarkStart w:id="17" w:name="OLE_LINK20"/>
      <w:bookmarkStart w:id="18" w:name="OLE_LINK21"/>
      <w:r w:rsidRPr="00654F9A">
        <w:rPr>
          <w:rFonts w:ascii="Book Antiqua" w:eastAsia="Book Antiqua" w:hAnsi="Book Antiqua" w:cs="Book Antiqua"/>
          <w:color w:val="000000"/>
        </w:rPr>
        <w:t>Mao LQ, Wang SS and Lv B designed the research study; Mao LQ, Wang SS, Zhou YL, Chen L, Yu LM and Li M performed the research; Mao LQ and Wang SS analyzed the data; Mao LQ, Wang SS and Lv B wrote the manuscript.</w:t>
      </w:r>
      <w:bookmarkEnd w:id="17"/>
      <w:bookmarkEnd w:id="18"/>
    </w:p>
    <w:p w14:paraId="2F90994A" w14:textId="77777777" w:rsidR="00A77B3E" w:rsidRPr="00654F9A" w:rsidRDefault="00A77B3E">
      <w:pPr>
        <w:spacing w:line="360" w:lineRule="auto"/>
        <w:jc w:val="both"/>
      </w:pPr>
    </w:p>
    <w:p w14:paraId="5955814D" w14:textId="77777777" w:rsidR="00A77B3E" w:rsidRPr="00654F9A" w:rsidRDefault="00717DC8">
      <w:pPr>
        <w:spacing w:line="360" w:lineRule="auto"/>
        <w:jc w:val="both"/>
      </w:pPr>
      <w:r w:rsidRPr="00654F9A">
        <w:rPr>
          <w:rFonts w:ascii="Book Antiqua" w:eastAsia="Book Antiqua" w:hAnsi="Book Antiqua" w:cs="Book Antiqua"/>
          <w:b/>
          <w:bCs/>
          <w:color w:val="000000"/>
        </w:rPr>
        <w:t xml:space="preserve">Supported by </w:t>
      </w:r>
      <w:bookmarkStart w:id="19" w:name="OLE_LINK22"/>
      <w:bookmarkStart w:id="20" w:name="OLE_LINK23"/>
      <w:r w:rsidR="004E0813" w:rsidRPr="00654F9A">
        <w:rPr>
          <w:rFonts w:ascii="Book Antiqua" w:hAnsi="Book Antiqua" w:cs="Book Antiqua"/>
          <w:bCs/>
          <w:color w:val="000000"/>
          <w:lang w:eastAsia="zh-CN"/>
        </w:rPr>
        <w:t>the</w:t>
      </w:r>
      <w:r w:rsidR="004E0813" w:rsidRPr="00654F9A">
        <w:rPr>
          <w:rFonts w:ascii="Book Antiqua" w:hAnsi="Book Antiqua" w:cs="Book Antiqua"/>
          <w:b/>
          <w:bCs/>
          <w:color w:val="000000"/>
          <w:lang w:eastAsia="zh-CN"/>
        </w:rPr>
        <w:t xml:space="preserve"> </w:t>
      </w:r>
      <w:bookmarkStart w:id="21" w:name="OLE_LINK7"/>
      <w:bookmarkStart w:id="22" w:name="OLE_LINK8"/>
      <w:r w:rsidRPr="00654F9A">
        <w:rPr>
          <w:rFonts w:ascii="Book Antiqua" w:eastAsia="Book Antiqua" w:hAnsi="Book Antiqua" w:cs="Book Antiqua"/>
          <w:color w:val="000000"/>
        </w:rPr>
        <w:t>National Natural Science Foundation of China</w:t>
      </w:r>
      <w:bookmarkEnd w:id="21"/>
      <w:bookmarkEnd w:id="22"/>
      <w:r w:rsidRPr="00654F9A">
        <w:rPr>
          <w:rFonts w:ascii="Book Antiqua" w:eastAsia="Book Antiqua" w:hAnsi="Book Antiqua" w:cs="Book Antiqua"/>
          <w:color w:val="000000"/>
        </w:rPr>
        <w:t xml:space="preserve">, No. </w:t>
      </w:r>
      <w:bookmarkStart w:id="23" w:name="OLE_LINK9"/>
      <w:bookmarkStart w:id="24" w:name="OLE_LINK10"/>
      <w:r w:rsidRPr="00654F9A">
        <w:rPr>
          <w:rFonts w:ascii="Book Antiqua" w:eastAsia="Book Antiqua" w:hAnsi="Book Antiqua" w:cs="Book Antiqua"/>
          <w:color w:val="000000"/>
        </w:rPr>
        <w:t>81770535</w:t>
      </w:r>
      <w:bookmarkEnd w:id="23"/>
      <w:bookmarkEnd w:id="24"/>
      <w:r w:rsidRPr="00654F9A">
        <w:rPr>
          <w:rFonts w:ascii="Book Antiqua" w:eastAsia="Book Antiqua" w:hAnsi="Book Antiqua" w:cs="Book Antiqua"/>
          <w:color w:val="000000"/>
        </w:rPr>
        <w:t>.</w:t>
      </w:r>
    </w:p>
    <w:bookmarkEnd w:id="19"/>
    <w:bookmarkEnd w:id="20"/>
    <w:p w14:paraId="404E4382" w14:textId="77777777" w:rsidR="00A77B3E" w:rsidRPr="00654F9A" w:rsidRDefault="00A77B3E">
      <w:pPr>
        <w:spacing w:line="360" w:lineRule="auto"/>
        <w:jc w:val="both"/>
      </w:pPr>
    </w:p>
    <w:p w14:paraId="1580B895" w14:textId="77777777" w:rsidR="00A77B3E" w:rsidRPr="00654F9A" w:rsidRDefault="00717DC8">
      <w:pPr>
        <w:spacing w:line="360" w:lineRule="auto"/>
        <w:jc w:val="both"/>
      </w:pPr>
      <w:r w:rsidRPr="00654F9A">
        <w:rPr>
          <w:rFonts w:ascii="Book Antiqua" w:eastAsia="Book Antiqua" w:hAnsi="Book Antiqua" w:cs="Book Antiqua"/>
          <w:b/>
          <w:bCs/>
          <w:color w:val="000000"/>
        </w:rPr>
        <w:lastRenderedPageBreak/>
        <w:t xml:space="preserve">Corresponding author: Bin Lv, MM, Chief Doctor, Professor, </w:t>
      </w:r>
      <w:r w:rsidRPr="00654F9A">
        <w:rPr>
          <w:rFonts w:ascii="Book Antiqua" w:eastAsia="Book Antiqua" w:hAnsi="Book Antiqua" w:cs="Book Antiqua"/>
          <w:color w:val="000000"/>
        </w:rPr>
        <w:t xml:space="preserve">Department of Gastroenterology, The First Affiliated Hospital of Zhejiang Chinese Medical University, </w:t>
      </w:r>
      <w:r w:rsidR="009A3A2F" w:rsidRPr="00654F9A">
        <w:rPr>
          <w:rFonts w:ascii="Book Antiqua" w:hAnsi="Book Antiqua" w:cs="Book Antiqua"/>
          <w:color w:val="000000"/>
          <w:lang w:eastAsia="zh-CN"/>
        </w:rPr>
        <w:t xml:space="preserve">No. </w:t>
      </w:r>
      <w:r w:rsidRPr="00654F9A">
        <w:rPr>
          <w:rFonts w:ascii="Book Antiqua" w:eastAsia="Book Antiqua" w:hAnsi="Book Antiqua" w:cs="Book Antiqua"/>
          <w:color w:val="000000"/>
        </w:rPr>
        <w:t xml:space="preserve">54 Youdian Road, Shangcheng District, Hangzhou </w:t>
      </w:r>
      <w:r w:rsidR="009A3A2F" w:rsidRPr="00654F9A">
        <w:rPr>
          <w:rFonts w:ascii="Book Antiqua" w:eastAsia="Book Antiqua" w:hAnsi="Book Antiqua" w:cs="Book Antiqua"/>
          <w:color w:val="000000"/>
        </w:rPr>
        <w:t>310006</w:t>
      </w:r>
      <w:r w:rsidRPr="00654F9A">
        <w:rPr>
          <w:rFonts w:ascii="Book Antiqua" w:eastAsia="Book Antiqua" w:hAnsi="Book Antiqua" w:cs="Book Antiqua"/>
          <w:color w:val="000000"/>
        </w:rPr>
        <w:t>, Zhejiang Province, China. lvbin@medmail.com.cn</w:t>
      </w:r>
    </w:p>
    <w:p w14:paraId="0635E441" w14:textId="77777777" w:rsidR="00A77B3E" w:rsidRPr="00654F9A" w:rsidRDefault="00A77B3E">
      <w:pPr>
        <w:spacing w:line="360" w:lineRule="auto"/>
        <w:jc w:val="both"/>
      </w:pPr>
    </w:p>
    <w:p w14:paraId="5C8246F6" w14:textId="77777777" w:rsidR="00A77B3E" w:rsidRPr="00654F9A" w:rsidRDefault="00717DC8">
      <w:pPr>
        <w:spacing w:line="360" w:lineRule="auto"/>
        <w:jc w:val="both"/>
      </w:pPr>
      <w:r w:rsidRPr="00654F9A">
        <w:rPr>
          <w:rFonts w:ascii="Book Antiqua" w:eastAsia="Book Antiqua" w:hAnsi="Book Antiqua" w:cs="Book Antiqua"/>
          <w:b/>
          <w:bCs/>
          <w:color w:val="000000"/>
        </w:rPr>
        <w:t xml:space="preserve">Received: </w:t>
      </w:r>
      <w:r w:rsidRPr="00654F9A">
        <w:rPr>
          <w:rFonts w:ascii="Book Antiqua" w:eastAsia="Book Antiqua" w:hAnsi="Book Antiqua" w:cs="Book Antiqua"/>
          <w:color w:val="000000"/>
        </w:rPr>
        <w:t>January 11, 2021</w:t>
      </w:r>
    </w:p>
    <w:p w14:paraId="0CE931CC" w14:textId="77777777" w:rsidR="00A77B3E" w:rsidRPr="00654F9A" w:rsidRDefault="00717DC8">
      <w:pPr>
        <w:spacing w:line="360" w:lineRule="auto"/>
        <w:jc w:val="both"/>
        <w:rPr>
          <w:lang w:eastAsia="zh-CN"/>
        </w:rPr>
      </w:pPr>
      <w:r w:rsidRPr="00654F9A">
        <w:rPr>
          <w:rFonts w:ascii="Book Antiqua" w:eastAsia="Book Antiqua" w:hAnsi="Book Antiqua" w:cs="Book Antiqua"/>
          <w:b/>
          <w:bCs/>
          <w:color w:val="000000"/>
        </w:rPr>
        <w:t xml:space="preserve">Revised: </w:t>
      </w:r>
      <w:r w:rsidR="009A3A2F" w:rsidRPr="00654F9A">
        <w:rPr>
          <w:rFonts w:ascii="Book Antiqua" w:hAnsi="Book Antiqua" w:cs="Book Antiqua"/>
          <w:bCs/>
          <w:color w:val="000000"/>
          <w:lang w:eastAsia="zh-CN"/>
        </w:rPr>
        <w:t>February 26, 2021</w:t>
      </w:r>
    </w:p>
    <w:p w14:paraId="69281E32" w14:textId="6A4C03D4" w:rsidR="00A77B3E" w:rsidRPr="00654F9A" w:rsidRDefault="00717DC8">
      <w:pPr>
        <w:spacing w:line="360" w:lineRule="auto"/>
        <w:jc w:val="both"/>
      </w:pPr>
      <w:r w:rsidRPr="00654F9A">
        <w:rPr>
          <w:rFonts w:ascii="Book Antiqua" w:eastAsia="Book Antiqua" w:hAnsi="Book Antiqua" w:cs="Book Antiqua"/>
          <w:b/>
          <w:bCs/>
          <w:color w:val="000000"/>
        </w:rPr>
        <w:t xml:space="preserve">Accepted: </w:t>
      </w:r>
      <w:r w:rsidR="00CB7EA5" w:rsidRPr="00654F9A">
        <w:rPr>
          <w:rFonts w:ascii="Book Antiqua" w:eastAsia="Book Antiqua" w:hAnsi="Book Antiqua" w:cs="Book Antiqua"/>
          <w:color w:val="000000"/>
        </w:rPr>
        <w:t>March 29, 2021</w:t>
      </w:r>
    </w:p>
    <w:p w14:paraId="431B621E" w14:textId="36214005" w:rsidR="00A77B3E" w:rsidRPr="00654F9A" w:rsidRDefault="00717DC8">
      <w:pPr>
        <w:spacing w:line="360" w:lineRule="auto"/>
        <w:jc w:val="both"/>
      </w:pPr>
      <w:r w:rsidRPr="00654F9A">
        <w:rPr>
          <w:rFonts w:ascii="Book Antiqua" w:eastAsia="Book Antiqua" w:hAnsi="Book Antiqua" w:cs="Book Antiqua"/>
          <w:b/>
          <w:bCs/>
          <w:color w:val="000000"/>
        </w:rPr>
        <w:t xml:space="preserve">Published online: </w:t>
      </w:r>
      <w:r w:rsidR="002F61E4" w:rsidRPr="00654F9A">
        <w:rPr>
          <w:rFonts w:ascii="Book Antiqua" w:eastAsia="Book Antiqua" w:hAnsi="Book Antiqua" w:cs="Book Antiqua"/>
          <w:color w:val="000000"/>
        </w:rPr>
        <w:t>Ma</w:t>
      </w:r>
      <w:r w:rsidR="002F61E4">
        <w:rPr>
          <w:rFonts w:ascii="Book Antiqua" w:eastAsia="Book Antiqua" w:hAnsi="Book Antiqua" w:cs="Book Antiqua"/>
          <w:color w:val="000000"/>
        </w:rPr>
        <w:t>y</w:t>
      </w:r>
      <w:r w:rsidR="002F61E4" w:rsidRPr="00654F9A">
        <w:rPr>
          <w:rFonts w:ascii="Book Antiqua" w:eastAsia="Book Antiqua" w:hAnsi="Book Antiqua" w:cs="Book Antiqua"/>
          <w:color w:val="000000"/>
        </w:rPr>
        <w:t xml:space="preserve"> 2</w:t>
      </w:r>
      <w:r w:rsidR="002F61E4">
        <w:rPr>
          <w:rFonts w:ascii="Book Antiqua" w:eastAsia="Book Antiqua" w:hAnsi="Book Antiqua" w:cs="Book Antiqua"/>
          <w:color w:val="000000"/>
        </w:rPr>
        <w:t>6</w:t>
      </w:r>
      <w:r w:rsidR="002F61E4" w:rsidRPr="00654F9A">
        <w:rPr>
          <w:rFonts w:ascii="Book Antiqua" w:eastAsia="Book Antiqua" w:hAnsi="Book Antiqua" w:cs="Book Antiqua"/>
          <w:color w:val="000000"/>
        </w:rPr>
        <w:t>, 2021</w:t>
      </w:r>
    </w:p>
    <w:p w14:paraId="0C8FFFB4" w14:textId="77777777" w:rsidR="00A77B3E" w:rsidRPr="00654F9A" w:rsidRDefault="00A77B3E">
      <w:pPr>
        <w:spacing w:line="360" w:lineRule="auto"/>
        <w:jc w:val="both"/>
        <w:sectPr w:rsidR="00A77B3E" w:rsidRPr="00654F9A">
          <w:footerReference w:type="default" r:id="rId7"/>
          <w:pgSz w:w="12240" w:h="15840"/>
          <w:pgMar w:top="1440" w:right="1440" w:bottom="1440" w:left="1440" w:header="720" w:footer="720" w:gutter="0"/>
          <w:cols w:space="720"/>
          <w:docGrid w:linePitch="360"/>
        </w:sectPr>
      </w:pPr>
    </w:p>
    <w:p w14:paraId="0B5157F6" w14:textId="77777777" w:rsidR="00A77B3E" w:rsidRPr="00654F9A" w:rsidRDefault="00717DC8">
      <w:pPr>
        <w:spacing w:line="360" w:lineRule="auto"/>
        <w:jc w:val="both"/>
      </w:pPr>
      <w:r w:rsidRPr="00654F9A">
        <w:rPr>
          <w:rFonts w:ascii="Book Antiqua" w:eastAsia="Book Antiqua" w:hAnsi="Book Antiqua" w:cs="Book Antiqua"/>
          <w:b/>
          <w:color w:val="000000"/>
        </w:rPr>
        <w:t>Abstract</w:t>
      </w:r>
    </w:p>
    <w:p w14:paraId="4AA83B5A" w14:textId="77777777" w:rsidR="00A77B3E" w:rsidRPr="00654F9A" w:rsidRDefault="00717DC8">
      <w:pPr>
        <w:spacing w:line="360" w:lineRule="auto"/>
        <w:jc w:val="both"/>
      </w:pPr>
      <w:r w:rsidRPr="00654F9A">
        <w:rPr>
          <w:rFonts w:ascii="Book Antiqua" w:eastAsia="Book Antiqua" w:hAnsi="Book Antiqua" w:cs="Book Antiqua"/>
          <w:color w:val="000000"/>
        </w:rPr>
        <w:t>BACKGROUND</w:t>
      </w:r>
    </w:p>
    <w:p w14:paraId="32F9D45F" w14:textId="77777777" w:rsidR="00A77B3E" w:rsidRPr="00654F9A" w:rsidRDefault="00717DC8">
      <w:pPr>
        <w:spacing w:line="360" w:lineRule="auto"/>
        <w:jc w:val="both"/>
      </w:pPr>
      <w:bookmarkStart w:id="25" w:name="OLE_LINK25"/>
      <w:bookmarkStart w:id="26" w:name="OLE_LINK26"/>
      <w:r w:rsidRPr="00654F9A">
        <w:rPr>
          <w:rFonts w:ascii="Book Antiqua" w:eastAsia="Book Antiqua" w:hAnsi="Book Antiqua" w:cs="Book Antiqua"/>
          <w:color w:val="000000"/>
        </w:rPr>
        <w:t>Dyspepsia is one of the commonest clinical disorder. However, controversy remains over the role of endoscopy in patients with dyspepsia. No studies have evaluated the diagnostic value of endoscopy in patients with no warning symptoms according to the Rome IV criteria.</w:t>
      </w:r>
    </w:p>
    <w:bookmarkEnd w:id="25"/>
    <w:bookmarkEnd w:id="26"/>
    <w:p w14:paraId="355510D6" w14:textId="77777777" w:rsidR="00A77B3E" w:rsidRPr="00654F9A" w:rsidRDefault="00A77B3E">
      <w:pPr>
        <w:spacing w:line="360" w:lineRule="auto"/>
        <w:jc w:val="both"/>
      </w:pPr>
    </w:p>
    <w:p w14:paraId="1B73B0CB" w14:textId="77777777" w:rsidR="00A77B3E" w:rsidRPr="00654F9A" w:rsidRDefault="00717DC8">
      <w:pPr>
        <w:spacing w:line="360" w:lineRule="auto"/>
        <w:jc w:val="both"/>
      </w:pPr>
      <w:r w:rsidRPr="00654F9A">
        <w:rPr>
          <w:rFonts w:ascii="Book Antiqua" w:eastAsia="Book Antiqua" w:hAnsi="Book Antiqua" w:cs="Book Antiqua"/>
          <w:color w:val="000000"/>
        </w:rPr>
        <w:t>AIM</w:t>
      </w:r>
    </w:p>
    <w:p w14:paraId="4052276D" w14:textId="77777777" w:rsidR="00A77B3E" w:rsidRPr="00654F9A" w:rsidRDefault="00717DC8">
      <w:pPr>
        <w:spacing w:line="360" w:lineRule="auto"/>
        <w:jc w:val="both"/>
      </w:pPr>
      <w:bookmarkStart w:id="27" w:name="OLE_LINK27"/>
      <w:bookmarkStart w:id="28" w:name="OLE_LINK28"/>
      <w:r w:rsidRPr="00654F9A">
        <w:rPr>
          <w:rFonts w:ascii="Book Antiqua" w:eastAsia="Book Antiqua" w:hAnsi="Book Antiqua" w:cs="Book Antiqua"/>
          <w:color w:val="000000"/>
        </w:rPr>
        <w:t>To study the diagnostic value of endoscopy in dyspeptic patients with no warning symptoms.</w:t>
      </w:r>
    </w:p>
    <w:bookmarkEnd w:id="27"/>
    <w:bookmarkEnd w:id="28"/>
    <w:p w14:paraId="2ABF459C" w14:textId="77777777" w:rsidR="00A77B3E" w:rsidRPr="00654F9A" w:rsidRDefault="00A77B3E">
      <w:pPr>
        <w:spacing w:line="360" w:lineRule="auto"/>
        <w:jc w:val="both"/>
      </w:pPr>
    </w:p>
    <w:p w14:paraId="06DE3051" w14:textId="77777777" w:rsidR="00A77B3E" w:rsidRPr="00654F9A" w:rsidRDefault="00717DC8">
      <w:pPr>
        <w:spacing w:line="360" w:lineRule="auto"/>
        <w:jc w:val="both"/>
      </w:pPr>
      <w:r w:rsidRPr="00654F9A">
        <w:rPr>
          <w:rFonts w:ascii="Book Antiqua" w:eastAsia="Book Antiqua" w:hAnsi="Book Antiqua" w:cs="Book Antiqua"/>
          <w:color w:val="000000"/>
        </w:rPr>
        <w:t>METHODS</w:t>
      </w:r>
    </w:p>
    <w:p w14:paraId="14F04136" w14:textId="1D31CAD6" w:rsidR="00A77B3E" w:rsidRPr="00654F9A" w:rsidRDefault="00717DC8">
      <w:pPr>
        <w:spacing w:line="360" w:lineRule="auto"/>
        <w:jc w:val="both"/>
      </w:pPr>
      <w:bookmarkStart w:id="29" w:name="OLE_LINK29"/>
      <w:bookmarkStart w:id="30" w:name="OLE_LINK30"/>
      <w:r w:rsidRPr="00654F9A">
        <w:rPr>
          <w:rFonts w:ascii="Book Antiqua" w:eastAsia="Book Antiqua" w:hAnsi="Book Antiqua" w:cs="Book Antiqua"/>
          <w:color w:val="000000"/>
        </w:rPr>
        <w:t>This cross-sectional study included dyspeptic patients with no warning symptoms who met the inclusion and exclusion cr</w:t>
      </w:r>
      <w:r w:rsidR="00786E00" w:rsidRPr="00654F9A">
        <w:rPr>
          <w:rFonts w:ascii="Book Antiqua" w:eastAsia="Book Antiqua" w:hAnsi="Book Antiqua" w:cs="Book Antiqua"/>
          <w:color w:val="000000"/>
        </w:rPr>
        <w:t xml:space="preserve">iteria at </w:t>
      </w:r>
      <w:r w:rsidR="00786E00" w:rsidRPr="00654F9A">
        <w:rPr>
          <w:rFonts w:ascii="Book Antiqua" w:hAnsi="Book Antiqua" w:cs="Book Antiqua"/>
          <w:color w:val="000000"/>
          <w:lang w:eastAsia="zh-CN"/>
        </w:rPr>
        <w:t>T</w:t>
      </w:r>
      <w:r w:rsidRPr="00654F9A">
        <w:rPr>
          <w:rFonts w:ascii="Book Antiqua" w:eastAsia="Book Antiqua" w:hAnsi="Book Antiqua" w:cs="Book Antiqua"/>
          <w:color w:val="000000"/>
        </w:rPr>
        <w:t>he First Affiliated Hospital, Zhejiang Chinese Medical University from April 2018 to February 2019. The clinical data were collected using questionnaires, including dyspeptic information, warning symptoms, other diseases, family history and basic demographic data. Based on dyspeptic symptoms, patients can be divided into epigastric pain syndrome, postprandial distress syndrome or overlapping subtypes.</w:t>
      </w:r>
    </w:p>
    <w:bookmarkEnd w:id="29"/>
    <w:bookmarkEnd w:id="30"/>
    <w:p w14:paraId="6002676B" w14:textId="77777777" w:rsidR="00A77B3E" w:rsidRPr="00654F9A" w:rsidRDefault="00A77B3E">
      <w:pPr>
        <w:spacing w:line="360" w:lineRule="auto"/>
        <w:jc w:val="both"/>
      </w:pPr>
    </w:p>
    <w:p w14:paraId="5746538E" w14:textId="77777777" w:rsidR="00A77B3E" w:rsidRPr="00654F9A" w:rsidRDefault="00717DC8">
      <w:pPr>
        <w:spacing w:line="360" w:lineRule="auto"/>
        <w:jc w:val="both"/>
      </w:pPr>
      <w:r w:rsidRPr="00654F9A">
        <w:rPr>
          <w:rFonts w:ascii="Book Antiqua" w:eastAsia="Book Antiqua" w:hAnsi="Book Antiqua" w:cs="Book Antiqua"/>
          <w:color w:val="000000"/>
        </w:rPr>
        <w:t>RESULTS</w:t>
      </w:r>
    </w:p>
    <w:p w14:paraId="400046B4" w14:textId="00B93CF5" w:rsidR="00A77B3E" w:rsidRPr="00654F9A" w:rsidRDefault="00717DC8">
      <w:pPr>
        <w:spacing w:line="360" w:lineRule="auto"/>
        <w:jc w:val="both"/>
      </w:pPr>
      <w:bookmarkStart w:id="31" w:name="OLE_LINK31"/>
      <w:bookmarkStart w:id="32" w:name="OLE_LINK32"/>
      <w:r w:rsidRPr="00654F9A">
        <w:rPr>
          <w:rFonts w:ascii="Book Antiqua" w:eastAsia="Book Antiqua" w:hAnsi="Book Antiqua" w:cs="Book Antiqua"/>
          <w:color w:val="000000"/>
        </w:rPr>
        <w:t xml:space="preserve">A total of 1016 cases were enrolled, 304 (29.9%) had </w:t>
      </w:r>
      <w:bookmarkStart w:id="33" w:name="OLE_LINK261"/>
      <w:r w:rsidRPr="00654F9A">
        <w:rPr>
          <w:rFonts w:ascii="Book Antiqua" w:eastAsia="Book Antiqua" w:hAnsi="Book Antiqua" w:cs="Book Antiqua"/>
          <w:color w:val="000000"/>
        </w:rPr>
        <w:t>clinically significant finding</w:t>
      </w:r>
      <w:bookmarkEnd w:id="33"/>
      <w:r w:rsidRPr="00654F9A">
        <w:rPr>
          <w:rFonts w:ascii="Book Antiqua" w:eastAsia="Book Antiqua" w:hAnsi="Book Antiqua" w:cs="Book Antiqua"/>
          <w:color w:val="000000"/>
        </w:rPr>
        <w:t xml:space="preserve">s that were detectable by endoscopy. The endoscopy findings included esophageal lesions in 180 (17.7%) cases, peptic ulcers in 115 (11.3%) cases and malignancy </w:t>
      </w:r>
      <w:r w:rsidR="00654F9A">
        <w:rPr>
          <w:rFonts w:ascii="Book Antiqua" w:eastAsia="Book Antiqua" w:hAnsi="Book Antiqua" w:cs="Book Antiqua"/>
          <w:color w:val="000000"/>
        </w:rPr>
        <w:t xml:space="preserve">in </w:t>
      </w:r>
      <w:r w:rsidRPr="00654F9A">
        <w:rPr>
          <w:rFonts w:ascii="Book Antiqua" w:eastAsia="Book Antiqua" w:hAnsi="Book Antiqua" w:cs="Book Antiqua"/>
          <w:color w:val="000000"/>
        </w:rPr>
        <w:t>9 (0.89%) patients. Multivariate logistic regress</w:t>
      </w:r>
      <w:r w:rsidR="00786E00" w:rsidRPr="00654F9A">
        <w:rPr>
          <w:rFonts w:ascii="Book Antiqua" w:eastAsia="Book Antiqua" w:hAnsi="Book Antiqua" w:cs="Book Antiqua"/>
          <w:color w:val="000000"/>
        </w:rPr>
        <w:t xml:space="preserve">ion analysis showed that males </w:t>
      </w:r>
      <w:r w:rsidR="00786E00" w:rsidRPr="00654F9A">
        <w:rPr>
          <w:rFonts w:ascii="Book Antiqua" w:hAnsi="Book Antiqua" w:cs="Book Antiqua"/>
          <w:color w:val="000000"/>
          <w:lang w:eastAsia="zh-CN"/>
        </w:rPr>
        <w:t>[</w:t>
      </w:r>
      <w:bookmarkStart w:id="34" w:name="OLE_LINK284"/>
      <w:bookmarkStart w:id="35" w:name="OLE_LINK285"/>
      <w:r w:rsidRPr="00654F9A">
        <w:rPr>
          <w:rFonts w:ascii="Book Antiqua" w:eastAsia="Book Antiqua" w:hAnsi="Book Antiqua" w:cs="Book Antiqua"/>
          <w:color w:val="000000"/>
        </w:rPr>
        <w:t>odds ratio</w:t>
      </w:r>
      <w:bookmarkEnd w:id="34"/>
      <w:bookmarkEnd w:id="35"/>
      <w:r w:rsidRPr="00654F9A">
        <w:rPr>
          <w:rFonts w:ascii="Book Antiqua" w:eastAsia="Book Antiqua" w:hAnsi="Book Antiqua" w:cs="Book Antiqua"/>
          <w:color w:val="000000"/>
        </w:rPr>
        <w:t xml:space="preserve"> (OR) = 1.758, </w:t>
      </w:r>
      <w:r w:rsidRPr="00654F9A">
        <w:rPr>
          <w:rFonts w:ascii="Book Antiqua" w:eastAsia="Book Antiqua" w:hAnsi="Book Antiqua" w:cs="Book Antiqua"/>
          <w:i/>
          <w:iCs/>
          <w:color w:val="000000"/>
        </w:rPr>
        <w:t>P</w:t>
      </w:r>
      <w:r w:rsidR="00786E00" w:rsidRPr="00654F9A">
        <w:rPr>
          <w:rFonts w:ascii="Book Antiqua" w:eastAsia="Book Antiqua" w:hAnsi="Book Antiqua" w:cs="Book Antiqua"/>
          <w:color w:val="000000"/>
        </w:rPr>
        <w:t xml:space="preserve"> &lt; 0.001</w:t>
      </w:r>
      <w:r w:rsidR="00786E00" w:rsidRPr="00654F9A">
        <w:rPr>
          <w:rFonts w:ascii="Book Antiqua" w:hAnsi="Book Antiqua" w:cs="Book Antiqua"/>
          <w:color w:val="000000"/>
          <w:lang w:eastAsia="zh-CN"/>
        </w:rPr>
        <w:t>]</w:t>
      </w:r>
      <w:r w:rsidRPr="00654F9A">
        <w:rPr>
          <w:rFonts w:ascii="Book Antiqua" w:eastAsia="Book Antiqua" w:hAnsi="Book Antiqua" w:cs="Book Antiqua"/>
          <w:color w:val="000000"/>
        </w:rPr>
        <w:t xml:space="preserve">, </w:t>
      </w:r>
      <w:bookmarkStart w:id="36" w:name="OLE_LINK236"/>
      <w:bookmarkStart w:id="37" w:name="OLE_LINK237"/>
      <w:bookmarkStart w:id="38" w:name="OLE_LINK246"/>
      <w:bookmarkStart w:id="39" w:name="OLE_LINK260"/>
      <w:r w:rsidR="00786E00" w:rsidRPr="00654F9A">
        <w:rPr>
          <w:rFonts w:ascii="Book Antiqua" w:hAnsi="Book Antiqua" w:cs="Book Antiqua"/>
          <w:color w:val="000000"/>
          <w:lang w:eastAsia="zh-CN"/>
        </w:rPr>
        <w:t>b</w:t>
      </w:r>
      <w:r w:rsidR="00786E00" w:rsidRPr="00654F9A">
        <w:rPr>
          <w:rFonts w:ascii="Book Antiqua" w:eastAsia="Book Antiqua" w:hAnsi="Book Antiqua" w:cs="Book Antiqua"/>
          <w:color w:val="000000"/>
        </w:rPr>
        <w:t>ody mass index</w:t>
      </w:r>
      <w:bookmarkEnd w:id="36"/>
      <w:bookmarkEnd w:id="37"/>
      <w:bookmarkEnd w:id="38"/>
      <w:bookmarkEnd w:id="39"/>
      <w:r w:rsidRPr="00654F9A">
        <w:rPr>
          <w:rFonts w:ascii="Book Antiqua" w:eastAsia="Book Antiqua" w:hAnsi="Book Antiqua" w:cs="Book Antiqua"/>
          <w:color w:val="000000"/>
        </w:rPr>
        <w:t xml:space="preserve"> &gt; 25 (OR = 1.660; </w:t>
      </w:r>
      <w:r w:rsidRPr="00654F9A">
        <w:rPr>
          <w:rFonts w:ascii="Book Antiqua" w:eastAsia="Book Antiqua" w:hAnsi="Book Antiqua" w:cs="Book Antiqua"/>
          <w:i/>
          <w:iCs/>
          <w:color w:val="000000"/>
        </w:rPr>
        <w:t>P</w:t>
      </w:r>
      <w:r w:rsidRPr="00654F9A">
        <w:rPr>
          <w:rFonts w:ascii="Book Antiqua" w:eastAsia="Book Antiqua" w:hAnsi="Book Antiqua" w:cs="Book Antiqua"/>
          <w:color w:val="000000"/>
        </w:rPr>
        <w:t xml:space="preserve"> = 0.005), epigastric pain (OR = 1.423; </w:t>
      </w:r>
      <w:r w:rsidRPr="00654F9A">
        <w:rPr>
          <w:rFonts w:ascii="Book Antiqua" w:eastAsia="Book Antiqua" w:hAnsi="Book Antiqua" w:cs="Book Antiqua"/>
          <w:i/>
          <w:iCs/>
          <w:color w:val="000000"/>
        </w:rPr>
        <w:t>P</w:t>
      </w:r>
      <w:r w:rsidRPr="00654F9A">
        <w:rPr>
          <w:rFonts w:ascii="Book Antiqua" w:eastAsia="Book Antiqua" w:hAnsi="Book Antiqua" w:cs="Book Antiqua"/>
          <w:color w:val="000000"/>
        </w:rPr>
        <w:t xml:space="preserve"> = 0.019) and </w:t>
      </w:r>
      <w:bookmarkStart w:id="40" w:name="OLE_LINK262"/>
      <w:r w:rsidR="00EB1528" w:rsidRPr="00654F9A">
        <w:rPr>
          <w:rFonts w:ascii="Book Antiqua" w:eastAsia="Book Antiqua" w:hAnsi="Book Antiqua" w:cs="Book Antiqua"/>
          <w:i/>
          <w:iCs/>
          <w:color w:val="000000"/>
        </w:rPr>
        <w:t xml:space="preserve">Helicobacter pylori </w:t>
      </w:r>
      <w:bookmarkEnd w:id="40"/>
      <w:r w:rsidRPr="00654F9A">
        <w:rPr>
          <w:rFonts w:ascii="Book Antiqua" w:eastAsia="Book Antiqua" w:hAnsi="Book Antiqua" w:cs="Book Antiqua"/>
          <w:color w:val="000000"/>
        </w:rPr>
        <w:t xml:space="preserve">infection (OR = 1.949; </w:t>
      </w:r>
      <w:r w:rsidRPr="00654F9A">
        <w:rPr>
          <w:rFonts w:ascii="Book Antiqua" w:eastAsia="Book Antiqua" w:hAnsi="Book Antiqua" w:cs="Book Antiqua"/>
          <w:i/>
          <w:iCs/>
          <w:color w:val="000000"/>
        </w:rPr>
        <w:t>P</w:t>
      </w:r>
      <w:r w:rsidRPr="00654F9A">
        <w:rPr>
          <w:rFonts w:ascii="Book Antiqua" w:eastAsia="Book Antiqua" w:hAnsi="Book Antiqua" w:cs="Book Antiqua"/>
          <w:color w:val="000000"/>
        </w:rPr>
        <w:t xml:space="preserve"> &lt; 0.001) were independently associated with risk factors for the presence of </w:t>
      </w:r>
      <w:r w:rsidR="00654F9A">
        <w:rPr>
          <w:rFonts w:ascii="Book Antiqua" w:eastAsia="Book Antiqua" w:hAnsi="Book Antiqua" w:cs="Book Antiqua"/>
          <w:color w:val="000000"/>
        </w:rPr>
        <w:t xml:space="preserve">clinically significant findings </w:t>
      </w:r>
      <w:r w:rsidRPr="00654F9A">
        <w:rPr>
          <w:rFonts w:ascii="Book Antiqua" w:eastAsia="Book Antiqua" w:hAnsi="Book Antiqua" w:cs="Book Antiqua"/>
          <w:color w:val="000000"/>
        </w:rPr>
        <w:t xml:space="preserve">on endoscopy. </w:t>
      </w:r>
    </w:p>
    <w:p w14:paraId="65A5323E" w14:textId="77777777" w:rsidR="00A77B3E" w:rsidRPr="00654F9A" w:rsidRDefault="00A77B3E">
      <w:pPr>
        <w:spacing w:line="360" w:lineRule="auto"/>
        <w:jc w:val="both"/>
      </w:pPr>
    </w:p>
    <w:bookmarkEnd w:id="31"/>
    <w:bookmarkEnd w:id="32"/>
    <w:p w14:paraId="0D855FF9" w14:textId="77777777" w:rsidR="00A77B3E" w:rsidRPr="00654F9A" w:rsidRDefault="00717DC8">
      <w:pPr>
        <w:spacing w:line="360" w:lineRule="auto"/>
        <w:jc w:val="both"/>
      </w:pPr>
      <w:r w:rsidRPr="00654F9A">
        <w:rPr>
          <w:rFonts w:ascii="Book Antiqua" w:eastAsia="Book Antiqua" w:hAnsi="Book Antiqua" w:cs="Book Antiqua"/>
          <w:color w:val="000000"/>
        </w:rPr>
        <w:t>CONCLUSION</w:t>
      </w:r>
    </w:p>
    <w:p w14:paraId="50BF9911" w14:textId="667A3C04" w:rsidR="00A77B3E" w:rsidRPr="00654F9A" w:rsidRDefault="00717DC8">
      <w:pPr>
        <w:spacing w:line="360" w:lineRule="auto"/>
        <w:jc w:val="both"/>
      </w:pPr>
      <w:bookmarkStart w:id="41" w:name="OLE_LINK33"/>
      <w:bookmarkStart w:id="42" w:name="OLE_LINK34"/>
      <w:r w:rsidRPr="00654F9A">
        <w:rPr>
          <w:rFonts w:ascii="Book Antiqua" w:eastAsia="Book Antiqua" w:hAnsi="Book Antiqua" w:cs="Book Antiqua"/>
          <w:color w:val="000000"/>
        </w:rPr>
        <w:t>Chinese patients with dyspepsia with no warning symptoms should undergo endoscopy, particular</w:t>
      </w:r>
      <w:r w:rsidR="00654F9A">
        <w:rPr>
          <w:rFonts w:ascii="Book Antiqua" w:eastAsia="Book Antiqua" w:hAnsi="Book Antiqua" w:cs="Book Antiqua"/>
          <w:color w:val="000000"/>
        </w:rPr>
        <w:t>ly</w:t>
      </w:r>
      <w:r w:rsidRPr="00654F9A">
        <w:rPr>
          <w:rFonts w:ascii="Book Antiqua" w:eastAsia="Book Antiqua" w:hAnsi="Book Antiqua" w:cs="Book Antiqua"/>
          <w:color w:val="000000"/>
        </w:rPr>
        <w:t xml:space="preserve"> males, patients with </w:t>
      </w:r>
      <w:r w:rsidR="00654F9A" w:rsidRPr="00654F9A">
        <w:rPr>
          <w:rFonts w:ascii="Book Antiqua" w:hAnsi="Book Antiqua" w:cs="Book Antiqua"/>
          <w:color w:val="000000"/>
          <w:lang w:eastAsia="zh-CN"/>
        </w:rPr>
        <w:t>b</w:t>
      </w:r>
      <w:r w:rsidR="00654F9A" w:rsidRPr="00654F9A">
        <w:rPr>
          <w:rFonts w:ascii="Book Antiqua" w:eastAsia="Book Antiqua" w:hAnsi="Book Antiqua" w:cs="Book Antiqua"/>
          <w:color w:val="000000"/>
        </w:rPr>
        <w:t>ody mass index</w:t>
      </w:r>
      <w:r w:rsidRPr="00654F9A">
        <w:rPr>
          <w:rFonts w:ascii="Book Antiqua" w:eastAsia="Book Antiqua" w:hAnsi="Book Antiqua" w:cs="Book Antiqua"/>
          <w:color w:val="000000"/>
        </w:rPr>
        <w:t xml:space="preserve"> &gt; 25, epigastric pain or </w:t>
      </w:r>
      <w:r w:rsidR="00654F9A" w:rsidRPr="00654F9A">
        <w:rPr>
          <w:rFonts w:ascii="Book Antiqua" w:eastAsia="Book Antiqua" w:hAnsi="Book Antiqua" w:cs="Book Antiqua"/>
          <w:i/>
          <w:iCs/>
          <w:color w:val="000000"/>
        </w:rPr>
        <w:t xml:space="preserve">Helicobacter pylori </w:t>
      </w:r>
      <w:r w:rsidRPr="00654F9A">
        <w:rPr>
          <w:rFonts w:ascii="Book Antiqua" w:eastAsia="Book Antiqua" w:hAnsi="Book Antiqua" w:cs="Book Antiqua"/>
          <w:color w:val="000000"/>
        </w:rPr>
        <w:t xml:space="preserve">infection. </w:t>
      </w:r>
    </w:p>
    <w:bookmarkEnd w:id="41"/>
    <w:bookmarkEnd w:id="42"/>
    <w:p w14:paraId="615FF133" w14:textId="77777777" w:rsidR="00A77B3E" w:rsidRPr="00654F9A" w:rsidRDefault="00A77B3E">
      <w:pPr>
        <w:spacing w:line="360" w:lineRule="auto"/>
        <w:jc w:val="both"/>
      </w:pPr>
    </w:p>
    <w:p w14:paraId="38B50B11" w14:textId="77777777" w:rsidR="00A77B3E" w:rsidRPr="00654F9A" w:rsidRDefault="00717DC8">
      <w:pPr>
        <w:spacing w:line="360" w:lineRule="auto"/>
        <w:jc w:val="both"/>
      </w:pPr>
      <w:r w:rsidRPr="00654F9A">
        <w:rPr>
          <w:rFonts w:ascii="Book Antiqua" w:eastAsia="Book Antiqua" w:hAnsi="Book Antiqua" w:cs="Book Antiqua"/>
          <w:b/>
          <w:bCs/>
          <w:color w:val="000000"/>
        </w:rPr>
        <w:t xml:space="preserve">Key Words: </w:t>
      </w:r>
      <w:bookmarkStart w:id="43" w:name="OLE_LINK11"/>
      <w:bookmarkStart w:id="44" w:name="OLE_LINK12"/>
      <w:bookmarkStart w:id="45" w:name="OLE_LINK24"/>
      <w:r w:rsidRPr="00654F9A">
        <w:rPr>
          <w:rFonts w:ascii="Book Antiqua" w:eastAsia="Book Antiqua" w:hAnsi="Book Antiqua" w:cs="Book Antiqua"/>
          <w:color w:val="000000"/>
        </w:rPr>
        <w:t>Rome IV; Dyspepsia; Questionnaire; Endoscopy; Warning symptoms; Diagnosis</w:t>
      </w:r>
    </w:p>
    <w:bookmarkEnd w:id="43"/>
    <w:bookmarkEnd w:id="44"/>
    <w:bookmarkEnd w:id="45"/>
    <w:p w14:paraId="2E523F86" w14:textId="77777777" w:rsidR="00F46092" w:rsidRDefault="00F46092" w:rsidP="00F46092">
      <w:pPr>
        <w:spacing w:line="360" w:lineRule="auto"/>
        <w:jc w:val="both"/>
        <w:rPr>
          <w:lang w:eastAsia="zh-CN"/>
        </w:rPr>
      </w:pPr>
    </w:p>
    <w:p w14:paraId="245BD1E5" w14:textId="77777777" w:rsidR="00F46092" w:rsidRPr="00026CB8" w:rsidRDefault="00F46092" w:rsidP="00F46092">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14766757" w14:textId="77777777" w:rsidR="00A77B3E" w:rsidRPr="00654F9A" w:rsidRDefault="00A77B3E">
      <w:pPr>
        <w:spacing w:line="360" w:lineRule="auto"/>
        <w:jc w:val="both"/>
      </w:pPr>
    </w:p>
    <w:p w14:paraId="4FB08422" w14:textId="519011A3" w:rsidR="00461239" w:rsidRDefault="00461239">
      <w:pPr>
        <w:spacing w:line="360" w:lineRule="auto"/>
        <w:jc w:val="both"/>
        <w:rPr>
          <w:rFonts w:ascii="Book Antiqua" w:hAnsi="Book Antiqua" w:cs="Book Antiqua" w:hint="eastAsia"/>
          <w:color w:val="000000"/>
          <w:lang w:eastAsia="zh-CN"/>
        </w:rPr>
      </w:pPr>
      <w:bookmarkStart w:id="46" w:name="OLE_LINK13"/>
      <w:bookmarkStart w:id="47" w:name="OLE_LINK14"/>
      <w:r w:rsidRPr="00461239">
        <w:rPr>
          <w:rFonts w:ascii="Book Antiqua" w:hAnsi="Book Antiqua" w:cs="Book Antiqua" w:hint="eastAsia"/>
          <w:b/>
          <w:color w:val="000000"/>
          <w:lang w:eastAsia="zh-CN"/>
        </w:rPr>
        <w:t xml:space="preserve">Citation: </w:t>
      </w:r>
      <w:r w:rsidR="00717DC8" w:rsidRPr="00654F9A">
        <w:rPr>
          <w:rFonts w:ascii="Book Antiqua" w:eastAsia="Book Antiqua" w:hAnsi="Book Antiqua" w:cs="Book Antiqua"/>
          <w:color w:val="000000"/>
        </w:rPr>
        <w:t xml:space="preserve">Mao LQ, Wang SS, Zhou YL, Chen L, Yu LM, Li M, Lv B. Clinically significant endoscopic findings in patients of dyspepsia with no warning symptoms: A cross-sectional study. </w:t>
      </w:r>
      <w:r w:rsidR="00717DC8" w:rsidRPr="00654F9A">
        <w:rPr>
          <w:rFonts w:ascii="Book Antiqua" w:eastAsia="Book Antiqua" w:hAnsi="Book Antiqua" w:cs="Book Antiqua"/>
          <w:i/>
          <w:iCs/>
          <w:color w:val="000000"/>
        </w:rPr>
        <w:t>World J Clin Cases</w:t>
      </w:r>
      <w:r w:rsidR="00717DC8" w:rsidRPr="00654F9A">
        <w:rPr>
          <w:rFonts w:ascii="Book Antiqua" w:eastAsia="Book Antiqua" w:hAnsi="Book Antiqua" w:cs="Book Antiqua"/>
          <w:color w:val="000000"/>
        </w:rPr>
        <w:t xml:space="preserve"> 2021; </w:t>
      </w:r>
      <w:r w:rsidR="004C2239" w:rsidRPr="004C2239">
        <w:rPr>
          <w:rFonts w:ascii="Book Antiqua" w:eastAsia="Book Antiqua" w:hAnsi="Book Antiqua" w:cs="Book Antiqua"/>
          <w:color w:val="000000"/>
        </w:rPr>
        <w:t>9(1</w:t>
      </w:r>
      <w:r w:rsidR="004C2239">
        <w:rPr>
          <w:rFonts w:ascii="Book Antiqua" w:eastAsia="Book Antiqua" w:hAnsi="Book Antiqua" w:cs="Book Antiqua"/>
          <w:color w:val="000000"/>
        </w:rPr>
        <w:t>5</w:t>
      </w:r>
      <w:r w:rsidR="004C2239" w:rsidRPr="004C2239">
        <w:rPr>
          <w:rFonts w:ascii="Book Antiqua" w:eastAsia="Book Antiqua" w:hAnsi="Book Antiqua" w:cs="Book Antiqua"/>
          <w:color w:val="000000"/>
        </w:rPr>
        <w:t xml:space="preserve">): </w:t>
      </w:r>
      <w:r w:rsidR="00EE7F05" w:rsidRPr="00EE7F05">
        <w:rPr>
          <w:rFonts w:ascii="Book Antiqua" w:eastAsia="Book Antiqua" w:hAnsi="Book Antiqua" w:cs="Book Antiqua"/>
          <w:color w:val="000000"/>
        </w:rPr>
        <w:t>3597-3606</w:t>
      </w:r>
      <w:r w:rsidR="004C2239" w:rsidRPr="004C2239">
        <w:rPr>
          <w:rFonts w:ascii="Book Antiqua" w:eastAsia="Book Antiqua" w:hAnsi="Book Antiqua" w:cs="Book Antiqua"/>
          <w:color w:val="000000"/>
        </w:rPr>
        <w:t xml:space="preserve">  </w:t>
      </w:r>
    </w:p>
    <w:p w14:paraId="7AFDC70C" w14:textId="77777777" w:rsidR="00461239" w:rsidRDefault="004C2239">
      <w:pPr>
        <w:spacing w:line="360" w:lineRule="auto"/>
        <w:jc w:val="both"/>
        <w:rPr>
          <w:rFonts w:ascii="Book Antiqua" w:hAnsi="Book Antiqua" w:cs="Book Antiqua" w:hint="eastAsia"/>
          <w:color w:val="000000"/>
          <w:lang w:eastAsia="zh-CN"/>
        </w:rPr>
      </w:pPr>
      <w:r w:rsidRPr="00461239">
        <w:rPr>
          <w:rFonts w:ascii="Book Antiqua" w:eastAsia="Book Antiqua" w:hAnsi="Book Antiqua" w:cs="Book Antiqua"/>
          <w:b/>
          <w:color w:val="000000"/>
        </w:rPr>
        <w:t>URL:</w:t>
      </w:r>
      <w:r w:rsidRPr="004C2239">
        <w:rPr>
          <w:rFonts w:ascii="Book Antiqua" w:eastAsia="Book Antiqua" w:hAnsi="Book Antiqua" w:cs="Book Antiqua"/>
          <w:color w:val="000000"/>
        </w:rPr>
        <w:t xml:space="preserve"> https://www.wjgnet.com/2307-8960/full/v9/i1</w:t>
      </w:r>
      <w:r>
        <w:rPr>
          <w:rFonts w:ascii="Book Antiqua" w:eastAsia="Book Antiqua" w:hAnsi="Book Antiqua" w:cs="Book Antiqua"/>
          <w:color w:val="000000"/>
        </w:rPr>
        <w:t>5</w:t>
      </w:r>
      <w:r w:rsidRPr="004C2239">
        <w:rPr>
          <w:rFonts w:ascii="Book Antiqua" w:eastAsia="Book Antiqua" w:hAnsi="Book Antiqua" w:cs="Book Antiqua"/>
          <w:color w:val="000000"/>
        </w:rPr>
        <w:t>/</w:t>
      </w:r>
      <w:r w:rsidR="00EE7F05">
        <w:rPr>
          <w:rFonts w:ascii="Book Antiqua" w:hAnsi="Book Antiqua" w:cs="Book Antiqua" w:hint="eastAsia"/>
          <w:color w:val="000000"/>
          <w:lang w:eastAsia="zh-CN"/>
        </w:rPr>
        <w:t>3597</w:t>
      </w:r>
      <w:r w:rsidRPr="004C2239">
        <w:rPr>
          <w:rFonts w:ascii="Book Antiqua" w:eastAsia="Book Antiqua" w:hAnsi="Book Antiqua" w:cs="Book Antiqua"/>
          <w:color w:val="000000"/>
        </w:rPr>
        <w:t xml:space="preserve">.htm  </w:t>
      </w:r>
    </w:p>
    <w:p w14:paraId="1D67381E" w14:textId="74C9FE75" w:rsidR="00A77B3E" w:rsidRPr="00075DF6" w:rsidRDefault="004C2239">
      <w:pPr>
        <w:spacing w:line="360" w:lineRule="auto"/>
        <w:jc w:val="both"/>
        <w:rPr>
          <w:rFonts w:hint="eastAsia"/>
          <w:lang w:eastAsia="zh-CN"/>
        </w:rPr>
      </w:pPr>
      <w:r w:rsidRPr="00461239">
        <w:rPr>
          <w:rFonts w:ascii="Book Antiqua" w:eastAsia="Book Antiqua" w:hAnsi="Book Antiqua" w:cs="Book Antiqua"/>
          <w:b/>
          <w:color w:val="000000"/>
        </w:rPr>
        <w:t>DOI:</w:t>
      </w:r>
      <w:r w:rsidRPr="004C2239">
        <w:rPr>
          <w:rFonts w:ascii="Book Antiqua" w:eastAsia="Book Antiqua" w:hAnsi="Book Antiqua" w:cs="Book Antiqua"/>
          <w:color w:val="000000"/>
        </w:rPr>
        <w:t xml:space="preserve"> https://dx.doi.org/10.12998/wjcc.v9.i1</w:t>
      </w:r>
      <w:r>
        <w:rPr>
          <w:rFonts w:ascii="Book Antiqua" w:eastAsia="Book Antiqua" w:hAnsi="Book Antiqua" w:cs="Book Antiqua"/>
          <w:color w:val="000000"/>
        </w:rPr>
        <w:t>5</w:t>
      </w:r>
      <w:r w:rsidRPr="004C2239">
        <w:rPr>
          <w:rFonts w:ascii="Book Antiqua" w:eastAsia="Book Antiqua" w:hAnsi="Book Antiqua" w:cs="Book Antiqua"/>
          <w:color w:val="000000"/>
        </w:rPr>
        <w:t>.</w:t>
      </w:r>
      <w:r w:rsidR="00075DF6">
        <w:rPr>
          <w:rFonts w:ascii="Book Antiqua" w:hAnsi="Book Antiqua" w:cs="Book Antiqua" w:hint="eastAsia"/>
          <w:color w:val="000000"/>
          <w:lang w:eastAsia="zh-CN"/>
        </w:rPr>
        <w:t>3597</w:t>
      </w:r>
    </w:p>
    <w:bookmarkEnd w:id="46"/>
    <w:bookmarkEnd w:id="47"/>
    <w:p w14:paraId="1BE0A3A1" w14:textId="77777777" w:rsidR="00A77B3E" w:rsidRPr="00654F9A" w:rsidRDefault="00A77B3E">
      <w:pPr>
        <w:spacing w:line="360" w:lineRule="auto"/>
        <w:jc w:val="both"/>
      </w:pPr>
    </w:p>
    <w:p w14:paraId="13F20AF8" w14:textId="77777777" w:rsidR="00A77B3E" w:rsidRPr="00654F9A" w:rsidRDefault="00717DC8">
      <w:pPr>
        <w:spacing w:line="360" w:lineRule="auto"/>
        <w:jc w:val="both"/>
        <w:rPr>
          <w:lang w:eastAsia="zh-CN"/>
        </w:rPr>
      </w:pPr>
      <w:r w:rsidRPr="00654F9A">
        <w:rPr>
          <w:rFonts w:ascii="Book Antiqua" w:eastAsia="Book Antiqua" w:hAnsi="Book Antiqua" w:cs="Book Antiqua"/>
          <w:b/>
          <w:bCs/>
          <w:color w:val="000000"/>
        </w:rPr>
        <w:t xml:space="preserve">Core Tip: </w:t>
      </w:r>
      <w:bookmarkStart w:id="48" w:name="OLE_LINK15"/>
      <w:bookmarkStart w:id="49" w:name="OLE_LINK16"/>
      <w:r w:rsidRPr="00654F9A">
        <w:rPr>
          <w:rFonts w:ascii="Book Antiqua" w:eastAsia="Book Antiqua" w:hAnsi="Book Antiqua" w:cs="Book Antiqua"/>
          <w:color w:val="000000"/>
        </w:rPr>
        <w:t xml:space="preserve">We found that the incidence rate of malignancy (0.89%) among dyspeptic patients with no warning symptoms was high. Moreover, the prevalence of significant endoscopic findings did not increase with age, but the incidence rate of malignancy (1.40%) was relatively higher in patients ≥ 50 years of age. Furthermore, the data suggested that male gender, </w:t>
      </w:r>
      <w:r w:rsidR="001E06ED" w:rsidRPr="00654F9A">
        <w:rPr>
          <w:rFonts w:ascii="Book Antiqua" w:hAnsi="Book Antiqua" w:cs="Book Antiqua"/>
          <w:color w:val="000000"/>
          <w:lang w:eastAsia="zh-CN"/>
        </w:rPr>
        <w:t>b</w:t>
      </w:r>
      <w:r w:rsidR="001E06ED" w:rsidRPr="00654F9A">
        <w:rPr>
          <w:rFonts w:ascii="Book Antiqua" w:eastAsia="Book Antiqua" w:hAnsi="Book Antiqua" w:cs="Book Antiqua"/>
          <w:color w:val="000000"/>
        </w:rPr>
        <w:t xml:space="preserve">ody mass index </w:t>
      </w:r>
      <w:r w:rsidRPr="00654F9A">
        <w:rPr>
          <w:rFonts w:ascii="Book Antiqua" w:eastAsia="Book Antiqua" w:hAnsi="Book Antiqua" w:cs="Book Antiqua"/>
          <w:color w:val="000000"/>
        </w:rPr>
        <w:t>&gt;</w:t>
      </w:r>
      <w:r w:rsidR="001E06ED"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 xml:space="preserve">25, epigastric pain and </w:t>
      </w:r>
      <w:r w:rsidRPr="00654F9A">
        <w:rPr>
          <w:rFonts w:ascii="Book Antiqua" w:eastAsia="Book Antiqua" w:hAnsi="Book Antiqua" w:cs="Book Antiqua"/>
          <w:i/>
          <w:iCs/>
          <w:color w:val="000000"/>
        </w:rPr>
        <w:t>Helicobacter pylori</w:t>
      </w:r>
      <w:r w:rsidRPr="00654F9A">
        <w:rPr>
          <w:rFonts w:ascii="Book Antiqua" w:eastAsia="Book Antiqua" w:hAnsi="Book Antiqua" w:cs="Book Antiqua"/>
          <w:color w:val="000000"/>
        </w:rPr>
        <w:t xml:space="preserve"> infection were independently associated with significant endoscopic findings. Therefore, endoscopy should be the initial management strategy for dyspeptic Chinese patients even in the absence of warning features.</w:t>
      </w:r>
    </w:p>
    <w:bookmarkEnd w:id="48"/>
    <w:bookmarkEnd w:id="49"/>
    <w:p w14:paraId="479B7767" w14:textId="77777777" w:rsidR="00A77B3E" w:rsidRPr="00654F9A" w:rsidRDefault="002B0E05">
      <w:pPr>
        <w:spacing w:line="360" w:lineRule="auto"/>
        <w:jc w:val="both"/>
      </w:pPr>
      <w:r w:rsidRPr="00654F9A">
        <w:rPr>
          <w:rFonts w:ascii="Book Antiqua" w:eastAsia="Book Antiqua" w:hAnsi="Book Antiqua" w:cs="Book Antiqua"/>
          <w:b/>
          <w:caps/>
          <w:color w:val="000000"/>
          <w:u w:val="single"/>
        </w:rPr>
        <w:br w:type="page"/>
      </w:r>
      <w:r w:rsidR="00717DC8" w:rsidRPr="00654F9A">
        <w:rPr>
          <w:rFonts w:ascii="Book Antiqua" w:eastAsia="Book Antiqua" w:hAnsi="Book Antiqua" w:cs="Book Antiqua"/>
          <w:b/>
          <w:caps/>
          <w:color w:val="000000"/>
          <w:u w:val="single"/>
        </w:rPr>
        <w:t>INTRODUCTION</w:t>
      </w:r>
    </w:p>
    <w:p w14:paraId="324083CF" w14:textId="55984CE7" w:rsidR="00A77B3E" w:rsidRPr="00654F9A" w:rsidRDefault="00717DC8">
      <w:pPr>
        <w:spacing w:line="360" w:lineRule="auto"/>
        <w:jc w:val="both"/>
      </w:pPr>
      <w:bookmarkStart w:id="50" w:name="OLE_LINK35"/>
      <w:r w:rsidRPr="00654F9A">
        <w:rPr>
          <w:rFonts w:ascii="Book Antiqua" w:eastAsia="Book Antiqua" w:hAnsi="Book Antiqua" w:cs="Book Antiqua"/>
          <w:color w:val="000000"/>
        </w:rPr>
        <w:t>Dyspepsia is a common upper gastrointestinal (GI) symptom. The proportion of people that suffer from dyspepsia is between 7% to 45% of the whole population in different countries</w:t>
      </w:r>
      <w:r w:rsidR="00EB1528" w:rsidRPr="00654F9A">
        <w:rPr>
          <w:rFonts w:ascii="Book Antiqua" w:eastAsia="Book Antiqua" w:hAnsi="Book Antiqua" w:cs="Book Antiqua"/>
          <w:color w:val="000000"/>
          <w:szCs w:val="30"/>
          <w:vertAlign w:val="superscript"/>
        </w:rPr>
        <w:t>[1,</w:t>
      </w:r>
      <w:r w:rsidRPr="00654F9A">
        <w:rPr>
          <w:rFonts w:ascii="Book Antiqua" w:eastAsia="Book Antiqua" w:hAnsi="Book Antiqua" w:cs="Book Antiqua"/>
          <w:color w:val="000000"/>
          <w:szCs w:val="30"/>
          <w:vertAlign w:val="superscript"/>
        </w:rPr>
        <w:t>2]</w:t>
      </w:r>
      <w:r w:rsidRPr="00654F9A">
        <w:rPr>
          <w:rFonts w:ascii="Book Antiqua" w:eastAsia="Book Antiqua" w:hAnsi="Book Antiqua" w:cs="Book Antiqua"/>
          <w:color w:val="000000"/>
        </w:rPr>
        <w:t xml:space="preserve">. Based on the endoscopic findings, dyspepsia can be subdivided into organic dyspepsia and functional dyspepsia (FD). According to the Rome IV Committee definition, patients with </w:t>
      </w:r>
      <w:r w:rsidR="00EB1528" w:rsidRPr="00654F9A">
        <w:rPr>
          <w:rFonts w:ascii="Book Antiqua" w:hAnsi="Book Antiqua" w:cs="Book Antiqua"/>
          <w:color w:val="000000"/>
          <w:lang w:eastAsia="zh-CN"/>
        </w:rPr>
        <w:t>FD</w:t>
      </w:r>
      <w:r w:rsidRPr="00654F9A">
        <w:rPr>
          <w:rFonts w:ascii="Book Antiqua" w:eastAsia="Book Antiqua" w:hAnsi="Book Antiqua" w:cs="Book Antiqua"/>
          <w:color w:val="000000"/>
        </w:rPr>
        <w:t xml:space="preserve"> should have at least one of the following symptoms: </w:t>
      </w:r>
      <w:r w:rsidR="00706678">
        <w:rPr>
          <w:rFonts w:ascii="Book Antiqua" w:eastAsia="Book Antiqua" w:hAnsi="Book Antiqua" w:cs="Book Antiqua"/>
          <w:color w:val="000000"/>
        </w:rPr>
        <w:t>P</w:t>
      </w:r>
      <w:r w:rsidRPr="00654F9A">
        <w:rPr>
          <w:rFonts w:ascii="Book Antiqua" w:eastAsia="Book Antiqua" w:hAnsi="Book Antiqua" w:cs="Book Antiqua"/>
          <w:color w:val="000000"/>
        </w:rPr>
        <w:t>ostprandial fullness, early satiation, epigastric pain or epigastric burning. In addition, these symptoms must not be explained by any structural diseases and should persist for &gt;</w:t>
      </w:r>
      <w:r w:rsidR="00EB1528"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3 mo from the onset of symptom for ≥</w:t>
      </w:r>
      <w:r w:rsidR="00EB1528"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 xml:space="preserve">6 mo before diagnosis. Patients with FD can be divided into subtypes as </w:t>
      </w:r>
      <w:bookmarkStart w:id="51" w:name="OLE_LINK276"/>
      <w:bookmarkStart w:id="52" w:name="OLE_LINK277"/>
      <w:r w:rsidRPr="00654F9A">
        <w:rPr>
          <w:rFonts w:ascii="Book Antiqua" w:eastAsia="Book Antiqua" w:hAnsi="Book Antiqua" w:cs="Book Antiqua"/>
          <w:color w:val="000000"/>
        </w:rPr>
        <w:t>epigastric pain syndrome (EPS), postprandial distress syndrome</w:t>
      </w:r>
      <w:bookmarkEnd w:id="51"/>
      <w:bookmarkEnd w:id="52"/>
      <w:r w:rsidRPr="00654F9A">
        <w:rPr>
          <w:rFonts w:ascii="Book Antiqua" w:eastAsia="Book Antiqua" w:hAnsi="Book Antiqua" w:cs="Book Antiqua"/>
          <w:color w:val="000000"/>
        </w:rPr>
        <w:t xml:space="preserve"> (PDS) or EPS-PDS overlap</w:t>
      </w:r>
      <w:r w:rsidRPr="00654F9A">
        <w:rPr>
          <w:rFonts w:ascii="Book Antiqua" w:eastAsia="Book Antiqua" w:hAnsi="Book Antiqua" w:cs="Book Antiqua"/>
          <w:color w:val="000000"/>
          <w:szCs w:val="30"/>
          <w:vertAlign w:val="superscript"/>
        </w:rPr>
        <w:t>[3]</w:t>
      </w:r>
      <w:r w:rsidRPr="00654F9A">
        <w:rPr>
          <w:rFonts w:ascii="Book Antiqua" w:eastAsia="Book Antiqua" w:hAnsi="Book Antiqua" w:cs="Book Antiqua"/>
          <w:color w:val="000000"/>
        </w:rPr>
        <w:t xml:space="preserve">. </w:t>
      </w:r>
    </w:p>
    <w:p w14:paraId="700D6A6C" w14:textId="4FC15C0F" w:rsidR="00A77B3E" w:rsidRPr="00654F9A" w:rsidRDefault="00C50CDE">
      <w:pPr>
        <w:spacing w:line="360" w:lineRule="auto"/>
        <w:ind w:firstLine="240"/>
        <w:jc w:val="both"/>
      </w:pPr>
      <w:r>
        <w:rPr>
          <w:rFonts w:ascii="Book Antiqua" w:eastAsia="Book Antiqua" w:hAnsi="Book Antiqua" w:cs="Book Antiqua"/>
          <w:color w:val="000000"/>
        </w:rPr>
        <w:t>T</w:t>
      </w:r>
      <w:r w:rsidR="00717DC8" w:rsidRPr="00654F9A">
        <w:rPr>
          <w:rFonts w:ascii="Book Antiqua" w:eastAsia="Book Antiqua" w:hAnsi="Book Antiqua" w:cs="Book Antiqua"/>
          <w:color w:val="000000"/>
        </w:rPr>
        <w:t>he causes of these various indigestion syndrome complexes are poorly understood. Currently, endoscopy remains an important step in the diagnosis and management of dyspepsia. It acts as an effective method to differentiate patients with clinically significant findings (CSFs), such as erosive esophagitis, Barrett’s esophagus, peptic ulcer disease (PUD) and gastroesophageal malignancy, from those with FD. If these lesions are identified in the early stages, the success rate of treatment and the quality of life will improve. However, endoscopy is an invasive procedure that is relatively expensive. Therefore, the selective use of endoscopy in high-risk patients would be the most cost-effective approach.</w:t>
      </w:r>
    </w:p>
    <w:p w14:paraId="4DB8A35A" w14:textId="3001A553" w:rsidR="00A77B3E" w:rsidRPr="00654F9A" w:rsidRDefault="00717DC8">
      <w:pPr>
        <w:spacing w:line="360" w:lineRule="auto"/>
        <w:ind w:firstLine="240"/>
        <w:jc w:val="both"/>
      </w:pPr>
      <w:r w:rsidRPr="00654F9A">
        <w:rPr>
          <w:rFonts w:ascii="Book Antiqua" w:eastAsia="Book Antiqua" w:hAnsi="Book Antiqua" w:cs="Book Antiqua"/>
          <w:color w:val="000000"/>
        </w:rPr>
        <w:t>Although several proposed guidelines exist for the management of dyspepsia, the appropriate initial management strategy remains controversial. Some Western guidelines suggest that an empiric trial of acid suppression with proton pump inhibitors for 4</w:t>
      </w:r>
      <w:r w:rsidR="003B5510" w:rsidRPr="00654F9A">
        <w:rPr>
          <w:rFonts w:ascii="Book Antiqua" w:eastAsia="Book Antiqua" w:hAnsi="Book Antiqua" w:cs="Book Antiqua"/>
          <w:color w:val="000000"/>
        </w:rPr>
        <w:t>-</w:t>
      </w:r>
      <w:r w:rsidRPr="00654F9A">
        <w:rPr>
          <w:rFonts w:ascii="Book Antiqua" w:eastAsia="Book Antiqua" w:hAnsi="Book Antiqua" w:cs="Book Antiqua"/>
          <w:color w:val="000000"/>
        </w:rPr>
        <w:t xml:space="preserve">8 wk combined with noninvasive </w:t>
      </w:r>
      <w:bookmarkStart w:id="53" w:name="OLE_LINK240"/>
      <w:bookmarkStart w:id="54" w:name="OLE_LINK241"/>
      <w:r w:rsidR="00EB1528" w:rsidRPr="00654F9A">
        <w:rPr>
          <w:rFonts w:ascii="Book Antiqua" w:eastAsia="Book Antiqua" w:hAnsi="Book Antiqua" w:cs="Book Antiqua"/>
          <w:i/>
          <w:iCs/>
          <w:color w:val="000000"/>
        </w:rPr>
        <w:t xml:space="preserve">Helicobacter pylori </w:t>
      </w:r>
      <w:r w:rsidR="00EB1528" w:rsidRPr="00654F9A">
        <w:rPr>
          <w:rFonts w:ascii="Book Antiqua" w:hAnsi="Book Antiqua" w:cs="Book Antiqua"/>
          <w:iCs/>
          <w:color w:val="000000"/>
          <w:lang w:eastAsia="zh-CN"/>
        </w:rPr>
        <w:t>(</w:t>
      </w:r>
      <w:r w:rsidRPr="00654F9A">
        <w:rPr>
          <w:rFonts w:ascii="Book Antiqua" w:eastAsia="Book Antiqua" w:hAnsi="Book Antiqua" w:cs="Book Antiqua"/>
          <w:i/>
          <w:iCs/>
          <w:color w:val="000000"/>
        </w:rPr>
        <w:t>H. pylori</w:t>
      </w:r>
      <w:r w:rsidR="00EB1528" w:rsidRPr="00654F9A">
        <w:rPr>
          <w:rFonts w:ascii="Book Antiqua" w:hAnsi="Book Antiqua" w:cs="Book Antiqua"/>
          <w:iCs/>
          <w:color w:val="000000"/>
          <w:lang w:eastAsia="zh-CN"/>
        </w:rPr>
        <w:t>)</w:t>
      </w:r>
      <w:r w:rsidRPr="00654F9A">
        <w:rPr>
          <w:rFonts w:ascii="Book Antiqua" w:eastAsia="Book Antiqua" w:hAnsi="Book Antiqua" w:cs="Book Antiqua"/>
          <w:color w:val="000000"/>
        </w:rPr>
        <w:t xml:space="preserve"> </w:t>
      </w:r>
      <w:bookmarkEnd w:id="53"/>
      <w:bookmarkEnd w:id="54"/>
      <w:r w:rsidRPr="00654F9A">
        <w:rPr>
          <w:rFonts w:ascii="Book Antiqua" w:eastAsia="Book Antiqua" w:hAnsi="Book Antiqua" w:cs="Book Antiqua"/>
          <w:color w:val="000000"/>
        </w:rPr>
        <w:t xml:space="preserve">testing and treatment before the endoscopic evaluation of patients without a clinically significant history, such as a family history of upper </w:t>
      </w:r>
      <w:r w:rsidR="00EB1528" w:rsidRPr="00654F9A">
        <w:rPr>
          <w:rFonts w:ascii="Book Antiqua" w:hAnsi="Book Antiqua" w:cs="Book Antiqua"/>
          <w:color w:val="000000"/>
          <w:lang w:eastAsia="zh-CN"/>
        </w:rPr>
        <w:t>GI</w:t>
      </w:r>
      <w:r w:rsidRPr="00654F9A">
        <w:rPr>
          <w:rFonts w:ascii="Book Antiqua" w:eastAsia="Book Antiqua" w:hAnsi="Book Antiqua" w:cs="Book Antiqua"/>
          <w:color w:val="000000"/>
        </w:rPr>
        <w:t xml:space="preserve"> malignancy, unintended weight loss, signs of bleeding or iron deficiency anemia, progressive dysphagia, odynophagia, persistent vomiting, palpable mass, lymphadenopathy or jaundice. For these low-risk patients, endoscopy is recommended if symptoms persist following the initial noninvasive approach</w:t>
      </w:r>
      <w:r w:rsidR="002718F7" w:rsidRPr="00654F9A">
        <w:rPr>
          <w:rFonts w:ascii="Book Antiqua" w:eastAsia="Book Antiqua" w:hAnsi="Book Antiqua" w:cs="Book Antiqua"/>
          <w:color w:val="000000"/>
          <w:szCs w:val="30"/>
          <w:vertAlign w:val="superscript"/>
        </w:rPr>
        <w:t>[4</w:t>
      </w:r>
      <w:r w:rsidRPr="00654F9A">
        <w:rPr>
          <w:rFonts w:ascii="Book Antiqua" w:eastAsia="Book Antiqua" w:hAnsi="Book Antiqua" w:cs="Book Antiqua"/>
          <w:color w:val="000000"/>
          <w:szCs w:val="30"/>
          <w:vertAlign w:val="superscript"/>
        </w:rPr>
        <w:t xml:space="preserve"> 5]</w:t>
      </w:r>
      <w:r w:rsidRPr="00654F9A">
        <w:rPr>
          <w:rFonts w:ascii="Book Antiqua" w:eastAsia="Book Antiqua" w:hAnsi="Book Antiqua" w:cs="Book Antiqua"/>
          <w:color w:val="000000"/>
        </w:rPr>
        <w:t xml:space="preserve">. </w:t>
      </w:r>
    </w:p>
    <w:p w14:paraId="3F5F7FBF" w14:textId="77777777" w:rsidR="00A77B3E" w:rsidRPr="00654F9A" w:rsidRDefault="00717DC8" w:rsidP="002718F7">
      <w:pPr>
        <w:spacing w:line="360" w:lineRule="auto"/>
        <w:ind w:firstLineChars="100" w:firstLine="240"/>
        <w:jc w:val="both"/>
      </w:pPr>
      <w:r w:rsidRPr="00654F9A">
        <w:rPr>
          <w:rFonts w:ascii="Book Antiqua" w:eastAsia="Book Antiqua" w:hAnsi="Book Antiqua" w:cs="Book Antiqua"/>
          <w:color w:val="000000"/>
        </w:rPr>
        <w:t xml:space="preserve">However, these guidelines are based on the study of dyspepsia in Western populations. Because of the high prevalence rates of </w:t>
      </w:r>
      <w:r w:rsidRPr="00654F9A">
        <w:rPr>
          <w:rFonts w:ascii="Book Antiqua" w:eastAsia="Book Antiqua" w:hAnsi="Book Antiqua" w:cs="Book Antiqua"/>
          <w:i/>
          <w:iCs/>
          <w:color w:val="000000"/>
        </w:rPr>
        <w:t>H. pylori</w:t>
      </w:r>
      <w:r w:rsidRPr="00654F9A">
        <w:rPr>
          <w:rFonts w:ascii="Book Antiqua" w:eastAsia="Book Antiqua" w:hAnsi="Book Antiqua" w:cs="Book Antiqua"/>
          <w:color w:val="000000"/>
        </w:rPr>
        <w:t xml:space="preserve"> infection and upper GI malignancy in China</w:t>
      </w:r>
      <w:r w:rsidRPr="00654F9A">
        <w:rPr>
          <w:rFonts w:ascii="Book Antiqua" w:eastAsia="Book Antiqua" w:hAnsi="Book Antiqua" w:cs="Book Antiqua"/>
          <w:color w:val="000000"/>
          <w:szCs w:val="30"/>
          <w:vertAlign w:val="superscript"/>
        </w:rPr>
        <w:t>[6-8]</w:t>
      </w:r>
      <w:r w:rsidRPr="00654F9A">
        <w:rPr>
          <w:rFonts w:ascii="Book Antiqua" w:eastAsia="Book Antiqua" w:hAnsi="Book Antiqua" w:cs="Book Antiqua"/>
          <w:color w:val="000000"/>
        </w:rPr>
        <w:t>, it is not known whether the same guidelines could be followed. In addition, the treating physicians fear missing clinically significant endoscopic findings in patients with no warning symptoms if endoscopy is not conducted, and it is unclear whether a substantial proportion of cases with symptoms would be missed.</w:t>
      </w:r>
    </w:p>
    <w:p w14:paraId="4DB4AA3D" w14:textId="35F82398" w:rsidR="00A77B3E" w:rsidRPr="00654F9A" w:rsidRDefault="00717DC8" w:rsidP="002718F7">
      <w:pPr>
        <w:spacing w:line="360" w:lineRule="auto"/>
        <w:ind w:firstLineChars="100" w:firstLine="240"/>
        <w:jc w:val="both"/>
      </w:pPr>
      <w:r w:rsidRPr="00654F9A">
        <w:rPr>
          <w:rFonts w:ascii="Book Antiqua" w:eastAsia="Book Antiqua" w:hAnsi="Book Antiqua" w:cs="Book Antiqua"/>
          <w:color w:val="000000"/>
        </w:rPr>
        <w:t>This study aims to clarify the prevalence of significant endoscopic findings, particular</w:t>
      </w:r>
      <w:r w:rsidR="00C50CDE">
        <w:rPr>
          <w:rFonts w:ascii="Book Antiqua" w:eastAsia="Book Antiqua" w:hAnsi="Book Antiqua" w:cs="Book Antiqua"/>
          <w:color w:val="000000"/>
        </w:rPr>
        <w:t>ly</w:t>
      </w:r>
      <w:r w:rsidRPr="00654F9A">
        <w:rPr>
          <w:rFonts w:ascii="Book Antiqua" w:eastAsia="Book Antiqua" w:hAnsi="Book Antiqua" w:cs="Book Antiqua"/>
          <w:color w:val="000000"/>
        </w:rPr>
        <w:t xml:space="preserve"> the proportion of cancer in Chinese patients with dyspepsia, and to further explore the clinical diagnostic value of endoscopy in dyspeptic patients with no warning symptoms.</w:t>
      </w:r>
    </w:p>
    <w:bookmarkEnd w:id="50"/>
    <w:p w14:paraId="26F3B68F" w14:textId="77777777" w:rsidR="00A77B3E" w:rsidRPr="00654F9A" w:rsidRDefault="00A77B3E">
      <w:pPr>
        <w:spacing w:line="360" w:lineRule="auto"/>
        <w:ind w:firstLine="151"/>
        <w:jc w:val="both"/>
      </w:pPr>
    </w:p>
    <w:p w14:paraId="6EAF61F7" w14:textId="77777777" w:rsidR="00A77B3E" w:rsidRPr="00654F9A" w:rsidRDefault="00717DC8">
      <w:pPr>
        <w:spacing w:line="360" w:lineRule="auto"/>
        <w:jc w:val="both"/>
      </w:pPr>
      <w:r w:rsidRPr="00654F9A">
        <w:rPr>
          <w:rFonts w:ascii="Book Antiqua" w:eastAsia="Book Antiqua" w:hAnsi="Book Antiqua" w:cs="Book Antiqua"/>
          <w:b/>
          <w:caps/>
          <w:color w:val="000000"/>
          <w:u w:val="single"/>
        </w:rPr>
        <w:t>MATERIALS AND METHODS</w:t>
      </w:r>
    </w:p>
    <w:p w14:paraId="594E2EA6" w14:textId="77777777" w:rsidR="00A77B3E" w:rsidRPr="00654F9A" w:rsidRDefault="00717DC8">
      <w:pPr>
        <w:spacing w:line="360" w:lineRule="auto"/>
        <w:jc w:val="both"/>
      </w:pPr>
      <w:bookmarkStart w:id="55" w:name="OLE_LINK36"/>
      <w:r w:rsidRPr="00654F9A">
        <w:rPr>
          <w:rFonts w:ascii="Book Antiqua" w:eastAsia="Book Antiqua" w:hAnsi="Book Antiqua" w:cs="Book Antiqua"/>
          <w:b/>
          <w:bCs/>
          <w:i/>
          <w:iCs/>
          <w:color w:val="000000"/>
          <w:szCs w:val="22"/>
        </w:rPr>
        <w:t>Choice of study participants</w:t>
      </w:r>
    </w:p>
    <w:p w14:paraId="4B54E56F" w14:textId="332A3C4C" w:rsidR="00A939C4" w:rsidRDefault="00717DC8">
      <w:pPr>
        <w:spacing w:line="360" w:lineRule="auto"/>
        <w:jc w:val="both"/>
        <w:rPr>
          <w:rFonts w:ascii="Book Antiqua" w:eastAsia="Book Antiqua" w:hAnsi="Book Antiqua" w:cs="Book Antiqua"/>
          <w:color w:val="000000"/>
        </w:rPr>
      </w:pPr>
      <w:r w:rsidRPr="00654F9A">
        <w:rPr>
          <w:rFonts w:ascii="Book Antiqua" w:eastAsia="Book Antiqua" w:hAnsi="Book Antiqua" w:cs="Book Antiqua"/>
          <w:color w:val="000000"/>
        </w:rPr>
        <w:t>This cross-sectional study included patients that underwent endoscopy for dyspepsia at the First Affiliated Hospital, Zhejiang Chinese Medical University from April 2018 to February 2019. The patients had at least o</w:t>
      </w:r>
      <w:r w:rsidR="0090040D" w:rsidRPr="00654F9A">
        <w:rPr>
          <w:rFonts w:ascii="Book Antiqua" w:eastAsia="Book Antiqua" w:hAnsi="Book Antiqua" w:cs="Book Antiqua"/>
          <w:color w:val="000000"/>
        </w:rPr>
        <w:t>ne of the following symptoms: (</w:t>
      </w:r>
      <w:r w:rsidR="0090040D" w:rsidRPr="00654F9A">
        <w:rPr>
          <w:rFonts w:ascii="Book Antiqua" w:hAnsi="Book Antiqua" w:cs="Book Antiqua"/>
          <w:color w:val="000000"/>
          <w:lang w:eastAsia="zh-CN"/>
        </w:rPr>
        <w:t>1</w:t>
      </w:r>
      <w:r w:rsidRPr="00654F9A">
        <w:rPr>
          <w:rFonts w:ascii="Book Antiqua" w:eastAsia="Book Antiqua" w:hAnsi="Book Antiqua" w:cs="Book Antiqua"/>
          <w:color w:val="000000"/>
        </w:rPr>
        <w:t xml:space="preserve">) </w:t>
      </w:r>
      <w:r w:rsidR="00706678">
        <w:rPr>
          <w:rFonts w:ascii="Book Antiqua" w:eastAsia="Book Antiqua" w:hAnsi="Book Antiqua" w:cs="Book Antiqua"/>
          <w:color w:val="000000"/>
        </w:rPr>
        <w:t>P</w:t>
      </w:r>
      <w:r w:rsidRPr="00654F9A">
        <w:rPr>
          <w:rFonts w:ascii="Book Antiqua" w:eastAsia="Book Antiqua" w:hAnsi="Book Antiqua" w:cs="Book Antiqua"/>
          <w:color w:val="000000"/>
        </w:rPr>
        <w:t>ostpra</w:t>
      </w:r>
      <w:r w:rsidR="0090040D" w:rsidRPr="00654F9A">
        <w:rPr>
          <w:rFonts w:ascii="Book Antiqua" w:eastAsia="Book Antiqua" w:hAnsi="Book Antiqua" w:cs="Book Antiqua"/>
          <w:color w:val="000000"/>
        </w:rPr>
        <w:t>ndial fullness; (</w:t>
      </w:r>
      <w:r w:rsidR="0090040D" w:rsidRPr="00654F9A">
        <w:rPr>
          <w:rFonts w:ascii="Book Antiqua" w:hAnsi="Book Antiqua" w:cs="Book Antiqua"/>
          <w:color w:val="000000"/>
          <w:lang w:eastAsia="zh-CN"/>
        </w:rPr>
        <w:t>2</w:t>
      </w:r>
      <w:r w:rsidR="0090040D" w:rsidRPr="00654F9A">
        <w:rPr>
          <w:rFonts w:ascii="Book Antiqua" w:eastAsia="Book Antiqua" w:hAnsi="Book Antiqua" w:cs="Book Antiqua"/>
          <w:color w:val="000000"/>
        </w:rPr>
        <w:t>)</w:t>
      </w:r>
      <w:r w:rsidR="003B5510" w:rsidRPr="00654F9A">
        <w:rPr>
          <w:rFonts w:ascii="Book Antiqua" w:eastAsia="Book Antiqua" w:hAnsi="Book Antiqua" w:cs="Book Antiqua"/>
          <w:color w:val="000000"/>
        </w:rPr>
        <w:t xml:space="preserve"> </w:t>
      </w:r>
      <w:r w:rsidR="00706678">
        <w:rPr>
          <w:rFonts w:ascii="Book Antiqua" w:eastAsia="Book Antiqua" w:hAnsi="Book Antiqua" w:cs="Book Antiqua"/>
          <w:color w:val="000000"/>
        </w:rPr>
        <w:t>E</w:t>
      </w:r>
      <w:r w:rsidR="0090040D" w:rsidRPr="00654F9A">
        <w:rPr>
          <w:rFonts w:ascii="Book Antiqua" w:eastAsia="Book Antiqua" w:hAnsi="Book Antiqua" w:cs="Book Antiqua"/>
          <w:color w:val="000000"/>
        </w:rPr>
        <w:t>arly satiation; (</w:t>
      </w:r>
      <w:r w:rsidR="0090040D" w:rsidRPr="00654F9A">
        <w:rPr>
          <w:rFonts w:ascii="Book Antiqua" w:hAnsi="Book Antiqua" w:cs="Book Antiqua"/>
          <w:color w:val="000000"/>
          <w:lang w:eastAsia="zh-CN"/>
        </w:rPr>
        <w:t>3</w:t>
      </w:r>
      <w:r w:rsidR="0090040D" w:rsidRPr="00654F9A">
        <w:rPr>
          <w:rFonts w:ascii="Book Antiqua" w:eastAsia="Book Antiqua" w:hAnsi="Book Antiqua" w:cs="Book Antiqua"/>
          <w:color w:val="000000"/>
        </w:rPr>
        <w:t xml:space="preserve">) </w:t>
      </w:r>
      <w:r w:rsidR="00706678">
        <w:rPr>
          <w:rFonts w:ascii="Book Antiqua" w:eastAsia="Book Antiqua" w:hAnsi="Book Antiqua" w:cs="Book Antiqua"/>
          <w:color w:val="000000"/>
        </w:rPr>
        <w:t>E</w:t>
      </w:r>
      <w:r w:rsidR="0090040D" w:rsidRPr="00654F9A">
        <w:rPr>
          <w:rFonts w:ascii="Book Antiqua" w:eastAsia="Book Antiqua" w:hAnsi="Book Antiqua" w:cs="Book Antiqua"/>
          <w:color w:val="000000"/>
        </w:rPr>
        <w:t xml:space="preserve">pigastric pain; </w:t>
      </w:r>
      <w:r w:rsidR="003B5510" w:rsidRPr="00654F9A">
        <w:rPr>
          <w:rFonts w:ascii="Book Antiqua" w:eastAsia="Book Antiqua" w:hAnsi="Book Antiqua" w:cs="Book Antiqua"/>
          <w:color w:val="000000"/>
        </w:rPr>
        <w:t>o</w:t>
      </w:r>
      <w:r w:rsidR="0090040D" w:rsidRPr="00654F9A">
        <w:rPr>
          <w:rFonts w:ascii="Book Antiqua" w:eastAsia="Book Antiqua" w:hAnsi="Book Antiqua" w:cs="Book Antiqua"/>
          <w:color w:val="000000"/>
        </w:rPr>
        <w:t>r (</w:t>
      </w:r>
      <w:r w:rsidR="0090040D" w:rsidRPr="00654F9A">
        <w:rPr>
          <w:rFonts w:ascii="Book Antiqua" w:hAnsi="Book Antiqua" w:cs="Book Antiqua"/>
          <w:color w:val="000000"/>
          <w:lang w:eastAsia="zh-CN"/>
        </w:rPr>
        <w:t>4</w:t>
      </w:r>
      <w:r w:rsidRPr="00654F9A">
        <w:rPr>
          <w:rFonts w:ascii="Book Antiqua" w:eastAsia="Book Antiqua" w:hAnsi="Book Antiqua" w:cs="Book Antiqua"/>
          <w:color w:val="000000"/>
        </w:rPr>
        <w:t xml:space="preserve">) </w:t>
      </w:r>
      <w:r w:rsidR="00706678">
        <w:rPr>
          <w:rFonts w:ascii="Book Antiqua" w:eastAsia="Book Antiqua" w:hAnsi="Book Antiqua" w:cs="Book Antiqua"/>
          <w:color w:val="000000"/>
        </w:rPr>
        <w:t>E</w:t>
      </w:r>
      <w:r w:rsidRPr="00654F9A">
        <w:rPr>
          <w:rFonts w:ascii="Book Antiqua" w:eastAsia="Book Antiqua" w:hAnsi="Book Antiqua" w:cs="Book Antiqua"/>
          <w:color w:val="000000"/>
        </w:rPr>
        <w:t>pigastric burning. These symptoms should persisted for &gt;</w:t>
      </w:r>
      <w:r w:rsidR="0090040D"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3 mo with the onset of symptom ≥</w:t>
      </w:r>
      <w:r w:rsidR="0090040D"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6 mo previou</w:t>
      </w:r>
      <w:r w:rsidR="0090040D" w:rsidRPr="00654F9A">
        <w:rPr>
          <w:rFonts w:ascii="Book Antiqua" w:eastAsia="Book Antiqua" w:hAnsi="Book Antiqua" w:cs="Book Antiqua"/>
          <w:color w:val="000000"/>
        </w:rPr>
        <w:t>sly. Exclusion criteria were: (</w:t>
      </w:r>
      <w:r w:rsidR="0090040D" w:rsidRPr="00654F9A">
        <w:rPr>
          <w:rFonts w:ascii="Book Antiqua" w:hAnsi="Book Antiqua" w:cs="Book Antiqua"/>
          <w:color w:val="000000"/>
          <w:lang w:eastAsia="zh-CN"/>
        </w:rPr>
        <w:t>1</w:t>
      </w:r>
      <w:r w:rsidRPr="00654F9A">
        <w:rPr>
          <w:rFonts w:ascii="Book Antiqua" w:eastAsia="Book Antiqua" w:hAnsi="Book Antiqua" w:cs="Book Antiqua"/>
          <w:color w:val="000000"/>
        </w:rPr>
        <w:t xml:space="preserve">) </w:t>
      </w:r>
      <w:r w:rsidR="00706678">
        <w:rPr>
          <w:rFonts w:ascii="Book Antiqua" w:eastAsia="Book Antiqua" w:hAnsi="Book Antiqua" w:cs="Book Antiqua"/>
          <w:color w:val="000000"/>
        </w:rPr>
        <w:t>P</w:t>
      </w:r>
      <w:r w:rsidRPr="00654F9A">
        <w:rPr>
          <w:rFonts w:ascii="Book Antiqua" w:eastAsia="Book Antiqua" w:hAnsi="Book Antiqua" w:cs="Book Antiqua"/>
          <w:color w:val="000000"/>
        </w:rPr>
        <w:t xml:space="preserve">redominant symptoms of gastroesophageal reflux disease, </w:t>
      </w:r>
      <w:r w:rsidR="0090040D" w:rsidRPr="00654F9A">
        <w:rPr>
          <w:rFonts w:ascii="Book Antiqua" w:eastAsia="Book Antiqua" w:hAnsi="Book Antiqua" w:cs="Book Antiqua"/>
          <w:color w:val="000000"/>
        </w:rPr>
        <w:t>such as reflux and heartburn; (</w:t>
      </w:r>
      <w:r w:rsidR="0090040D" w:rsidRPr="00654F9A">
        <w:rPr>
          <w:rFonts w:ascii="Book Antiqua" w:hAnsi="Book Antiqua" w:cs="Book Antiqua"/>
          <w:color w:val="000000"/>
          <w:lang w:eastAsia="zh-CN"/>
        </w:rPr>
        <w:t>2</w:t>
      </w:r>
      <w:r w:rsidRPr="00654F9A">
        <w:rPr>
          <w:rFonts w:ascii="Book Antiqua" w:eastAsia="Book Antiqua" w:hAnsi="Book Antiqua" w:cs="Book Antiqua"/>
          <w:color w:val="000000"/>
        </w:rPr>
        <w:t xml:space="preserve">) </w:t>
      </w:r>
      <w:r w:rsidR="00706678">
        <w:rPr>
          <w:rFonts w:ascii="Book Antiqua" w:eastAsia="Book Antiqua" w:hAnsi="Book Antiqua" w:cs="Book Antiqua"/>
          <w:color w:val="000000"/>
        </w:rPr>
        <w:t>P</w:t>
      </w:r>
      <w:r w:rsidRPr="00654F9A">
        <w:rPr>
          <w:rFonts w:ascii="Book Antiqua" w:eastAsia="Book Antiqua" w:hAnsi="Book Antiqua" w:cs="Book Antiqua"/>
          <w:color w:val="000000"/>
        </w:rPr>
        <w:t>resence of one or more warning features, which include</w:t>
      </w:r>
      <w:r w:rsidR="00A939C4">
        <w:rPr>
          <w:rFonts w:ascii="Book Antiqua" w:eastAsia="Book Antiqua" w:hAnsi="Book Antiqua" w:cs="Book Antiqua"/>
          <w:color w:val="000000"/>
        </w:rPr>
        <w:t>d</w:t>
      </w:r>
      <w:r w:rsidRPr="00654F9A">
        <w:rPr>
          <w:rFonts w:ascii="Book Antiqua" w:eastAsia="Book Antiqua" w:hAnsi="Book Antiqua" w:cs="Book Antiqua"/>
          <w:color w:val="000000"/>
        </w:rPr>
        <w:t xml:space="preserve"> a family history of upper </w:t>
      </w:r>
      <w:r w:rsidR="00EB1528" w:rsidRPr="00654F9A">
        <w:rPr>
          <w:rFonts w:ascii="Book Antiqua" w:hAnsi="Book Antiqua" w:cs="Book Antiqua"/>
          <w:color w:val="000000"/>
          <w:lang w:eastAsia="zh-CN"/>
        </w:rPr>
        <w:t>GI</w:t>
      </w:r>
      <w:r w:rsidRPr="00654F9A">
        <w:rPr>
          <w:rFonts w:ascii="Book Antiqua" w:eastAsia="Book Antiqua" w:hAnsi="Book Antiqua" w:cs="Book Antiqua"/>
          <w:color w:val="000000"/>
        </w:rPr>
        <w:t xml:space="preserve"> malignancy, unintended weight loss, signs of bleeding or iron deficiency anemia, progressive dysphagia, persistent vomiting, palpable mass or</w:t>
      </w:r>
      <w:r w:rsidR="0090040D" w:rsidRPr="00654F9A">
        <w:rPr>
          <w:rFonts w:ascii="Book Antiqua" w:eastAsia="Book Antiqua" w:hAnsi="Book Antiqua" w:cs="Book Antiqua"/>
          <w:color w:val="000000"/>
        </w:rPr>
        <w:t xml:space="preserve"> lymphadenopathy or jaundice; (</w:t>
      </w:r>
      <w:r w:rsidR="0090040D" w:rsidRPr="00654F9A">
        <w:rPr>
          <w:rFonts w:ascii="Book Antiqua" w:hAnsi="Book Antiqua" w:cs="Book Antiqua"/>
          <w:color w:val="000000"/>
          <w:lang w:eastAsia="zh-CN"/>
        </w:rPr>
        <w:t>3</w:t>
      </w:r>
      <w:r w:rsidRPr="00654F9A">
        <w:rPr>
          <w:rFonts w:ascii="Book Antiqua" w:eastAsia="Book Antiqua" w:hAnsi="Book Antiqua" w:cs="Book Antiqua"/>
          <w:color w:val="000000"/>
        </w:rPr>
        <w:t xml:space="preserve">) </w:t>
      </w:r>
      <w:r w:rsidR="00706678">
        <w:rPr>
          <w:rFonts w:ascii="Book Antiqua" w:eastAsia="Book Antiqua" w:hAnsi="Book Antiqua" w:cs="Book Antiqua"/>
          <w:color w:val="000000"/>
        </w:rPr>
        <w:t>P</w:t>
      </w:r>
      <w:r w:rsidRPr="00654F9A">
        <w:rPr>
          <w:rFonts w:ascii="Book Antiqua" w:eastAsia="Book Antiqua" w:hAnsi="Book Antiqua" w:cs="Book Antiqua"/>
          <w:color w:val="000000"/>
        </w:rPr>
        <w:t xml:space="preserve">revious history of </w:t>
      </w:r>
      <w:r w:rsidR="00EB1528" w:rsidRPr="00654F9A">
        <w:rPr>
          <w:rFonts w:ascii="Book Antiqua" w:hAnsi="Book Antiqua" w:cs="Book Antiqua"/>
          <w:color w:val="000000"/>
          <w:lang w:eastAsia="zh-CN"/>
        </w:rPr>
        <w:t>GI</w:t>
      </w:r>
      <w:r w:rsidRPr="00654F9A">
        <w:rPr>
          <w:rFonts w:ascii="Book Antiqua" w:eastAsia="Book Antiqua" w:hAnsi="Book Antiqua" w:cs="Book Antiqua"/>
          <w:color w:val="000000"/>
        </w:rPr>
        <w:t xml:space="preserve"> surgery, malignancy, liver failure, gallbladder </w:t>
      </w:r>
      <w:r w:rsidR="0090040D" w:rsidRPr="00654F9A">
        <w:rPr>
          <w:rFonts w:ascii="Book Antiqua" w:eastAsia="Book Antiqua" w:hAnsi="Book Antiqua" w:cs="Book Antiqua"/>
          <w:color w:val="000000"/>
        </w:rPr>
        <w:t>stones and cholecystitis; or (</w:t>
      </w:r>
      <w:r w:rsidR="0090040D" w:rsidRPr="00654F9A">
        <w:rPr>
          <w:rFonts w:ascii="Book Antiqua" w:hAnsi="Book Antiqua" w:cs="Book Antiqua"/>
          <w:color w:val="000000"/>
          <w:lang w:eastAsia="zh-CN"/>
        </w:rPr>
        <w:t>4</w:t>
      </w:r>
      <w:r w:rsidRPr="00654F9A">
        <w:rPr>
          <w:rFonts w:ascii="Book Antiqua" w:eastAsia="Book Antiqua" w:hAnsi="Book Antiqua" w:cs="Book Antiqua"/>
          <w:color w:val="000000"/>
        </w:rPr>
        <w:t xml:space="preserve">) </w:t>
      </w:r>
      <w:r w:rsidR="00706678">
        <w:rPr>
          <w:rFonts w:ascii="Book Antiqua" w:eastAsia="Book Antiqua" w:hAnsi="Book Antiqua" w:cs="Book Antiqua"/>
          <w:color w:val="000000"/>
        </w:rPr>
        <w:t>U</w:t>
      </w:r>
      <w:r w:rsidRPr="00654F9A">
        <w:rPr>
          <w:rFonts w:ascii="Book Antiqua" w:eastAsia="Book Antiqua" w:hAnsi="Book Antiqua" w:cs="Book Antiqua"/>
          <w:color w:val="000000"/>
        </w:rPr>
        <w:t xml:space="preserve">se of </w:t>
      </w:r>
      <w:r w:rsidR="0090040D" w:rsidRPr="00654F9A">
        <w:rPr>
          <w:rFonts w:ascii="Book Antiqua" w:eastAsia="Book Antiqua" w:hAnsi="Book Antiqua" w:cs="Book Antiqua"/>
          <w:color w:val="000000"/>
        </w:rPr>
        <w:t>nonsteroidal anti-inflammatory drugs</w:t>
      </w:r>
      <w:r w:rsidRPr="00654F9A">
        <w:rPr>
          <w:rFonts w:ascii="Book Antiqua" w:eastAsia="Book Antiqua" w:hAnsi="Book Antiqua" w:cs="Book Antiqua"/>
          <w:color w:val="000000"/>
        </w:rPr>
        <w:t xml:space="preserve"> and </w:t>
      </w:r>
      <w:r w:rsidR="00C50CDE" w:rsidRPr="00654F9A">
        <w:rPr>
          <w:rFonts w:ascii="Book Antiqua" w:eastAsia="Book Antiqua" w:hAnsi="Book Antiqua" w:cs="Book Antiqua"/>
          <w:color w:val="000000"/>
        </w:rPr>
        <w:t xml:space="preserve">proton pump inhibitors </w:t>
      </w:r>
      <w:r w:rsidRPr="00654F9A">
        <w:rPr>
          <w:rFonts w:ascii="Book Antiqua" w:eastAsia="Book Antiqua" w:hAnsi="Book Antiqua" w:cs="Book Antiqua"/>
          <w:color w:val="000000"/>
        </w:rPr>
        <w:t xml:space="preserve">or H2 blockers before the study. </w:t>
      </w:r>
    </w:p>
    <w:p w14:paraId="27608221" w14:textId="26813FB7" w:rsidR="00A77B3E" w:rsidRPr="00654F9A" w:rsidRDefault="00717DC8" w:rsidP="00D41332">
      <w:pPr>
        <w:spacing w:line="360" w:lineRule="auto"/>
        <w:ind w:firstLine="240"/>
        <w:jc w:val="both"/>
      </w:pPr>
      <w:r w:rsidRPr="00654F9A">
        <w:rPr>
          <w:rFonts w:ascii="Book Antiqua" w:eastAsia="Book Antiqua" w:hAnsi="Book Antiqua" w:cs="Book Antiqua"/>
          <w:color w:val="000000"/>
        </w:rPr>
        <w:t>Before undergoing endoscopy, all the study participants were systematically evaluated using a questionnaire similar to that of the Leeds Dyspepsia Questionnaire (LDQ)</w:t>
      </w:r>
      <w:r w:rsidRPr="00654F9A">
        <w:rPr>
          <w:rFonts w:ascii="Book Antiqua" w:eastAsia="Book Antiqua" w:hAnsi="Book Antiqua" w:cs="Book Antiqua"/>
          <w:color w:val="000000"/>
          <w:szCs w:val="30"/>
          <w:vertAlign w:val="superscript"/>
        </w:rPr>
        <w:t>[9]</w:t>
      </w:r>
      <w:r w:rsidRPr="00654F9A">
        <w:rPr>
          <w:rFonts w:ascii="Book Antiqua" w:eastAsia="Book Antiqua" w:hAnsi="Book Antiqua" w:cs="Book Antiqua"/>
          <w:color w:val="000000"/>
        </w:rPr>
        <w:t>.</w:t>
      </w:r>
      <w:r w:rsidRPr="00654F9A">
        <w:rPr>
          <w:rFonts w:ascii="Book Antiqua" w:eastAsia="Book Antiqua" w:hAnsi="Book Antiqua" w:cs="Book Antiqua"/>
          <w:color w:val="000000"/>
          <w:szCs w:val="21"/>
        </w:rPr>
        <w:t xml:space="preserve"> </w:t>
      </w:r>
      <w:r w:rsidRPr="00654F9A">
        <w:rPr>
          <w:rFonts w:ascii="Book Antiqua" w:eastAsia="Book Antiqua" w:hAnsi="Book Antiqua" w:cs="Book Antiqua"/>
          <w:color w:val="000000"/>
        </w:rPr>
        <w:t xml:space="preserve">We translated </w:t>
      </w:r>
      <w:r w:rsidR="00A939C4">
        <w:rPr>
          <w:rFonts w:ascii="Book Antiqua" w:eastAsia="Book Antiqua" w:hAnsi="Book Antiqua" w:cs="Book Antiqua"/>
          <w:color w:val="000000"/>
        </w:rPr>
        <w:t xml:space="preserve">the </w:t>
      </w:r>
      <w:r w:rsidR="00A939C4" w:rsidRPr="00654F9A">
        <w:rPr>
          <w:rFonts w:ascii="Book Antiqua" w:eastAsia="Book Antiqua" w:hAnsi="Book Antiqua" w:cs="Book Antiqua"/>
          <w:color w:val="000000"/>
        </w:rPr>
        <w:t xml:space="preserve">Leeds Dyspepsia Questionnaire </w:t>
      </w:r>
      <w:r w:rsidRPr="00654F9A">
        <w:rPr>
          <w:rFonts w:ascii="Book Antiqua" w:eastAsia="Book Antiqua" w:hAnsi="Book Antiqua" w:cs="Book Antiqua"/>
          <w:color w:val="000000"/>
        </w:rPr>
        <w:t xml:space="preserve">into Mandarin and added two indicators: </w:t>
      </w:r>
      <w:r w:rsidR="00706678">
        <w:rPr>
          <w:rFonts w:ascii="Book Antiqua" w:eastAsia="Book Antiqua" w:hAnsi="Book Antiqua" w:cs="Book Antiqua"/>
          <w:color w:val="000000"/>
        </w:rPr>
        <w:t>E</w:t>
      </w:r>
      <w:r w:rsidRPr="00654F9A">
        <w:rPr>
          <w:rFonts w:ascii="Book Antiqua" w:eastAsia="Book Antiqua" w:hAnsi="Book Antiqua" w:cs="Book Antiqua"/>
          <w:color w:val="000000"/>
        </w:rPr>
        <w:t xml:space="preserve">pigastric burning and postprandial fullness. This version also included demographics (sex and age), general health [weight and height to calculate body mass index (BMI)], other diseases and family history. </w:t>
      </w:r>
    </w:p>
    <w:p w14:paraId="3C6CEE13" w14:textId="055E5735" w:rsidR="00A77B3E" w:rsidRPr="00654F9A" w:rsidRDefault="00717DC8">
      <w:pPr>
        <w:spacing w:line="360" w:lineRule="auto"/>
        <w:ind w:firstLine="240"/>
        <w:jc w:val="both"/>
      </w:pPr>
      <w:r w:rsidRPr="00654F9A">
        <w:rPr>
          <w:rFonts w:ascii="Book Antiqua" w:eastAsia="Book Antiqua" w:hAnsi="Book Antiqua" w:cs="Book Antiqua"/>
          <w:color w:val="000000"/>
        </w:rPr>
        <w:t>Based on the Rome IV Committee definition, we further divided the patients into three subgroups: EPS, PDS and EPS-PDS.</w:t>
      </w:r>
    </w:p>
    <w:p w14:paraId="39F630AF" w14:textId="77777777" w:rsidR="00C15BFA" w:rsidRPr="00654F9A" w:rsidRDefault="00C15BFA">
      <w:pPr>
        <w:spacing w:line="360" w:lineRule="auto"/>
        <w:jc w:val="both"/>
        <w:rPr>
          <w:rFonts w:ascii="Book Antiqua" w:hAnsi="Book Antiqua" w:cs="Book Antiqua"/>
          <w:b/>
          <w:bCs/>
          <w:i/>
          <w:iCs/>
          <w:color w:val="000000"/>
          <w:lang w:eastAsia="zh-CN"/>
        </w:rPr>
      </w:pPr>
    </w:p>
    <w:p w14:paraId="34B684FD" w14:textId="77777777" w:rsidR="00A77B3E" w:rsidRPr="00654F9A" w:rsidRDefault="00717DC8">
      <w:pPr>
        <w:spacing w:line="360" w:lineRule="auto"/>
        <w:jc w:val="both"/>
      </w:pPr>
      <w:r w:rsidRPr="00654F9A">
        <w:rPr>
          <w:rFonts w:ascii="Book Antiqua" w:eastAsia="Book Antiqua" w:hAnsi="Book Antiqua" w:cs="Book Antiqua"/>
          <w:b/>
          <w:bCs/>
          <w:i/>
          <w:iCs/>
          <w:color w:val="000000"/>
        </w:rPr>
        <w:t>Endoscopic and histopathologic data collection</w:t>
      </w:r>
    </w:p>
    <w:p w14:paraId="5918A876" w14:textId="08C126E6" w:rsidR="00A77B3E" w:rsidRPr="00654F9A" w:rsidRDefault="00717DC8">
      <w:pPr>
        <w:spacing w:line="360" w:lineRule="auto"/>
        <w:jc w:val="both"/>
      </w:pPr>
      <w:r w:rsidRPr="00654F9A">
        <w:rPr>
          <w:rFonts w:ascii="Book Antiqua" w:eastAsia="Book Antiqua" w:hAnsi="Book Antiqua" w:cs="Book Antiqua"/>
          <w:color w:val="000000"/>
        </w:rPr>
        <w:t xml:space="preserve">Endoscopy was carried out as an outpatient procedure with a standard endoscope (Olympus) by an experienced endoscopist. As shown in </w:t>
      </w:r>
      <w:r w:rsidRPr="00654F9A">
        <w:rPr>
          <w:rFonts w:ascii="Book Antiqua" w:eastAsia="Book Antiqua" w:hAnsi="Book Antiqua" w:cs="Book Antiqua"/>
          <w:bCs/>
          <w:color w:val="000000"/>
        </w:rPr>
        <w:t>Figure 1</w:t>
      </w:r>
      <w:r w:rsidRPr="00654F9A">
        <w:rPr>
          <w:rFonts w:ascii="Book Antiqua" w:eastAsia="Book Antiqua" w:hAnsi="Book Antiqua" w:cs="Book Antiqua"/>
          <w:color w:val="000000"/>
        </w:rPr>
        <w:t>, the endoscopic findings were classified as CSFs or general findings. The CSFs include</w:t>
      </w:r>
      <w:r w:rsidR="00C15BFA" w:rsidRPr="00654F9A">
        <w:rPr>
          <w:rFonts w:ascii="Book Antiqua" w:eastAsia="Book Antiqua" w:hAnsi="Book Antiqua" w:cs="Book Antiqua"/>
          <w:color w:val="000000"/>
        </w:rPr>
        <w:t>d reflux esophagitis, Barrett</w:t>
      </w:r>
      <w:r w:rsidR="00481DE7">
        <w:rPr>
          <w:rFonts w:ascii="Book Antiqua" w:eastAsia="Book Antiqua" w:hAnsi="Book Antiqua" w:cs="Book Antiqua"/>
          <w:color w:val="000000"/>
        </w:rPr>
        <w:t>’</w:t>
      </w:r>
      <w:r w:rsidR="00C15BFA" w:rsidRPr="00654F9A">
        <w:rPr>
          <w:rFonts w:ascii="Book Antiqua" w:eastAsia="Book Antiqua" w:hAnsi="Book Antiqua" w:cs="Book Antiqua"/>
          <w:color w:val="000000"/>
        </w:rPr>
        <w:t>s</w:t>
      </w:r>
      <w:r w:rsidR="00C15BFA"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 xml:space="preserve">esophagus, peptic ulcer, malignancy, </w:t>
      </w:r>
      <w:r w:rsidRPr="00654F9A">
        <w:rPr>
          <w:rFonts w:ascii="Book Antiqua" w:eastAsia="Book Antiqua" w:hAnsi="Book Antiqua" w:cs="Book Antiqua"/>
          <w:i/>
          <w:iCs/>
          <w:color w:val="000000"/>
        </w:rPr>
        <w:t>etc.</w:t>
      </w:r>
      <w:r w:rsidRPr="00654F9A">
        <w:rPr>
          <w:rFonts w:ascii="Book Antiqua" w:eastAsia="Book Antiqua" w:hAnsi="Book Antiqua" w:cs="Book Antiqua"/>
          <w:color w:val="000000"/>
        </w:rPr>
        <w:t xml:space="preserve"> In addition, reflux esophagitis was graded according to the Los Angeles classification system</w:t>
      </w:r>
      <w:r w:rsidRPr="00654F9A">
        <w:rPr>
          <w:rFonts w:ascii="Book Antiqua" w:eastAsia="Book Antiqua" w:hAnsi="Book Antiqua" w:cs="Book Antiqua"/>
          <w:color w:val="000000"/>
          <w:szCs w:val="30"/>
          <w:vertAlign w:val="superscript"/>
        </w:rPr>
        <w:t>[10]</w:t>
      </w:r>
      <w:r w:rsidRPr="00654F9A">
        <w:rPr>
          <w:rFonts w:ascii="Book Antiqua" w:eastAsia="Book Antiqua" w:hAnsi="Book Antiqua" w:cs="Book Antiqua"/>
          <w:color w:val="000000"/>
        </w:rPr>
        <w:t>. The general findings included chronic atrophic gastritis or chronic superficial gastritis.</w:t>
      </w:r>
    </w:p>
    <w:p w14:paraId="2203ACCE" w14:textId="74FE0611" w:rsidR="00A77B3E" w:rsidRPr="00654F9A" w:rsidRDefault="00717DC8">
      <w:pPr>
        <w:spacing w:line="360" w:lineRule="auto"/>
        <w:ind w:firstLine="240"/>
        <w:jc w:val="both"/>
      </w:pPr>
      <w:r w:rsidRPr="00654F9A">
        <w:rPr>
          <w:rFonts w:ascii="Book Antiqua" w:eastAsia="Book Antiqua" w:hAnsi="Book Antiqua" w:cs="Book Antiqua"/>
          <w:color w:val="000000"/>
        </w:rPr>
        <w:t xml:space="preserve">We took three biopsies from the antrum (the lesser curve), the corpus (the lesser curve) and the incisura angularis. An additional biopsy was performed from the area if a suspicious lesion was found. Hematoxylin and eosin staining to determine histological changes and Warthin-Starry staining to examine </w:t>
      </w:r>
      <w:r w:rsidRPr="00654F9A">
        <w:rPr>
          <w:rFonts w:ascii="Book Antiqua" w:eastAsia="Book Antiqua" w:hAnsi="Book Antiqua" w:cs="Book Antiqua"/>
          <w:i/>
          <w:iCs/>
          <w:color w:val="000000"/>
        </w:rPr>
        <w:t>H. pylori</w:t>
      </w:r>
      <w:r w:rsidRPr="00654F9A">
        <w:rPr>
          <w:rFonts w:ascii="Book Antiqua" w:eastAsia="Book Antiqua" w:hAnsi="Book Antiqua" w:cs="Book Antiqua"/>
          <w:color w:val="000000"/>
        </w:rPr>
        <w:t xml:space="preserve"> infection were performed simultaneously during mucosal biopsy. The diagnoses of upper GI cancer were confirmed histopathologically.</w:t>
      </w:r>
    </w:p>
    <w:p w14:paraId="020930EF" w14:textId="77777777" w:rsidR="00F42ECE" w:rsidRPr="00654F9A" w:rsidRDefault="00F42ECE">
      <w:pPr>
        <w:spacing w:line="360" w:lineRule="auto"/>
        <w:jc w:val="both"/>
        <w:rPr>
          <w:rFonts w:ascii="Book Antiqua" w:hAnsi="Book Antiqua" w:cs="Book Antiqua"/>
          <w:b/>
          <w:bCs/>
          <w:i/>
          <w:iCs/>
          <w:color w:val="000000"/>
          <w:lang w:eastAsia="zh-CN"/>
        </w:rPr>
      </w:pPr>
    </w:p>
    <w:p w14:paraId="35A6E8FD" w14:textId="77777777" w:rsidR="00A77B3E" w:rsidRPr="00654F9A" w:rsidRDefault="00717DC8">
      <w:pPr>
        <w:spacing w:line="360" w:lineRule="auto"/>
        <w:jc w:val="both"/>
      </w:pPr>
      <w:r w:rsidRPr="00654F9A">
        <w:rPr>
          <w:rFonts w:ascii="Book Antiqua" w:eastAsia="Book Antiqua" w:hAnsi="Book Antiqua" w:cs="Book Antiqua"/>
          <w:b/>
          <w:bCs/>
          <w:i/>
          <w:iCs/>
          <w:color w:val="000000"/>
        </w:rPr>
        <w:t xml:space="preserve">Statistical </w:t>
      </w:r>
      <w:r w:rsidR="00F42ECE" w:rsidRPr="00654F9A">
        <w:rPr>
          <w:rFonts w:ascii="Book Antiqua" w:eastAsia="Book Antiqua" w:hAnsi="Book Antiqua" w:cs="Book Antiqua"/>
          <w:b/>
          <w:bCs/>
          <w:i/>
          <w:iCs/>
          <w:color w:val="000000"/>
        </w:rPr>
        <w:t>analysis</w:t>
      </w:r>
    </w:p>
    <w:p w14:paraId="5F44F32C" w14:textId="239C4699" w:rsidR="00A77B3E" w:rsidRPr="00654F9A" w:rsidRDefault="00717DC8">
      <w:pPr>
        <w:spacing w:line="360" w:lineRule="auto"/>
        <w:jc w:val="both"/>
      </w:pPr>
      <w:r w:rsidRPr="00654F9A">
        <w:rPr>
          <w:rFonts w:ascii="Book Antiqua" w:eastAsia="Book Antiqua" w:hAnsi="Book Antiqua" w:cs="Book Antiqua"/>
          <w:color w:val="000000"/>
        </w:rPr>
        <w:t>All statistical analyses were performed using SPSS version 25.0 and were statistically reviewed by a biomedical statistician. Descriptive statistics were used to characterize patient demographics. Continuous variables were presented as the mean and standard deviation and the categorical data as number and percentage. The continuous variables were compared using the one-way ANOVA</w:t>
      </w:r>
      <w:r w:rsidR="00481DE7">
        <w:rPr>
          <w:rFonts w:ascii="Book Antiqua" w:eastAsia="Book Antiqua" w:hAnsi="Book Antiqua" w:cs="Book Antiqua"/>
          <w:color w:val="000000"/>
        </w:rPr>
        <w:t>,</w:t>
      </w:r>
      <w:r w:rsidRPr="00654F9A">
        <w:rPr>
          <w:rFonts w:ascii="Book Antiqua" w:eastAsia="Book Antiqua" w:hAnsi="Book Antiqua" w:cs="Book Antiqua"/>
          <w:color w:val="000000"/>
        </w:rPr>
        <w:t xml:space="preserve"> and the categorical variables were analyzed using the Chi-squared test. The histogram was implemented using the R package (v3.1).</w:t>
      </w:r>
    </w:p>
    <w:p w14:paraId="7331D7D7" w14:textId="3931386F" w:rsidR="00A77B3E" w:rsidRPr="00654F9A" w:rsidRDefault="00717DC8">
      <w:pPr>
        <w:spacing w:line="360" w:lineRule="auto"/>
        <w:ind w:firstLine="240"/>
        <w:jc w:val="both"/>
      </w:pPr>
      <w:r w:rsidRPr="00654F9A">
        <w:rPr>
          <w:rFonts w:ascii="Book Antiqua" w:eastAsia="Book Antiqua" w:hAnsi="Book Antiqua" w:cs="Book Antiqua"/>
          <w:color w:val="000000"/>
        </w:rPr>
        <w:t>Multivariate logistic regression analysis was used to examine the association between different risk factors with the presence of CSFs. The results were expressed as odds ratios along with 95%</w:t>
      </w:r>
      <w:r w:rsidR="003B5510" w:rsidRPr="00654F9A">
        <w:rPr>
          <w:rFonts w:ascii="Book Antiqua" w:eastAsia="Book Antiqua" w:hAnsi="Book Antiqua" w:cs="Book Antiqua"/>
          <w:color w:val="000000"/>
        </w:rPr>
        <w:t xml:space="preserve"> confidence interval</w:t>
      </w:r>
      <w:r w:rsidRPr="00654F9A">
        <w:rPr>
          <w:rFonts w:ascii="Book Antiqua" w:eastAsia="Book Antiqua" w:hAnsi="Book Antiqua" w:cs="Book Antiqua"/>
          <w:color w:val="000000"/>
        </w:rPr>
        <w:t xml:space="preserve">. </w:t>
      </w:r>
      <w:r w:rsidRPr="00654F9A">
        <w:rPr>
          <w:rFonts w:ascii="Book Antiqua" w:eastAsia="Book Antiqua" w:hAnsi="Book Antiqua" w:cs="Book Antiqua"/>
          <w:i/>
          <w:iCs/>
          <w:color w:val="000000"/>
        </w:rPr>
        <w:t>P</w:t>
      </w:r>
      <w:r w:rsidRPr="00654F9A">
        <w:rPr>
          <w:rFonts w:ascii="Book Antiqua" w:eastAsia="Book Antiqua" w:hAnsi="Book Antiqua" w:cs="Book Antiqua"/>
          <w:color w:val="000000"/>
        </w:rPr>
        <w:t xml:space="preserve"> &lt; 0.05 was considered as statistically significant.</w:t>
      </w:r>
    </w:p>
    <w:bookmarkEnd w:id="55"/>
    <w:p w14:paraId="5A3252C8" w14:textId="77777777" w:rsidR="00A77B3E" w:rsidRPr="00654F9A" w:rsidRDefault="00A77B3E">
      <w:pPr>
        <w:spacing w:line="360" w:lineRule="auto"/>
        <w:ind w:firstLine="240"/>
        <w:jc w:val="both"/>
      </w:pPr>
    </w:p>
    <w:p w14:paraId="579EB046" w14:textId="77777777" w:rsidR="00A77B3E" w:rsidRPr="00654F9A" w:rsidRDefault="00717DC8">
      <w:pPr>
        <w:spacing w:line="360" w:lineRule="auto"/>
        <w:jc w:val="both"/>
      </w:pPr>
      <w:r w:rsidRPr="00654F9A">
        <w:rPr>
          <w:rFonts w:ascii="Book Antiqua" w:eastAsia="Book Antiqua" w:hAnsi="Book Antiqua" w:cs="Book Antiqua"/>
          <w:b/>
          <w:caps/>
          <w:color w:val="000000"/>
          <w:u w:val="single"/>
        </w:rPr>
        <w:t>RESULTS</w:t>
      </w:r>
    </w:p>
    <w:p w14:paraId="7DDD63AA" w14:textId="77777777" w:rsidR="00A77B3E" w:rsidRPr="00654F9A" w:rsidRDefault="00717DC8">
      <w:pPr>
        <w:spacing w:line="360" w:lineRule="auto"/>
        <w:jc w:val="both"/>
      </w:pPr>
      <w:bookmarkStart w:id="56" w:name="OLE_LINK37"/>
      <w:bookmarkStart w:id="57" w:name="OLE_LINK38"/>
      <w:r w:rsidRPr="00654F9A">
        <w:rPr>
          <w:rFonts w:ascii="Book Antiqua" w:eastAsia="Book Antiqua" w:hAnsi="Book Antiqua" w:cs="Book Antiqua"/>
          <w:b/>
          <w:bCs/>
          <w:i/>
          <w:iCs/>
          <w:color w:val="000000"/>
        </w:rPr>
        <w:t>Patient demographics</w:t>
      </w:r>
    </w:p>
    <w:p w14:paraId="314562BA" w14:textId="23469BAF" w:rsidR="00A77B3E" w:rsidRPr="00654F9A" w:rsidRDefault="00717DC8">
      <w:pPr>
        <w:spacing w:line="360" w:lineRule="auto"/>
        <w:jc w:val="both"/>
      </w:pPr>
      <w:r w:rsidRPr="00654F9A">
        <w:rPr>
          <w:rFonts w:ascii="Book Antiqua" w:eastAsia="Book Antiqua" w:hAnsi="Book Antiqua" w:cs="Book Antiqua"/>
          <w:color w:val="000000"/>
        </w:rPr>
        <w:t>A total of 1016 cases were included, of which there were 376 (37.0%) males and 640 (63.0%) females (</w:t>
      </w:r>
      <w:r w:rsidRPr="00654F9A">
        <w:rPr>
          <w:rFonts w:ascii="Book Antiqua" w:eastAsia="Book Antiqua" w:hAnsi="Book Antiqua" w:cs="Book Antiqua"/>
          <w:bCs/>
          <w:color w:val="000000"/>
        </w:rPr>
        <w:t>Figure 2</w:t>
      </w:r>
      <w:r w:rsidRPr="00654F9A">
        <w:rPr>
          <w:rFonts w:ascii="Book Antiqua" w:eastAsia="Book Antiqua" w:hAnsi="Book Antiqua" w:cs="Book Antiqua"/>
          <w:color w:val="000000"/>
        </w:rPr>
        <w:t>). The mean age was 49.60 ± 15.36 years, and the mean BMI was 22.44 ± 3.66 kg/m</w:t>
      </w:r>
      <w:r w:rsidRPr="00654F9A">
        <w:rPr>
          <w:rFonts w:ascii="Book Antiqua" w:eastAsia="Book Antiqua" w:hAnsi="Book Antiqua" w:cs="Book Antiqua"/>
          <w:color w:val="000000"/>
          <w:szCs w:val="30"/>
          <w:vertAlign w:val="superscript"/>
        </w:rPr>
        <w:t>2</w:t>
      </w:r>
      <w:r w:rsidRPr="00654F9A">
        <w:rPr>
          <w:rFonts w:ascii="Book Antiqua" w:eastAsia="Book Antiqua" w:hAnsi="Book Antiqua" w:cs="Book Antiqua"/>
          <w:color w:val="000000"/>
        </w:rPr>
        <w:t>. The predominant symptoms were epigastric pain that was reported in 579 (57.0%) cases, epigastric burning in 353 (34.7%) cases, bloating in 672 (66.1%) cases, belching in 445 (43.8%) cases, early satiety in 221 (21.8%) cases and nausea in 230 (22.6%) cases (</w:t>
      </w:r>
      <w:r w:rsidRPr="00654F9A">
        <w:rPr>
          <w:rFonts w:ascii="Book Antiqua" w:eastAsia="Book Antiqua" w:hAnsi="Book Antiqua" w:cs="Book Antiqua"/>
          <w:bCs/>
          <w:color w:val="000000"/>
        </w:rPr>
        <w:t>Table 1</w:t>
      </w:r>
      <w:r w:rsidRPr="00654F9A">
        <w:rPr>
          <w:rFonts w:ascii="Book Antiqua" w:eastAsia="Book Antiqua" w:hAnsi="Book Antiqua" w:cs="Book Antiqua"/>
          <w:color w:val="000000"/>
        </w:rPr>
        <w:t xml:space="preserve">). </w:t>
      </w:r>
    </w:p>
    <w:p w14:paraId="4DE937AF" w14:textId="43DE8E79" w:rsidR="00A77B3E" w:rsidRPr="00654F9A" w:rsidRDefault="00717DC8">
      <w:pPr>
        <w:spacing w:line="360" w:lineRule="auto"/>
        <w:ind w:firstLine="240"/>
        <w:jc w:val="both"/>
        <w:rPr>
          <w:rFonts w:ascii="Book Antiqua" w:hAnsi="Book Antiqua" w:cs="Book Antiqua"/>
          <w:color w:val="000000"/>
          <w:lang w:eastAsia="zh-CN"/>
        </w:rPr>
      </w:pPr>
      <w:r w:rsidRPr="00654F9A">
        <w:rPr>
          <w:rFonts w:ascii="Book Antiqua" w:eastAsia="Book Antiqua" w:hAnsi="Book Antiqua" w:cs="Book Antiqua"/>
          <w:color w:val="000000"/>
        </w:rPr>
        <w:t>The number of patients that had EPS, PDS, EPS-PDS were 267 (26.3%), 398 (39.2%) and 351 (34.5%)</w:t>
      </w:r>
      <w:r w:rsidR="00481DE7">
        <w:rPr>
          <w:rFonts w:ascii="Book Antiqua" w:eastAsia="Book Antiqua" w:hAnsi="Book Antiqua" w:cs="Book Antiqua"/>
          <w:color w:val="000000"/>
        </w:rPr>
        <w:t>,</w:t>
      </w:r>
      <w:r w:rsidRPr="00654F9A">
        <w:rPr>
          <w:rFonts w:ascii="Book Antiqua" w:eastAsia="Book Antiqua" w:hAnsi="Book Antiqua" w:cs="Book Antiqua"/>
          <w:color w:val="000000"/>
        </w:rPr>
        <w:t xml:space="preserve"> respectively (</w:t>
      </w:r>
      <w:r w:rsidRPr="00654F9A">
        <w:rPr>
          <w:rFonts w:ascii="Book Antiqua" w:eastAsia="Book Antiqua" w:hAnsi="Book Antiqua" w:cs="Book Antiqua"/>
          <w:bCs/>
          <w:color w:val="000000"/>
        </w:rPr>
        <w:t>Table 2</w:t>
      </w:r>
      <w:r w:rsidRPr="00654F9A">
        <w:rPr>
          <w:rFonts w:ascii="Book Antiqua" w:eastAsia="Book Antiqua" w:hAnsi="Book Antiqua" w:cs="Book Antiqua"/>
          <w:color w:val="000000"/>
        </w:rPr>
        <w:t>).</w:t>
      </w:r>
    </w:p>
    <w:p w14:paraId="070A24AC" w14:textId="77777777" w:rsidR="00D6142C" w:rsidRPr="00654F9A" w:rsidRDefault="00D6142C">
      <w:pPr>
        <w:spacing w:line="360" w:lineRule="auto"/>
        <w:ind w:firstLine="240"/>
        <w:jc w:val="both"/>
        <w:rPr>
          <w:lang w:eastAsia="zh-CN"/>
        </w:rPr>
      </w:pPr>
    </w:p>
    <w:p w14:paraId="2B2D83C5" w14:textId="77777777" w:rsidR="00A77B3E" w:rsidRPr="00654F9A" w:rsidRDefault="00717DC8">
      <w:pPr>
        <w:spacing w:line="360" w:lineRule="auto"/>
        <w:jc w:val="both"/>
      </w:pPr>
      <w:r w:rsidRPr="00654F9A">
        <w:rPr>
          <w:rFonts w:ascii="Book Antiqua" w:eastAsia="Book Antiqua" w:hAnsi="Book Antiqua" w:cs="Book Antiqua"/>
          <w:b/>
          <w:bCs/>
          <w:i/>
          <w:iCs/>
          <w:color w:val="000000"/>
        </w:rPr>
        <w:t>Endoscopy findings</w:t>
      </w:r>
    </w:p>
    <w:p w14:paraId="0C24F9A1" w14:textId="650DC5ED" w:rsidR="00A77B3E" w:rsidRPr="00654F9A" w:rsidRDefault="00717DC8">
      <w:pPr>
        <w:spacing w:line="360" w:lineRule="auto"/>
        <w:jc w:val="both"/>
      </w:pPr>
      <w:r w:rsidRPr="00654F9A">
        <w:rPr>
          <w:rFonts w:ascii="Book Antiqua" w:eastAsia="Book Antiqua" w:hAnsi="Book Antiqua" w:cs="Book Antiqua"/>
          <w:color w:val="000000"/>
        </w:rPr>
        <w:t>The general findings were present in 712 (70.1%) cases</w:t>
      </w:r>
      <w:r w:rsidR="00481DE7">
        <w:rPr>
          <w:rFonts w:ascii="Book Antiqua" w:eastAsia="Book Antiqua" w:hAnsi="Book Antiqua" w:cs="Book Antiqua"/>
          <w:color w:val="000000"/>
        </w:rPr>
        <w:t>. T</w:t>
      </w:r>
      <w:r w:rsidRPr="00654F9A">
        <w:rPr>
          <w:rFonts w:ascii="Book Antiqua" w:eastAsia="Book Antiqua" w:hAnsi="Book Antiqua" w:cs="Book Antiqua"/>
          <w:color w:val="000000"/>
        </w:rPr>
        <w:t xml:space="preserve">here were 479 (47.1%) cases of </w:t>
      </w:r>
      <w:r w:rsidR="00481DE7" w:rsidRPr="00654F9A">
        <w:rPr>
          <w:rFonts w:ascii="Book Antiqua" w:eastAsia="Book Antiqua" w:hAnsi="Book Antiqua" w:cs="Book Antiqua"/>
          <w:color w:val="000000"/>
        </w:rPr>
        <w:t>chronic superficial gastritis</w:t>
      </w:r>
      <w:r w:rsidRPr="00654F9A">
        <w:rPr>
          <w:rFonts w:ascii="Book Antiqua" w:eastAsia="Book Antiqua" w:hAnsi="Book Antiqua" w:cs="Book Antiqua"/>
          <w:color w:val="000000"/>
        </w:rPr>
        <w:t xml:space="preserve"> and 233 (22.9%) cases of </w:t>
      </w:r>
      <w:r w:rsidR="00481DE7" w:rsidRPr="00654F9A">
        <w:rPr>
          <w:rFonts w:ascii="Book Antiqua" w:eastAsia="Book Antiqua" w:hAnsi="Book Antiqua" w:cs="Book Antiqua"/>
          <w:color w:val="000000"/>
        </w:rPr>
        <w:t>chronic atrophic gastritis</w:t>
      </w:r>
      <w:r w:rsidRPr="00654F9A">
        <w:rPr>
          <w:rFonts w:ascii="Book Antiqua" w:eastAsia="Book Antiqua" w:hAnsi="Book Antiqua" w:cs="Book Antiqua"/>
          <w:color w:val="000000"/>
        </w:rPr>
        <w:t>. The clinically significant endoscopic findings were observed in 304 (29.9%) patients that included esophageal lesions in 180 (17.7%) patients, peptic ulcer in 115 (11.3%) patients and malignancy in 9 (0.9%) patients. Between the 180 patients with esophageal lesions, 165 (16.2%) cases had reflux esophagitis [Los Angeles class A in 148 (14.6%) patients and Los Angeles classes B and C in 17 (1.7%) cases] and 5 (0.</w:t>
      </w:r>
      <w:r w:rsidR="008C3592">
        <w:rPr>
          <w:rFonts w:ascii="Book Antiqua" w:eastAsia="Book Antiqua" w:hAnsi="Book Antiqua" w:cs="Book Antiqua"/>
          <w:color w:val="000000"/>
        </w:rPr>
        <w:t>5</w:t>
      </w:r>
      <w:r w:rsidRPr="00654F9A">
        <w:rPr>
          <w:rFonts w:ascii="Book Antiqua" w:eastAsia="Book Antiqua" w:hAnsi="Book Antiqua" w:cs="Book Antiqua"/>
          <w:color w:val="000000"/>
        </w:rPr>
        <w:t xml:space="preserve">%) patients had </w:t>
      </w:r>
      <w:r w:rsidR="00481DE7" w:rsidRPr="00654F9A">
        <w:rPr>
          <w:rFonts w:ascii="Book Antiqua" w:hAnsi="Book Antiqua"/>
          <w:lang w:eastAsia="zh-CN"/>
        </w:rPr>
        <w:t>Barrett</w:t>
      </w:r>
      <w:r w:rsidR="00481DE7">
        <w:rPr>
          <w:rFonts w:ascii="Book Antiqua" w:hAnsi="Book Antiqua"/>
          <w:lang w:eastAsia="zh-CN"/>
        </w:rPr>
        <w:t>’</w:t>
      </w:r>
      <w:r w:rsidR="00481DE7" w:rsidRPr="00654F9A">
        <w:rPr>
          <w:rFonts w:ascii="Book Antiqua" w:hAnsi="Book Antiqua"/>
          <w:lang w:eastAsia="zh-CN"/>
        </w:rPr>
        <w:t>s esophagus</w:t>
      </w:r>
      <w:r w:rsidRPr="00654F9A">
        <w:rPr>
          <w:rFonts w:ascii="Book Antiqua" w:eastAsia="Book Antiqua" w:hAnsi="Book Antiqua" w:cs="Book Antiqua"/>
          <w:color w:val="000000"/>
        </w:rPr>
        <w:t>. In the peptic ulcer group, 49 (4.8%) cases had gastric ulcer, 44 (4.3%) cases had duodenal ulcer, and 22 (2.2%) cases had compound ulcers. The malignancy group included 8 (0.</w:t>
      </w:r>
      <w:r w:rsidR="008C3592">
        <w:rPr>
          <w:rFonts w:ascii="Book Antiqua" w:eastAsia="Book Antiqua" w:hAnsi="Book Antiqua" w:cs="Book Antiqua"/>
          <w:color w:val="000000"/>
        </w:rPr>
        <w:t>8</w:t>
      </w:r>
      <w:r w:rsidRPr="00654F9A">
        <w:rPr>
          <w:rFonts w:ascii="Book Antiqua" w:eastAsia="Book Antiqua" w:hAnsi="Book Antiqua" w:cs="Book Antiqua"/>
          <w:color w:val="000000"/>
        </w:rPr>
        <w:t>%) cases of early gastroesophageal malignancy and 1 (0.10%) case of advanced gastric cancer (</w:t>
      </w:r>
      <w:r w:rsidRPr="00654F9A">
        <w:rPr>
          <w:rFonts w:ascii="Book Antiqua" w:eastAsia="Book Antiqua" w:hAnsi="Book Antiqua" w:cs="Book Antiqua"/>
          <w:bCs/>
          <w:color w:val="000000"/>
        </w:rPr>
        <w:t>Table 3</w:t>
      </w:r>
      <w:r w:rsidRPr="00654F9A">
        <w:rPr>
          <w:rFonts w:ascii="Book Antiqua" w:eastAsia="Book Antiqua" w:hAnsi="Book Antiqua" w:cs="Book Antiqua"/>
          <w:color w:val="000000"/>
        </w:rPr>
        <w:t xml:space="preserve">). </w:t>
      </w:r>
    </w:p>
    <w:p w14:paraId="01895FE5" w14:textId="77777777" w:rsidR="00D6142C" w:rsidRPr="00654F9A" w:rsidRDefault="00D6142C">
      <w:pPr>
        <w:spacing w:line="360" w:lineRule="auto"/>
        <w:jc w:val="both"/>
        <w:rPr>
          <w:rFonts w:ascii="Book Antiqua" w:hAnsi="Book Antiqua" w:cs="Book Antiqua"/>
          <w:b/>
          <w:bCs/>
          <w:i/>
          <w:iCs/>
          <w:color w:val="000000"/>
          <w:lang w:eastAsia="zh-CN"/>
        </w:rPr>
      </w:pPr>
    </w:p>
    <w:p w14:paraId="0E3095D5" w14:textId="77777777" w:rsidR="00A77B3E" w:rsidRPr="00654F9A" w:rsidRDefault="00717DC8">
      <w:pPr>
        <w:spacing w:line="360" w:lineRule="auto"/>
        <w:jc w:val="both"/>
      </w:pPr>
      <w:r w:rsidRPr="00654F9A">
        <w:rPr>
          <w:rFonts w:ascii="Book Antiqua" w:eastAsia="Book Antiqua" w:hAnsi="Book Antiqua" w:cs="Book Antiqua"/>
          <w:b/>
          <w:bCs/>
          <w:i/>
          <w:iCs/>
          <w:color w:val="000000"/>
        </w:rPr>
        <w:t>Risk factors associated with CSFs</w:t>
      </w:r>
    </w:p>
    <w:p w14:paraId="78F0C459" w14:textId="2C7AA096" w:rsidR="00A77B3E" w:rsidRPr="00654F9A" w:rsidRDefault="00717DC8">
      <w:pPr>
        <w:spacing w:line="360" w:lineRule="auto"/>
        <w:jc w:val="both"/>
      </w:pPr>
      <w:r w:rsidRPr="00654F9A">
        <w:rPr>
          <w:rFonts w:ascii="Book Antiqua" w:eastAsia="Book Antiqua" w:hAnsi="Book Antiqua" w:cs="Book Antiqua"/>
          <w:color w:val="000000"/>
        </w:rPr>
        <w:t xml:space="preserve">The univariate </w:t>
      </w:r>
      <w:r w:rsidR="00D51D06" w:rsidRPr="00654F9A">
        <w:rPr>
          <w:rFonts w:ascii="Book Antiqua" w:eastAsia="Book Antiqua" w:hAnsi="Book Antiqua" w:cs="Book Antiqua"/>
          <w:color w:val="000000"/>
        </w:rPr>
        <w:t>analyses of clinical characteristics for patients with different endoscopic findings are</w:t>
      </w:r>
      <w:r w:rsidRPr="00654F9A">
        <w:rPr>
          <w:rFonts w:ascii="Book Antiqua" w:eastAsia="Book Antiqua" w:hAnsi="Book Antiqua" w:cs="Book Antiqua"/>
          <w:color w:val="000000"/>
        </w:rPr>
        <w:t xml:space="preserve"> given in </w:t>
      </w:r>
      <w:r w:rsidRPr="00654F9A">
        <w:rPr>
          <w:rFonts w:ascii="Book Antiqua" w:eastAsia="Book Antiqua" w:hAnsi="Book Antiqua" w:cs="Book Antiqua"/>
          <w:bCs/>
          <w:color w:val="000000"/>
        </w:rPr>
        <w:t>Table 1</w:t>
      </w:r>
      <w:r w:rsidRPr="00654F9A">
        <w:rPr>
          <w:rFonts w:ascii="Book Antiqua" w:eastAsia="Book Antiqua" w:hAnsi="Book Antiqua" w:cs="Book Antiqua"/>
          <w:color w:val="000000"/>
        </w:rPr>
        <w:t xml:space="preserve">. Further multivariable logistic regression analysis showed that males, BMI &gt; 25, epigastric pain and </w:t>
      </w:r>
      <w:r w:rsidRPr="00654F9A">
        <w:rPr>
          <w:rFonts w:ascii="Book Antiqua" w:eastAsia="Book Antiqua" w:hAnsi="Book Antiqua" w:cs="Book Antiqua"/>
          <w:i/>
          <w:iCs/>
          <w:color w:val="000000"/>
        </w:rPr>
        <w:t>H. pylori</w:t>
      </w:r>
      <w:r w:rsidRPr="00654F9A">
        <w:rPr>
          <w:rFonts w:ascii="Book Antiqua" w:eastAsia="Book Antiqua" w:hAnsi="Book Antiqua" w:cs="Book Antiqua"/>
          <w:color w:val="000000"/>
        </w:rPr>
        <w:t xml:space="preserve"> infection were independent risk factors for the presence of CSFs (</w:t>
      </w:r>
      <w:r w:rsidR="00481DE7">
        <w:rPr>
          <w:rFonts w:ascii="Book Antiqua" w:eastAsia="Book Antiqua" w:hAnsi="Book Antiqua" w:cs="Book Antiqua"/>
          <w:color w:val="000000"/>
        </w:rPr>
        <w:t>odds ratio</w:t>
      </w:r>
      <w:r w:rsidRPr="00654F9A">
        <w:rPr>
          <w:rFonts w:ascii="Book Antiqua" w:eastAsia="Book Antiqua" w:hAnsi="Book Antiqua" w:cs="Book Antiqua"/>
          <w:color w:val="000000"/>
        </w:rPr>
        <w:t xml:space="preserve"> = 1.758, 1.66</w:t>
      </w:r>
      <w:r w:rsidR="0028619F" w:rsidRPr="00654F9A">
        <w:rPr>
          <w:rFonts w:ascii="Book Antiqua" w:eastAsia="Book Antiqua" w:hAnsi="Book Antiqua" w:cs="Book Antiqua"/>
          <w:color w:val="000000"/>
        </w:rPr>
        <w:t>0, 1.423, 1.949; 95%</w:t>
      </w:r>
      <w:r w:rsidR="00481DE7">
        <w:rPr>
          <w:rFonts w:ascii="Book Antiqua" w:eastAsia="Book Antiqua" w:hAnsi="Book Antiqua" w:cs="Book Antiqua"/>
          <w:color w:val="000000"/>
        </w:rPr>
        <w:t xml:space="preserve"> confidence interval</w:t>
      </w:r>
      <w:r w:rsidR="0028619F" w:rsidRPr="00654F9A">
        <w:rPr>
          <w:rFonts w:ascii="Book Antiqua" w:eastAsia="Book Antiqua" w:hAnsi="Book Antiqua" w:cs="Book Antiqua"/>
          <w:color w:val="000000"/>
        </w:rPr>
        <w:t>: 1.312-2.356, 1.168-2.360, 1.060-1.909, 1.423-</w:t>
      </w:r>
      <w:r w:rsidRPr="00654F9A">
        <w:rPr>
          <w:rFonts w:ascii="Book Antiqua" w:eastAsia="Book Antiqua" w:hAnsi="Book Antiqua" w:cs="Book Antiqua"/>
          <w:color w:val="000000"/>
        </w:rPr>
        <w:t>2.670</w:t>
      </w:r>
      <w:r w:rsidR="00C06BCE">
        <w:rPr>
          <w:rFonts w:ascii="Book Antiqua" w:eastAsia="Book Antiqua" w:hAnsi="Book Antiqua" w:cs="Book Antiqua"/>
          <w:color w:val="000000"/>
        </w:rPr>
        <w:t>,</w:t>
      </w:r>
      <w:r w:rsidRPr="00654F9A">
        <w:rPr>
          <w:rFonts w:ascii="Book Antiqua" w:eastAsia="Book Antiqua" w:hAnsi="Book Antiqua" w:cs="Book Antiqua"/>
          <w:color w:val="000000"/>
        </w:rPr>
        <w:t xml:space="preserve"> respectively; all </w:t>
      </w:r>
      <w:r w:rsidRPr="00654F9A">
        <w:rPr>
          <w:rFonts w:ascii="Book Antiqua" w:eastAsia="Book Antiqua" w:hAnsi="Book Antiqua" w:cs="Book Antiqua"/>
          <w:i/>
          <w:iCs/>
          <w:color w:val="000000"/>
        </w:rPr>
        <w:t>P</w:t>
      </w:r>
      <w:r w:rsidRPr="00654F9A">
        <w:rPr>
          <w:rFonts w:ascii="Book Antiqua" w:eastAsia="Book Antiqua" w:hAnsi="Book Antiqua" w:cs="Book Antiqua"/>
          <w:color w:val="000000"/>
        </w:rPr>
        <w:t xml:space="preserve"> &lt; 0.05, </w:t>
      </w:r>
      <w:r w:rsidRPr="00654F9A">
        <w:rPr>
          <w:rFonts w:ascii="Book Antiqua" w:eastAsia="Book Antiqua" w:hAnsi="Book Antiqua" w:cs="Book Antiqua"/>
          <w:bCs/>
          <w:color w:val="000000"/>
        </w:rPr>
        <w:t>Table 4</w:t>
      </w:r>
      <w:r w:rsidRPr="00654F9A">
        <w:rPr>
          <w:rFonts w:ascii="Book Antiqua" w:eastAsia="Book Antiqua" w:hAnsi="Book Antiqua" w:cs="Book Antiqua"/>
          <w:color w:val="000000"/>
        </w:rPr>
        <w:t xml:space="preserve">). </w:t>
      </w:r>
    </w:p>
    <w:p w14:paraId="47A989F9" w14:textId="77777777" w:rsidR="0028619F" w:rsidRPr="00654F9A" w:rsidRDefault="0028619F">
      <w:pPr>
        <w:spacing w:line="360" w:lineRule="auto"/>
        <w:jc w:val="both"/>
        <w:rPr>
          <w:rFonts w:ascii="Book Antiqua" w:hAnsi="Book Antiqua" w:cs="Book Antiqua"/>
          <w:b/>
          <w:bCs/>
          <w:i/>
          <w:iCs/>
          <w:color w:val="000000"/>
          <w:lang w:eastAsia="zh-CN"/>
        </w:rPr>
      </w:pPr>
    </w:p>
    <w:p w14:paraId="4E1EEC73" w14:textId="77777777" w:rsidR="00A77B3E" w:rsidRPr="00654F9A" w:rsidRDefault="00717DC8">
      <w:pPr>
        <w:spacing w:line="360" w:lineRule="auto"/>
        <w:jc w:val="both"/>
      </w:pPr>
      <w:r w:rsidRPr="00654F9A">
        <w:rPr>
          <w:rFonts w:ascii="Book Antiqua" w:eastAsia="Book Antiqua" w:hAnsi="Book Antiqua" w:cs="Book Antiqua"/>
          <w:b/>
          <w:bCs/>
          <w:i/>
          <w:iCs/>
          <w:color w:val="000000"/>
        </w:rPr>
        <w:t>Subgroup analysis</w:t>
      </w:r>
    </w:p>
    <w:p w14:paraId="1361CD33" w14:textId="03C565E2" w:rsidR="00A77B3E" w:rsidRPr="00654F9A" w:rsidRDefault="00717DC8">
      <w:pPr>
        <w:spacing w:line="360" w:lineRule="auto"/>
        <w:jc w:val="both"/>
      </w:pPr>
      <w:r w:rsidRPr="00654F9A">
        <w:rPr>
          <w:rFonts w:ascii="Book Antiqua" w:eastAsia="Book Antiqua" w:hAnsi="Book Antiqua" w:cs="Book Antiqua"/>
          <w:color w:val="000000"/>
        </w:rPr>
        <w:t xml:space="preserve">According to the pathology reports of all patients, the </w:t>
      </w:r>
      <w:r w:rsidRPr="00654F9A">
        <w:rPr>
          <w:rFonts w:ascii="Book Antiqua" w:eastAsia="Book Antiqua" w:hAnsi="Book Antiqua" w:cs="Book Antiqua"/>
          <w:i/>
          <w:iCs/>
          <w:color w:val="000000"/>
        </w:rPr>
        <w:t>H. pylori</w:t>
      </w:r>
      <w:r w:rsidRPr="00654F9A">
        <w:rPr>
          <w:rFonts w:ascii="Book Antiqua" w:eastAsia="Book Antiqua" w:hAnsi="Book Antiqua" w:cs="Book Antiqua"/>
          <w:color w:val="000000"/>
        </w:rPr>
        <w:t xml:space="preserve"> positive rate was 25.1%</w:t>
      </w:r>
      <w:r w:rsidR="00C06BCE">
        <w:rPr>
          <w:rFonts w:ascii="Book Antiqua" w:eastAsia="Book Antiqua" w:hAnsi="Book Antiqua" w:cs="Book Antiqua"/>
          <w:color w:val="000000"/>
        </w:rPr>
        <w:t>.</w:t>
      </w:r>
      <w:r w:rsidRPr="00654F9A">
        <w:rPr>
          <w:rFonts w:ascii="Book Antiqua" w:eastAsia="Book Antiqua" w:hAnsi="Book Antiqua" w:cs="Book Antiqua"/>
          <w:color w:val="000000"/>
        </w:rPr>
        <w:t xml:space="preserve"> </w:t>
      </w:r>
      <w:r w:rsidR="00C06BCE">
        <w:rPr>
          <w:rFonts w:ascii="Book Antiqua" w:eastAsia="Book Antiqua" w:hAnsi="Book Antiqua" w:cs="Book Antiqua"/>
          <w:color w:val="000000"/>
        </w:rPr>
        <w:t>T</w:t>
      </w:r>
      <w:r w:rsidRPr="00654F9A">
        <w:rPr>
          <w:rFonts w:ascii="Book Antiqua" w:eastAsia="Book Antiqua" w:hAnsi="Book Antiqua" w:cs="Book Antiqua"/>
          <w:color w:val="000000"/>
        </w:rPr>
        <w:t>he peptic ulcer group had a significantly higher positive rate (57.9%) than other groups (</w:t>
      </w:r>
      <w:r w:rsidRPr="00654F9A">
        <w:rPr>
          <w:rFonts w:ascii="Book Antiqua" w:eastAsia="Book Antiqua" w:hAnsi="Book Antiqua" w:cs="Book Antiqua"/>
          <w:i/>
          <w:iCs/>
          <w:color w:val="000000"/>
        </w:rPr>
        <w:t>P</w:t>
      </w:r>
      <w:r w:rsidRPr="00654F9A">
        <w:rPr>
          <w:rFonts w:ascii="Book Antiqua" w:eastAsia="Book Antiqua" w:hAnsi="Book Antiqua" w:cs="Book Antiqua"/>
          <w:color w:val="000000"/>
        </w:rPr>
        <w:t xml:space="preserve"> &lt; 0.001</w:t>
      </w:r>
      <w:r w:rsidR="00332C41">
        <w:rPr>
          <w:rFonts w:ascii="Book Antiqua" w:eastAsia="Book Antiqua" w:hAnsi="Book Antiqua" w:cs="Book Antiqua"/>
          <w:color w:val="000000"/>
        </w:rPr>
        <w:t>;</w:t>
      </w:r>
      <w:r w:rsidRPr="00654F9A">
        <w:rPr>
          <w:rFonts w:ascii="Book Antiqua" w:eastAsia="Book Antiqua" w:hAnsi="Book Antiqua" w:cs="Book Antiqua"/>
          <w:color w:val="000000"/>
        </w:rPr>
        <w:t xml:space="preserve"> </w:t>
      </w:r>
      <w:r w:rsidRPr="00654F9A">
        <w:rPr>
          <w:rFonts w:ascii="Book Antiqua" w:eastAsia="Book Antiqua" w:hAnsi="Book Antiqua" w:cs="Book Antiqua"/>
          <w:bCs/>
          <w:color w:val="000000"/>
        </w:rPr>
        <w:t>Table 1</w:t>
      </w:r>
      <w:r w:rsidRPr="00654F9A">
        <w:rPr>
          <w:rFonts w:ascii="Book Antiqua" w:eastAsia="Book Antiqua" w:hAnsi="Book Antiqua" w:cs="Book Antiqua"/>
          <w:color w:val="000000"/>
        </w:rPr>
        <w:t>). In the PDS group, positive endoscopic findings were obtained in 96 (24.1%) patients, which was significantly lower than other groups (</w:t>
      </w:r>
      <w:r w:rsidRPr="00654F9A">
        <w:rPr>
          <w:rFonts w:ascii="Book Antiqua" w:eastAsia="Book Antiqua" w:hAnsi="Book Antiqua" w:cs="Book Antiqua"/>
          <w:i/>
          <w:iCs/>
          <w:color w:val="000000"/>
        </w:rPr>
        <w:t>P</w:t>
      </w:r>
      <w:r w:rsidRPr="00654F9A">
        <w:rPr>
          <w:rFonts w:ascii="Book Antiqua" w:eastAsia="Book Antiqua" w:hAnsi="Book Antiqua" w:cs="Book Antiqua"/>
          <w:color w:val="000000"/>
        </w:rPr>
        <w:t xml:space="preserve"> = 0.002</w:t>
      </w:r>
      <w:r w:rsidR="00332C41">
        <w:rPr>
          <w:rFonts w:ascii="Book Antiqua" w:eastAsia="Book Antiqua" w:hAnsi="Book Antiqua" w:cs="Book Antiqua"/>
          <w:color w:val="000000"/>
        </w:rPr>
        <w:t>;</w:t>
      </w:r>
      <w:r w:rsidRPr="00654F9A">
        <w:rPr>
          <w:rFonts w:ascii="Book Antiqua" w:eastAsia="Book Antiqua" w:hAnsi="Book Antiqua" w:cs="Book Antiqua"/>
          <w:color w:val="000000"/>
        </w:rPr>
        <w:t xml:space="preserve"> </w:t>
      </w:r>
      <w:r w:rsidRPr="00654F9A">
        <w:rPr>
          <w:rFonts w:ascii="Book Antiqua" w:eastAsia="Book Antiqua" w:hAnsi="Book Antiqua" w:cs="Book Antiqua"/>
          <w:bCs/>
          <w:color w:val="000000"/>
        </w:rPr>
        <w:t>Table 2</w:t>
      </w:r>
      <w:r w:rsidRPr="00654F9A">
        <w:rPr>
          <w:rFonts w:ascii="Book Antiqua" w:eastAsia="Book Antiqua" w:hAnsi="Book Antiqua" w:cs="Book Antiqua"/>
          <w:color w:val="000000"/>
        </w:rPr>
        <w:t xml:space="preserve">). </w:t>
      </w:r>
    </w:p>
    <w:p w14:paraId="2A09D3B4" w14:textId="1537A01B" w:rsidR="00A77B3E" w:rsidRPr="00654F9A" w:rsidRDefault="00717DC8">
      <w:pPr>
        <w:spacing w:line="360" w:lineRule="auto"/>
        <w:ind w:firstLine="240"/>
        <w:jc w:val="both"/>
      </w:pPr>
      <w:r w:rsidRPr="00654F9A">
        <w:rPr>
          <w:rFonts w:ascii="Book Antiqua" w:eastAsia="Book Antiqua" w:hAnsi="Book Antiqua" w:cs="Book Antiqua"/>
          <w:color w:val="000000"/>
        </w:rPr>
        <w:t>Between all the patients, 12.3% were &lt;</w:t>
      </w:r>
      <w:r w:rsidR="0028619F"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30</w:t>
      </w:r>
      <w:r w:rsidR="00837B00">
        <w:rPr>
          <w:rFonts w:ascii="Book Antiqua" w:eastAsia="Book Antiqua" w:hAnsi="Book Antiqua" w:cs="Book Antiqua"/>
          <w:color w:val="000000"/>
        </w:rPr>
        <w:t>-</w:t>
      </w:r>
      <w:r w:rsidRPr="00654F9A">
        <w:rPr>
          <w:rFonts w:ascii="Book Antiqua" w:eastAsia="Book Antiqua" w:hAnsi="Book Antiqua" w:cs="Book Antiqua"/>
          <w:color w:val="000000"/>
        </w:rPr>
        <w:t>years</w:t>
      </w:r>
      <w:r w:rsidR="00837B00">
        <w:rPr>
          <w:rFonts w:ascii="Book Antiqua" w:eastAsia="Book Antiqua" w:hAnsi="Book Antiqua" w:cs="Book Antiqua"/>
          <w:color w:val="000000"/>
        </w:rPr>
        <w:t>-</w:t>
      </w:r>
      <w:r w:rsidRPr="00654F9A">
        <w:rPr>
          <w:rFonts w:ascii="Book Antiqua" w:eastAsia="Book Antiqua" w:hAnsi="Book Antiqua" w:cs="Book Antiqua"/>
          <w:color w:val="000000"/>
        </w:rPr>
        <w:t>old, 33.2% were 30-49</w:t>
      </w:r>
      <w:r w:rsidR="00837B00">
        <w:rPr>
          <w:rFonts w:ascii="Book Antiqua" w:eastAsia="Book Antiqua" w:hAnsi="Book Antiqua" w:cs="Book Antiqua"/>
          <w:color w:val="000000"/>
        </w:rPr>
        <w:t>-</w:t>
      </w:r>
      <w:r w:rsidRPr="00654F9A">
        <w:rPr>
          <w:rFonts w:ascii="Book Antiqua" w:eastAsia="Book Antiqua" w:hAnsi="Book Antiqua" w:cs="Book Antiqua"/>
          <w:color w:val="000000"/>
        </w:rPr>
        <w:t>years</w:t>
      </w:r>
      <w:r w:rsidR="00837B00">
        <w:rPr>
          <w:rFonts w:ascii="Book Antiqua" w:eastAsia="Book Antiqua" w:hAnsi="Book Antiqua" w:cs="Book Antiqua"/>
          <w:color w:val="000000"/>
        </w:rPr>
        <w:t>-</w:t>
      </w:r>
      <w:r w:rsidRPr="00654F9A">
        <w:rPr>
          <w:rFonts w:ascii="Book Antiqua" w:eastAsia="Book Antiqua" w:hAnsi="Book Antiqua" w:cs="Book Antiqua"/>
          <w:color w:val="000000"/>
        </w:rPr>
        <w:t>old</w:t>
      </w:r>
      <w:r w:rsidR="00C06BCE">
        <w:rPr>
          <w:rFonts w:ascii="Book Antiqua" w:eastAsia="Book Antiqua" w:hAnsi="Book Antiqua" w:cs="Book Antiqua"/>
          <w:color w:val="000000"/>
        </w:rPr>
        <w:t>,</w:t>
      </w:r>
      <w:r w:rsidRPr="00654F9A">
        <w:rPr>
          <w:rFonts w:ascii="Book Antiqua" w:eastAsia="Book Antiqua" w:hAnsi="Book Antiqua" w:cs="Book Antiqua"/>
          <w:color w:val="000000"/>
        </w:rPr>
        <w:t xml:space="preserve"> and 54.5% were ≥</w:t>
      </w:r>
      <w:r w:rsidR="0028619F"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50</w:t>
      </w:r>
      <w:r w:rsidR="00837B00">
        <w:rPr>
          <w:rFonts w:ascii="Book Antiqua" w:eastAsia="Book Antiqua" w:hAnsi="Book Antiqua" w:cs="Book Antiqua"/>
          <w:color w:val="000000"/>
        </w:rPr>
        <w:t>-</w:t>
      </w:r>
      <w:r w:rsidRPr="00654F9A">
        <w:rPr>
          <w:rFonts w:ascii="Book Antiqua" w:eastAsia="Book Antiqua" w:hAnsi="Book Antiqua" w:cs="Book Antiqua"/>
          <w:color w:val="000000"/>
        </w:rPr>
        <w:t>years</w:t>
      </w:r>
      <w:r w:rsidR="00837B00">
        <w:rPr>
          <w:rFonts w:ascii="Book Antiqua" w:eastAsia="Book Antiqua" w:hAnsi="Book Antiqua" w:cs="Book Antiqua"/>
          <w:color w:val="000000"/>
        </w:rPr>
        <w:t>-</w:t>
      </w:r>
      <w:r w:rsidRPr="00654F9A">
        <w:rPr>
          <w:rFonts w:ascii="Book Antiqua" w:eastAsia="Book Antiqua" w:hAnsi="Book Antiqua" w:cs="Book Antiqua"/>
          <w:color w:val="000000"/>
        </w:rPr>
        <w:t>old. The proportions of general endoscopic findings, esophageal lesions, peptic ulcer and malignancy in the three age groups were significantly different (</w:t>
      </w:r>
      <w:r w:rsidRPr="00654F9A">
        <w:rPr>
          <w:rFonts w:ascii="Book Antiqua" w:eastAsia="Book Antiqua" w:hAnsi="Book Antiqua" w:cs="Book Antiqua"/>
          <w:i/>
          <w:iCs/>
          <w:color w:val="000000"/>
        </w:rPr>
        <w:t>P</w:t>
      </w:r>
      <w:r w:rsidRPr="00654F9A">
        <w:rPr>
          <w:rFonts w:ascii="Book Antiqua" w:eastAsia="Book Antiqua" w:hAnsi="Book Antiqua" w:cs="Book Antiqua"/>
          <w:color w:val="000000"/>
        </w:rPr>
        <w:t xml:space="preserve"> = 0.004</w:t>
      </w:r>
      <w:r w:rsidR="00332C41">
        <w:rPr>
          <w:rFonts w:ascii="Book Antiqua" w:eastAsia="Book Antiqua" w:hAnsi="Book Antiqua" w:cs="Book Antiqua"/>
          <w:color w:val="000000"/>
        </w:rPr>
        <w:t>;</w:t>
      </w:r>
      <w:r w:rsidRPr="00654F9A">
        <w:rPr>
          <w:rFonts w:ascii="Book Antiqua" w:eastAsia="Book Antiqua" w:hAnsi="Book Antiqua" w:cs="Book Antiqua"/>
          <w:color w:val="000000"/>
        </w:rPr>
        <w:t xml:space="preserve"> </w:t>
      </w:r>
      <w:r w:rsidRPr="00654F9A">
        <w:rPr>
          <w:rFonts w:ascii="Book Antiqua" w:eastAsia="Book Antiqua" w:hAnsi="Book Antiqua" w:cs="Book Antiqua"/>
          <w:bCs/>
          <w:color w:val="000000"/>
        </w:rPr>
        <w:t>Table 5</w:t>
      </w:r>
      <w:r w:rsidRPr="00654F9A">
        <w:rPr>
          <w:rFonts w:ascii="Book Antiqua" w:eastAsia="Book Antiqua" w:hAnsi="Book Antiqua" w:cs="Book Antiqua"/>
          <w:color w:val="000000"/>
        </w:rPr>
        <w:t>). Although the constituent ratios of the esophageal diseases and early cancer increased with age between the three age subgroups, they did not reach statistical significance (</w:t>
      </w:r>
      <w:r w:rsidRPr="00654F9A">
        <w:rPr>
          <w:rFonts w:ascii="Book Antiqua" w:eastAsia="Book Antiqua" w:hAnsi="Book Antiqua" w:cs="Book Antiqua"/>
          <w:bCs/>
          <w:color w:val="000000"/>
        </w:rPr>
        <w:t>Table 5, Figure 3</w:t>
      </w:r>
      <w:r w:rsidRPr="00654F9A">
        <w:rPr>
          <w:rFonts w:ascii="Book Antiqua" w:eastAsia="Book Antiqua" w:hAnsi="Book Antiqua" w:cs="Book Antiqua"/>
          <w:color w:val="000000"/>
        </w:rPr>
        <w:t>).</w:t>
      </w:r>
    </w:p>
    <w:bookmarkEnd w:id="56"/>
    <w:bookmarkEnd w:id="57"/>
    <w:p w14:paraId="560B6061" w14:textId="77777777" w:rsidR="00A77B3E" w:rsidRPr="00654F9A" w:rsidRDefault="00A77B3E">
      <w:pPr>
        <w:spacing w:line="360" w:lineRule="auto"/>
        <w:ind w:firstLine="240"/>
        <w:jc w:val="both"/>
      </w:pPr>
    </w:p>
    <w:p w14:paraId="0D7D47BA" w14:textId="77777777" w:rsidR="00A77B3E" w:rsidRPr="00654F9A" w:rsidRDefault="00717DC8">
      <w:pPr>
        <w:spacing w:line="360" w:lineRule="auto"/>
        <w:jc w:val="both"/>
      </w:pPr>
      <w:r w:rsidRPr="00654F9A">
        <w:rPr>
          <w:rFonts w:ascii="Book Antiqua" w:eastAsia="Book Antiqua" w:hAnsi="Book Antiqua" w:cs="Book Antiqua"/>
          <w:b/>
          <w:caps/>
          <w:color w:val="000000"/>
          <w:u w:val="single"/>
        </w:rPr>
        <w:t>DISCUSSION</w:t>
      </w:r>
    </w:p>
    <w:p w14:paraId="1A355FEC" w14:textId="41B3CFDC" w:rsidR="00A77B3E" w:rsidRPr="00654F9A" w:rsidRDefault="00717DC8">
      <w:pPr>
        <w:spacing w:line="360" w:lineRule="auto"/>
        <w:jc w:val="both"/>
      </w:pPr>
      <w:bookmarkStart w:id="58" w:name="OLE_LINK39"/>
      <w:bookmarkStart w:id="59" w:name="OLE_LINK40"/>
      <w:r w:rsidRPr="00654F9A">
        <w:rPr>
          <w:rFonts w:ascii="Book Antiqua" w:eastAsia="Book Antiqua" w:hAnsi="Book Antiqua" w:cs="Book Antiqua"/>
          <w:color w:val="000000"/>
        </w:rPr>
        <w:t>Dyspepsia is one of the most frequently encountered clinical symptoms, which is present in approximately 2%-5% of the outpatients of primary care physicians</w:t>
      </w:r>
      <w:r w:rsidR="001D26FA" w:rsidRPr="00654F9A">
        <w:rPr>
          <w:rFonts w:ascii="Book Antiqua" w:eastAsia="Book Antiqua" w:hAnsi="Book Antiqua" w:cs="Book Antiqua"/>
          <w:color w:val="000000"/>
          <w:szCs w:val="30"/>
          <w:vertAlign w:val="superscript"/>
        </w:rPr>
        <w:t>[11,</w:t>
      </w:r>
      <w:r w:rsidRPr="00654F9A">
        <w:rPr>
          <w:rFonts w:ascii="Book Antiqua" w:eastAsia="Book Antiqua" w:hAnsi="Book Antiqua" w:cs="Book Antiqua"/>
          <w:color w:val="000000"/>
          <w:szCs w:val="30"/>
          <w:vertAlign w:val="superscript"/>
        </w:rPr>
        <w:t>12]</w:t>
      </w:r>
      <w:r w:rsidRPr="00654F9A">
        <w:rPr>
          <w:rFonts w:ascii="Book Antiqua" w:eastAsia="Book Antiqua" w:hAnsi="Book Antiqua" w:cs="Book Antiqua"/>
          <w:color w:val="000000"/>
        </w:rPr>
        <w:t>. However, uncertainty remains regarding the most appropriate initial management strategy for these patients, particular</w:t>
      </w:r>
      <w:r w:rsidR="00CB0E40">
        <w:rPr>
          <w:rFonts w:ascii="Book Antiqua" w:eastAsia="Book Antiqua" w:hAnsi="Book Antiqua" w:cs="Book Antiqua"/>
          <w:color w:val="000000"/>
        </w:rPr>
        <w:t>ly</w:t>
      </w:r>
      <w:r w:rsidRPr="00654F9A">
        <w:rPr>
          <w:rFonts w:ascii="Book Antiqua" w:eastAsia="Book Antiqua" w:hAnsi="Book Antiqua" w:cs="Book Antiqua"/>
          <w:color w:val="000000"/>
        </w:rPr>
        <w:t xml:space="preserve"> for those patients with no warning symptoms. </w:t>
      </w:r>
    </w:p>
    <w:p w14:paraId="0CADA0CD" w14:textId="77777777" w:rsidR="00A77B3E" w:rsidRPr="00654F9A" w:rsidRDefault="00717DC8" w:rsidP="001D26FA">
      <w:pPr>
        <w:spacing w:line="360" w:lineRule="auto"/>
        <w:ind w:firstLineChars="100" w:firstLine="240"/>
        <w:jc w:val="both"/>
      </w:pPr>
      <w:r w:rsidRPr="00654F9A">
        <w:rPr>
          <w:rFonts w:ascii="Book Antiqua" w:eastAsia="Book Antiqua" w:hAnsi="Book Antiqua" w:cs="Book Antiqua"/>
          <w:color w:val="000000"/>
        </w:rPr>
        <w:t>To investigate whether endoscopy should be included in the initial treatment strategy for dyspeptic patients in China, the detection rates of significant endoscopic findings were analyzed in dyspeptic patients with no warning symptoms, with a special focus on the prevalence of malignancy. Then, the association between upper GI symptoms and CSFs were investigated to determine the high-risk group of dyspeptic patients where the diagnostic result from endoscopy would be high.</w:t>
      </w:r>
    </w:p>
    <w:p w14:paraId="7BFE978F" w14:textId="2A3A0D4E" w:rsidR="00A77B3E" w:rsidRPr="00654F9A" w:rsidRDefault="00717DC8" w:rsidP="001D26FA">
      <w:pPr>
        <w:spacing w:line="360" w:lineRule="auto"/>
        <w:ind w:firstLineChars="100" w:firstLine="240"/>
        <w:jc w:val="both"/>
      </w:pPr>
      <w:r w:rsidRPr="00654F9A">
        <w:rPr>
          <w:rFonts w:ascii="Book Antiqua" w:eastAsia="Book Antiqua" w:hAnsi="Book Antiqua" w:cs="Book Antiqua"/>
          <w:color w:val="000000"/>
        </w:rPr>
        <w:t>In this study, the most common complaints were abdominal pain, bloating and belching. However, when dyspeptic patients did not have any warning symptoms the prevalence of CSFs in this study was approximately 29.9%, which is comparable with the result of similar previous studies</w:t>
      </w:r>
      <w:r w:rsidRPr="00654F9A">
        <w:rPr>
          <w:rFonts w:ascii="Book Antiqua" w:eastAsia="Book Antiqua" w:hAnsi="Book Antiqua" w:cs="Book Antiqua"/>
          <w:color w:val="000000"/>
          <w:szCs w:val="30"/>
          <w:vertAlign w:val="superscript"/>
        </w:rPr>
        <w:t>[13]</w:t>
      </w:r>
      <w:r w:rsidRPr="00654F9A">
        <w:rPr>
          <w:rFonts w:ascii="Book Antiqua" w:eastAsia="Book Antiqua" w:hAnsi="Book Antiqua" w:cs="Book Antiqua"/>
          <w:color w:val="000000"/>
        </w:rPr>
        <w:t>. In addition, a meta-analysis demonstrated that warning symptoms had a low positive predictive value for malignancy</w:t>
      </w:r>
      <w:r w:rsidRPr="00654F9A">
        <w:rPr>
          <w:rFonts w:ascii="Book Antiqua" w:eastAsia="Book Antiqua" w:hAnsi="Book Antiqua" w:cs="Book Antiqua"/>
          <w:color w:val="000000"/>
          <w:szCs w:val="30"/>
          <w:vertAlign w:val="superscript"/>
        </w:rPr>
        <w:t>[14]</w:t>
      </w:r>
      <w:r w:rsidRPr="00654F9A">
        <w:rPr>
          <w:rFonts w:ascii="Book Antiqua" w:eastAsia="Book Antiqua" w:hAnsi="Book Antiqua" w:cs="Book Antiqua"/>
          <w:color w:val="000000"/>
        </w:rPr>
        <w:t xml:space="preserve">. Therefore, due to the limited predictive ability of CSFs, warning symptoms should not be considered as an important element when clinical decisions are made for endoscopy. </w:t>
      </w:r>
    </w:p>
    <w:p w14:paraId="710946E7" w14:textId="68C87E16" w:rsidR="00A77B3E" w:rsidRPr="00654F9A" w:rsidRDefault="00717DC8">
      <w:pPr>
        <w:spacing w:line="360" w:lineRule="auto"/>
        <w:ind w:firstLine="240"/>
        <w:jc w:val="both"/>
      </w:pPr>
      <w:r w:rsidRPr="00654F9A">
        <w:rPr>
          <w:rFonts w:ascii="Book Antiqua" w:eastAsia="Book Antiqua" w:hAnsi="Book Antiqua" w:cs="Book Antiqua"/>
          <w:color w:val="000000"/>
        </w:rPr>
        <w:t xml:space="preserve">In our study, the commonest CSFs included esophageal lesions (17.7%) and PUD (11.3%). Surprisingly, although most patients with esophageal disease did not complain of reflux or heartburn, the prevalence of reflux esophagitis was as high as 16.2%. However, most of these patients had Los Angeles class A esophagitis. For patients with PUD, the prevalence rate of </w:t>
      </w:r>
      <w:r w:rsidRPr="00654F9A">
        <w:rPr>
          <w:rFonts w:ascii="Book Antiqua" w:eastAsia="Book Antiqua" w:hAnsi="Book Antiqua" w:cs="Book Antiqua"/>
          <w:i/>
          <w:iCs/>
          <w:color w:val="000000"/>
        </w:rPr>
        <w:t>H. pylori</w:t>
      </w:r>
      <w:r w:rsidRPr="00654F9A">
        <w:rPr>
          <w:rFonts w:ascii="Book Antiqua" w:eastAsia="Book Antiqua" w:hAnsi="Book Antiqua" w:cs="Book Antiqua"/>
          <w:color w:val="000000"/>
        </w:rPr>
        <w:t xml:space="preserve"> was 57.9% compared with 25.1% in all patients. </w:t>
      </w:r>
      <w:r w:rsidR="00CB0E40">
        <w:rPr>
          <w:rFonts w:ascii="Book Antiqua" w:eastAsia="Book Antiqua" w:hAnsi="Book Antiqua" w:cs="Book Antiqua"/>
          <w:color w:val="000000"/>
        </w:rPr>
        <w:t xml:space="preserve">In </w:t>
      </w:r>
      <w:r w:rsidRPr="00654F9A">
        <w:rPr>
          <w:rFonts w:ascii="Book Antiqua" w:eastAsia="Book Antiqua" w:hAnsi="Book Antiqua" w:cs="Book Antiqua"/>
          <w:color w:val="000000"/>
        </w:rPr>
        <w:t>the noninvasive approach suggested in the guidelines of Western countries</w:t>
      </w:r>
      <w:r w:rsidR="00CB0E40">
        <w:rPr>
          <w:rFonts w:ascii="Book Antiqua" w:eastAsia="Book Antiqua" w:hAnsi="Book Antiqua" w:cs="Book Antiqua"/>
          <w:color w:val="000000"/>
        </w:rPr>
        <w:t>, if physicians can</w:t>
      </w:r>
      <w:r w:rsidRPr="00654F9A">
        <w:rPr>
          <w:rFonts w:ascii="Book Antiqua" w:eastAsia="Book Antiqua" w:hAnsi="Book Antiqua" w:cs="Book Antiqua"/>
          <w:color w:val="000000"/>
        </w:rPr>
        <w:t xml:space="preserve"> successfully </w:t>
      </w:r>
      <w:r w:rsidR="00CB0E40">
        <w:rPr>
          <w:rFonts w:ascii="Book Antiqua" w:eastAsia="Book Antiqua" w:hAnsi="Book Antiqua" w:cs="Book Antiqua"/>
          <w:color w:val="000000"/>
        </w:rPr>
        <w:t>manage</w:t>
      </w:r>
      <w:r w:rsidRPr="00654F9A">
        <w:rPr>
          <w:rFonts w:ascii="Book Antiqua" w:eastAsia="Book Antiqua" w:hAnsi="Book Antiqua" w:cs="Book Antiqua"/>
          <w:color w:val="000000"/>
        </w:rPr>
        <w:t xml:space="preserve"> PUD and </w:t>
      </w:r>
      <w:r w:rsidR="00C50CDE" w:rsidRPr="00654F9A">
        <w:rPr>
          <w:rFonts w:ascii="Book Antiqua" w:eastAsia="Book Antiqua" w:hAnsi="Book Antiqua" w:cs="Book Antiqua"/>
          <w:color w:val="000000"/>
        </w:rPr>
        <w:t>erosive esophagitis</w:t>
      </w:r>
      <w:r w:rsidR="00CB0E40">
        <w:rPr>
          <w:rFonts w:ascii="Book Antiqua" w:eastAsia="Book Antiqua" w:hAnsi="Book Antiqua" w:cs="Book Antiqua"/>
          <w:color w:val="000000"/>
        </w:rPr>
        <w:t xml:space="preserve"> and</w:t>
      </w:r>
      <w:r w:rsidRPr="00654F9A">
        <w:rPr>
          <w:rFonts w:ascii="Book Antiqua" w:eastAsia="Book Antiqua" w:hAnsi="Book Antiqua" w:cs="Book Antiqua"/>
          <w:color w:val="000000"/>
        </w:rPr>
        <w:t xml:space="preserve"> the prevalence of malignancy is low, </w:t>
      </w:r>
      <w:r w:rsidR="00CB0E40">
        <w:rPr>
          <w:rFonts w:ascii="Book Antiqua" w:eastAsia="Book Antiqua" w:hAnsi="Book Antiqua" w:cs="Book Antiqua"/>
          <w:color w:val="000000"/>
        </w:rPr>
        <w:t xml:space="preserve">then </w:t>
      </w:r>
      <w:r w:rsidRPr="00654F9A">
        <w:rPr>
          <w:rFonts w:ascii="Book Antiqua" w:eastAsia="Book Antiqua" w:hAnsi="Book Antiqua" w:cs="Book Antiqua"/>
          <w:color w:val="000000"/>
        </w:rPr>
        <w:t xml:space="preserve">endoscopy may not be considered as the initial management strategy. However, in this study the prevalence of malignancy was 0.9%, which meant that approximately 1 in 100 dyspeptic patients had cancer and if endoscopy was not performed, then diagnosis would be delayed. In addition, most of the patients </w:t>
      </w:r>
      <w:r w:rsidR="00CB0E40">
        <w:rPr>
          <w:rFonts w:ascii="Book Antiqua" w:eastAsia="Book Antiqua" w:hAnsi="Book Antiqua" w:cs="Book Antiqua"/>
          <w:color w:val="000000"/>
        </w:rPr>
        <w:t>with+</w:t>
      </w:r>
      <w:r w:rsidRPr="00654F9A">
        <w:rPr>
          <w:rFonts w:ascii="Book Antiqua" w:eastAsia="Book Antiqua" w:hAnsi="Book Antiqua" w:cs="Book Antiqua"/>
          <w:color w:val="000000"/>
        </w:rPr>
        <w:t xml:space="preserve"> dyspepsia that were diagnosed with cancer by endoscopy were in the early stages of disease, which made endoscopy more important to detect these early lesions.</w:t>
      </w:r>
    </w:p>
    <w:p w14:paraId="0BF1F2CC" w14:textId="6E99FA84" w:rsidR="00A77B3E" w:rsidRPr="00654F9A" w:rsidRDefault="00717DC8">
      <w:pPr>
        <w:spacing w:line="360" w:lineRule="auto"/>
        <w:ind w:firstLine="240"/>
        <w:jc w:val="both"/>
      </w:pPr>
      <w:r w:rsidRPr="00654F9A">
        <w:rPr>
          <w:rFonts w:ascii="Book Antiqua" w:eastAsia="Book Antiqua" w:hAnsi="Book Antiqua" w:cs="Book Antiqua"/>
          <w:color w:val="000000"/>
        </w:rPr>
        <w:t xml:space="preserve">Epigastric pain was present in a significant number of patients that had peptic ulcer (68.7%) or malignancy (77.8%). Additionally, bloating was frequently present in these patients. In the subgroups of dyspeptic patients with EPS and PDS, there was no significant difference between the endoscopic findings of these two syndromes, except for the patients with EPS had a higher prevalence of peptic ulcers. A study revealed that the accuracy of symptoms to predict the diagnosis of </w:t>
      </w:r>
      <w:r w:rsidR="00EB1528" w:rsidRPr="00654F9A">
        <w:rPr>
          <w:rFonts w:ascii="Book Antiqua" w:hAnsi="Book Antiqua" w:cs="Book Antiqua"/>
          <w:color w:val="000000"/>
          <w:lang w:eastAsia="zh-CN"/>
        </w:rPr>
        <w:t>FD</w:t>
      </w:r>
      <w:r w:rsidRPr="00654F9A">
        <w:rPr>
          <w:rFonts w:ascii="Book Antiqua" w:eastAsia="Book Antiqua" w:hAnsi="Book Antiqua" w:cs="Book Antiqua"/>
          <w:color w:val="000000"/>
        </w:rPr>
        <w:t xml:space="preserve"> was only 17%</w:t>
      </w:r>
      <w:r w:rsidRPr="00654F9A">
        <w:rPr>
          <w:rFonts w:ascii="Book Antiqua" w:eastAsia="Book Antiqua" w:hAnsi="Book Antiqua" w:cs="Book Antiqua"/>
          <w:color w:val="000000"/>
          <w:szCs w:val="30"/>
          <w:vertAlign w:val="superscript"/>
        </w:rPr>
        <w:t>[15]</w:t>
      </w:r>
      <w:r w:rsidRPr="00654F9A">
        <w:rPr>
          <w:rFonts w:ascii="Book Antiqua" w:eastAsia="Book Antiqua" w:hAnsi="Book Antiqua" w:cs="Book Antiqua"/>
          <w:color w:val="000000"/>
        </w:rPr>
        <w:t xml:space="preserve">. Thomson </w:t>
      </w:r>
      <w:r w:rsidRPr="00654F9A">
        <w:rPr>
          <w:rFonts w:ascii="Book Antiqua" w:eastAsia="Book Antiqua" w:hAnsi="Book Antiqua" w:cs="Book Antiqua"/>
          <w:i/>
          <w:iCs/>
          <w:color w:val="000000"/>
        </w:rPr>
        <w:t>et al</w:t>
      </w:r>
      <w:r w:rsidRPr="00654F9A">
        <w:rPr>
          <w:rFonts w:ascii="Book Antiqua" w:eastAsia="Book Antiqua" w:hAnsi="Book Antiqua" w:cs="Book Antiqua"/>
          <w:color w:val="000000"/>
          <w:szCs w:val="30"/>
          <w:vertAlign w:val="superscript"/>
        </w:rPr>
        <w:t>[16]</w:t>
      </w:r>
      <w:r w:rsidRPr="00654F9A">
        <w:rPr>
          <w:rFonts w:ascii="Book Antiqua" w:eastAsia="Book Antiqua" w:hAnsi="Book Antiqua" w:cs="Book Antiqua"/>
          <w:color w:val="000000"/>
        </w:rPr>
        <w:t xml:space="preserve"> also </w:t>
      </w:r>
      <w:r w:rsidR="00CB0E40">
        <w:rPr>
          <w:rFonts w:ascii="Book Antiqua" w:eastAsia="Book Antiqua" w:hAnsi="Book Antiqua" w:cs="Book Antiqua"/>
          <w:color w:val="000000"/>
        </w:rPr>
        <w:t>observed</w:t>
      </w:r>
      <w:r w:rsidRPr="00654F9A">
        <w:rPr>
          <w:rFonts w:ascii="Book Antiqua" w:eastAsia="Book Antiqua" w:hAnsi="Book Antiqua" w:cs="Book Antiqua"/>
          <w:color w:val="000000"/>
        </w:rPr>
        <w:t xml:space="preserve"> that the predominant symptom was not predictive for endoscopic findings. Moreover, one study conducted in China showed that even warning symptoms had poor predictive value for organic dyspepsia and organic upper GI diseases</w:t>
      </w:r>
      <w:r w:rsidRPr="00654F9A">
        <w:rPr>
          <w:rFonts w:ascii="Book Antiqua" w:eastAsia="Book Antiqua" w:hAnsi="Book Antiqua" w:cs="Book Antiqua"/>
          <w:color w:val="000000"/>
          <w:szCs w:val="30"/>
          <w:vertAlign w:val="superscript"/>
        </w:rPr>
        <w:t>[17]</w:t>
      </w:r>
      <w:r w:rsidRPr="00654F9A">
        <w:rPr>
          <w:rFonts w:ascii="Book Antiqua" w:eastAsia="Book Antiqua" w:hAnsi="Book Antiqua" w:cs="Book Antiqua"/>
          <w:color w:val="000000"/>
        </w:rPr>
        <w:t xml:space="preserve">. In conclusion, the symptoms are of limited value in the assessment of dyspepsia. </w:t>
      </w:r>
    </w:p>
    <w:p w14:paraId="5BFC3EB8" w14:textId="242C82B4" w:rsidR="00A77B3E" w:rsidRPr="00654F9A" w:rsidRDefault="00717DC8">
      <w:pPr>
        <w:spacing w:line="360" w:lineRule="auto"/>
        <w:ind w:firstLine="240"/>
        <w:jc w:val="both"/>
      </w:pPr>
      <w:r w:rsidRPr="00654F9A">
        <w:rPr>
          <w:rFonts w:ascii="Book Antiqua" w:eastAsia="Book Antiqua" w:hAnsi="Book Antiqua" w:cs="Book Antiqua"/>
          <w:color w:val="000000"/>
        </w:rPr>
        <w:t>Another objective of our study was to explore the risk factors associated with CSFs. Using multivariate analysis, male gender and</w:t>
      </w:r>
      <w:r w:rsidRPr="00654F9A">
        <w:rPr>
          <w:rFonts w:ascii="Book Antiqua" w:eastAsia="Book Antiqua" w:hAnsi="Book Antiqua" w:cs="Book Antiqua"/>
          <w:i/>
          <w:iCs/>
          <w:color w:val="000000"/>
        </w:rPr>
        <w:t xml:space="preserve"> H. pylori </w:t>
      </w:r>
      <w:r w:rsidRPr="00654F9A">
        <w:rPr>
          <w:rFonts w:ascii="Book Antiqua" w:eastAsia="Book Antiqua" w:hAnsi="Book Antiqua" w:cs="Book Antiqua"/>
          <w:color w:val="000000"/>
        </w:rPr>
        <w:t>infection were significant predictors of CSFs, similar to that reported in previous studies</w:t>
      </w:r>
      <w:r w:rsidR="001D26FA" w:rsidRPr="00654F9A">
        <w:rPr>
          <w:rFonts w:ascii="Book Antiqua" w:eastAsia="Book Antiqua" w:hAnsi="Book Antiqua" w:cs="Book Antiqua"/>
          <w:color w:val="000000"/>
          <w:szCs w:val="30"/>
          <w:vertAlign w:val="superscript"/>
        </w:rPr>
        <w:t>[18,</w:t>
      </w:r>
      <w:r w:rsidRPr="00654F9A">
        <w:rPr>
          <w:rFonts w:ascii="Book Antiqua" w:eastAsia="Book Antiqua" w:hAnsi="Book Antiqua" w:cs="Book Antiqua"/>
          <w:color w:val="000000"/>
          <w:szCs w:val="30"/>
          <w:vertAlign w:val="superscript"/>
        </w:rPr>
        <w:t>19]</w:t>
      </w:r>
      <w:r w:rsidRPr="00654F9A">
        <w:rPr>
          <w:rFonts w:ascii="Book Antiqua" w:eastAsia="Book Antiqua" w:hAnsi="Book Antiqua" w:cs="Book Antiqua"/>
          <w:color w:val="000000"/>
        </w:rPr>
        <w:t>. In addition, studies have indicated that higher BMI (&gt;</w:t>
      </w:r>
      <w:r w:rsidR="001D26FA"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25) was associated with reflux esophagitis</w:t>
      </w:r>
      <w:r w:rsidR="001D26FA" w:rsidRPr="00654F9A">
        <w:rPr>
          <w:rFonts w:ascii="Book Antiqua" w:eastAsia="Book Antiqua" w:hAnsi="Book Antiqua" w:cs="Book Antiqua"/>
          <w:color w:val="000000"/>
          <w:szCs w:val="30"/>
          <w:vertAlign w:val="superscript"/>
        </w:rPr>
        <w:t>[20,</w:t>
      </w:r>
      <w:r w:rsidRPr="00654F9A">
        <w:rPr>
          <w:rFonts w:ascii="Book Antiqua" w:eastAsia="Book Antiqua" w:hAnsi="Book Antiqua" w:cs="Book Antiqua"/>
          <w:color w:val="000000"/>
          <w:szCs w:val="30"/>
          <w:vertAlign w:val="superscript"/>
        </w:rPr>
        <w:t>21]</w:t>
      </w:r>
      <w:r w:rsidRPr="00654F9A">
        <w:rPr>
          <w:rFonts w:ascii="Book Antiqua" w:eastAsia="Book Antiqua" w:hAnsi="Book Antiqua" w:cs="Book Antiqua"/>
          <w:color w:val="000000"/>
        </w:rPr>
        <w:t xml:space="preserve"> and PUD, although the exact mechanism of the strong correlation was unclear</w:t>
      </w:r>
      <w:r w:rsidRPr="00654F9A">
        <w:rPr>
          <w:rFonts w:ascii="Book Antiqua" w:eastAsia="Book Antiqua" w:hAnsi="Book Antiqua" w:cs="Book Antiqua"/>
          <w:color w:val="000000"/>
          <w:szCs w:val="30"/>
          <w:vertAlign w:val="superscript"/>
        </w:rPr>
        <w:t>[22]</w:t>
      </w:r>
      <w:r w:rsidRPr="00654F9A">
        <w:rPr>
          <w:rFonts w:ascii="Book Antiqua" w:eastAsia="Book Antiqua" w:hAnsi="Book Antiqua" w:cs="Book Antiqua"/>
          <w:color w:val="000000"/>
        </w:rPr>
        <w:t>. This study showed that high BMI was crucial when predicting CSFs. The only symptom that was significantly associated with CSFs was epigastric pain (</w:t>
      </w:r>
      <w:r w:rsidR="00481DE7">
        <w:rPr>
          <w:rFonts w:ascii="Book Antiqua" w:eastAsia="Book Antiqua" w:hAnsi="Book Antiqua" w:cs="Book Antiqua"/>
          <w:color w:val="000000"/>
        </w:rPr>
        <w:t>odds ratio</w:t>
      </w:r>
      <w:r w:rsidRPr="00654F9A">
        <w:rPr>
          <w:rFonts w:ascii="Book Antiqua" w:eastAsia="Book Antiqua" w:hAnsi="Book Antiqua" w:cs="Book Antiqua"/>
          <w:color w:val="000000"/>
        </w:rPr>
        <w:t xml:space="preserve"> = 1.423). This might be largely due to high acid secretion seen in patients with epigastric pain that increased the incidence of gastroesophageal injury</w:t>
      </w:r>
      <w:r w:rsidRPr="00654F9A">
        <w:rPr>
          <w:rFonts w:ascii="Book Antiqua" w:eastAsia="Book Antiqua" w:hAnsi="Book Antiqua" w:cs="Book Antiqua"/>
          <w:color w:val="000000"/>
          <w:szCs w:val="30"/>
          <w:vertAlign w:val="superscript"/>
        </w:rPr>
        <w:t>[23]</w:t>
      </w:r>
      <w:r w:rsidRPr="00654F9A">
        <w:rPr>
          <w:rFonts w:ascii="Book Antiqua" w:eastAsia="Book Antiqua" w:hAnsi="Book Antiqua" w:cs="Book Antiqua"/>
          <w:color w:val="000000"/>
        </w:rPr>
        <w:t>.</w:t>
      </w:r>
    </w:p>
    <w:p w14:paraId="76FF050A" w14:textId="1345ED10" w:rsidR="00A77B3E" w:rsidRPr="00654F9A" w:rsidRDefault="00717DC8">
      <w:pPr>
        <w:spacing w:line="360" w:lineRule="auto"/>
        <w:ind w:firstLine="240"/>
        <w:jc w:val="both"/>
      </w:pPr>
      <w:r w:rsidRPr="00654F9A">
        <w:rPr>
          <w:rFonts w:ascii="Book Antiqua" w:eastAsia="Book Antiqua" w:hAnsi="Book Antiqua" w:cs="Book Antiqua"/>
          <w:color w:val="000000"/>
        </w:rPr>
        <w:t xml:space="preserve">Finally, </w:t>
      </w:r>
      <w:r w:rsidR="00CB0E40" w:rsidRPr="00654F9A">
        <w:rPr>
          <w:rFonts w:ascii="Book Antiqua" w:eastAsia="Book Antiqua" w:hAnsi="Book Antiqua" w:cs="Book Antiqua"/>
          <w:color w:val="000000"/>
        </w:rPr>
        <w:t>a few</w:t>
      </w:r>
      <w:r w:rsidRPr="00654F9A">
        <w:rPr>
          <w:rFonts w:ascii="Book Antiqua" w:eastAsia="Book Antiqua" w:hAnsi="Book Antiqua" w:cs="Book Antiqua"/>
          <w:color w:val="000000"/>
        </w:rPr>
        <w:t xml:space="preserve"> studies have shown that age might play an important role in the diagnosis of CSFs</w:t>
      </w:r>
      <w:r w:rsidR="001D26FA" w:rsidRPr="00654F9A">
        <w:rPr>
          <w:rFonts w:ascii="Book Antiqua" w:eastAsia="Book Antiqua" w:hAnsi="Book Antiqua" w:cs="Book Antiqua"/>
          <w:color w:val="000000"/>
          <w:szCs w:val="30"/>
          <w:vertAlign w:val="superscript"/>
        </w:rPr>
        <w:t>[24,</w:t>
      </w:r>
      <w:r w:rsidRPr="00654F9A">
        <w:rPr>
          <w:rFonts w:ascii="Book Antiqua" w:eastAsia="Book Antiqua" w:hAnsi="Book Antiqua" w:cs="Book Antiqua"/>
          <w:color w:val="000000"/>
          <w:szCs w:val="30"/>
          <w:vertAlign w:val="superscript"/>
        </w:rPr>
        <w:t>25]</w:t>
      </w:r>
      <w:r w:rsidRPr="00654F9A">
        <w:rPr>
          <w:rFonts w:ascii="Book Antiqua" w:eastAsia="Book Antiqua" w:hAnsi="Book Antiqua" w:cs="Book Antiqua"/>
          <w:color w:val="000000"/>
        </w:rPr>
        <w:t>. A previous study concluded that the presence of any warning feature and age ≥</w:t>
      </w:r>
      <w:r w:rsidR="001D26FA"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 xml:space="preserve">55 </w:t>
      </w:r>
      <w:r w:rsidR="00CB0E40">
        <w:rPr>
          <w:rFonts w:ascii="Book Antiqua" w:eastAsia="Book Antiqua" w:hAnsi="Book Antiqua" w:cs="Book Antiqua"/>
          <w:color w:val="000000"/>
        </w:rPr>
        <w:t>we</w:t>
      </w:r>
      <w:r w:rsidRPr="00654F9A">
        <w:rPr>
          <w:rFonts w:ascii="Book Antiqua" w:eastAsia="Book Antiqua" w:hAnsi="Book Antiqua" w:cs="Book Antiqua"/>
          <w:color w:val="000000"/>
        </w:rPr>
        <w:t>re associated with</w:t>
      </w:r>
      <w:r w:rsidR="00602EC4">
        <w:rPr>
          <w:rFonts w:ascii="Book Antiqua" w:eastAsia="Book Antiqua" w:hAnsi="Book Antiqua" w:cs="Book Antiqua"/>
          <w:color w:val="000000"/>
        </w:rPr>
        <w:t xml:space="preserve"> a</w:t>
      </w:r>
      <w:r w:rsidRPr="00654F9A">
        <w:rPr>
          <w:rFonts w:ascii="Book Antiqua" w:eastAsia="Book Antiqua" w:hAnsi="Book Antiqua" w:cs="Book Antiqua"/>
          <w:color w:val="000000"/>
        </w:rPr>
        <w:t xml:space="preserve"> higher risk of CSFs</w:t>
      </w:r>
      <w:r w:rsidRPr="00654F9A">
        <w:rPr>
          <w:rFonts w:ascii="Book Antiqua" w:eastAsia="Book Antiqua" w:hAnsi="Book Antiqua" w:cs="Book Antiqua"/>
          <w:color w:val="000000"/>
          <w:szCs w:val="30"/>
          <w:vertAlign w:val="superscript"/>
        </w:rPr>
        <w:t>[26]</w:t>
      </w:r>
      <w:r w:rsidRPr="00654F9A">
        <w:rPr>
          <w:rFonts w:ascii="Book Antiqua" w:eastAsia="Book Antiqua" w:hAnsi="Book Antiqua" w:cs="Book Antiqua"/>
          <w:color w:val="000000"/>
        </w:rPr>
        <w:t>. However, in this study, the prevalence of CSFs did not increase with age, but the incidence of malignancy was relatively higher in patients ≥</w:t>
      </w:r>
      <w:r w:rsidR="0056258C"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50 years of age. In this study, patients diagnosed with malignancy were all &gt;</w:t>
      </w:r>
      <w:r w:rsidR="0056258C"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50 years old, except for a 42-year-old female patient. In other words, the proportion of dyspeptic patients &lt;</w:t>
      </w:r>
      <w:r w:rsidR="0056258C"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50 years that had malignancy was only 0.1%. Therefore, for dyspeptic patients &gt;</w:t>
      </w:r>
      <w:r w:rsidR="0056258C"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50</w:t>
      </w:r>
      <w:r w:rsidR="00837B00">
        <w:rPr>
          <w:rFonts w:ascii="Book Antiqua" w:eastAsia="Book Antiqua" w:hAnsi="Book Antiqua" w:cs="Book Antiqua"/>
          <w:color w:val="000000"/>
        </w:rPr>
        <w:t>-</w:t>
      </w:r>
      <w:r w:rsidRPr="00654F9A">
        <w:rPr>
          <w:rFonts w:ascii="Book Antiqua" w:eastAsia="Book Antiqua" w:hAnsi="Book Antiqua" w:cs="Book Antiqua"/>
          <w:color w:val="000000"/>
        </w:rPr>
        <w:t>years</w:t>
      </w:r>
      <w:r w:rsidR="00837B00">
        <w:rPr>
          <w:rFonts w:ascii="Book Antiqua" w:eastAsia="Book Antiqua" w:hAnsi="Book Antiqua" w:cs="Book Antiqua"/>
          <w:color w:val="000000"/>
        </w:rPr>
        <w:t>-</w:t>
      </w:r>
      <w:r w:rsidRPr="00654F9A">
        <w:rPr>
          <w:rFonts w:ascii="Book Antiqua" w:eastAsia="Book Antiqua" w:hAnsi="Book Antiqua" w:cs="Book Antiqua"/>
          <w:color w:val="000000"/>
        </w:rPr>
        <w:t>old, endoscopy should be performed to exclude malignancy even in the absence of warning symptoms. Additionally, the incidence of peptic ulcers gradually decreased with age. This could be due to the socioeconomic and work pressure that leads to stress, which is a known risk factor for peptic ulcers</w:t>
      </w:r>
      <w:r w:rsidRPr="00654F9A">
        <w:rPr>
          <w:rFonts w:ascii="Book Antiqua" w:eastAsia="Book Antiqua" w:hAnsi="Book Antiqua" w:cs="Book Antiqua"/>
          <w:color w:val="000000"/>
          <w:szCs w:val="30"/>
          <w:vertAlign w:val="superscript"/>
        </w:rPr>
        <w:t>[27]</w:t>
      </w:r>
      <w:r w:rsidRPr="00654F9A">
        <w:rPr>
          <w:rFonts w:ascii="Book Antiqua" w:eastAsia="Book Antiqua" w:hAnsi="Book Antiqua" w:cs="Book Antiqua"/>
          <w:color w:val="000000"/>
        </w:rPr>
        <w:t>. Interestingly, contrary to our results, a recent study showed a higher prevalence of gastric ulcers in people over 60 years of age</w:t>
      </w:r>
      <w:r w:rsidRPr="00654F9A">
        <w:rPr>
          <w:rFonts w:ascii="Book Antiqua" w:eastAsia="Book Antiqua" w:hAnsi="Book Antiqua" w:cs="Book Antiqua"/>
          <w:color w:val="000000"/>
          <w:szCs w:val="30"/>
          <w:vertAlign w:val="superscript"/>
        </w:rPr>
        <w:t>[28]</w:t>
      </w:r>
      <w:r w:rsidRPr="00654F9A">
        <w:rPr>
          <w:rFonts w:ascii="Book Antiqua" w:eastAsia="Book Antiqua" w:hAnsi="Book Antiqua" w:cs="Book Antiqua"/>
          <w:color w:val="000000"/>
        </w:rPr>
        <w:t>. However, their study covered all patients with dyspepsia who met the Rome IV criteria.</w:t>
      </w:r>
    </w:p>
    <w:p w14:paraId="30713590" w14:textId="77777777" w:rsidR="00A77B3E" w:rsidRPr="00654F9A" w:rsidRDefault="00717DC8">
      <w:pPr>
        <w:spacing w:line="360" w:lineRule="auto"/>
        <w:ind w:firstLine="240"/>
        <w:jc w:val="both"/>
      </w:pPr>
      <w:r w:rsidRPr="00654F9A">
        <w:rPr>
          <w:rFonts w:ascii="Book Antiqua" w:eastAsia="Book Antiqua" w:hAnsi="Book Antiqua" w:cs="Book Antiqua"/>
          <w:color w:val="000000"/>
        </w:rPr>
        <w:t>Many studies have shown that warning symptoms can hardly predict positive endoscopic findings. They concluded that gastroscopy should not be based solely on warning symptoms. Our study supports this from a different perspective. Overall, Chinese patients with dyspepsia should undergo gastroscopy regardless of the presence or absence of warning symptoms.</w:t>
      </w:r>
    </w:p>
    <w:p w14:paraId="0220A291" w14:textId="7CA42B9E" w:rsidR="00A77B3E" w:rsidRPr="00654F9A" w:rsidRDefault="00717DC8">
      <w:pPr>
        <w:spacing w:line="360" w:lineRule="auto"/>
        <w:ind w:firstLine="227"/>
        <w:jc w:val="both"/>
      </w:pPr>
      <w:r w:rsidRPr="00654F9A">
        <w:rPr>
          <w:rFonts w:ascii="Book Antiqua" w:eastAsia="Book Antiqua" w:hAnsi="Book Antiqua" w:cs="Book Antiqua"/>
          <w:color w:val="000000"/>
        </w:rPr>
        <w:t>This study has a few limitations. First, this was a single</w:t>
      </w:r>
      <w:r w:rsidR="00602EC4">
        <w:rPr>
          <w:rFonts w:ascii="Book Antiqua" w:eastAsia="Book Antiqua" w:hAnsi="Book Antiqua" w:cs="Book Antiqua"/>
          <w:color w:val="000000"/>
        </w:rPr>
        <w:t xml:space="preserve"> </w:t>
      </w:r>
      <w:r w:rsidRPr="00654F9A">
        <w:rPr>
          <w:rFonts w:ascii="Book Antiqua" w:eastAsia="Book Antiqua" w:hAnsi="Book Antiqua" w:cs="Book Antiqua"/>
          <w:color w:val="000000"/>
        </w:rPr>
        <w:t xml:space="preserve">center study, and not all patients were diagnosed with dyspepsia for the first time. In addition, the inclusion process and gastroscopic screening were mainly done by </w:t>
      </w:r>
      <w:r w:rsidR="00602EC4">
        <w:rPr>
          <w:rFonts w:ascii="Book Antiqua" w:eastAsia="Book Antiqua" w:hAnsi="Book Antiqua" w:cs="Book Antiqua"/>
          <w:color w:val="000000"/>
        </w:rPr>
        <w:t xml:space="preserve">a </w:t>
      </w:r>
      <w:r w:rsidRPr="00654F9A">
        <w:rPr>
          <w:rFonts w:ascii="Book Antiqua" w:eastAsia="Book Antiqua" w:hAnsi="Book Antiqua" w:cs="Book Antiqua"/>
          <w:color w:val="000000"/>
        </w:rPr>
        <w:t>few physicians</w:t>
      </w:r>
      <w:r w:rsidR="00602EC4">
        <w:rPr>
          <w:rFonts w:ascii="Book Antiqua" w:eastAsia="Book Antiqua" w:hAnsi="Book Antiqua" w:cs="Book Antiqua"/>
          <w:color w:val="000000"/>
        </w:rPr>
        <w:t>,</w:t>
      </w:r>
      <w:r w:rsidRPr="00654F9A">
        <w:rPr>
          <w:rFonts w:ascii="Book Antiqua" w:eastAsia="Book Antiqua" w:hAnsi="Book Antiqua" w:cs="Book Antiqua"/>
          <w:color w:val="000000"/>
        </w:rPr>
        <w:t xml:space="preserve"> and therefore selection bias might occur. Secondly, our sample size was still not large enough to observe some trends that did not reach statistical significance. Therefore, future large</w:t>
      </w:r>
      <w:r w:rsidR="00602EC4">
        <w:rPr>
          <w:rFonts w:ascii="Book Antiqua" w:eastAsia="Book Antiqua" w:hAnsi="Book Antiqua" w:cs="Book Antiqua"/>
          <w:color w:val="000000"/>
        </w:rPr>
        <w:t>,</w:t>
      </w:r>
      <w:r w:rsidRPr="00654F9A">
        <w:rPr>
          <w:rFonts w:ascii="Book Antiqua" w:eastAsia="Book Antiqua" w:hAnsi="Book Antiqua" w:cs="Book Antiqua"/>
          <w:color w:val="000000"/>
        </w:rPr>
        <w:t xml:space="preserve"> controlled studies with more indicators are needed to assess the long-term benefits of gastroscopy, such as setting up another cohort with warning symptoms to compare the value of gastroscopy in patients with these two types of dyspepsia.</w:t>
      </w:r>
    </w:p>
    <w:p w14:paraId="39095291" w14:textId="77777777" w:rsidR="00A77B3E" w:rsidRPr="00654F9A" w:rsidRDefault="00A77B3E">
      <w:pPr>
        <w:spacing w:line="360" w:lineRule="auto"/>
        <w:ind w:firstLine="227"/>
        <w:jc w:val="both"/>
      </w:pPr>
    </w:p>
    <w:bookmarkEnd w:id="58"/>
    <w:bookmarkEnd w:id="59"/>
    <w:p w14:paraId="35B15FDE" w14:textId="77777777" w:rsidR="00A77B3E" w:rsidRPr="00654F9A" w:rsidRDefault="00717DC8">
      <w:pPr>
        <w:spacing w:line="360" w:lineRule="auto"/>
        <w:jc w:val="both"/>
      </w:pPr>
      <w:r w:rsidRPr="00654F9A">
        <w:rPr>
          <w:rFonts w:ascii="Book Antiqua" w:eastAsia="Book Antiqua" w:hAnsi="Book Antiqua" w:cs="Book Antiqua"/>
          <w:b/>
          <w:caps/>
          <w:color w:val="000000"/>
          <w:u w:val="single"/>
        </w:rPr>
        <w:t>CONCLUSION</w:t>
      </w:r>
    </w:p>
    <w:p w14:paraId="70B7944C" w14:textId="77777777" w:rsidR="00A77B3E" w:rsidRPr="00654F9A" w:rsidRDefault="00717DC8">
      <w:pPr>
        <w:spacing w:line="360" w:lineRule="auto"/>
        <w:jc w:val="both"/>
      </w:pPr>
      <w:bookmarkStart w:id="60" w:name="OLE_LINK41"/>
      <w:bookmarkStart w:id="61" w:name="OLE_LINK42"/>
      <w:r w:rsidRPr="00654F9A">
        <w:rPr>
          <w:rFonts w:ascii="Book Antiqua" w:eastAsia="Book Antiqua" w:hAnsi="Book Antiqua" w:cs="Book Antiqua"/>
          <w:color w:val="000000"/>
        </w:rPr>
        <w:t>Our study showed a high detection rate of CSFs in dyspeptic patients with no warning symptoms under the Rome IV criteria. Gastroscopy has significant implications in dyspeptic patients, especially for those with independent risk factors. Therefore, gastroscopy should not be performed based on warning symptoms exclusively. Taken together, our study provided a basis for the development and progression of the initial treatment strategy for these patients.</w:t>
      </w:r>
    </w:p>
    <w:bookmarkEnd w:id="60"/>
    <w:bookmarkEnd w:id="61"/>
    <w:p w14:paraId="4DC120D8" w14:textId="77777777" w:rsidR="00A77B3E" w:rsidRPr="00654F9A" w:rsidRDefault="00A77B3E">
      <w:pPr>
        <w:spacing w:line="360" w:lineRule="auto"/>
        <w:jc w:val="both"/>
      </w:pPr>
    </w:p>
    <w:p w14:paraId="0515D46A" w14:textId="77777777" w:rsidR="00A77B3E" w:rsidRPr="00654F9A" w:rsidRDefault="00717DC8">
      <w:pPr>
        <w:spacing w:line="360" w:lineRule="auto"/>
        <w:jc w:val="both"/>
      </w:pPr>
      <w:r w:rsidRPr="00654F9A">
        <w:rPr>
          <w:rFonts w:ascii="Book Antiqua" w:eastAsia="Book Antiqua" w:hAnsi="Book Antiqua" w:cs="Book Antiqua"/>
          <w:b/>
          <w:caps/>
          <w:color w:val="000000"/>
          <w:u w:val="single"/>
        </w:rPr>
        <w:t>ARTICLE HIGHLIGHTS</w:t>
      </w:r>
    </w:p>
    <w:p w14:paraId="3182A719" w14:textId="77777777" w:rsidR="00A77B3E" w:rsidRPr="00654F9A" w:rsidRDefault="00717DC8">
      <w:pPr>
        <w:spacing w:line="360" w:lineRule="auto"/>
        <w:jc w:val="both"/>
      </w:pPr>
      <w:r w:rsidRPr="00654F9A">
        <w:rPr>
          <w:rFonts w:ascii="Book Antiqua" w:eastAsia="Book Antiqua" w:hAnsi="Book Antiqua" w:cs="Book Antiqua"/>
          <w:b/>
          <w:i/>
          <w:color w:val="000000"/>
        </w:rPr>
        <w:t>Research background</w:t>
      </w:r>
    </w:p>
    <w:p w14:paraId="7C513395" w14:textId="7138AD29" w:rsidR="00A77B3E" w:rsidRPr="00654F9A" w:rsidRDefault="00717DC8">
      <w:pPr>
        <w:spacing w:line="360" w:lineRule="auto"/>
        <w:jc w:val="both"/>
      </w:pPr>
      <w:bookmarkStart w:id="62" w:name="OLE_LINK43"/>
      <w:bookmarkStart w:id="63" w:name="OLE_LINK44"/>
      <w:r w:rsidRPr="00654F9A">
        <w:rPr>
          <w:rFonts w:ascii="Book Antiqua" w:eastAsia="Book Antiqua" w:hAnsi="Book Antiqua" w:cs="Book Antiqua"/>
          <w:color w:val="000000"/>
        </w:rPr>
        <w:t xml:space="preserve">Dyspepsia is </w:t>
      </w:r>
      <w:r w:rsidR="00CD2972">
        <w:rPr>
          <w:rFonts w:ascii="Book Antiqua" w:eastAsia="Book Antiqua" w:hAnsi="Book Antiqua" w:cs="Book Antiqua"/>
          <w:color w:val="000000"/>
        </w:rPr>
        <w:t>a</w:t>
      </w:r>
      <w:r w:rsidRPr="00654F9A">
        <w:rPr>
          <w:rFonts w:ascii="Book Antiqua" w:eastAsia="Book Antiqua" w:hAnsi="Book Antiqua" w:cs="Book Antiqua"/>
          <w:color w:val="000000"/>
        </w:rPr>
        <w:t xml:space="preserve"> common clinical disorder. No studies have evaluated the diagnostic value of endoscopy in patients with no warning symptoms according to the Rome IV criteria.</w:t>
      </w:r>
    </w:p>
    <w:bookmarkEnd w:id="62"/>
    <w:bookmarkEnd w:id="63"/>
    <w:p w14:paraId="5234E299" w14:textId="77777777" w:rsidR="00A77B3E" w:rsidRPr="00654F9A" w:rsidRDefault="00A77B3E">
      <w:pPr>
        <w:spacing w:line="360" w:lineRule="auto"/>
        <w:jc w:val="both"/>
      </w:pPr>
    </w:p>
    <w:p w14:paraId="51E5F101" w14:textId="77777777" w:rsidR="00A77B3E" w:rsidRPr="00654F9A" w:rsidRDefault="00717DC8">
      <w:pPr>
        <w:spacing w:line="360" w:lineRule="auto"/>
        <w:jc w:val="both"/>
      </w:pPr>
      <w:r w:rsidRPr="00654F9A">
        <w:rPr>
          <w:rFonts w:ascii="Book Antiqua" w:eastAsia="Book Antiqua" w:hAnsi="Book Antiqua" w:cs="Book Antiqua"/>
          <w:b/>
          <w:i/>
          <w:color w:val="000000"/>
        </w:rPr>
        <w:t>Research motivation</w:t>
      </w:r>
    </w:p>
    <w:p w14:paraId="7D5BA301" w14:textId="77777777" w:rsidR="00A77B3E" w:rsidRPr="00654F9A" w:rsidRDefault="00717DC8">
      <w:pPr>
        <w:spacing w:line="360" w:lineRule="auto"/>
        <w:jc w:val="both"/>
      </w:pPr>
      <w:bookmarkStart w:id="64" w:name="OLE_LINK45"/>
      <w:bookmarkStart w:id="65" w:name="OLE_LINK46"/>
      <w:r w:rsidRPr="00654F9A">
        <w:rPr>
          <w:rFonts w:ascii="Book Antiqua" w:eastAsia="Book Antiqua" w:hAnsi="Book Antiqua" w:cs="Book Antiqua"/>
          <w:color w:val="000000"/>
        </w:rPr>
        <w:t>Many studies have used warning symptoms to predict important endoscopic findings in patients with dyspepsia. However, there remains an uncertainty regarding the best initial management strategy for those patients with no warning features.</w:t>
      </w:r>
    </w:p>
    <w:bookmarkEnd w:id="64"/>
    <w:bookmarkEnd w:id="65"/>
    <w:p w14:paraId="3F894FEE" w14:textId="77777777" w:rsidR="00A77B3E" w:rsidRPr="00654F9A" w:rsidRDefault="00A77B3E">
      <w:pPr>
        <w:spacing w:line="360" w:lineRule="auto"/>
        <w:jc w:val="both"/>
      </w:pPr>
    </w:p>
    <w:p w14:paraId="11CC2CF7" w14:textId="77777777" w:rsidR="00A77B3E" w:rsidRPr="00654F9A" w:rsidRDefault="00717DC8">
      <w:pPr>
        <w:spacing w:line="360" w:lineRule="auto"/>
        <w:jc w:val="both"/>
      </w:pPr>
      <w:r w:rsidRPr="00654F9A">
        <w:rPr>
          <w:rFonts w:ascii="Book Antiqua" w:eastAsia="Book Antiqua" w:hAnsi="Book Antiqua" w:cs="Book Antiqua"/>
          <w:b/>
          <w:i/>
          <w:color w:val="000000"/>
        </w:rPr>
        <w:t>Research objectives</w:t>
      </w:r>
    </w:p>
    <w:p w14:paraId="60E5A87D" w14:textId="77777777" w:rsidR="00A77B3E" w:rsidRPr="00654F9A" w:rsidRDefault="00717DC8">
      <w:pPr>
        <w:spacing w:line="360" w:lineRule="auto"/>
        <w:jc w:val="both"/>
      </w:pPr>
      <w:r w:rsidRPr="00654F9A">
        <w:rPr>
          <w:rFonts w:ascii="Book Antiqua" w:eastAsia="Book Antiqua" w:hAnsi="Book Antiqua" w:cs="Book Antiqua"/>
          <w:color w:val="000000"/>
        </w:rPr>
        <w:t>To evaluate the diagnostic value of endoscopy in dyspeptic patients with no warning symptoms.</w:t>
      </w:r>
    </w:p>
    <w:p w14:paraId="657DBC6B" w14:textId="77777777" w:rsidR="00A77B3E" w:rsidRPr="00654F9A" w:rsidRDefault="00A77B3E">
      <w:pPr>
        <w:spacing w:line="360" w:lineRule="auto"/>
        <w:jc w:val="both"/>
      </w:pPr>
    </w:p>
    <w:p w14:paraId="23B23C20" w14:textId="77777777" w:rsidR="00A77B3E" w:rsidRPr="00654F9A" w:rsidRDefault="00717DC8">
      <w:pPr>
        <w:spacing w:line="360" w:lineRule="auto"/>
        <w:jc w:val="both"/>
      </w:pPr>
      <w:r w:rsidRPr="00654F9A">
        <w:rPr>
          <w:rFonts w:ascii="Book Antiqua" w:eastAsia="Book Antiqua" w:hAnsi="Book Antiqua" w:cs="Book Antiqua"/>
          <w:b/>
          <w:i/>
          <w:color w:val="000000"/>
        </w:rPr>
        <w:t>Research methods</w:t>
      </w:r>
    </w:p>
    <w:p w14:paraId="07B956A5" w14:textId="77777777" w:rsidR="00A77B3E" w:rsidRPr="00654F9A" w:rsidRDefault="00717DC8">
      <w:pPr>
        <w:spacing w:line="360" w:lineRule="auto"/>
        <w:jc w:val="both"/>
      </w:pPr>
      <w:r w:rsidRPr="00654F9A">
        <w:rPr>
          <w:rFonts w:ascii="Book Antiqua" w:eastAsia="Book Antiqua" w:hAnsi="Book Antiqua" w:cs="Book Antiqua"/>
          <w:color w:val="000000"/>
        </w:rPr>
        <w:t>We performed a cross-sectional study of dyspeptic patients with no warning symptoms from April 2018 to February 2019.</w:t>
      </w:r>
    </w:p>
    <w:p w14:paraId="6C3DA233" w14:textId="77777777" w:rsidR="00A77B3E" w:rsidRPr="00654F9A" w:rsidRDefault="00A77B3E">
      <w:pPr>
        <w:spacing w:line="360" w:lineRule="auto"/>
        <w:jc w:val="both"/>
      </w:pPr>
    </w:p>
    <w:p w14:paraId="13846974" w14:textId="77777777" w:rsidR="00A77B3E" w:rsidRPr="00654F9A" w:rsidRDefault="00717DC8">
      <w:pPr>
        <w:spacing w:line="360" w:lineRule="auto"/>
        <w:jc w:val="both"/>
      </w:pPr>
      <w:r w:rsidRPr="00654F9A">
        <w:rPr>
          <w:rFonts w:ascii="Book Antiqua" w:eastAsia="Book Antiqua" w:hAnsi="Book Antiqua" w:cs="Book Antiqua"/>
          <w:b/>
          <w:i/>
          <w:color w:val="000000"/>
        </w:rPr>
        <w:t>Research results</w:t>
      </w:r>
    </w:p>
    <w:p w14:paraId="59CE4268" w14:textId="3D1309E7" w:rsidR="00A77B3E" w:rsidRPr="00654F9A" w:rsidRDefault="00717DC8">
      <w:pPr>
        <w:spacing w:line="360" w:lineRule="auto"/>
        <w:jc w:val="both"/>
      </w:pPr>
      <w:bookmarkStart w:id="66" w:name="OLE_LINK47"/>
      <w:bookmarkStart w:id="67" w:name="OLE_LINK48"/>
      <w:r w:rsidRPr="00654F9A">
        <w:rPr>
          <w:rFonts w:ascii="Book Antiqua" w:eastAsia="Book Antiqua" w:hAnsi="Book Antiqua" w:cs="Book Antiqua"/>
          <w:color w:val="000000"/>
        </w:rPr>
        <w:t xml:space="preserve">The incidence of malignancy (0.9%) among dyspeptic patients with no warning symptoms </w:t>
      </w:r>
      <w:r w:rsidR="00CD2972">
        <w:rPr>
          <w:rFonts w:ascii="Book Antiqua" w:eastAsia="Book Antiqua" w:hAnsi="Book Antiqua" w:cs="Book Antiqua"/>
          <w:color w:val="000000"/>
        </w:rPr>
        <w:t>wa</w:t>
      </w:r>
      <w:r w:rsidRPr="00654F9A">
        <w:rPr>
          <w:rFonts w:ascii="Book Antiqua" w:eastAsia="Book Antiqua" w:hAnsi="Book Antiqua" w:cs="Book Antiqua"/>
          <w:color w:val="000000"/>
        </w:rPr>
        <w:t xml:space="preserve">s high. Moreover, male gender, </w:t>
      </w:r>
      <w:r w:rsidR="0056258C" w:rsidRPr="00654F9A">
        <w:rPr>
          <w:rFonts w:ascii="Book Antiqua" w:hAnsi="Book Antiqua" w:cs="Book Antiqua"/>
          <w:color w:val="000000"/>
          <w:lang w:eastAsia="zh-CN"/>
        </w:rPr>
        <w:t>b</w:t>
      </w:r>
      <w:r w:rsidR="0056258C" w:rsidRPr="00654F9A">
        <w:rPr>
          <w:rFonts w:ascii="Book Antiqua" w:eastAsia="Book Antiqua" w:hAnsi="Book Antiqua" w:cs="Book Antiqua"/>
          <w:color w:val="000000"/>
        </w:rPr>
        <w:t>ody mass index</w:t>
      </w:r>
      <w:r w:rsidR="0056258C"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&gt;</w:t>
      </w:r>
      <w:r w:rsidR="0056258C" w:rsidRPr="00654F9A">
        <w:rPr>
          <w:rFonts w:ascii="Book Antiqua" w:hAnsi="Book Antiqua" w:cs="Book Antiqua"/>
          <w:color w:val="000000"/>
          <w:lang w:eastAsia="zh-CN"/>
        </w:rPr>
        <w:t xml:space="preserve"> </w:t>
      </w:r>
      <w:r w:rsidRPr="00654F9A">
        <w:rPr>
          <w:rFonts w:ascii="Book Antiqua" w:eastAsia="Book Antiqua" w:hAnsi="Book Antiqua" w:cs="Book Antiqua"/>
          <w:color w:val="000000"/>
        </w:rPr>
        <w:t xml:space="preserve">25, epigastric pain and </w:t>
      </w:r>
      <w:r w:rsidRPr="00654F9A">
        <w:rPr>
          <w:rFonts w:ascii="Book Antiqua" w:eastAsia="Book Antiqua" w:hAnsi="Book Antiqua" w:cs="Book Antiqua"/>
          <w:i/>
          <w:iCs/>
          <w:color w:val="000000"/>
        </w:rPr>
        <w:t>Helicobacter pylori</w:t>
      </w:r>
      <w:r w:rsidRPr="00654F9A">
        <w:rPr>
          <w:rFonts w:ascii="Book Antiqua" w:eastAsia="Book Antiqua" w:hAnsi="Book Antiqua" w:cs="Book Antiqua"/>
          <w:color w:val="000000"/>
        </w:rPr>
        <w:t xml:space="preserve"> infection </w:t>
      </w:r>
      <w:r w:rsidR="00CD2972">
        <w:rPr>
          <w:rFonts w:ascii="Book Antiqua" w:eastAsia="Book Antiqua" w:hAnsi="Book Antiqua" w:cs="Book Antiqua"/>
          <w:color w:val="000000"/>
        </w:rPr>
        <w:t>we</w:t>
      </w:r>
      <w:r w:rsidRPr="00654F9A">
        <w:rPr>
          <w:rFonts w:ascii="Book Antiqua" w:eastAsia="Book Antiqua" w:hAnsi="Book Antiqua" w:cs="Book Antiqua"/>
          <w:color w:val="000000"/>
        </w:rPr>
        <w:t>re independently associated with significant endoscopic findings.</w:t>
      </w:r>
    </w:p>
    <w:bookmarkEnd w:id="66"/>
    <w:bookmarkEnd w:id="67"/>
    <w:p w14:paraId="58D6839F" w14:textId="77777777" w:rsidR="00A77B3E" w:rsidRPr="00654F9A" w:rsidRDefault="00A77B3E">
      <w:pPr>
        <w:spacing w:line="360" w:lineRule="auto"/>
        <w:jc w:val="both"/>
      </w:pPr>
    </w:p>
    <w:p w14:paraId="38843D8F" w14:textId="77777777" w:rsidR="00A77B3E" w:rsidRPr="00654F9A" w:rsidRDefault="00717DC8">
      <w:pPr>
        <w:spacing w:line="360" w:lineRule="auto"/>
        <w:jc w:val="both"/>
      </w:pPr>
      <w:r w:rsidRPr="00654F9A">
        <w:rPr>
          <w:rFonts w:ascii="Book Antiqua" w:eastAsia="Book Antiqua" w:hAnsi="Book Antiqua" w:cs="Book Antiqua"/>
          <w:b/>
          <w:i/>
          <w:color w:val="000000"/>
        </w:rPr>
        <w:t>Research conclusions</w:t>
      </w:r>
    </w:p>
    <w:p w14:paraId="443A65C6" w14:textId="77777777" w:rsidR="00A77B3E" w:rsidRPr="00654F9A" w:rsidRDefault="00717DC8">
      <w:pPr>
        <w:spacing w:line="360" w:lineRule="auto"/>
        <w:jc w:val="both"/>
      </w:pPr>
      <w:r w:rsidRPr="00654F9A">
        <w:rPr>
          <w:rFonts w:ascii="Book Antiqua" w:eastAsia="Book Antiqua" w:hAnsi="Book Antiqua" w:cs="Book Antiqua"/>
          <w:color w:val="000000"/>
        </w:rPr>
        <w:t>According to the Rome IV standard, endoscopy is of high diagnostic value for dyspeptic patients with no warning symptoms in China. Dyspeptic patients should undergo gastroscopy regardless of the presence or absence of warning symptoms.</w:t>
      </w:r>
    </w:p>
    <w:p w14:paraId="0F5F3A12" w14:textId="77777777" w:rsidR="00A77B3E" w:rsidRPr="00654F9A" w:rsidRDefault="00A77B3E">
      <w:pPr>
        <w:spacing w:line="360" w:lineRule="auto"/>
        <w:jc w:val="both"/>
      </w:pPr>
    </w:p>
    <w:p w14:paraId="53436F8C" w14:textId="77777777" w:rsidR="00A77B3E" w:rsidRPr="00654F9A" w:rsidRDefault="00717DC8">
      <w:pPr>
        <w:spacing w:line="360" w:lineRule="auto"/>
        <w:jc w:val="both"/>
      </w:pPr>
      <w:r w:rsidRPr="00654F9A">
        <w:rPr>
          <w:rFonts w:ascii="Book Antiqua" w:eastAsia="Book Antiqua" w:hAnsi="Book Antiqua" w:cs="Book Antiqua"/>
          <w:b/>
          <w:i/>
          <w:color w:val="000000"/>
        </w:rPr>
        <w:t>Research perspectives</w:t>
      </w:r>
    </w:p>
    <w:p w14:paraId="5D1B31BD" w14:textId="77777777" w:rsidR="00A77B3E" w:rsidRPr="00654F9A" w:rsidRDefault="00717DC8">
      <w:pPr>
        <w:spacing w:line="360" w:lineRule="auto"/>
        <w:jc w:val="both"/>
      </w:pPr>
      <w:r w:rsidRPr="00654F9A">
        <w:rPr>
          <w:rFonts w:ascii="Book Antiqua" w:eastAsia="Book Antiqua" w:hAnsi="Book Antiqua" w:cs="Book Antiqua"/>
          <w:color w:val="000000"/>
        </w:rPr>
        <w:t>Gastroscopy should be the initial management strategy for dyspeptic Chinese patients even in the absence of warning features. In the future, more controlled studies from multicenter samples will be needed to confirm this.</w:t>
      </w:r>
    </w:p>
    <w:p w14:paraId="774FFE5E" w14:textId="77777777" w:rsidR="00A77B3E" w:rsidRPr="00654F9A" w:rsidRDefault="00A77B3E">
      <w:pPr>
        <w:spacing w:line="360" w:lineRule="auto"/>
        <w:jc w:val="both"/>
      </w:pPr>
    </w:p>
    <w:p w14:paraId="52DE4CC4" w14:textId="77777777" w:rsidR="00A77B3E" w:rsidRPr="00654F9A" w:rsidRDefault="00717DC8">
      <w:pPr>
        <w:spacing w:line="360" w:lineRule="auto"/>
        <w:jc w:val="both"/>
      </w:pPr>
      <w:r w:rsidRPr="00654F9A">
        <w:rPr>
          <w:rFonts w:ascii="Book Antiqua" w:eastAsia="Book Antiqua" w:hAnsi="Book Antiqua" w:cs="Book Antiqua"/>
          <w:b/>
          <w:color w:val="000000"/>
        </w:rPr>
        <w:t>REFERENCES</w:t>
      </w:r>
    </w:p>
    <w:p w14:paraId="3533D558" w14:textId="77777777" w:rsidR="008F6FD4" w:rsidRPr="00654F9A" w:rsidRDefault="008F6FD4" w:rsidP="008F6FD4">
      <w:pPr>
        <w:pStyle w:val="a5"/>
        <w:shd w:val="clear" w:color="auto" w:fill="FFFFFF"/>
        <w:adjustRightInd w:val="0"/>
        <w:snapToGrid w:val="0"/>
        <w:spacing w:before="0" w:beforeAutospacing="0" w:after="0" w:afterAutospacing="0" w:line="360" w:lineRule="auto"/>
        <w:jc w:val="both"/>
        <w:rPr>
          <w:rFonts w:ascii="Book Antiqua" w:hAnsi="Book Antiqua"/>
        </w:rPr>
      </w:pPr>
      <w:bookmarkStart w:id="68" w:name="OLE_LINK2691"/>
      <w:bookmarkStart w:id="69" w:name="OLE_LINK49"/>
      <w:bookmarkStart w:id="70" w:name="OLE_LINK50"/>
      <w:r w:rsidRPr="00654F9A">
        <w:rPr>
          <w:rFonts w:ascii="Book Antiqua" w:hAnsi="Book Antiqua"/>
        </w:rPr>
        <w:t>1 </w:t>
      </w:r>
      <w:r w:rsidRPr="00654F9A">
        <w:rPr>
          <w:rFonts w:ascii="Book Antiqua" w:hAnsi="Book Antiqua"/>
          <w:b/>
          <w:bCs/>
        </w:rPr>
        <w:t>Knill-Jones RP</w:t>
      </w:r>
      <w:r w:rsidRPr="00654F9A">
        <w:rPr>
          <w:rFonts w:ascii="Book Antiqua" w:hAnsi="Book Antiqua"/>
        </w:rPr>
        <w:t>. Geographical differences in the prevalence of dyspepsia. </w:t>
      </w:r>
      <w:r w:rsidRPr="00654F9A">
        <w:rPr>
          <w:rFonts w:ascii="Book Antiqua" w:hAnsi="Book Antiqua"/>
          <w:i/>
          <w:iCs/>
        </w:rPr>
        <w:t>Scand J Gastroenterol Suppl</w:t>
      </w:r>
      <w:r w:rsidRPr="00654F9A">
        <w:rPr>
          <w:rFonts w:ascii="Book Antiqua" w:hAnsi="Book Antiqua"/>
        </w:rPr>
        <w:t> 1991; </w:t>
      </w:r>
      <w:r w:rsidRPr="00654F9A">
        <w:rPr>
          <w:rFonts w:ascii="Book Antiqua" w:hAnsi="Book Antiqua"/>
          <w:b/>
          <w:bCs/>
        </w:rPr>
        <w:t>182</w:t>
      </w:r>
      <w:r w:rsidRPr="00654F9A">
        <w:rPr>
          <w:rFonts w:ascii="Book Antiqua" w:hAnsi="Book Antiqua"/>
        </w:rPr>
        <w:t>: 17-24 [PMID: 1896825 DOI: 10.3109/00365529109109532]</w:t>
      </w:r>
    </w:p>
    <w:p w14:paraId="208C5827" w14:textId="77777777" w:rsidR="008F6FD4" w:rsidRPr="00654F9A" w:rsidRDefault="008F6FD4" w:rsidP="008F6FD4">
      <w:pPr>
        <w:pStyle w:val="a5"/>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2 </w:t>
      </w:r>
      <w:r w:rsidRPr="00654F9A">
        <w:rPr>
          <w:rFonts w:ascii="Book Antiqua" w:hAnsi="Book Antiqua"/>
          <w:b/>
          <w:bCs/>
        </w:rPr>
        <w:t>Mahadeva S</w:t>
      </w:r>
      <w:r w:rsidRPr="00654F9A">
        <w:rPr>
          <w:rFonts w:ascii="Book Antiqua" w:hAnsi="Book Antiqua"/>
        </w:rPr>
        <w:t>, Goh KL. Epidemiology of functional dyspepsia: a global perspective. </w:t>
      </w:r>
      <w:r w:rsidRPr="00654F9A">
        <w:rPr>
          <w:rFonts w:ascii="Book Antiqua" w:hAnsi="Book Antiqua"/>
          <w:i/>
          <w:iCs/>
        </w:rPr>
        <w:t>World J Gastroenterol</w:t>
      </w:r>
      <w:r w:rsidRPr="00654F9A">
        <w:rPr>
          <w:rFonts w:ascii="Book Antiqua" w:hAnsi="Book Antiqua"/>
        </w:rPr>
        <w:t> 2006; </w:t>
      </w:r>
      <w:r w:rsidRPr="00654F9A">
        <w:rPr>
          <w:rFonts w:ascii="Book Antiqua" w:hAnsi="Book Antiqua"/>
          <w:b/>
          <w:bCs/>
        </w:rPr>
        <w:t>12</w:t>
      </w:r>
      <w:r w:rsidRPr="00654F9A">
        <w:rPr>
          <w:rFonts w:ascii="Book Antiqua" w:hAnsi="Book Antiqua"/>
        </w:rPr>
        <w:t>: 2661-2666 [PMID: 16718749 DOI: 10.3748/wjg.v12.i17.2661]</w:t>
      </w:r>
    </w:p>
    <w:p w14:paraId="431E9913" w14:textId="77777777" w:rsidR="008F6FD4" w:rsidRPr="00654F9A" w:rsidRDefault="008F6FD4" w:rsidP="008F6FD4">
      <w:pPr>
        <w:pStyle w:val="a5"/>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3 </w:t>
      </w:r>
      <w:r w:rsidRPr="00654F9A">
        <w:rPr>
          <w:rFonts w:ascii="Book Antiqua" w:hAnsi="Book Antiqua"/>
          <w:b/>
          <w:bCs/>
        </w:rPr>
        <w:t>Drossman DA</w:t>
      </w:r>
      <w:r w:rsidRPr="00654F9A">
        <w:rPr>
          <w:rFonts w:ascii="Book Antiqua" w:hAnsi="Book Antiqua"/>
        </w:rPr>
        <w:t>, Hasler WL. Rome IV-Functional GI Disorders: Disorders of Gut-Brain Interaction. </w:t>
      </w:r>
      <w:r w:rsidRPr="00654F9A">
        <w:rPr>
          <w:rFonts w:ascii="Book Antiqua" w:hAnsi="Book Antiqua"/>
          <w:i/>
          <w:iCs/>
        </w:rPr>
        <w:t>Gastroenterology</w:t>
      </w:r>
      <w:r w:rsidRPr="00654F9A">
        <w:rPr>
          <w:rFonts w:ascii="Book Antiqua" w:hAnsi="Book Antiqua"/>
        </w:rPr>
        <w:t> 2016; </w:t>
      </w:r>
      <w:r w:rsidRPr="00654F9A">
        <w:rPr>
          <w:rFonts w:ascii="Book Antiqua" w:hAnsi="Book Antiqua"/>
          <w:b/>
          <w:bCs/>
        </w:rPr>
        <w:t>150</w:t>
      </w:r>
      <w:r w:rsidRPr="00654F9A">
        <w:rPr>
          <w:rFonts w:ascii="Book Antiqua" w:hAnsi="Book Antiqua"/>
        </w:rPr>
        <w:t>: 1257-1261 [PMID: 27147121 DOI: 10.1053/j.gastro.2016.03.035]</w:t>
      </w:r>
    </w:p>
    <w:p w14:paraId="07E33DA1" w14:textId="77777777" w:rsidR="008F6FD4" w:rsidRPr="00654F9A" w:rsidRDefault="008F6FD4" w:rsidP="008F6FD4">
      <w:pPr>
        <w:pStyle w:val="a5"/>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4 </w:t>
      </w:r>
      <w:r w:rsidRPr="00654F9A">
        <w:rPr>
          <w:rFonts w:ascii="Book Antiqua" w:hAnsi="Book Antiqua"/>
          <w:b/>
          <w:bCs/>
        </w:rPr>
        <w:t>Moayyedi P</w:t>
      </w:r>
      <w:r w:rsidRPr="00654F9A">
        <w:rPr>
          <w:rFonts w:ascii="Book Antiqua" w:hAnsi="Book Antiqua"/>
        </w:rPr>
        <w:t>, Lacy BE, Andrews CN, Enns RA, Howden CW, Vakil N. ACG and CAG Clinical Guideline: Management of Dyspepsia. </w:t>
      </w:r>
      <w:r w:rsidRPr="00654F9A">
        <w:rPr>
          <w:rFonts w:ascii="Book Antiqua" w:hAnsi="Book Antiqua"/>
          <w:i/>
          <w:iCs/>
        </w:rPr>
        <w:t>Am J Gastroenterol</w:t>
      </w:r>
      <w:r w:rsidRPr="00654F9A">
        <w:rPr>
          <w:rFonts w:ascii="Book Antiqua" w:hAnsi="Book Antiqua"/>
        </w:rPr>
        <w:t> 2017; </w:t>
      </w:r>
      <w:r w:rsidRPr="00654F9A">
        <w:rPr>
          <w:rFonts w:ascii="Book Antiqua" w:hAnsi="Book Antiqua"/>
          <w:b/>
          <w:bCs/>
        </w:rPr>
        <w:t>112</w:t>
      </w:r>
      <w:r w:rsidRPr="00654F9A">
        <w:rPr>
          <w:rFonts w:ascii="Book Antiqua" w:hAnsi="Book Antiqua"/>
        </w:rPr>
        <w:t>: 988-1013 [PMID: 28631728 DOI: 10.1038/ajg.2017.154]</w:t>
      </w:r>
    </w:p>
    <w:p w14:paraId="33C00728" w14:textId="77777777" w:rsidR="008F6FD4" w:rsidRPr="00654F9A" w:rsidRDefault="008F6FD4" w:rsidP="008F6FD4">
      <w:pPr>
        <w:pStyle w:val="a5"/>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5 </w:t>
      </w:r>
      <w:r w:rsidRPr="00654F9A">
        <w:rPr>
          <w:rFonts w:ascii="Book Antiqua" w:hAnsi="Book Antiqua"/>
          <w:b/>
          <w:bCs/>
        </w:rPr>
        <w:t>Talley NJ</w:t>
      </w:r>
      <w:r w:rsidRPr="00654F9A">
        <w:rPr>
          <w:rFonts w:ascii="Book Antiqua" w:hAnsi="Book Antiqua"/>
        </w:rPr>
        <w:t>. Dyspepsia: management guidelines for the millennium. </w:t>
      </w:r>
      <w:r w:rsidRPr="00654F9A">
        <w:rPr>
          <w:rFonts w:ascii="Book Antiqua" w:hAnsi="Book Antiqua"/>
          <w:i/>
          <w:iCs/>
        </w:rPr>
        <w:t>Gut</w:t>
      </w:r>
      <w:r w:rsidRPr="00654F9A">
        <w:rPr>
          <w:rFonts w:ascii="Book Antiqua" w:hAnsi="Book Antiqua"/>
        </w:rPr>
        <w:t> 2002; </w:t>
      </w:r>
      <w:r w:rsidRPr="00654F9A">
        <w:rPr>
          <w:rFonts w:ascii="Book Antiqua" w:hAnsi="Book Antiqua"/>
          <w:b/>
          <w:bCs/>
        </w:rPr>
        <w:t>50 Suppl 4</w:t>
      </w:r>
      <w:r w:rsidRPr="00654F9A">
        <w:rPr>
          <w:rFonts w:ascii="Book Antiqua" w:hAnsi="Book Antiqua"/>
        </w:rPr>
        <w:t>: iv72-8; discussion iv79 [PMID: 11953354 DOI: 10.1136/gut.50.suppl_4.iv72]</w:t>
      </w:r>
    </w:p>
    <w:p w14:paraId="68DF4FD0" w14:textId="77777777" w:rsidR="008F6FD4" w:rsidRPr="00654F9A" w:rsidRDefault="008F6FD4" w:rsidP="008F6FD4">
      <w:pPr>
        <w:pStyle w:val="a5"/>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6 </w:t>
      </w:r>
      <w:r w:rsidRPr="00654F9A">
        <w:rPr>
          <w:rFonts w:ascii="Book Antiqua" w:hAnsi="Book Antiqua"/>
          <w:b/>
          <w:bCs/>
        </w:rPr>
        <w:t>Chen W</w:t>
      </w:r>
      <w:r w:rsidRPr="00654F9A">
        <w:rPr>
          <w:rFonts w:ascii="Book Antiqua" w:hAnsi="Book Antiqua"/>
        </w:rPr>
        <w:t>, Zheng R, Zhang S, Zhao P, Zeng H, Zou X. Report of cancer incidence and mortality in China, 2010. </w:t>
      </w:r>
      <w:r w:rsidRPr="00654F9A">
        <w:rPr>
          <w:rFonts w:ascii="Book Antiqua" w:hAnsi="Book Antiqua"/>
          <w:i/>
          <w:iCs/>
        </w:rPr>
        <w:t>Ann Transl Med</w:t>
      </w:r>
      <w:r w:rsidRPr="00654F9A">
        <w:rPr>
          <w:rFonts w:ascii="Book Antiqua" w:hAnsi="Book Antiqua"/>
        </w:rPr>
        <w:t> 2014; </w:t>
      </w:r>
      <w:r w:rsidRPr="00654F9A">
        <w:rPr>
          <w:rFonts w:ascii="Book Antiqua" w:hAnsi="Book Antiqua"/>
          <w:b/>
          <w:bCs/>
        </w:rPr>
        <w:t>2</w:t>
      </w:r>
      <w:r w:rsidRPr="00654F9A">
        <w:rPr>
          <w:rFonts w:ascii="Book Antiqua" w:hAnsi="Book Antiqua"/>
        </w:rPr>
        <w:t>: 61 [PMID: 25333036 DOI: 10.3978/j.issn.2305-5839.2014.04.05]</w:t>
      </w:r>
    </w:p>
    <w:p w14:paraId="5A05C6F0" w14:textId="77777777" w:rsidR="008F6FD4" w:rsidRPr="00654F9A" w:rsidRDefault="008F6FD4" w:rsidP="008F6FD4">
      <w:pPr>
        <w:pStyle w:val="a5"/>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7 </w:t>
      </w:r>
      <w:r w:rsidRPr="00654F9A">
        <w:rPr>
          <w:rFonts w:ascii="Book Antiqua" w:hAnsi="Book Antiqua"/>
          <w:b/>
          <w:bCs/>
        </w:rPr>
        <w:t>Eusebi LH</w:t>
      </w:r>
      <w:r w:rsidRPr="00654F9A">
        <w:rPr>
          <w:rFonts w:ascii="Book Antiqua" w:hAnsi="Book Antiqua"/>
        </w:rPr>
        <w:t>, Zagari RM, Bazzoli F. Epidemiology of Helicobacter pylori infection. </w:t>
      </w:r>
      <w:r w:rsidRPr="00654F9A">
        <w:rPr>
          <w:rFonts w:ascii="Book Antiqua" w:hAnsi="Book Antiqua"/>
          <w:i/>
          <w:iCs/>
        </w:rPr>
        <w:t>Helicobacter</w:t>
      </w:r>
      <w:r w:rsidRPr="00654F9A">
        <w:rPr>
          <w:rFonts w:ascii="Book Antiqua" w:hAnsi="Book Antiqua"/>
        </w:rPr>
        <w:t> 2014; </w:t>
      </w:r>
      <w:r w:rsidRPr="00654F9A">
        <w:rPr>
          <w:rFonts w:ascii="Book Antiqua" w:hAnsi="Book Antiqua"/>
          <w:b/>
          <w:bCs/>
        </w:rPr>
        <w:t>19 Suppl 1</w:t>
      </w:r>
      <w:r w:rsidRPr="00654F9A">
        <w:rPr>
          <w:rFonts w:ascii="Book Antiqua" w:hAnsi="Book Antiqua"/>
        </w:rPr>
        <w:t>: 1-5 [PMID: 25167938 DOI: 10.1111/hel.12165]</w:t>
      </w:r>
    </w:p>
    <w:p w14:paraId="2AADC001" w14:textId="77777777" w:rsidR="008F6FD4" w:rsidRPr="00654F9A" w:rsidRDefault="008563BA" w:rsidP="008F6FD4">
      <w:pPr>
        <w:pStyle w:val="a5"/>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 xml:space="preserve">8 </w:t>
      </w:r>
      <w:r w:rsidRPr="00654F9A">
        <w:rPr>
          <w:rFonts w:ascii="Book Antiqua" w:hAnsi="Book Antiqua"/>
          <w:b/>
        </w:rPr>
        <w:t>Jiang H</w:t>
      </w:r>
      <w:r w:rsidR="008F6FD4" w:rsidRPr="00654F9A">
        <w:rPr>
          <w:rFonts w:ascii="Book Antiqua" w:hAnsi="Book Antiqua"/>
          <w:b/>
        </w:rPr>
        <w:t>L</w:t>
      </w:r>
      <w:r w:rsidR="008F6FD4" w:rsidRPr="00654F9A">
        <w:rPr>
          <w:rFonts w:ascii="Book Antiqua" w:hAnsi="Book Antiqua"/>
        </w:rPr>
        <w:t xml:space="preserve">. Prevalence of and risk factors for Helicobacter pylori infection in Chinese military personnel. </w:t>
      </w:r>
      <w:r w:rsidR="00B129ED" w:rsidRPr="00654F9A">
        <w:rPr>
          <w:rFonts w:ascii="Book Antiqua" w:hAnsi="Book Antiqua" w:cs="Arial"/>
          <w:bCs/>
          <w:i/>
          <w:color w:val="000000"/>
        </w:rPr>
        <w:t>Shijie Huaren Xiaohua Zazhi</w:t>
      </w:r>
      <w:r w:rsidR="008F6FD4" w:rsidRPr="00654F9A">
        <w:rPr>
          <w:rFonts w:ascii="Book Antiqua" w:hAnsi="Book Antiqua"/>
        </w:rPr>
        <w:t xml:space="preserve"> 2013; </w:t>
      </w:r>
      <w:r w:rsidR="008F6FD4" w:rsidRPr="00654F9A">
        <w:rPr>
          <w:rFonts w:ascii="Book Antiqua" w:hAnsi="Book Antiqua"/>
          <w:b/>
        </w:rPr>
        <w:t>21</w:t>
      </w:r>
      <w:r w:rsidR="008F6FD4" w:rsidRPr="00654F9A">
        <w:rPr>
          <w:rFonts w:ascii="Book Antiqua" w:hAnsi="Book Antiqua"/>
        </w:rPr>
        <w:t>: 4084 [</w:t>
      </w:r>
      <w:bookmarkStart w:id="71" w:name="OLE_LINK251"/>
      <w:bookmarkStart w:id="72" w:name="OLE_LINK252"/>
      <w:r w:rsidR="008F6FD4" w:rsidRPr="00654F9A">
        <w:rPr>
          <w:rFonts w:ascii="Book Antiqua" w:hAnsi="Book Antiqua"/>
        </w:rPr>
        <w:t>DOI: 10.11569/wcjd.v21.i36.4084</w:t>
      </w:r>
      <w:bookmarkEnd w:id="71"/>
      <w:bookmarkEnd w:id="72"/>
      <w:r w:rsidR="008F6FD4" w:rsidRPr="00654F9A">
        <w:rPr>
          <w:rFonts w:ascii="Book Antiqua" w:hAnsi="Book Antiqua"/>
        </w:rPr>
        <w:t>]</w:t>
      </w:r>
    </w:p>
    <w:p w14:paraId="66AB9F88" w14:textId="77777777" w:rsidR="008F6FD4" w:rsidRPr="00654F9A" w:rsidRDefault="008F6FD4" w:rsidP="008F6FD4">
      <w:pPr>
        <w:pStyle w:val="a5"/>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9 </w:t>
      </w:r>
      <w:r w:rsidRPr="00654F9A">
        <w:rPr>
          <w:rFonts w:ascii="Book Antiqua" w:hAnsi="Book Antiqua"/>
          <w:b/>
          <w:bCs/>
        </w:rPr>
        <w:t>Moayyedi P</w:t>
      </w:r>
      <w:r w:rsidRPr="00654F9A">
        <w:rPr>
          <w:rFonts w:ascii="Book Antiqua" w:hAnsi="Book Antiqua"/>
        </w:rPr>
        <w:t>, Duffett S, Braunholtz D, Mason S, Richards ID, Dowell AC, Axon AT. The Leeds Dyspepsia Questionnaire: a valid tool for measuring the presence and severity of dyspepsia. </w:t>
      </w:r>
      <w:r w:rsidRPr="00654F9A">
        <w:rPr>
          <w:rFonts w:ascii="Book Antiqua" w:hAnsi="Book Antiqua"/>
          <w:i/>
          <w:iCs/>
        </w:rPr>
        <w:t>Aliment Pharmacol Ther</w:t>
      </w:r>
      <w:r w:rsidRPr="00654F9A">
        <w:rPr>
          <w:rFonts w:ascii="Book Antiqua" w:hAnsi="Book Antiqua"/>
        </w:rPr>
        <w:t> 1998; </w:t>
      </w:r>
      <w:r w:rsidRPr="00654F9A">
        <w:rPr>
          <w:rFonts w:ascii="Book Antiqua" w:hAnsi="Book Antiqua"/>
          <w:b/>
          <w:bCs/>
        </w:rPr>
        <w:t>12</w:t>
      </w:r>
      <w:r w:rsidRPr="00654F9A">
        <w:rPr>
          <w:rFonts w:ascii="Book Antiqua" w:hAnsi="Book Antiqua"/>
        </w:rPr>
        <w:t>: 1257-1262 [PMID: 9882035 DOI: 10.1046/j.1365-2036.1998.00404.x]</w:t>
      </w:r>
    </w:p>
    <w:p w14:paraId="611414F2" w14:textId="77777777" w:rsidR="008F6FD4" w:rsidRPr="00654F9A" w:rsidRDefault="008F6FD4" w:rsidP="008F6FD4">
      <w:pPr>
        <w:pStyle w:val="a5"/>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10 </w:t>
      </w:r>
      <w:r w:rsidRPr="00654F9A">
        <w:rPr>
          <w:rFonts w:ascii="Book Antiqua" w:hAnsi="Book Antiqua"/>
          <w:b/>
          <w:bCs/>
        </w:rPr>
        <w:t>Lundell LR</w:t>
      </w:r>
      <w:r w:rsidRPr="00654F9A">
        <w:rPr>
          <w:rFonts w:ascii="Book Antiqua" w:hAnsi="Book Antiqua"/>
        </w:rPr>
        <w:t>, Dent J, Bennett JR, Blum AL, Armstrong D, Galmiche JP, Johnson F, Hongo M, Richter JE, Spechler SJ, Tytgat GN, Wallin L. Endoscopic assessment of oesophagitis: clinical and functional correlates and further validation of the Los Angeles classification. </w:t>
      </w:r>
      <w:r w:rsidRPr="00654F9A">
        <w:rPr>
          <w:rFonts w:ascii="Book Antiqua" w:hAnsi="Book Antiqua"/>
          <w:i/>
          <w:iCs/>
        </w:rPr>
        <w:t>Gut</w:t>
      </w:r>
      <w:r w:rsidRPr="00654F9A">
        <w:rPr>
          <w:rFonts w:ascii="Book Antiqua" w:hAnsi="Book Antiqua"/>
        </w:rPr>
        <w:t> 1999; </w:t>
      </w:r>
      <w:r w:rsidRPr="00654F9A">
        <w:rPr>
          <w:rFonts w:ascii="Book Antiqua" w:hAnsi="Book Antiqua"/>
          <w:b/>
          <w:bCs/>
        </w:rPr>
        <w:t>45</w:t>
      </w:r>
      <w:r w:rsidRPr="00654F9A">
        <w:rPr>
          <w:rFonts w:ascii="Book Antiqua" w:hAnsi="Book Antiqua"/>
        </w:rPr>
        <w:t>: 172-180 [PMID: 10403727 DOI: 10.1136/gut.45.2.172]</w:t>
      </w:r>
    </w:p>
    <w:p w14:paraId="5A74815F" w14:textId="77777777" w:rsidR="008F6FD4" w:rsidRPr="00654F9A" w:rsidRDefault="008F6FD4" w:rsidP="008F6FD4">
      <w:pPr>
        <w:pStyle w:val="a5"/>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11 </w:t>
      </w:r>
      <w:r w:rsidRPr="00654F9A">
        <w:rPr>
          <w:rFonts w:ascii="Book Antiqua" w:hAnsi="Book Antiqua"/>
          <w:b/>
          <w:bCs/>
        </w:rPr>
        <w:t>Okumura T</w:t>
      </w:r>
      <w:r w:rsidRPr="00654F9A">
        <w:rPr>
          <w:rFonts w:ascii="Book Antiqua" w:hAnsi="Book Antiqua"/>
        </w:rPr>
        <w:t>, Tanno S, Ohhira M, Tanno S. Prevalence of functional dyspepsia in an outpatient clinic with primary care physicians in Japan. </w:t>
      </w:r>
      <w:r w:rsidRPr="00654F9A">
        <w:rPr>
          <w:rFonts w:ascii="Book Antiqua" w:hAnsi="Book Antiqua"/>
          <w:i/>
          <w:iCs/>
        </w:rPr>
        <w:t>J Gastroenterol</w:t>
      </w:r>
      <w:r w:rsidRPr="00654F9A">
        <w:rPr>
          <w:rFonts w:ascii="Book Antiqua" w:hAnsi="Book Antiqua"/>
        </w:rPr>
        <w:t> 2010; </w:t>
      </w:r>
      <w:r w:rsidRPr="00654F9A">
        <w:rPr>
          <w:rFonts w:ascii="Book Antiqua" w:hAnsi="Book Antiqua"/>
          <w:b/>
          <w:bCs/>
        </w:rPr>
        <w:t>45</w:t>
      </w:r>
      <w:r w:rsidRPr="00654F9A">
        <w:rPr>
          <w:rFonts w:ascii="Book Antiqua" w:hAnsi="Book Antiqua"/>
        </w:rPr>
        <w:t>: 187-194 [PMID: 19997854 DOI: 10.1007/s00535-009-0168-x]</w:t>
      </w:r>
    </w:p>
    <w:p w14:paraId="42940436" w14:textId="77777777" w:rsidR="008F6FD4" w:rsidRPr="00654F9A" w:rsidRDefault="008F6FD4" w:rsidP="008F6FD4">
      <w:pPr>
        <w:pStyle w:val="a5"/>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12 </w:t>
      </w:r>
      <w:r w:rsidRPr="00654F9A">
        <w:rPr>
          <w:rFonts w:ascii="Book Antiqua" w:hAnsi="Book Antiqua"/>
          <w:b/>
          <w:bCs/>
        </w:rPr>
        <w:t>van Bommel MJ</w:t>
      </w:r>
      <w:r w:rsidRPr="00654F9A">
        <w:rPr>
          <w:rFonts w:ascii="Book Antiqua" w:hAnsi="Book Antiqua"/>
        </w:rPr>
        <w:t>, Numans ME, de Wit NJ, Stalman WA. Consultations and referrals for dyspepsia in general practice--a one year database survey. </w:t>
      </w:r>
      <w:r w:rsidRPr="00654F9A">
        <w:rPr>
          <w:rFonts w:ascii="Book Antiqua" w:hAnsi="Book Antiqua"/>
          <w:i/>
          <w:iCs/>
        </w:rPr>
        <w:t>Postgrad Med J</w:t>
      </w:r>
      <w:r w:rsidRPr="00654F9A">
        <w:rPr>
          <w:rFonts w:ascii="Book Antiqua" w:hAnsi="Book Antiqua"/>
        </w:rPr>
        <w:t> 2001; </w:t>
      </w:r>
      <w:r w:rsidRPr="00654F9A">
        <w:rPr>
          <w:rFonts w:ascii="Book Antiqua" w:hAnsi="Book Antiqua"/>
          <w:b/>
          <w:bCs/>
        </w:rPr>
        <w:t>77</w:t>
      </w:r>
      <w:r w:rsidRPr="00654F9A">
        <w:rPr>
          <w:rFonts w:ascii="Book Antiqua" w:hAnsi="Book Antiqua"/>
        </w:rPr>
        <w:t>: 514-518 [PMID: 11470932 DOI: 10.1136/pmj.77.910.514]</w:t>
      </w:r>
    </w:p>
    <w:p w14:paraId="43725845" w14:textId="77777777" w:rsidR="008F6FD4" w:rsidRPr="00654F9A" w:rsidRDefault="008F6FD4" w:rsidP="008F6FD4">
      <w:pPr>
        <w:pStyle w:val="a5"/>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13 </w:t>
      </w:r>
      <w:r w:rsidRPr="00654F9A">
        <w:rPr>
          <w:rFonts w:ascii="Book Antiqua" w:hAnsi="Book Antiqua"/>
          <w:b/>
          <w:bCs/>
        </w:rPr>
        <w:t>Mahadeva S</w:t>
      </w:r>
      <w:r w:rsidRPr="00654F9A">
        <w:rPr>
          <w:rFonts w:ascii="Book Antiqua" w:hAnsi="Book Antiqua"/>
        </w:rPr>
        <w:t>, Goh KL. Clinically significant endoscopic findings in a multi-ethnic population with uninvestigated dyspepsia. </w:t>
      </w:r>
      <w:r w:rsidRPr="00654F9A">
        <w:rPr>
          <w:rFonts w:ascii="Book Antiqua" w:hAnsi="Book Antiqua"/>
          <w:i/>
          <w:iCs/>
        </w:rPr>
        <w:t>Dig Dis Sci</w:t>
      </w:r>
      <w:r w:rsidRPr="00654F9A">
        <w:rPr>
          <w:rFonts w:ascii="Book Antiqua" w:hAnsi="Book Antiqua"/>
        </w:rPr>
        <w:t> 2012; </w:t>
      </w:r>
      <w:r w:rsidRPr="00654F9A">
        <w:rPr>
          <w:rFonts w:ascii="Book Antiqua" w:hAnsi="Book Antiqua"/>
          <w:b/>
          <w:bCs/>
        </w:rPr>
        <w:t>57</w:t>
      </w:r>
      <w:r w:rsidRPr="00654F9A">
        <w:rPr>
          <w:rFonts w:ascii="Book Antiqua" w:hAnsi="Book Antiqua"/>
        </w:rPr>
        <w:t>: 3205-3212 [PMID: 22688184 DOI: 10.1007/s10620-012-2256-7]</w:t>
      </w:r>
    </w:p>
    <w:p w14:paraId="14B121F1" w14:textId="77777777" w:rsidR="008F6FD4" w:rsidRPr="00654F9A" w:rsidRDefault="008F6FD4" w:rsidP="008F6FD4">
      <w:pPr>
        <w:pStyle w:val="a5"/>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14 </w:t>
      </w:r>
      <w:r w:rsidRPr="00654F9A">
        <w:rPr>
          <w:rFonts w:ascii="Book Antiqua" w:hAnsi="Book Antiqua"/>
          <w:b/>
          <w:bCs/>
        </w:rPr>
        <w:t>Vakil N</w:t>
      </w:r>
      <w:r w:rsidRPr="00654F9A">
        <w:rPr>
          <w:rFonts w:ascii="Book Antiqua" w:hAnsi="Book Antiqua"/>
        </w:rPr>
        <w:t>, Moayyedi P, Fennerty MB, Talley NJ. Limited value of alarm features in the diagnosis of upper gastrointestinal malignancy: systematic review and meta-analysis. </w:t>
      </w:r>
      <w:r w:rsidRPr="00654F9A">
        <w:rPr>
          <w:rFonts w:ascii="Book Antiqua" w:hAnsi="Book Antiqua"/>
          <w:i/>
          <w:iCs/>
        </w:rPr>
        <w:t>Gastroenterology</w:t>
      </w:r>
      <w:r w:rsidRPr="00654F9A">
        <w:rPr>
          <w:rFonts w:ascii="Book Antiqua" w:hAnsi="Book Antiqua"/>
        </w:rPr>
        <w:t> 2006; </w:t>
      </w:r>
      <w:r w:rsidRPr="00654F9A">
        <w:rPr>
          <w:rFonts w:ascii="Book Antiqua" w:hAnsi="Book Antiqua"/>
          <w:b/>
          <w:bCs/>
        </w:rPr>
        <w:t>131</w:t>
      </w:r>
      <w:r w:rsidRPr="00654F9A">
        <w:rPr>
          <w:rFonts w:ascii="Book Antiqua" w:hAnsi="Book Antiqua"/>
        </w:rPr>
        <w:t>: 390-401; quiz 659-60 [PMID: 16890592 DOI: 10.1053/j.gastro.2006.04.029]</w:t>
      </w:r>
    </w:p>
    <w:p w14:paraId="6A6FC9FA" w14:textId="77777777" w:rsidR="008F6FD4" w:rsidRPr="00654F9A" w:rsidRDefault="008F6FD4" w:rsidP="008F6FD4">
      <w:pPr>
        <w:pStyle w:val="a5"/>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15 </w:t>
      </w:r>
      <w:r w:rsidRPr="00654F9A">
        <w:rPr>
          <w:rFonts w:ascii="Book Antiqua" w:hAnsi="Book Antiqua"/>
          <w:b/>
          <w:bCs/>
        </w:rPr>
        <w:t>Hammer J</w:t>
      </w:r>
      <w:r w:rsidRPr="00654F9A">
        <w:rPr>
          <w:rFonts w:ascii="Book Antiqua" w:hAnsi="Book Antiqua"/>
        </w:rPr>
        <w:t>, Eslick GD, Howell SC, Altiparmak E, Talley NJ. Diagnostic yield of alarm features in irritable bowel syndrome and functional dyspepsia. </w:t>
      </w:r>
      <w:r w:rsidRPr="00654F9A">
        <w:rPr>
          <w:rFonts w:ascii="Book Antiqua" w:hAnsi="Book Antiqua"/>
          <w:i/>
          <w:iCs/>
        </w:rPr>
        <w:t>Gut</w:t>
      </w:r>
      <w:r w:rsidRPr="00654F9A">
        <w:rPr>
          <w:rFonts w:ascii="Book Antiqua" w:hAnsi="Book Antiqua"/>
        </w:rPr>
        <w:t> 2004; </w:t>
      </w:r>
      <w:r w:rsidRPr="00654F9A">
        <w:rPr>
          <w:rFonts w:ascii="Book Antiqua" w:hAnsi="Book Antiqua"/>
          <w:b/>
          <w:bCs/>
        </w:rPr>
        <w:t>53</w:t>
      </w:r>
      <w:r w:rsidRPr="00654F9A">
        <w:rPr>
          <w:rFonts w:ascii="Book Antiqua" w:hAnsi="Book Antiqua"/>
        </w:rPr>
        <w:t>: 666-672 [PMID: 15082584 DOI: 10.1136/gut.2003.021857]</w:t>
      </w:r>
    </w:p>
    <w:p w14:paraId="5DA47B32" w14:textId="77777777" w:rsidR="008F6FD4" w:rsidRPr="00654F9A" w:rsidRDefault="008F6FD4" w:rsidP="008F6FD4">
      <w:pPr>
        <w:pStyle w:val="a5"/>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16 </w:t>
      </w:r>
      <w:r w:rsidRPr="00654F9A">
        <w:rPr>
          <w:rFonts w:ascii="Book Antiqua" w:hAnsi="Book Antiqua"/>
          <w:b/>
          <w:bCs/>
        </w:rPr>
        <w:t>Thomson AB</w:t>
      </w:r>
      <w:r w:rsidRPr="00654F9A">
        <w:rPr>
          <w:rFonts w:ascii="Book Antiqua" w:hAnsi="Book Antiqua"/>
        </w:rPr>
        <w:t>, Barkun AN, Armstrong D, Chiba N, White RJ, Daniels S, Escobedo S, Chakraborty B, Sinclair P, Van Zanten SJ. The prevalence of clinically significant endoscopic findings in primary care patients with uninvestigated dyspepsia: the Canadian Adult Dyspepsia Empiric Treatment - Prompt Endoscopy (CADET-PE) study. </w:t>
      </w:r>
      <w:r w:rsidRPr="00654F9A">
        <w:rPr>
          <w:rFonts w:ascii="Book Antiqua" w:hAnsi="Book Antiqua"/>
          <w:i/>
          <w:iCs/>
        </w:rPr>
        <w:t>Aliment Pharmacol Ther</w:t>
      </w:r>
      <w:r w:rsidRPr="00654F9A">
        <w:rPr>
          <w:rFonts w:ascii="Book Antiqua" w:hAnsi="Book Antiqua"/>
        </w:rPr>
        <w:t> 2003; </w:t>
      </w:r>
      <w:r w:rsidRPr="00654F9A">
        <w:rPr>
          <w:rFonts w:ascii="Book Antiqua" w:hAnsi="Book Antiqua"/>
          <w:b/>
          <w:bCs/>
        </w:rPr>
        <w:t>17</w:t>
      </w:r>
      <w:r w:rsidRPr="00654F9A">
        <w:rPr>
          <w:rFonts w:ascii="Book Antiqua" w:hAnsi="Book Antiqua"/>
        </w:rPr>
        <w:t>: 1481-1491 [PMID: 12823150 DOI: 10.1046/j.1365-2036.2003.01646.x]</w:t>
      </w:r>
    </w:p>
    <w:p w14:paraId="0A172547" w14:textId="77777777" w:rsidR="008F6FD4" w:rsidRPr="00654F9A" w:rsidRDefault="008F6FD4" w:rsidP="008F6FD4">
      <w:pPr>
        <w:pStyle w:val="a5"/>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17 </w:t>
      </w:r>
      <w:r w:rsidRPr="00654F9A">
        <w:rPr>
          <w:rFonts w:ascii="Book Antiqua" w:hAnsi="Book Antiqua"/>
          <w:b/>
          <w:bCs/>
        </w:rPr>
        <w:t>Wei ZC</w:t>
      </w:r>
      <w:r w:rsidRPr="00654F9A">
        <w:rPr>
          <w:rFonts w:ascii="Book Antiqua" w:hAnsi="Book Antiqua"/>
        </w:rPr>
        <w:t>, Yang Q, Yang Q, Yang J, Tantai XX, Xing X, Xiao CL, Pan YL, Wang JH, Liu N. Predictive value of alarm symptoms in patients with Rome IV dyspepsia: A cross-sectional study. </w:t>
      </w:r>
      <w:r w:rsidRPr="00654F9A">
        <w:rPr>
          <w:rFonts w:ascii="Book Antiqua" w:hAnsi="Book Antiqua"/>
          <w:i/>
          <w:iCs/>
        </w:rPr>
        <w:t>World J Gastroenterol</w:t>
      </w:r>
      <w:r w:rsidRPr="00654F9A">
        <w:rPr>
          <w:rFonts w:ascii="Book Antiqua" w:hAnsi="Book Antiqua"/>
        </w:rPr>
        <w:t> 2020; </w:t>
      </w:r>
      <w:r w:rsidRPr="00654F9A">
        <w:rPr>
          <w:rFonts w:ascii="Book Antiqua" w:hAnsi="Book Antiqua"/>
          <w:b/>
          <w:bCs/>
        </w:rPr>
        <w:t>26</w:t>
      </w:r>
      <w:r w:rsidRPr="00654F9A">
        <w:rPr>
          <w:rFonts w:ascii="Book Antiqua" w:hAnsi="Book Antiqua"/>
        </w:rPr>
        <w:t>: 4523-4536 [PMID: 32874062 DOI: 10.3748/wjg.v26.i30.4523]</w:t>
      </w:r>
    </w:p>
    <w:p w14:paraId="34FDCECA" w14:textId="77777777" w:rsidR="008F6FD4" w:rsidRPr="00654F9A" w:rsidRDefault="008F6FD4" w:rsidP="008F6FD4">
      <w:pPr>
        <w:pStyle w:val="a5"/>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18 </w:t>
      </w:r>
      <w:r w:rsidRPr="00654F9A">
        <w:rPr>
          <w:rFonts w:ascii="Book Antiqua" w:hAnsi="Book Antiqua"/>
          <w:b/>
          <w:bCs/>
        </w:rPr>
        <w:t>Hu PJ</w:t>
      </w:r>
      <w:r w:rsidRPr="00654F9A">
        <w:rPr>
          <w:rFonts w:ascii="Book Antiqua" w:hAnsi="Book Antiqua"/>
        </w:rPr>
        <w:t>, Li YY, Zhou MH, Chen MH, Du GG, Huang BJ, Mitchell HM, Hazell SL. Helicobacter pylori associated with a high prevalence of duodenal ulcer disease and a low prevalence of gastric cancer in a developing nation. </w:t>
      </w:r>
      <w:r w:rsidRPr="00654F9A">
        <w:rPr>
          <w:rFonts w:ascii="Book Antiqua" w:hAnsi="Book Antiqua"/>
          <w:i/>
          <w:iCs/>
        </w:rPr>
        <w:t>Gut</w:t>
      </w:r>
      <w:r w:rsidRPr="00654F9A">
        <w:rPr>
          <w:rFonts w:ascii="Book Antiqua" w:hAnsi="Book Antiqua"/>
        </w:rPr>
        <w:t> 1995; </w:t>
      </w:r>
      <w:r w:rsidRPr="00654F9A">
        <w:rPr>
          <w:rFonts w:ascii="Book Antiqua" w:hAnsi="Book Antiqua"/>
          <w:b/>
          <w:bCs/>
        </w:rPr>
        <w:t>36</w:t>
      </w:r>
      <w:r w:rsidRPr="00654F9A">
        <w:rPr>
          <w:rFonts w:ascii="Book Antiqua" w:hAnsi="Book Antiqua"/>
        </w:rPr>
        <w:t>: 198-202 [PMID: 7883217 DOI: 10.1136/gut.36.2.198]</w:t>
      </w:r>
    </w:p>
    <w:p w14:paraId="07F2E57E" w14:textId="77777777" w:rsidR="008F6FD4" w:rsidRPr="00654F9A" w:rsidRDefault="008F6FD4" w:rsidP="008F6FD4">
      <w:pPr>
        <w:pStyle w:val="a5"/>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19 </w:t>
      </w:r>
      <w:r w:rsidRPr="00654F9A">
        <w:rPr>
          <w:rFonts w:ascii="Book Antiqua" w:hAnsi="Book Antiqua"/>
          <w:b/>
          <w:bCs/>
        </w:rPr>
        <w:t>Wai CT</w:t>
      </w:r>
      <w:r w:rsidRPr="00654F9A">
        <w:rPr>
          <w:rFonts w:ascii="Book Antiqua" w:hAnsi="Book Antiqua"/>
        </w:rPr>
        <w:t>, Yeoh KG, Ho KY, Kang JY, Lim SG. Diagnostic yield of upper endoscopy in Asian patients presenting with dyspepsia. </w:t>
      </w:r>
      <w:r w:rsidRPr="00654F9A">
        <w:rPr>
          <w:rFonts w:ascii="Book Antiqua" w:hAnsi="Book Antiqua"/>
          <w:i/>
          <w:iCs/>
        </w:rPr>
        <w:t>Gastrointest Endosc</w:t>
      </w:r>
      <w:r w:rsidRPr="00654F9A">
        <w:rPr>
          <w:rFonts w:ascii="Book Antiqua" w:hAnsi="Book Antiqua"/>
        </w:rPr>
        <w:t> 2002; </w:t>
      </w:r>
      <w:r w:rsidRPr="00654F9A">
        <w:rPr>
          <w:rFonts w:ascii="Book Antiqua" w:hAnsi="Book Antiqua"/>
          <w:b/>
          <w:bCs/>
        </w:rPr>
        <w:t>56</w:t>
      </w:r>
      <w:r w:rsidRPr="00654F9A">
        <w:rPr>
          <w:rFonts w:ascii="Book Antiqua" w:hAnsi="Book Antiqua"/>
        </w:rPr>
        <w:t>: 548-551 [PMID: 12297772 DOI: 10.1067/mge.2002.128493]</w:t>
      </w:r>
    </w:p>
    <w:p w14:paraId="0C5AB88A" w14:textId="77777777" w:rsidR="008F6FD4" w:rsidRPr="00654F9A" w:rsidRDefault="008F6FD4" w:rsidP="008F6FD4">
      <w:pPr>
        <w:pStyle w:val="a5"/>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20 </w:t>
      </w:r>
      <w:r w:rsidRPr="00654F9A">
        <w:rPr>
          <w:rFonts w:ascii="Book Antiqua" w:hAnsi="Book Antiqua"/>
          <w:b/>
          <w:bCs/>
        </w:rPr>
        <w:t>El-Serag HB</w:t>
      </w:r>
      <w:r w:rsidRPr="00654F9A">
        <w:rPr>
          <w:rFonts w:ascii="Book Antiqua" w:hAnsi="Book Antiqua"/>
        </w:rPr>
        <w:t>, Ergun GA, Pandolfino J, Fitzgerald S, Tran T, Kramer JR. Obesity increases oesophageal acid exposure. </w:t>
      </w:r>
      <w:r w:rsidRPr="00654F9A">
        <w:rPr>
          <w:rFonts w:ascii="Book Antiqua" w:hAnsi="Book Antiqua"/>
          <w:i/>
          <w:iCs/>
        </w:rPr>
        <w:t>Gut</w:t>
      </w:r>
      <w:r w:rsidRPr="00654F9A">
        <w:rPr>
          <w:rFonts w:ascii="Book Antiqua" w:hAnsi="Book Antiqua"/>
        </w:rPr>
        <w:t> 2007; </w:t>
      </w:r>
      <w:r w:rsidRPr="00654F9A">
        <w:rPr>
          <w:rFonts w:ascii="Book Antiqua" w:hAnsi="Book Antiqua"/>
          <w:b/>
          <w:bCs/>
        </w:rPr>
        <w:t>56</w:t>
      </w:r>
      <w:r w:rsidRPr="00654F9A">
        <w:rPr>
          <w:rFonts w:ascii="Book Antiqua" w:hAnsi="Book Antiqua"/>
        </w:rPr>
        <w:t>: 749-755 [PMID: 17127706 DOI: 10.1136/gut.2006.100263]</w:t>
      </w:r>
    </w:p>
    <w:p w14:paraId="0F664E97" w14:textId="77777777" w:rsidR="008F6FD4" w:rsidRPr="00654F9A" w:rsidRDefault="008F6FD4" w:rsidP="008F6FD4">
      <w:pPr>
        <w:pStyle w:val="a5"/>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21 </w:t>
      </w:r>
      <w:r w:rsidRPr="00654F9A">
        <w:rPr>
          <w:rFonts w:ascii="Book Antiqua" w:hAnsi="Book Antiqua"/>
          <w:b/>
          <w:bCs/>
        </w:rPr>
        <w:t>Jacobson BC</w:t>
      </w:r>
      <w:r w:rsidRPr="00654F9A">
        <w:rPr>
          <w:rFonts w:ascii="Book Antiqua" w:hAnsi="Book Antiqua"/>
        </w:rPr>
        <w:t>, Somers SC, Fuchs CS, Kelly CP, Camargo CA Jr. Body-mass index and symptoms of gastroesophageal reflux in women. </w:t>
      </w:r>
      <w:r w:rsidRPr="00654F9A">
        <w:rPr>
          <w:rFonts w:ascii="Book Antiqua" w:hAnsi="Book Antiqua"/>
          <w:i/>
          <w:iCs/>
        </w:rPr>
        <w:t>N Engl J Med</w:t>
      </w:r>
      <w:r w:rsidRPr="00654F9A">
        <w:rPr>
          <w:rFonts w:ascii="Book Antiqua" w:hAnsi="Book Antiqua"/>
        </w:rPr>
        <w:t> 2006; </w:t>
      </w:r>
      <w:r w:rsidRPr="00654F9A">
        <w:rPr>
          <w:rFonts w:ascii="Book Antiqua" w:hAnsi="Book Antiqua"/>
          <w:b/>
          <w:bCs/>
        </w:rPr>
        <w:t>354</w:t>
      </w:r>
      <w:r w:rsidRPr="00654F9A">
        <w:rPr>
          <w:rFonts w:ascii="Book Antiqua" w:hAnsi="Book Antiqua"/>
        </w:rPr>
        <w:t>: 2340-2348 [PMID: 16738270 DOI: 10.1056/NEJMoa054391]</w:t>
      </w:r>
    </w:p>
    <w:p w14:paraId="62E1C321" w14:textId="77777777" w:rsidR="008F6FD4" w:rsidRPr="00654F9A" w:rsidRDefault="008F6FD4" w:rsidP="008F6FD4">
      <w:pPr>
        <w:pStyle w:val="a5"/>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22 </w:t>
      </w:r>
      <w:r w:rsidRPr="00654F9A">
        <w:rPr>
          <w:rFonts w:ascii="Book Antiqua" w:hAnsi="Book Antiqua"/>
          <w:b/>
          <w:bCs/>
        </w:rPr>
        <w:t>Wang FW</w:t>
      </w:r>
      <w:r w:rsidRPr="00654F9A">
        <w:rPr>
          <w:rFonts w:ascii="Book Antiqua" w:hAnsi="Book Antiqua"/>
        </w:rPr>
        <w:t>, Tu MS, Mar GY, Chuang HY, Yu HC, Cheng LC, Hsu PI. Prevalence and risk factors of asymptomatic peptic ulcer disease in Taiwan. </w:t>
      </w:r>
      <w:r w:rsidRPr="00654F9A">
        <w:rPr>
          <w:rFonts w:ascii="Book Antiqua" w:hAnsi="Book Antiqua"/>
          <w:i/>
          <w:iCs/>
        </w:rPr>
        <w:t>World J Gastroenterol</w:t>
      </w:r>
      <w:r w:rsidRPr="00654F9A">
        <w:rPr>
          <w:rFonts w:ascii="Book Antiqua" w:hAnsi="Book Antiqua"/>
        </w:rPr>
        <w:t> 2011; </w:t>
      </w:r>
      <w:r w:rsidRPr="00654F9A">
        <w:rPr>
          <w:rFonts w:ascii="Book Antiqua" w:hAnsi="Book Antiqua"/>
          <w:b/>
          <w:bCs/>
        </w:rPr>
        <w:t>17</w:t>
      </w:r>
      <w:r w:rsidRPr="00654F9A">
        <w:rPr>
          <w:rFonts w:ascii="Book Antiqua" w:hAnsi="Book Antiqua"/>
        </w:rPr>
        <w:t>: 1199-1203 [PMID: 21448426 DOI: 10.3748/wjg.v17.i9.1199]</w:t>
      </w:r>
    </w:p>
    <w:p w14:paraId="0A07C5BF" w14:textId="77777777" w:rsidR="008F6FD4" w:rsidRPr="00654F9A" w:rsidRDefault="008F6FD4" w:rsidP="008F6FD4">
      <w:pPr>
        <w:pStyle w:val="a5"/>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23 </w:t>
      </w:r>
      <w:r w:rsidRPr="00654F9A">
        <w:rPr>
          <w:rFonts w:ascii="Book Antiqua" w:hAnsi="Book Antiqua"/>
          <w:b/>
          <w:bCs/>
        </w:rPr>
        <w:t>McColl KE</w:t>
      </w:r>
      <w:r w:rsidRPr="00654F9A">
        <w:rPr>
          <w:rFonts w:ascii="Book Antiqua" w:hAnsi="Book Antiqua"/>
        </w:rPr>
        <w:t>, Fullarton GM. Duodenal ulcer pain--the role of acid and inflammation. </w:t>
      </w:r>
      <w:r w:rsidRPr="00654F9A">
        <w:rPr>
          <w:rFonts w:ascii="Book Antiqua" w:hAnsi="Book Antiqua"/>
          <w:i/>
          <w:iCs/>
        </w:rPr>
        <w:t>Gut</w:t>
      </w:r>
      <w:r w:rsidRPr="00654F9A">
        <w:rPr>
          <w:rFonts w:ascii="Book Antiqua" w:hAnsi="Book Antiqua"/>
        </w:rPr>
        <w:t> 1993; </w:t>
      </w:r>
      <w:r w:rsidRPr="00654F9A">
        <w:rPr>
          <w:rFonts w:ascii="Book Antiqua" w:hAnsi="Book Antiqua"/>
          <w:b/>
          <w:bCs/>
        </w:rPr>
        <w:t>34</w:t>
      </w:r>
      <w:r w:rsidRPr="00654F9A">
        <w:rPr>
          <w:rFonts w:ascii="Book Antiqua" w:hAnsi="Book Antiqua"/>
        </w:rPr>
        <w:t>: 1300-1302 [PMID: 8244091 DOI: 10.1136/gut.34.10.1300]</w:t>
      </w:r>
    </w:p>
    <w:p w14:paraId="6739F46B" w14:textId="77777777" w:rsidR="008F6FD4" w:rsidRPr="00654F9A" w:rsidRDefault="008F6FD4" w:rsidP="008F6FD4">
      <w:pPr>
        <w:pStyle w:val="a5"/>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24 </w:t>
      </w:r>
      <w:r w:rsidRPr="00654F9A">
        <w:rPr>
          <w:rFonts w:ascii="Book Antiqua" w:hAnsi="Book Antiqua"/>
          <w:b/>
          <w:bCs/>
        </w:rPr>
        <w:t>Eisen GM</w:t>
      </w:r>
      <w:r w:rsidRPr="00654F9A">
        <w:rPr>
          <w:rFonts w:ascii="Book Antiqua" w:hAnsi="Book Antiqua"/>
        </w:rPr>
        <w:t>, Dominitz JA, Faigel DO, Goldstein JA, Kalloo AN, Petersen BT, Raddawi HM, Ryan ME, Vargo JJ 3rd, Young HS, Fanelli RD, Hyman NH, Wheeler-Harbaugh J; American Society for Gastrointestinal Endoscopy. The role of endoscopy in dyspepsia. </w:t>
      </w:r>
      <w:r w:rsidRPr="00654F9A">
        <w:rPr>
          <w:rFonts w:ascii="Book Antiqua" w:hAnsi="Book Antiqua"/>
          <w:i/>
          <w:iCs/>
        </w:rPr>
        <w:t>Gastrointest Endosc</w:t>
      </w:r>
      <w:r w:rsidRPr="00654F9A">
        <w:rPr>
          <w:rFonts w:ascii="Book Antiqua" w:hAnsi="Book Antiqua"/>
        </w:rPr>
        <w:t> 2001; </w:t>
      </w:r>
      <w:r w:rsidRPr="00654F9A">
        <w:rPr>
          <w:rFonts w:ascii="Book Antiqua" w:hAnsi="Book Antiqua"/>
          <w:b/>
          <w:bCs/>
        </w:rPr>
        <w:t>54</w:t>
      </w:r>
      <w:r w:rsidRPr="00654F9A">
        <w:rPr>
          <w:rFonts w:ascii="Book Antiqua" w:hAnsi="Book Antiqua"/>
        </w:rPr>
        <w:t>: 815-817 [PMID: 11726874 DOI: 10.1016/s0016-5107(01)70083-1]</w:t>
      </w:r>
    </w:p>
    <w:p w14:paraId="3562AA60" w14:textId="77777777" w:rsidR="008F6FD4" w:rsidRPr="00654F9A" w:rsidRDefault="008F6FD4" w:rsidP="008F6FD4">
      <w:pPr>
        <w:pStyle w:val="a5"/>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25 </w:t>
      </w:r>
      <w:r w:rsidRPr="00654F9A">
        <w:rPr>
          <w:rFonts w:ascii="Book Antiqua" w:hAnsi="Book Antiqua"/>
          <w:b/>
          <w:bCs/>
        </w:rPr>
        <w:t>Jung HK</w:t>
      </w:r>
      <w:r w:rsidRPr="00654F9A">
        <w:rPr>
          <w:rFonts w:ascii="Book Antiqua" w:hAnsi="Book Antiqua"/>
        </w:rPr>
        <w:t>. Systematic Review With Meta-analysis: Prompt Endoscopy As the Initial Management Strategy for Uninvestigated Dyspepsia in Asi (Aliment Pharmacol Ther 2015;41:239-252). </w:t>
      </w:r>
      <w:r w:rsidRPr="00654F9A">
        <w:rPr>
          <w:rFonts w:ascii="Book Antiqua" w:hAnsi="Book Antiqua"/>
          <w:i/>
          <w:iCs/>
        </w:rPr>
        <w:t>J Neurogastroenterol Motil</w:t>
      </w:r>
      <w:r w:rsidRPr="00654F9A">
        <w:rPr>
          <w:rFonts w:ascii="Book Antiqua" w:hAnsi="Book Antiqua"/>
        </w:rPr>
        <w:t> 2015; </w:t>
      </w:r>
      <w:r w:rsidRPr="00654F9A">
        <w:rPr>
          <w:rFonts w:ascii="Book Antiqua" w:hAnsi="Book Antiqua"/>
          <w:b/>
          <w:bCs/>
        </w:rPr>
        <w:t>21</w:t>
      </w:r>
      <w:r w:rsidRPr="00654F9A">
        <w:rPr>
          <w:rFonts w:ascii="Book Antiqua" w:hAnsi="Book Antiqua"/>
        </w:rPr>
        <w:t>: 443-444 [PMID: 26130640 DOI: 10.5056/jnm15080]</w:t>
      </w:r>
    </w:p>
    <w:p w14:paraId="252F083B" w14:textId="77777777" w:rsidR="008F6FD4" w:rsidRPr="00654F9A" w:rsidRDefault="008F6FD4" w:rsidP="008F6FD4">
      <w:pPr>
        <w:pStyle w:val="a5"/>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26 </w:t>
      </w:r>
      <w:r w:rsidRPr="00654F9A">
        <w:rPr>
          <w:rFonts w:ascii="Book Antiqua" w:hAnsi="Book Antiqua"/>
          <w:b/>
          <w:bCs/>
        </w:rPr>
        <w:t>Abdeljawad K</w:t>
      </w:r>
      <w:r w:rsidRPr="00654F9A">
        <w:rPr>
          <w:rFonts w:ascii="Book Antiqua" w:hAnsi="Book Antiqua"/>
        </w:rPr>
        <w:t>, Wehbeh A, Qayed E. Low Prevalence of Clinically Significant Endoscopic Findings in Outpatients with Dyspepsia. </w:t>
      </w:r>
      <w:r w:rsidRPr="00654F9A">
        <w:rPr>
          <w:rFonts w:ascii="Book Antiqua" w:hAnsi="Book Antiqua"/>
          <w:i/>
          <w:iCs/>
        </w:rPr>
        <w:t>Gastroenterol Res Pract</w:t>
      </w:r>
      <w:r w:rsidRPr="00654F9A">
        <w:rPr>
          <w:rFonts w:ascii="Book Antiqua" w:hAnsi="Book Antiqua"/>
        </w:rPr>
        <w:t> 2017; </w:t>
      </w:r>
      <w:r w:rsidRPr="00654F9A">
        <w:rPr>
          <w:rFonts w:ascii="Book Antiqua" w:hAnsi="Book Antiqua"/>
          <w:b/>
          <w:bCs/>
        </w:rPr>
        <w:t>2017</w:t>
      </w:r>
      <w:r w:rsidRPr="00654F9A">
        <w:rPr>
          <w:rFonts w:ascii="Book Antiqua" w:hAnsi="Book Antiqua"/>
        </w:rPr>
        <w:t>: 3543681 [PMID: 28210269 DOI: 10.1155/2017/3543681]</w:t>
      </w:r>
    </w:p>
    <w:p w14:paraId="185B93BB" w14:textId="77777777" w:rsidR="008F6FD4" w:rsidRPr="00654F9A" w:rsidRDefault="008F6FD4" w:rsidP="008F6FD4">
      <w:pPr>
        <w:pStyle w:val="a5"/>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27 </w:t>
      </w:r>
      <w:r w:rsidRPr="00654F9A">
        <w:rPr>
          <w:rFonts w:ascii="Book Antiqua" w:hAnsi="Book Antiqua"/>
          <w:b/>
          <w:bCs/>
        </w:rPr>
        <w:t>Deding U</w:t>
      </w:r>
      <w:r w:rsidRPr="00654F9A">
        <w:rPr>
          <w:rFonts w:ascii="Book Antiqua" w:hAnsi="Book Antiqua"/>
        </w:rPr>
        <w:t>, Ejlskov L, Grabas MP, Nielsen BJ, Torp-Pedersen C, Bøggild H. Perceived stress as a risk factor for peptic ulcers: a register-based cohort study. </w:t>
      </w:r>
      <w:r w:rsidRPr="00654F9A">
        <w:rPr>
          <w:rFonts w:ascii="Book Antiqua" w:hAnsi="Book Antiqua"/>
          <w:i/>
          <w:iCs/>
        </w:rPr>
        <w:t>BMC Gastroenterol</w:t>
      </w:r>
      <w:r w:rsidRPr="00654F9A">
        <w:rPr>
          <w:rFonts w:ascii="Book Antiqua" w:hAnsi="Book Antiqua"/>
        </w:rPr>
        <w:t> 2016; </w:t>
      </w:r>
      <w:r w:rsidRPr="00654F9A">
        <w:rPr>
          <w:rFonts w:ascii="Book Antiqua" w:hAnsi="Book Antiqua"/>
          <w:b/>
          <w:bCs/>
        </w:rPr>
        <w:t>16</w:t>
      </w:r>
      <w:r w:rsidRPr="00654F9A">
        <w:rPr>
          <w:rFonts w:ascii="Book Antiqua" w:hAnsi="Book Antiqua"/>
        </w:rPr>
        <w:t>: 140 [PMID: 27894275 DOI: 10.1186/s12876-016-0554-9]</w:t>
      </w:r>
    </w:p>
    <w:p w14:paraId="0C3F2DAD" w14:textId="77777777" w:rsidR="008F6FD4" w:rsidRPr="00654F9A" w:rsidRDefault="008F6FD4" w:rsidP="008F6FD4">
      <w:pPr>
        <w:pStyle w:val="a5"/>
        <w:shd w:val="clear" w:color="auto" w:fill="FFFFFF"/>
        <w:adjustRightInd w:val="0"/>
        <w:snapToGrid w:val="0"/>
        <w:spacing w:before="0" w:beforeAutospacing="0" w:after="0" w:afterAutospacing="0" w:line="360" w:lineRule="auto"/>
        <w:jc w:val="both"/>
        <w:rPr>
          <w:rFonts w:ascii="Book Antiqua" w:hAnsi="Book Antiqua"/>
        </w:rPr>
      </w:pPr>
      <w:r w:rsidRPr="00654F9A">
        <w:rPr>
          <w:rFonts w:ascii="Book Antiqua" w:hAnsi="Book Antiqua"/>
        </w:rPr>
        <w:t>28 </w:t>
      </w:r>
      <w:r w:rsidRPr="00654F9A">
        <w:rPr>
          <w:rFonts w:ascii="Book Antiqua" w:hAnsi="Book Antiqua"/>
          <w:b/>
          <w:bCs/>
        </w:rPr>
        <w:t>Badi A</w:t>
      </w:r>
      <w:r w:rsidRPr="00654F9A">
        <w:rPr>
          <w:rFonts w:ascii="Book Antiqua" w:hAnsi="Book Antiqua"/>
        </w:rPr>
        <w:t>, Naushad VA, Purayil NK, Chandra P, Abuzaid HO, Paramba F, Lutf A, Abuhmaira MM, Elzouki AY. Endoscopic Findings in Patients With Uninvestigated Dyspepsia: A Retrospective Study From Qatar. </w:t>
      </w:r>
      <w:r w:rsidRPr="00654F9A">
        <w:rPr>
          <w:rFonts w:ascii="Book Antiqua" w:hAnsi="Book Antiqua"/>
          <w:i/>
          <w:iCs/>
        </w:rPr>
        <w:t>Cureus</w:t>
      </w:r>
      <w:r w:rsidRPr="00654F9A">
        <w:rPr>
          <w:rFonts w:ascii="Book Antiqua" w:hAnsi="Book Antiqua"/>
        </w:rPr>
        <w:t> 2020; </w:t>
      </w:r>
      <w:r w:rsidRPr="00654F9A">
        <w:rPr>
          <w:rFonts w:ascii="Book Antiqua" w:hAnsi="Book Antiqua"/>
          <w:b/>
          <w:bCs/>
        </w:rPr>
        <w:t>12</w:t>
      </w:r>
      <w:r w:rsidRPr="00654F9A">
        <w:rPr>
          <w:rFonts w:ascii="Book Antiqua" w:hAnsi="Book Antiqua"/>
        </w:rPr>
        <w:t>: e11166 [PMID: 33251073 DOI: 10.7759/cureus.11166]</w:t>
      </w:r>
    </w:p>
    <w:bookmarkEnd w:id="68"/>
    <w:p w14:paraId="6EC7F6EC" w14:textId="77777777" w:rsidR="00A77B3E" w:rsidRPr="00654F9A" w:rsidRDefault="00A77B3E">
      <w:pPr>
        <w:spacing w:line="360" w:lineRule="auto"/>
        <w:jc w:val="both"/>
        <w:sectPr w:rsidR="00A77B3E" w:rsidRPr="00654F9A">
          <w:pgSz w:w="12240" w:h="15840"/>
          <w:pgMar w:top="1440" w:right="1440" w:bottom="1440" w:left="1440" w:header="720" w:footer="720" w:gutter="0"/>
          <w:cols w:space="720"/>
          <w:docGrid w:linePitch="360"/>
        </w:sectPr>
      </w:pPr>
    </w:p>
    <w:bookmarkEnd w:id="69"/>
    <w:bookmarkEnd w:id="70"/>
    <w:p w14:paraId="0858BAF7" w14:textId="77777777" w:rsidR="00A77B3E" w:rsidRPr="00654F9A" w:rsidRDefault="00717DC8">
      <w:pPr>
        <w:spacing w:line="360" w:lineRule="auto"/>
        <w:jc w:val="both"/>
      </w:pPr>
      <w:r w:rsidRPr="00654F9A">
        <w:rPr>
          <w:rFonts w:ascii="Book Antiqua" w:eastAsia="Book Antiqua" w:hAnsi="Book Antiqua" w:cs="Book Antiqua"/>
          <w:b/>
          <w:color w:val="000000"/>
        </w:rPr>
        <w:t>Footnotes</w:t>
      </w:r>
    </w:p>
    <w:p w14:paraId="4F0959B1" w14:textId="77777777" w:rsidR="00A77B3E" w:rsidRPr="00654F9A" w:rsidRDefault="00717DC8">
      <w:pPr>
        <w:spacing w:line="360" w:lineRule="auto"/>
        <w:jc w:val="both"/>
      </w:pPr>
      <w:r w:rsidRPr="00654F9A">
        <w:rPr>
          <w:rFonts w:ascii="Book Antiqua" w:eastAsia="Book Antiqua" w:hAnsi="Book Antiqua" w:cs="Book Antiqua"/>
          <w:b/>
          <w:bCs/>
          <w:color w:val="000000"/>
          <w:szCs w:val="21"/>
        </w:rPr>
        <w:t xml:space="preserve">Institutional review board statement: </w:t>
      </w:r>
      <w:r w:rsidRPr="00654F9A">
        <w:rPr>
          <w:rFonts w:ascii="Book Antiqua" w:eastAsia="Book Antiqua" w:hAnsi="Book Antiqua" w:cs="Book Antiqua"/>
          <w:color w:val="000000"/>
        </w:rPr>
        <w:t>The study was reviewed and approved by the ethics committee of the first affiliated hospital of Zhejiang Chinese Medical University (Approval No. 2017-ZX-052-01).</w:t>
      </w:r>
    </w:p>
    <w:p w14:paraId="34C2AB7A" w14:textId="77777777" w:rsidR="00A77B3E" w:rsidRPr="00654F9A" w:rsidRDefault="00A77B3E">
      <w:pPr>
        <w:spacing w:line="360" w:lineRule="auto"/>
        <w:jc w:val="both"/>
        <w:rPr>
          <w:lang w:eastAsia="zh-CN"/>
        </w:rPr>
      </w:pPr>
    </w:p>
    <w:p w14:paraId="2B39286F" w14:textId="77777777" w:rsidR="00852062" w:rsidRPr="00654F9A" w:rsidRDefault="00852062" w:rsidP="00852062">
      <w:pPr>
        <w:adjustRightInd w:val="0"/>
        <w:snapToGrid w:val="0"/>
        <w:spacing w:line="360" w:lineRule="auto"/>
        <w:rPr>
          <w:rFonts w:ascii="Book Antiqua" w:hAnsi="Book Antiqua"/>
          <w:b/>
          <w:color w:val="000000"/>
        </w:rPr>
      </w:pPr>
      <w:r w:rsidRPr="00654F9A">
        <w:rPr>
          <w:rFonts w:ascii="Book Antiqua" w:hAnsi="Book Antiqua"/>
          <w:b/>
          <w:color w:val="000000"/>
        </w:rPr>
        <w:t>Informed consent statement</w:t>
      </w:r>
      <w:r w:rsidRPr="00654F9A">
        <w:rPr>
          <w:rFonts w:ascii="Book Antiqua" w:hAnsi="Book Antiqua"/>
          <w:b/>
          <w:bCs/>
          <w:iCs/>
          <w:color w:val="000000"/>
        </w:rPr>
        <w:t xml:space="preserve">: </w:t>
      </w:r>
      <w:bookmarkStart w:id="73" w:name="OLE_LINK51"/>
      <w:r w:rsidRPr="00654F9A">
        <w:rPr>
          <w:rFonts w:ascii="Book Antiqua" w:hAnsi="Book Antiqua"/>
          <w:bCs/>
          <w:iCs/>
          <w:color w:val="000000"/>
        </w:rPr>
        <w:t>All study participants, or their legal guardian, provided informed written consent prior to study enrollment.</w:t>
      </w:r>
      <w:bookmarkEnd w:id="73"/>
    </w:p>
    <w:p w14:paraId="4AD0FE3E" w14:textId="77777777" w:rsidR="00852062" w:rsidRPr="00654F9A" w:rsidRDefault="00852062">
      <w:pPr>
        <w:spacing w:line="360" w:lineRule="auto"/>
        <w:jc w:val="both"/>
        <w:rPr>
          <w:lang w:eastAsia="zh-CN"/>
        </w:rPr>
      </w:pPr>
    </w:p>
    <w:p w14:paraId="4EB67B25" w14:textId="77777777" w:rsidR="00A77B3E" w:rsidRPr="00654F9A" w:rsidRDefault="00717DC8">
      <w:pPr>
        <w:spacing w:line="360" w:lineRule="auto"/>
        <w:jc w:val="both"/>
      </w:pPr>
      <w:r w:rsidRPr="00654F9A">
        <w:rPr>
          <w:rFonts w:ascii="Book Antiqua" w:eastAsia="Book Antiqua" w:hAnsi="Book Antiqua" w:cs="Book Antiqua"/>
          <w:b/>
          <w:bCs/>
          <w:color w:val="000000"/>
          <w:szCs w:val="21"/>
        </w:rPr>
        <w:t xml:space="preserve">Conflict-of-interest statement: </w:t>
      </w:r>
      <w:r w:rsidRPr="00654F9A">
        <w:rPr>
          <w:rFonts w:ascii="Book Antiqua" w:eastAsia="Book Antiqua" w:hAnsi="Book Antiqua" w:cs="Book Antiqua"/>
          <w:color w:val="000000"/>
        </w:rPr>
        <w:t>There is no conflict of interest.</w:t>
      </w:r>
    </w:p>
    <w:p w14:paraId="499F267D" w14:textId="77777777" w:rsidR="00A77B3E" w:rsidRPr="00654F9A" w:rsidRDefault="00A77B3E">
      <w:pPr>
        <w:spacing w:line="360" w:lineRule="auto"/>
        <w:jc w:val="both"/>
      </w:pPr>
    </w:p>
    <w:p w14:paraId="79946066" w14:textId="77777777" w:rsidR="00A77B3E" w:rsidRPr="00654F9A" w:rsidRDefault="00717DC8">
      <w:pPr>
        <w:spacing w:line="360" w:lineRule="auto"/>
        <w:jc w:val="both"/>
      </w:pPr>
      <w:r w:rsidRPr="00654F9A">
        <w:rPr>
          <w:rFonts w:ascii="Book Antiqua" w:eastAsia="Book Antiqua" w:hAnsi="Book Antiqua" w:cs="Book Antiqua"/>
          <w:b/>
          <w:bCs/>
          <w:color w:val="000000"/>
          <w:szCs w:val="21"/>
        </w:rPr>
        <w:t xml:space="preserve">Data sharing statement: </w:t>
      </w:r>
      <w:r w:rsidRPr="00654F9A">
        <w:rPr>
          <w:rFonts w:ascii="Book Antiqua" w:eastAsia="Book Antiqua" w:hAnsi="Book Antiqua" w:cs="Book Antiqua"/>
          <w:color w:val="000000"/>
        </w:rPr>
        <w:t>No additional data are available.</w:t>
      </w:r>
    </w:p>
    <w:p w14:paraId="4C4324D6" w14:textId="77777777" w:rsidR="00852062" w:rsidRPr="00654F9A" w:rsidRDefault="00852062" w:rsidP="00852062">
      <w:pPr>
        <w:adjustRightInd w:val="0"/>
        <w:snapToGrid w:val="0"/>
        <w:spacing w:line="360" w:lineRule="auto"/>
        <w:rPr>
          <w:rFonts w:ascii="Book Antiqua" w:hAnsi="Book Antiqua"/>
          <w:color w:val="000000"/>
        </w:rPr>
      </w:pPr>
    </w:p>
    <w:p w14:paraId="46E90247" w14:textId="77777777" w:rsidR="00852062" w:rsidRPr="00654F9A" w:rsidRDefault="00852062" w:rsidP="00852062">
      <w:pPr>
        <w:adjustRightInd w:val="0"/>
        <w:snapToGrid w:val="0"/>
        <w:spacing w:line="360" w:lineRule="auto"/>
        <w:jc w:val="both"/>
        <w:rPr>
          <w:rFonts w:ascii="Book Antiqua" w:hAnsi="Book Antiqua"/>
          <w:color w:val="000000"/>
        </w:rPr>
      </w:pPr>
      <w:bookmarkStart w:id="74" w:name="OLE_LINK258"/>
      <w:bookmarkStart w:id="75" w:name="OLE_LINK259"/>
      <w:r w:rsidRPr="00654F9A">
        <w:rPr>
          <w:rFonts w:ascii="Book Antiqua" w:hAnsi="Book Antiqua"/>
          <w:b/>
          <w:color w:val="000000"/>
        </w:rPr>
        <w:t>STROBE statement</w:t>
      </w:r>
      <w:bookmarkEnd w:id="74"/>
      <w:bookmarkEnd w:id="75"/>
      <w:r w:rsidRPr="00654F9A">
        <w:rPr>
          <w:rFonts w:ascii="Book Antiqua" w:hAnsi="Book Antiqua"/>
          <w:b/>
          <w:color w:val="000000"/>
        </w:rPr>
        <w:t>:</w:t>
      </w:r>
      <w:r w:rsidRPr="00654F9A">
        <w:t xml:space="preserve"> </w:t>
      </w:r>
      <w:bookmarkStart w:id="76" w:name="OLE_LINK52"/>
      <w:bookmarkStart w:id="77" w:name="OLE_LINK53"/>
      <w:r w:rsidRPr="00654F9A">
        <w:rPr>
          <w:rFonts w:ascii="Book Antiqua" w:hAnsi="Book Antiqua"/>
          <w:color w:val="000000"/>
        </w:rPr>
        <w:t>The authors have read the STROBE statement, and the manuscript was prepared and revised according to the STROBE statement.</w:t>
      </w:r>
      <w:bookmarkEnd w:id="76"/>
      <w:bookmarkEnd w:id="77"/>
    </w:p>
    <w:p w14:paraId="74094424" w14:textId="77777777" w:rsidR="00A77B3E" w:rsidRPr="00654F9A" w:rsidRDefault="00A77B3E">
      <w:pPr>
        <w:spacing w:line="360" w:lineRule="auto"/>
        <w:jc w:val="both"/>
      </w:pPr>
    </w:p>
    <w:p w14:paraId="22881DEE" w14:textId="77777777" w:rsidR="00A77B3E" w:rsidRPr="00654F9A" w:rsidRDefault="00717DC8">
      <w:pPr>
        <w:spacing w:line="360" w:lineRule="auto"/>
        <w:jc w:val="both"/>
      </w:pPr>
      <w:r w:rsidRPr="00654F9A">
        <w:rPr>
          <w:rFonts w:ascii="Book Antiqua" w:eastAsia="Book Antiqua" w:hAnsi="Book Antiqua" w:cs="Book Antiqua"/>
          <w:b/>
          <w:bCs/>
          <w:color w:val="000000"/>
        </w:rPr>
        <w:t xml:space="preserve">Open-Access: </w:t>
      </w:r>
      <w:r w:rsidRPr="00654F9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AF0E8E2" w14:textId="77777777" w:rsidR="00A77B3E" w:rsidRPr="00654F9A" w:rsidRDefault="00A77B3E">
      <w:pPr>
        <w:spacing w:line="360" w:lineRule="auto"/>
        <w:jc w:val="both"/>
      </w:pPr>
    </w:p>
    <w:p w14:paraId="6723137F" w14:textId="77777777" w:rsidR="00A77B3E" w:rsidRPr="00654F9A" w:rsidRDefault="00717DC8">
      <w:pPr>
        <w:spacing w:line="360" w:lineRule="auto"/>
        <w:jc w:val="both"/>
      </w:pPr>
      <w:r w:rsidRPr="00654F9A">
        <w:rPr>
          <w:rFonts w:ascii="Book Antiqua" w:eastAsia="Book Antiqua" w:hAnsi="Book Antiqua" w:cs="Book Antiqua"/>
          <w:b/>
          <w:color w:val="000000"/>
        </w:rPr>
        <w:t xml:space="preserve">Manuscript source: </w:t>
      </w:r>
      <w:r w:rsidRPr="00654F9A">
        <w:rPr>
          <w:rFonts w:ascii="Book Antiqua" w:eastAsia="Book Antiqua" w:hAnsi="Book Antiqua" w:cs="Book Antiqua"/>
          <w:color w:val="000000"/>
        </w:rPr>
        <w:t xml:space="preserve">Unsolicited </w:t>
      </w:r>
      <w:r w:rsidR="003F3096" w:rsidRPr="00654F9A">
        <w:rPr>
          <w:rFonts w:ascii="Book Antiqua" w:eastAsia="Book Antiqua" w:hAnsi="Book Antiqua" w:cs="Book Antiqua"/>
          <w:color w:val="000000"/>
        </w:rPr>
        <w:t>manuscript</w:t>
      </w:r>
    </w:p>
    <w:p w14:paraId="47AFD078" w14:textId="77777777" w:rsidR="00A77B3E" w:rsidRPr="00654F9A" w:rsidRDefault="00A77B3E">
      <w:pPr>
        <w:spacing w:line="360" w:lineRule="auto"/>
        <w:jc w:val="both"/>
      </w:pPr>
    </w:p>
    <w:p w14:paraId="3EDD638F" w14:textId="77777777" w:rsidR="00A77B3E" w:rsidRPr="00654F9A" w:rsidRDefault="00717DC8">
      <w:pPr>
        <w:spacing w:line="360" w:lineRule="auto"/>
        <w:jc w:val="both"/>
      </w:pPr>
      <w:r w:rsidRPr="00654F9A">
        <w:rPr>
          <w:rFonts w:ascii="Book Antiqua" w:eastAsia="Book Antiqua" w:hAnsi="Book Antiqua" w:cs="Book Antiqua"/>
          <w:b/>
          <w:color w:val="000000"/>
        </w:rPr>
        <w:t xml:space="preserve">Peer-review started: </w:t>
      </w:r>
      <w:r w:rsidRPr="00654F9A">
        <w:rPr>
          <w:rFonts w:ascii="Book Antiqua" w:eastAsia="Book Antiqua" w:hAnsi="Book Antiqua" w:cs="Book Antiqua"/>
          <w:color w:val="000000"/>
        </w:rPr>
        <w:t>January 11, 2021</w:t>
      </w:r>
    </w:p>
    <w:p w14:paraId="4E41483B" w14:textId="77777777" w:rsidR="00A77B3E" w:rsidRPr="00654F9A" w:rsidRDefault="00717DC8">
      <w:pPr>
        <w:spacing w:line="360" w:lineRule="auto"/>
        <w:jc w:val="both"/>
      </w:pPr>
      <w:r w:rsidRPr="00654F9A">
        <w:rPr>
          <w:rFonts w:ascii="Book Antiqua" w:eastAsia="Book Antiqua" w:hAnsi="Book Antiqua" w:cs="Book Antiqua"/>
          <w:b/>
          <w:color w:val="000000"/>
        </w:rPr>
        <w:t xml:space="preserve">First decision: </w:t>
      </w:r>
      <w:r w:rsidRPr="00654F9A">
        <w:rPr>
          <w:rFonts w:ascii="Book Antiqua" w:eastAsia="Book Antiqua" w:hAnsi="Book Antiqua" w:cs="Book Antiqua"/>
          <w:color w:val="000000"/>
        </w:rPr>
        <w:t>February 23, 2021</w:t>
      </w:r>
    </w:p>
    <w:p w14:paraId="397CCCC3" w14:textId="0936CB4B" w:rsidR="00A77B3E" w:rsidRPr="00654F9A" w:rsidRDefault="00717DC8">
      <w:pPr>
        <w:spacing w:line="360" w:lineRule="auto"/>
        <w:jc w:val="both"/>
      </w:pPr>
      <w:r w:rsidRPr="00654F9A">
        <w:rPr>
          <w:rFonts w:ascii="Book Antiqua" w:eastAsia="Book Antiqua" w:hAnsi="Book Antiqua" w:cs="Book Antiqua"/>
          <w:b/>
          <w:color w:val="000000"/>
        </w:rPr>
        <w:t xml:space="preserve">Article in press: </w:t>
      </w:r>
      <w:r w:rsidR="00F664D2" w:rsidRPr="00654F9A">
        <w:rPr>
          <w:rFonts w:ascii="Book Antiqua" w:eastAsia="Book Antiqua" w:hAnsi="Book Antiqua" w:cs="Book Antiqua"/>
          <w:color w:val="000000"/>
        </w:rPr>
        <w:t>March 29, 2021</w:t>
      </w:r>
    </w:p>
    <w:p w14:paraId="03C819B4" w14:textId="77777777" w:rsidR="00A77B3E" w:rsidRPr="00654F9A" w:rsidRDefault="00A77B3E">
      <w:pPr>
        <w:spacing w:line="360" w:lineRule="auto"/>
        <w:jc w:val="both"/>
      </w:pPr>
    </w:p>
    <w:p w14:paraId="2E8EBF18" w14:textId="77777777" w:rsidR="00A77B3E" w:rsidRPr="00654F9A" w:rsidRDefault="00717DC8">
      <w:pPr>
        <w:spacing w:line="360" w:lineRule="auto"/>
        <w:jc w:val="both"/>
      </w:pPr>
      <w:r w:rsidRPr="00654F9A">
        <w:rPr>
          <w:rFonts w:ascii="Book Antiqua" w:eastAsia="Book Antiqua" w:hAnsi="Book Antiqua" w:cs="Book Antiqua"/>
          <w:b/>
          <w:color w:val="000000"/>
        </w:rPr>
        <w:t xml:space="preserve">Specialty type: </w:t>
      </w:r>
      <w:r w:rsidRPr="00654F9A">
        <w:rPr>
          <w:rFonts w:ascii="Book Antiqua" w:eastAsia="Book Antiqua" w:hAnsi="Book Antiqua" w:cs="Book Antiqua"/>
          <w:color w:val="000000"/>
        </w:rPr>
        <w:t xml:space="preserve">Gastroenterology and </w:t>
      </w:r>
      <w:r w:rsidR="00B41DD5" w:rsidRPr="00654F9A">
        <w:rPr>
          <w:rFonts w:ascii="Book Antiqua" w:eastAsia="Book Antiqua" w:hAnsi="Book Antiqua" w:cs="Book Antiqua"/>
          <w:color w:val="000000"/>
        </w:rPr>
        <w:t>hepatology</w:t>
      </w:r>
    </w:p>
    <w:p w14:paraId="3545D81B" w14:textId="77777777" w:rsidR="00A77B3E" w:rsidRPr="00654F9A" w:rsidRDefault="00717DC8">
      <w:pPr>
        <w:spacing w:line="360" w:lineRule="auto"/>
        <w:jc w:val="both"/>
      </w:pPr>
      <w:r w:rsidRPr="00654F9A">
        <w:rPr>
          <w:rFonts w:ascii="Book Antiqua" w:eastAsia="Book Antiqua" w:hAnsi="Book Antiqua" w:cs="Book Antiqua"/>
          <w:b/>
          <w:color w:val="000000"/>
        </w:rPr>
        <w:t xml:space="preserve">Country/Territory of origin: </w:t>
      </w:r>
      <w:r w:rsidRPr="00654F9A">
        <w:rPr>
          <w:rFonts w:ascii="Book Antiqua" w:eastAsia="Book Antiqua" w:hAnsi="Book Antiqua" w:cs="Book Antiqua"/>
          <w:color w:val="000000"/>
        </w:rPr>
        <w:t>China</w:t>
      </w:r>
    </w:p>
    <w:p w14:paraId="53805C39" w14:textId="77777777" w:rsidR="00A77B3E" w:rsidRPr="00654F9A" w:rsidRDefault="00717DC8">
      <w:pPr>
        <w:spacing w:line="360" w:lineRule="auto"/>
        <w:jc w:val="both"/>
      </w:pPr>
      <w:r w:rsidRPr="00654F9A">
        <w:rPr>
          <w:rFonts w:ascii="Book Antiqua" w:eastAsia="Book Antiqua" w:hAnsi="Book Antiqua" w:cs="Book Antiqua"/>
          <w:b/>
          <w:color w:val="000000"/>
        </w:rPr>
        <w:t>Peer-review report’s scientific quality classification</w:t>
      </w:r>
    </w:p>
    <w:p w14:paraId="7E5EDD6E" w14:textId="77777777" w:rsidR="00A77B3E" w:rsidRPr="00654F9A" w:rsidRDefault="00717DC8">
      <w:pPr>
        <w:spacing w:line="360" w:lineRule="auto"/>
        <w:jc w:val="both"/>
      </w:pPr>
      <w:r w:rsidRPr="00654F9A">
        <w:rPr>
          <w:rFonts w:ascii="Book Antiqua" w:eastAsia="Book Antiqua" w:hAnsi="Book Antiqua" w:cs="Book Antiqua"/>
          <w:color w:val="000000"/>
        </w:rPr>
        <w:t>Grade A (Excellent): 0</w:t>
      </w:r>
    </w:p>
    <w:p w14:paraId="1861C64A" w14:textId="77777777" w:rsidR="00A77B3E" w:rsidRPr="00654F9A" w:rsidRDefault="00717DC8">
      <w:pPr>
        <w:spacing w:line="360" w:lineRule="auto"/>
        <w:jc w:val="both"/>
      </w:pPr>
      <w:r w:rsidRPr="00654F9A">
        <w:rPr>
          <w:rFonts w:ascii="Book Antiqua" w:eastAsia="Book Antiqua" w:hAnsi="Book Antiqua" w:cs="Book Antiqua"/>
          <w:color w:val="000000"/>
        </w:rPr>
        <w:t>Grade B (Very good): 0</w:t>
      </w:r>
    </w:p>
    <w:p w14:paraId="7A00CC23" w14:textId="6F7B238F" w:rsidR="00A77B3E" w:rsidRPr="00654F9A" w:rsidRDefault="00717DC8">
      <w:pPr>
        <w:spacing w:line="360" w:lineRule="auto"/>
        <w:jc w:val="both"/>
      </w:pPr>
      <w:r w:rsidRPr="00654F9A">
        <w:rPr>
          <w:rFonts w:ascii="Book Antiqua" w:eastAsia="Book Antiqua" w:hAnsi="Book Antiqua" w:cs="Book Antiqua"/>
          <w:color w:val="000000"/>
        </w:rPr>
        <w:t>Grade C (Good): C, C</w:t>
      </w:r>
      <w:r w:rsidR="003B5510" w:rsidRPr="00654F9A">
        <w:rPr>
          <w:rFonts w:ascii="Book Antiqua" w:eastAsia="Book Antiqua" w:hAnsi="Book Antiqua" w:cs="Book Antiqua"/>
          <w:color w:val="000000"/>
        </w:rPr>
        <w:t>, C</w:t>
      </w:r>
    </w:p>
    <w:p w14:paraId="0BA450F5" w14:textId="77777777" w:rsidR="00A77B3E" w:rsidRPr="00654F9A" w:rsidRDefault="00717DC8">
      <w:pPr>
        <w:spacing w:line="360" w:lineRule="auto"/>
        <w:jc w:val="both"/>
      </w:pPr>
      <w:r w:rsidRPr="00654F9A">
        <w:rPr>
          <w:rFonts w:ascii="Book Antiqua" w:eastAsia="Book Antiqua" w:hAnsi="Book Antiqua" w:cs="Book Antiqua"/>
          <w:color w:val="000000"/>
        </w:rPr>
        <w:t>Grade D (Fair): 0</w:t>
      </w:r>
    </w:p>
    <w:p w14:paraId="39C26C65" w14:textId="77777777" w:rsidR="00A77B3E" w:rsidRPr="00654F9A" w:rsidRDefault="00717DC8">
      <w:pPr>
        <w:spacing w:line="360" w:lineRule="auto"/>
        <w:jc w:val="both"/>
      </w:pPr>
      <w:r w:rsidRPr="00654F9A">
        <w:rPr>
          <w:rFonts w:ascii="Book Antiqua" w:eastAsia="Book Antiqua" w:hAnsi="Book Antiqua" w:cs="Book Antiqua"/>
          <w:color w:val="000000"/>
        </w:rPr>
        <w:t>Grade E (Poor): 0</w:t>
      </w:r>
    </w:p>
    <w:p w14:paraId="72C52AAA" w14:textId="77777777" w:rsidR="00A77B3E" w:rsidRPr="00654F9A" w:rsidRDefault="00A77B3E">
      <w:pPr>
        <w:spacing w:line="360" w:lineRule="auto"/>
        <w:jc w:val="both"/>
      </w:pPr>
    </w:p>
    <w:p w14:paraId="1102C302" w14:textId="74702EE7" w:rsidR="00241D35" w:rsidRPr="00654F9A" w:rsidRDefault="00717DC8">
      <w:pPr>
        <w:spacing w:line="360" w:lineRule="auto"/>
        <w:jc w:val="both"/>
        <w:rPr>
          <w:rFonts w:ascii="Book Antiqua" w:eastAsia="Book Antiqua" w:hAnsi="Book Antiqua" w:cs="Book Antiqua"/>
          <w:b/>
          <w:color w:val="000000"/>
        </w:rPr>
      </w:pPr>
      <w:r w:rsidRPr="00654F9A">
        <w:rPr>
          <w:rFonts w:ascii="Book Antiqua" w:eastAsia="Book Antiqua" w:hAnsi="Book Antiqua" w:cs="Book Antiqua"/>
          <w:b/>
          <w:color w:val="000000"/>
        </w:rPr>
        <w:t xml:space="preserve">P-Reviewer: </w:t>
      </w:r>
      <w:r w:rsidRPr="00654F9A">
        <w:rPr>
          <w:rFonts w:ascii="Book Antiqua" w:eastAsia="Book Antiqua" w:hAnsi="Book Antiqua" w:cs="Book Antiqua"/>
          <w:color w:val="000000"/>
        </w:rPr>
        <w:t>Gram-Hanssen A, Noh AYM</w:t>
      </w:r>
      <w:r w:rsidRPr="00654F9A">
        <w:rPr>
          <w:rFonts w:ascii="Book Antiqua" w:eastAsia="Book Antiqua" w:hAnsi="Book Antiqua" w:cs="Book Antiqua"/>
          <w:b/>
          <w:color w:val="000000"/>
        </w:rPr>
        <w:t xml:space="preserve"> S-Editor: </w:t>
      </w:r>
      <w:r w:rsidR="00B66CF5" w:rsidRPr="00654F9A">
        <w:rPr>
          <w:rFonts w:ascii="Book Antiqua" w:hAnsi="Book Antiqua" w:cs="Book Antiqua"/>
          <w:color w:val="000000"/>
          <w:lang w:eastAsia="zh-CN"/>
        </w:rPr>
        <w:t xml:space="preserve">Zhang H </w:t>
      </w:r>
      <w:r w:rsidR="00B66CF5" w:rsidRPr="00654F9A">
        <w:rPr>
          <w:rFonts w:ascii="Book Antiqua" w:eastAsia="Book Antiqua" w:hAnsi="Book Antiqua" w:cs="Book Antiqua"/>
          <w:b/>
          <w:color w:val="000000"/>
        </w:rPr>
        <w:t xml:space="preserve">L-Editor: </w:t>
      </w:r>
      <w:r w:rsidR="00A21CE3" w:rsidRPr="00654F9A">
        <w:rPr>
          <w:rFonts w:ascii="Book Antiqua" w:eastAsia="Book Antiqua" w:hAnsi="Book Antiqua" w:cs="Book Antiqua"/>
          <w:bCs/>
          <w:color w:val="000000"/>
        </w:rPr>
        <w:t xml:space="preserve">Filipodia </w:t>
      </w:r>
      <w:r w:rsidRPr="00654F9A">
        <w:rPr>
          <w:rFonts w:ascii="Book Antiqua" w:eastAsia="Book Antiqua" w:hAnsi="Book Antiqua" w:cs="Book Antiqua"/>
          <w:b/>
          <w:color w:val="000000"/>
        </w:rPr>
        <w:t xml:space="preserve">P-Editor: </w:t>
      </w:r>
      <w:r w:rsidR="00965D3A" w:rsidRPr="00965D3A">
        <w:rPr>
          <w:rFonts w:ascii="Book Antiqua" w:eastAsia="Book Antiqua" w:hAnsi="Book Antiqua" w:cs="Book Antiqua"/>
          <w:bCs/>
          <w:color w:val="000000"/>
        </w:rPr>
        <w:t>Li JH</w:t>
      </w:r>
    </w:p>
    <w:p w14:paraId="31FFD1F5" w14:textId="77777777" w:rsidR="00A77B3E" w:rsidRPr="00654F9A" w:rsidRDefault="00241D35">
      <w:pPr>
        <w:spacing w:line="360" w:lineRule="auto"/>
        <w:jc w:val="both"/>
        <w:rPr>
          <w:rFonts w:ascii="Book Antiqua" w:hAnsi="Book Antiqua" w:cs="Book Antiqua"/>
          <w:b/>
          <w:color w:val="000000"/>
          <w:lang w:eastAsia="zh-CN"/>
        </w:rPr>
      </w:pPr>
      <w:r w:rsidRPr="00654F9A">
        <w:rPr>
          <w:rFonts w:ascii="Book Antiqua" w:eastAsia="Book Antiqua" w:hAnsi="Book Antiqua" w:cs="Book Antiqua"/>
          <w:b/>
          <w:color w:val="000000"/>
        </w:rPr>
        <w:br w:type="page"/>
      </w:r>
      <w:r w:rsidRPr="00654F9A">
        <w:rPr>
          <w:rFonts w:ascii="Book Antiqua" w:hAnsi="Book Antiqua" w:cs="Book Antiqua"/>
          <w:b/>
          <w:color w:val="000000"/>
          <w:lang w:eastAsia="zh-CN"/>
        </w:rPr>
        <w:t>Figure Legends</w:t>
      </w:r>
    </w:p>
    <w:p w14:paraId="3E26809E" w14:textId="77777777" w:rsidR="00241D35" w:rsidRPr="00654F9A" w:rsidRDefault="002D48BA">
      <w:pPr>
        <w:spacing w:line="360" w:lineRule="auto"/>
        <w:jc w:val="both"/>
        <w:rPr>
          <w:lang w:eastAsia="zh-CN"/>
        </w:rPr>
      </w:pPr>
      <w:r w:rsidRPr="00654F9A">
        <w:rPr>
          <w:noProof/>
          <w:lang w:eastAsia="zh-CN"/>
        </w:rPr>
        <w:drawing>
          <wp:inline distT="0" distB="0" distL="0" distR="0" wp14:anchorId="12B2F480" wp14:editId="765A7FE7">
            <wp:extent cx="5925152" cy="369350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8093" cy="3695334"/>
                    </a:xfrm>
                    <a:prstGeom prst="rect">
                      <a:avLst/>
                    </a:prstGeom>
                    <a:noFill/>
                  </pic:spPr>
                </pic:pic>
              </a:graphicData>
            </a:graphic>
          </wp:inline>
        </w:drawing>
      </w:r>
    </w:p>
    <w:p w14:paraId="6620F45B" w14:textId="0419540B" w:rsidR="00911A53" w:rsidRPr="00654F9A" w:rsidRDefault="002D48BA" w:rsidP="002D48BA">
      <w:pPr>
        <w:adjustRightInd w:val="0"/>
        <w:snapToGrid w:val="0"/>
        <w:spacing w:line="360" w:lineRule="auto"/>
        <w:jc w:val="both"/>
        <w:rPr>
          <w:rFonts w:ascii="Book Antiqua" w:hAnsi="Book Antiqua"/>
          <w:lang w:eastAsia="zh-CN"/>
        </w:rPr>
      </w:pPr>
      <w:bookmarkStart w:id="78" w:name="OLE_LINK54"/>
      <w:bookmarkStart w:id="79" w:name="OLE_LINK55"/>
      <w:r w:rsidRPr="00654F9A">
        <w:rPr>
          <w:rFonts w:ascii="Book Antiqua" w:hAnsi="Book Antiqua"/>
          <w:b/>
          <w:lang w:eastAsia="zh-CN"/>
        </w:rPr>
        <w:t>Figure 1 Evaluated endoscopic features.</w:t>
      </w:r>
      <w:r w:rsidRPr="00654F9A">
        <w:rPr>
          <w:rFonts w:ascii="Book Antiqua" w:hAnsi="Book Antiqua"/>
          <w:lang w:eastAsia="zh-CN"/>
        </w:rPr>
        <w:t xml:space="preserve"> </w:t>
      </w:r>
      <w:r w:rsidR="003B5510" w:rsidRPr="00654F9A">
        <w:rPr>
          <w:rFonts w:ascii="Book Antiqua" w:hAnsi="Book Antiqua"/>
          <w:lang w:eastAsia="zh-CN"/>
        </w:rPr>
        <w:t xml:space="preserve">A and B: </w:t>
      </w:r>
      <w:r w:rsidRPr="00654F9A">
        <w:rPr>
          <w:rFonts w:ascii="Book Antiqua" w:hAnsi="Book Antiqua"/>
          <w:lang w:eastAsia="zh-CN"/>
        </w:rPr>
        <w:t>General findings</w:t>
      </w:r>
      <w:r w:rsidR="003B5510" w:rsidRPr="00654F9A">
        <w:rPr>
          <w:rFonts w:ascii="Book Antiqua" w:hAnsi="Book Antiqua"/>
          <w:lang w:eastAsia="zh-CN"/>
        </w:rPr>
        <w:t>.</w:t>
      </w:r>
      <w:r w:rsidRPr="00654F9A">
        <w:rPr>
          <w:rFonts w:ascii="Book Antiqua" w:hAnsi="Book Antiqua"/>
          <w:lang w:eastAsia="zh-CN"/>
        </w:rPr>
        <w:t xml:space="preserve"> </w:t>
      </w:r>
      <w:r w:rsidR="00481DE7">
        <w:rPr>
          <w:rFonts w:ascii="Book Antiqua" w:hAnsi="Book Antiqua"/>
          <w:lang w:eastAsia="zh-CN"/>
        </w:rPr>
        <w:t xml:space="preserve">(A) </w:t>
      </w:r>
      <w:r w:rsidRPr="00654F9A">
        <w:rPr>
          <w:rFonts w:ascii="Book Antiqua" w:hAnsi="Book Antiqua"/>
          <w:lang w:eastAsia="zh-CN"/>
        </w:rPr>
        <w:t xml:space="preserve">Chronic superficial gastritis; </w:t>
      </w:r>
      <w:r w:rsidR="00481DE7">
        <w:rPr>
          <w:rFonts w:ascii="Book Antiqua" w:hAnsi="Book Antiqua"/>
          <w:lang w:eastAsia="zh-CN"/>
        </w:rPr>
        <w:t xml:space="preserve">(B) </w:t>
      </w:r>
      <w:r w:rsidRPr="00654F9A">
        <w:rPr>
          <w:rFonts w:ascii="Book Antiqua" w:hAnsi="Book Antiqua"/>
          <w:lang w:eastAsia="zh-CN"/>
        </w:rPr>
        <w:t xml:space="preserve">Chronic atrophic gastritis; </w:t>
      </w:r>
      <w:r w:rsidR="003B5510" w:rsidRPr="00654F9A">
        <w:rPr>
          <w:rFonts w:ascii="Book Antiqua" w:hAnsi="Book Antiqua"/>
          <w:lang w:eastAsia="zh-CN"/>
        </w:rPr>
        <w:t xml:space="preserve">C-F: </w:t>
      </w:r>
      <w:r w:rsidRPr="00654F9A">
        <w:rPr>
          <w:rFonts w:ascii="Book Antiqua" w:hAnsi="Book Antiqua"/>
          <w:lang w:eastAsia="zh-CN"/>
        </w:rPr>
        <w:t>Clinically significant findings</w:t>
      </w:r>
      <w:r w:rsidR="003B5510" w:rsidRPr="00654F9A">
        <w:rPr>
          <w:rFonts w:ascii="Book Antiqua" w:hAnsi="Book Antiqua"/>
          <w:lang w:eastAsia="zh-CN"/>
        </w:rPr>
        <w:t>.</w:t>
      </w:r>
      <w:r w:rsidRPr="00654F9A">
        <w:rPr>
          <w:rFonts w:ascii="Book Antiqua" w:hAnsi="Book Antiqua"/>
          <w:lang w:eastAsia="zh-CN"/>
        </w:rPr>
        <w:t xml:space="preserve"> </w:t>
      </w:r>
      <w:r w:rsidR="00481DE7">
        <w:rPr>
          <w:rFonts w:ascii="Book Antiqua" w:hAnsi="Book Antiqua"/>
          <w:lang w:eastAsia="zh-CN"/>
        </w:rPr>
        <w:t xml:space="preserve">(C) </w:t>
      </w:r>
      <w:r w:rsidRPr="00654F9A">
        <w:rPr>
          <w:rFonts w:ascii="Book Antiqua" w:hAnsi="Book Antiqua"/>
          <w:lang w:eastAsia="zh-CN"/>
        </w:rPr>
        <w:t>Reflux esophagitis;</w:t>
      </w:r>
      <w:r w:rsidR="00481DE7">
        <w:rPr>
          <w:rFonts w:ascii="Book Antiqua" w:hAnsi="Book Antiqua"/>
          <w:lang w:eastAsia="zh-CN"/>
        </w:rPr>
        <w:t xml:space="preserve"> (D)</w:t>
      </w:r>
      <w:r w:rsidRPr="00654F9A">
        <w:rPr>
          <w:rFonts w:ascii="Book Antiqua" w:hAnsi="Book Antiqua"/>
          <w:lang w:eastAsia="zh-CN"/>
        </w:rPr>
        <w:t xml:space="preserve"> </w:t>
      </w:r>
      <w:r w:rsidR="00692009" w:rsidRPr="00654F9A">
        <w:rPr>
          <w:rFonts w:ascii="Book Antiqua" w:hAnsi="Book Antiqua"/>
          <w:lang w:eastAsia="zh-CN"/>
        </w:rPr>
        <w:t>Barrett</w:t>
      </w:r>
      <w:r w:rsidR="00481DE7">
        <w:rPr>
          <w:rFonts w:ascii="Book Antiqua" w:hAnsi="Book Antiqua"/>
          <w:lang w:eastAsia="zh-CN"/>
        </w:rPr>
        <w:t>’</w:t>
      </w:r>
      <w:r w:rsidR="00692009" w:rsidRPr="00654F9A">
        <w:rPr>
          <w:rFonts w:ascii="Book Antiqua" w:hAnsi="Book Antiqua"/>
          <w:lang w:eastAsia="zh-CN"/>
        </w:rPr>
        <w:t xml:space="preserve">s </w:t>
      </w:r>
      <w:r w:rsidRPr="00654F9A">
        <w:rPr>
          <w:rFonts w:ascii="Book Antiqua" w:hAnsi="Book Antiqua"/>
          <w:lang w:eastAsia="zh-CN"/>
        </w:rPr>
        <w:t>esophagus;</w:t>
      </w:r>
      <w:r w:rsidR="00481DE7">
        <w:rPr>
          <w:rFonts w:ascii="Book Antiqua" w:hAnsi="Book Antiqua"/>
          <w:lang w:eastAsia="zh-CN"/>
        </w:rPr>
        <w:t xml:space="preserve"> (E)</w:t>
      </w:r>
      <w:r w:rsidRPr="00654F9A">
        <w:rPr>
          <w:rFonts w:ascii="Book Antiqua" w:hAnsi="Book Antiqua"/>
          <w:lang w:eastAsia="zh-CN"/>
        </w:rPr>
        <w:t xml:space="preserve"> Peptic ulcer;</w:t>
      </w:r>
      <w:r w:rsidR="00481DE7">
        <w:rPr>
          <w:rFonts w:ascii="Book Antiqua" w:hAnsi="Book Antiqua"/>
          <w:lang w:eastAsia="zh-CN"/>
        </w:rPr>
        <w:t xml:space="preserve"> (F)</w:t>
      </w:r>
      <w:r w:rsidRPr="00654F9A">
        <w:rPr>
          <w:rFonts w:ascii="Book Antiqua" w:hAnsi="Book Antiqua"/>
          <w:lang w:eastAsia="zh-CN"/>
        </w:rPr>
        <w:t xml:space="preserve"> Malignancy.</w:t>
      </w:r>
    </w:p>
    <w:bookmarkEnd w:id="78"/>
    <w:bookmarkEnd w:id="79"/>
    <w:p w14:paraId="194B216D" w14:textId="77777777" w:rsidR="002D48BA" w:rsidRPr="00654F9A" w:rsidRDefault="00911A53" w:rsidP="002D48BA">
      <w:pPr>
        <w:adjustRightInd w:val="0"/>
        <w:snapToGrid w:val="0"/>
        <w:spacing w:line="360" w:lineRule="auto"/>
        <w:jc w:val="both"/>
        <w:rPr>
          <w:rFonts w:ascii="Book Antiqua" w:hAnsi="Book Antiqua"/>
          <w:lang w:eastAsia="zh-CN"/>
        </w:rPr>
      </w:pPr>
      <w:r w:rsidRPr="00654F9A">
        <w:rPr>
          <w:rFonts w:ascii="Book Antiqua" w:hAnsi="Book Antiqua"/>
          <w:lang w:eastAsia="zh-CN"/>
        </w:rPr>
        <w:br w:type="page"/>
      </w:r>
      <w:r w:rsidRPr="00654F9A">
        <w:rPr>
          <w:rFonts w:ascii="Book Antiqua" w:hAnsi="Book Antiqua"/>
          <w:noProof/>
          <w:lang w:eastAsia="zh-CN"/>
        </w:rPr>
        <w:drawing>
          <wp:inline distT="0" distB="0" distL="0" distR="0" wp14:anchorId="08E9C3F9" wp14:editId="0B0FCF19">
            <wp:extent cx="5633227" cy="42725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6131" cy="4274767"/>
                    </a:xfrm>
                    <a:prstGeom prst="rect">
                      <a:avLst/>
                    </a:prstGeom>
                    <a:noFill/>
                  </pic:spPr>
                </pic:pic>
              </a:graphicData>
            </a:graphic>
          </wp:inline>
        </w:drawing>
      </w:r>
    </w:p>
    <w:p w14:paraId="724E0852" w14:textId="77777777" w:rsidR="00323918" w:rsidRPr="00654F9A" w:rsidRDefault="00911A53" w:rsidP="002D48BA">
      <w:pPr>
        <w:adjustRightInd w:val="0"/>
        <w:snapToGrid w:val="0"/>
        <w:spacing w:line="360" w:lineRule="auto"/>
        <w:jc w:val="both"/>
        <w:rPr>
          <w:rFonts w:ascii="Book Antiqua" w:hAnsi="Book Antiqua" w:cs="Book Antiqua"/>
          <w:i/>
          <w:iCs/>
          <w:color w:val="000000"/>
          <w:lang w:eastAsia="zh-CN"/>
        </w:rPr>
      </w:pPr>
      <w:r w:rsidRPr="00654F9A">
        <w:rPr>
          <w:rFonts w:ascii="Book Antiqua" w:hAnsi="Book Antiqua"/>
          <w:b/>
          <w:lang w:eastAsia="zh-CN"/>
        </w:rPr>
        <w:t xml:space="preserve">Figure 2 Flow chart of the study. </w:t>
      </w:r>
      <w:bookmarkStart w:id="80" w:name="OLE_LINK267"/>
      <w:bookmarkStart w:id="81" w:name="OLE_LINK268"/>
      <w:bookmarkStart w:id="82" w:name="OLE_LINK269"/>
      <w:r w:rsidRPr="00654F9A">
        <w:rPr>
          <w:rFonts w:ascii="Book Antiqua" w:hAnsi="Book Antiqua"/>
          <w:lang w:eastAsia="zh-CN"/>
        </w:rPr>
        <w:t xml:space="preserve">BMI: </w:t>
      </w:r>
      <w:r w:rsidRPr="00654F9A">
        <w:rPr>
          <w:rFonts w:ascii="Book Antiqua" w:hAnsi="Book Antiqua" w:cs="Book Antiqua"/>
          <w:color w:val="000000"/>
          <w:lang w:eastAsia="zh-CN"/>
        </w:rPr>
        <w:t>B</w:t>
      </w:r>
      <w:r w:rsidRPr="00654F9A">
        <w:rPr>
          <w:rFonts w:ascii="Book Antiqua" w:eastAsia="Book Antiqua" w:hAnsi="Book Antiqua" w:cs="Book Antiqua"/>
          <w:color w:val="000000"/>
        </w:rPr>
        <w:t>ody mass index</w:t>
      </w:r>
      <w:r w:rsidRPr="00654F9A">
        <w:rPr>
          <w:rFonts w:ascii="Book Antiqua" w:hAnsi="Book Antiqua"/>
          <w:lang w:eastAsia="zh-CN"/>
        </w:rPr>
        <w:t xml:space="preserve">; CSF: </w:t>
      </w:r>
      <w:r w:rsidRPr="00654F9A">
        <w:rPr>
          <w:rFonts w:ascii="Book Antiqua" w:hAnsi="Book Antiqua" w:cs="Book Antiqua"/>
          <w:color w:val="000000"/>
          <w:lang w:eastAsia="zh-CN"/>
        </w:rPr>
        <w:t>C</w:t>
      </w:r>
      <w:r w:rsidRPr="00654F9A">
        <w:rPr>
          <w:rFonts w:ascii="Book Antiqua" w:eastAsia="Book Antiqua" w:hAnsi="Book Antiqua" w:cs="Book Antiqua"/>
          <w:color w:val="000000"/>
        </w:rPr>
        <w:t>linically significant finding</w:t>
      </w:r>
      <w:r w:rsidRPr="00654F9A">
        <w:rPr>
          <w:rFonts w:ascii="Book Antiqua" w:hAnsi="Book Antiqua"/>
          <w:lang w:eastAsia="zh-CN"/>
        </w:rPr>
        <w:t xml:space="preserve">; </w:t>
      </w:r>
      <w:r w:rsidR="00B81F95" w:rsidRPr="00654F9A">
        <w:rPr>
          <w:rFonts w:ascii="Book Antiqua" w:eastAsia="Book Antiqua" w:hAnsi="Book Antiqua" w:cs="Book Antiqua"/>
          <w:i/>
          <w:iCs/>
          <w:color w:val="000000"/>
        </w:rPr>
        <w:t>H. pylori</w:t>
      </w:r>
      <w:r w:rsidR="00B81F95" w:rsidRPr="00654F9A">
        <w:rPr>
          <w:rFonts w:ascii="Book Antiqua" w:hAnsi="Book Antiqua" w:cs="Book Antiqua"/>
          <w:iCs/>
          <w:color w:val="000000"/>
          <w:lang w:eastAsia="zh-CN"/>
        </w:rPr>
        <w:t>:</w:t>
      </w:r>
      <w:r w:rsidR="00B81F95" w:rsidRPr="00654F9A">
        <w:rPr>
          <w:rFonts w:ascii="Book Antiqua" w:eastAsia="Book Antiqua" w:hAnsi="Book Antiqua" w:cs="Book Antiqua"/>
          <w:i/>
          <w:iCs/>
          <w:color w:val="000000"/>
        </w:rPr>
        <w:t xml:space="preserve"> Helicobacter pylori</w:t>
      </w:r>
      <w:r w:rsidR="00B81F95" w:rsidRPr="00654F9A">
        <w:rPr>
          <w:rFonts w:ascii="Book Antiqua" w:hAnsi="Book Antiqua" w:cs="Book Antiqua"/>
          <w:i/>
          <w:iCs/>
          <w:color w:val="000000"/>
          <w:lang w:eastAsia="zh-CN"/>
        </w:rPr>
        <w:t>.</w:t>
      </w:r>
    </w:p>
    <w:bookmarkEnd w:id="80"/>
    <w:bookmarkEnd w:id="81"/>
    <w:bookmarkEnd w:id="82"/>
    <w:p w14:paraId="36A214B2" w14:textId="77777777" w:rsidR="00911A53" w:rsidRPr="00654F9A" w:rsidRDefault="00323918" w:rsidP="002D48BA">
      <w:pPr>
        <w:adjustRightInd w:val="0"/>
        <w:snapToGrid w:val="0"/>
        <w:spacing w:line="360" w:lineRule="auto"/>
        <w:jc w:val="both"/>
        <w:rPr>
          <w:rFonts w:ascii="Book Antiqua" w:hAnsi="Book Antiqua" w:cs="Book Antiqua"/>
          <w:i/>
          <w:iCs/>
          <w:color w:val="000000"/>
          <w:lang w:eastAsia="zh-CN"/>
        </w:rPr>
      </w:pPr>
      <w:r w:rsidRPr="00654F9A">
        <w:rPr>
          <w:rFonts w:ascii="Book Antiqua" w:hAnsi="Book Antiqua" w:cs="Book Antiqua"/>
          <w:i/>
          <w:iCs/>
          <w:color w:val="000000"/>
          <w:lang w:eastAsia="zh-CN"/>
        </w:rPr>
        <w:br w:type="page"/>
      </w:r>
      <w:r w:rsidRPr="00654F9A">
        <w:rPr>
          <w:rFonts w:ascii="Book Antiqua" w:hAnsi="Book Antiqua" w:cs="Book Antiqua"/>
          <w:i/>
          <w:iCs/>
          <w:noProof/>
          <w:color w:val="000000"/>
          <w:lang w:eastAsia="zh-CN"/>
        </w:rPr>
        <w:drawing>
          <wp:inline distT="0" distB="0" distL="0" distR="0" wp14:anchorId="7888A8ED" wp14:editId="2DC58ACE">
            <wp:extent cx="5891872" cy="48566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9829" cy="4854985"/>
                    </a:xfrm>
                    <a:prstGeom prst="rect">
                      <a:avLst/>
                    </a:prstGeom>
                    <a:noFill/>
                  </pic:spPr>
                </pic:pic>
              </a:graphicData>
            </a:graphic>
          </wp:inline>
        </w:drawing>
      </w:r>
    </w:p>
    <w:p w14:paraId="0300C184" w14:textId="769D86B4" w:rsidR="000E41B3" w:rsidRPr="00654F9A" w:rsidRDefault="00323918" w:rsidP="002D48BA">
      <w:pPr>
        <w:adjustRightInd w:val="0"/>
        <w:snapToGrid w:val="0"/>
        <w:spacing w:line="360" w:lineRule="auto"/>
        <w:jc w:val="both"/>
        <w:rPr>
          <w:rFonts w:ascii="Book Antiqua" w:hAnsi="Book Antiqua"/>
          <w:b/>
          <w:lang w:eastAsia="zh-CN"/>
        </w:rPr>
      </w:pPr>
      <w:r w:rsidRPr="00654F9A">
        <w:rPr>
          <w:rFonts w:ascii="Book Antiqua" w:hAnsi="Book Antiqua"/>
          <w:b/>
          <w:lang w:eastAsia="zh-CN"/>
        </w:rPr>
        <w:t xml:space="preserve">Figure 3 Percentage of different diseases </w:t>
      </w:r>
      <w:r w:rsidR="009269BE">
        <w:rPr>
          <w:rFonts w:ascii="Book Antiqua" w:hAnsi="Book Antiqua"/>
          <w:b/>
          <w:lang w:eastAsia="zh-CN"/>
        </w:rPr>
        <w:t>categorized</w:t>
      </w:r>
      <w:r w:rsidRPr="00654F9A">
        <w:rPr>
          <w:rFonts w:ascii="Book Antiqua" w:hAnsi="Book Antiqua"/>
          <w:b/>
          <w:lang w:eastAsia="zh-CN"/>
        </w:rPr>
        <w:t xml:space="preserve"> by age of patients.</w:t>
      </w:r>
    </w:p>
    <w:p w14:paraId="4F0C980E" w14:textId="77777777" w:rsidR="000E41B3" w:rsidRPr="00654F9A" w:rsidRDefault="000E41B3" w:rsidP="000E41B3">
      <w:pPr>
        <w:adjustRightInd w:val="0"/>
        <w:snapToGrid w:val="0"/>
        <w:spacing w:line="360" w:lineRule="auto"/>
        <w:jc w:val="both"/>
        <w:rPr>
          <w:rFonts w:ascii="Book Antiqua" w:hAnsi="Book Antiqua"/>
          <w:b/>
          <w:lang w:eastAsia="zh-CN"/>
        </w:rPr>
        <w:sectPr w:rsidR="000E41B3" w:rsidRPr="00654F9A">
          <w:pgSz w:w="12240" w:h="15840"/>
          <w:pgMar w:top="1440" w:right="1440" w:bottom="1440" w:left="1440" w:header="720" w:footer="720" w:gutter="0"/>
          <w:cols w:space="720"/>
          <w:docGrid w:linePitch="360"/>
        </w:sectPr>
      </w:pPr>
    </w:p>
    <w:p w14:paraId="31322648" w14:textId="77777777" w:rsidR="000E41B3" w:rsidRPr="00654F9A" w:rsidRDefault="000E41B3" w:rsidP="000E41B3">
      <w:pPr>
        <w:adjustRightInd w:val="0"/>
        <w:snapToGrid w:val="0"/>
        <w:spacing w:line="360" w:lineRule="auto"/>
        <w:jc w:val="both"/>
        <w:rPr>
          <w:rFonts w:ascii="Book Antiqua" w:hAnsi="Book Antiqua"/>
          <w:b/>
          <w:color w:val="000000"/>
        </w:rPr>
      </w:pPr>
      <w:r w:rsidRPr="00654F9A">
        <w:rPr>
          <w:rFonts w:ascii="Book Antiqua" w:hAnsi="Book Antiqua"/>
          <w:b/>
        </w:rPr>
        <w:t xml:space="preserve">Table 1 </w:t>
      </w:r>
      <w:r w:rsidRPr="00654F9A">
        <w:rPr>
          <w:rFonts w:ascii="Book Antiqua" w:hAnsi="Book Antiqua"/>
          <w:b/>
          <w:lang w:eastAsia="zh-CN"/>
        </w:rPr>
        <w:t>C</w:t>
      </w:r>
      <w:r w:rsidRPr="00654F9A">
        <w:rPr>
          <w:rFonts w:ascii="Book Antiqua" w:hAnsi="Book Antiqua"/>
          <w:b/>
        </w:rPr>
        <w:t xml:space="preserve">linical characteristics of patients with different endoscopic findings and univariate analysis of all relevant </w:t>
      </w:r>
      <w:bookmarkStart w:id="83" w:name="OLE_LINK265"/>
      <w:bookmarkStart w:id="84" w:name="OLE_LINK266"/>
      <w:r w:rsidRPr="00654F9A">
        <w:rPr>
          <w:rFonts w:ascii="Book Antiqua" w:hAnsi="Book Antiqua"/>
          <w:b/>
        </w:rPr>
        <w:t>variables</w:t>
      </w:r>
    </w:p>
    <w:tbl>
      <w:tblPr>
        <w:tblStyle w:val="a7"/>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240"/>
        <w:gridCol w:w="1470"/>
        <w:gridCol w:w="1471"/>
        <w:gridCol w:w="1471"/>
        <w:gridCol w:w="1471"/>
        <w:gridCol w:w="1583"/>
        <w:gridCol w:w="1142"/>
        <w:gridCol w:w="1139"/>
        <w:gridCol w:w="1189"/>
      </w:tblGrid>
      <w:tr w:rsidR="000E41B3" w:rsidRPr="00654F9A" w14:paraId="6C6EE185" w14:textId="77777777" w:rsidTr="000E41B3">
        <w:tc>
          <w:tcPr>
            <w:tcW w:w="853" w:type="pct"/>
            <w:vMerge w:val="restart"/>
            <w:tcBorders>
              <w:top w:val="single" w:sz="4" w:space="0" w:color="auto"/>
              <w:bottom w:val="nil"/>
            </w:tcBorders>
            <w:vAlign w:val="center"/>
          </w:tcPr>
          <w:p w14:paraId="6BF376CA" w14:textId="77777777" w:rsidR="000E41B3" w:rsidRPr="00654F9A" w:rsidRDefault="000E41B3" w:rsidP="00717DC8">
            <w:pPr>
              <w:adjustRightInd w:val="0"/>
              <w:snapToGrid w:val="0"/>
              <w:spacing w:line="360" w:lineRule="auto"/>
              <w:jc w:val="both"/>
              <w:rPr>
                <w:rFonts w:ascii="Book Antiqua" w:hAnsi="Book Antiqua"/>
                <w:b/>
              </w:rPr>
            </w:pPr>
          </w:p>
        </w:tc>
        <w:tc>
          <w:tcPr>
            <w:tcW w:w="561" w:type="pct"/>
            <w:tcBorders>
              <w:top w:val="single" w:sz="4" w:space="0" w:color="auto"/>
              <w:bottom w:val="nil"/>
            </w:tcBorders>
            <w:vAlign w:val="center"/>
          </w:tcPr>
          <w:p w14:paraId="76210D07" w14:textId="7804A9E8"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rPr>
              <w:t>Total</w:t>
            </w:r>
            <w:r w:rsidR="00CD345A">
              <w:rPr>
                <w:rFonts w:ascii="Book Antiqua" w:hAnsi="Book Antiqua" w:cs="Times New Roman"/>
                <w:b/>
              </w:rPr>
              <w:t>,</w:t>
            </w:r>
          </w:p>
        </w:tc>
        <w:tc>
          <w:tcPr>
            <w:tcW w:w="561" w:type="pct"/>
            <w:tcBorders>
              <w:top w:val="single" w:sz="4" w:space="0" w:color="auto"/>
              <w:bottom w:val="nil"/>
            </w:tcBorders>
            <w:vAlign w:val="center"/>
          </w:tcPr>
          <w:p w14:paraId="6CFDCA3D" w14:textId="65F72D8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rPr>
              <w:t>General lesions</w:t>
            </w:r>
            <w:r w:rsidR="00CD345A">
              <w:rPr>
                <w:rFonts w:ascii="Book Antiqua" w:hAnsi="Book Antiqua" w:cs="Times New Roman"/>
                <w:b/>
              </w:rPr>
              <w:t>,</w:t>
            </w:r>
          </w:p>
        </w:tc>
        <w:tc>
          <w:tcPr>
            <w:tcW w:w="561" w:type="pct"/>
            <w:tcBorders>
              <w:top w:val="single" w:sz="4" w:space="0" w:color="auto"/>
              <w:bottom w:val="nil"/>
            </w:tcBorders>
            <w:vAlign w:val="center"/>
          </w:tcPr>
          <w:p w14:paraId="5F447A5F" w14:textId="569A9059"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rPr>
              <w:t>Esophageal lesions</w:t>
            </w:r>
            <w:r w:rsidR="00CD345A">
              <w:rPr>
                <w:rFonts w:ascii="Book Antiqua" w:hAnsi="Book Antiqua" w:cs="Times New Roman"/>
                <w:b/>
              </w:rPr>
              <w:t>,</w:t>
            </w:r>
          </w:p>
        </w:tc>
        <w:tc>
          <w:tcPr>
            <w:tcW w:w="561" w:type="pct"/>
            <w:tcBorders>
              <w:top w:val="single" w:sz="4" w:space="0" w:color="auto"/>
              <w:bottom w:val="nil"/>
            </w:tcBorders>
            <w:vAlign w:val="center"/>
          </w:tcPr>
          <w:p w14:paraId="61178439" w14:textId="02A08D4A"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rPr>
              <w:t>Peptic ulcer</w:t>
            </w:r>
            <w:r w:rsidR="00CD345A">
              <w:rPr>
                <w:rFonts w:ascii="Book Antiqua" w:hAnsi="Book Antiqua" w:cs="Times New Roman"/>
                <w:b/>
              </w:rPr>
              <w:t>,</w:t>
            </w:r>
          </w:p>
        </w:tc>
        <w:tc>
          <w:tcPr>
            <w:tcW w:w="578" w:type="pct"/>
            <w:tcBorders>
              <w:top w:val="single" w:sz="4" w:space="0" w:color="auto"/>
              <w:bottom w:val="nil"/>
            </w:tcBorders>
            <w:vAlign w:val="center"/>
          </w:tcPr>
          <w:p w14:paraId="5E386642" w14:textId="274A0453"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rPr>
              <w:t>Malignancy</w:t>
            </w:r>
            <w:r w:rsidR="00B52755">
              <w:rPr>
                <w:rFonts w:ascii="Book Antiqua" w:hAnsi="Book Antiqua" w:cs="Times New Roman"/>
                <w:b/>
              </w:rPr>
              <w:t>,</w:t>
            </w:r>
          </w:p>
        </w:tc>
        <w:tc>
          <w:tcPr>
            <w:tcW w:w="436" w:type="pct"/>
            <w:vMerge w:val="restart"/>
            <w:tcBorders>
              <w:top w:val="single" w:sz="4" w:space="0" w:color="auto"/>
              <w:bottom w:val="nil"/>
            </w:tcBorders>
            <w:vAlign w:val="center"/>
          </w:tcPr>
          <w:p w14:paraId="34B7CCDE" w14:textId="7777777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
              </w:rPr>
              <w:t xml:space="preserve">F </w:t>
            </w:r>
            <w:r w:rsidRPr="00654F9A">
              <w:rPr>
                <w:rFonts w:ascii="Book Antiqua" w:hAnsi="Book Antiqua" w:cs="Times New Roman"/>
                <w:b/>
              </w:rPr>
              <w:t>value</w:t>
            </w:r>
          </w:p>
        </w:tc>
        <w:tc>
          <w:tcPr>
            <w:tcW w:w="435" w:type="pct"/>
            <w:vMerge w:val="restart"/>
            <w:tcBorders>
              <w:top w:val="single" w:sz="4" w:space="0" w:color="auto"/>
              <w:bottom w:val="nil"/>
            </w:tcBorders>
            <w:vAlign w:val="center"/>
          </w:tcPr>
          <w:p w14:paraId="0A3B20CA" w14:textId="7777777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
              </w:rPr>
              <w:sym w:font="Symbol" w:char="F063"/>
            </w:r>
            <w:r w:rsidRPr="00654F9A">
              <w:rPr>
                <w:rFonts w:ascii="Book Antiqua" w:hAnsi="Book Antiqua" w:cs="Times New Roman"/>
                <w:b/>
                <w:i/>
                <w:vertAlign w:val="superscript"/>
              </w:rPr>
              <w:t xml:space="preserve">2 </w:t>
            </w:r>
            <w:r w:rsidRPr="00654F9A">
              <w:rPr>
                <w:rFonts w:ascii="Book Antiqua" w:hAnsi="Book Antiqua" w:cs="Times New Roman"/>
                <w:b/>
              </w:rPr>
              <w:t>value</w:t>
            </w:r>
          </w:p>
        </w:tc>
        <w:tc>
          <w:tcPr>
            <w:tcW w:w="454" w:type="pct"/>
            <w:vMerge w:val="restart"/>
            <w:tcBorders>
              <w:top w:val="single" w:sz="4" w:space="0" w:color="auto"/>
              <w:bottom w:val="nil"/>
            </w:tcBorders>
            <w:vAlign w:val="center"/>
          </w:tcPr>
          <w:p w14:paraId="1965AB72" w14:textId="7777777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
              </w:rPr>
              <w:t xml:space="preserve">P </w:t>
            </w:r>
            <w:r w:rsidRPr="00654F9A">
              <w:rPr>
                <w:rFonts w:ascii="Book Antiqua" w:hAnsi="Book Antiqua" w:cs="Times New Roman"/>
                <w:b/>
              </w:rPr>
              <w:t>value</w:t>
            </w:r>
          </w:p>
        </w:tc>
      </w:tr>
      <w:bookmarkEnd w:id="83"/>
      <w:bookmarkEnd w:id="84"/>
      <w:tr w:rsidR="000E41B3" w:rsidRPr="00654F9A" w14:paraId="26FDD88E" w14:textId="77777777" w:rsidTr="000E41B3">
        <w:tc>
          <w:tcPr>
            <w:tcW w:w="853" w:type="pct"/>
            <w:vMerge/>
            <w:tcBorders>
              <w:top w:val="nil"/>
              <w:bottom w:val="single" w:sz="4" w:space="0" w:color="auto"/>
            </w:tcBorders>
            <w:vAlign w:val="center"/>
          </w:tcPr>
          <w:p w14:paraId="74CE927D" w14:textId="77777777" w:rsidR="000E41B3" w:rsidRPr="00654F9A" w:rsidRDefault="000E41B3" w:rsidP="00717DC8">
            <w:pPr>
              <w:adjustRightInd w:val="0"/>
              <w:snapToGrid w:val="0"/>
              <w:spacing w:line="360" w:lineRule="auto"/>
              <w:jc w:val="both"/>
              <w:rPr>
                <w:rFonts w:ascii="Book Antiqua" w:hAnsi="Book Antiqua"/>
                <w:b/>
              </w:rPr>
            </w:pPr>
          </w:p>
        </w:tc>
        <w:tc>
          <w:tcPr>
            <w:tcW w:w="561" w:type="pct"/>
            <w:tcBorders>
              <w:top w:val="nil"/>
              <w:bottom w:val="single" w:sz="4" w:space="0" w:color="auto"/>
            </w:tcBorders>
            <w:vAlign w:val="center"/>
          </w:tcPr>
          <w:p w14:paraId="33D6CA42" w14:textId="52CCD1D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
                <w:iCs/>
              </w:rPr>
              <w:t xml:space="preserve">n </w:t>
            </w:r>
            <w:r w:rsidRPr="00654F9A">
              <w:rPr>
                <w:rFonts w:ascii="Book Antiqua" w:hAnsi="Book Antiqua" w:cs="Times New Roman"/>
                <w:b/>
              </w:rPr>
              <w:t>= 1016</w:t>
            </w:r>
          </w:p>
        </w:tc>
        <w:tc>
          <w:tcPr>
            <w:tcW w:w="561" w:type="pct"/>
            <w:tcBorders>
              <w:top w:val="nil"/>
              <w:bottom w:val="single" w:sz="4" w:space="0" w:color="auto"/>
            </w:tcBorders>
            <w:vAlign w:val="center"/>
          </w:tcPr>
          <w:p w14:paraId="521A21C3" w14:textId="559A7FE9"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
                <w:iCs/>
              </w:rPr>
              <w:t xml:space="preserve">n </w:t>
            </w:r>
            <w:r w:rsidRPr="00654F9A">
              <w:rPr>
                <w:rFonts w:ascii="Book Antiqua" w:hAnsi="Book Antiqua" w:cs="Times New Roman"/>
                <w:b/>
              </w:rPr>
              <w:t>= 712</w:t>
            </w:r>
          </w:p>
        </w:tc>
        <w:tc>
          <w:tcPr>
            <w:tcW w:w="561" w:type="pct"/>
            <w:tcBorders>
              <w:top w:val="nil"/>
              <w:bottom w:val="single" w:sz="4" w:space="0" w:color="auto"/>
            </w:tcBorders>
            <w:vAlign w:val="center"/>
          </w:tcPr>
          <w:p w14:paraId="4F8E233C" w14:textId="19A251B9"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
                <w:iCs/>
              </w:rPr>
              <w:t xml:space="preserve">n </w:t>
            </w:r>
            <w:r w:rsidRPr="00654F9A">
              <w:rPr>
                <w:rFonts w:ascii="Book Antiqua" w:hAnsi="Book Antiqua" w:cs="Times New Roman"/>
                <w:b/>
              </w:rPr>
              <w:t>= 180</w:t>
            </w:r>
          </w:p>
        </w:tc>
        <w:tc>
          <w:tcPr>
            <w:tcW w:w="561" w:type="pct"/>
            <w:tcBorders>
              <w:top w:val="nil"/>
              <w:bottom w:val="single" w:sz="4" w:space="0" w:color="auto"/>
            </w:tcBorders>
            <w:vAlign w:val="center"/>
          </w:tcPr>
          <w:p w14:paraId="1AEA9622" w14:textId="5E0BA105"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
                <w:iCs/>
              </w:rPr>
              <w:t xml:space="preserve">n </w:t>
            </w:r>
            <w:r w:rsidRPr="00654F9A">
              <w:rPr>
                <w:rFonts w:ascii="Book Antiqua" w:hAnsi="Book Antiqua" w:cs="Times New Roman"/>
                <w:b/>
              </w:rPr>
              <w:t>= 115</w:t>
            </w:r>
          </w:p>
        </w:tc>
        <w:tc>
          <w:tcPr>
            <w:tcW w:w="578" w:type="pct"/>
            <w:tcBorders>
              <w:top w:val="nil"/>
              <w:bottom w:val="single" w:sz="4" w:space="0" w:color="auto"/>
            </w:tcBorders>
            <w:vAlign w:val="center"/>
          </w:tcPr>
          <w:p w14:paraId="348E47F5" w14:textId="036E69CF"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
                <w:iCs/>
              </w:rPr>
              <w:t xml:space="preserve">n </w:t>
            </w:r>
            <w:r w:rsidRPr="00654F9A">
              <w:rPr>
                <w:rFonts w:ascii="Book Antiqua" w:hAnsi="Book Antiqua" w:cs="Times New Roman"/>
                <w:b/>
              </w:rPr>
              <w:t>= 9</w:t>
            </w:r>
          </w:p>
        </w:tc>
        <w:tc>
          <w:tcPr>
            <w:tcW w:w="436" w:type="pct"/>
            <w:vMerge/>
            <w:tcBorders>
              <w:top w:val="nil"/>
              <w:bottom w:val="single" w:sz="4" w:space="0" w:color="auto"/>
            </w:tcBorders>
            <w:vAlign w:val="center"/>
          </w:tcPr>
          <w:p w14:paraId="516B3EEB" w14:textId="77777777" w:rsidR="000E41B3" w:rsidRPr="00654F9A" w:rsidRDefault="000E41B3" w:rsidP="00717DC8">
            <w:pPr>
              <w:adjustRightInd w:val="0"/>
              <w:snapToGrid w:val="0"/>
              <w:spacing w:line="360" w:lineRule="auto"/>
              <w:jc w:val="both"/>
              <w:rPr>
                <w:rFonts w:ascii="Book Antiqua" w:hAnsi="Book Antiqua"/>
                <w:b/>
              </w:rPr>
            </w:pPr>
          </w:p>
        </w:tc>
        <w:tc>
          <w:tcPr>
            <w:tcW w:w="435" w:type="pct"/>
            <w:vMerge/>
            <w:tcBorders>
              <w:top w:val="nil"/>
              <w:bottom w:val="single" w:sz="4" w:space="0" w:color="auto"/>
            </w:tcBorders>
            <w:vAlign w:val="center"/>
          </w:tcPr>
          <w:p w14:paraId="1A59B110" w14:textId="77777777" w:rsidR="000E41B3" w:rsidRPr="00654F9A" w:rsidRDefault="000E41B3" w:rsidP="00717DC8">
            <w:pPr>
              <w:adjustRightInd w:val="0"/>
              <w:snapToGrid w:val="0"/>
              <w:spacing w:line="360" w:lineRule="auto"/>
              <w:jc w:val="both"/>
              <w:rPr>
                <w:rFonts w:ascii="Book Antiqua" w:hAnsi="Book Antiqua"/>
                <w:b/>
              </w:rPr>
            </w:pPr>
          </w:p>
        </w:tc>
        <w:tc>
          <w:tcPr>
            <w:tcW w:w="454" w:type="pct"/>
            <w:vMerge/>
            <w:tcBorders>
              <w:top w:val="nil"/>
              <w:bottom w:val="single" w:sz="4" w:space="0" w:color="auto"/>
            </w:tcBorders>
            <w:vAlign w:val="center"/>
          </w:tcPr>
          <w:p w14:paraId="7DEA77AB" w14:textId="77777777" w:rsidR="000E41B3" w:rsidRPr="00654F9A" w:rsidRDefault="000E41B3" w:rsidP="00717DC8">
            <w:pPr>
              <w:adjustRightInd w:val="0"/>
              <w:snapToGrid w:val="0"/>
              <w:spacing w:line="360" w:lineRule="auto"/>
              <w:jc w:val="both"/>
              <w:rPr>
                <w:rFonts w:ascii="Book Antiqua" w:hAnsi="Book Antiqua"/>
                <w:b/>
              </w:rPr>
            </w:pPr>
          </w:p>
        </w:tc>
      </w:tr>
      <w:tr w:rsidR="000E41B3" w:rsidRPr="00654F9A" w14:paraId="2B0A44AB" w14:textId="77777777" w:rsidTr="000E41B3">
        <w:tc>
          <w:tcPr>
            <w:tcW w:w="853" w:type="pct"/>
            <w:tcBorders>
              <w:top w:val="single" w:sz="4" w:space="0" w:color="auto"/>
            </w:tcBorders>
          </w:tcPr>
          <w:p w14:paraId="736975C2"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rPr>
              <w:t>Age</w:t>
            </w:r>
          </w:p>
        </w:tc>
        <w:tc>
          <w:tcPr>
            <w:tcW w:w="561" w:type="pct"/>
            <w:tcBorders>
              <w:top w:val="single" w:sz="4" w:space="0" w:color="auto"/>
            </w:tcBorders>
          </w:tcPr>
          <w:p w14:paraId="2FD779D4"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49.60 ± 15.36</w:t>
            </w:r>
          </w:p>
        </w:tc>
        <w:tc>
          <w:tcPr>
            <w:tcW w:w="561" w:type="pct"/>
            <w:tcBorders>
              <w:top w:val="single" w:sz="4" w:space="0" w:color="auto"/>
            </w:tcBorders>
          </w:tcPr>
          <w:p w14:paraId="786998A6"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49.51 ± 15.20</w:t>
            </w:r>
          </w:p>
        </w:tc>
        <w:tc>
          <w:tcPr>
            <w:tcW w:w="561" w:type="pct"/>
            <w:tcBorders>
              <w:top w:val="single" w:sz="4" w:space="0" w:color="auto"/>
            </w:tcBorders>
          </w:tcPr>
          <w:p w14:paraId="061201F5"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52.22 ± 15.19</w:t>
            </w:r>
          </w:p>
        </w:tc>
        <w:tc>
          <w:tcPr>
            <w:tcW w:w="561" w:type="pct"/>
            <w:tcBorders>
              <w:top w:val="single" w:sz="4" w:space="0" w:color="auto"/>
            </w:tcBorders>
          </w:tcPr>
          <w:p w14:paraId="7BE1CBF9"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45.07 ± 15.44</w:t>
            </w:r>
          </w:p>
        </w:tc>
        <w:tc>
          <w:tcPr>
            <w:tcW w:w="578" w:type="pct"/>
            <w:tcBorders>
              <w:top w:val="single" w:sz="4" w:space="0" w:color="auto"/>
            </w:tcBorders>
          </w:tcPr>
          <w:p w14:paraId="205B0399"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62.33 ± 13.63</w:t>
            </w:r>
          </w:p>
        </w:tc>
        <w:tc>
          <w:tcPr>
            <w:tcW w:w="436" w:type="pct"/>
            <w:tcBorders>
              <w:top w:val="single" w:sz="4" w:space="0" w:color="auto"/>
            </w:tcBorders>
          </w:tcPr>
          <w:p w14:paraId="5EA5CD09"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7.289</w:t>
            </w:r>
          </w:p>
        </w:tc>
        <w:tc>
          <w:tcPr>
            <w:tcW w:w="435" w:type="pct"/>
            <w:tcBorders>
              <w:top w:val="single" w:sz="4" w:space="0" w:color="auto"/>
            </w:tcBorders>
          </w:tcPr>
          <w:p w14:paraId="19B7C4EA" w14:textId="77777777" w:rsidR="000E41B3" w:rsidRPr="00654F9A" w:rsidRDefault="000E41B3" w:rsidP="00717DC8">
            <w:pPr>
              <w:adjustRightInd w:val="0"/>
              <w:snapToGrid w:val="0"/>
              <w:spacing w:line="360" w:lineRule="auto"/>
              <w:jc w:val="both"/>
              <w:rPr>
                <w:rFonts w:ascii="Book Antiqua" w:hAnsi="Book Antiqua"/>
              </w:rPr>
            </w:pPr>
          </w:p>
        </w:tc>
        <w:tc>
          <w:tcPr>
            <w:tcW w:w="454" w:type="pct"/>
            <w:tcBorders>
              <w:top w:val="single" w:sz="4" w:space="0" w:color="auto"/>
            </w:tcBorders>
          </w:tcPr>
          <w:p w14:paraId="3A09F50A"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&lt; 0.001</w:t>
            </w:r>
          </w:p>
        </w:tc>
      </w:tr>
      <w:tr w:rsidR="000E41B3" w:rsidRPr="00654F9A" w14:paraId="7F3D14AD" w14:textId="77777777" w:rsidTr="000E41B3">
        <w:tc>
          <w:tcPr>
            <w:tcW w:w="853" w:type="pct"/>
          </w:tcPr>
          <w:p w14:paraId="43F92B43"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rPr>
              <w:t>Male</w:t>
            </w:r>
          </w:p>
        </w:tc>
        <w:tc>
          <w:tcPr>
            <w:tcW w:w="561" w:type="pct"/>
          </w:tcPr>
          <w:p w14:paraId="48FD8CB2"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376 (37.0)</w:t>
            </w:r>
          </w:p>
        </w:tc>
        <w:tc>
          <w:tcPr>
            <w:tcW w:w="561" w:type="pct"/>
          </w:tcPr>
          <w:p w14:paraId="420B5CF5"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236 (33.1)</w:t>
            </w:r>
          </w:p>
        </w:tc>
        <w:tc>
          <w:tcPr>
            <w:tcW w:w="561" w:type="pct"/>
          </w:tcPr>
          <w:p w14:paraId="48FA0A1B"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82 (45.6)</w:t>
            </w:r>
          </w:p>
        </w:tc>
        <w:tc>
          <w:tcPr>
            <w:tcW w:w="561" w:type="pct"/>
          </w:tcPr>
          <w:p w14:paraId="3B628540"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54 (47.0)</w:t>
            </w:r>
          </w:p>
        </w:tc>
        <w:tc>
          <w:tcPr>
            <w:tcW w:w="578" w:type="pct"/>
          </w:tcPr>
          <w:p w14:paraId="4D9EC11D"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4 (44.4)</w:t>
            </w:r>
          </w:p>
        </w:tc>
        <w:tc>
          <w:tcPr>
            <w:tcW w:w="436" w:type="pct"/>
          </w:tcPr>
          <w:p w14:paraId="5E635FB5" w14:textId="77777777" w:rsidR="000E41B3" w:rsidRPr="00654F9A" w:rsidRDefault="000E41B3" w:rsidP="00717DC8">
            <w:pPr>
              <w:adjustRightInd w:val="0"/>
              <w:snapToGrid w:val="0"/>
              <w:spacing w:line="360" w:lineRule="auto"/>
              <w:jc w:val="both"/>
              <w:rPr>
                <w:rFonts w:ascii="Book Antiqua" w:hAnsi="Book Antiqua"/>
              </w:rPr>
            </w:pPr>
          </w:p>
        </w:tc>
        <w:tc>
          <w:tcPr>
            <w:tcW w:w="435" w:type="pct"/>
          </w:tcPr>
          <w:p w14:paraId="255B8B5B"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15.075</w:t>
            </w:r>
          </w:p>
        </w:tc>
        <w:tc>
          <w:tcPr>
            <w:tcW w:w="454" w:type="pct"/>
          </w:tcPr>
          <w:p w14:paraId="43FDEB6A"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0.002</w:t>
            </w:r>
          </w:p>
        </w:tc>
      </w:tr>
      <w:tr w:rsidR="000E41B3" w:rsidRPr="00654F9A" w14:paraId="6103F197" w14:textId="77777777" w:rsidTr="000E41B3">
        <w:tc>
          <w:tcPr>
            <w:tcW w:w="853" w:type="pct"/>
          </w:tcPr>
          <w:p w14:paraId="654F2283"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rPr>
              <w:t>BMI</w:t>
            </w:r>
          </w:p>
        </w:tc>
        <w:tc>
          <w:tcPr>
            <w:tcW w:w="561" w:type="pct"/>
          </w:tcPr>
          <w:p w14:paraId="27EBEA8F"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22.44 ± 3.66</w:t>
            </w:r>
          </w:p>
        </w:tc>
        <w:tc>
          <w:tcPr>
            <w:tcW w:w="561" w:type="pct"/>
          </w:tcPr>
          <w:p w14:paraId="20924A2A"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22.08 ± 3.18</w:t>
            </w:r>
          </w:p>
        </w:tc>
        <w:tc>
          <w:tcPr>
            <w:tcW w:w="561" w:type="pct"/>
          </w:tcPr>
          <w:p w14:paraId="2733FB69"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23.47 ± 4.40</w:t>
            </w:r>
          </w:p>
        </w:tc>
        <w:tc>
          <w:tcPr>
            <w:tcW w:w="561" w:type="pct"/>
          </w:tcPr>
          <w:p w14:paraId="1040AFEF"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23.03 ± 4.43</w:t>
            </w:r>
          </w:p>
        </w:tc>
        <w:tc>
          <w:tcPr>
            <w:tcW w:w="578" w:type="pct"/>
          </w:tcPr>
          <w:p w14:paraId="1CAA0D90"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23.88 ± 7.08</w:t>
            </w:r>
          </w:p>
        </w:tc>
        <w:tc>
          <w:tcPr>
            <w:tcW w:w="436" w:type="pct"/>
          </w:tcPr>
          <w:p w14:paraId="42D70775"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8.093</w:t>
            </w:r>
          </w:p>
        </w:tc>
        <w:tc>
          <w:tcPr>
            <w:tcW w:w="435" w:type="pct"/>
          </w:tcPr>
          <w:p w14:paraId="4E45EB8B" w14:textId="77777777" w:rsidR="000E41B3" w:rsidRPr="00654F9A" w:rsidRDefault="000E41B3" w:rsidP="00717DC8">
            <w:pPr>
              <w:adjustRightInd w:val="0"/>
              <w:snapToGrid w:val="0"/>
              <w:spacing w:line="360" w:lineRule="auto"/>
              <w:jc w:val="both"/>
              <w:rPr>
                <w:rFonts w:ascii="Book Antiqua" w:hAnsi="Book Antiqua"/>
              </w:rPr>
            </w:pPr>
          </w:p>
        </w:tc>
        <w:tc>
          <w:tcPr>
            <w:tcW w:w="454" w:type="pct"/>
          </w:tcPr>
          <w:p w14:paraId="6B6A1DBE"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0.003</w:t>
            </w:r>
          </w:p>
        </w:tc>
      </w:tr>
      <w:tr w:rsidR="000E41B3" w:rsidRPr="00654F9A" w14:paraId="73F6658C" w14:textId="77777777" w:rsidTr="000E41B3">
        <w:tc>
          <w:tcPr>
            <w:tcW w:w="853" w:type="pct"/>
          </w:tcPr>
          <w:p w14:paraId="6F581986"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rPr>
              <w:t>Epigastric pain</w:t>
            </w:r>
          </w:p>
        </w:tc>
        <w:tc>
          <w:tcPr>
            <w:tcW w:w="561" w:type="pct"/>
          </w:tcPr>
          <w:p w14:paraId="21D82A8F"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579 (57.0)</w:t>
            </w:r>
          </w:p>
        </w:tc>
        <w:tc>
          <w:tcPr>
            <w:tcW w:w="561" w:type="pct"/>
          </w:tcPr>
          <w:p w14:paraId="7CE5739B"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391 (54.9)</w:t>
            </w:r>
          </w:p>
        </w:tc>
        <w:tc>
          <w:tcPr>
            <w:tcW w:w="561" w:type="pct"/>
          </w:tcPr>
          <w:p w14:paraId="09910257"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102 (56.7)</w:t>
            </w:r>
          </w:p>
        </w:tc>
        <w:tc>
          <w:tcPr>
            <w:tcW w:w="561" w:type="pct"/>
          </w:tcPr>
          <w:p w14:paraId="1B136EFE"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79 (68.7)</w:t>
            </w:r>
          </w:p>
        </w:tc>
        <w:tc>
          <w:tcPr>
            <w:tcW w:w="578" w:type="pct"/>
          </w:tcPr>
          <w:p w14:paraId="5395C044"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7 (77.8)</w:t>
            </w:r>
          </w:p>
        </w:tc>
        <w:tc>
          <w:tcPr>
            <w:tcW w:w="436" w:type="pct"/>
          </w:tcPr>
          <w:p w14:paraId="32FDE12C" w14:textId="77777777" w:rsidR="000E41B3" w:rsidRPr="00654F9A" w:rsidRDefault="000E41B3" w:rsidP="00717DC8">
            <w:pPr>
              <w:adjustRightInd w:val="0"/>
              <w:snapToGrid w:val="0"/>
              <w:spacing w:line="360" w:lineRule="auto"/>
              <w:jc w:val="both"/>
              <w:rPr>
                <w:rFonts w:ascii="Book Antiqua" w:hAnsi="Book Antiqua"/>
              </w:rPr>
            </w:pPr>
          </w:p>
        </w:tc>
        <w:tc>
          <w:tcPr>
            <w:tcW w:w="435" w:type="pct"/>
          </w:tcPr>
          <w:p w14:paraId="50B4211C"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9.609</w:t>
            </w:r>
          </w:p>
        </w:tc>
        <w:tc>
          <w:tcPr>
            <w:tcW w:w="454" w:type="pct"/>
          </w:tcPr>
          <w:p w14:paraId="29671DFE"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0.022</w:t>
            </w:r>
          </w:p>
        </w:tc>
      </w:tr>
      <w:tr w:rsidR="000E41B3" w:rsidRPr="00654F9A" w14:paraId="5144006B" w14:textId="77777777" w:rsidTr="000E41B3">
        <w:tc>
          <w:tcPr>
            <w:tcW w:w="853" w:type="pct"/>
          </w:tcPr>
          <w:p w14:paraId="4EA2A89D"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rPr>
              <w:t>Epigastric burning</w:t>
            </w:r>
          </w:p>
        </w:tc>
        <w:tc>
          <w:tcPr>
            <w:tcW w:w="561" w:type="pct"/>
          </w:tcPr>
          <w:p w14:paraId="512B7982"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353 (34.7)</w:t>
            </w:r>
          </w:p>
        </w:tc>
        <w:tc>
          <w:tcPr>
            <w:tcW w:w="561" w:type="pct"/>
          </w:tcPr>
          <w:p w14:paraId="0BE14E57"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243 (34.1)</w:t>
            </w:r>
          </w:p>
        </w:tc>
        <w:tc>
          <w:tcPr>
            <w:tcW w:w="561" w:type="pct"/>
          </w:tcPr>
          <w:p w14:paraId="5D871879"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61 (33.9)</w:t>
            </w:r>
          </w:p>
        </w:tc>
        <w:tc>
          <w:tcPr>
            <w:tcW w:w="561" w:type="pct"/>
          </w:tcPr>
          <w:p w14:paraId="22C2D4FE"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46 (40.0)</w:t>
            </w:r>
          </w:p>
        </w:tc>
        <w:tc>
          <w:tcPr>
            <w:tcW w:w="578" w:type="pct"/>
          </w:tcPr>
          <w:p w14:paraId="2771D17E"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3 (33.3)</w:t>
            </w:r>
          </w:p>
        </w:tc>
        <w:tc>
          <w:tcPr>
            <w:tcW w:w="436" w:type="pct"/>
          </w:tcPr>
          <w:p w14:paraId="547E919C" w14:textId="77777777" w:rsidR="000E41B3" w:rsidRPr="00654F9A" w:rsidRDefault="000E41B3" w:rsidP="00717DC8">
            <w:pPr>
              <w:adjustRightInd w:val="0"/>
              <w:snapToGrid w:val="0"/>
              <w:spacing w:line="360" w:lineRule="auto"/>
              <w:jc w:val="both"/>
              <w:rPr>
                <w:rFonts w:ascii="Book Antiqua" w:hAnsi="Book Antiqua"/>
              </w:rPr>
            </w:pPr>
          </w:p>
        </w:tc>
        <w:tc>
          <w:tcPr>
            <w:tcW w:w="435" w:type="pct"/>
          </w:tcPr>
          <w:p w14:paraId="16A4E86A"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1.557</w:t>
            </w:r>
          </w:p>
        </w:tc>
        <w:tc>
          <w:tcPr>
            <w:tcW w:w="454" w:type="pct"/>
          </w:tcPr>
          <w:p w14:paraId="4F74DCB6"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0.669</w:t>
            </w:r>
          </w:p>
        </w:tc>
      </w:tr>
      <w:tr w:rsidR="000E41B3" w:rsidRPr="00654F9A" w14:paraId="38E0904A" w14:textId="77777777" w:rsidTr="000E41B3">
        <w:tc>
          <w:tcPr>
            <w:tcW w:w="853" w:type="pct"/>
          </w:tcPr>
          <w:p w14:paraId="38D0DB98"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rPr>
              <w:t>Bloating</w:t>
            </w:r>
          </w:p>
        </w:tc>
        <w:tc>
          <w:tcPr>
            <w:tcW w:w="561" w:type="pct"/>
          </w:tcPr>
          <w:p w14:paraId="3F851E13"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672 (66.1)</w:t>
            </w:r>
          </w:p>
        </w:tc>
        <w:tc>
          <w:tcPr>
            <w:tcW w:w="561" w:type="pct"/>
          </w:tcPr>
          <w:p w14:paraId="70DFA028"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471 (66.2)</w:t>
            </w:r>
          </w:p>
        </w:tc>
        <w:tc>
          <w:tcPr>
            <w:tcW w:w="561" w:type="pct"/>
          </w:tcPr>
          <w:p w14:paraId="4E1015E4"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120 (66.7)</w:t>
            </w:r>
          </w:p>
        </w:tc>
        <w:tc>
          <w:tcPr>
            <w:tcW w:w="561" w:type="pct"/>
          </w:tcPr>
          <w:p w14:paraId="5A24B34E"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73 (63.5)</w:t>
            </w:r>
          </w:p>
        </w:tc>
        <w:tc>
          <w:tcPr>
            <w:tcW w:w="578" w:type="pct"/>
          </w:tcPr>
          <w:p w14:paraId="4CFF8B41"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8 (88.9)</w:t>
            </w:r>
          </w:p>
        </w:tc>
        <w:tc>
          <w:tcPr>
            <w:tcW w:w="436" w:type="pct"/>
          </w:tcPr>
          <w:p w14:paraId="028E273E" w14:textId="77777777" w:rsidR="000E41B3" w:rsidRPr="00654F9A" w:rsidRDefault="000E41B3" w:rsidP="00717DC8">
            <w:pPr>
              <w:adjustRightInd w:val="0"/>
              <w:snapToGrid w:val="0"/>
              <w:spacing w:line="360" w:lineRule="auto"/>
              <w:jc w:val="both"/>
              <w:rPr>
                <w:rFonts w:ascii="Book Antiqua" w:hAnsi="Book Antiqua"/>
              </w:rPr>
            </w:pPr>
          </w:p>
        </w:tc>
        <w:tc>
          <w:tcPr>
            <w:tcW w:w="435" w:type="pct"/>
          </w:tcPr>
          <w:p w14:paraId="228414D8"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2.883</w:t>
            </w:r>
          </w:p>
        </w:tc>
        <w:tc>
          <w:tcPr>
            <w:tcW w:w="454" w:type="pct"/>
          </w:tcPr>
          <w:p w14:paraId="40207977"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0.410</w:t>
            </w:r>
          </w:p>
        </w:tc>
      </w:tr>
      <w:tr w:rsidR="000E41B3" w:rsidRPr="00654F9A" w14:paraId="483FE299" w14:textId="77777777" w:rsidTr="000E41B3">
        <w:tc>
          <w:tcPr>
            <w:tcW w:w="853" w:type="pct"/>
          </w:tcPr>
          <w:p w14:paraId="1A0C3A5B"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rPr>
              <w:t>Belching</w:t>
            </w:r>
          </w:p>
        </w:tc>
        <w:tc>
          <w:tcPr>
            <w:tcW w:w="561" w:type="pct"/>
          </w:tcPr>
          <w:p w14:paraId="622775DF"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445 (43.8)</w:t>
            </w:r>
          </w:p>
        </w:tc>
        <w:tc>
          <w:tcPr>
            <w:tcW w:w="561" w:type="pct"/>
          </w:tcPr>
          <w:p w14:paraId="1EE1CA6C"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316 (44.4)</w:t>
            </w:r>
          </w:p>
        </w:tc>
        <w:tc>
          <w:tcPr>
            <w:tcW w:w="561" w:type="pct"/>
          </w:tcPr>
          <w:p w14:paraId="571F65FA"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78 (43.3)</w:t>
            </w:r>
          </w:p>
        </w:tc>
        <w:tc>
          <w:tcPr>
            <w:tcW w:w="561" w:type="pct"/>
          </w:tcPr>
          <w:p w14:paraId="6A98125E"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47 (40.9)</w:t>
            </w:r>
          </w:p>
        </w:tc>
        <w:tc>
          <w:tcPr>
            <w:tcW w:w="578" w:type="pct"/>
          </w:tcPr>
          <w:p w14:paraId="6705853A"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4 (44.4)</w:t>
            </w:r>
          </w:p>
        </w:tc>
        <w:tc>
          <w:tcPr>
            <w:tcW w:w="436" w:type="pct"/>
          </w:tcPr>
          <w:p w14:paraId="59D4DD2F" w14:textId="77777777" w:rsidR="000E41B3" w:rsidRPr="00654F9A" w:rsidRDefault="000E41B3" w:rsidP="00717DC8">
            <w:pPr>
              <w:adjustRightInd w:val="0"/>
              <w:snapToGrid w:val="0"/>
              <w:spacing w:line="360" w:lineRule="auto"/>
              <w:jc w:val="both"/>
              <w:rPr>
                <w:rFonts w:ascii="Book Antiqua" w:hAnsi="Book Antiqua"/>
              </w:rPr>
            </w:pPr>
          </w:p>
        </w:tc>
        <w:tc>
          <w:tcPr>
            <w:tcW w:w="435" w:type="pct"/>
          </w:tcPr>
          <w:p w14:paraId="5636291E"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0.519</w:t>
            </w:r>
          </w:p>
        </w:tc>
        <w:tc>
          <w:tcPr>
            <w:tcW w:w="454" w:type="pct"/>
          </w:tcPr>
          <w:p w14:paraId="76D443F4"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0.915</w:t>
            </w:r>
          </w:p>
        </w:tc>
      </w:tr>
      <w:tr w:rsidR="000E41B3" w:rsidRPr="00654F9A" w14:paraId="34C9664A" w14:textId="77777777" w:rsidTr="000E41B3">
        <w:tc>
          <w:tcPr>
            <w:tcW w:w="853" w:type="pct"/>
          </w:tcPr>
          <w:p w14:paraId="55E4E444"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rPr>
              <w:t>Early satiety</w:t>
            </w:r>
          </w:p>
        </w:tc>
        <w:tc>
          <w:tcPr>
            <w:tcW w:w="561" w:type="pct"/>
          </w:tcPr>
          <w:p w14:paraId="4915F8FE"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221 (21.8)</w:t>
            </w:r>
          </w:p>
        </w:tc>
        <w:tc>
          <w:tcPr>
            <w:tcW w:w="561" w:type="pct"/>
          </w:tcPr>
          <w:p w14:paraId="6AFDFE83"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158 (22.2)</w:t>
            </w:r>
          </w:p>
        </w:tc>
        <w:tc>
          <w:tcPr>
            <w:tcW w:w="561" w:type="pct"/>
          </w:tcPr>
          <w:p w14:paraId="2D19EA6B"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36 (20.0)</w:t>
            </w:r>
          </w:p>
        </w:tc>
        <w:tc>
          <w:tcPr>
            <w:tcW w:w="561" w:type="pct"/>
          </w:tcPr>
          <w:p w14:paraId="5642C40A"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26 (22.6)</w:t>
            </w:r>
          </w:p>
        </w:tc>
        <w:tc>
          <w:tcPr>
            <w:tcW w:w="578" w:type="pct"/>
          </w:tcPr>
          <w:p w14:paraId="5A67A42C"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 (11.1)</w:t>
            </w:r>
          </w:p>
        </w:tc>
        <w:tc>
          <w:tcPr>
            <w:tcW w:w="436" w:type="pct"/>
          </w:tcPr>
          <w:p w14:paraId="55122571" w14:textId="77777777" w:rsidR="000E41B3" w:rsidRPr="00654F9A" w:rsidRDefault="000E41B3" w:rsidP="00717DC8">
            <w:pPr>
              <w:adjustRightInd w:val="0"/>
              <w:snapToGrid w:val="0"/>
              <w:spacing w:line="360" w:lineRule="auto"/>
              <w:jc w:val="both"/>
              <w:rPr>
                <w:rFonts w:ascii="Book Antiqua" w:hAnsi="Book Antiqua"/>
              </w:rPr>
            </w:pPr>
          </w:p>
        </w:tc>
        <w:tc>
          <w:tcPr>
            <w:tcW w:w="435" w:type="pct"/>
          </w:tcPr>
          <w:p w14:paraId="34334AC0"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1.157</w:t>
            </w:r>
          </w:p>
        </w:tc>
        <w:tc>
          <w:tcPr>
            <w:tcW w:w="454" w:type="pct"/>
          </w:tcPr>
          <w:p w14:paraId="2EC77467"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0.763</w:t>
            </w:r>
          </w:p>
        </w:tc>
      </w:tr>
      <w:tr w:rsidR="000E41B3" w:rsidRPr="00654F9A" w14:paraId="057F6B57" w14:textId="77777777" w:rsidTr="000E41B3">
        <w:tc>
          <w:tcPr>
            <w:tcW w:w="853" w:type="pct"/>
            <w:tcBorders>
              <w:bottom w:val="nil"/>
            </w:tcBorders>
          </w:tcPr>
          <w:p w14:paraId="2D65FAAD"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rPr>
              <w:t>Nausea</w:t>
            </w:r>
          </w:p>
        </w:tc>
        <w:tc>
          <w:tcPr>
            <w:tcW w:w="561" w:type="pct"/>
            <w:tcBorders>
              <w:bottom w:val="nil"/>
            </w:tcBorders>
          </w:tcPr>
          <w:p w14:paraId="3C4E97DD"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230 (22.6)</w:t>
            </w:r>
          </w:p>
        </w:tc>
        <w:tc>
          <w:tcPr>
            <w:tcW w:w="561" w:type="pct"/>
            <w:tcBorders>
              <w:bottom w:val="nil"/>
            </w:tcBorders>
          </w:tcPr>
          <w:p w14:paraId="2E24CB09"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165 (23.2)</w:t>
            </w:r>
          </w:p>
        </w:tc>
        <w:tc>
          <w:tcPr>
            <w:tcW w:w="561" w:type="pct"/>
            <w:tcBorders>
              <w:bottom w:val="nil"/>
            </w:tcBorders>
          </w:tcPr>
          <w:p w14:paraId="548DD243"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38 (21.1)</w:t>
            </w:r>
          </w:p>
        </w:tc>
        <w:tc>
          <w:tcPr>
            <w:tcW w:w="561" w:type="pct"/>
            <w:tcBorders>
              <w:bottom w:val="nil"/>
            </w:tcBorders>
          </w:tcPr>
          <w:p w14:paraId="5FC844CE"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24 (20.9)</w:t>
            </w:r>
          </w:p>
        </w:tc>
        <w:tc>
          <w:tcPr>
            <w:tcW w:w="578" w:type="pct"/>
            <w:tcBorders>
              <w:bottom w:val="nil"/>
            </w:tcBorders>
          </w:tcPr>
          <w:p w14:paraId="21048554"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3 (33.3)</w:t>
            </w:r>
          </w:p>
        </w:tc>
        <w:tc>
          <w:tcPr>
            <w:tcW w:w="436" w:type="pct"/>
            <w:tcBorders>
              <w:bottom w:val="nil"/>
            </w:tcBorders>
          </w:tcPr>
          <w:p w14:paraId="457BAFF9" w14:textId="77777777" w:rsidR="000E41B3" w:rsidRPr="00654F9A" w:rsidRDefault="000E41B3" w:rsidP="00717DC8">
            <w:pPr>
              <w:adjustRightInd w:val="0"/>
              <w:snapToGrid w:val="0"/>
              <w:spacing w:line="360" w:lineRule="auto"/>
              <w:jc w:val="both"/>
              <w:rPr>
                <w:rFonts w:ascii="Book Antiqua" w:hAnsi="Book Antiqua"/>
              </w:rPr>
            </w:pPr>
          </w:p>
        </w:tc>
        <w:tc>
          <w:tcPr>
            <w:tcW w:w="435" w:type="pct"/>
            <w:tcBorders>
              <w:bottom w:val="nil"/>
            </w:tcBorders>
          </w:tcPr>
          <w:p w14:paraId="351AAFBC"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1.105</w:t>
            </w:r>
          </w:p>
        </w:tc>
        <w:tc>
          <w:tcPr>
            <w:tcW w:w="454" w:type="pct"/>
            <w:tcBorders>
              <w:bottom w:val="nil"/>
            </w:tcBorders>
          </w:tcPr>
          <w:p w14:paraId="5BD495B0"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0.776</w:t>
            </w:r>
          </w:p>
        </w:tc>
      </w:tr>
      <w:tr w:rsidR="000E41B3" w:rsidRPr="00654F9A" w14:paraId="49A21C3F" w14:textId="77777777" w:rsidTr="000E41B3">
        <w:tc>
          <w:tcPr>
            <w:tcW w:w="853" w:type="pct"/>
            <w:tcBorders>
              <w:top w:val="nil"/>
              <w:bottom w:val="single" w:sz="4" w:space="0" w:color="auto"/>
            </w:tcBorders>
          </w:tcPr>
          <w:p w14:paraId="04459963"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i/>
                <w:iCs/>
              </w:rPr>
              <w:t>H. pylori</w:t>
            </w:r>
            <w:r w:rsidRPr="00654F9A">
              <w:rPr>
                <w:rFonts w:ascii="Book Antiqua" w:hAnsi="Book Antiqua"/>
              </w:rPr>
              <w:t xml:space="preserve"> positive</w:t>
            </w:r>
          </w:p>
        </w:tc>
        <w:tc>
          <w:tcPr>
            <w:tcW w:w="561" w:type="pct"/>
            <w:tcBorders>
              <w:top w:val="nil"/>
              <w:bottom w:val="single" w:sz="4" w:space="0" w:color="auto"/>
            </w:tcBorders>
          </w:tcPr>
          <w:p w14:paraId="7D1A27F4"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253 (25.1)</w:t>
            </w:r>
          </w:p>
        </w:tc>
        <w:tc>
          <w:tcPr>
            <w:tcW w:w="561" w:type="pct"/>
            <w:tcBorders>
              <w:top w:val="nil"/>
              <w:bottom w:val="single" w:sz="4" w:space="0" w:color="auto"/>
            </w:tcBorders>
          </w:tcPr>
          <w:p w14:paraId="6F7BB64C"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152 (21.5)</w:t>
            </w:r>
          </w:p>
        </w:tc>
        <w:tc>
          <w:tcPr>
            <w:tcW w:w="561" w:type="pct"/>
            <w:tcBorders>
              <w:top w:val="nil"/>
              <w:bottom w:val="single" w:sz="4" w:space="0" w:color="auto"/>
            </w:tcBorders>
          </w:tcPr>
          <w:p w14:paraId="780D68C8"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33 (18.6)</w:t>
            </w:r>
          </w:p>
        </w:tc>
        <w:tc>
          <w:tcPr>
            <w:tcW w:w="561" w:type="pct"/>
            <w:tcBorders>
              <w:top w:val="nil"/>
              <w:bottom w:val="single" w:sz="4" w:space="0" w:color="auto"/>
            </w:tcBorders>
          </w:tcPr>
          <w:p w14:paraId="3579C581"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66 (57.9)</w:t>
            </w:r>
          </w:p>
        </w:tc>
        <w:tc>
          <w:tcPr>
            <w:tcW w:w="578" w:type="pct"/>
            <w:tcBorders>
              <w:top w:val="nil"/>
              <w:bottom w:val="single" w:sz="4" w:space="0" w:color="auto"/>
            </w:tcBorders>
          </w:tcPr>
          <w:p w14:paraId="1B9AC1A7"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2 (22.2)</w:t>
            </w:r>
          </w:p>
        </w:tc>
        <w:tc>
          <w:tcPr>
            <w:tcW w:w="436" w:type="pct"/>
            <w:tcBorders>
              <w:top w:val="nil"/>
              <w:bottom w:val="single" w:sz="4" w:space="0" w:color="auto"/>
            </w:tcBorders>
          </w:tcPr>
          <w:p w14:paraId="1B03EAB4" w14:textId="77777777" w:rsidR="000E41B3" w:rsidRPr="00654F9A" w:rsidRDefault="000E41B3" w:rsidP="00717DC8">
            <w:pPr>
              <w:adjustRightInd w:val="0"/>
              <w:snapToGrid w:val="0"/>
              <w:spacing w:line="360" w:lineRule="auto"/>
              <w:jc w:val="both"/>
              <w:rPr>
                <w:rFonts w:ascii="Book Antiqua" w:hAnsi="Book Antiqua"/>
              </w:rPr>
            </w:pPr>
          </w:p>
        </w:tc>
        <w:tc>
          <w:tcPr>
            <w:tcW w:w="435" w:type="pct"/>
            <w:tcBorders>
              <w:top w:val="nil"/>
              <w:bottom w:val="single" w:sz="4" w:space="0" w:color="auto"/>
            </w:tcBorders>
          </w:tcPr>
          <w:p w14:paraId="004FB65D"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64.204</w:t>
            </w:r>
          </w:p>
        </w:tc>
        <w:tc>
          <w:tcPr>
            <w:tcW w:w="454" w:type="pct"/>
            <w:tcBorders>
              <w:top w:val="nil"/>
              <w:bottom w:val="single" w:sz="4" w:space="0" w:color="auto"/>
            </w:tcBorders>
          </w:tcPr>
          <w:p w14:paraId="0D13BF64"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&lt; 0.001</w:t>
            </w:r>
          </w:p>
        </w:tc>
      </w:tr>
    </w:tbl>
    <w:p w14:paraId="6B227896" w14:textId="77777777" w:rsidR="000E41B3" w:rsidRPr="00654F9A" w:rsidRDefault="000E41B3" w:rsidP="000E41B3">
      <w:pPr>
        <w:adjustRightInd w:val="0"/>
        <w:snapToGrid w:val="0"/>
        <w:spacing w:line="360" w:lineRule="auto"/>
        <w:jc w:val="both"/>
        <w:rPr>
          <w:rFonts w:ascii="Book Antiqua" w:hAnsi="Book Antiqua" w:cs="Book Antiqua"/>
          <w:i/>
          <w:iCs/>
          <w:color w:val="000000"/>
          <w:lang w:eastAsia="zh-CN"/>
        </w:rPr>
      </w:pPr>
      <w:bookmarkStart w:id="85" w:name="OLE_LINK270"/>
      <w:bookmarkStart w:id="86" w:name="OLE_LINK271"/>
      <w:r w:rsidRPr="00654F9A">
        <w:rPr>
          <w:rFonts w:ascii="Book Antiqua" w:hAnsi="Book Antiqua"/>
          <w:lang w:eastAsia="zh-CN"/>
        </w:rPr>
        <w:t xml:space="preserve">BMI: </w:t>
      </w:r>
      <w:r w:rsidRPr="00654F9A">
        <w:rPr>
          <w:rFonts w:ascii="Book Antiqua" w:hAnsi="Book Antiqua" w:cs="Book Antiqua"/>
          <w:color w:val="000000"/>
          <w:lang w:eastAsia="zh-CN"/>
        </w:rPr>
        <w:t>B</w:t>
      </w:r>
      <w:r w:rsidRPr="00654F9A">
        <w:rPr>
          <w:rFonts w:ascii="Book Antiqua" w:eastAsia="Book Antiqua" w:hAnsi="Book Antiqua" w:cs="Book Antiqua"/>
          <w:color w:val="000000"/>
        </w:rPr>
        <w:t>ody mass index</w:t>
      </w:r>
      <w:r w:rsidRPr="00654F9A">
        <w:rPr>
          <w:rFonts w:ascii="Book Antiqua" w:hAnsi="Book Antiqua"/>
          <w:lang w:eastAsia="zh-CN"/>
        </w:rPr>
        <w:t xml:space="preserve">; </w:t>
      </w:r>
      <w:r w:rsidRPr="00654F9A">
        <w:rPr>
          <w:rFonts w:ascii="Book Antiqua" w:eastAsia="Book Antiqua" w:hAnsi="Book Antiqua" w:cs="Book Antiqua"/>
          <w:i/>
          <w:iCs/>
          <w:color w:val="000000"/>
        </w:rPr>
        <w:t>H. pylori</w:t>
      </w:r>
      <w:r w:rsidRPr="00654F9A">
        <w:rPr>
          <w:rFonts w:ascii="Book Antiqua" w:hAnsi="Book Antiqua" w:cs="Book Antiqua"/>
          <w:iCs/>
          <w:color w:val="000000"/>
          <w:lang w:eastAsia="zh-CN"/>
        </w:rPr>
        <w:t>:</w:t>
      </w:r>
      <w:r w:rsidRPr="00654F9A">
        <w:rPr>
          <w:rFonts w:ascii="Book Antiqua" w:eastAsia="Book Antiqua" w:hAnsi="Book Antiqua" w:cs="Book Antiqua"/>
          <w:i/>
          <w:iCs/>
          <w:color w:val="000000"/>
        </w:rPr>
        <w:t xml:space="preserve"> Helicobacter pylori</w:t>
      </w:r>
      <w:r w:rsidRPr="00654F9A">
        <w:rPr>
          <w:rFonts w:ascii="Book Antiqua" w:hAnsi="Book Antiqua" w:cs="Book Antiqua"/>
          <w:i/>
          <w:iCs/>
          <w:color w:val="000000"/>
          <w:lang w:eastAsia="zh-CN"/>
        </w:rPr>
        <w:t>.</w:t>
      </w:r>
    </w:p>
    <w:bookmarkEnd w:id="85"/>
    <w:bookmarkEnd w:id="86"/>
    <w:p w14:paraId="24791000" w14:textId="77777777" w:rsidR="000E41B3" w:rsidRPr="00654F9A" w:rsidRDefault="000E41B3" w:rsidP="000E41B3">
      <w:pPr>
        <w:adjustRightInd w:val="0"/>
        <w:snapToGrid w:val="0"/>
        <w:spacing w:line="360" w:lineRule="auto"/>
        <w:jc w:val="both"/>
        <w:rPr>
          <w:rFonts w:ascii="Book Antiqua" w:hAnsi="Book Antiqua"/>
        </w:rPr>
      </w:pPr>
      <w:r w:rsidRPr="00654F9A">
        <w:rPr>
          <w:rFonts w:ascii="Book Antiqua" w:hAnsi="Book Antiqua"/>
          <w:b/>
        </w:rPr>
        <w:br w:type="page"/>
        <w:t>Table 2 Comparison of clinical and endoscopic characteristics of patients with epigastric pain syndrome, postprandial distress syndrome and overlap syndrome</w:t>
      </w:r>
    </w:p>
    <w:tbl>
      <w:tblPr>
        <w:tblStyle w:val="a7"/>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384"/>
        <w:gridCol w:w="1900"/>
        <w:gridCol w:w="1900"/>
        <w:gridCol w:w="1900"/>
        <w:gridCol w:w="1323"/>
        <w:gridCol w:w="1428"/>
        <w:gridCol w:w="1341"/>
      </w:tblGrid>
      <w:tr w:rsidR="000E41B3" w:rsidRPr="00654F9A" w14:paraId="71D71291" w14:textId="77777777" w:rsidTr="00717DC8">
        <w:tc>
          <w:tcPr>
            <w:tcW w:w="1284" w:type="pct"/>
            <w:vMerge w:val="restart"/>
            <w:tcBorders>
              <w:top w:val="single" w:sz="12" w:space="0" w:color="auto"/>
            </w:tcBorders>
            <w:vAlign w:val="center"/>
          </w:tcPr>
          <w:p w14:paraId="53678D11" w14:textId="7777777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rPr>
              <w:t>Variables</w:t>
            </w:r>
          </w:p>
        </w:tc>
        <w:tc>
          <w:tcPr>
            <w:tcW w:w="721" w:type="pct"/>
            <w:tcBorders>
              <w:top w:val="single" w:sz="12" w:space="0" w:color="auto"/>
              <w:bottom w:val="nil"/>
            </w:tcBorders>
          </w:tcPr>
          <w:p w14:paraId="469BA070" w14:textId="5D94A4F7" w:rsidR="000E41B3" w:rsidRPr="00654F9A" w:rsidRDefault="000E41B3" w:rsidP="00717DC8">
            <w:pPr>
              <w:adjustRightInd w:val="0"/>
              <w:snapToGrid w:val="0"/>
              <w:spacing w:line="360" w:lineRule="auto"/>
              <w:jc w:val="both"/>
              <w:rPr>
                <w:rFonts w:ascii="Book Antiqua" w:hAnsi="Book Antiqua"/>
                <w:b/>
              </w:rPr>
            </w:pPr>
            <w:bookmarkStart w:id="87" w:name="OLE_LINK272"/>
            <w:bookmarkStart w:id="88" w:name="OLE_LINK273"/>
            <w:r w:rsidRPr="00654F9A">
              <w:rPr>
                <w:rFonts w:ascii="Book Antiqua" w:hAnsi="Book Antiqua" w:cs="Times New Roman"/>
                <w:b/>
              </w:rPr>
              <w:t>EPS</w:t>
            </w:r>
            <w:bookmarkEnd w:id="87"/>
            <w:bookmarkEnd w:id="88"/>
            <w:r w:rsidR="00B52755">
              <w:rPr>
                <w:rFonts w:ascii="Book Antiqua" w:hAnsi="Book Antiqua" w:cs="Times New Roman"/>
                <w:b/>
              </w:rPr>
              <w:t>,</w:t>
            </w:r>
          </w:p>
        </w:tc>
        <w:tc>
          <w:tcPr>
            <w:tcW w:w="721" w:type="pct"/>
            <w:tcBorders>
              <w:top w:val="single" w:sz="12" w:space="0" w:color="auto"/>
              <w:bottom w:val="nil"/>
            </w:tcBorders>
          </w:tcPr>
          <w:p w14:paraId="5B66CBAB" w14:textId="2A897624" w:rsidR="000E41B3" w:rsidRPr="00654F9A" w:rsidRDefault="000E41B3" w:rsidP="00717DC8">
            <w:pPr>
              <w:adjustRightInd w:val="0"/>
              <w:snapToGrid w:val="0"/>
              <w:spacing w:line="360" w:lineRule="auto"/>
              <w:jc w:val="both"/>
              <w:rPr>
                <w:rFonts w:ascii="Book Antiqua" w:hAnsi="Book Antiqua"/>
                <w:b/>
              </w:rPr>
            </w:pPr>
            <w:bookmarkStart w:id="89" w:name="OLE_LINK274"/>
            <w:bookmarkStart w:id="90" w:name="OLE_LINK275"/>
            <w:r w:rsidRPr="00654F9A">
              <w:rPr>
                <w:rFonts w:ascii="Book Antiqua" w:hAnsi="Book Antiqua" w:cs="Times New Roman"/>
                <w:b/>
              </w:rPr>
              <w:t>PDS</w:t>
            </w:r>
            <w:bookmarkEnd w:id="89"/>
            <w:bookmarkEnd w:id="90"/>
            <w:r w:rsidR="00B52755">
              <w:rPr>
                <w:rFonts w:ascii="Book Antiqua" w:hAnsi="Book Antiqua" w:cs="Times New Roman"/>
                <w:b/>
              </w:rPr>
              <w:t>,</w:t>
            </w:r>
          </w:p>
        </w:tc>
        <w:tc>
          <w:tcPr>
            <w:tcW w:w="721" w:type="pct"/>
            <w:tcBorders>
              <w:top w:val="single" w:sz="12" w:space="0" w:color="auto"/>
              <w:bottom w:val="nil"/>
            </w:tcBorders>
          </w:tcPr>
          <w:p w14:paraId="11A036F1" w14:textId="3DDDDBBA"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rPr>
              <w:t>EPS</w:t>
            </w:r>
            <w:r w:rsidR="00481DE7">
              <w:rPr>
                <w:rFonts w:ascii="Book Antiqua" w:hAnsi="Book Antiqua" w:cs="Times New Roman"/>
                <w:b/>
              </w:rPr>
              <w:t>-</w:t>
            </w:r>
            <w:r w:rsidRPr="00654F9A">
              <w:rPr>
                <w:rFonts w:ascii="Book Antiqua" w:hAnsi="Book Antiqua" w:cs="Times New Roman"/>
                <w:b/>
              </w:rPr>
              <w:t>PDS</w:t>
            </w:r>
            <w:r w:rsidR="00B52755">
              <w:rPr>
                <w:rFonts w:ascii="Book Antiqua" w:hAnsi="Book Antiqua" w:cs="Times New Roman"/>
                <w:b/>
              </w:rPr>
              <w:t>,</w:t>
            </w:r>
          </w:p>
        </w:tc>
        <w:tc>
          <w:tcPr>
            <w:tcW w:w="502" w:type="pct"/>
            <w:vMerge w:val="restart"/>
            <w:tcBorders>
              <w:top w:val="single" w:sz="12" w:space="0" w:color="auto"/>
            </w:tcBorders>
            <w:vAlign w:val="center"/>
          </w:tcPr>
          <w:p w14:paraId="4A686A88" w14:textId="7777777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
              </w:rPr>
              <w:t xml:space="preserve">F </w:t>
            </w:r>
            <w:r w:rsidRPr="00654F9A">
              <w:rPr>
                <w:rFonts w:ascii="Book Antiqua" w:hAnsi="Book Antiqua" w:cs="Times New Roman"/>
                <w:b/>
                <w:iCs/>
              </w:rPr>
              <w:t>value</w:t>
            </w:r>
          </w:p>
        </w:tc>
        <w:tc>
          <w:tcPr>
            <w:tcW w:w="542" w:type="pct"/>
            <w:vMerge w:val="restart"/>
            <w:tcBorders>
              <w:top w:val="single" w:sz="12" w:space="0" w:color="auto"/>
            </w:tcBorders>
            <w:vAlign w:val="center"/>
          </w:tcPr>
          <w:p w14:paraId="22CBB8FA" w14:textId="7777777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
              </w:rPr>
              <w:sym w:font="Symbol" w:char="F063"/>
            </w:r>
            <w:r w:rsidRPr="00654F9A">
              <w:rPr>
                <w:rFonts w:ascii="Book Antiqua" w:hAnsi="Book Antiqua" w:cs="Times New Roman"/>
                <w:b/>
                <w:i/>
                <w:vertAlign w:val="superscript"/>
              </w:rPr>
              <w:t>2</w:t>
            </w:r>
            <w:r w:rsidRPr="00654F9A">
              <w:rPr>
                <w:rFonts w:ascii="Book Antiqua" w:hAnsi="Book Antiqua" w:cs="Times New Roman"/>
                <w:b/>
                <w:i/>
              </w:rPr>
              <w:t xml:space="preserve"> </w:t>
            </w:r>
            <w:r w:rsidRPr="00654F9A">
              <w:rPr>
                <w:rFonts w:ascii="Book Antiqua" w:hAnsi="Book Antiqua" w:cs="Times New Roman"/>
                <w:b/>
                <w:iCs/>
              </w:rPr>
              <w:t>value</w:t>
            </w:r>
          </w:p>
        </w:tc>
        <w:tc>
          <w:tcPr>
            <w:tcW w:w="509" w:type="pct"/>
            <w:vMerge w:val="restart"/>
            <w:tcBorders>
              <w:top w:val="single" w:sz="12" w:space="0" w:color="auto"/>
            </w:tcBorders>
            <w:vAlign w:val="center"/>
          </w:tcPr>
          <w:p w14:paraId="7C8412ED" w14:textId="7777777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
              </w:rPr>
              <w:t>P</w:t>
            </w:r>
            <w:r w:rsidRPr="00654F9A">
              <w:rPr>
                <w:rFonts w:ascii="Book Antiqua" w:hAnsi="Book Antiqua" w:cs="Times New Roman"/>
                <w:b/>
              </w:rPr>
              <w:t xml:space="preserve"> value</w:t>
            </w:r>
          </w:p>
        </w:tc>
      </w:tr>
      <w:tr w:rsidR="000E41B3" w:rsidRPr="00654F9A" w14:paraId="2DE4A57B" w14:textId="77777777" w:rsidTr="00717DC8">
        <w:tc>
          <w:tcPr>
            <w:tcW w:w="1284" w:type="pct"/>
            <w:vMerge/>
            <w:tcBorders>
              <w:bottom w:val="single" w:sz="4" w:space="0" w:color="auto"/>
            </w:tcBorders>
          </w:tcPr>
          <w:p w14:paraId="62F04A45" w14:textId="77777777" w:rsidR="000E41B3" w:rsidRPr="00654F9A" w:rsidRDefault="000E41B3" w:rsidP="00717DC8">
            <w:pPr>
              <w:adjustRightInd w:val="0"/>
              <w:snapToGrid w:val="0"/>
              <w:spacing w:line="360" w:lineRule="auto"/>
              <w:jc w:val="both"/>
              <w:rPr>
                <w:rFonts w:ascii="Book Antiqua" w:hAnsi="Book Antiqua"/>
                <w:b/>
              </w:rPr>
            </w:pPr>
          </w:p>
        </w:tc>
        <w:tc>
          <w:tcPr>
            <w:tcW w:w="721" w:type="pct"/>
            <w:tcBorders>
              <w:top w:val="nil"/>
              <w:bottom w:val="single" w:sz="4" w:space="0" w:color="auto"/>
            </w:tcBorders>
          </w:tcPr>
          <w:p w14:paraId="375E342D" w14:textId="479C918C"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
                <w:iCs/>
              </w:rPr>
              <w:t>n</w:t>
            </w:r>
            <w:r w:rsidR="00717DC8" w:rsidRPr="00654F9A">
              <w:rPr>
                <w:rFonts w:ascii="Book Antiqua" w:hAnsi="Book Antiqua" w:cs="Times New Roman"/>
                <w:b/>
                <w:i/>
                <w:iCs/>
              </w:rPr>
              <w:t xml:space="preserve"> </w:t>
            </w:r>
            <w:r w:rsidRPr="00654F9A">
              <w:rPr>
                <w:rFonts w:ascii="Book Antiqua" w:hAnsi="Book Antiqua" w:cs="Times New Roman"/>
                <w:b/>
              </w:rPr>
              <w:t>=</w:t>
            </w:r>
            <w:r w:rsidR="00717DC8" w:rsidRPr="00654F9A">
              <w:rPr>
                <w:rFonts w:ascii="Book Antiqua" w:hAnsi="Book Antiqua" w:cs="Times New Roman"/>
                <w:b/>
              </w:rPr>
              <w:t xml:space="preserve"> </w:t>
            </w:r>
            <w:r w:rsidRPr="00654F9A">
              <w:rPr>
                <w:rFonts w:ascii="Book Antiqua" w:hAnsi="Book Antiqua" w:cs="Times New Roman"/>
                <w:b/>
              </w:rPr>
              <w:t>267</w:t>
            </w:r>
          </w:p>
        </w:tc>
        <w:tc>
          <w:tcPr>
            <w:tcW w:w="721" w:type="pct"/>
            <w:tcBorders>
              <w:top w:val="nil"/>
              <w:bottom w:val="single" w:sz="4" w:space="0" w:color="auto"/>
            </w:tcBorders>
          </w:tcPr>
          <w:p w14:paraId="34046689" w14:textId="7E711B5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
                <w:iCs/>
              </w:rPr>
              <w:t>n</w:t>
            </w:r>
            <w:r w:rsidR="00717DC8" w:rsidRPr="00654F9A">
              <w:rPr>
                <w:rFonts w:ascii="Book Antiqua" w:hAnsi="Book Antiqua" w:cs="Times New Roman"/>
                <w:b/>
                <w:i/>
                <w:iCs/>
              </w:rPr>
              <w:t xml:space="preserve"> </w:t>
            </w:r>
            <w:r w:rsidRPr="00654F9A">
              <w:rPr>
                <w:rFonts w:ascii="Book Antiqua" w:hAnsi="Book Antiqua" w:cs="Times New Roman"/>
                <w:b/>
              </w:rPr>
              <w:t>=</w:t>
            </w:r>
            <w:r w:rsidR="00717DC8" w:rsidRPr="00654F9A">
              <w:rPr>
                <w:rFonts w:ascii="Book Antiqua" w:hAnsi="Book Antiqua" w:cs="Times New Roman"/>
                <w:b/>
              </w:rPr>
              <w:t xml:space="preserve"> </w:t>
            </w:r>
            <w:r w:rsidRPr="00654F9A">
              <w:rPr>
                <w:rFonts w:ascii="Book Antiqua" w:hAnsi="Book Antiqua" w:cs="Times New Roman"/>
                <w:b/>
              </w:rPr>
              <w:t>398</w:t>
            </w:r>
          </w:p>
        </w:tc>
        <w:tc>
          <w:tcPr>
            <w:tcW w:w="721" w:type="pct"/>
            <w:tcBorders>
              <w:top w:val="nil"/>
              <w:bottom w:val="single" w:sz="4" w:space="0" w:color="auto"/>
            </w:tcBorders>
          </w:tcPr>
          <w:p w14:paraId="27DE547C" w14:textId="3FD0B6A2"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
                <w:iCs/>
              </w:rPr>
              <w:t>n</w:t>
            </w:r>
            <w:r w:rsidR="00717DC8" w:rsidRPr="00654F9A">
              <w:rPr>
                <w:rFonts w:ascii="Book Antiqua" w:hAnsi="Book Antiqua" w:cs="Times New Roman"/>
                <w:b/>
                <w:i/>
                <w:iCs/>
              </w:rPr>
              <w:t xml:space="preserve"> </w:t>
            </w:r>
            <w:r w:rsidRPr="00654F9A">
              <w:rPr>
                <w:rFonts w:ascii="Book Antiqua" w:hAnsi="Book Antiqua" w:cs="Times New Roman"/>
                <w:b/>
              </w:rPr>
              <w:t>=</w:t>
            </w:r>
            <w:r w:rsidR="00717DC8" w:rsidRPr="00654F9A">
              <w:rPr>
                <w:rFonts w:ascii="Book Antiqua" w:hAnsi="Book Antiqua" w:cs="Times New Roman"/>
                <w:b/>
              </w:rPr>
              <w:t xml:space="preserve"> </w:t>
            </w:r>
            <w:r w:rsidRPr="00654F9A">
              <w:rPr>
                <w:rFonts w:ascii="Book Antiqua" w:hAnsi="Book Antiqua" w:cs="Times New Roman"/>
                <w:b/>
              </w:rPr>
              <w:t>351</w:t>
            </w:r>
          </w:p>
        </w:tc>
        <w:tc>
          <w:tcPr>
            <w:tcW w:w="502" w:type="pct"/>
            <w:vMerge/>
            <w:tcBorders>
              <w:bottom w:val="single" w:sz="4" w:space="0" w:color="auto"/>
            </w:tcBorders>
            <w:vAlign w:val="center"/>
          </w:tcPr>
          <w:p w14:paraId="175BF42A" w14:textId="77777777" w:rsidR="000E41B3" w:rsidRPr="00654F9A" w:rsidRDefault="000E41B3" w:rsidP="00717DC8">
            <w:pPr>
              <w:adjustRightInd w:val="0"/>
              <w:snapToGrid w:val="0"/>
              <w:spacing w:line="360" w:lineRule="auto"/>
              <w:jc w:val="both"/>
              <w:rPr>
                <w:rFonts w:ascii="Book Antiqua" w:hAnsi="Book Antiqua"/>
                <w:b/>
              </w:rPr>
            </w:pPr>
          </w:p>
        </w:tc>
        <w:tc>
          <w:tcPr>
            <w:tcW w:w="542" w:type="pct"/>
            <w:vMerge/>
            <w:tcBorders>
              <w:bottom w:val="single" w:sz="4" w:space="0" w:color="auto"/>
            </w:tcBorders>
            <w:vAlign w:val="center"/>
          </w:tcPr>
          <w:p w14:paraId="3DB29DF0" w14:textId="77777777" w:rsidR="000E41B3" w:rsidRPr="00654F9A" w:rsidRDefault="000E41B3" w:rsidP="00717DC8">
            <w:pPr>
              <w:adjustRightInd w:val="0"/>
              <w:snapToGrid w:val="0"/>
              <w:spacing w:line="360" w:lineRule="auto"/>
              <w:jc w:val="both"/>
              <w:rPr>
                <w:rFonts w:ascii="Book Antiqua" w:hAnsi="Book Antiqua"/>
                <w:b/>
              </w:rPr>
            </w:pPr>
          </w:p>
        </w:tc>
        <w:tc>
          <w:tcPr>
            <w:tcW w:w="509" w:type="pct"/>
            <w:vMerge/>
            <w:tcBorders>
              <w:bottom w:val="single" w:sz="4" w:space="0" w:color="auto"/>
            </w:tcBorders>
            <w:vAlign w:val="center"/>
          </w:tcPr>
          <w:p w14:paraId="0861E040" w14:textId="77777777" w:rsidR="000E41B3" w:rsidRPr="00654F9A" w:rsidRDefault="000E41B3" w:rsidP="00717DC8">
            <w:pPr>
              <w:adjustRightInd w:val="0"/>
              <w:snapToGrid w:val="0"/>
              <w:spacing w:line="360" w:lineRule="auto"/>
              <w:jc w:val="both"/>
              <w:rPr>
                <w:rFonts w:ascii="Book Antiqua" w:hAnsi="Book Antiqua"/>
                <w:b/>
              </w:rPr>
            </w:pPr>
          </w:p>
        </w:tc>
      </w:tr>
      <w:tr w:rsidR="000E41B3" w:rsidRPr="00654F9A" w14:paraId="722A3D8D" w14:textId="77777777" w:rsidTr="000E41B3">
        <w:tc>
          <w:tcPr>
            <w:tcW w:w="1284" w:type="pct"/>
            <w:tcBorders>
              <w:top w:val="single" w:sz="4" w:space="0" w:color="auto"/>
            </w:tcBorders>
          </w:tcPr>
          <w:p w14:paraId="37AD3C4C" w14:textId="757B7FA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Gender</w:t>
            </w:r>
            <w:r w:rsidR="00B52755">
              <w:rPr>
                <w:rFonts w:ascii="Book Antiqua" w:hAnsi="Book Antiqua" w:cs="Times New Roman"/>
              </w:rPr>
              <w:t>,</w:t>
            </w:r>
            <w:r w:rsidR="00601B14" w:rsidRPr="00654F9A">
              <w:rPr>
                <w:rFonts w:ascii="Book Antiqua" w:hAnsi="Book Antiqua" w:cs="Times New Roman"/>
              </w:rPr>
              <w:t xml:space="preserve"> </w:t>
            </w:r>
            <w:r w:rsidRPr="00654F9A">
              <w:rPr>
                <w:rFonts w:ascii="Book Antiqua" w:hAnsi="Book Antiqua" w:cs="Times New Roman"/>
              </w:rPr>
              <w:t>male/female</w:t>
            </w:r>
          </w:p>
        </w:tc>
        <w:tc>
          <w:tcPr>
            <w:tcW w:w="721" w:type="pct"/>
            <w:tcBorders>
              <w:top w:val="single" w:sz="4" w:space="0" w:color="auto"/>
            </w:tcBorders>
          </w:tcPr>
          <w:p w14:paraId="0BEEF692"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98/169</w:t>
            </w:r>
          </w:p>
        </w:tc>
        <w:tc>
          <w:tcPr>
            <w:tcW w:w="721" w:type="pct"/>
            <w:tcBorders>
              <w:top w:val="single" w:sz="4" w:space="0" w:color="auto"/>
            </w:tcBorders>
          </w:tcPr>
          <w:p w14:paraId="6975F309"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156/242</w:t>
            </w:r>
          </w:p>
        </w:tc>
        <w:tc>
          <w:tcPr>
            <w:tcW w:w="721" w:type="pct"/>
            <w:tcBorders>
              <w:top w:val="single" w:sz="4" w:space="0" w:color="auto"/>
            </w:tcBorders>
          </w:tcPr>
          <w:p w14:paraId="6CF9A2B8"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122/229</w:t>
            </w:r>
          </w:p>
        </w:tc>
        <w:tc>
          <w:tcPr>
            <w:tcW w:w="502" w:type="pct"/>
            <w:tcBorders>
              <w:top w:val="single" w:sz="4" w:space="0" w:color="auto"/>
            </w:tcBorders>
          </w:tcPr>
          <w:p w14:paraId="3FE44FC0" w14:textId="77777777" w:rsidR="000E41B3" w:rsidRPr="00654F9A" w:rsidRDefault="000E41B3" w:rsidP="00717DC8">
            <w:pPr>
              <w:adjustRightInd w:val="0"/>
              <w:snapToGrid w:val="0"/>
              <w:spacing w:line="360" w:lineRule="auto"/>
              <w:jc w:val="both"/>
              <w:rPr>
                <w:rFonts w:ascii="Book Antiqua" w:hAnsi="Book Antiqua" w:cs="Times New Roman"/>
              </w:rPr>
            </w:pPr>
          </w:p>
        </w:tc>
        <w:tc>
          <w:tcPr>
            <w:tcW w:w="542" w:type="pct"/>
            <w:tcBorders>
              <w:top w:val="single" w:sz="4" w:space="0" w:color="auto"/>
            </w:tcBorders>
          </w:tcPr>
          <w:p w14:paraId="34D44999"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1.590</w:t>
            </w:r>
          </w:p>
        </w:tc>
        <w:tc>
          <w:tcPr>
            <w:tcW w:w="509" w:type="pct"/>
            <w:tcBorders>
              <w:top w:val="single" w:sz="4" w:space="0" w:color="auto"/>
            </w:tcBorders>
          </w:tcPr>
          <w:p w14:paraId="4F184C0C"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0.452</w:t>
            </w:r>
          </w:p>
        </w:tc>
      </w:tr>
      <w:tr w:rsidR="000E41B3" w:rsidRPr="00654F9A" w14:paraId="2CB7A6E8" w14:textId="77777777" w:rsidTr="000E41B3">
        <w:tc>
          <w:tcPr>
            <w:tcW w:w="1284" w:type="pct"/>
          </w:tcPr>
          <w:p w14:paraId="59883837"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Age</w:t>
            </w:r>
          </w:p>
        </w:tc>
        <w:tc>
          <w:tcPr>
            <w:tcW w:w="721" w:type="pct"/>
          </w:tcPr>
          <w:p w14:paraId="59E188B2"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48.01</w:t>
            </w:r>
            <w:r w:rsidR="00717DC8" w:rsidRPr="00654F9A">
              <w:rPr>
                <w:rFonts w:ascii="Book Antiqua" w:hAnsi="Book Antiqua" w:cs="Times New Roman"/>
              </w:rPr>
              <w:t xml:space="preserve"> </w:t>
            </w:r>
            <w:r w:rsidRPr="00654F9A">
              <w:rPr>
                <w:rFonts w:ascii="Book Antiqua" w:hAnsi="Book Antiqua" w:cs="Times New Roman"/>
              </w:rPr>
              <w:t>±</w:t>
            </w:r>
            <w:r w:rsidR="00717DC8" w:rsidRPr="00654F9A">
              <w:rPr>
                <w:rFonts w:ascii="Book Antiqua" w:hAnsi="Book Antiqua" w:cs="Times New Roman"/>
              </w:rPr>
              <w:t xml:space="preserve"> </w:t>
            </w:r>
            <w:r w:rsidRPr="00654F9A">
              <w:rPr>
                <w:rFonts w:ascii="Book Antiqua" w:hAnsi="Book Antiqua" w:cs="Times New Roman"/>
              </w:rPr>
              <w:t>16.21</w:t>
            </w:r>
          </w:p>
        </w:tc>
        <w:tc>
          <w:tcPr>
            <w:tcW w:w="721" w:type="pct"/>
          </w:tcPr>
          <w:p w14:paraId="3C45F206"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50.94</w:t>
            </w:r>
            <w:r w:rsidR="00717DC8" w:rsidRPr="00654F9A">
              <w:rPr>
                <w:rFonts w:ascii="Book Antiqua" w:hAnsi="Book Antiqua" w:cs="Times New Roman"/>
              </w:rPr>
              <w:t xml:space="preserve"> </w:t>
            </w:r>
            <w:r w:rsidRPr="00654F9A">
              <w:rPr>
                <w:rFonts w:ascii="Book Antiqua" w:hAnsi="Book Antiqua" w:cs="Times New Roman"/>
              </w:rPr>
              <w:t>±</w:t>
            </w:r>
            <w:r w:rsidR="00717DC8" w:rsidRPr="00654F9A">
              <w:rPr>
                <w:rFonts w:ascii="Book Antiqua" w:hAnsi="Book Antiqua" w:cs="Times New Roman"/>
              </w:rPr>
              <w:t xml:space="preserve"> </w:t>
            </w:r>
            <w:r w:rsidRPr="00654F9A">
              <w:rPr>
                <w:rFonts w:ascii="Book Antiqua" w:hAnsi="Book Antiqua" w:cs="Times New Roman"/>
              </w:rPr>
              <w:t>15.09</w:t>
            </w:r>
          </w:p>
        </w:tc>
        <w:tc>
          <w:tcPr>
            <w:tcW w:w="721" w:type="pct"/>
          </w:tcPr>
          <w:p w14:paraId="6262B674"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49.30</w:t>
            </w:r>
            <w:r w:rsidR="00717DC8" w:rsidRPr="00654F9A">
              <w:rPr>
                <w:rFonts w:ascii="Book Antiqua" w:hAnsi="Book Antiqua" w:cs="Times New Roman"/>
              </w:rPr>
              <w:t xml:space="preserve"> </w:t>
            </w:r>
            <w:r w:rsidRPr="00654F9A">
              <w:rPr>
                <w:rFonts w:ascii="Book Antiqua" w:hAnsi="Book Antiqua" w:cs="Times New Roman"/>
              </w:rPr>
              <w:t>±</w:t>
            </w:r>
            <w:r w:rsidR="00717DC8" w:rsidRPr="00654F9A">
              <w:rPr>
                <w:rFonts w:ascii="Book Antiqua" w:hAnsi="Book Antiqua" w:cs="Times New Roman"/>
              </w:rPr>
              <w:t xml:space="preserve"> </w:t>
            </w:r>
            <w:r w:rsidRPr="00654F9A">
              <w:rPr>
                <w:rFonts w:ascii="Book Antiqua" w:hAnsi="Book Antiqua" w:cs="Times New Roman"/>
              </w:rPr>
              <w:t>14.90</w:t>
            </w:r>
          </w:p>
        </w:tc>
        <w:tc>
          <w:tcPr>
            <w:tcW w:w="502" w:type="pct"/>
          </w:tcPr>
          <w:p w14:paraId="7FFE7E04"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3.025</w:t>
            </w:r>
          </w:p>
        </w:tc>
        <w:tc>
          <w:tcPr>
            <w:tcW w:w="542" w:type="pct"/>
          </w:tcPr>
          <w:p w14:paraId="613565A6" w14:textId="77777777" w:rsidR="000E41B3" w:rsidRPr="00654F9A" w:rsidRDefault="000E41B3" w:rsidP="00717DC8">
            <w:pPr>
              <w:adjustRightInd w:val="0"/>
              <w:snapToGrid w:val="0"/>
              <w:spacing w:line="360" w:lineRule="auto"/>
              <w:jc w:val="both"/>
              <w:rPr>
                <w:rFonts w:ascii="Book Antiqua" w:hAnsi="Book Antiqua" w:cs="Times New Roman"/>
              </w:rPr>
            </w:pPr>
          </w:p>
        </w:tc>
        <w:tc>
          <w:tcPr>
            <w:tcW w:w="509" w:type="pct"/>
          </w:tcPr>
          <w:p w14:paraId="5889776E"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0.049</w:t>
            </w:r>
          </w:p>
        </w:tc>
      </w:tr>
      <w:tr w:rsidR="000E41B3" w:rsidRPr="00654F9A" w14:paraId="2CFB9BB6" w14:textId="77777777" w:rsidTr="000E41B3">
        <w:tc>
          <w:tcPr>
            <w:tcW w:w="1284" w:type="pct"/>
          </w:tcPr>
          <w:p w14:paraId="1C8AD3FF"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BMI</w:t>
            </w:r>
          </w:p>
        </w:tc>
        <w:tc>
          <w:tcPr>
            <w:tcW w:w="721" w:type="pct"/>
          </w:tcPr>
          <w:p w14:paraId="14F39C94"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22.08</w:t>
            </w:r>
            <w:r w:rsidR="00717DC8" w:rsidRPr="00654F9A">
              <w:rPr>
                <w:rFonts w:ascii="Book Antiqua" w:hAnsi="Book Antiqua" w:cs="Times New Roman"/>
              </w:rPr>
              <w:t xml:space="preserve"> </w:t>
            </w:r>
            <w:r w:rsidRPr="00654F9A">
              <w:rPr>
                <w:rFonts w:ascii="Book Antiqua" w:hAnsi="Book Antiqua" w:cs="Times New Roman"/>
              </w:rPr>
              <w:t>±</w:t>
            </w:r>
            <w:r w:rsidR="00717DC8" w:rsidRPr="00654F9A">
              <w:rPr>
                <w:rFonts w:ascii="Book Antiqua" w:hAnsi="Book Antiqua" w:cs="Times New Roman"/>
              </w:rPr>
              <w:t xml:space="preserve"> </w:t>
            </w:r>
            <w:r w:rsidRPr="00654F9A">
              <w:rPr>
                <w:rFonts w:ascii="Book Antiqua" w:hAnsi="Book Antiqua" w:cs="Times New Roman"/>
              </w:rPr>
              <w:t>3.27</w:t>
            </w:r>
          </w:p>
        </w:tc>
        <w:tc>
          <w:tcPr>
            <w:tcW w:w="721" w:type="pct"/>
          </w:tcPr>
          <w:p w14:paraId="60CAA36B"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22.62</w:t>
            </w:r>
            <w:r w:rsidR="00717DC8" w:rsidRPr="00654F9A">
              <w:rPr>
                <w:rFonts w:ascii="Book Antiqua" w:hAnsi="Book Antiqua" w:cs="Times New Roman"/>
              </w:rPr>
              <w:t xml:space="preserve"> </w:t>
            </w:r>
            <w:r w:rsidRPr="00654F9A">
              <w:rPr>
                <w:rFonts w:ascii="Book Antiqua" w:hAnsi="Book Antiqua" w:cs="Times New Roman"/>
              </w:rPr>
              <w:t>±</w:t>
            </w:r>
            <w:r w:rsidR="00717DC8" w:rsidRPr="00654F9A">
              <w:rPr>
                <w:rFonts w:ascii="Book Antiqua" w:hAnsi="Book Antiqua" w:cs="Times New Roman"/>
              </w:rPr>
              <w:t xml:space="preserve"> </w:t>
            </w:r>
            <w:r w:rsidRPr="00654F9A">
              <w:rPr>
                <w:rFonts w:ascii="Book Antiqua" w:hAnsi="Book Antiqua" w:cs="Times New Roman"/>
              </w:rPr>
              <w:t>3.86</w:t>
            </w:r>
          </w:p>
        </w:tc>
        <w:tc>
          <w:tcPr>
            <w:tcW w:w="721" w:type="pct"/>
          </w:tcPr>
          <w:p w14:paraId="58EC2EEA"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22.52</w:t>
            </w:r>
            <w:r w:rsidR="00717DC8" w:rsidRPr="00654F9A">
              <w:rPr>
                <w:rFonts w:ascii="Book Antiqua" w:hAnsi="Book Antiqua" w:cs="Times New Roman"/>
              </w:rPr>
              <w:t xml:space="preserve"> </w:t>
            </w:r>
            <w:r w:rsidRPr="00654F9A">
              <w:rPr>
                <w:rFonts w:ascii="Book Antiqua" w:hAnsi="Book Antiqua" w:cs="Times New Roman"/>
              </w:rPr>
              <w:t>±</w:t>
            </w:r>
            <w:r w:rsidR="00717DC8" w:rsidRPr="00654F9A">
              <w:rPr>
                <w:rFonts w:ascii="Book Antiqua" w:hAnsi="Book Antiqua" w:cs="Times New Roman"/>
              </w:rPr>
              <w:t xml:space="preserve"> </w:t>
            </w:r>
            <w:r w:rsidRPr="00654F9A">
              <w:rPr>
                <w:rFonts w:ascii="Book Antiqua" w:hAnsi="Book Antiqua" w:cs="Times New Roman"/>
              </w:rPr>
              <w:t>3.69</w:t>
            </w:r>
          </w:p>
        </w:tc>
        <w:tc>
          <w:tcPr>
            <w:tcW w:w="502" w:type="pct"/>
          </w:tcPr>
          <w:p w14:paraId="77D0A830"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1.746</w:t>
            </w:r>
          </w:p>
        </w:tc>
        <w:tc>
          <w:tcPr>
            <w:tcW w:w="542" w:type="pct"/>
          </w:tcPr>
          <w:p w14:paraId="1AD129D5" w14:textId="77777777" w:rsidR="000E41B3" w:rsidRPr="00654F9A" w:rsidRDefault="000E41B3" w:rsidP="00717DC8">
            <w:pPr>
              <w:adjustRightInd w:val="0"/>
              <w:snapToGrid w:val="0"/>
              <w:spacing w:line="360" w:lineRule="auto"/>
              <w:jc w:val="both"/>
              <w:rPr>
                <w:rFonts w:ascii="Book Antiqua" w:hAnsi="Book Antiqua" w:cs="Times New Roman"/>
              </w:rPr>
            </w:pPr>
          </w:p>
        </w:tc>
        <w:tc>
          <w:tcPr>
            <w:tcW w:w="509" w:type="pct"/>
          </w:tcPr>
          <w:p w14:paraId="653E9589"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0.175</w:t>
            </w:r>
          </w:p>
        </w:tc>
      </w:tr>
      <w:tr w:rsidR="000E41B3" w:rsidRPr="00654F9A" w14:paraId="1117491B" w14:textId="77777777" w:rsidTr="000E41B3">
        <w:tc>
          <w:tcPr>
            <w:tcW w:w="1284" w:type="pct"/>
          </w:tcPr>
          <w:p w14:paraId="4B916105"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CSFs</w:t>
            </w:r>
          </w:p>
        </w:tc>
        <w:tc>
          <w:tcPr>
            <w:tcW w:w="721" w:type="pct"/>
          </w:tcPr>
          <w:p w14:paraId="2343D6BC"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97</w:t>
            </w:r>
            <w:r w:rsidR="00717DC8" w:rsidRPr="00654F9A">
              <w:rPr>
                <w:rFonts w:ascii="Book Antiqua" w:hAnsi="Book Antiqua" w:cs="Times New Roman"/>
              </w:rPr>
              <w:t xml:space="preserve"> </w:t>
            </w:r>
            <w:r w:rsidRPr="00654F9A">
              <w:rPr>
                <w:rFonts w:ascii="Book Antiqua" w:hAnsi="Book Antiqua" w:cs="Times New Roman"/>
              </w:rPr>
              <w:t>(36.3)</w:t>
            </w:r>
          </w:p>
        </w:tc>
        <w:tc>
          <w:tcPr>
            <w:tcW w:w="721" w:type="pct"/>
          </w:tcPr>
          <w:p w14:paraId="7C919C92"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96</w:t>
            </w:r>
            <w:r w:rsidR="00717DC8" w:rsidRPr="00654F9A">
              <w:rPr>
                <w:rFonts w:ascii="Book Antiqua" w:hAnsi="Book Antiqua" w:cs="Times New Roman"/>
              </w:rPr>
              <w:t xml:space="preserve"> </w:t>
            </w:r>
            <w:r w:rsidRPr="00654F9A">
              <w:rPr>
                <w:rFonts w:ascii="Book Antiqua" w:hAnsi="Book Antiqua" w:cs="Times New Roman"/>
              </w:rPr>
              <w:t>(24.1)</w:t>
            </w:r>
          </w:p>
        </w:tc>
        <w:tc>
          <w:tcPr>
            <w:tcW w:w="721" w:type="pct"/>
          </w:tcPr>
          <w:p w14:paraId="793088AB"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111</w:t>
            </w:r>
            <w:r w:rsidR="00717DC8" w:rsidRPr="00654F9A">
              <w:rPr>
                <w:rFonts w:ascii="Book Antiqua" w:hAnsi="Book Antiqua" w:cs="Times New Roman"/>
              </w:rPr>
              <w:t xml:space="preserve"> </w:t>
            </w:r>
            <w:r w:rsidRPr="00654F9A">
              <w:rPr>
                <w:rFonts w:ascii="Book Antiqua" w:hAnsi="Book Antiqua" w:cs="Times New Roman"/>
              </w:rPr>
              <w:t>(31.6)</w:t>
            </w:r>
          </w:p>
        </w:tc>
        <w:tc>
          <w:tcPr>
            <w:tcW w:w="502" w:type="pct"/>
          </w:tcPr>
          <w:p w14:paraId="55F7FD3C" w14:textId="77777777" w:rsidR="000E41B3" w:rsidRPr="00654F9A" w:rsidRDefault="000E41B3" w:rsidP="00717DC8">
            <w:pPr>
              <w:adjustRightInd w:val="0"/>
              <w:snapToGrid w:val="0"/>
              <w:spacing w:line="360" w:lineRule="auto"/>
              <w:jc w:val="both"/>
              <w:rPr>
                <w:rFonts w:ascii="Book Antiqua" w:hAnsi="Book Antiqua" w:cs="Times New Roman"/>
              </w:rPr>
            </w:pPr>
          </w:p>
        </w:tc>
        <w:tc>
          <w:tcPr>
            <w:tcW w:w="542" w:type="pct"/>
          </w:tcPr>
          <w:p w14:paraId="25BABD0B"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12.101</w:t>
            </w:r>
          </w:p>
        </w:tc>
        <w:tc>
          <w:tcPr>
            <w:tcW w:w="509" w:type="pct"/>
          </w:tcPr>
          <w:p w14:paraId="07F30519"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0.002</w:t>
            </w:r>
          </w:p>
        </w:tc>
      </w:tr>
      <w:tr w:rsidR="000E41B3" w:rsidRPr="00654F9A" w14:paraId="18A68257" w14:textId="77777777" w:rsidTr="000E41B3">
        <w:tc>
          <w:tcPr>
            <w:tcW w:w="1284" w:type="pct"/>
          </w:tcPr>
          <w:p w14:paraId="455C4D0D" w14:textId="77777777" w:rsidR="000E41B3" w:rsidRPr="00654F9A" w:rsidRDefault="000E41B3" w:rsidP="000E41B3">
            <w:pPr>
              <w:adjustRightInd w:val="0"/>
              <w:snapToGrid w:val="0"/>
              <w:spacing w:line="360" w:lineRule="auto"/>
              <w:ind w:leftChars="100" w:left="240"/>
              <w:jc w:val="both"/>
              <w:rPr>
                <w:rFonts w:ascii="Book Antiqua" w:hAnsi="Book Antiqua" w:cs="Times New Roman"/>
              </w:rPr>
            </w:pPr>
            <w:r w:rsidRPr="00654F9A">
              <w:rPr>
                <w:rFonts w:ascii="Book Antiqua" w:hAnsi="Book Antiqua" w:cs="Times New Roman"/>
              </w:rPr>
              <w:t>Esophageal lesions</w:t>
            </w:r>
          </w:p>
        </w:tc>
        <w:tc>
          <w:tcPr>
            <w:tcW w:w="721" w:type="pct"/>
          </w:tcPr>
          <w:p w14:paraId="0104C710"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54</w:t>
            </w:r>
            <w:r w:rsidR="00717DC8" w:rsidRPr="00654F9A">
              <w:rPr>
                <w:rFonts w:ascii="Book Antiqua" w:hAnsi="Book Antiqua" w:cs="Times New Roman"/>
              </w:rPr>
              <w:t xml:space="preserve"> </w:t>
            </w:r>
            <w:r w:rsidRPr="00654F9A">
              <w:rPr>
                <w:rFonts w:ascii="Book Antiqua" w:hAnsi="Book Antiqua" w:cs="Times New Roman"/>
              </w:rPr>
              <w:t>(20.2)</w:t>
            </w:r>
          </w:p>
        </w:tc>
        <w:tc>
          <w:tcPr>
            <w:tcW w:w="721" w:type="pct"/>
          </w:tcPr>
          <w:p w14:paraId="2F557466"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63</w:t>
            </w:r>
            <w:r w:rsidR="00717DC8" w:rsidRPr="00654F9A">
              <w:rPr>
                <w:rFonts w:ascii="Book Antiqua" w:hAnsi="Book Antiqua" w:cs="Times New Roman"/>
              </w:rPr>
              <w:t xml:space="preserve"> </w:t>
            </w:r>
            <w:r w:rsidRPr="00654F9A">
              <w:rPr>
                <w:rFonts w:ascii="Book Antiqua" w:hAnsi="Book Antiqua" w:cs="Times New Roman"/>
              </w:rPr>
              <w:t>(15.8)</w:t>
            </w:r>
          </w:p>
        </w:tc>
        <w:tc>
          <w:tcPr>
            <w:tcW w:w="721" w:type="pct"/>
          </w:tcPr>
          <w:p w14:paraId="7C5F40BF"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63</w:t>
            </w:r>
            <w:r w:rsidR="00717DC8" w:rsidRPr="00654F9A">
              <w:rPr>
                <w:rFonts w:ascii="Book Antiqua" w:hAnsi="Book Antiqua" w:cs="Times New Roman"/>
              </w:rPr>
              <w:t xml:space="preserve"> </w:t>
            </w:r>
            <w:r w:rsidRPr="00654F9A">
              <w:rPr>
                <w:rFonts w:ascii="Book Antiqua" w:hAnsi="Book Antiqua" w:cs="Times New Roman"/>
              </w:rPr>
              <w:t>(17.9)</w:t>
            </w:r>
          </w:p>
        </w:tc>
        <w:tc>
          <w:tcPr>
            <w:tcW w:w="502" w:type="pct"/>
          </w:tcPr>
          <w:p w14:paraId="6D43E6F8" w14:textId="77777777" w:rsidR="000E41B3" w:rsidRPr="00654F9A" w:rsidRDefault="000E41B3" w:rsidP="00717DC8">
            <w:pPr>
              <w:adjustRightInd w:val="0"/>
              <w:snapToGrid w:val="0"/>
              <w:spacing w:line="360" w:lineRule="auto"/>
              <w:jc w:val="both"/>
              <w:rPr>
                <w:rFonts w:ascii="Book Antiqua" w:hAnsi="Book Antiqua" w:cs="Times New Roman"/>
              </w:rPr>
            </w:pPr>
          </w:p>
        </w:tc>
        <w:tc>
          <w:tcPr>
            <w:tcW w:w="542" w:type="pct"/>
          </w:tcPr>
          <w:p w14:paraId="610098D3"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2.138</w:t>
            </w:r>
          </w:p>
        </w:tc>
        <w:tc>
          <w:tcPr>
            <w:tcW w:w="509" w:type="pct"/>
          </w:tcPr>
          <w:p w14:paraId="6EF3C3AC"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0.343</w:t>
            </w:r>
          </w:p>
        </w:tc>
      </w:tr>
      <w:tr w:rsidR="000E41B3" w:rsidRPr="00654F9A" w14:paraId="6E028FA4" w14:textId="77777777" w:rsidTr="000E41B3">
        <w:tc>
          <w:tcPr>
            <w:tcW w:w="1284" w:type="pct"/>
          </w:tcPr>
          <w:p w14:paraId="46E309F7" w14:textId="77777777" w:rsidR="000E41B3" w:rsidRPr="00654F9A" w:rsidRDefault="000E41B3" w:rsidP="000E41B3">
            <w:pPr>
              <w:adjustRightInd w:val="0"/>
              <w:snapToGrid w:val="0"/>
              <w:spacing w:line="360" w:lineRule="auto"/>
              <w:ind w:leftChars="100" w:left="240"/>
              <w:jc w:val="both"/>
              <w:rPr>
                <w:rFonts w:ascii="Book Antiqua" w:hAnsi="Book Antiqua" w:cs="Times New Roman"/>
              </w:rPr>
            </w:pPr>
            <w:r w:rsidRPr="00654F9A">
              <w:rPr>
                <w:rFonts w:ascii="Book Antiqua" w:hAnsi="Book Antiqua" w:cs="Times New Roman"/>
              </w:rPr>
              <w:t>Peptic ulcer</w:t>
            </w:r>
          </w:p>
        </w:tc>
        <w:tc>
          <w:tcPr>
            <w:tcW w:w="721" w:type="pct"/>
          </w:tcPr>
          <w:p w14:paraId="0F0211B7"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40</w:t>
            </w:r>
            <w:r w:rsidR="00717DC8" w:rsidRPr="00654F9A">
              <w:rPr>
                <w:rFonts w:ascii="Book Antiqua" w:hAnsi="Book Antiqua" w:cs="Times New Roman"/>
              </w:rPr>
              <w:t xml:space="preserve"> </w:t>
            </w:r>
            <w:r w:rsidRPr="00654F9A">
              <w:rPr>
                <w:rFonts w:ascii="Book Antiqua" w:hAnsi="Book Antiqua" w:cs="Times New Roman"/>
              </w:rPr>
              <w:t>(15.0)</w:t>
            </w:r>
          </w:p>
        </w:tc>
        <w:tc>
          <w:tcPr>
            <w:tcW w:w="721" w:type="pct"/>
          </w:tcPr>
          <w:p w14:paraId="5D6E49CF"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31</w:t>
            </w:r>
            <w:r w:rsidR="00717DC8" w:rsidRPr="00654F9A">
              <w:rPr>
                <w:rFonts w:ascii="Book Antiqua" w:hAnsi="Book Antiqua" w:cs="Times New Roman"/>
              </w:rPr>
              <w:t xml:space="preserve"> </w:t>
            </w:r>
            <w:r w:rsidRPr="00654F9A">
              <w:rPr>
                <w:rFonts w:ascii="Book Antiqua" w:hAnsi="Book Antiqua" w:cs="Times New Roman"/>
              </w:rPr>
              <w:t>(7.8)</w:t>
            </w:r>
          </w:p>
        </w:tc>
        <w:tc>
          <w:tcPr>
            <w:tcW w:w="721" w:type="pct"/>
          </w:tcPr>
          <w:p w14:paraId="6B126A1B"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44</w:t>
            </w:r>
            <w:r w:rsidR="00717DC8" w:rsidRPr="00654F9A">
              <w:rPr>
                <w:rFonts w:ascii="Book Antiqua" w:hAnsi="Book Antiqua" w:cs="Times New Roman"/>
              </w:rPr>
              <w:t xml:space="preserve"> </w:t>
            </w:r>
            <w:r w:rsidRPr="00654F9A">
              <w:rPr>
                <w:rFonts w:ascii="Book Antiqua" w:hAnsi="Book Antiqua" w:cs="Times New Roman"/>
              </w:rPr>
              <w:t>(12.5)</w:t>
            </w:r>
          </w:p>
        </w:tc>
        <w:tc>
          <w:tcPr>
            <w:tcW w:w="502" w:type="pct"/>
          </w:tcPr>
          <w:p w14:paraId="3C7D7AD4" w14:textId="77777777" w:rsidR="000E41B3" w:rsidRPr="00654F9A" w:rsidRDefault="000E41B3" w:rsidP="00717DC8">
            <w:pPr>
              <w:adjustRightInd w:val="0"/>
              <w:snapToGrid w:val="0"/>
              <w:spacing w:line="360" w:lineRule="auto"/>
              <w:jc w:val="both"/>
              <w:rPr>
                <w:rFonts w:ascii="Book Antiqua" w:hAnsi="Book Antiqua" w:cs="Times New Roman"/>
              </w:rPr>
            </w:pPr>
          </w:p>
        </w:tc>
        <w:tc>
          <w:tcPr>
            <w:tcW w:w="542" w:type="pct"/>
          </w:tcPr>
          <w:p w14:paraId="34DDFBF2"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9.026</w:t>
            </w:r>
          </w:p>
        </w:tc>
        <w:tc>
          <w:tcPr>
            <w:tcW w:w="509" w:type="pct"/>
          </w:tcPr>
          <w:p w14:paraId="43174017"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0.011</w:t>
            </w:r>
          </w:p>
        </w:tc>
      </w:tr>
      <w:tr w:rsidR="000E41B3" w:rsidRPr="00654F9A" w14:paraId="309C4A67" w14:textId="77777777" w:rsidTr="000E41B3">
        <w:tc>
          <w:tcPr>
            <w:tcW w:w="1284" w:type="pct"/>
          </w:tcPr>
          <w:p w14:paraId="734D65E2" w14:textId="77777777" w:rsidR="000E41B3" w:rsidRPr="00654F9A" w:rsidRDefault="000E41B3" w:rsidP="000E41B3">
            <w:pPr>
              <w:adjustRightInd w:val="0"/>
              <w:snapToGrid w:val="0"/>
              <w:spacing w:line="360" w:lineRule="auto"/>
              <w:ind w:leftChars="100" w:left="240"/>
              <w:jc w:val="both"/>
              <w:rPr>
                <w:rFonts w:ascii="Book Antiqua" w:hAnsi="Book Antiqua" w:cs="Times New Roman"/>
              </w:rPr>
            </w:pPr>
            <w:r w:rsidRPr="00654F9A">
              <w:rPr>
                <w:rFonts w:ascii="Book Antiqua" w:hAnsi="Book Antiqua" w:cs="Times New Roman"/>
              </w:rPr>
              <w:t>Malignancy</w:t>
            </w:r>
          </w:p>
        </w:tc>
        <w:tc>
          <w:tcPr>
            <w:tcW w:w="721" w:type="pct"/>
          </w:tcPr>
          <w:p w14:paraId="7B4A9119"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3</w:t>
            </w:r>
            <w:r w:rsidR="00717DC8" w:rsidRPr="00654F9A">
              <w:rPr>
                <w:rFonts w:ascii="Book Antiqua" w:hAnsi="Book Antiqua" w:cs="Times New Roman"/>
              </w:rPr>
              <w:t xml:space="preserve"> </w:t>
            </w:r>
            <w:r w:rsidRPr="00654F9A">
              <w:rPr>
                <w:rFonts w:ascii="Book Antiqua" w:hAnsi="Book Antiqua" w:cs="Times New Roman"/>
              </w:rPr>
              <w:t>(1.1)</w:t>
            </w:r>
          </w:p>
        </w:tc>
        <w:tc>
          <w:tcPr>
            <w:tcW w:w="721" w:type="pct"/>
          </w:tcPr>
          <w:p w14:paraId="76AD71FA"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2</w:t>
            </w:r>
            <w:r w:rsidR="00717DC8" w:rsidRPr="00654F9A">
              <w:rPr>
                <w:rFonts w:ascii="Book Antiqua" w:hAnsi="Book Antiqua" w:cs="Times New Roman"/>
              </w:rPr>
              <w:t xml:space="preserve"> </w:t>
            </w:r>
            <w:r w:rsidRPr="00654F9A">
              <w:rPr>
                <w:rFonts w:ascii="Book Antiqua" w:hAnsi="Book Antiqua" w:cs="Times New Roman"/>
              </w:rPr>
              <w:t>(0.5)</w:t>
            </w:r>
          </w:p>
        </w:tc>
        <w:tc>
          <w:tcPr>
            <w:tcW w:w="721" w:type="pct"/>
          </w:tcPr>
          <w:p w14:paraId="76FA746F"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4</w:t>
            </w:r>
            <w:r w:rsidR="00717DC8" w:rsidRPr="00654F9A">
              <w:rPr>
                <w:rFonts w:ascii="Book Antiqua" w:hAnsi="Book Antiqua" w:cs="Times New Roman"/>
              </w:rPr>
              <w:t xml:space="preserve"> </w:t>
            </w:r>
            <w:r w:rsidRPr="00654F9A">
              <w:rPr>
                <w:rFonts w:ascii="Book Antiqua" w:hAnsi="Book Antiqua" w:cs="Times New Roman"/>
              </w:rPr>
              <w:t>(1.1)</w:t>
            </w:r>
          </w:p>
        </w:tc>
        <w:tc>
          <w:tcPr>
            <w:tcW w:w="502" w:type="pct"/>
          </w:tcPr>
          <w:p w14:paraId="0151C6D5" w14:textId="77777777" w:rsidR="000E41B3" w:rsidRPr="00654F9A" w:rsidRDefault="000E41B3" w:rsidP="00717DC8">
            <w:pPr>
              <w:adjustRightInd w:val="0"/>
              <w:snapToGrid w:val="0"/>
              <w:spacing w:line="360" w:lineRule="auto"/>
              <w:jc w:val="both"/>
              <w:rPr>
                <w:rFonts w:ascii="Book Antiqua" w:hAnsi="Book Antiqua" w:cs="Times New Roman"/>
              </w:rPr>
            </w:pPr>
          </w:p>
        </w:tc>
        <w:tc>
          <w:tcPr>
            <w:tcW w:w="542" w:type="pct"/>
          </w:tcPr>
          <w:p w14:paraId="39457A46"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1.184</w:t>
            </w:r>
          </w:p>
        </w:tc>
        <w:tc>
          <w:tcPr>
            <w:tcW w:w="509" w:type="pct"/>
          </w:tcPr>
          <w:p w14:paraId="39709F4E"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0.553</w:t>
            </w:r>
          </w:p>
        </w:tc>
      </w:tr>
      <w:tr w:rsidR="000E41B3" w:rsidRPr="00654F9A" w14:paraId="2A4DE694" w14:textId="77777777" w:rsidTr="000E41B3">
        <w:tc>
          <w:tcPr>
            <w:tcW w:w="1284" w:type="pct"/>
          </w:tcPr>
          <w:p w14:paraId="76DF2DCD" w14:textId="1ABFF48C"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i/>
                <w:iCs/>
              </w:rPr>
              <w:t>H. pylori</w:t>
            </w:r>
            <w:r w:rsidRPr="00654F9A">
              <w:rPr>
                <w:rFonts w:ascii="Book Antiqua" w:hAnsi="Book Antiqua" w:cs="Times New Roman"/>
              </w:rPr>
              <w:t xml:space="preserve"> </w:t>
            </w:r>
            <w:r w:rsidR="003B5510" w:rsidRPr="00654F9A">
              <w:rPr>
                <w:rFonts w:ascii="Book Antiqua" w:hAnsi="Book Antiqua" w:cs="Times New Roman"/>
              </w:rPr>
              <w:t>p</w:t>
            </w:r>
            <w:r w:rsidRPr="00654F9A">
              <w:rPr>
                <w:rFonts w:ascii="Book Antiqua" w:hAnsi="Book Antiqua" w:cs="Times New Roman"/>
              </w:rPr>
              <w:t>ositive</w:t>
            </w:r>
          </w:p>
        </w:tc>
        <w:tc>
          <w:tcPr>
            <w:tcW w:w="721" w:type="pct"/>
          </w:tcPr>
          <w:p w14:paraId="6AED1040"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65</w:t>
            </w:r>
            <w:r w:rsidR="00717DC8" w:rsidRPr="00654F9A">
              <w:rPr>
                <w:rFonts w:ascii="Book Antiqua" w:hAnsi="Book Antiqua" w:cs="Times New Roman"/>
              </w:rPr>
              <w:t xml:space="preserve"> </w:t>
            </w:r>
            <w:r w:rsidRPr="00654F9A">
              <w:rPr>
                <w:rFonts w:ascii="Book Antiqua" w:hAnsi="Book Antiqua" w:cs="Times New Roman"/>
              </w:rPr>
              <w:t>(24.5)</w:t>
            </w:r>
          </w:p>
        </w:tc>
        <w:tc>
          <w:tcPr>
            <w:tcW w:w="721" w:type="pct"/>
          </w:tcPr>
          <w:p w14:paraId="23954DFB"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101</w:t>
            </w:r>
            <w:r w:rsidR="00717DC8" w:rsidRPr="00654F9A">
              <w:rPr>
                <w:rFonts w:ascii="Book Antiqua" w:hAnsi="Book Antiqua" w:cs="Times New Roman"/>
              </w:rPr>
              <w:t xml:space="preserve"> </w:t>
            </w:r>
            <w:r w:rsidRPr="00654F9A">
              <w:rPr>
                <w:rFonts w:ascii="Book Antiqua" w:hAnsi="Book Antiqua" w:cs="Times New Roman"/>
              </w:rPr>
              <w:t>(25.7)</w:t>
            </w:r>
          </w:p>
        </w:tc>
        <w:tc>
          <w:tcPr>
            <w:tcW w:w="721" w:type="pct"/>
          </w:tcPr>
          <w:p w14:paraId="31DD4ADC"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87</w:t>
            </w:r>
            <w:r w:rsidR="00717DC8" w:rsidRPr="00654F9A">
              <w:rPr>
                <w:rFonts w:ascii="Book Antiqua" w:hAnsi="Book Antiqua" w:cs="Times New Roman"/>
              </w:rPr>
              <w:t xml:space="preserve"> </w:t>
            </w:r>
            <w:r w:rsidRPr="00654F9A">
              <w:rPr>
                <w:rFonts w:ascii="Book Antiqua" w:hAnsi="Book Antiqua" w:cs="Times New Roman"/>
              </w:rPr>
              <w:t>(25.0)</w:t>
            </w:r>
          </w:p>
        </w:tc>
        <w:tc>
          <w:tcPr>
            <w:tcW w:w="502" w:type="pct"/>
          </w:tcPr>
          <w:p w14:paraId="118DA800" w14:textId="77777777" w:rsidR="000E41B3" w:rsidRPr="00654F9A" w:rsidRDefault="000E41B3" w:rsidP="00717DC8">
            <w:pPr>
              <w:adjustRightInd w:val="0"/>
              <w:snapToGrid w:val="0"/>
              <w:spacing w:line="360" w:lineRule="auto"/>
              <w:jc w:val="both"/>
              <w:rPr>
                <w:rFonts w:ascii="Book Antiqua" w:hAnsi="Book Antiqua" w:cs="Times New Roman"/>
              </w:rPr>
            </w:pPr>
          </w:p>
        </w:tc>
        <w:tc>
          <w:tcPr>
            <w:tcW w:w="542" w:type="pct"/>
          </w:tcPr>
          <w:p w14:paraId="0272C5D2"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0.122</w:t>
            </w:r>
          </w:p>
        </w:tc>
        <w:tc>
          <w:tcPr>
            <w:tcW w:w="509" w:type="pct"/>
          </w:tcPr>
          <w:p w14:paraId="081BB726"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0.941</w:t>
            </w:r>
          </w:p>
        </w:tc>
      </w:tr>
    </w:tbl>
    <w:p w14:paraId="099387F6" w14:textId="37F857DE" w:rsidR="000E41B3" w:rsidRPr="00654F9A" w:rsidRDefault="000B44F2" w:rsidP="000E41B3">
      <w:pPr>
        <w:adjustRightInd w:val="0"/>
        <w:snapToGrid w:val="0"/>
        <w:spacing w:line="360" w:lineRule="auto"/>
        <w:jc w:val="both"/>
        <w:rPr>
          <w:rFonts w:ascii="Book Antiqua" w:hAnsi="Book Antiqua" w:cs="Book Antiqua"/>
          <w:iCs/>
          <w:color w:val="000000"/>
          <w:lang w:eastAsia="zh-CN"/>
        </w:rPr>
      </w:pPr>
      <w:bookmarkStart w:id="91" w:name="OLE_LINK283"/>
      <w:r w:rsidRPr="00654F9A">
        <w:rPr>
          <w:rFonts w:ascii="Book Antiqua" w:hAnsi="Book Antiqua"/>
          <w:lang w:eastAsia="zh-CN"/>
        </w:rPr>
        <w:t xml:space="preserve">BMI: </w:t>
      </w:r>
      <w:bookmarkStart w:id="92" w:name="OLE_LINK280"/>
      <w:r w:rsidRPr="00654F9A">
        <w:rPr>
          <w:rFonts w:ascii="Book Antiqua" w:hAnsi="Book Antiqua" w:cs="Book Antiqua"/>
          <w:color w:val="000000"/>
          <w:lang w:eastAsia="zh-CN"/>
        </w:rPr>
        <w:t>B</w:t>
      </w:r>
      <w:r w:rsidRPr="00654F9A">
        <w:rPr>
          <w:rFonts w:ascii="Book Antiqua" w:eastAsia="Book Antiqua" w:hAnsi="Book Antiqua" w:cs="Book Antiqua"/>
          <w:color w:val="000000"/>
        </w:rPr>
        <w:t>ody mass index</w:t>
      </w:r>
      <w:bookmarkEnd w:id="92"/>
      <w:r w:rsidRPr="00654F9A">
        <w:rPr>
          <w:rFonts w:ascii="Book Antiqua" w:hAnsi="Book Antiqua"/>
          <w:lang w:eastAsia="zh-CN"/>
        </w:rPr>
        <w:t xml:space="preserve">; </w:t>
      </w:r>
      <w:r w:rsidR="00B52755" w:rsidRPr="00654F9A">
        <w:rPr>
          <w:rFonts w:ascii="Book Antiqua" w:eastAsia="Book Antiqua" w:hAnsi="Book Antiqua" w:cs="Book Antiqua"/>
          <w:color w:val="000000"/>
        </w:rPr>
        <w:t xml:space="preserve">CSFs: </w:t>
      </w:r>
      <w:r w:rsidR="00B52755" w:rsidRPr="00654F9A">
        <w:rPr>
          <w:rFonts w:ascii="Book Antiqua" w:hAnsi="Book Antiqua" w:cs="Book Antiqua"/>
          <w:color w:val="000000"/>
          <w:lang w:eastAsia="zh-CN"/>
        </w:rPr>
        <w:t>C</w:t>
      </w:r>
      <w:r w:rsidR="00B52755" w:rsidRPr="00654F9A">
        <w:rPr>
          <w:rFonts w:ascii="Book Antiqua" w:eastAsia="Book Antiqua" w:hAnsi="Book Antiqua" w:cs="Book Antiqua"/>
          <w:color w:val="000000"/>
        </w:rPr>
        <w:t>linically significant findings</w:t>
      </w:r>
      <w:r w:rsidR="00B52755" w:rsidRPr="00654F9A">
        <w:rPr>
          <w:rFonts w:ascii="Book Antiqua" w:hAnsi="Book Antiqua" w:cs="Book Antiqua"/>
          <w:color w:val="000000"/>
          <w:lang w:eastAsia="zh-CN"/>
        </w:rPr>
        <w:t xml:space="preserve">; </w:t>
      </w:r>
      <w:r w:rsidR="00B52755" w:rsidRPr="00654F9A">
        <w:rPr>
          <w:rFonts w:ascii="Book Antiqua" w:hAnsi="Book Antiqua"/>
        </w:rPr>
        <w:t>EPS</w:t>
      </w:r>
      <w:r w:rsidR="00B52755" w:rsidRPr="00654F9A">
        <w:rPr>
          <w:rFonts w:ascii="Book Antiqua" w:hAnsi="Book Antiqua"/>
          <w:lang w:eastAsia="zh-CN"/>
        </w:rPr>
        <w:t xml:space="preserve">: </w:t>
      </w:r>
      <w:r w:rsidR="00B52755" w:rsidRPr="00654F9A">
        <w:rPr>
          <w:rFonts w:ascii="Book Antiqua" w:hAnsi="Book Antiqua" w:cs="Book Antiqua"/>
          <w:color w:val="000000"/>
          <w:lang w:eastAsia="zh-CN"/>
        </w:rPr>
        <w:t>E</w:t>
      </w:r>
      <w:r w:rsidR="00B52755" w:rsidRPr="00654F9A">
        <w:rPr>
          <w:rFonts w:ascii="Book Antiqua" w:eastAsia="Book Antiqua" w:hAnsi="Book Antiqua" w:cs="Book Antiqua"/>
          <w:color w:val="000000"/>
        </w:rPr>
        <w:t>pigastric pain syndrome</w:t>
      </w:r>
      <w:r w:rsidR="00B52755" w:rsidRPr="00654F9A">
        <w:rPr>
          <w:rFonts w:ascii="Book Antiqua" w:hAnsi="Book Antiqua" w:cs="Book Antiqua"/>
          <w:color w:val="000000"/>
          <w:lang w:eastAsia="zh-CN"/>
        </w:rPr>
        <w:t>;</w:t>
      </w:r>
      <w:r w:rsidR="00B52755" w:rsidRPr="00654F9A">
        <w:rPr>
          <w:rFonts w:ascii="Book Antiqua" w:eastAsia="Book Antiqua" w:hAnsi="Book Antiqua" w:cs="Book Antiqua"/>
          <w:color w:val="000000"/>
        </w:rPr>
        <w:t xml:space="preserve"> </w:t>
      </w:r>
      <w:r w:rsidRPr="00654F9A">
        <w:rPr>
          <w:rFonts w:ascii="Book Antiqua" w:eastAsia="Book Antiqua" w:hAnsi="Book Antiqua" w:cs="Book Antiqua"/>
          <w:i/>
          <w:iCs/>
          <w:color w:val="000000"/>
        </w:rPr>
        <w:t>H. pylori</w:t>
      </w:r>
      <w:r w:rsidRPr="00654F9A">
        <w:rPr>
          <w:rFonts w:ascii="Book Antiqua" w:hAnsi="Book Antiqua" w:cs="Book Antiqua"/>
          <w:iCs/>
          <w:color w:val="000000"/>
          <w:lang w:eastAsia="zh-CN"/>
        </w:rPr>
        <w:t>:</w:t>
      </w:r>
      <w:r w:rsidRPr="00654F9A">
        <w:rPr>
          <w:rFonts w:ascii="Book Antiqua" w:eastAsia="Book Antiqua" w:hAnsi="Book Antiqua" w:cs="Book Antiqua"/>
          <w:i/>
          <w:iCs/>
          <w:color w:val="000000"/>
        </w:rPr>
        <w:t xml:space="preserve"> </w:t>
      </w:r>
      <w:bookmarkStart w:id="93" w:name="OLE_LINK281"/>
      <w:bookmarkStart w:id="94" w:name="OLE_LINK282"/>
      <w:r w:rsidRPr="00654F9A">
        <w:rPr>
          <w:rFonts w:ascii="Book Antiqua" w:eastAsia="Book Antiqua" w:hAnsi="Book Antiqua" w:cs="Book Antiqua"/>
          <w:i/>
          <w:iCs/>
          <w:color w:val="000000"/>
        </w:rPr>
        <w:t>Helicobacter pylori</w:t>
      </w:r>
      <w:bookmarkEnd w:id="93"/>
      <w:bookmarkEnd w:id="94"/>
      <w:r w:rsidRPr="00654F9A">
        <w:rPr>
          <w:rFonts w:ascii="Book Antiqua" w:hAnsi="Book Antiqua" w:cs="Book Antiqua"/>
          <w:iCs/>
          <w:color w:val="000000"/>
          <w:lang w:eastAsia="zh-CN"/>
        </w:rPr>
        <w:t>;</w:t>
      </w:r>
      <w:bookmarkEnd w:id="91"/>
      <w:r w:rsidRPr="00654F9A">
        <w:rPr>
          <w:rFonts w:ascii="Book Antiqua" w:hAnsi="Book Antiqua" w:cs="Book Antiqua"/>
          <w:iCs/>
          <w:color w:val="000000"/>
          <w:lang w:eastAsia="zh-CN"/>
        </w:rPr>
        <w:t xml:space="preserve"> </w:t>
      </w:r>
      <w:r w:rsidRPr="00654F9A">
        <w:rPr>
          <w:rFonts w:ascii="Book Antiqua" w:hAnsi="Book Antiqua"/>
        </w:rPr>
        <w:t>PDS</w:t>
      </w:r>
      <w:r w:rsidRPr="00654F9A">
        <w:rPr>
          <w:rFonts w:ascii="Book Antiqua" w:hAnsi="Book Antiqua"/>
          <w:lang w:eastAsia="zh-CN"/>
        </w:rPr>
        <w:t xml:space="preserve">: </w:t>
      </w:r>
      <w:r w:rsidRPr="00654F9A">
        <w:rPr>
          <w:rFonts w:ascii="Book Antiqua" w:hAnsi="Book Antiqua" w:cs="Book Antiqua"/>
          <w:color w:val="000000"/>
          <w:lang w:eastAsia="zh-CN"/>
        </w:rPr>
        <w:t>P</w:t>
      </w:r>
      <w:r w:rsidRPr="00654F9A">
        <w:rPr>
          <w:rFonts w:ascii="Book Antiqua" w:eastAsia="Book Antiqua" w:hAnsi="Book Antiqua" w:cs="Book Antiqua"/>
          <w:color w:val="000000"/>
        </w:rPr>
        <w:t>ostprandial distress syndrome</w:t>
      </w:r>
      <w:r w:rsidRPr="00654F9A">
        <w:rPr>
          <w:rFonts w:ascii="Book Antiqua" w:hAnsi="Book Antiqua"/>
          <w:b/>
          <w:lang w:eastAsia="zh-CN"/>
        </w:rPr>
        <w:t>.</w:t>
      </w:r>
    </w:p>
    <w:p w14:paraId="7BD3A88A" w14:textId="77777777" w:rsidR="000E41B3" w:rsidRPr="00654F9A" w:rsidRDefault="000E41B3" w:rsidP="000E41B3">
      <w:pPr>
        <w:adjustRightInd w:val="0"/>
        <w:snapToGrid w:val="0"/>
        <w:spacing w:line="360" w:lineRule="auto"/>
        <w:jc w:val="both"/>
        <w:rPr>
          <w:rFonts w:ascii="Book Antiqua" w:eastAsia="Book Antiqua" w:hAnsi="Book Antiqua" w:cs="Book Antiqua"/>
          <w:color w:val="000000"/>
        </w:rPr>
      </w:pPr>
      <w:r w:rsidRPr="00654F9A">
        <w:rPr>
          <w:rFonts w:ascii="Book Antiqua" w:hAnsi="Book Antiqua"/>
          <w:b/>
        </w:rPr>
        <w:br w:type="page"/>
        <w:t>Table 3</w:t>
      </w:r>
      <w:r w:rsidRPr="00654F9A">
        <w:rPr>
          <w:rFonts w:ascii="Book Antiqua" w:hAnsi="Book Antiqua"/>
        </w:rPr>
        <w:t xml:space="preserve"> </w:t>
      </w:r>
      <w:r w:rsidRPr="00654F9A">
        <w:rPr>
          <w:rFonts w:ascii="Book Antiqua" w:hAnsi="Book Antiqua"/>
          <w:b/>
        </w:rPr>
        <w:t>Endoscopic findings in in dyspepsia patients with no warning features</w:t>
      </w:r>
    </w:p>
    <w:tbl>
      <w:tblPr>
        <w:tblStyle w:val="a7"/>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163"/>
        <w:gridCol w:w="4013"/>
      </w:tblGrid>
      <w:tr w:rsidR="000E41B3" w:rsidRPr="00654F9A" w14:paraId="15209121" w14:textId="77777777" w:rsidTr="000E41B3">
        <w:trPr>
          <w:jc w:val="center"/>
        </w:trPr>
        <w:tc>
          <w:tcPr>
            <w:tcW w:w="3477" w:type="pct"/>
            <w:tcBorders>
              <w:top w:val="single" w:sz="12" w:space="0" w:color="auto"/>
              <w:bottom w:val="single" w:sz="4" w:space="0" w:color="auto"/>
            </w:tcBorders>
          </w:tcPr>
          <w:p w14:paraId="01F5B939" w14:textId="7777777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rPr>
              <w:t xml:space="preserve">Endoscopic </w:t>
            </w:r>
            <w:r w:rsidR="004C700B" w:rsidRPr="00654F9A">
              <w:rPr>
                <w:rFonts w:ascii="Book Antiqua" w:hAnsi="Book Antiqua" w:cs="Times New Roman"/>
                <w:b/>
              </w:rPr>
              <w:t>diagnosis</w:t>
            </w:r>
          </w:p>
        </w:tc>
        <w:tc>
          <w:tcPr>
            <w:tcW w:w="1523" w:type="pct"/>
            <w:tcBorders>
              <w:top w:val="single" w:sz="12" w:space="0" w:color="auto"/>
              <w:bottom w:val="single" w:sz="4" w:space="0" w:color="auto"/>
            </w:tcBorders>
          </w:tcPr>
          <w:p w14:paraId="4ACF7DF9" w14:textId="7777777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
                <w:iCs/>
              </w:rPr>
              <w:t>n</w:t>
            </w:r>
            <w:r w:rsidRPr="00654F9A">
              <w:rPr>
                <w:rFonts w:ascii="Book Antiqua" w:hAnsi="Book Antiqua" w:cs="Times New Roman"/>
                <w:b/>
              </w:rPr>
              <w:t xml:space="preserve"> (%)</w:t>
            </w:r>
          </w:p>
        </w:tc>
      </w:tr>
      <w:tr w:rsidR="000E41B3" w:rsidRPr="00654F9A" w14:paraId="095362A4" w14:textId="77777777" w:rsidTr="000E41B3">
        <w:trPr>
          <w:jc w:val="center"/>
        </w:trPr>
        <w:tc>
          <w:tcPr>
            <w:tcW w:w="3477" w:type="pct"/>
            <w:tcBorders>
              <w:top w:val="single" w:sz="4" w:space="0" w:color="auto"/>
              <w:bottom w:val="nil"/>
            </w:tcBorders>
          </w:tcPr>
          <w:p w14:paraId="1D6C5709"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General lesions</w:t>
            </w:r>
          </w:p>
        </w:tc>
        <w:tc>
          <w:tcPr>
            <w:tcW w:w="1523" w:type="pct"/>
            <w:tcBorders>
              <w:top w:val="single" w:sz="4" w:space="0" w:color="auto"/>
              <w:bottom w:val="nil"/>
            </w:tcBorders>
          </w:tcPr>
          <w:p w14:paraId="6053C903" w14:textId="4A8CFA2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712 (70.1)</w:t>
            </w:r>
          </w:p>
        </w:tc>
      </w:tr>
      <w:tr w:rsidR="000E41B3" w:rsidRPr="00654F9A" w14:paraId="2B73A278" w14:textId="77777777" w:rsidTr="000E41B3">
        <w:trPr>
          <w:jc w:val="center"/>
        </w:trPr>
        <w:tc>
          <w:tcPr>
            <w:tcW w:w="3477" w:type="pct"/>
            <w:tcBorders>
              <w:top w:val="nil"/>
              <w:bottom w:val="nil"/>
            </w:tcBorders>
          </w:tcPr>
          <w:p w14:paraId="5EFBEC4B" w14:textId="77777777" w:rsidR="000E41B3" w:rsidRPr="00654F9A" w:rsidRDefault="000E41B3" w:rsidP="000E41B3">
            <w:pPr>
              <w:adjustRightInd w:val="0"/>
              <w:snapToGrid w:val="0"/>
              <w:spacing w:line="360" w:lineRule="auto"/>
              <w:ind w:leftChars="100" w:left="240"/>
              <w:jc w:val="both"/>
              <w:rPr>
                <w:rFonts w:ascii="Book Antiqua" w:hAnsi="Book Antiqua"/>
              </w:rPr>
            </w:pPr>
            <w:r w:rsidRPr="00654F9A">
              <w:rPr>
                <w:rFonts w:ascii="Book Antiqua" w:hAnsi="Book Antiqua" w:cs="Times New Roman"/>
              </w:rPr>
              <w:t>Chronic superficial gastritis</w:t>
            </w:r>
          </w:p>
        </w:tc>
        <w:tc>
          <w:tcPr>
            <w:tcW w:w="1523" w:type="pct"/>
            <w:tcBorders>
              <w:top w:val="nil"/>
              <w:bottom w:val="nil"/>
            </w:tcBorders>
          </w:tcPr>
          <w:p w14:paraId="01A4D45D" w14:textId="1D659864"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479 (47.1)</w:t>
            </w:r>
          </w:p>
        </w:tc>
      </w:tr>
      <w:tr w:rsidR="000E41B3" w:rsidRPr="00654F9A" w14:paraId="38FA0715" w14:textId="77777777" w:rsidTr="000E41B3">
        <w:trPr>
          <w:jc w:val="center"/>
        </w:trPr>
        <w:tc>
          <w:tcPr>
            <w:tcW w:w="3477" w:type="pct"/>
            <w:tcBorders>
              <w:top w:val="nil"/>
              <w:bottom w:val="nil"/>
            </w:tcBorders>
          </w:tcPr>
          <w:p w14:paraId="0E2C8F4B" w14:textId="77777777" w:rsidR="000E41B3" w:rsidRPr="00654F9A" w:rsidRDefault="000E41B3" w:rsidP="000E41B3">
            <w:pPr>
              <w:adjustRightInd w:val="0"/>
              <w:snapToGrid w:val="0"/>
              <w:spacing w:line="360" w:lineRule="auto"/>
              <w:ind w:leftChars="100" w:left="240"/>
              <w:jc w:val="both"/>
              <w:rPr>
                <w:rFonts w:ascii="Book Antiqua" w:hAnsi="Book Antiqua"/>
              </w:rPr>
            </w:pPr>
            <w:r w:rsidRPr="00654F9A">
              <w:rPr>
                <w:rFonts w:ascii="Book Antiqua" w:hAnsi="Book Antiqua" w:cs="Times New Roman"/>
              </w:rPr>
              <w:t>Chronic atrophic gastritis</w:t>
            </w:r>
          </w:p>
        </w:tc>
        <w:tc>
          <w:tcPr>
            <w:tcW w:w="1523" w:type="pct"/>
            <w:tcBorders>
              <w:top w:val="nil"/>
              <w:bottom w:val="nil"/>
            </w:tcBorders>
          </w:tcPr>
          <w:p w14:paraId="5E81E9FA" w14:textId="5D93EF38"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233 (22.9)</w:t>
            </w:r>
          </w:p>
        </w:tc>
      </w:tr>
      <w:tr w:rsidR="000E41B3" w:rsidRPr="00654F9A" w14:paraId="28F1B22D" w14:textId="77777777" w:rsidTr="000E41B3">
        <w:trPr>
          <w:jc w:val="center"/>
        </w:trPr>
        <w:tc>
          <w:tcPr>
            <w:tcW w:w="3477" w:type="pct"/>
            <w:tcBorders>
              <w:top w:val="nil"/>
              <w:bottom w:val="nil"/>
            </w:tcBorders>
          </w:tcPr>
          <w:p w14:paraId="6AEE77F5"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Clinically significant findings</w:t>
            </w:r>
          </w:p>
        </w:tc>
        <w:tc>
          <w:tcPr>
            <w:tcW w:w="1523" w:type="pct"/>
            <w:tcBorders>
              <w:top w:val="nil"/>
              <w:bottom w:val="nil"/>
            </w:tcBorders>
          </w:tcPr>
          <w:p w14:paraId="597CEF35" w14:textId="0F4D2EB5"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304 (29.9)</w:t>
            </w:r>
          </w:p>
        </w:tc>
      </w:tr>
      <w:tr w:rsidR="000E41B3" w:rsidRPr="00654F9A" w14:paraId="48140869" w14:textId="77777777" w:rsidTr="000E41B3">
        <w:trPr>
          <w:jc w:val="center"/>
        </w:trPr>
        <w:tc>
          <w:tcPr>
            <w:tcW w:w="3477" w:type="pct"/>
            <w:tcBorders>
              <w:top w:val="nil"/>
              <w:bottom w:val="nil"/>
            </w:tcBorders>
          </w:tcPr>
          <w:p w14:paraId="5B4D2DBB" w14:textId="77777777" w:rsidR="000E41B3" w:rsidRPr="00654F9A" w:rsidRDefault="000E41B3" w:rsidP="000E41B3">
            <w:pPr>
              <w:adjustRightInd w:val="0"/>
              <w:snapToGrid w:val="0"/>
              <w:spacing w:line="360" w:lineRule="auto"/>
              <w:ind w:leftChars="100" w:left="240"/>
              <w:jc w:val="both"/>
              <w:rPr>
                <w:rFonts w:ascii="Book Antiqua" w:hAnsi="Book Antiqua" w:cs="Times New Roman"/>
              </w:rPr>
            </w:pPr>
            <w:r w:rsidRPr="00654F9A">
              <w:rPr>
                <w:rFonts w:ascii="Book Antiqua" w:hAnsi="Book Antiqua" w:cs="Times New Roman"/>
              </w:rPr>
              <w:t>Esophageal lesions</w:t>
            </w:r>
          </w:p>
        </w:tc>
        <w:tc>
          <w:tcPr>
            <w:tcW w:w="1523" w:type="pct"/>
            <w:tcBorders>
              <w:top w:val="nil"/>
              <w:bottom w:val="nil"/>
            </w:tcBorders>
          </w:tcPr>
          <w:p w14:paraId="3AE0406A" w14:textId="1F0596CB"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180</w:t>
            </w:r>
            <w:r w:rsidR="004C700B" w:rsidRPr="00654F9A">
              <w:rPr>
                <w:rFonts w:ascii="Book Antiqua" w:hAnsi="Book Antiqua" w:cs="Times New Roman"/>
              </w:rPr>
              <w:t xml:space="preserve"> </w:t>
            </w:r>
            <w:r w:rsidRPr="00654F9A">
              <w:rPr>
                <w:rFonts w:ascii="Book Antiqua" w:hAnsi="Book Antiqua" w:cs="Times New Roman"/>
              </w:rPr>
              <w:t>(17.7)</w:t>
            </w:r>
          </w:p>
        </w:tc>
      </w:tr>
      <w:tr w:rsidR="000E41B3" w:rsidRPr="00654F9A" w14:paraId="181021FD" w14:textId="77777777" w:rsidTr="000E41B3">
        <w:trPr>
          <w:jc w:val="center"/>
        </w:trPr>
        <w:tc>
          <w:tcPr>
            <w:tcW w:w="3477" w:type="pct"/>
            <w:tcBorders>
              <w:top w:val="nil"/>
              <w:bottom w:val="nil"/>
            </w:tcBorders>
          </w:tcPr>
          <w:p w14:paraId="43937F2F" w14:textId="77777777" w:rsidR="000E41B3" w:rsidRPr="00654F9A" w:rsidRDefault="000E41B3" w:rsidP="000E41B3">
            <w:pPr>
              <w:adjustRightInd w:val="0"/>
              <w:snapToGrid w:val="0"/>
              <w:spacing w:line="360" w:lineRule="auto"/>
              <w:ind w:leftChars="200" w:left="480"/>
              <w:jc w:val="both"/>
              <w:rPr>
                <w:rFonts w:ascii="Book Antiqua" w:hAnsi="Book Antiqua" w:cs="Times New Roman"/>
              </w:rPr>
            </w:pPr>
            <w:r w:rsidRPr="00654F9A">
              <w:rPr>
                <w:rFonts w:ascii="Book Antiqua" w:hAnsi="Book Antiqua" w:cs="Times New Roman"/>
              </w:rPr>
              <w:t>Reflux esophagitis</w:t>
            </w:r>
          </w:p>
        </w:tc>
        <w:tc>
          <w:tcPr>
            <w:tcW w:w="1523" w:type="pct"/>
            <w:tcBorders>
              <w:top w:val="nil"/>
              <w:bottom w:val="nil"/>
            </w:tcBorders>
          </w:tcPr>
          <w:p w14:paraId="0C82FC27" w14:textId="3476B6B3"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165 (16.2)</w:t>
            </w:r>
          </w:p>
        </w:tc>
      </w:tr>
      <w:tr w:rsidR="000E41B3" w:rsidRPr="00654F9A" w14:paraId="6118D5CE" w14:textId="77777777" w:rsidTr="000E41B3">
        <w:trPr>
          <w:jc w:val="center"/>
        </w:trPr>
        <w:tc>
          <w:tcPr>
            <w:tcW w:w="3477" w:type="pct"/>
            <w:tcBorders>
              <w:top w:val="nil"/>
              <w:bottom w:val="nil"/>
            </w:tcBorders>
          </w:tcPr>
          <w:p w14:paraId="3DF494C4" w14:textId="77777777" w:rsidR="000E41B3" w:rsidRPr="00654F9A" w:rsidRDefault="000E41B3" w:rsidP="000E41B3">
            <w:pPr>
              <w:adjustRightInd w:val="0"/>
              <w:snapToGrid w:val="0"/>
              <w:spacing w:line="360" w:lineRule="auto"/>
              <w:ind w:leftChars="300" w:left="720"/>
              <w:jc w:val="both"/>
              <w:rPr>
                <w:rFonts w:ascii="Book Antiqua" w:hAnsi="Book Antiqua"/>
              </w:rPr>
            </w:pPr>
            <w:r w:rsidRPr="00654F9A">
              <w:rPr>
                <w:rFonts w:ascii="Book Antiqua" w:hAnsi="Book Antiqua" w:cs="Times New Roman"/>
              </w:rPr>
              <w:t>Los Angeles class A</w:t>
            </w:r>
          </w:p>
        </w:tc>
        <w:tc>
          <w:tcPr>
            <w:tcW w:w="1523" w:type="pct"/>
            <w:tcBorders>
              <w:top w:val="nil"/>
              <w:bottom w:val="nil"/>
            </w:tcBorders>
          </w:tcPr>
          <w:p w14:paraId="6AFC0355" w14:textId="494BB968"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148 (14.6)</w:t>
            </w:r>
          </w:p>
        </w:tc>
      </w:tr>
      <w:tr w:rsidR="000E41B3" w:rsidRPr="00654F9A" w14:paraId="1310D075" w14:textId="77777777" w:rsidTr="000E41B3">
        <w:trPr>
          <w:jc w:val="center"/>
        </w:trPr>
        <w:tc>
          <w:tcPr>
            <w:tcW w:w="3477" w:type="pct"/>
            <w:tcBorders>
              <w:top w:val="nil"/>
            </w:tcBorders>
          </w:tcPr>
          <w:p w14:paraId="10CF187B" w14:textId="77777777" w:rsidR="000E41B3" w:rsidRPr="00654F9A" w:rsidRDefault="000E41B3" w:rsidP="000E41B3">
            <w:pPr>
              <w:adjustRightInd w:val="0"/>
              <w:snapToGrid w:val="0"/>
              <w:spacing w:line="360" w:lineRule="auto"/>
              <w:ind w:leftChars="300" w:left="720"/>
              <w:jc w:val="both"/>
              <w:rPr>
                <w:rFonts w:ascii="Book Antiqua" w:hAnsi="Book Antiqua"/>
              </w:rPr>
            </w:pPr>
            <w:r w:rsidRPr="00654F9A">
              <w:rPr>
                <w:rFonts w:ascii="Book Antiqua" w:hAnsi="Book Antiqua" w:cs="Times New Roman"/>
              </w:rPr>
              <w:t>Los Angeles classes B and C</w:t>
            </w:r>
          </w:p>
        </w:tc>
        <w:tc>
          <w:tcPr>
            <w:tcW w:w="1523" w:type="pct"/>
            <w:tcBorders>
              <w:top w:val="nil"/>
            </w:tcBorders>
          </w:tcPr>
          <w:p w14:paraId="73EAD596" w14:textId="7914B673"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17 (1.7)</w:t>
            </w:r>
          </w:p>
        </w:tc>
      </w:tr>
      <w:tr w:rsidR="000E41B3" w:rsidRPr="00654F9A" w14:paraId="4C6A018D" w14:textId="77777777" w:rsidTr="000E41B3">
        <w:trPr>
          <w:jc w:val="center"/>
        </w:trPr>
        <w:tc>
          <w:tcPr>
            <w:tcW w:w="3477" w:type="pct"/>
            <w:tcBorders>
              <w:top w:val="nil"/>
            </w:tcBorders>
          </w:tcPr>
          <w:p w14:paraId="0719E0D0" w14:textId="4D4FC3FA" w:rsidR="000E41B3" w:rsidRPr="00654F9A" w:rsidRDefault="0084043C" w:rsidP="000E41B3">
            <w:pPr>
              <w:adjustRightInd w:val="0"/>
              <w:snapToGrid w:val="0"/>
              <w:spacing w:line="360" w:lineRule="auto"/>
              <w:ind w:leftChars="200" w:left="480"/>
              <w:jc w:val="both"/>
              <w:rPr>
                <w:rFonts w:ascii="Book Antiqua" w:hAnsi="Book Antiqua"/>
              </w:rPr>
            </w:pPr>
            <w:r w:rsidRPr="00654F9A">
              <w:rPr>
                <w:rFonts w:ascii="Book Antiqua" w:hAnsi="Book Antiqua" w:cs="Times New Roman"/>
              </w:rPr>
              <w:t>Barrett</w:t>
            </w:r>
            <w:r w:rsidR="00481DE7">
              <w:rPr>
                <w:rFonts w:ascii="Book Antiqua" w:hAnsi="Book Antiqua" w:cs="Times New Roman"/>
              </w:rPr>
              <w:t>’</w:t>
            </w:r>
            <w:r w:rsidRPr="00654F9A">
              <w:rPr>
                <w:rFonts w:ascii="Book Antiqua" w:hAnsi="Book Antiqua" w:cs="Times New Roman"/>
              </w:rPr>
              <w:t xml:space="preserve">s </w:t>
            </w:r>
            <w:r w:rsidR="000E41B3" w:rsidRPr="00654F9A">
              <w:rPr>
                <w:rFonts w:ascii="Book Antiqua" w:hAnsi="Book Antiqua" w:cs="Times New Roman"/>
              </w:rPr>
              <w:t>esophagus</w:t>
            </w:r>
          </w:p>
        </w:tc>
        <w:tc>
          <w:tcPr>
            <w:tcW w:w="1523" w:type="pct"/>
            <w:tcBorders>
              <w:top w:val="nil"/>
            </w:tcBorders>
          </w:tcPr>
          <w:p w14:paraId="06D249E8" w14:textId="081E2FFB"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5 (0.</w:t>
            </w:r>
            <w:r w:rsidR="008C3592">
              <w:rPr>
                <w:rFonts w:ascii="Book Antiqua" w:hAnsi="Book Antiqua" w:cs="Times New Roman"/>
              </w:rPr>
              <w:t>5</w:t>
            </w:r>
            <w:r w:rsidRPr="00654F9A">
              <w:rPr>
                <w:rFonts w:ascii="Book Antiqua" w:hAnsi="Book Antiqua" w:cs="Times New Roman"/>
              </w:rPr>
              <w:t>)</w:t>
            </w:r>
          </w:p>
        </w:tc>
      </w:tr>
      <w:tr w:rsidR="000E41B3" w:rsidRPr="00654F9A" w14:paraId="60B0C85D" w14:textId="77777777" w:rsidTr="000E41B3">
        <w:trPr>
          <w:jc w:val="center"/>
        </w:trPr>
        <w:tc>
          <w:tcPr>
            <w:tcW w:w="3477" w:type="pct"/>
            <w:tcBorders>
              <w:top w:val="nil"/>
            </w:tcBorders>
          </w:tcPr>
          <w:p w14:paraId="19CA67E0" w14:textId="77777777" w:rsidR="000E41B3" w:rsidRPr="00654F9A" w:rsidRDefault="000E41B3" w:rsidP="000E41B3">
            <w:pPr>
              <w:adjustRightInd w:val="0"/>
              <w:snapToGrid w:val="0"/>
              <w:spacing w:line="360" w:lineRule="auto"/>
              <w:ind w:leftChars="200" w:left="480"/>
              <w:jc w:val="both"/>
              <w:rPr>
                <w:rFonts w:ascii="Book Antiqua" w:hAnsi="Book Antiqua"/>
              </w:rPr>
            </w:pPr>
            <w:r w:rsidRPr="00654F9A">
              <w:rPr>
                <w:rFonts w:ascii="Book Antiqua" w:hAnsi="Book Antiqua" w:cs="Times New Roman"/>
              </w:rPr>
              <w:t>Other esophageal lesions</w:t>
            </w:r>
          </w:p>
        </w:tc>
        <w:tc>
          <w:tcPr>
            <w:tcW w:w="1523" w:type="pct"/>
            <w:tcBorders>
              <w:top w:val="nil"/>
            </w:tcBorders>
          </w:tcPr>
          <w:p w14:paraId="04FFB433" w14:textId="092361B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10 (</w:t>
            </w:r>
            <w:r w:rsidR="008C3592">
              <w:rPr>
                <w:rFonts w:ascii="Book Antiqua" w:hAnsi="Book Antiqua" w:cs="Times New Roman"/>
              </w:rPr>
              <w:t>1.0</w:t>
            </w:r>
            <w:r w:rsidRPr="00654F9A">
              <w:rPr>
                <w:rFonts w:ascii="Book Antiqua" w:hAnsi="Book Antiqua" w:cs="Times New Roman"/>
              </w:rPr>
              <w:t>)</w:t>
            </w:r>
          </w:p>
        </w:tc>
      </w:tr>
      <w:tr w:rsidR="000E41B3" w:rsidRPr="00654F9A" w14:paraId="6D846139" w14:textId="77777777" w:rsidTr="000E41B3">
        <w:trPr>
          <w:jc w:val="center"/>
        </w:trPr>
        <w:tc>
          <w:tcPr>
            <w:tcW w:w="3477" w:type="pct"/>
            <w:tcBorders>
              <w:top w:val="nil"/>
            </w:tcBorders>
          </w:tcPr>
          <w:p w14:paraId="79038EB1" w14:textId="77777777" w:rsidR="000E41B3" w:rsidRPr="00654F9A" w:rsidRDefault="000E41B3" w:rsidP="000E41B3">
            <w:pPr>
              <w:adjustRightInd w:val="0"/>
              <w:snapToGrid w:val="0"/>
              <w:spacing w:line="360" w:lineRule="auto"/>
              <w:ind w:leftChars="100" w:left="240"/>
              <w:jc w:val="both"/>
              <w:rPr>
                <w:rFonts w:ascii="Book Antiqua" w:hAnsi="Book Antiqua"/>
              </w:rPr>
            </w:pPr>
            <w:r w:rsidRPr="00654F9A">
              <w:rPr>
                <w:rFonts w:ascii="Book Antiqua" w:hAnsi="Book Antiqua" w:cs="Times New Roman"/>
              </w:rPr>
              <w:t>Peptic ulcer</w:t>
            </w:r>
          </w:p>
        </w:tc>
        <w:tc>
          <w:tcPr>
            <w:tcW w:w="1523" w:type="pct"/>
            <w:tcBorders>
              <w:top w:val="nil"/>
            </w:tcBorders>
          </w:tcPr>
          <w:p w14:paraId="1886269F" w14:textId="5663F733"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115 (11.3)</w:t>
            </w:r>
          </w:p>
        </w:tc>
      </w:tr>
      <w:tr w:rsidR="000E41B3" w:rsidRPr="00654F9A" w14:paraId="09596DFB" w14:textId="77777777" w:rsidTr="000E41B3">
        <w:trPr>
          <w:jc w:val="center"/>
        </w:trPr>
        <w:tc>
          <w:tcPr>
            <w:tcW w:w="3477" w:type="pct"/>
            <w:tcBorders>
              <w:top w:val="nil"/>
            </w:tcBorders>
          </w:tcPr>
          <w:p w14:paraId="0A92C225" w14:textId="77777777" w:rsidR="000E41B3" w:rsidRPr="00654F9A" w:rsidRDefault="000E41B3" w:rsidP="000E41B3">
            <w:pPr>
              <w:adjustRightInd w:val="0"/>
              <w:snapToGrid w:val="0"/>
              <w:spacing w:line="360" w:lineRule="auto"/>
              <w:ind w:leftChars="200" w:left="480"/>
              <w:jc w:val="both"/>
              <w:rPr>
                <w:rFonts w:ascii="Book Antiqua" w:hAnsi="Book Antiqua"/>
              </w:rPr>
            </w:pPr>
            <w:r w:rsidRPr="00654F9A">
              <w:rPr>
                <w:rFonts w:ascii="Book Antiqua" w:hAnsi="Book Antiqua" w:cs="Times New Roman"/>
              </w:rPr>
              <w:t>Gastric ulcer</w:t>
            </w:r>
          </w:p>
        </w:tc>
        <w:tc>
          <w:tcPr>
            <w:tcW w:w="1523" w:type="pct"/>
            <w:tcBorders>
              <w:top w:val="nil"/>
            </w:tcBorders>
          </w:tcPr>
          <w:p w14:paraId="3B2EB16D" w14:textId="540F504B"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49 (4.8)</w:t>
            </w:r>
          </w:p>
        </w:tc>
      </w:tr>
      <w:tr w:rsidR="000E41B3" w:rsidRPr="00654F9A" w14:paraId="41EBB2A7" w14:textId="77777777" w:rsidTr="000E41B3">
        <w:trPr>
          <w:jc w:val="center"/>
        </w:trPr>
        <w:tc>
          <w:tcPr>
            <w:tcW w:w="3477" w:type="pct"/>
            <w:tcBorders>
              <w:top w:val="nil"/>
            </w:tcBorders>
          </w:tcPr>
          <w:p w14:paraId="46DCDF52" w14:textId="77777777" w:rsidR="000E41B3" w:rsidRPr="00654F9A" w:rsidRDefault="000E41B3" w:rsidP="000E41B3">
            <w:pPr>
              <w:adjustRightInd w:val="0"/>
              <w:snapToGrid w:val="0"/>
              <w:spacing w:line="360" w:lineRule="auto"/>
              <w:ind w:leftChars="200" w:left="480"/>
              <w:jc w:val="both"/>
              <w:rPr>
                <w:rFonts w:ascii="Book Antiqua" w:hAnsi="Book Antiqua"/>
              </w:rPr>
            </w:pPr>
            <w:r w:rsidRPr="00654F9A">
              <w:rPr>
                <w:rFonts w:ascii="Book Antiqua" w:hAnsi="Book Antiqua" w:cs="Times New Roman"/>
              </w:rPr>
              <w:t>Duodenal ulcer</w:t>
            </w:r>
          </w:p>
        </w:tc>
        <w:tc>
          <w:tcPr>
            <w:tcW w:w="1523" w:type="pct"/>
            <w:tcBorders>
              <w:top w:val="nil"/>
            </w:tcBorders>
          </w:tcPr>
          <w:p w14:paraId="22701BEA" w14:textId="6A88353F"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44 (4.3)</w:t>
            </w:r>
          </w:p>
        </w:tc>
      </w:tr>
      <w:tr w:rsidR="000E41B3" w:rsidRPr="00654F9A" w14:paraId="6636515F" w14:textId="77777777" w:rsidTr="000E41B3">
        <w:trPr>
          <w:jc w:val="center"/>
        </w:trPr>
        <w:tc>
          <w:tcPr>
            <w:tcW w:w="3477" w:type="pct"/>
            <w:tcBorders>
              <w:top w:val="nil"/>
            </w:tcBorders>
          </w:tcPr>
          <w:p w14:paraId="0A3197EC" w14:textId="77777777" w:rsidR="000E41B3" w:rsidRPr="00654F9A" w:rsidRDefault="000E41B3" w:rsidP="000E41B3">
            <w:pPr>
              <w:adjustRightInd w:val="0"/>
              <w:snapToGrid w:val="0"/>
              <w:spacing w:line="360" w:lineRule="auto"/>
              <w:ind w:leftChars="200" w:left="480"/>
              <w:jc w:val="both"/>
              <w:rPr>
                <w:rFonts w:ascii="Book Antiqua" w:hAnsi="Book Antiqua"/>
              </w:rPr>
            </w:pPr>
            <w:r w:rsidRPr="00654F9A">
              <w:rPr>
                <w:rFonts w:ascii="Book Antiqua" w:hAnsi="Book Antiqua" w:cs="Times New Roman"/>
              </w:rPr>
              <w:t>Compound ulcer</w:t>
            </w:r>
          </w:p>
        </w:tc>
        <w:tc>
          <w:tcPr>
            <w:tcW w:w="1523" w:type="pct"/>
            <w:tcBorders>
              <w:top w:val="nil"/>
            </w:tcBorders>
          </w:tcPr>
          <w:p w14:paraId="2B9DF7C0" w14:textId="066F903A"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22 (2.2)</w:t>
            </w:r>
          </w:p>
        </w:tc>
      </w:tr>
      <w:tr w:rsidR="000E41B3" w:rsidRPr="00654F9A" w14:paraId="74CD6F9B" w14:textId="77777777" w:rsidTr="000E41B3">
        <w:trPr>
          <w:jc w:val="center"/>
        </w:trPr>
        <w:tc>
          <w:tcPr>
            <w:tcW w:w="3477" w:type="pct"/>
            <w:tcBorders>
              <w:top w:val="nil"/>
            </w:tcBorders>
          </w:tcPr>
          <w:p w14:paraId="4CDC946F" w14:textId="77777777" w:rsidR="000E41B3" w:rsidRPr="00654F9A" w:rsidRDefault="000E41B3" w:rsidP="000E41B3">
            <w:pPr>
              <w:adjustRightInd w:val="0"/>
              <w:snapToGrid w:val="0"/>
              <w:spacing w:line="360" w:lineRule="auto"/>
              <w:ind w:leftChars="100" w:left="240"/>
              <w:jc w:val="both"/>
              <w:rPr>
                <w:rFonts w:ascii="Book Antiqua" w:hAnsi="Book Antiqua"/>
              </w:rPr>
            </w:pPr>
            <w:r w:rsidRPr="00654F9A">
              <w:rPr>
                <w:rFonts w:ascii="Book Antiqua" w:hAnsi="Book Antiqua" w:cs="Times New Roman"/>
              </w:rPr>
              <w:t>Malignancy</w:t>
            </w:r>
          </w:p>
        </w:tc>
        <w:tc>
          <w:tcPr>
            <w:tcW w:w="1523" w:type="pct"/>
            <w:tcBorders>
              <w:top w:val="nil"/>
            </w:tcBorders>
          </w:tcPr>
          <w:p w14:paraId="453747E2" w14:textId="2D685F6E"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rPr>
              <w:t>9</w:t>
            </w:r>
            <w:r w:rsidR="004C700B" w:rsidRPr="00654F9A">
              <w:rPr>
                <w:rFonts w:ascii="Book Antiqua" w:hAnsi="Book Antiqua"/>
              </w:rPr>
              <w:t xml:space="preserve"> </w:t>
            </w:r>
            <w:r w:rsidRPr="00654F9A">
              <w:rPr>
                <w:rFonts w:ascii="Book Antiqua" w:hAnsi="Book Antiqua"/>
              </w:rPr>
              <w:t>(0.9)</w:t>
            </w:r>
          </w:p>
        </w:tc>
      </w:tr>
      <w:tr w:rsidR="000E41B3" w:rsidRPr="00654F9A" w14:paraId="12373DFF" w14:textId="77777777" w:rsidTr="000E41B3">
        <w:trPr>
          <w:jc w:val="center"/>
        </w:trPr>
        <w:tc>
          <w:tcPr>
            <w:tcW w:w="3477" w:type="pct"/>
          </w:tcPr>
          <w:p w14:paraId="083F8A98" w14:textId="77777777" w:rsidR="000E41B3" w:rsidRPr="00654F9A" w:rsidRDefault="000E41B3" w:rsidP="000E41B3">
            <w:pPr>
              <w:adjustRightInd w:val="0"/>
              <w:snapToGrid w:val="0"/>
              <w:spacing w:line="360" w:lineRule="auto"/>
              <w:ind w:leftChars="200" w:left="480"/>
              <w:jc w:val="both"/>
              <w:rPr>
                <w:rFonts w:ascii="Book Antiqua" w:hAnsi="Book Antiqua"/>
              </w:rPr>
            </w:pPr>
            <w:r w:rsidRPr="00654F9A">
              <w:rPr>
                <w:rFonts w:ascii="Book Antiqua" w:hAnsi="Book Antiqua" w:cs="Times New Roman"/>
              </w:rPr>
              <w:t>Gastric cancer</w:t>
            </w:r>
          </w:p>
        </w:tc>
        <w:tc>
          <w:tcPr>
            <w:tcW w:w="1523" w:type="pct"/>
          </w:tcPr>
          <w:p w14:paraId="08B4914F" w14:textId="1821D069"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8 (0.</w:t>
            </w:r>
            <w:r w:rsidR="008C3592">
              <w:rPr>
                <w:rFonts w:ascii="Book Antiqua" w:hAnsi="Book Antiqua" w:cs="Times New Roman"/>
              </w:rPr>
              <w:t>8</w:t>
            </w:r>
            <w:r w:rsidRPr="00654F9A">
              <w:rPr>
                <w:rFonts w:ascii="Book Antiqua" w:hAnsi="Book Antiqua" w:cs="Times New Roman"/>
              </w:rPr>
              <w:t>)</w:t>
            </w:r>
          </w:p>
        </w:tc>
      </w:tr>
      <w:tr w:rsidR="000E41B3" w:rsidRPr="00654F9A" w14:paraId="1693F9EF" w14:textId="77777777" w:rsidTr="000E41B3">
        <w:trPr>
          <w:jc w:val="center"/>
        </w:trPr>
        <w:tc>
          <w:tcPr>
            <w:tcW w:w="3477" w:type="pct"/>
          </w:tcPr>
          <w:p w14:paraId="6C521F40" w14:textId="77777777" w:rsidR="000E41B3" w:rsidRPr="00654F9A" w:rsidRDefault="000E41B3" w:rsidP="000E41B3">
            <w:pPr>
              <w:adjustRightInd w:val="0"/>
              <w:snapToGrid w:val="0"/>
              <w:spacing w:line="360" w:lineRule="auto"/>
              <w:ind w:leftChars="200" w:left="480"/>
              <w:jc w:val="both"/>
              <w:rPr>
                <w:rFonts w:ascii="Book Antiqua" w:hAnsi="Book Antiqua"/>
              </w:rPr>
            </w:pPr>
            <w:r w:rsidRPr="00654F9A">
              <w:rPr>
                <w:rFonts w:ascii="Book Antiqua" w:hAnsi="Book Antiqua" w:cs="Times New Roman"/>
              </w:rPr>
              <w:t>Esophageal cancer</w:t>
            </w:r>
          </w:p>
        </w:tc>
        <w:tc>
          <w:tcPr>
            <w:tcW w:w="1523" w:type="pct"/>
          </w:tcPr>
          <w:p w14:paraId="2585BC42" w14:textId="644510A1"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 (0.1)</w:t>
            </w:r>
          </w:p>
        </w:tc>
      </w:tr>
    </w:tbl>
    <w:p w14:paraId="45E80404" w14:textId="489BCB14" w:rsidR="000E41B3" w:rsidRPr="00654F9A" w:rsidRDefault="000E41B3" w:rsidP="000E41B3">
      <w:pPr>
        <w:adjustRightInd w:val="0"/>
        <w:snapToGrid w:val="0"/>
        <w:spacing w:line="360" w:lineRule="auto"/>
        <w:jc w:val="both"/>
        <w:rPr>
          <w:rFonts w:ascii="Book Antiqua" w:hAnsi="Book Antiqua"/>
          <w:lang w:eastAsia="zh-CN"/>
        </w:rPr>
      </w:pPr>
      <w:r w:rsidRPr="00654F9A">
        <w:rPr>
          <w:rFonts w:ascii="Book Antiqua" w:hAnsi="Book Antiqua"/>
        </w:rPr>
        <w:t xml:space="preserve">Other esophageal lesions: </w:t>
      </w:r>
      <w:r w:rsidR="003B5510" w:rsidRPr="00654F9A">
        <w:rPr>
          <w:rFonts w:ascii="Book Antiqua" w:hAnsi="Book Antiqua"/>
        </w:rPr>
        <w:t>E</w:t>
      </w:r>
      <w:r w:rsidRPr="00654F9A">
        <w:rPr>
          <w:rFonts w:ascii="Book Antiqua" w:hAnsi="Book Antiqua"/>
        </w:rPr>
        <w:t>sophageal ulcer, esophageal hiatus hernia and mycotic esophagitis</w:t>
      </w:r>
      <w:r w:rsidR="004C700B" w:rsidRPr="00654F9A">
        <w:rPr>
          <w:rFonts w:ascii="Book Antiqua" w:hAnsi="Book Antiqua"/>
          <w:lang w:eastAsia="zh-CN"/>
        </w:rPr>
        <w:t>.</w:t>
      </w:r>
    </w:p>
    <w:p w14:paraId="70EEDE26" w14:textId="77777777" w:rsidR="000E41B3" w:rsidRPr="00654F9A" w:rsidRDefault="000E41B3" w:rsidP="000E41B3">
      <w:pPr>
        <w:tabs>
          <w:tab w:val="left" w:pos="3375"/>
        </w:tabs>
        <w:adjustRightInd w:val="0"/>
        <w:snapToGrid w:val="0"/>
        <w:spacing w:line="360" w:lineRule="auto"/>
        <w:jc w:val="both"/>
        <w:rPr>
          <w:rFonts w:ascii="Book Antiqua" w:hAnsi="Book Antiqua"/>
          <w:b/>
        </w:rPr>
      </w:pPr>
      <w:r w:rsidRPr="00654F9A">
        <w:rPr>
          <w:rFonts w:ascii="Book Antiqua" w:hAnsi="Book Antiqua" w:cs="Book Antiqua"/>
          <w:color w:val="000000"/>
        </w:rPr>
        <w:br w:type="page"/>
      </w:r>
      <w:r w:rsidRPr="00654F9A">
        <w:rPr>
          <w:rFonts w:ascii="Book Antiqua" w:hAnsi="Book Antiqua"/>
          <w:b/>
        </w:rPr>
        <w:t xml:space="preserve">Table 4 Multivariate analysis of various risk factors associated with </w:t>
      </w:r>
      <w:bookmarkStart w:id="95" w:name="OLE_LINK286"/>
      <w:bookmarkStart w:id="96" w:name="OLE_LINK287"/>
      <w:r w:rsidR="00B028B6" w:rsidRPr="00654F9A">
        <w:rPr>
          <w:rFonts w:ascii="Book Antiqua" w:hAnsi="Book Antiqua" w:cs="Book Antiqua"/>
          <w:b/>
          <w:color w:val="000000"/>
          <w:lang w:eastAsia="zh-CN"/>
        </w:rPr>
        <w:t>c</w:t>
      </w:r>
      <w:r w:rsidR="00B028B6" w:rsidRPr="00654F9A">
        <w:rPr>
          <w:rFonts w:ascii="Book Antiqua" w:eastAsia="Book Antiqua" w:hAnsi="Book Antiqua" w:cs="Book Antiqua"/>
          <w:b/>
          <w:color w:val="000000"/>
        </w:rPr>
        <w:t>linically significant findings</w:t>
      </w:r>
      <w:bookmarkEnd w:id="95"/>
      <w:bookmarkEnd w:id="96"/>
    </w:p>
    <w:tbl>
      <w:tblPr>
        <w:tblStyle w:val="a7"/>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497"/>
        <w:gridCol w:w="1459"/>
        <w:gridCol w:w="1692"/>
        <w:gridCol w:w="1882"/>
        <w:gridCol w:w="1882"/>
        <w:gridCol w:w="1882"/>
        <w:gridCol w:w="1882"/>
      </w:tblGrid>
      <w:tr w:rsidR="000E41B3" w:rsidRPr="00654F9A" w14:paraId="693EFF41" w14:textId="77777777" w:rsidTr="000E41B3">
        <w:trPr>
          <w:jc w:val="center"/>
        </w:trPr>
        <w:tc>
          <w:tcPr>
            <w:tcW w:w="948" w:type="pct"/>
            <w:tcBorders>
              <w:top w:val="single" w:sz="12" w:space="0" w:color="auto"/>
              <w:bottom w:val="single" w:sz="4" w:space="0" w:color="auto"/>
            </w:tcBorders>
          </w:tcPr>
          <w:p w14:paraId="16CD49B3" w14:textId="77777777" w:rsidR="000E41B3" w:rsidRPr="00654F9A" w:rsidRDefault="00B028B6" w:rsidP="00717DC8">
            <w:pPr>
              <w:adjustRightInd w:val="0"/>
              <w:snapToGrid w:val="0"/>
              <w:spacing w:line="360" w:lineRule="auto"/>
              <w:jc w:val="both"/>
              <w:rPr>
                <w:rFonts w:ascii="Book Antiqua" w:hAnsi="Book Antiqua"/>
                <w:b/>
              </w:rPr>
            </w:pPr>
            <w:r w:rsidRPr="00654F9A">
              <w:rPr>
                <w:rFonts w:ascii="Book Antiqua" w:hAnsi="Book Antiqua" w:cs="Times New Roman"/>
                <w:b/>
              </w:rPr>
              <w:t>Risk f</w:t>
            </w:r>
            <w:r w:rsidR="000E41B3" w:rsidRPr="00654F9A">
              <w:rPr>
                <w:rFonts w:ascii="Book Antiqua" w:hAnsi="Book Antiqua" w:cs="Times New Roman"/>
                <w:b/>
              </w:rPr>
              <w:t>actors</w:t>
            </w:r>
          </w:p>
        </w:tc>
        <w:tc>
          <w:tcPr>
            <w:tcW w:w="554" w:type="pct"/>
            <w:tcBorders>
              <w:top w:val="single" w:sz="12" w:space="0" w:color="auto"/>
              <w:bottom w:val="single" w:sz="4" w:space="0" w:color="auto"/>
            </w:tcBorders>
          </w:tcPr>
          <w:p w14:paraId="5C910F19" w14:textId="7777777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rPr>
              <w:t>B value</w:t>
            </w:r>
          </w:p>
        </w:tc>
        <w:tc>
          <w:tcPr>
            <w:tcW w:w="642" w:type="pct"/>
            <w:tcBorders>
              <w:top w:val="single" w:sz="12" w:space="0" w:color="auto"/>
              <w:bottom w:val="single" w:sz="4" w:space="0" w:color="auto"/>
            </w:tcBorders>
          </w:tcPr>
          <w:p w14:paraId="43FD1F54" w14:textId="7777777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rPr>
              <w:t>SE value</w:t>
            </w:r>
          </w:p>
        </w:tc>
        <w:tc>
          <w:tcPr>
            <w:tcW w:w="714" w:type="pct"/>
            <w:tcBorders>
              <w:top w:val="single" w:sz="12" w:space="0" w:color="auto"/>
              <w:bottom w:val="single" w:sz="4" w:space="0" w:color="auto"/>
            </w:tcBorders>
          </w:tcPr>
          <w:p w14:paraId="60A7ACE9" w14:textId="7777777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Cs/>
              </w:rPr>
              <w:t>Wald value</w:t>
            </w:r>
          </w:p>
        </w:tc>
        <w:tc>
          <w:tcPr>
            <w:tcW w:w="714" w:type="pct"/>
            <w:tcBorders>
              <w:top w:val="single" w:sz="12" w:space="0" w:color="auto"/>
              <w:bottom w:val="single" w:sz="4" w:space="0" w:color="auto"/>
            </w:tcBorders>
          </w:tcPr>
          <w:p w14:paraId="1BA146DB" w14:textId="7777777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i/>
              </w:rPr>
              <w:t xml:space="preserve">P </w:t>
            </w:r>
            <w:r w:rsidRPr="00654F9A">
              <w:rPr>
                <w:rFonts w:ascii="Book Antiqua" w:hAnsi="Book Antiqua" w:cs="Times New Roman"/>
                <w:b/>
              </w:rPr>
              <w:t>value</w:t>
            </w:r>
          </w:p>
        </w:tc>
        <w:tc>
          <w:tcPr>
            <w:tcW w:w="714" w:type="pct"/>
            <w:tcBorders>
              <w:top w:val="single" w:sz="12" w:space="0" w:color="auto"/>
              <w:bottom w:val="single" w:sz="4" w:space="0" w:color="auto"/>
            </w:tcBorders>
          </w:tcPr>
          <w:p w14:paraId="1527FBBB" w14:textId="77777777" w:rsidR="000E41B3" w:rsidRPr="00654F9A" w:rsidRDefault="000E41B3" w:rsidP="00717DC8">
            <w:pPr>
              <w:adjustRightInd w:val="0"/>
              <w:snapToGrid w:val="0"/>
              <w:spacing w:line="360" w:lineRule="auto"/>
              <w:jc w:val="both"/>
              <w:rPr>
                <w:rFonts w:ascii="Book Antiqua" w:hAnsi="Book Antiqua"/>
                <w:b/>
              </w:rPr>
            </w:pPr>
            <w:r w:rsidRPr="00654F9A">
              <w:rPr>
                <w:rFonts w:ascii="Book Antiqua" w:hAnsi="Book Antiqua" w:cs="Times New Roman"/>
                <w:b/>
              </w:rPr>
              <w:t>OR value</w:t>
            </w:r>
          </w:p>
        </w:tc>
        <w:tc>
          <w:tcPr>
            <w:tcW w:w="714" w:type="pct"/>
            <w:tcBorders>
              <w:top w:val="single" w:sz="12" w:space="0" w:color="auto"/>
              <w:bottom w:val="single" w:sz="4" w:space="0" w:color="auto"/>
            </w:tcBorders>
          </w:tcPr>
          <w:p w14:paraId="39F0E2F1" w14:textId="77777777" w:rsidR="000E41B3" w:rsidRPr="00654F9A" w:rsidRDefault="00B028B6" w:rsidP="00717DC8">
            <w:pPr>
              <w:adjustRightInd w:val="0"/>
              <w:snapToGrid w:val="0"/>
              <w:spacing w:line="360" w:lineRule="auto"/>
              <w:jc w:val="both"/>
              <w:rPr>
                <w:rFonts w:ascii="Book Antiqua" w:hAnsi="Book Antiqua"/>
                <w:b/>
              </w:rPr>
            </w:pPr>
            <w:r w:rsidRPr="00654F9A">
              <w:rPr>
                <w:rFonts w:ascii="Book Antiqua" w:hAnsi="Book Antiqua" w:cs="Times New Roman"/>
                <w:b/>
              </w:rPr>
              <w:t>95%</w:t>
            </w:r>
            <w:r w:rsidR="000E41B3" w:rsidRPr="00654F9A">
              <w:rPr>
                <w:rFonts w:ascii="Book Antiqua" w:hAnsi="Book Antiqua" w:cs="Times New Roman"/>
                <w:b/>
              </w:rPr>
              <w:t>CI</w:t>
            </w:r>
          </w:p>
        </w:tc>
      </w:tr>
      <w:tr w:rsidR="000E41B3" w:rsidRPr="00654F9A" w14:paraId="7553D93D" w14:textId="77777777" w:rsidTr="000E41B3">
        <w:trPr>
          <w:jc w:val="center"/>
        </w:trPr>
        <w:tc>
          <w:tcPr>
            <w:tcW w:w="948" w:type="pct"/>
            <w:tcBorders>
              <w:top w:val="single" w:sz="4" w:space="0" w:color="auto"/>
            </w:tcBorders>
          </w:tcPr>
          <w:p w14:paraId="30D35A4C" w14:textId="25994AC1"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Gender</w:t>
            </w:r>
            <w:r w:rsidR="003B5510" w:rsidRPr="00654F9A">
              <w:rPr>
                <w:rFonts w:ascii="Book Antiqua" w:hAnsi="Book Antiqua" w:cs="Times New Roman"/>
                <w:vertAlign w:val="superscript"/>
              </w:rPr>
              <w:t>1</w:t>
            </w:r>
          </w:p>
        </w:tc>
        <w:tc>
          <w:tcPr>
            <w:tcW w:w="554" w:type="pct"/>
            <w:tcBorders>
              <w:top w:val="single" w:sz="4" w:space="0" w:color="auto"/>
            </w:tcBorders>
          </w:tcPr>
          <w:p w14:paraId="373BEEDA"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0.56</w:t>
            </w:r>
          </w:p>
        </w:tc>
        <w:tc>
          <w:tcPr>
            <w:tcW w:w="642" w:type="pct"/>
            <w:tcBorders>
              <w:top w:val="single" w:sz="4" w:space="0" w:color="auto"/>
            </w:tcBorders>
          </w:tcPr>
          <w:p w14:paraId="1146E17D"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0.15</w:t>
            </w:r>
          </w:p>
        </w:tc>
        <w:tc>
          <w:tcPr>
            <w:tcW w:w="714" w:type="pct"/>
            <w:tcBorders>
              <w:top w:val="single" w:sz="4" w:space="0" w:color="auto"/>
            </w:tcBorders>
          </w:tcPr>
          <w:p w14:paraId="6745260A"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14.27</w:t>
            </w:r>
          </w:p>
        </w:tc>
        <w:tc>
          <w:tcPr>
            <w:tcW w:w="714" w:type="pct"/>
            <w:tcBorders>
              <w:top w:val="single" w:sz="4" w:space="0" w:color="auto"/>
            </w:tcBorders>
          </w:tcPr>
          <w:p w14:paraId="62D13F39"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&lt;</w:t>
            </w:r>
            <w:r w:rsidR="00B028B6" w:rsidRPr="00654F9A">
              <w:rPr>
                <w:rFonts w:ascii="Book Antiqua" w:hAnsi="Book Antiqua" w:cs="Times New Roman"/>
              </w:rPr>
              <w:t xml:space="preserve"> </w:t>
            </w:r>
            <w:r w:rsidRPr="00654F9A">
              <w:rPr>
                <w:rFonts w:ascii="Book Antiqua" w:hAnsi="Book Antiqua" w:cs="Times New Roman"/>
              </w:rPr>
              <w:t>0.001</w:t>
            </w:r>
          </w:p>
        </w:tc>
        <w:tc>
          <w:tcPr>
            <w:tcW w:w="714" w:type="pct"/>
            <w:tcBorders>
              <w:top w:val="single" w:sz="4" w:space="0" w:color="auto"/>
            </w:tcBorders>
          </w:tcPr>
          <w:p w14:paraId="107355A3"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1.758</w:t>
            </w:r>
          </w:p>
        </w:tc>
        <w:tc>
          <w:tcPr>
            <w:tcW w:w="714" w:type="pct"/>
            <w:tcBorders>
              <w:top w:val="single" w:sz="4" w:space="0" w:color="auto"/>
            </w:tcBorders>
          </w:tcPr>
          <w:p w14:paraId="33A8FF38"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1.312-2.356</w:t>
            </w:r>
          </w:p>
        </w:tc>
      </w:tr>
      <w:tr w:rsidR="000E41B3" w:rsidRPr="00654F9A" w14:paraId="61AAE469" w14:textId="77777777" w:rsidTr="000E41B3">
        <w:trPr>
          <w:jc w:val="center"/>
        </w:trPr>
        <w:tc>
          <w:tcPr>
            <w:tcW w:w="948" w:type="pct"/>
          </w:tcPr>
          <w:p w14:paraId="2CC1E775" w14:textId="5C4A06EC"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BMI</w:t>
            </w:r>
            <w:r w:rsidR="003B5510" w:rsidRPr="00654F9A">
              <w:rPr>
                <w:rFonts w:ascii="Book Antiqua" w:hAnsi="Book Antiqua" w:cs="Times New Roman"/>
                <w:vertAlign w:val="superscript"/>
              </w:rPr>
              <w:t>2</w:t>
            </w:r>
          </w:p>
        </w:tc>
        <w:tc>
          <w:tcPr>
            <w:tcW w:w="554" w:type="pct"/>
          </w:tcPr>
          <w:p w14:paraId="25D9355E"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0.51</w:t>
            </w:r>
          </w:p>
        </w:tc>
        <w:tc>
          <w:tcPr>
            <w:tcW w:w="642" w:type="pct"/>
          </w:tcPr>
          <w:p w14:paraId="18E12407"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0.18</w:t>
            </w:r>
          </w:p>
        </w:tc>
        <w:tc>
          <w:tcPr>
            <w:tcW w:w="714" w:type="pct"/>
          </w:tcPr>
          <w:p w14:paraId="102FE1F5"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7.97</w:t>
            </w:r>
          </w:p>
        </w:tc>
        <w:tc>
          <w:tcPr>
            <w:tcW w:w="714" w:type="pct"/>
          </w:tcPr>
          <w:p w14:paraId="17FC3D70"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0.005</w:t>
            </w:r>
          </w:p>
        </w:tc>
        <w:tc>
          <w:tcPr>
            <w:tcW w:w="714" w:type="pct"/>
          </w:tcPr>
          <w:p w14:paraId="42CDA577"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1.660</w:t>
            </w:r>
          </w:p>
        </w:tc>
        <w:tc>
          <w:tcPr>
            <w:tcW w:w="714" w:type="pct"/>
          </w:tcPr>
          <w:p w14:paraId="66518D69"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1.168-2.360</w:t>
            </w:r>
          </w:p>
        </w:tc>
      </w:tr>
      <w:tr w:rsidR="000E41B3" w:rsidRPr="00654F9A" w14:paraId="612CF7E2" w14:textId="77777777" w:rsidTr="000E41B3">
        <w:trPr>
          <w:jc w:val="center"/>
        </w:trPr>
        <w:tc>
          <w:tcPr>
            <w:tcW w:w="948" w:type="pct"/>
          </w:tcPr>
          <w:p w14:paraId="7409863B" w14:textId="3235986A"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 xml:space="preserve">Epigastric </w:t>
            </w:r>
            <w:r w:rsidR="00B028B6" w:rsidRPr="00654F9A">
              <w:rPr>
                <w:rFonts w:ascii="Book Antiqua" w:hAnsi="Book Antiqua" w:cs="Times New Roman"/>
              </w:rPr>
              <w:t>pain</w:t>
            </w:r>
            <w:r w:rsidR="003B5510" w:rsidRPr="00654F9A">
              <w:rPr>
                <w:rFonts w:ascii="Book Antiqua" w:hAnsi="Book Antiqua" w:cs="Times New Roman"/>
                <w:vertAlign w:val="superscript"/>
              </w:rPr>
              <w:t>3</w:t>
            </w:r>
          </w:p>
        </w:tc>
        <w:tc>
          <w:tcPr>
            <w:tcW w:w="554" w:type="pct"/>
          </w:tcPr>
          <w:p w14:paraId="2C6F6977"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0.35</w:t>
            </w:r>
          </w:p>
        </w:tc>
        <w:tc>
          <w:tcPr>
            <w:tcW w:w="642" w:type="pct"/>
          </w:tcPr>
          <w:p w14:paraId="492DC097"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0.15</w:t>
            </w:r>
          </w:p>
        </w:tc>
        <w:tc>
          <w:tcPr>
            <w:tcW w:w="714" w:type="pct"/>
          </w:tcPr>
          <w:p w14:paraId="7B4229D5"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5.53</w:t>
            </w:r>
          </w:p>
        </w:tc>
        <w:tc>
          <w:tcPr>
            <w:tcW w:w="714" w:type="pct"/>
          </w:tcPr>
          <w:p w14:paraId="344BCD6F"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0.019</w:t>
            </w:r>
          </w:p>
        </w:tc>
        <w:tc>
          <w:tcPr>
            <w:tcW w:w="714" w:type="pct"/>
          </w:tcPr>
          <w:p w14:paraId="5B14FB4E"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1.423</w:t>
            </w:r>
          </w:p>
        </w:tc>
        <w:tc>
          <w:tcPr>
            <w:tcW w:w="714" w:type="pct"/>
          </w:tcPr>
          <w:p w14:paraId="4EF9D353"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1.060-1.909</w:t>
            </w:r>
          </w:p>
        </w:tc>
      </w:tr>
      <w:tr w:rsidR="000E41B3" w:rsidRPr="00654F9A" w14:paraId="42553991" w14:textId="77777777" w:rsidTr="000E41B3">
        <w:trPr>
          <w:jc w:val="center"/>
        </w:trPr>
        <w:tc>
          <w:tcPr>
            <w:tcW w:w="948" w:type="pct"/>
          </w:tcPr>
          <w:p w14:paraId="152E860D" w14:textId="0FC9E068"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i/>
                <w:iCs/>
              </w:rPr>
              <w:t>H. pylori</w:t>
            </w:r>
            <w:r w:rsidR="00B34AE2" w:rsidRPr="00654F9A">
              <w:rPr>
                <w:rFonts w:ascii="Book Antiqua" w:hAnsi="Book Antiqua" w:cs="Times New Roman"/>
                <w:vertAlign w:val="superscript"/>
              </w:rPr>
              <w:t>4</w:t>
            </w:r>
          </w:p>
        </w:tc>
        <w:tc>
          <w:tcPr>
            <w:tcW w:w="554" w:type="pct"/>
          </w:tcPr>
          <w:p w14:paraId="34D9583F"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0.67</w:t>
            </w:r>
          </w:p>
        </w:tc>
        <w:tc>
          <w:tcPr>
            <w:tcW w:w="642" w:type="pct"/>
          </w:tcPr>
          <w:p w14:paraId="111B3338"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1.16</w:t>
            </w:r>
          </w:p>
        </w:tc>
        <w:tc>
          <w:tcPr>
            <w:tcW w:w="714" w:type="pct"/>
          </w:tcPr>
          <w:p w14:paraId="5B88A603"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17.28</w:t>
            </w:r>
          </w:p>
        </w:tc>
        <w:tc>
          <w:tcPr>
            <w:tcW w:w="714" w:type="pct"/>
          </w:tcPr>
          <w:p w14:paraId="2455A38C"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&lt;</w:t>
            </w:r>
            <w:r w:rsidR="00B028B6" w:rsidRPr="00654F9A">
              <w:rPr>
                <w:rFonts w:ascii="Book Antiqua" w:hAnsi="Book Antiqua" w:cs="Times New Roman"/>
              </w:rPr>
              <w:t xml:space="preserve"> </w:t>
            </w:r>
            <w:r w:rsidRPr="00654F9A">
              <w:rPr>
                <w:rFonts w:ascii="Book Antiqua" w:hAnsi="Book Antiqua" w:cs="Times New Roman"/>
              </w:rPr>
              <w:t>0.001</w:t>
            </w:r>
          </w:p>
        </w:tc>
        <w:tc>
          <w:tcPr>
            <w:tcW w:w="714" w:type="pct"/>
          </w:tcPr>
          <w:p w14:paraId="046FFF44" w14:textId="77777777" w:rsidR="000E41B3" w:rsidRPr="00654F9A" w:rsidRDefault="000E41B3" w:rsidP="00717DC8">
            <w:pPr>
              <w:tabs>
                <w:tab w:val="left" w:pos="3375"/>
              </w:tabs>
              <w:adjustRightInd w:val="0"/>
              <w:snapToGrid w:val="0"/>
              <w:spacing w:line="360" w:lineRule="auto"/>
              <w:jc w:val="both"/>
              <w:rPr>
                <w:rFonts w:ascii="Book Antiqua" w:hAnsi="Book Antiqua" w:cs="Times New Roman"/>
              </w:rPr>
            </w:pPr>
            <w:r w:rsidRPr="00654F9A">
              <w:rPr>
                <w:rFonts w:ascii="Book Antiqua" w:hAnsi="Book Antiqua" w:cs="Times New Roman"/>
              </w:rPr>
              <w:t>1.949</w:t>
            </w:r>
          </w:p>
        </w:tc>
        <w:tc>
          <w:tcPr>
            <w:tcW w:w="714" w:type="pct"/>
          </w:tcPr>
          <w:p w14:paraId="57A0792B" w14:textId="77777777" w:rsidR="000E41B3" w:rsidRPr="00654F9A" w:rsidRDefault="000E41B3" w:rsidP="00717DC8">
            <w:pPr>
              <w:adjustRightInd w:val="0"/>
              <w:snapToGrid w:val="0"/>
              <w:spacing w:line="360" w:lineRule="auto"/>
              <w:jc w:val="both"/>
              <w:rPr>
                <w:rFonts w:ascii="Book Antiqua" w:hAnsi="Book Antiqua"/>
              </w:rPr>
            </w:pPr>
            <w:r w:rsidRPr="00654F9A">
              <w:rPr>
                <w:rFonts w:ascii="Book Antiqua" w:hAnsi="Book Antiqua" w:cs="Times New Roman"/>
              </w:rPr>
              <w:t>1.423-2.670</w:t>
            </w:r>
          </w:p>
        </w:tc>
      </w:tr>
    </w:tbl>
    <w:p w14:paraId="35A6791A" w14:textId="77777777" w:rsidR="005B06E9" w:rsidRDefault="003B5510" w:rsidP="000E41B3">
      <w:pPr>
        <w:tabs>
          <w:tab w:val="left" w:pos="3375"/>
        </w:tabs>
        <w:adjustRightInd w:val="0"/>
        <w:snapToGrid w:val="0"/>
        <w:spacing w:line="360" w:lineRule="auto"/>
        <w:jc w:val="both"/>
        <w:rPr>
          <w:rFonts w:ascii="Book Antiqua" w:hAnsi="Book Antiqua"/>
          <w:lang w:eastAsia="zh-CN"/>
        </w:rPr>
      </w:pPr>
      <w:r w:rsidRPr="00654F9A">
        <w:rPr>
          <w:rFonts w:ascii="Book Antiqua" w:hAnsi="Book Antiqua"/>
          <w:vertAlign w:val="superscript"/>
        </w:rPr>
        <w:t>1</w:t>
      </w:r>
      <w:r w:rsidR="00B028B6" w:rsidRPr="00654F9A">
        <w:rPr>
          <w:rFonts w:ascii="Book Antiqua" w:hAnsi="Book Antiqua"/>
          <w:lang w:eastAsia="zh-CN"/>
        </w:rPr>
        <w:t>F</w:t>
      </w:r>
      <w:r w:rsidR="00B028B6" w:rsidRPr="00654F9A">
        <w:rPr>
          <w:rFonts w:ascii="Book Antiqua" w:hAnsi="Book Antiqua"/>
        </w:rPr>
        <w:t>emale as control</w:t>
      </w:r>
      <w:r w:rsidR="005B06E9">
        <w:rPr>
          <w:rFonts w:ascii="Book Antiqua" w:hAnsi="Book Antiqua"/>
          <w:lang w:eastAsia="zh-CN"/>
        </w:rPr>
        <w:t>.</w:t>
      </w:r>
    </w:p>
    <w:p w14:paraId="5FF4E9D3" w14:textId="77777777" w:rsidR="005B06E9" w:rsidRDefault="003B5510" w:rsidP="000E41B3">
      <w:pPr>
        <w:tabs>
          <w:tab w:val="left" w:pos="3375"/>
        </w:tabs>
        <w:adjustRightInd w:val="0"/>
        <w:snapToGrid w:val="0"/>
        <w:spacing w:line="360" w:lineRule="auto"/>
        <w:jc w:val="both"/>
        <w:rPr>
          <w:rFonts w:ascii="Book Antiqua" w:hAnsi="Book Antiqua"/>
          <w:lang w:eastAsia="zh-CN"/>
        </w:rPr>
      </w:pPr>
      <w:r w:rsidRPr="00654F9A">
        <w:rPr>
          <w:rFonts w:ascii="Book Antiqua" w:hAnsi="Book Antiqua"/>
          <w:vertAlign w:val="superscript"/>
        </w:rPr>
        <w:t>2</w:t>
      </w:r>
      <w:r w:rsidR="00B028B6" w:rsidRPr="00654F9A">
        <w:rPr>
          <w:rFonts w:ascii="Book Antiqua" w:hAnsi="Book Antiqua" w:cs="Book Antiqua"/>
          <w:color w:val="000000"/>
          <w:lang w:eastAsia="zh-CN"/>
        </w:rPr>
        <w:t>B</w:t>
      </w:r>
      <w:r w:rsidR="00B028B6" w:rsidRPr="00654F9A">
        <w:rPr>
          <w:rFonts w:ascii="Book Antiqua" w:eastAsia="Book Antiqua" w:hAnsi="Book Antiqua" w:cs="Book Antiqua"/>
          <w:color w:val="000000"/>
        </w:rPr>
        <w:t>ody mass index</w:t>
      </w:r>
      <w:r w:rsidR="00B028B6" w:rsidRPr="00654F9A">
        <w:rPr>
          <w:rFonts w:ascii="Book Antiqua" w:hAnsi="Book Antiqua"/>
          <w:lang w:eastAsia="zh-CN"/>
        </w:rPr>
        <w:t xml:space="preserve"> </w:t>
      </w:r>
      <w:r w:rsidR="00B028B6" w:rsidRPr="00654F9A">
        <w:rPr>
          <w:rFonts w:ascii="Book Antiqua" w:hAnsi="Book Antiqua"/>
        </w:rPr>
        <w:t>≤ 25 as control</w:t>
      </w:r>
      <w:r w:rsidR="005B06E9">
        <w:rPr>
          <w:rFonts w:ascii="Book Antiqua" w:hAnsi="Book Antiqua"/>
          <w:lang w:eastAsia="zh-CN"/>
        </w:rPr>
        <w:t>.</w:t>
      </w:r>
    </w:p>
    <w:p w14:paraId="13ACF97F" w14:textId="77777777" w:rsidR="005B06E9" w:rsidRDefault="003B5510" w:rsidP="000E41B3">
      <w:pPr>
        <w:tabs>
          <w:tab w:val="left" w:pos="3375"/>
        </w:tabs>
        <w:adjustRightInd w:val="0"/>
        <w:snapToGrid w:val="0"/>
        <w:spacing w:line="360" w:lineRule="auto"/>
        <w:jc w:val="both"/>
        <w:rPr>
          <w:rFonts w:ascii="Book Antiqua" w:hAnsi="Book Antiqua"/>
          <w:lang w:eastAsia="zh-CN"/>
        </w:rPr>
      </w:pPr>
      <w:r w:rsidRPr="00654F9A">
        <w:rPr>
          <w:rFonts w:ascii="Book Antiqua" w:hAnsi="Book Antiqua"/>
          <w:vertAlign w:val="superscript"/>
        </w:rPr>
        <w:t>3</w:t>
      </w:r>
      <w:r w:rsidR="00B028B6" w:rsidRPr="00654F9A">
        <w:rPr>
          <w:rFonts w:ascii="Book Antiqua" w:hAnsi="Book Antiqua"/>
          <w:lang w:eastAsia="zh-CN"/>
        </w:rPr>
        <w:t>N</w:t>
      </w:r>
      <w:r w:rsidR="000E41B3" w:rsidRPr="00654F9A">
        <w:rPr>
          <w:rFonts w:ascii="Book Antiqua" w:hAnsi="Book Antiqua"/>
        </w:rPr>
        <w:t>ot</w:t>
      </w:r>
      <w:r w:rsidR="00B028B6" w:rsidRPr="00654F9A">
        <w:rPr>
          <w:rFonts w:ascii="Book Antiqua" w:hAnsi="Book Antiqua"/>
          <w:lang w:eastAsia="zh-CN"/>
        </w:rPr>
        <w:t xml:space="preserve"> </w:t>
      </w:r>
      <w:r w:rsidR="00B028B6" w:rsidRPr="00654F9A">
        <w:rPr>
          <w:rFonts w:ascii="Book Antiqua" w:hAnsi="Book Antiqua"/>
        </w:rPr>
        <w:t>occur as control</w:t>
      </w:r>
      <w:r w:rsidR="005B06E9">
        <w:rPr>
          <w:rFonts w:ascii="Book Antiqua" w:hAnsi="Book Antiqua"/>
          <w:lang w:eastAsia="zh-CN"/>
        </w:rPr>
        <w:t>.</w:t>
      </w:r>
    </w:p>
    <w:p w14:paraId="57AC0E70" w14:textId="77777777" w:rsidR="005B06E9" w:rsidRDefault="00B34AE2" w:rsidP="000E41B3">
      <w:pPr>
        <w:tabs>
          <w:tab w:val="left" w:pos="3375"/>
        </w:tabs>
        <w:adjustRightInd w:val="0"/>
        <w:snapToGrid w:val="0"/>
        <w:spacing w:line="360" w:lineRule="auto"/>
        <w:jc w:val="both"/>
        <w:rPr>
          <w:rFonts w:ascii="Book Antiqua" w:hAnsi="Book Antiqua"/>
          <w:lang w:eastAsia="zh-CN"/>
        </w:rPr>
      </w:pPr>
      <w:r w:rsidRPr="00654F9A">
        <w:rPr>
          <w:rFonts w:ascii="Book Antiqua" w:hAnsi="Book Antiqua"/>
          <w:vertAlign w:val="superscript"/>
        </w:rPr>
        <w:t>4</w:t>
      </w:r>
      <w:r w:rsidR="00B028B6" w:rsidRPr="00654F9A">
        <w:rPr>
          <w:rFonts w:ascii="Book Antiqua" w:eastAsia="Book Antiqua" w:hAnsi="Book Antiqua" w:cs="Book Antiqua"/>
          <w:i/>
          <w:iCs/>
          <w:color w:val="000000"/>
        </w:rPr>
        <w:t>Helicobacter pylori</w:t>
      </w:r>
      <w:r w:rsidR="000E41B3" w:rsidRPr="00654F9A">
        <w:rPr>
          <w:rFonts w:ascii="Book Antiqua" w:hAnsi="Book Antiqua"/>
          <w:i/>
          <w:iCs/>
        </w:rPr>
        <w:t xml:space="preserve"> </w:t>
      </w:r>
      <w:r w:rsidR="000E41B3" w:rsidRPr="00654F9A">
        <w:rPr>
          <w:rFonts w:ascii="Book Antiqua" w:hAnsi="Book Antiqua"/>
        </w:rPr>
        <w:t>negative as control</w:t>
      </w:r>
      <w:r w:rsidR="00B028B6" w:rsidRPr="00654F9A">
        <w:rPr>
          <w:rFonts w:ascii="Book Antiqua" w:hAnsi="Book Antiqua"/>
          <w:lang w:eastAsia="zh-CN"/>
        </w:rPr>
        <w:t>.</w:t>
      </w:r>
    </w:p>
    <w:p w14:paraId="5A8E4C70" w14:textId="1D0B5AEE" w:rsidR="000E41B3" w:rsidRPr="00654F9A" w:rsidRDefault="00994536" w:rsidP="000E41B3">
      <w:pPr>
        <w:tabs>
          <w:tab w:val="left" w:pos="3375"/>
        </w:tabs>
        <w:adjustRightInd w:val="0"/>
        <w:snapToGrid w:val="0"/>
        <w:spacing w:line="360" w:lineRule="auto"/>
        <w:jc w:val="both"/>
        <w:rPr>
          <w:rFonts w:ascii="Book Antiqua" w:hAnsi="Book Antiqua"/>
          <w:lang w:eastAsia="zh-CN"/>
        </w:rPr>
      </w:pPr>
      <w:r w:rsidRPr="00654F9A">
        <w:rPr>
          <w:rFonts w:ascii="Book Antiqua" w:hAnsi="Book Antiqua"/>
          <w:lang w:eastAsia="zh-CN"/>
        </w:rPr>
        <w:t xml:space="preserve">BMI: </w:t>
      </w:r>
      <w:r w:rsidRPr="00654F9A">
        <w:rPr>
          <w:rFonts w:ascii="Book Antiqua" w:hAnsi="Book Antiqua" w:cs="Book Antiqua"/>
          <w:color w:val="000000"/>
          <w:lang w:eastAsia="zh-CN"/>
        </w:rPr>
        <w:t>B</w:t>
      </w:r>
      <w:r w:rsidRPr="00654F9A">
        <w:rPr>
          <w:rFonts w:ascii="Book Antiqua" w:eastAsia="Book Antiqua" w:hAnsi="Book Antiqua" w:cs="Book Antiqua"/>
          <w:color w:val="000000"/>
        </w:rPr>
        <w:t>ody mass index</w:t>
      </w:r>
      <w:r w:rsidRPr="00654F9A">
        <w:rPr>
          <w:rFonts w:ascii="Book Antiqua" w:hAnsi="Book Antiqua"/>
          <w:lang w:eastAsia="zh-CN"/>
        </w:rPr>
        <w:t xml:space="preserve">; </w:t>
      </w:r>
      <w:r w:rsidR="00B52755" w:rsidRPr="00654F9A">
        <w:rPr>
          <w:rFonts w:ascii="Book Antiqua" w:hAnsi="Book Antiqua" w:cs="Book Antiqua"/>
          <w:color w:val="000000"/>
          <w:lang w:eastAsia="zh-CN"/>
        </w:rPr>
        <w:t>CI: Confidence interval</w:t>
      </w:r>
      <w:r w:rsidR="00B52755">
        <w:rPr>
          <w:rFonts w:ascii="Book Antiqua" w:hAnsi="Book Antiqua" w:cs="Book Antiqua"/>
          <w:color w:val="000000"/>
          <w:lang w:eastAsia="zh-CN"/>
        </w:rPr>
        <w:t>;</w:t>
      </w:r>
      <w:r w:rsidR="00B52755" w:rsidRPr="00654F9A">
        <w:rPr>
          <w:rFonts w:ascii="Book Antiqua" w:eastAsia="Book Antiqua" w:hAnsi="Book Antiqua" w:cs="Book Antiqua"/>
          <w:i/>
          <w:iCs/>
          <w:color w:val="000000"/>
        </w:rPr>
        <w:t xml:space="preserve"> </w:t>
      </w:r>
      <w:r w:rsidRPr="00654F9A">
        <w:rPr>
          <w:rFonts w:ascii="Book Antiqua" w:eastAsia="Book Antiqua" w:hAnsi="Book Antiqua" w:cs="Book Antiqua"/>
          <w:i/>
          <w:iCs/>
          <w:color w:val="000000"/>
        </w:rPr>
        <w:t>H. pylori</w:t>
      </w:r>
      <w:r w:rsidRPr="00654F9A">
        <w:rPr>
          <w:rFonts w:ascii="Book Antiqua" w:hAnsi="Book Antiqua" w:cs="Book Antiqua"/>
          <w:iCs/>
          <w:color w:val="000000"/>
          <w:lang w:eastAsia="zh-CN"/>
        </w:rPr>
        <w:t>:</w:t>
      </w:r>
      <w:r w:rsidRPr="00654F9A">
        <w:rPr>
          <w:rFonts w:ascii="Book Antiqua" w:eastAsia="Book Antiqua" w:hAnsi="Book Antiqua" w:cs="Book Antiqua"/>
          <w:i/>
          <w:iCs/>
          <w:color w:val="000000"/>
        </w:rPr>
        <w:t xml:space="preserve"> Helicobacter pylori</w:t>
      </w:r>
      <w:r w:rsidRPr="00654F9A">
        <w:rPr>
          <w:rFonts w:ascii="Book Antiqua" w:hAnsi="Book Antiqua" w:cs="Book Antiqua"/>
          <w:iCs/>
          <w:color w:val="000000"/>
          <w:lang w:eastAsia="zh-CN"/>
        </w:rPr>
        <w:t xml:space="preserve">; OR: </w:t>
      </w:r>
      <w:r w:rsidRPr="00654F9A">
        <w:rPr>
          <w:rFonts w:ascii="Book Antiqua" w:hAnsi="Book Antiqua" w:cs="Book Antiqua"/>
          <w:color w:val="000000"/>
          <w:lang w:eastAsia="zh-CN"/>
        </w:rPr>
        <w:t>O</w:t>
      </w:r>
      <w:r w:rsidRPr="00654F9A">
        <w:rPr>
          <w:rFonts w:ascii="Book Antiqua" w:eastAsia="Book Antiqua" w:hAnsi="Book Antiqua" w:cs="Book Antiqua"/>
          <w:color w:val="000000"/>
        </w:rPr>
        <w:t>dds ratio</w:t>
      </w:r>
      <w:r w:rsidR="003B5510" w:rsidRPr="00654F9A">
        <w:rPr>
          <w:rFonts w:ascii="Book Antiqua" w:hAnsi="Book Antiqua" w:cs="Book Antiqua"/>
          <w:color w:val="000000"/>
          <w:lang w:eastAsia="zh-CN"/>
        </w:rPr>
        <w:t>.</w:t>
      </w:r>
    </w:p>
    <w:p w14:paraId="20173995" w14:textId="77777777" w:rsidR="000E41B3" w:rsidRPr="00654F9A" w:rsidRDefault="000E41B3" w:rsidP="000E41B3">
      <w:pPr>
        <w:adjustRightInd w:val="0"/>
        <w:snapToGrid w:val="0"/>
        <w:spacing w:line="360" w:lineRule="auto"/>
        <w:jc w:val="both"/>
        <w:rPr>
          <w:rFonts w:ascii="Book Antiqua" w:hAnsi="Book Antiqua"/>
          <w:b/>
        </w:rPr>
      </w:pPr>
      <w:r w:rsidRPr="00654F9A">
        <w:rPr>
          <w:rFonts w:ascii="Book Antiqua" w:hAnsi="Book Antiqua"/>
        </w:rPr>
        <w:br w:type="page"/>
      </w:r>
      <w:r w:rsidRPr="00654F9A">
        <w:rPr>
          <w:rFonts w:ascii="Book Antiqua" w:hAnsi="Book Antiqua"/>
          <w:b/>
        </w:rPr>
        <w:t xml:space="preserve">Table 5 Comparison of the occurrence between </w:t>
      </w:r>
      <w:r w:rsidR="00E81DD5" w:rsidRPr="00654F9A">
        <w:rPr>
          <w:rFonts w:ascii="Book Antiqua" w:hAnsi="Book Antiqua" w:cs="Book Antiqua"/>
          <w:b/>
          <w:color w:val="000000"/>
          <w:lang w:eastAsia="zh-CN"/>
        </w:rPr>
        <w:t>c</w:t>
      </w:r>
      <w:r w:rsidR="00E81DD5" w:rsidRPr="00654F9A">
        <w:rPr>
          <w:rFonts w:ascii="Book Antiqua" w:eastAsia="Book Antiqua" w:hAnsi="Book Antiqua" w:cs="Book Antiqua"/>
          <w:b/>
          <w:color w:val="000000"/>
        </w:rPr>
        <w:t>linically significant findings</w:t>
      </w:r>
      <w:r w:rsidR="00E81DD5" w:rsidRPr="00654F9A">
        <w:rPr>
          <w:rFonts w:ascii="Book Antiqua" w:hAnsi="Book Antiqua"/>
          <w:b/>
        </w:rPr>
        <w:t xml:space="preserve"> </w:t>
      </w:r>
      <w:r w:rsidRPr="00654F9A">
        <w:rPr>
          <w:rFonts w:ascii="Book Antiqua" w:hAnsi="Book Antiqua"/>
          <w:b/>
        </w:rPr>
        <w:t>at different ages</w:t>
      </w:r>
    </w:p>
    <w:tbl>
      <w:tblPr>
        <w:tblStyle w:val="a7"/>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087"/>
        <w:gridCol w:w="1818"/>
        <w:gridCol w:w="1937"/>
        <w:gridCol w:w="1940"/>
        <w:gridCol w:w="1742"/>
        <w:gridCol w:w="1940"/>
        <w:gridCol w:w="1326"/>
        <w:gridCol w:w="1386"/>
      </w:tblGrid>
      <w:tr w:rsidR="000E41B3" w:rsidRPr="00654F9A" w14:paraId="0BFA4D38" w14:textId="77777777" w:rsidTr="000E41B3">
        <w:trPr>
          <w:trHeight w:val="372"/>
          <w:jc w:val="center"/>
        </w:trPr>
        <w:tc>
          <w:tcPr>
            <w:tcW w:w="413" w:type="pct"/>
            <w:tcBorders>
              <w:top w:val="single" w:sz="12" w:space="0" w:color="auto"/>
              <w:bottom w:val="single" w:sz="4" w:space="0" w:color="auto"/>
            </w:tcBorders>
            <w:vAlign w:val="center"/>
          </w:tcPr>
          <w:p w14:paraId="3608DB40" w14:textId="77777777" w:rsidR="000E41B3" w:rsidRPr="00654F9A" w:rsidRDefault="000E41B3" w:rsidP="00717DC8">
            <w:pPr>
              <w:adjustRightInd w:val="0"/>
              <w:snapToGrid w:val="0"/>
              <w:spacing w:line="360" w:lineRule="auto"/>
              <w:jc w:val="both"/>
              <w:rPr>
                <w:rFonts w:ascii="Book Antiqua" w:hAnsi="Book Antiqua" w:cs="Times New Roman"/>
                <w:b/>
              </w:rPr>
            </w:pPr>
            <w:r w:rsidRPr="00654F9A">
              <w:rPr>
                <w:rFonts w:ascii="Book Antiqua" w:hAnsi="Book Antiqua" w:cs="Times New Roman"/>
                <w:b/>
              </w:rPr>
              <w:t>Age</w:t>
            </w:r>
          </w:p>
        </w:tc>
        <w:tc>
          <w:tcPr>
            <w:tcW w:w="690" w:type="pct"/>
            <w:tcBorders>
              <w:top w:val="single" w:sz="12" w:space="0" w:color="auto"/>
              <w:bottom w:val="single" w:sz="4" w:space="0" w:color="auto"/>
            </w:tcBorders>
            <w:vAlign w:val="center"/>
          </w:tcPr>
          <w:p w14:paraId="0CD00317" w14:textId="77777777" w:rsidR="000E41B3" w:rsidRPr="00654F9A" w:rsidRDefault="000E41B3" w:rsidP="00717DC8">
            <w:pPr>
              <w:adjustRightInd w:val="0"/>
              <w:snapToGrid w:val="0"/>
              <w:spacing w:line="360" w:lineRule="auto"/>
              <w:jc w:val="both"/>
              <w:rPr>
                <w:rFonts w:ascii="Book Antiqua" w:hAnsi="Book Antiqua" w:cs="Times New Roman"/>
                <w:b/>
              </w:rPr>
            </w:pPr>
            <w:r w:rsidRPr="00654F9A">
              <w:rPr>
                <w:rFonts w:ascii="Book Antiqua" w:hAnsi="Book Antiqua" w:cs="Times New Roman"/>
                <w:b/>
              </w:rPr>
              <w:t>Total (%)</w:t>
            </w:r>
          </w:p>
        </w:tc>
        <w:tc>
          <w:tcPr>
            <w:tcW w:w="735" w:type="pct"/>
            <w:tcBorders>
              <w:top w:val="single" w:sz="12" w:space="0" w:color="auto"/>
              <w:bottom w:val="single" w:sz="4" w:space="0" w:color="auto"/>
            </w:tcBorders>
            <w:vAlign w:val="center"/>
          </w:tcPr>
          <w:p w14:paraId="23133EDB" w14:textId="77777777" w:rsidR="000E41B3" w:rsidRPr="00654F9A" w:rsidRDefault="000E41B3" w:rsidP="00717DC8">
            <w:pPr>
              <w:adjustRightInd w:val="0"/>
              <w:snapToGrid w:val="0"/>
              <w:spacing w:line="360" w:lineRule="auto"/>
              <w:jc w:val="both"/>
              <w:rPr>
                <w:rFonts w:ascii="Book Antiqua" w:hAnsi="Book Antiqua" w:cs="Times New Roman"/>
                <w:b/>
              </w:rPr>
            </w:pPr>
            <w:r w:rsidRPr="00654F9A">
              <w:rPr>
                <w:rFonts w:ascii="Book Antiqua" w:hAnsi="Book Antiqua" w:cs="Times New Roman"/>
                <w:b/>
              </w:rPr>
              <w:t>General lesions (%)</w:t>
            </w:r>
          </w:p>
        </w:tc>
        <w:tc>
          <w:tcPr>
            <w:tcW w:w="736" w:type="pct"/>
            <w:tcBorders>
              <w:top w:val="single" w:sz="12" w:space="0" w:color="auto"/>
              <w:bottom w:val="single" w:sz="4" w:space="0" w:color="auto"/>
            </w:tcBorders>
            <w:vAlign w:val="center"/>
          </w:tcPr>
          <w:p w14:paraId="345F258F" w14:textId="77777777" w:rsidR="000E41B3" w:rsidRPr="00654F9A" w:rsidRDefault="000E41B3" w:rsidP="00717DC8">
            <w:pPr>
              <w:adjustRightInd w:val="0"/>
              <w:snapToGrid w:val="0"/>
              <w:spacing w:line="360" w:lineRule="auto"/>
              <w:jc w:val="both"/>
              <w:rPr>
                <w:rFonts w:ascii="Book Antiqua" w:hAnsi="Book Antiqua" w:cs="Times New Roman"/>
                <w:b/>
              </w:rPr>
            </w:pPr>
            <w:r w:rsidRPr="00654F9A">
              <w:rPr>
                <w:rFonts w:ascii="Book Antiqua" w:hAnsi="Book Antiqua" w:cs="Times New Roman"/>
                <w:b/>
              </w:rPr>
              <w:t>Esophageal lesions (%)</w:t>
            </w:r>
          </w:p>
        </w:tc>
        <w:tc>
          <w:tcPr>
            <w:tcW w:w="661" w:type="pct"/>
            <w:tcBorders>
              <w:top w:val="single" w:sz="12" w:space="0" w:color="auto"/>
              <w:bottom w:val="single" w:sz="4" w:space="0" w:color="auto"/>
            </w:tcBorders>
            <w:vAlign w:val="center"/>
          </w:tcPr>
          <w:p w14:paraId="4130BC29" w14:textId="77777777" w:rsidR="000E41B3" w:rsidRPr="00654F9A" w:rsidRDefault="000E41B3" w:rsidP="00717DC8">
            <w:pPr>
              <w:adjustRightInd w:val="0"/>
              <w:snapToGrid w:val="0"/>
              <w:spacing w:line="360" w:lineRule="auto"/>
              <w:jc w:val="both"/>
              <w:rPr>
                <w:rFonts w:ascii="Book Antiqua" w:hAnsi="Book Antiqua" w:cs="Times New Roman"/>
                <w:b/>
              </w:rPr>
            </w:pPr>
            <w:r w:rsidRPr="00654F9A">
              <w:rPr>
                <w:rFonts w:ascii="Book Antiqua" w:hAnsi="Book Antiqua" w:cs="Times New Roman"/>
                <w:b/>
              </w:rPr>
              <w:t>Peptic ulcer (%)</w:t>
            </w:r>
          </w:p>
        </w:tc>
        <w:tc>
          <w:tcPr>
            <w:tcW w:w="736" w:type="pct"/>
            <w:tcBorders>
              <w:top w:val="single" w:sz="12" w:space="0" w:color="auto"/>
              <w:bottom w:val="single" w:sz="4" w:space="0" w:color="auto"/>
            </w:tcBorders>
            <w:vAlign w:val="center"/>
          </w:tcPr>
          <w:p w14:paraId="05AF493D" w14:textId="77777777" w:rsidR="000E41B3" w:rsidRPr="00654F9A" w:rsidRDefault="000E41B3" w:rsidP="00717DC8">
            <w:pPr>
              <w:adjustRightInd w:val="0"/>
              <w:snapToGrid w:val="0"/>
              <w:spacing w:line="360" w:lineRule="auto"/>
              <w:jc w:val="both"/>
              <w:rPr>
                <w:rFonts w:ascii="Book Antiqua" w:hAnsi="Book Antiqua" w:cs="Times New Roman"/>
                <w:b/>
              </w:rPr>
            </w:pPr>
            <w:r w:rsidRPr="00654F9A">
              <w:rPr>
                <w:rFonts w:ascii="Book Antiqua" w:hAnsi="Book Antiqua" w:cs="Times New Roman"/>
                <w:b/>
              </w:rPr>
              <w:t>Malignancy (%)</w:t>
            </w:r>
          </w:p>
        </w:tc>
        <w:tc>
          <w:tcPr>
            <w:tcW w:w="503" w:type="pct"/>
            <w:tcBorders>
              <w:top w:val="single" w:sz="12" w:space="0" w:color="auto"/>
              <w:bottom w:val="single" w:sz="4" w:space="0" w:color="auto"/>
            </w:tcBorders>
            <w:vAlign w:val="center"/>
          </w:tcPr>
          <w:p w14:paraId="3099628E" w14:textId="77777777" w:rsidR="000E41B3" w:rsidRPr="00654F9A" w:rsidRDefault="000E41B3" w:rsidP="00717DC8">
            <w:pPr>
              <w:adjustRightInd w:val="0"/>
              <w:snapToGrid w:val="0"/>
              <w:spacing w:line="360" w:lineRule="auto"/>
              <w:jc w:val="both"/>
              <w:rPr>
                <w:rFonts w:ascii="Book Antiqua" w:hAnsi="Book Antiqua" w:cs="Times New Roman"/>
                <w:b/>
              </w:rPr>
            </w:pPr>
            <w:r w:rsidRPr="00654F9A">
              <w:rPr>
                <w:rFonts w:ascii="Book Antiqua" w:hAnsi="Book Antiqua" w:cs="Times New Roman"/>
                <w:b/>
                <w:i/>
              </w:rPr>
              <w:sym w:font="Symbol" w:char="F063"/>
            </w:r>
            <w:r w:rsidRPr="00654F9A">
              <w:rPr>
                <w:rFonts w:ascii="Book Antiqua" w:hAnsi="Book Antiqua" w:cs="Times New Roman"/>
                <w:b/>
                <w:i/>
                <w:vertAlign w:val="superscript"/>
              </w:rPr>
              <w:t>2</w:t>
            </w:r>
            <w:r w:rsidRPr="00654F9A">
              <w:rPr>
                <w:rFonts w:ascii="Book Antiqua" w:hAnsi="Book Antiqua" w:cs="Times New Roman"/>
                <w:b/>
                <w:i/>
              </w:rPr>
              <w:t xml:space="preserve"> </w:t>
            </w:r>
            <w:r w:rsidRPr="00654F9A">
              <w:rPr>
                <w:rFonts w:ascii="Book Antiqua" w:hAnsi="Book Antiqua" w:cs="Times New Roman"/>
                <w:b/>
                <w:iCs/>
              </w:rPr>
              <w:t>value</w:t>
            </w:r>
          </w:p>
        </w:tc>
        <w:tc>
          <w:tcPr>
            <w:tcW w:w="526" w:type="pct"/>
            <w:tcBorders>
              <w:top w:val="single" w:sz="12" w:space="0" w:color="auto"/>
              <w:bottom w:val="single" w:sz="4" w:space="0" w:color="auto"/>
            </w:tcBorders>
            <w:vAlign w:val="center"/>
          </w:tcPr>
          <w:p w14:paraId="0766C0AC" w14:textId="77777777" w:rsidR="000E41B3" w:rsidRPr="00654F9A" w:rsidRDefault="000E41B3" w:rsidP="00717DC8">
            <w:pPr>
              <w:adjustRightInd w:val="0"/>
              <w:snapToGrid w:val="0"/>
              <w:spacing w:line="360" w:lineRule="auto"/>
              <w:jc w:val="both"/>
              <w:rPr>
                <w:rFonts w:ascii="Book Antiqua" w:hAnsi="Book Antiqua" w:cs="Times New Roman"/>
                <w:b/>
              </w:rPr>
            </w:pPr>
            <w:r w:rsidRPr="00654F9A">
              <w:rPr>
                <w:rFonts w:ascii="Book Antiqua" w:hAnsi="Book Antiqua" w:cs="Times New Roman"/>
                <w:b/>
                <w:i/>
              </w:rPr>
              <w:t>P</w:t>
            </w:r>
            <w:r w:rsidRPr="00654F9A">
              <w:rPr>
                <w:rFonts w:ascii="Book Antiqua" w:hAnsi="Book Antiqua" w:cs="Times New Roman"/>
                <w:b/>
              </w:rPr>
              <w:t xml:space="preserve"> value</w:t>
            </w:r>
          </w:p>
        </w:tc>
      </w:tr>
      <w:tr w:rsidR="000E41B3" w:rsidRPr="00654F9A" w14:paraId="5570F7F9" w14:textId="77777777" w:rsidTr="000E41B3">
        <w:trPr>
          <w:trHeight w:val="322"/>
          <w:jc w:val="center"/>
        </w:trPr>
        <w:tc>
          <w:tcPr>
            <w:tcW w:w="413" w:type="pct"/>
            <w:tcBorders>
              <w:top w:val="single" w:sz="4" w:space="0" w:color="auto"/>
            </w:tcBorders>
          </w:tcPr>
          <w:p w14:paraId="1C7122CE"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&lt;</w:t>
            </w:r>
            <w:r w:rsidR="00E81DD5" w:rsidRPr="00654F9A">
              <w:rPr>
                <w:rFonts w:ascii="Book Antiqua" w:hAnsi="Book Antiqua" w:cs="Times New Roman"/>
              </w:rPr>
              <w:t xml:space="preserve"> </w:t>
            </w:r>
            <w:r w:rsidRPr="00654F9A">
              <w:rPr>
                <w:rFonts w:ascii="Book Antiqua" w:hAnsi="Book Antiqua" w:cs="Times New Roman"/>
              </w:rPr>
              <w:t>30</w:t>
            </w:r>
          </w:p>
        </w:tc>
        <w:tc>
          <w:tcPr>
            <w:tcW w:w="690" w:type="pct"/>
            <w:tcBorders>
              <w:top w:val="single" w:sz="4" w:space="0" w:color="auto"/>
            </w:tcBorders>
          </w:tcPr>
          <w:p w14:paraId="3B50FAEC"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125</w:t>
            </w:r>
            <w:r w:rsidR="00E81DD5" w:rsidRPr="00654F9A">
              <w:rPr>
                <w:rFonts w:ascii="Book Antiqua" w:hAnsi="Book Antiqua" w:cs="Times New Roman"/>
              </w:rPr>
              <w:t xml:space="preserve"> </w:t>
            </w:r>
            <w:r w:rsidRPr="00654F9A">
              <w:rPr>
                <w:rFonts w:ascii="Book Antiqua" w:hAnsi="Book Antiqua" w:cs="Times New Roman"/>
              </w:rPr>
              <w:t>(12.3)</w:t>
            </w:r>
          </w:p>
        </w:tc>
        <w:tc>
          <w:tcPr>
            <w:tcW w:w="735" w:type="pct"/>
            <w:tcBorders>
              <w:top w:val="single" w:sz="4" w:space="0" w:color="auto"/>
            </w:tcBorders>
          </w:tcPr>
          <w:p w14:paraId="2CB71184"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88</w:t>
            </w:r>
            <w:r w:rsidR="00E81DD5" w:rsidRPr="00654F9A">
              <w:rPr>
                <w:rFonts w:ascii="Book Antiqua" w:hAnsi="Book Antiqua" w:cs="Times New Roman"/>
              </w:rPr>
              <w:t xml:space="preserve"> </w:t>
            </w:r>
            <w:r w:rsidRPr="00654F9A">
              <w:rPr>
                <w:rFonts w:ascii="Book Antiqua" w:hAnsi="Book Antiqua" w:cs="Times New Roman"/>
              </w:rPr>
              <w:t>(70.4)</w:t>
            </w:r>
          </w:p>
        </w:tc>
        <w:tc>
          <w:tcPr>
            <w:tcW w:w="736" w:type="pct"/>
            <w:tcBorders>
              <w:top w:val="single" w:sz="4" w:space="0" w:color="auto"/>
            </w:tcBorders>
          </w:tcPr>
          <w:p w14:paraId="0627D05F"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16</w:t>
            </w:r>
            <w:r w:rsidR="00E81DD5" w:rsidRPr="00654F9A">
              <w:rPr>
                <w:rFonts w:ascii="Book Antiqua" w:hAnsi="Book Antiqua" w:cs="Times New Roman"/>
              </w:rPr>
              <w:t xml:space="preserve"> </w:t>
            </w:r>
            <w:r w:rsidRPr="00654F9A">
              <w:rPr>
                <w:rFonts w:ascii="Book Antiqua" w:hAnsi="Book Antiqua" w:cs="Times New Roman"/>
              </w:rPr>
              <w:t>(12.8)</w:t>
            </w:r>
          </w:p>
        </w:tc>
        <w:tc>
          <w:tcPr>
            <w:tcW w:w="661" w:type="pct"/>
            <w:tcBorders>
              <w:top w:val="single" w:sz="4" w:space="0" w:color="auto"/>
            </w:tcBorders>
          </w:tcPr>
          <w:p w14:paraId="407170B4"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21</w:t>
            </w:r>
            <w:r w:rsidR="00E81DD5" w:rsidRPr="00654F9A">
              <w:rPr>
                <w:rFonts w:ascii="Book Antiqua" w:hAnsi="Book Antiqua" w:cs="Times New Roman"/>
              </w:rPr>
              <w:t xml:space="preserve"> </w:t>
            </w:r>
            <w:r w:rsidRPr="00654F9A">
              <w:rPr>
                <w:rFonts w:ascii="Book Antiqua" w:hAnsi="Book Antiqua" w:cs="Times New Roman"/>
              </w:rPr>
              <w:t>(16.8)</w:t>
            </w:r>
          </w:p>
        </w:tc>
        <w:tc>
          <w:tcPr>
            <w:tcW w:w="736" w:type="pct"/>
            <w:tcBorders>
              <w:top w:val="single" w:sz="4" w:space="0" w:color="auto"/>
            </w:tcBorders>
          </w:tcPr>
          <w:p w14:paraId="5AFD78F7"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0</w:t>
            </w:r>
            <w:r w:rsidR="00E81DD5" w:rsidRPr="00654F9A">
              <w:rPr>
                <w:rFonts w:ascii="Book Antiqua" w:hAnsi="Book Antiqua" w:cs="Times New Roman"/>
              </w:rPr>
              <w:t xml:space="preserve"> </w:t>
            </w:r>
            <w:r w:rsidRPr="00654F9A">
              <w:rPr>
                <w:rFonts w:ascii="Book Antiqua" w:hAnsi="Book Antiqua" w:cs="Times New Roman"/>
              </w:rPr>
              <w:t>(0.0)</w:t>
            </w:r>
          </w:p>
        </w:tc>
        <w:tc>
          <w:tcPr>
            <w:tcW w:w="503" w:type="pct"/>
            <w:tcBorders>
              <w:top w:val="single" w:sz="4" w:space="0" w:color="auto"/>
            </w:tcBorders>
          </w:tcPr>
          <w:p w14:paraId="491671D3"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18.094</w:t>
            </w:r>
          </w:p>
        </w:tc>
        <w:tc>
          <w:tcPr>
            <w:tcW w:w="526" w:type="pct"/>
            <w:tcBorders>
              <w:top w:val="single" w:sz="4" w:space="0" w:color="auto"/>
            </w:tcBorders>
          </w:tcPr>
          <w:p w14:paraId="7D197A2C"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0.004</w:t>
            </w:r>
          </w:p>
        </w:tc>
      </w:tr>
      <w:tr w:rsidR="000E41B3" w:rsidRPr="00654F9A" w14:paraId="37071B68" w14:textId="77777777" w:rsidTr="000E41B3">
        <w:trPr>
          <w:trHeight w:val="329"/>
          <w:jc w:val="center"/>
        </w:trPr>
        <w:tc>
          <w:tcPr>
            <w:tcW w:w="413" w:type="pct"/>
          </w:tcPr>
          <w:p w14:paraId="69E5ED63"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30-49</w:t>
            </w:r>
          </w:p>
        </w:tc>
        <w:tc>
          <w:tcPr>
            <w:tcW w:w="690" w:type="pct"/>
          </w:tcPr>
          <w:p w14:paraId="34D0D851"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337</w:t>
            </w:r>
            <w:r w:rsidR="00E81DD5" w:rsidRPr="00654F9A">
              <w:rPr>
                <w:rFonts w:ascii="Book Antiqua" w:hAnsi="Book Antiqua" w:cs="Times New Roman"/>
              </w:rPr>
              <w:t xml:space="preserve"> </w:t>
            </w:r>
            <w:r w:rsidRPr="00654F9A">
              <w:rPr>
                <w:rFonts w:ascii="Book Antiqua" w:hAnsi="Book Antiqua" w:cs="Times New Roman"/>
              </w:rPr>
              <w:t>(33.2)</w:t>
            </w:r>
          </w:p>
        </w:tc>
        <w:tc>
          <w:tcPr>
            <w:tcW w:w="735" w:type="pct"/>
          </w:tcPr>
          <w:p w14:paraId="4B075DBD"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232</w:t>
            </w:r>
            <w:r w:rsidR="00E81DD5" w:rsidRPr="00654F9A">
              <w:rPr>
                <w:rFonts w:ascii="Book Antiqua" w:hAnsi="Book Antiqua" w:cs="Times New Roman"/>
              </w:rPr>
              <w:t xml:space="preserve"> </w:t>
            </w:r>
            <w:r w:rsidRPr="00654F9A">
              <w:rPr>
                <w:rFonts w:ascii="Book Antiqua" w:hAnsi="Book Antiqua" w:cs="Times New Roman"/>
              </w:rPr>
              <w:t>(68.8)</w:t>
            </w:r>
          </w:p>
        </w:tc>
        <w:tc>
          <w:tcPr>
            <w:tcW w:w="736" w:type="pct"/>
          </w:tcPr>
          <w:p w14:paraId="74A3EBFB"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55</w:t>
            </w:r>
            <w:r w:rsidR="00E81DD5" w:rsidRPr="00654F9A">
              <w:rPr>
                <w:rFonts w:ascii="Book Antiqua" w:hAnsi="Book Antiqua" w:cs="Times New Roman"/>
              </w:rPr>
              <w:t xml:space="preserve"> </w:t>
            </w:r>
            <w:r w:rsidRPr="00654F9A">
              <w:rPr>
                <w:rFonts w:ascii="Book Antiqua" w:hAnsi="Book Antiqua" w:cs="Times New Roman"/>
              </w:rPr>
              <w:t>(16.3)</w:t>
            </w:r>
          </w:p>
        </w:tc>
        <w:tc>
          <w:tcPr>
            <w:tcW w:w="661" w:type="pct"/>
          </w:tcPr>
          <w:p w14:paraId="4FA0F198"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49</w:t>
            </w:r>
            <w:r w:rsidR="00E81DD5" w:rsidRPr="00654F9A">
              <w:rPr>
                <w:rFonts w:ascii="Book Antiqua" w:hAnsi="Book Antiqua" w:cs="Times New Roman"/>
              </w:rPr>
              <w:t xml:space="preserve"> </w:t>
            </w:r>
            <w:r w:rsidRPr="00654F9A">
              <w:rPr>
                <w:rFonts w:ascii="Book Antiqua" w:hAnsi="Book Antiqua" w:cs="Times New Roman"/>
              </w:rPr>
              <w:t>(14.5)</w:t>
            </w:r>
          </w:p>
        </w:tc>
        <w:tc>
          <w:tcPr>
            <w:tcW w:w="736" w:type="pct"/>
          </w:tcPr>
          <w:p w14:paraId="6C614655"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1</w:t>
            </w:r>
            <w:r w:rsidR="00E81DD5" w:rsidRPr="00654F9A">
              <w:rPr>
                <w:rFonts w:ascii="Book Antiqua" w:hAnsi="Book Antiqua" w:cs="Times New Roman"/>
              </w:rPr>
              <w:t xml:space="preserve"> </w:t>
            </w:r>
            <w:r w:rsidRPr="00654F9A">
              <w:rPr>
                <w:rFonts w:ascii="Book Antiqua" w:hAnsi="Book Antiqua" w:cs="Times New Roman"/>
              </w:rPr>
              <w:t>(0.3)</w:t>
            </w:r>
          </w:p>
        </w:tc>
        <w:tc>
          <w:tcPr>
            <w:tcW w:w="503" w:type="pct"/>
          </w:tcPr>
          <w:p w14:paraId="6AD41D38" w14:textId="77777777" w:rsidR="000E41B3" w:rsidRPr="00654F9A" w:rsidRDefault="000E41B3" w:rsidP="00717DC8">
            <w:pPr>
              <w:adjustRightInd w:val="0"/>
              <w:snapToGrid w:val="0"/>
              <w:spacing w:line="360" w:lineRule="auto"/>
              <w:jc w:val="both"/>
              <w:rPr>
                <w:rFonts w:ascii="Book Antiqua" w:hAnsi="Book Antiqua" w:cs="Times New Roman"/>
              </w:rPr>
            </w:pPr>
          </w:p>
        </w:tc>
        <w:tc>
          <w:tcPr>
            <w:tcW w:w="526" w:type="pct"/>
          </w:tcPr>
          <w:p w14:paraId="6671CE60" w14:textId="77777777" w:rsidR="000E41B3" w:rsidRPr="00654F9A" w:rsidRDefault="000E41B3" w:rsidP="00717DC8">
            <w:pPr>
              <w:adjustRightInd w:val="0"/>
              <w:snapToGrid w:val="0"/>
              <w:spacing w:line="360" w:lineRule="auto"/>
              <w:jc w:val="both"/>
              <w:rPr>
                <w:rFonts w:ascii="Book Antiqua" w:hAnsi="Book Antiqua" w:cs="Times New Roman"/>
              </w:rPr>
            </w:pPr>
          </w:p>
        </w:tc>
      </w:tr>
      <w:tr w:rsidR="000E41B3" w:rsidRPr="00654F9A" w14:paraId="78927253" w14:textId="77777777" w:rsidTr="000E41B3">
        <w:trPr>
          <w:trHeight w:val="322"/>
          <w:jc w:val="center"/>
        </w:trPr>
        <w:tc>
          <w:tcPr>
            <w:tcW w:w="413" w:type="pct"/>
          </w:tcPr>
          <w:p w14:paraId="26B33927"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w:t>
            </w:r>
            <w:r w:rsidR="00E81DD5" w:rsidRPr="00654F9A">
              <w:rPr>
                <w:rFonts w:ascii="Book Antiqua" w:hAnsi="Book Antiqua" w:cs="Times New Roman"/>
              </w:rPr>
              <w:t xml:space="preserve"> </w:t>
            </w:r>
            <w:r w:rsidRPr="00654F9A">
              <w:rPr>
                <w:rFonts w:ascii="Book Antiqua" w:hAnsi="Book Antiqua" w:cs="Times New Roman"/>
              </w:rPr>
              <w:t>50</w:t>
            </w:r>
          </w:p>
        </w:tc>
        <w:tc>
          <w:tcPr>
            <w:tcW w:w="690" w:type="pct"/>
          </w:tcPr>
          <w:p w14:paraId="44A454E0"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554</w:t>
            </w:r>
            <w:r w:rsidR="00E81DD5" w:rsidRPr="00654F9A">
              <w:rPr>
                <w:rFonts w:ascii="Book Antiqua" w:hAnsi="Book Antiqua" w:cs="Times New Roman"/>
              </w:rPr>
              <w:t xml:space="preserve"> </w:t>
            </w:r>
            <w:r w:rsidRPr="00654F9A">
              <w:rPr>
                <w:rFonts w:ascii="Book Antiqua" w:hAnsi="Book Antiqua" w:cs="Times New Roman"/>
              </w:rPr>
              <w:t>(54.5)</w:t>
            </w:r>
          </w:p>
        </w:tc>
        <w:tc>
          <w:tcPr>
            <w:tcW w:w="735" w:type="pct"/>
          </w:tcPr>
          <w:p w14:paraId="6F58E8B1"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392</w:t>
            </w:r>
            <w:r w:rsidR="00E81DD5" w:rsidRPr="00654F9A">
              <w:rPr>
                <w:rFonts w:ascii="Book Antiqua" w:hAnsi="Book Antiqua" w:cs="Times New Roman"/>
              </w:rPr>
              <w:t xml:space="preserve"> </w:t>
            </w:r>
            <w:r w:rsidRPr="00654F9A">
              <w:rPr>
                <w:rFonts w:ascii="Book Antiqua" w:hAnsi="Book Antiqua" w:cs="Times New Roman"/>
              </w:rPr>
              <w:t>(70.8)</w:t>
            </w:r>
          </w:p>
        </w:tc>
        <w:tc>
          <w:tcPr>
            <w:tcW w:w="736" w:type="pct"/>
          </w:tcPr>
          <w:p w14:paraId="40E3CDE7"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109</w:t>
            </w:r>
            <w:r w:rsidR="00E81DD5" w:rsidRPr="00654F9A">
              <w:rPr>
                <w:rFonts w:ascii="Book Antiqua" w:hAnsi="Book Antiqua" w:cs="Times New Roman"/>
              </w:rPr>
              <w:t xml:space="preserve"> </w:t>
            </w:r>
            <w:r w:rsidRPr="00654F9A">
              <w:rPr>
                <w:rFonts w:ascii="Book Antiqua" w:hAnsi="Book Antiqua" w:cs="Times New Roman"/>
              </w:rPr>
              <w:t>(19.7)</w:t>
            </w:r>
          </w:p>
        </w:tc>
        <w:tc>
          <w:tcPr>
            <w:tcW w:w="661" w:type="pct"/>
          </w:tcPr>
          <w:p w14:paraId="7E5EFDA4"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45</w:t>
            </w:r>
            <w:r w:rsidR="00E81DD5" w:rsidRPr="00654F9A">
              <w:rPr>
                <w:rFonts w:ascii="Book Antiqua" w:hAnsi="Book Antiqua" w:cs="Times New Roman"/>
              </w:rPr>
              <w:t xml:space="preserve"> </w:t>
            </w:r>
            <w:r w:rsidRPr="00654F9A">
              <w:rPr>
                <w:rFonts w:ascii="Book Antiqua" w:hAnsi="Book Antiqua" w:cs="Times New Roman"/>
              </w:rPr>
              <w:t>(8.1)</w:t>
            </w:r>
            <w:r w:rsidRPr="00654F9A">
              <w:rPr>
                <w:rFonts w:ascii="Book Antiqua" w:hAnsi="Book Antiqua" w:cs="Times New Roman"/>
                <w:vertAlign w:val="superscript"/>
              </w:rPr>
              <w:t>a</w:t>
            </w:r>
          </w:p>
        </w:tc>
        <w:tc>
          <w:tcPr>
            <w:tcW w:w="736" w:type="pct"/>
          </w:tcPr>
          <w:p w14:paraId="1D357DE8" w14:textId="77777777" w:rsidR="000E41B3" w:rsidRPr="00654F9A" w:rsidRDefault="000E41B3" w:rsidP="00717DC8">
            <w:pPr>
              <w:adjustRightInd w:val="0"/>
              <w:snapToGrid w:val="0"/>
              <w:spacing w:line="360" w:lineRule="auto"/>
              <w:jc w:val="both"/>
              <w:rPr>
                <w:rFonts w:ascii="Book Antiqua" w:hAnsi="Book Antiqua" w:cs="Times New Roman"/>
              </w:rPr>
            </w:pPr>
            <w:r w:rsidRPr="00654F9A">
              <w:rPr>
                <w:rFonts w:ascii="Book Antiqua" w:hAnsi="Book Antiqua" w:cs="Times New Roman"/>
              </w:rPr>
              <w:t>8</w:t>
            </w:r>
            <w:r w:rsidR="00E81DD5" w:rsidRPr="00654F9A">
              <w:rPr>
                <w:rFonts w:ascii="Book Antiqua" w:hAnsi="Book Antiqua" w:cs="Times New Roman"/>
              </w:rPr>
              <w:t xml:space="preserve"> </w:t>
            </w:r>
            <w:r w:rsidRPr="00654F9A">
              <w:rPr>
                <w:rFonts w:ascii="Book Antiqua" w:hAnsi="Book Antiqua" w:cs="Times New Roman"/>
              </w:rPr>
              <w:t>(1.4)</w:t>
            </w:r>
          </w:p>
        </w:tc>
        <w:tc>
          <w:tcPr>
            <w:tcW w:w="503" w:type="pct"/>
          </w:tcPr>
          <w:p w14:paraId="282BF48A" w14:textId="77777777" w:rsidR="000E41B3" w:rsidRPr="00654F9A" w:rsidRDefault="000E41B3" w:rsidP="00717DC8">
            <w:pPr>
              <w:adjustRightInd w:val="0"/>
              <w:snapToGrid w:val="0"/>
              <w:spacing w:line="360" w:lineRule="auto"/>
              <w:jc w:val="both"/>
              <w:rPr>
                <w:rFonts w:ascii="Book Antiqua" w:hAnsi="Book Antiqua" w:cs="Times New Roman"/>
              </w:rPr>
            </w:pPr>
          </w:p>
        </w:tc>
        <w:tc>
          <w:tcPr>
            <w:tcW w:w="526" w:type="pct"/>
          </w:tcPr>
          <w:p w14:paraId="39512202" w14:textId="77777777" w:rsidR="000E41B3" w:rsidRPr="00654F9A" w:rsidRDefault="000E41B3" w:rsidP="00717DC8">
            <w:pPr>
              <w:adjustRightInd w:val="0"/>
              <w:snapToGrid w:val="0"/>
              <w:spacing w:line="360" w:lineRule="auto"/>
              <w:jc w:val="both"/>
              <w:rPr>
                <w:rFonts w:ascii="Book Antiqua" w:hAnsi="Book Antiqua" w:cs="Times New Roman"/>
              </w:rPr>
            </w:pPr>
          </w:p>
        </w:tc>
      </w:tr>
    </w:tbl>
    <w:p w14:paraId="37088E36" w14:textId="77777777" w:rsidR="0051433C" w:rsidRDefault="000E41B3" w:rsidP="002D48BA">
      <w:pPr>
        <w:adjustRightInd w:val="0"/>
        <w:snapToGrid w:val="0"/>
        <w:spacing w:line="360" w:lineRule="auto"/>
        <w:jc w:val="both"/>
        <w:rPr>
          <w:rFonts w:ascii="Book Antiqua" w:hAnsi="Book Antiqua"/>
          <w:lang w:eastAsia="zh-CN"/>
        </w:rPr>
        <w:sectPr w:rsidR="0051433C" w:rsidSect="000E41B3">
          <w:pgSz w:w="15840" w:h="12240" w:orient="landscape"/>
          <w:pgMar w:top="1440" w:right="1440" w:bottom="1440" w:left="1440" w:header="720" w:footer="720" w:gutter="0"/>
          <w:cols w:space="720"/>
          <w:docGrid w:linePitch="360"/>
        </w:sectPr>
      </w:pPr>
      <w:r w:rsidRPr="00654F9A">
        <w:rPr>
          <w:rFonts w:ascii="Book Antiqua" w:hAnsi="Book Antiqua"/>
          <w:vertAlign w:val="superscript"/>
        </w:rPr>
        <w:t>a</w:t>
      </w:r>
      <w:r w:rsidR="00E81DD5" w:rsidRPr="00654F9A">
        <w:rPr>
          <w:rFonts w:ascii="Book Antiqua" w:hAnsi="Book Antiqua"/>
          <w:i/>
          <w:iCs/>
        </w:rPr>
        <w:t>P</w:t>
      </w:r>
      <w:r w:rsidRPr="00654F9A">
        <w:rPr>
          <w:rFonts w:ascii="Book Antiqua" w:hAnsi="Book Antiqua"/>
          <w:i/>
          <w:iCs/>
        </w:rPr>
        <w:t xml:space="preserve"> </w:t>
      </w:r>
      <w:r w:rsidRPr="00654F9A">
        <w:rPr>
          <w:rFonts w:ascii="Book Antiqua" w:hAnsi="Book Antiqua"/>
        </w:rPr>
        <w:t>&lt; 0.017, compared with the other two age subgroups</w:t>
      </w:r>
      <w:r w:rsidR="00E81DD5" w:rsidRPr="00654F9A">
        <w:rPr>
          <w:rFonts w:ascii="Book Antiqua" w:hAnsi="Book Antiqua"/>
          <w:lang w:eastAsia="zh-CN"/>
        </w:rPr>
        <w:t>.</w:t>
      </w:r>
    </w:p>
    <w:p w14:paraId="18A27955" w14:textId="77777777" w:rsidR="0051433C" w:rsidRDefault="0051433C" w:rsidP="0051433C">
      <w:pPr>
        <w:jc w:val="center"/>
        <w:rPr>
          <w:rFonts w:ascii="Book Antiqua" w:hAnsi="Book Antiqua"/>
          <w:lang w:eastAsia="zh-CN"/>
        </w:rPr>
      </w:pPr>
    </w:p>
    <w:p w14:paraId="2C15838D" w14:textId="77777777" w:rsidR="0051433C" w:rsidRDefault="0051433C" w:rsidP="0051433C">
      <w:pPr>
        <w:jc w:val="center"/>
        <w:rPr>
          <w:rFonts w:ascii="Book Antiqua" w:hAnsi="Book Antiqua"/>
          <w:lang w:eastAsia="zh-CN"/>
        </w:rPr>
      </w:pPr>
    </w:p>
    <w:p w14:paraId="5064919D" w14:textId="77777777" w:rsidR="0051433C" w:rsidRDefault="0051433C" w:rsidP="0051433C">
      <w:pPr>
        <w:jc w:val="center"/>
        <w:rPr>
          <w:rFonts w:ascii="Book Antiqua" w:hAnsi="Book Antiqua"/>
          <w:lang w:eastAsia="zh-CN"/>
        </w:rPr>
      </w:pPr>
    </w:p>
    <w:p w14:paraId="3D330243" w14:textId="77777777" w:rsidR="0051433C" w:rsidRDefault="0051433C" w:rsidP="0051433C">
      <w:pPr>
        <w:jc w:val="center"/>
        <w:rPr>
          <w:rFonts w:ascii="Book Antiqua" w:hAnsi="Book Antiqua"/>
          <w:lang w:eastAsia="zh-CN"/>
        </w:rPr>
      </w:pPr>
    </w:p>
    <w:p w14:paraId="68EA9017" w14:textId="77777777" w:rsidR="0051433C" w:rsidRDefault="0051433C" w:rsidP="0051433C">
      <w:pPr>
        <w:jc w:val="center"/>
        <w:rPr>
          <w:rFonts w:ascii="Book Antiqua" w:hAnsi="Book Antiqua"/>
          <w:lang w:eastAsia="zh-CN"/>
        </w:rPr>
      </w:pPr>
    </w:p>
    <w:p w14:paraId="09A6B4B3" w14:textId="77777777" w:rsidR="0051433C" w:rsidRDefault="0051433C" w:rsidP="0051433C">
      <w:pPr>
        <w:jc w:val="center"/>
        <w:rPr>
          <w:rFonts w:ascii="Book Antiqua" w:hAnsi="Book Antiqua"/>
          <w:lang w:eastAsia="zh-CN"/>
        </w:rPr>
      </w:pPr>
      <w:r>
        <w:rPr>
          <w:rFonts w:ascii="Book Antiqua" w:hAnsi="Book Antiqua"/>
          <w:noProof/>
          <w:lang w:eastAsia="zh-CN"/>
        </w:rPr>
        <w:drawing>
          <wp:inline distT="0" distB="0" distL="0" distR="0" wp14:anchorId="594973DC" wp14:editId="71EEA71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B6EF18C" w14:textId="77777777" w:rsidR="0051433C" w:rsidRDefault="0051433C" w:rsidP="0051433C">
      <w:pPr>
        <w:jc w:val="center"/>
        <w:rPr>
          <w:rFonts w:ascii="Book Antiqua" w:hAnsi="Book Antiqua"/>
          <w:lang w:eastAsia="zh-CN"/>
        </w:rPr>
      </w:pPr>
    </w:p>
    <w:p w14:paraId="4A355C61" w14:textId="77777777" w:rsidR="0051433C" w:rsidRPr="00763D22" w:rsidRDefault="0051433C" w:rsidP="0051433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C25CAE1" w14:textId="77777777" w:rsidR="0051433C" w:rsidRPr="00763D22" w:rsidRDefault="0051433C" w:rsidP="0051433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0E50B2E" w14:textId="77777777" w:rsidR="0051433C" w:rsidRPr="00763D22" w:rsidRDefault="0051433C" w:rsidP="0051433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DEABDB2" w14:textId="77777777" w:rsidR="0051433C" w:rsidRPr="00763D22" w:rsidRDefault="0051433C" w:rsidP="0051433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17C5BA3" w14:textId="77777777" w:rsidR="0051433C" w:rsidRPr="00763D22" w:rsidRDefault="0051433C" w:rsidP="0051433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AD44D5E" w14:textId="77777777" w:rsidR="0051433C" w:rsidRPr="00763D22" w:rsidRDefault="0051433C" w:rsidP="0051433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DA8B7C3" w14:textId="77777777" w:rsidR="0051433C" w:rsidRDefault="0051433C" w:rsidP="0051433C">
      <w:pPr>
        <w:jc w:val="center"/>
        <w:rPr>
          <w:rFonts w:ascii="Book Antiqua" w:hAnsi="Book Antiqua"/>
          <w:lang w:eastAsia="zh-CN"/>
        </w:rPr>
      </w:pPr>
    </w:p>
    <w:p w14:paraId="1C9E788D" w14:textId="77777777" w:rsidR="0051433C" w:rsidRDefault="0051433C" w:rsidP="0051433C">
      <w:pPr>
        <w:jc w:val="center"/>
        <w:rPr>
          <w:rFonts w:ascii="Book Antiqua" w:hAnsi="Book Antiqua"/>
          <w:lang w:eastAsia="zh-CN"/>
        </w:rPr>
      </w:pPr>
    </w:p>
    <w:p w14:paraId="0683825B" w14:textId="77777777" w:rsidR="0051433C" w:rsidRDefault="0051433C" w:rsidP="0051433C">
      <w:pPr>
        <w:jc w:val="center"/>
        <w:rPr>
          <w:rFonts w:ascii="Book Antiqua" w:hAnsi="Book Antiqua"/>
          <w:lang w:eastAsia="zh-CN"/>
        </w:rPr>
      </w:pPr>
    </w:p>
    <w:p w14:paraId="7E2C9B52" w14:textId="77777777" w:rsidR="0051433C" w:rsidRDefault="0051433C" w:rsidP="0051433C">
      <w:pPr>
        <w:jc w:val="center"/>
        <w:rPr>
          <w:rFonts w:ascii="Book Antiqua" w:hAnsi="Book Antiqua"/>
          <w:lang w:eastAsia="zh-CN"/>
        </w:rPr>
      </w:pPr>
      <w:r>
        <w:rPr>
          <w:rFonts w:ascii="Book Antiqua" w:hAnsi="Book Antiqua"/>
          <w:noProof/>
          <w:lang w:eastAsia="zh-CN"/>
        </w:rPr>
        <w:drawing>
          <wp:inline distT="0" distB="0" distL="0" distR="0" wp14:anchorId="6B8C49CF" wp14:editId="7FF8762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04F96D2" w14:textId="77777777" w:rsidR="0051433C" w:rsidRDefault="0051433C" w:rsidP="0051433C">
      <w:pPr>
        <w:jc w:val="center"/>
        <w:rPr>
          <w:rFonts w:ascii="Book Antiqua" w:hAnsi="Book Antiqua"/>
          <w:lang w:eastAsia="zh-CN"/>
        </w:rPr>
      </w:pPr>
    </w:p>
    <w:p w14:paraId="5859BDB2" w14:textId="77777777" w:rsidR="0051433C" w:rsidRDefault="0051433C" w:rsidP="0051433C">
      <w:pPr>
        <w:jc w:val="center"/>
        <w:rPr>
          <w:rFonts w:ascii="Book Antiqua" w:hAnsi="Book Antiqua"/>
          <w:lang w:eastAsia="zh-CN"/>
        </w:rPr>
      </w:pPr>
    </w:p>
    <w:p w14:paraId="05CF337A" w14:textId="77777777" w:rsidR="0051433C" w:rsidRDefault="0051433C" w:rsidP="0051433C">
      <w:pPr>
        <w:jc w:val="center"/>
        <w:rPr>
          <w:rFonts w:ascii="Book Antiqua" w:hAnsi="Book Antiqua"/>
          <w:lang w:eastAsia="zh-CN"/>
        </w:rPr>
      </w:pPr>
    </w:p>
    <w:p w14:paraId="78F692AD" w14:textId="77777777" w:rsidR="0051433C" w:rsidRDefault="0051433C" w:rsidP="0051433C">
      <w:pPr>
        <w:jc w:val="center"/>
        <w:rPr>
          <w:rFonts w:ascii="Book Antiqua" w:hAnsi="Book Antiqua"/>
          <w:lang w:eastAsia="zh-CN"/>
        </w:rPr>
      </w:pPr>
    </w:p>
    <w:p w14:paraId="2666025E" w14:textId="77777777" w:rsidR="0051433C" w:rsidRDefault="0051433C" w:rsidP="0051433C">
      <w:pPr>
        <w:jc w:val="center"/>
        <w:rPr>
          <w:rFonts w:ascii="Book Antiqua" w:hAnsi="Book Antiqua"/>
          <w:lang w:eastAsia="zh-CN"/>
        </w:rPr>
      </w:pPr>
    </w:p>
    <w:p w14:paraId="32758BDE" w14:textId="77777777" w:rsidR="0051433C" w:rsidRDefault="0051433C" w:rsidP="0051433C">
      <w:pPr>
        <w:jc w:val="center"/>
        <w:rPr>
          <w:rFonts w:ascii="Book Antiqua" w:hAnsi="Book Antiqua"/>
          <w:lang w:eastAsia="zh-CN"/>
        </w:rPr>
      </w:pPr>
    </w:p>
    <w:p w14:paraId="62839492" w14:textId="77777777" w:rsidR="0051433C" w:rsidRDefault="0051433C" w:rsidP="0051433C">
      <w:pPr>
        <w:jc w:val="center"/>
        <w:rPr>
          <w:rFonts w:ascii="Book Antiqua" w:hAnsi="Book Antiqua"/>
          <w:lang w:eastAsia="zh-CN"/>
        </w:rPr>
      </w:pPr>
    </w:p>
    <w:p w14:paraId="6CE78578" w14:textId="77777777" w:rsidR="0051433C" w:rsidRDefault="0051433C" w:rsidP="0051433C">
      <w:pPr>
        <w:jc w:val="center"/>
        <w:rPr>
          <w:rFonts w:ascii="Book Antiqua" w:hAnsi="Book Antiqua"/>
          <w:lang w:eastAsia="zh-CN"/>
        </w:rPr>
      </w:pPr>
    </w:p>
    <w:p w14:paraId="08F84408" w14:textId="77777777" w:rsidR="0051433C" w:rsidRDefault="0051433C" w:rsidP="0051433C">
      <w:pPr>
        <w:jc w:val="center"/>
        <w:rPr>
          <w:rFonts w:ascii="Book Antiqua" w:hAnsi="Book Antiqua"/>
          <w:lang w:eastAsia="zh-CN"/>
        </w:rPr>
      </w:pPr>
    </w:p>
    <w:p w14:paraId="3756AEEA" w14:textId="77777777" w:rsidR="0051433C" w:rsidRPr="00763D22" w:rsidRDefault="0051433C" w:rsidP="0051433C">
      <w:pPr>
        <w:jc w:val="right"/>
        <w:rPr>
          <w:rFonts w:ascii="Book Antiqua" w:hAnsi="Book Antiqua"/>
          <w:color w:val="000000" w:themeColor="text1"/>
          <w:lang w:eastAsia="zh-CN"/>
        </w:rPr>
      </w:pPr>
    </w:p>
    <w:p w14:paraId="13810FD7" w14:textId="77777777" w:rsidR="0051433C" w:rsidRPr="00763D22" w:rsidRDefault="0051433C" w:rsidP="0051433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538E4EC" w14:textId="65EC5868" w:rsidR="00323918" w:rsidRPr="0051433C" w:rsidRDefault="00323918" w:rsidP="002D48BA">
      <w:pPr>
        <w:adjustRightInd w:val="0"/>
        <w:snapToGrid w:val="0"/>
        <w:spacing w:line="360" w:lineRule="auto"/>
        <w:jc w:val="both"/>
        <w:rPr>
          <w:rFonts w:ascii="Book Antiqua" w:hAnsi="Book Antiqua"/>
          <w:lang w:eastAsia="zh-CN"/>
        </w:rPr>
      </w:pPr>
      <w:bookmarkStart w:id="97" w:name="_GoBack"/>
      <w:bookmarkEnd w:id="97"/>
    </w:p>
    <w:sectPr w:rsidR="00323918" w:rsidRPr="0051433C" w:rsidSect="00BD7A2A">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60D0DB" w14:textId="77777777" w:rsidR="0072197F" w:rsidRDefault="0072197F" w:rsidP="00AB4BEF">
      <w:r>
        <w:separator/>
      </w:r>
    </w:p>
  </w:endnote>
  <w:endnote w:type="continuationSeparator" w:id="0">
    <w:p w14:paraId="0CF67D42" w14:textId="77777777" w:rsidR="0072197F" w:rsidRDefault="0072197F" w:rsidP="00AB4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270856126"/>
      <w:docPartObj>
        <w:docPartGallery w:val="Page Numbers (Bottom of Page)"/>
        <w:docPartUnique/>
      </w:docPartObj>
    </w:sdtPr>
    <w:sdtEndPr/>
    <w:sdtContent>
      <w:sdt>
        <w:sdtPr>
          <w:rPr>
            <w:rFonts w:ascii="Book Antiqua" w:hAnsi="Book Antiqua"/>
            <w:sz w:val="24"/>
            <w:szCs w:val="24"/>
          </w:rPr>
          <w:id w:val="860082579"/>
          <w:docPartObj>
            <w:docPartGallery w:val="Page Numbers (Top of Page)"/>
            <w:docPartUnique/>
          </w:docPartObj>
        </w:sdtPr>
        <w:sdtEndPr/>
        <w:sdtContent>
          <w:p w14:paraId="04217A91" w14:textId="77777777" w:rsidR="00654F9A" w:rsidRPr="009D5C3D" w:rsidRDefault="00654F9A">
            <w:pPr>
              <w:pStyle w:val="a4"/>
              <w:jc w:val="right"/>
              <w:rPr>
                <w:rFonts w:ascii="Book Antiqua" w:hAnsi="Book Antiqua"/>
                <w:sz w:val="24"/>
                <w:szCs w:val="24"/>
              </w:rPr>
            </w:pPr>
            <w:r w:rsidRPr="009D5C3D">
              <w:rPr>
                <w:rFonts w:ascii="Book Antiqua" w:hAnsi="Book Antiqua"/>
                <w:sz w:val="24"/>
                <w:szCs w:val="24"/>
                <w:lang w:val="zh-CN" w:eastAsia="zh-CN"/>
              </w:rPr>
              <w:t xml:space="preserve"> </w:t>
            </w:r>
            <w:r w:rsidRPr="009D5C3D">
              <w:rPr>
                <w:rFonts w:ascii="Book Antiqua" w:hAnsi="Book Antiqua"/>
                <w:sz w:val="24"/>
                <w:szCs w:val="24"/>
              </w:rPr>
              <w:fldChar w:fldCharType="begin"/>
            </w:r>
            <w:r w:rsidRPr="009D5C3D">
              <w:rPr>
                <w:rFonts w:ascii="Book Antiqua" w:hAnsi="Book Antiqua"/>
                <w:sz w:val="24"/>
                <w:szCs w:val="24"/>
              </w:rPr>
              <w:instrText>PAGE</w:instrText>
            </w:r>
            <w:r w:rsidRPr="009D5C3D">
              <w:rPr>
                <w:rFonts w:ascii="Book Antiqua" w:hAnsi="Book Antiqua"/>
                <w:sz w:val="24"/>
                <w:szCs w:val="24"/>
              </w:rPr>
              <w:fldChar w:fldCharType="separate"/>
            </w:r>
            <w:r w:rsidR="0072197F">
              <w:rPr>
                <w:rFonts w:ascii="Book Antiqua" w:hAnsi="Book Antiqua"/>
                <w:noProof/>
                <w:sz w:val="24"/>
                <w:szCs w:val="24"/>
              </w:rPr>
              <w:t>1</w:t>
            </w:r>
            <w:r w:rsidRPr="009D5C3D">
              <w:rPr>
                <w:rFonts w:ascii="Book Antiqua" w:hAnsi="Book Antiqua"/>
                <w:sz w:val="24"/>
                <w:szCs w:val="24"/>
              </w:rPr>
              <w:fldChar w:fldCharType="end"/>
            </w:r>
            <w:r w:rsidRPr="009D5C3D">
              <w:rPr>
                <w:rFonts w:ascii="Book Antiqua" w:hAnsi="Book Antiqua"/>
                <w:sz w:val="24"/>
                <w:szCs w:val="24"/>
                <w:lang w:val="zh-CN" w:eastAsia="zh-CN"/>
              </w:rPr>
              <w:t xml:space="preserve"> / </w:t>
            </w:r>
            <w:r w:rsidRPr="009D5C3D">
              <w:rPr>
                <w:rFonts w:ascii="Book Antiqua" w:hAnsi="Book Antiqua"/>
                <w:sz w:val="24"/>
                <w:szCs w:val="24"/>
              </w:rPr>
              <w:fldChar w:fldCharType="begin"/>
            </w:r>
            <w:r w:rsidRPr="009D5C3D">
              <w:rPr>
                <w:rFonts w:ascii="Book Antiqua" w:hAnsi="Book Antiqua"/>
                <w:sz w:val="24"/>
                <w:szCs w:val="24"/>
              </w:rPr>
              <w:instrText>NUMPAGES</w:instrText>
            </w:r>
            <w:r w:rsidRPr="009D5C3D">
              <w:rPr>
                <w:rFonts w:ascii="Book Antiqua" w:hAnsi="Book Antiqua"/>
                <w:sz w:val="24"/>
                <w:szCs w:val="24"/>
              </w:rPr>
              <w:fldChar w:fldCharType="separate"/>
            </w:r>
            <w:r w:rsidR="0072197F">
              <w:rPr>
                <w:rFonts w:ascii="Book Antiqua" w:hAnsi="Book Antiqua"/>
                <w:noProof/>
                <w:sz w:val="24"/>
                <w:szCs w:val="24"/>
              </w:rPr>
              <w:t>1</w:t>
            </w:r>
            <w:r w:rsidRPr="009D5C3D">
              <w:rPr>
                <w:rFonts w:ascii="Book Antiqua" w:hAnsi="Book Antiqua"/>
                <w:sz w:val="24"/>
                <w:szCs w:val="24"/>
              </w:rPr>
              <w:fldChar w:fldCharType="end"/>
            </w:r>
          </w:p>
        </w:sdtContent>
      </w:sdt>
    </w:sdtContent>
  </w:sdt>
  <w:p w14:paraId="1367C5C6" w14:textId="77777777" w:rsidR="00654F9A" w:rsidRDefault="00654F9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1CCA0C" w14:textId="77777777" w:rsidR="0072197F" w:rsidRDefault="0072197F" w:rsidP="00AB4BEF">
      <w:r>
        <w:separator/>
      </w:r>
    </w:p>
  </w:footnote>
  <w:footnote w:type="continuationSeparator" w:id="0">
    <w:p w14:paraId="7803BB7B" w14:textId="77777777" w:rsidR="0072197F" w:rsidRDefault="0072197F" w:rsidP="00AB4B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75DF6"/>
    <w:rsid w:val="000B44F2"/>
    <w:rsid w:val="000E41B3"/>
    <w:rsid w:val="001729B0"/>
    <w:rsid w:val="001D26FA"/>
    <w:rsid w:val="001E06ED"/>
    <w:rsid w:val="00241D35"/>
    <w:rsid w:val="002718F7"/>
    <w:rsid w:val="0028619F"/>
    <w:rsid w:val="002B0E05"/>
    <w:rsid w:val="002B4F52"/>
    <w:rsid w:val="002D48BA"/>
    <w:rsid w:val="002F39A0"/>
    <w:rsid w:val="002F61E4"/>
    <w:rsid w:val="00323918"/>
    <w:rsid w:val="003251DF"/>
    <w:rsid w:val="00332C41"/>
    <w:rsid w:val="003B5510"/>
    <w:rsid w:val="003F3096"/>
    <w:rsid w:val="00430807"/>
    <w:rsid w:val="00435F28"/>
    <w:rsid w:val="00461239"/>
    <w:rsid w:val="00461A03"/>
    <w:rsid w:val="00481DE7"/>
    <w:rsid w:val="004C2239"/>
    <w:rsid w:val="004C700B"/>
    <w:rsid w:val="004E0813"/>
    <w:rsid w:val="0051433C"/>
    <w:rsid w:val="0056258C"/>
    <w:rsid w:val="005810EA"/>
    <w:rsid w:val="0059057D"/>
    <w:rsid w:val="005B06E9"/>
    <w:rsid w:val="005C41D8"/>
    <w:rsid w:val="00601B14"/>
    <w:rsid w:val="00602EC4"/>
    <w:rsid w:val="00615158"/>
    <w:rsid w:val="00654F9A"/>
    <w:rsid w:val="00692009"/>
    <w:rsid w:val="00706678"/>
    <w:rsid w:val="00717DC8"/>
    <w:rsid w:val="0072197F"/>
    <w:rsid w:val="00786E00"/>
    <w:rsid w:val="007E7692"/>
    <w:rsid w:val="00837B00"/>
    <w:rsid w:val="0084043C"/>
    <w:rsid w:val="00852062"/>
    <w:rsid w:val="008563BA"/>
    <w:rsid w:val="008574F8"/>
    <w:rsid w:val="008C3592"/>
    <w:rsid w:val="008F6FD4"/>
    <w:rsid w:val="0090040D"/>
    <w:rsid w:val="00910CF0"/>
    <w:rsid w:val="00911A53"/>
    <w:rsid w:val="009269BE"/>
    <w:rsid w:val="00965D3A"/>
    <w:rsid w:val="00994536"/>
    <w:rsid w:val="009A3A2F"/>
    <w:rsid w:val="009D5C3D"/>
    <w:rsid w:val="00A0765F"/>
    <w:rsid w:val="00A21CE3"/>
    <w:rsid w:val="00A77B3E"/>
    <w:rsid w:val="00A939C4"/>
    <w:rsid w:val="00AB4BEF"/>
    <w:rsid w:val="00B028B6"/>
    <w:rsid w:val="00B129ED"/>
    <w:rsid w:val="00B34AE2"/>
    <w:rsid w:val="00B41DD5"/>
    <w:rsid w:val="00B52755"/>
    <w:rsid w:val="00B66CF5"/>
    <w:rsid w:val="00B81F95"/>
    <w:rsid w:val="00BB35B5"/>
    <w:rsid w:val="00C06BCE"/>
    <w:rsid w:val="00C15BFA"/>
    <w:rsid w:val="00C50CDE"/>
    <w:rsid w:val="00CA2A55"/>
    <w:rsid w:val="00CB0E40"/>
    <w:rsid w:val="00CB7EA5"/>
    <w:rsid w:val="00CD2972"/>
    <w:rsid w:val="00CD345A"/>
    <w:rsid w:val="00D41332"/>
    <w:rsid w:val="00D44A5F"/>
    <w:rsid w:val="00D51D06"/>
    <w:rsid w:val="00D6142C"/>
    <w:rsid w:val="00E81DD5"/>
    <w:rsid w:val="00E916A5"/>
    <w:rsid w:val="00EB1528"/>
    <w:rsid w:val="00EB45DE"/>
    <w:rsid w:val="00EE7F05"/>
    <w:rsid w:val="00F26176"/>
    <w:rsid w:val="00F42ECE"/>
    <w:rsid w:val="00F46092"/>
    <w:rsid w:val="00F664D2"/>
    <w:rsid w:val="00F86B0B"/>
    <w:rsid w:val="00FE43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D6F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AB4BE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B4BEF"/>
    <w:rPr>
      <w:sz w:val="18"/>
      <w:szCs w:val="18"/>
    </w:rPr>
  </w:style>
  <w:style w:type="paragraph" w:styleId="a4">
    <w:name w:val="footer"/>
    <w:basedOn w:val="a"/>
    <w:link w:val="Char0"/>
    <w:uiPriority w:val="99"/>
    <w:rsid w:val="00AB4BEF"/>
    <w:pPr>
      <w:tabs>
        <w:tab w:val="center" w:pos="4153"/>
        <w:tab w:val="right" w:pos="8306"/>
      </w:tabs>
      <w:snapToGrid w:val="0"/>
    </w:pPr>
    <w:rPr>
      <w:sz w:val="18"/>
      <w:szCs w:val="18"/>
    </w:rPr>
  </w:style>
  <w:style w:type="character" w:customStyle="1" w:styleId="Char0">
    <w:name w:val="页脚 Char"/>
    <w:basedOn w:val="a0"/>
    <w:link w:val="a4"/>
    <w:uiPriority w:val="99"/>
    <w:rsid w:val="00AB4BEF"/>
    <w:rPr>
      <w:sz w:val="18"/>
      <w:szCs w:val="18"/>
    </w:rPr>
  </w:style>
  <w:style w:type="paragraph" w:styleId="a5">
    <w:name w:val="Normal (Web)"/>
    <w:basedOn w:val="a"/>
    <w:uiPriority w:val="99"/>
    <w:unhideWhenUsed/>
    <w:rsid w:val="008F6FD4"/>
    <w:pPr>
      <w:spacing w:before="100" w:beforeAutospacing="1" w:after="100" w:afterAutospacing="1"/>
    </w:pPr>
    <w:rPr>
      <w:rFonts w:ascii="宋体" w:eastAsia="宋体" w:hAnsi="宋体" w:cs="宋体"/>
      <w:lang w:eastAsia="zh-CN"/>
    </w:rPr>
  </w:style>
  <w:style w:type="paragraph" w:styleId="a6">
    <w:name w:val="Balloon Text"/>
    <w:basedOn w:val="a"/>
    <w:link w:val="Char1"/>
    <w:rsid w:val="002D48BA"/>
    <w:rPr>
      <w:sz w:val="18"/>
      <w:szCs w:val="18"/>
    </w:rPr>
  </w:style>
  <w:style w:type="character" w:customStyle="1" w:styleId="Char1">
    <w:name w:val="批注框文本 Char"/>
    <w:basedOn w:val="a0"/>
    <w:link w:val="a6"/>
    <w:rsid w:val="002D48BA"/>
    <w:rPr>
      <w:sz w:val="18"/>
      <w:szCs w:val="18"/>
    </w:rPr>
  </w:style>
  <w:style w:type="table" w:styleId="a7">
    <w:name w:val="Table Grid"/>
    <w:basedOn w:val="a1"/>
    <w:uiPriority w:val="39"/>
    <w:rsid w:val="000E41B3"/>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AB4BE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B4BEF"/>
    <w:rPr>
      <w:sz w:val="18"/>
      <w:szCs w:val="18"/>
    </w:rPr>
  </w:style>
  <w:style w:type="paragraph" w:styleId="a4">
    <w:name w:val="footer"/>
    <w:basedOn w:val="a"/>
    <w:link w:val="Char0"/>
    <w:uiPriority w:val="99"/>
    <w:rsid w:val="00AB4BEF"/>
    <w:pPr>
      <w:tabs>
        <w:tab w:val="center" w:pos="4153"/>
        <w:tab w:val="right" w:pos="8306"/>
      </w:tabs>
      <w:snapToGrid w:val="0"/>
    </w:pPr>
    <w:rPr>
      <w:sz w:val="18"/>
      <w:szCs w:val="18"/>
    </w:rPr>
  </w:style>
  <w:style w:type="character" w:customStyle="1" w:styleId="Char0">
    <w:name w:val="页脚 Char"/>
    <w:basedOn w:val="a0"/>
    <w:link w:val="a4"/>
    <w:uiPriority w:val="99"/>
    <w:rsid w:val="00AB4BEF"/>
    <w:rPr>
      <w:sz w:val="18"/>
      <w:szCs w:val="18"/>
    </w:rPr>
  </w:style>
  <w:style w:type="paragraph" w:styleId="a5">
    <w:name w:val="Normal (Web)"/>
    <w:basedOn w:val="a"/>
    <w:uiPriority w:val="99"/>
    <w:unhideWhenUsed/>
    <w:rsid w:val="008F6FD4"/>
    <w:pPr>
      <w:spacing w:before="100" w:beforeAutospacing="1" w:after="100" w:afterAutospacing="1"/>
    </w:pPr>
    <w:rPr>
      <w:rFonts w:ascii="宋体" w:eastAsia="宋体" w:hAnsi="宋体" w:cs="宋体"/>
      <w:lang w:eastAsia="zh-CN"/>
    </w:rPr>
  </w:style>
  <w:style w:type="paragraph" w:styleId="a6">
    <w:name w:val="Balloon Text"/>
    <w:basedOn w:val="a"/>
    <w:link w:val="Char1"/>
    <w:rsid w:val="002D48BA"/>
    <w:rPr>
      <w:sz w:val="18"/>
      <w:szCs w:val="18"/>
    </w:rPr>
  </w:style>
  <w:style w:type="character" w:customStyle="1" w:styleId="Char1">
    <w:name w:val="批注框文本 Char"/>
    <w:basedOn w:val="a0"/>
    <w:link w:val="a6"/>
    <w:rsid w:val="002D48BA"/>
    <w:rPr>
      <w:sz w:val="18"/>
      <w:szCs w:val="18"/>
    </w:rPr>
  </w:style>
  <w:style w:type="table" w:styleId="a7">
    <w:name w:val="Table Grid"/>
    <w:basedOn w:val="a1"/>
    <w:uiPriority w:val="39"/>
    <w:rsid w:val="000E41B3"/>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8437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5193</Words>
  <Characters>29604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2021-04-07T03:40:00Z</dcterms:created>
  <dcterms:modified xsi:type="dcterms:W3CDTF">2021-05-07T06:46:00Z</dcterms:modified>
</cp:coreProperties>
</file>