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D0F051"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 xml:space="preserve">Name of Journal: </w:t>
      </w:r>
      <w:r w:rsidRPr="00C56D4F">
        <w:rPr>
          <w:rFonts w:ascii="Book Antiqua" w:eastAsia="Book Antiqua" w:hAnsi="Book Antiqua" w:cs="Book Antiqua"/>
          <w:i/>
          <w:color w:val="000000"/>
        </w:rPr>
        <w:t>World Journal of Clinical Cases</w:t>
      </w:r>
    </w:p>
    <w:p w14:paraId="25A05401"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 xml:space="preserve">Manuscript NO: </w:t>
      </w:r>
      <w:r w:rsidRPr="00C56D4F">
        <w:rPr>
          <w:rFonts w:ascii="Book Antiqua" w:eastAsia="Book Antiqua" w:hAnsi="Book Antiqua" w:cs="Book Antiqua"/>
          <w:color w:val="000000"/>
        </w:rPr>
        <w:t>62415</w:t>
      </w:r>
    </w:p>
    <w:p w14:paraId="12C37884"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 xml:space="preserve">Manuscript Type: </w:t>
      </w:r>
      <w:r w:rsidRPr="00C56D4F">
        <w:rPr>
          <w:rFonts w:ascii="Book Antiqua" w:eastAsia="Book Antiqua" w:hAnsi="Book Antiqua" w:cs="Book Antiqua"/>
          <w:color w:val="000000"/>
        </w:rPr>
        <w:t>CASE REPORT</w:t>
      </w:r>
    </w:p>
    <w:p w14:paraId="6FF324BC" w14:textId="77777777" w:rsidR="00A77B3E" w:rsidRPr="00C56D4F" w:rsidRDefault="00A77B3E" w:rsidP="00C56D4F">
      <w:pPr>
        <w:adjustRightInd w:val="0"/>
        <w:snapToGrid w:val="0"/>
        <w:spacing w:line="360" w:lineRule="auto"/>
        <w:jc w:val="both"/>
        <w:rPr>
          <w:rFonts w:ascii="Book Antiqua" w:hAnsi="Book Antiqua"/>
        </w:rPr>
      </w:pPr>
    </w:p>
    <w:p w14:paraId="5DD536C2" w14:textId="1AE11DB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 xml:space="preserve">Geleophysic dysplasia caused by a mutation in </w:t>
      </w:r>
      <w:r w:rsidRPr="00C56D4F">
        <w:rPr>
          <w:rFonts w:ascii="Book Antiqua" w:eastAsia="Book Antiqua" w:hAnsi="Book Antiqua" w:cs="Book Antiqua"/>
          <w:b/>
          <w:i/>
          <w:iCs/>
          <w:color w:val="000000"/>
        </w:rPr>
        <w:t>FBN1</w:t>
      </w:r>
      <w:r w:rsidRPr="00C56D4F">
        <w:rPr>
          <w:rFonts w:ascii="Book Antiqua" w:eastAsia="Book Antiqua" w:hAnsi="Book Antiqua" w:cs="Book Antiqua"/>
          <w:b/>
          <w:color w:val="000000"/>
        </w:rPr>
        <w:t xml:space="preserve">: </w:t>
      </w:r>
      <w:r w:rsidR="002237B9" w:rsidRPr="00C56D4F">
        <w:rPr>
          <w:rFonts w:ascii="Book Antiqua" w:eastAsia="Book Antiqua" w:hAnsi="Book Antiqua" w:cs="Book Antiqua"/>
          <w:b/>
          <w:color w:val="000000"/>
        </w:rPr>
        <w:t>A</w:t>
      </w:r>
      <w:r w:rsidRPr="00C56D4F">
        <w:rPr>
          <w:rFonts w:ascii="Book Antiqua" w:eastAsia="Book Antiqua" w:hAnsi="Book Antiqua" w:cs="Book Antiqua"/>
          <w:b/>
          <w:color w:val="000000"/>
        </w:rPr>
        <w:t xml:space="preserve"> case report</w:t>
      </w:r>
    </w:p>
    <w:p w14:paraId="57A2910F" w14:textId="77777777" w:rsidR="00A77B3E" w:rsidRPr="00C56D4F" w:rsidRDefault="00A77B3E" w:rsidP="00C56D4F">
      <w:pPr>
        <w:adjustRightInd w:val="0"/>
        <w:snapToGrid w:val="0"/>
        <w:spacing w:line="360" w:lineRule="auto"/>
        <w:jc w:val="both"/>
        <w:rPr>
          <w:rFonts w:ascii="Book Antiqua" w:hAnsi="Book Antiqua"/>
        </w:rPr>
      </w:pPr>
    </w:p>
    <w:p w14:paraId="12A3CB76" w14:textId="29510EC2" w:rsidR="00A77B3E" w:rsidRPr="00C56D4F" w:rsidRDefault="001773C8"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Tao </w:t>
      </w:r>
      <w:r w:rsidR="001B3ABD">
        <w:rPr>
          <w:rFonts w:ascii="Book Antiqua" w:eastAsia="Book Antiqua" w:hAnsi="Book Antiqua" w:cs="Book Antiqua"/>
          <w:color w:val="000000"/>
        </w:rPr>
        <w:t xml:space="preserve">Y </w:t>
      </w:r>
      <w:r w:rsidRPr="00C56D4F">
        <w:rPr>
          <w:rFonts w:ascii="Book Antiqua" w:eastAsia="Book Antiqua" w:hAnsi="Book Antiqua" w:cs="Book Antiqua"/>
          <w:i/>
          <w:iCs/>
          <w:color w:val="000000"/>
        </w:rPr>
        <w:t>et al</w:t>
      </w:r>
      <w:r>
        <w:rPr>
          <w:rFonts w:ascii="Book Antiqua" w:hAnsi="Book Antiqua" w:hint="eastAsia"/>
          <w:lang w:eastAsia="zh-CN"/>
        </w:rPr>
        <w:t>.</w:t>
      </w:r>
      <w:r>
        <w:rPr>
          <w:rFonts w:ascii="Book Antiqua" w:hAnsi="Book Antiqua"/>
          <w:lang w:eastAsia="zh-CN"/>
        </w:rPr>
        <w:t xml:space="preserve"> </w:t>
      </w:r>
      <w:r w:rsidR="00B43BB4" w:rsidRPr="001773C8">
        <w:rPr>
          <w:rFonts w:ascii="Book Antiqua" w:eastAsia="Book Antiqua" w:hAnsi="Book Antiqua" w:cs="Book Antiqua"/>
          <w:color w:val="000000"/>
        </w:rPr>
        <w:t>Case</w:t>
      </w:r>
      <w:r w:rsidR="00B43BB4">
        <w:rPr>
          <w:rFonts w:ascii="Book Antiqua" w:eastAsia="Book Antiqua" w:hAnsi="Book Antiqua" w:cs="Book Antiqua"/>
          <w:color w:val="000000"/>
        </w:rPr>
        <w:t xml:space="preserve"> </w:t>
      </w:r>
      <w:r w:rsidR="00B43BB4" w:rsidRPr="001773C8">
        <w:rPr>
          <w:rFonts w:ascii="Book Antiqua" w:eastAsia="Book Antiqua" w:hAnsi="Book Antiqua" w:cs="Book Antiqua"/>
          <w:color w:val="000000"/>
        </w:rPr>
        <w:t>report</w:t>
      </w:r>
      <w:r w:rsidR="00B43BB4">
        <w:rPr>
          <w:rFonts w:ascii="Book Antiqua" w:eastAsia="Book Antiqua" w:hAnsi="Book Antiqua" w:cs="Book Antiqua"/>
          <w:color w:val="000000"/>
        </w:rPr>
        <w:t xml:space="preserve"> </w:t>
      </w:r>
      <w:r w:rsidR="00B43BB4" w:rsidRPr="001773C8">
        <w:rPr>
          <w:rFonts w:ascii="Book Antiqua" w:eastAsia="Book Antiqua" w:hAnsi="Book Antiqua" w:cs="Book Antiqua"/>
          <w:color w:val="000000"/>
        </w:rPr>
        <w:t xml:space="preserve">of </w:t>
      </w:r>
      <w:r w:rsidR="00064B7B" w:rsidRPr="001773C8">
        <w:rPr>
          <w:rFonts w:ascii="Book Antiqua" w:eastAsia="Book Antiqua" w:hAnsi="Book Antiqua" w:cs="Book Antiqua"/>
          <w:color w:val="000000"/>
        </w:rPr>
        <w:t>g</w:t>
      </w:r>
      <w:r w:rsidR="00B43BB4" w:rsidRPr="001773C8">
        <w:rPr>
          <w:rFonts w:ascii="Book Antiqua" w:eastAsia="Book Antiqua" w:hAnsi="Book Antiqua" w:cs="Book Antiqua"/>
          <w:color w:val="000000"/>
        </w:rPr>
        <w:t>eleophysic dysplasia</w:t>
      </w:r>
    </w:p>
    <w:p w14:paraId="30C12DA2" w14:textId="77777777" w:rsidR="00A77B3E" w:rsidRPr="00C56D4F" w:rsidRDefault="00A77B3E" w:rsidP="00C56D4F">
      <w:pPr>
        <w:adjustRightInd w:val="0"/>
        <w:snapToGrid w:val="0"/>
        <w:spacing w:line="360" w:lineRule="auto"/>
        <w:jc w:val="both"/>
        <w:rPr>
          <w:rFonts w:ascii="Book Antiqua" w:hAnsi="Book Antiqua"/>
        </w:rPr>
      </w:pPr>
    </w:p>
    <w:p w14:paraId="7E00696D" w14:textId="726768E4"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Y</w:t>
      </w:r>
      <w:r w:rsidR="002237B9" w:rsidRPr="00C56D4F">
        <w:rPr>
          <w:rFonts w:ascii="Book Antiqua" w:eastAsia="Book Antiqua" w:hAnsi="Book Antiqua" w:cs="Book Antiqua"/>
          <w:color w:val="000000"/>
        </w:rPr>
        <w:t>ing</w:t>
      </w:r>
      <w:r w:rsidRPr="00C56D4F">
        <w:rPr>
          <w:rFonts w:ascii="Book Antiqua" w:eastAsia="Book Antiqua" w:hAnsi="Book Antiqua" w:cs="Book Antiqua"/>
          <w:color w:val="000000"/>
        </w:rPr>
        <w:t xml:space="preserve"> T</w:t>
      </w:r>
      <w:r w:rsidR="002237B9" w:rsidRPr="00C56D4F">
        <w:rPr>
          <w:rFonts w:ascii="Book Antiqua" w:eastAsia="Book Antiqua" w:hAnsi="Book Antiqua" w:cs="Book Antiqua"/>
          <w:color w:val="000000"/>
        </w:rPr>
        <w:t>ao</w:t>
      </w:r>
      <w:r w:rsidRPr="00C56D4F">
        <w:rPr>
          <w:rFonts w:ascii="Book Antiqua" w:eastAsia="Book Antiqua" w:hAnsi="Book Antiqua" w:cs="Book Antiqua"/>
          <w:color w:val="000000"/>
        </w:rPr>
        <w:t>, Qing Wei, Xun Chen, Guang-Min Nong</w:t>
      </w:r>
    </w:p>
    <w:p w14:paraId="70D98909" w14:textId="77777777" w:rsidR="00A77B3E" w:rsidRPr="00C56D4F" w:rsidRDefault="00A77B3E" w:rsidP="00C56D4F">
      <w:pPr>
        <w:adjustRightInd w:val="0"/>
        <w:snapToGrid w:val="0"/>
        <w:spacing w:line="360" w:lineRule="auto"/>
        <w:jc w:val="both"/>
        <w:rPr>
          <w:rFonts w:ascii="Book Antiqua" w:hAnsi="Book Antiqua"/>
        </w:rPr>
      </w:pPr>
    </w:p>
    <w:p w14:paraId="646B03A5" w14:textId="741F7C00" w:rsidR="00A77B3E" w:rsidRPr="00C56D4F" w:rsidRDefault="002237B9"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Ying Tao</w:t>
      </w:r>
      <w:r w:rsidR="00AD0793" w:rsidRPr="00C56D4F">
        <w:rPr>
          <w:rFonts w:ascii="Book Antiqua" w:eastAsia="Book Antiqua" w:hAnsi="Book Antiqua" w:cs="Book Antiqua"/>
          <w:b/>
          <w:bCs/>
          <w:color w:val="000000"/>
        </w:rPr>
        <w:t xml:space="preserve">, Qing Wei, Xun Chen, Guang-Min Nong, </w:t>
      </w:r>
      <w:r w:rsidR="00AD0793" w:rsidRPr="00C56D4F">
        <w:rPr>
          <w:rFonts w:ascii="Book Antiqua" w:eastAsia="Book Antiqua" w:hAnsi="Book Antiqua" w:cs="Book Antiqua"/>
          <w:color w:val="000000"/>
        </w:rPr>
        <w:t>Department of Pediatrics, The First Affiliated Hospital of Guangxi Medical University, Nanning 530021, Guangxi Zhuang Autonomous Region, China</w:t>
      </w:r>
    </w:p>
    <w:p w14:paraId="7877C800" w14:textId="77777777" w:rsidR="00A77B3E" w:rsidRPr="00C56D4F" w:rsidRDefault="00A77B3E" w:rsidP="00C56D4F">
      <w:pPr>
        <w:adjustRightInd w:val="0"/>
        <w:snapToGrid w:val="0"/>
        <w:spacing w:line="360" w:lineRule="auto"/>
        <w:jc w:val="both"/>
        <w:rPr>
          <w:rFonts w:ascii="Book Antiqua" w:hAnsi="Book Antiqua"/>
        </w:rPr>
      </w:pPr>
    </w:p>
    <w:p w14:paraId="264099E5" w14:textId="4B1FC3A1"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 xml:space="preserve">Author contributions: </w:t>
      </w:r>
      <w:r w:rsidRPr="00C56D4F">
        <w:rPr>
          <w:rFonts w:ascii="Book Antiqua" w:eastAsia="Book Antiqua" w:hAnsi="Book Antiqua" w:cs="Book Antiqua"/>
          <w:color w:val="000000"/>
        </w:rPr>
        <w:t xml:space="preserve">Tao Y, Wei Q, and Nong GM conceptualized and designed the study; Tao Y and Wei Q drafted the initial manuscript; Chen X collected and </w:t>
      </w:r>
      <w:r w:rsidR="00D43D1C" w:rsidRPr="00C56D4F">
        <w:rPr>
          <w:rFonts w:ascii="Book Antiqua" w:eastAsia="Book Antiqua" w:hAnsi="Book Antiqua" w:cs="Book Antiqua"/>
          <w:color w:val="000000"/>
        </w:rPr>
        <w:t>analyzed</w:t>
      </w:r>
      <w:r w:rsidRPr="00C56D4F">
        <w:rPr>
          <w:rFonts w:ascii="Book Antiqua" w:eastAsia="Book Antiqua" w:hAnsi="Book Antiqua" w:cs="Book Antiqua"/>
          <w:color w:val="000000"/>
        </w:rPr>
        <w:t xml:space="preserve"> the data; Tao Y, Wei Q, and Chen X reviewed and revised the manuscript; Nong GM coordinated and supervised the data collection, and critically reviewed the manuscript; </w:t>
      </w:r>
      <w:r w:rsidR="00543A26">
        <w:rPr>
          <w:rFonts w:ascii="Book Antiqua" w:eastAsia="Book Antiqua" w:hAnsi="Book Antiqua" w:cs="Book Antiqua"/>
          <w:color w:val="000000"/>
        </w:rPr>
        <w:t>A</w:t>
      </w:r>
      <w:r w:rsidRPr="00C56D4F">
        <w:rPr>
          <w:rFonts w:ascii="Book Antiqua" w:eastAsia="Book Antiqua" w:hAnsi="Book Antiqua" w:cs="Book Antiqua"/>
          <w:color w:val="000000"/>
        </w:rPr>
        <w:t xml:space="preserve">ll authors approved the final manuscript </w:t>
      </w:r>
      <w:r w:rsidR="00D43D1C">
        <w:rPr>
          <w:rFonts w:ascii="Book Antiqua" w:eastAsia="Book Antiqua" w:hAnsi="Book Antiqua" w:cs="Book Antiqua"/>
          <w:color w:val="000000"/>
        </w:rPr>
        <w:t xml:space="preserve">as </w:t>
      </w:r>
      <w:r w:rsidRPr="00C56D4F">
        <w:rPr>
          <w:rFonts w:ascii="Book Antiqua" w:eastAsia="Book Antiqua" w:hAnsi="Book Antiqua" w:cs="Book Antiqua"/>
          <w:color w:val="000000"/>
        </w:rPr>
        <w:t>submitted and agree to be accountable for all aspects of the work.</w:t>
      </w:r>
    </w:p>
    <w:p w14:paraId="175C9D44" w14:textId="77777777" w:rsidR="00A77B3E" w:rsidRPr="00C56D4F" w:rsidRDefault="00A77B3E" w:rsidP="00C56D4F">
      <w:pPr>
        <w:adjustRightInd w:val="0"/>
        <w:snapToGrid w:val="0"/>
        <w:spacing w:line="360" w:lineRule="auto"/>
        <w:jc w:val="both"/>
        <w:rPr>
          <w:rFonts w:ascii="Book Antiqua" w:hAnsi="Book Antiqua"/>
        </w:rPr>
      </w:pPr>
    </w:p>
    <w:p w14:paraId="570A0096" w14:textId="5316051B" w:rsidR="00A77B3E" w:rsidRPr="00C56D4F" w:rsidRDefault="00C74D91" w:rsidP="00C56D4F">
      <w:pPr>
        <w:adjustRightInd w:val="0"/>
        <w:snapToGrid w:val="0"/>
        <w:spacing w:line="360" w:lineRule="auto"/>
        <w:jc w:val="both"/>
        <w:rPr>
          <w:rFonts w:ascii="Book Antiqua" w:hAnsi="Book Antiqua"/>
        </w:rPr>
      </w:pPr>
      <w:r w:rsidRPr="00C74D91">
        <w:rPr>
          <w:rFonts w:ascii="Book Antiqua" w:eastAsia="Book Antiqua" w:hAnsi="Book Antiqua" w:cs="Book Antiqua"/>
          <w:b/>
          <w:bCs/>
          <w:color w:val="000000"/>
        </w:rPr>
        <w:t xml:space="preserve">Corresponding author: </w:t>
      </w:r>
      <w:r w:rsidR="00AD0793" w:rsidRPr="00C56D4F">
        <w:rPr>
          <w:rFonts w:ascii="Book Antiqua" w:eastAsia="Book Antiqua" w:hAnsi="Book Antiqua" w:cs="Book Antiqua"/>
          <w:b/>
          <w:bCs/>
          <w:color w:val="000000"/>
        </w:rPr>
        <w:t xml:space="preserve">Guang-Min Nong, MD, Professor, </w:t>
      </w:r>
      <w:r w:rsidR="00AD0793" w:rsidRPr="00C56D4F">
        <w:rPr>
          <w:rFonts w:ascii="Book Antiqua" w:eastAsia="Book Antiqua" w:hAnsi="Book Antiqua" w:cs="Book Antiqua"/>
          <w:color w:val="000000"/>
        </w:rPr>
        <w:t>Department of Pediatrics, The First Affiliated Hospital of Guangxi Medical University, No. 6 Shuangyong Road, Nanning 530021, Guangxi Zhuang Autonomous Region, China. ngm8525@163.com</w:t>
      </w:r>
    </w:p>
    <w:p w14:paraId="35C54DE3" w14:textId="77777777" w:rsidR="00A77B3E" w:rsidRPr="00C56D4F" w:rsidRDefault="00A77B3E" w:rsidP="00C56D4F">
      <w:pPr>
        <w:adjustRightInd w:val="0"/>
        <w:snapToGrid w:val="0"/>
        <w:spacing w:line="360" w:lineRule="auto"/>
        <w:jc w:val="both"/>
        <w:rPr>
          <w:rFonts w:ascii="Book Antiqua" w:hAnsi="Book Antiqua"/>
        </w:rPr>
      </w:pPr>
    </w:p>
    <w:p w14:paraId="6D49DDAC"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 xml:space="preserve">Received: </w:t>
      </w:r>
      <w:r w:rsidRPr="00C56D4F">
        <w:rPr>
          <w:rFonts w:ascii="Book Antiqua" w:eastAsia="Book Antiqua" w:hAnsi="Book Antiqua" w:cs="Book Antiqua"/>
          <w:color w:val="000000"/>
        </w:rPr>
        <w:t>February 23, 2021</w:t>
      </w:r>
    </w:p>
    <w:p w14:paraId="45C9F204" w14:textId="1AB5A6D1" w:rsidR="00A77B3E" w:rsidRPr="00AE026D"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 xml:space="preserve">Revised: </w:t>
      </w:r>
      <w:r w:rsidR="00AE026D" w:rsidRPr="00AE026D">
        <w:rPr>
          <w:rFonts w:ascii="Book Antiqua" w:eastAsia="Book Antiqua" w:hAnsi="Book Antiqua" w:cs="Book Antiqua"/>
          <w:color w:val="000000"/>
        </w:rPr>
        <w:t>May 19, 2021</w:t>
      </w:r>
    </w:p>
    <w:p w14:paraId="6F5657E5" w14:textId="14115698"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 xml:space="preserve">Accepted: </w:t>
      </w:r>
      <w:r w:rsidR="00F32D1D" w:rsidRPr="00F32D1D">
        <w:rPr>
          <w:rFonts w:ascii="Book Antiqua" w:eastAsia="Book Antiqua" w:hAnsi="Book Antiqua" w:cs="Book Antiqua"/>
          <w:bCs/>
          <w:color w:val="000000"/>
        </w:rPr>
        <w:t>July 7, 2021</w:t>
      </w:r>
    </w:p>
    <w:p w14:paraId="5E76E13A" w14:textId="6834263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 xml:space="preserve">Published online: </w:t>
      </w:r>
      <w:r w:rsidR="00E60EBC" w:rsidRPr="00E60EBC">
        <w:rPr>
          <w:rFonts w:ascii="Book Antiqua" w:eastAsia="Book Antiqua" w:hAnsi="Book Antiqua" w:cs="Book Antiqua"/>
          <w:bCs/>
          <w:color w:val="000000"/>
        </w:rPr>
        <w:t>August</w:t>
      </w:r>
      <w:r w:rsidR="00E60EBC">
        <w:rPr>
          <w:rFonts w:ascii="Book Antiqua" w:hAnsi="Book Antiqua" w:cs="Book Antiqua" w:hint="eastAsia"/>
          <w:bCs/>
          <w:color w:val="000000"/>
          <w:lang w:eastAsia="zh-CN"/>
        </w:rPr>
        <w:t xml:space="preserve"> </w:t>
      </w:r>
      <w:r w:rsidR="000B09B6">
        <w:rPr>
          <w:rFonts w:ascii="Book Antiqua" w:hAnsi="Book Antiqua" w:cs="Book Antiqua" w:hint="eastAsia"/>
          <w:bCs/>
          <w:color w:val="000000"/>
          <w:lang w:eastAsia="zh-CN"/>
        </w:rPr>
        <w:t>2</w:t>
      </w:r>
      <w:r w:rsidR="000B09B6" w:rsidRPr="000B09B6">
        <w:rPr>
          <w:rFonts w:ascii="Book Antiqua" w:eastAsia="Book Antiqua" w:hAnsi="Book Antiqua" w:cs="Book Antiqua"/>
          <w:bCs/>
          <w:color w:val="000000"/>
        </w:rPr>
        <w:t>6, 2021</w:t>
      </w:r>
    </w:p>
    <w:p w14:paraId="11AB63C9" w14:textId="77777777" w:rsidR="00A77B3E" w:rsidRPr="00C56D4F" w:rsidRDefault="00A77B3E" w:rsidP="00C56D4F">
      <w:pPr>
        <w:adjustRightInd w:val="0"/>
        <w:snapToGrid w:val="0"/>
        <w:spacing w:line="360" w:lineRule="auto"/>
        <w:jc w:val="both"/>
        <w:rPr>
          <w:rFonts w:ascii="Book Antiqua" w:hAnsi="Book Antiqua"/>
        </w:rPr>
        <w:sectPr w:rsidR="00A77B3E" w:rsidRPr="00C56D4F">
          <w:footerReference w:type="default" r:id="rId8"/>
          <w:pgSz w:w="12240" w:h="15840"/>
          <w:pgMar w:top="1440" w:right="1440" w:bottom="1440" w:left="1440" w:header="720" w:footer="720" w:gutter="0"/>
          <w:cols w:space="720"/>
          <w:docGrid w:linePitch="360"/>
        </w:sectPr>
      </w:pPr>
    </w:p>
    <w:p w14:paraId="771FD734"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lastRenderedPageBreak/>
        <w:t>Abstract</w:t>
      </w:r>
    </w:p>
    <w:p w14:paraId="1B8FE725"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BACKGROUND</w:t>
      </w:r>
    </w:p>
    <w:p w14:paraId="7AA336A7" w14:textId="2B843AFE"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Geleophysic dysplasia (GD) present</w:t>
      </w:r>
      <w:r w:rsidR="00725542">
        <w:rPr>
          <w:rFonts w:ascii="Book Antiqua" w:eastAsia="Book Antiqua" w:hAnsi="Book Antiqua" w:cs="Book Antiqua"/>
          <w:color w:val="000000"/>
        </w:rPr>
        <w:t>s</w:t>
      </w:r>
      <w:r w:rsidRPr="00C56D4F">
        <w:rPr>
          <w:rFonts w:ascii="Book Antiqua" w:eastAsia="Book Antiqua" w:hAnsi="Book Antiqua" w:cs="Book Antiqua"/>
          <w:color w:val="000000"/>
        </w:rPr>
        <w:t xml:space="preserve"> the characterized clinical manifestations of acromelic dysplasia, including extremely short stature, short limbs, small hands and feet, stubby fingers and toes, joint </w:t>
      </w:r>
      <w:r w:rsidR="00725542" w:rsidRPr="00C56D4F">
        <w:rPr>
          <w:rFonts w:ascii="Book Antiqua" w:eastAsia="Book Antiqua" w:hAnsi="Book Antiqua" w:cs="Book Antiqua"/>
          <w:color w:val="000000"/>
        </w:rPr>
        <w:t>stiffness</w:t>
      </w:r>
      <w:r w:rsidRPr="00C56D4F">
        <w:rPr>
          <w:rFonts w:ascii="Book Antiqua" w:eastAsia="Book Antiqua" w:hAnsi="Book Antiqua" w:cs="Book Antiqua"/>
          <w:color w:val="000000"/>
        </w:rPr>
        <w:t xml:space="preserve"> and others. </w:t>
      </w:r>
      <w:r w:rsidR="00725542">
        <w:rPr>
          <w:rFonts w:ascii="Book Antiqua" w:eastAsia="Book Antiqua" w:hAnsi="Book Antiqua" w:cs="Book Antiqua"/>
          <w:color w:val="000000"/>
        </w:rPr>
        <w:t>It is</w:t>
      </w:r>
      <w:r w:rsidR="00725542" w:rsidRPr="00C56D4F">
        <w:rPr>
          <w:rFonts w:ascii="Book Antiqua" w:eastAsia="Book Antiqua" w:hAnsi="Book Antiqua" w:cs="Book Antiqua"/>
          <w:color w:val="000000"/>
        </w:rPr>
        <w:t xml:space="preserve"> </w:t>
      </w:r>
      <w:r w:rsidRPr="00C56D4F">
        <w:rPr>
          <w:rFonts w:ascii="Book Antiqua" w:eastAsia="Book Antiqua" w:hAnsi="Book Antiqua" w:cs="Book Antiqua"/>
          <w:color w:val="000000"/>
        </w:rPr>
        <w:t>clinically distinct from the other acromelic dysplasia in terms of symptoms such as cardiac valvular abnormalities, progressive hepatomegaly and tracheal stenosis.</w:t>
      </w:r>
    </w:p>
    <w:p w14:paraId="6274980E" w14:textId="77777777" w:rsidR="00A77B3E" w:rsidRPr="00C56D4F" w:rsidRDefault="00A77B3E" w:rsidP="00C56D4F">
      <w:pPr>
        <w:adjustRightInd w:val="0"/>
        <w:snapToGrid w:val="0"/>
        <w:spacing w:line="360" w:lineRule="auto"/>
        <w:jc w:val="both"/>
        <w:rPr>
          <w:rFonts w:ascii="Book Antiqua" w:hAnsi="Book Antiqua"/>
        </w:rPr>
      </w:pPr>
    </w:p>
    <w:p w14:paraId="2DFA46CD"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CASE SUMMARY</w:t>
      </w:r>
    </w:p>
    <w:p w14:paraId="757AE7A8" w14:textId="5392FF2B"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We report on a Chinese 9-year-old girl with GD with the c.5243G&gt;T (p.C1748F) mutation in </w:t>
      </w:r>
      <w:r w:rsidRPr="00C56D4F">
        <w:rPr>
          <w:rFonts w:ascii="Book Antiqua" w:eastAsia="Book Antiqua" w:hAnsi="Book Antiqua" w:cs="Book Antiqua"/>
          <w:i/>
          <w:iCs/>
          <w:color w:val="000000"/>
        </w:rPr>
        <w:t>FBN1</w:t>
      </w:r>
      <w:r w:rsidRPr="00C56D4F">
        <w:rPr>
          <w:rFonts w:ascii="Book Antiqua" w:eastAsia="Book Antiqua" w:hAnsi="Book Antiqua" w:cs="Book Antiqua"/>
          <w:color w:val="000000"/>
        </w:rPr>
        <w:t xml:space="preserve"> (fibrillin 1, OMIM 134797). She was born in Guangxi Zhuang Autonomous Region of China. The patient presented with typical clinical features of GD and recurrent respiratory tract infections over 6 years. Laboratory studies and chest </w:t>
      </w:r>
      <w:r w:rsidR="002237B9" w:rsidRPr="00C56D4F">
        <w:rPr>
          <w:rFonts w:ascii="Book Antiqua" w:eastAsia="Book Antiqua" w:hAnsi="Book Antiqua" w:cs="Book Antiqua"/>
          <w:color w:val="000000"/>
        </w:rPr>
        <w:t xml:space="preserve">computed tomography (CT) </w:t>
      </w:r>
      <w:r w:rsidRPr="00C56D4F">
        <w:rPr>
          <w:rFonts w:ascii="Book Antiqua" w:eastAsia="Book Antiqua" w:hAnsi="Book Antiqua" w:cs="Book Antiqua"/>
          <w:color w:val="000000"/>
        </w:rPr>
        <w:t>scan indicated bronchopneumonia. Her echocardiography revealed mild mitral valve thickening with regurgitation. Laryngopharyngeal CT and electronic bronchoscopy revealed severe glottic stenosis. Echocardiography examination displayed mild mitral valve thickening and regurgitation. Ophthalmic examination did not reveal myopia or lens dislocation. Treated with ceftriaxone sodium and methylprednisolone sodium succinate for injection as well as methylprednisolone orally, patient’s symptoms had improved.</w:t>
      </w:r>
    </w:p>
    <w:p w14:paraId="07161949" w14:textId="77777777" w:rsidR="00A77B3E" w:rsidRPr="00C56D4F" w:rsidRDefault="00A77B3E" w:rsidP="00C56D4F">
      <w:pPr>
        <w:adjustRightInd w:val="0"/>
        <w:snapToGrid w:val="0"/>
        <w:spacing w:line="360" w:lineRule="auto"/>
        <w:jc w:val="both"/>
        <w:rPr>
          <w:rFonts w:ascii="Book Antiqua" w:hAnsi="Book Antiqua"/>
        </w:rPr>
      </w:pPr>
    </w:p>
    <w:p w14:paraId="75D4C5BB"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CONCLUSION</w:t>
      </w:r>
    </w:p>
    <w:p w14:paraId="7EB28A52"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GD is a rare genetic condition that can cause life-threatening cardiovascular and respiratory problems. This study also found that the identified genotype of GD could be related to different clinical phenotypes.</w:t>
      </w:r>
    </w:p>
    <w:p w14:paraId="22716181" w14:textId="77777777" w:rsidR="00A77B3E" w:rsidRPr="00C56D4F" w:rsidRDefault="00A77B3E" w:rsidP="00C56D4F">
      <w:pPr>
        <w:adjustRightInd w:val="0"/>
        <w:snapToGrid w:val="0"/>
        <w:spacing w:line="360" w:lineRule="auto"/>
        <w:jc w:val="both"/>
        <w:rPr>
          <w:rFonts w:ascii="Book Antiqua" w:hAnsi="Book Antiqua"/>
        </w:rPr>
      </w:pPr>
    </w:p>
    <w:p w14:paraId="72B65320" w14:textId="38F6F32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 xml:space="preserve">Key Words: </w:t>
      </w:r>
      <w:r w:rsidR="002237B9" w:rsidRPr="00C56D4F">
        <w:rPr>
          <w:rFonts w:ascii="Book Antiqua" w:eastAsia="Book Antiqua" w:hAnsi="Book Antiqua" w:cs="Book Antiqua"/>
          <w:color w:val="000000"/>
        </w:rPr>
        <w:t>Fibrillin 1</w:t>
      </w:r>
      <w:r w:rsidRPr="00C56D4F">
        <w:rPr>
          <w:rFonts w:ascii="Book Antiqua" w:eastAsia="Book Antiqua" w:hAnsi="Book Antiqua" w:cs="Book Antiqua"/>
          <w:color w:val="000000"/>
        </w:rPr>
        <w:t xml:space="preserve">; </w:t>
      </w:r>
      <w:r w:rsidR="002237B9" w:rsidRPr="00C56D4F">
        <w:rPr>
          <w:rFonts w:ascii="Book Antiqua" w:eastAsia="Book Antiqua" w:hAnsi="Book Antiqua" w:cs="Book Antiqua"/>
          <w:color w:val="000000"/>
        </w:rPr>
        <w:t>G</w:t>
      </w:r>
      <w:r w:rsidRPr="00C56D4F">
        <w:rPr>
          <w:rFonts w:ascii="Book Antiqua" w:eastAsia="Book Antiqua" w:hAnsi="Book Antiqua" w:cs="Book Antiqua"/>
          <w:color w:val="000000"/>
        </w:rPr>
        <w:t xml:space="preserve">eleophysic dysplasia; </w:t>
      </w:r>
      <w:r w:rsidR="002237B9" w:rsidRPr="00C56D4F">
        <w:rPr>
          <w:rFonts w:ascii="Book Antiqua" w:eastAsia="Book Antiqua" w:hAnsi="Book Antiqua" w:cs="Book Antiqua"/>
          <w:color w:val="000000"/>
        </w:rPr>
        <w:t>A</w:t>
      </w:r>
      <w:r w:rsidRPr="00C56D4F">
        <w:rPr>
          <w:rFonts w:ascii="Book Antiqua" w:eastAsia="Book Antiqua" w:hAnsi="Book Antiqua" w:cs="Book Antiqua"/>
          <w:color w:val="000000"/>
        </w:rPr>
        <w:t xml:space="preserve">cromelic dysplasia; </w:t>
      </w:r>
      <w:r w:rsidR="002237B9" w:rsidRPr="00C56D4F">
        <w:rPr>
          <w:rFonts w:ascii="Book Antiqua" w:eastAsia="Book Antiqua" w:hAnsi="Book Antiqua" w:cs="Book Antiqua"/>
          <w:color w:val="000000"/>
        </w:rPr>
        <w:t>S</w:t>
      </w:r>
      <w:r w:rsidRPr="00C56D4F">
        <w:rPr>
          <w:rFonts w:ascii="Book Antiqua" w:eastAsia="Book Antiqua" w:hAnsi="Book Antiqua" w:cs="Book Antiqua"/>
          <w:color w:val="000000"/>
        </w:rPr>
        <w:t xml:space="preserve">hort stature; </w:t>
      </w:r>
      <w:r w:rsidR="002237B9" w:rsidRPr="00C56D4F">
        <w:rPr>
          <w:rFonts w:ascii="Book Antiqua" w:eastAsia="Book Antiqua" w:hAnsi="Book Antiqua" w:cs="Book Antiqua"/>
          <w:color w:val="000000"/>
        </w:rPr>
        <w:t>T</w:t>
      </w:r>
      <w:r w:rsidRPr="00C56D4F">
        <w:rPr>
          <w:rFonts w:ascii="Book Antiqua" w:eastAsia="Book Antiqua" w:hAnsi="Book Antiqua" w:cs="Book Antiqua"/>
          <w:color w:val="000000"/>
        </w:rPr>
        <w:t xml:space="preserve">racheal stenosis; </w:t>
      </w:r>
      <w:r w:rsidR="002237B9" w:rsidRPr="00C56D4F">
        <w:rPr>
          <w:rFonts w:ascii="Book Antiqua" w:eastAsia="Book Antiqua" w:hAnsi="Book Antiqua" w:cs="Book Antiqua"/>
          <w:color w:val="000000"/>
        </w:rPr>
        <w:t>C</w:t>
      </w:r>
      <w:r w:rsidRPr="00C56D4F">
        <w:rPr>
          <w:rFonts w:ascii="Book Antiqua" w:eastAsia="Book Antiqua" w:hAnsi="Book Antiqua" w:cs="Book Antiqua"/>
          <w:color w:val="000000"/>
        </w:rPr>
        <w:t>ase report</w:t>
      </w:r>
    </w:p>
    <w:p w14:paraId="530FEF92" w14:textId="77777777" w:rsidR="008A053B" w:rsidRDefault="008A053B" w:rsidP="008A053B">
      <w:pPr>
        <w:spacing w:line="360" w:lineRule="auto"/>
        <w:jc w:val="both"/>
        <w:rPr>
          <w:lang w:eastAsia="zh-CN"/>
        </w:rPr>
      </w:pPr>
    </w:p>
    <w:p w14:paraId="25669D3E" w14:textId="77777777" w:rsidR="008A053B" w:rsidRPr="00026CB8" w:rsidRDefault="008A053B" w:rsidP="008A053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79FD47B" w14:textId="77777777" w:rsidR="00A77B3E" w:rsidRPr="00C56D4F" w:rsidRDefault="00A77B3E" w:rsidP="00C56D4F">
      <w:pPr>
        <w:adjustRightInd w:val="0"/>
        <w:snapToGrid w:val="0"/>
        <w:spacing w:line="360" w:lineRule="auto"/>
        <w:jc w:val="both"/>
        <w:rPr>
          <w:rFonts w:ascii="Book Antiqua" w:hAnsi="Book Antiqua"/>
        </w:rPr>
      </w:pPr>
    </w:p>
    <w:p w14:paraId="33C911A3" w14:textId="4D75E628" w:rsidR="003C16FB" w:rsidRDefault="003C16FB" w:rsidP="00C56D4F">
      <w:pPr>
        <w:adjustRightInd w:val="0"/>
        <w:snapToGrid w:val="0"/>
        <w:spacing w:line="360" w:lineRule="auto"/>
        <w:jc w:val="both"/>
        <w:rPr>
          <w:rFonts w:ascii="Book Antiqua" w:hAnsi="Book Antiqua" w:cs="Book Antiqua" w:hint="eastAsia"/>
          <w:color w:val="000000"/>
          <w:lang w:eastAsia="zh-CN"/>
        </w:rPr>
      </w:pPr>
      <w:r w:rsidRPr="003C16FB">
        <w:rPr>
          <w:rFonts w:ascii="Book Antiqua" w:hAnsi="Book Antiqua" w:cs="Book Antiqua" w:hint="eastAsia"/>
          <w:b/>
          <w:color w:val="000000"/>
          <w:lang w:eastAsia="zh-CN"/>
        </w:rPr>
        <w:t xml:space="preserve">Citation: </w:t>
      </w:r>
      <w:r w:rsidR="00AD0793" w:rsidRPr="00C56D4F">
        <w:rPr>
          <w:rFonts w:ascii="Book Antiqua" w:eastAsia="Book Antiqua" w:hAnsi="Book Antiqua" w:cs="Book Antiqua"/>
          <w:color w:val="000000"/>
        </w:rPr>
        <w:t>T</w:t>
      </w:r>
      <w:r w:rsidR="00E84E6F" w:rsidRPr="00C56D4F">
        <w:rPr>
          <w:rFonts w:ascii="Book Antiqua" w:eastAsia="Book Antiqua" w:hAnsi="Book Antiqua" w:cs="Book Antiqua"/>
          <w:color w:val="000000"/>
        </w:rPr>
        <w:t>ao</w:t>
      </w:r>
      <w:r w:rsidR="00AD0793" w:rsidRPr="00C56D4F">
        <w:rPr>
          <w:rFonts w:ascii="Book Antiqua" w:eastAsia="Book Antiqua" w:hAnsi="Book Antiqua" w:cs="Book Antiqua"/>
          <w:color w:val="000000"/>
        </w:rPr>
        <w:t xml:space="preserve"> Y, Wei Q, Chen X, Nong GM. Geleophysic dysplasia caused by a mutation in </w:t>
      </w:r>
      <w:r w:rsidR="00AD0793" w:rsidRPr="00C56D4F">
        <w:rPr>
          <w:rFonts w:ascii="Book Antiqua" w:eastAsia="Book Antiqua" w:hAnsi="Book Antiqua" w:cs="Book Antiqua"/>
          <w:i/>
          <w:iCs/>
          <w:color w:val="000000"/>
        </w:rPr>
        <w:t>FBN1</w:t>
      </w:r>
      <w:r w:rsidR="00AD0793" w:rsidRPr="00C56D4F">
        <w:rPr>
          <w:rFonts w:ascii="Book Antiqua" w:eastAsia="Book Antiqua" w:hAnsi="Book Antiqua" w:cs="Book Antiqua"/>
          <w:color w:val="000000"/>
        </w:rPr>
        <w:t xml:space="preserve">: </w:t>
      </w:r>
      <w:r w:rsidR="002237B9" w:rsidRPr="00C56D4F">
        <w:rPr>
          <w:rFonts w:ascii="Book Antiqua" w:eastAsia="Book Antiqua" w:hAnsi="Book Antiqua" w:cs="Book Antiqua"/>
          <w:color w:val="000000"/>
        </w:rPr>
        <w:t>A</w:t>
      </w:r>
      <w:r w:rsidR="00AD0793" w:rsidRPr="00C56D4F">
        <w:rPr>
          <w:rFonts w:ascii="Book Antiqua" w:eastAsia="Book Antiqua" w:hAnsi="Book Antiqua" w:cs="Book Antiqua"/>
          <w:color w:val="000000"/>
        </w:rPr>
        <w:t xml:space="preserve"> case report. </w:t>
      </w:r>
      <w:r w:rsidR="00AD0793" w:rsidRPr="00C56D4F">
        <w:rPr>
          <w:rFonts w:ascii="Book Antiqua" w:eastAsia="Book Antiqua" w:hAnsi="Book Antiqua" w:cs="Book Antiqua"/>
          <w:i/>
          <w:iCs/>
          <w:color w:val="000000"/>
        </w:rPr>
        <w:t>World J Clin Cases</w:t>
      </w:r>
      <w:r w:rsidR="00AD0793" w:rsidRPr="00C56D4F">
        <w:rPr>
          <w:rFonts w:ascii="Book Antiqua" w:eastAsia="Book Antiqua" w:hAnsi="Book Antiqua" w:cs="Book Antiqua"/>
          <w:color w:val="000000"/>
        </w:rPr>
        <w:t xml:space="preserve"> 2021;</w:t>
      </w:r>
      <w:r w:rsidR="000B09B6" w:rsidRPr="000B09B6">
        <w:rPr>
          <w:rFonts w:ascii="Book Antiqua" w:eastAsia="Book Antiqua" w:hAnsi="Book Antiqua" w:cs="Book Antiqua"/>
          <w:color w:val="000000"/>
        </w:rPr>
        <w:t xml:space="preserve"> 9(24): </w:t>
      </w:r>
      <w:r w:rsidRPr="003C16FB">
        <w:rPr>
          <w:rFonts w:ascii="Book Antiqua" w:eastAsia="Book Antiqua" w:hAnsi="Book Antiqua" w:cs="Book Antiqua"/>
          <w:color w:val="000000"/>
        </w:rPr>
        <w:t>7175-7180</w:t>
      </w:r>
      <w:r w:rsidR="000B09B6" w:rsidRPr="000B09B6">
        <w:rPr>
          <w:rFonts w:ascii="Book Antiqua" w:eastAsia="Book Antiqua" w:hAnsi="Book Antiqua" w:cs="Book Antiqua"/>
          <w:color w:val="000000"/>
        </w:rPr>
        <w:t xml:space="preserve">  </w:t>
      </w:r>
    </w:p>
    <w:p w14:paraId="45AC7B81" w14:textId="77777777" w:rsidR="003C16FB" w:rsidRDefault="000B09B6" w:rsidP="00C56D4F">
      <w:pPr>
        <w:adjustRightInd w:val="0"/>
        <w:snapToGrid w:val="0"/>
        <w:spacing w:line="360" w:lineRule="auto"/>
        <w:jc w:val="both"/>
        <w:rPr>
          <w:rFonts w:ascii="Book Antiqua" w:hAnsi="Book Antiqua" w:cs="Book Antiqua" w:hint="eastAsia"/>
          <w:color w:val="000000"/>
          <w:lang w:eastAsia="zh-CN"/>
        </w:rPr>
      </w:pPr>
      <w:r w:rsidRPr="003C16FB">
        <w:rPr>
          <w:rFonts w:ascii="Book Antiqua" w:eastAsia="Book Antiqua" w:hAnsi="Book Antiqua" w:cs="Book Antiqua"/>
          <w:b/>
          <w:color w:val="000000"/>
        </w:rPr>
        <w:t>URL:</w:t>
      </w:r>
      <w:r w:rsidRPr="000B09B6">
        <w:rPr>
          <w:rFonts w:ascii="Book Antiqua" w:eastAsia="Book Antiqua" w:hAnsi="Book Antiqua" w:cs="Book Antiqua"/>
          <w:color w:val="000000"/>
        </w:rPr>
        <w:t xml:space="preserve"> https://www.wjgnet.com/2307-8960/full/v9/i24/</w:t>
      </w:r>
      <w:r w:rsidR="003C16FB" w:rsidRPr="003C16FB">
        <w:rPr>
          <w:rFonts w:ascii="Book Antiqua" w:eastAsia="Book Antiqua" w:hAnsi="Book Antiqua" w:cs="Book Antiqua"/>
          <w:color w:val="000000"/>
        </w:rPr>
        <w:t>7175</w:t>
      </w:r>
      <w:r w:rsidRPr="000B09B6">
        <w:rPr>
          <w:rFonts w:ascii="Book Antiqua" w:eastAsia="Book Antiqua" w:hAnsi="Book Antiqua" w:cs="Book Antiqua"/>
          <w:color w:val="000000"/>
        </w:rPr>
        <w:t xml:space="preserve">.htm  </w:t>
      </w:r>
    </w:p>
    <w:p w14:paraId="29A75537" w14:textId="050AE3B3" w:rsidR="00A77B3E" w:rsidRPr="00C56D4F" w:rsidRDefault="000B09B6" w:rsidP="00C56D4F">
      <w:pPr>
        <w:adjustRightInd w:val="0"/>
        <w:snapToGrid w:val="0"/>
        <w:spacing w:line="360" w:lineRule="auto"/>
        <w:jc w:val="both"/>
        <w:rPr>
          <w:rFonts w:ascii="Book Antiqua" w:hAnsi="Book Antiqua"/>
        </w:rPr>
      </w:pPr>
      <w:r w:rsidRPr="003C16FB">
        <w:rPr>
          <w:rFonts w:ascii="Book Antiqua" w:eastAsia="Book Antiqua" w:hAnsi="Book Antiqua" w:cs="Book Antiqua"/>
          <w:b/>
          <w:color w:val="000000"/>
        </w:rPr>
        <w:t>DOI:</w:t>
      </w:r>
      <w:r w:rsidRPr="000B09B6">
        <w:rPr>
          <w:rFonts w:ascii="Book Antiqua" w:eastAsia="Book Antiqua" w:hAnsi="Book Antiqua" w:cs="Book Antiqua"/>
          <w:color w:val="000000"/>
        </w:rPr>
        <w:t xml:space="preserve"> https://dx.doi.org/10.12998/wjcc.v9.i24.</w:t>
      </w:r>
      <w:r w:rsidR="003C16FB" w:rsidRPr="003C16FB">
        <w:rPr>
          <w:rFonts w:ascii="Book Antiqua" w:eastAsia="Book Antiqua" w:hAnsi="Book Antiqua" w:cs="Book Antiqua"/>
          <w:color w:val="000000"/>
        </w:rPr>
        <w:t>7175</w:t>
      </w:r>
    </w:p>
    <w:p w14:paraId="137CF35A" w14:textId="77777777" w:rsidR="00A77B3E" w:rsidRPr="00C56D4F" w:rsidRDefault="00A77B3E" w:rsidP="00C56D4F">
      <w:pPr>
        <w:adjustRightInd w:val="0"/>
        <w:snapToGrid w:val="0"/>
        <w:spacing w:line="360" w:lineRule="auto"/>
        <w:jc w:val="both"/>
        <w:rPr>
          <w:rFonts w:ascii="Book Antiqua" w:hAnsi="Book Antiqua"/>
        </w:rPr>
      </w:pPr>
    </w:p>
    <w:p w14:paraId="3B908B67" w14:textId="0AD7FD04"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 xml:space="preserve">Core Tip: </w:t>
      </w:r>
      <w:r w:rsidRPr="00C56D4F">
        <w:rPr>
          <w:rFonts w:ascii="Book Antiqua" w:eastAsia="Book Antiqua" w:hAnsi="Book Antiqua" w:cs="Book Antiqua"/>
          <w:color w:val="000000"/>
        </w:rPr>
        <w:t xml:space="preserve">We aim to report a 9-year-old girl with </w:t>
      </w:r>
      <w:r w:rsidR="002237B9" w:rsidRPr="00C56D4F">
        <w:rPr>
          <w:rFonts w:ascii="Book Antiqua" w:eastAsia="Book Antiqua" w:hAnsi="Book Antiqua" w:cs="Book Antiqua"/>
          <w:color w:val="000000"/>
        </w:rPr>
        <w:t>geleophysic dysplasia (GD)</w:t>
      </w:r>
      <w:r w:rsidRPr="00C56D4F">
        <w:rPr>
          <w:rFonts w:ascii="Book Antiqua" w:eastAsia="Book Antiqua" w:hAnsi="Book Antiqua" w:cs="Book Antiqua"/>
          <w:color w:val="000000"/>
        </w:rPr>
        <w:t xml:space="preserve"> with mutation c.5243G&gt;T (p.C1748F) in </w:t>
      </w:r>
      <w:r w:rsidRPr="00C56D4F">
        <w:rPr>
          <w:rFonts w:ascii="Book Antiqua" w:eastAsia="Book Antiqua" w:hAnsi="Book Antiqua" w:cs="Book Antiqua"/>
          <w:i/>
          <w:iCs/>
          <w:color w:val="000000"/>
        </w:rPr>
        <w:t>FBN1</w:t>
      </w:r>
      <w:r w:rsidRPr="00C56D4F">
        <w:rPr>
          <w:rFonts w:ascii="Book Antiqua" w:eastAsia="Book Antiqua" w:hAnsi="Book Antiqua" w:cs="Book Antiqua"/>
          <w:color w:val="000000"/>
        </w:rPr>
        <w:t xml:space="preserve">. Other than the patient we reported, a total of 9 acromelic dysplasia cases due to mutations in c.5242T, c.5243G or c.5244T of </w:t>
      </w:r>
      <w:r w:rsidRPr="00C56D4F">
        <w:rPr>
          <w:rFonts w:ascii="Book Antiqua" w:eastAsia="Book Antiqua" w:hAnsi="Book Antiqua" w:cs="Book Antiqua"/>
          <w:i/>
          <w:iCs/>
          <w:color w:val="000000"/>
        </w:rPr>
        <w:t>FBN1</w:t>
      </w:r>
      <w:r w:rsidRPr="00C56D4F">
        <w:rPr>
          <w:rFonts w:ascii="Book Antiqua" w:eastAsia="Book Antiqua" w:hAnsi="Book Antiqua" w:cs="Book Antiqua"/>
          <w:color w:val="000000"/>
        </w:rPr>
        <w:t xml:space="preserve"> ha</w:t>
      </w:r>
      <w:r w:rsidR="00725542">
        <w:rPr>
          <w:rFonts w:ascii="Book Antiqua" w:eastAsia="Book Antiqua" w:hAnsi="Book Antiqua" w:cs="Book Antiqua"/>
          <w:color w:val="000000"/>
        </w:rPr>
        <w:t>ve</w:t>
      </w:r>
      <w:r w:rsidRPr="00C56D4F">
        <w:rPr>
          <w:rFonts w:ascii="Book Antiqua" w:eastAsia="Book Antiqua" w:hAnsi="Book Antiqua" w:cs="Book Antiqua"/>
          <w:color w:val="000000"/>
        </w:rPr>
        <w:t xml:space="preserve"> been reported, which all are predicted to result in the substitution of cysteine at codon 1748. This study also found that the identified genotype of GD could be related to different clinical phenotypes.</w:t>
      </w:r>
    </w:p>
    <w:p w14:paraId="3340C1BD" w14:textId="77777777" w:rsidR="00A77B3E" w:rsidRPr="00C56D4F" w:rsidRDefault="00A77B3E" w:rsidP="00C56D4F">
      <w:pPr>
        <w:adjustRightInd w:val="0"/>
        <w:snapToGrid w:val="0"/>
        <w:spacing w:line="360" w:lineRule="auto"/>
        <w:jc w:val="both"/>
        <w:rPr>
          <w:rFonts w:ascii="Book Antiqua" w:hAnsi="Book Antiqua"/>
        </w:rPr>
      </w:pPr>
    </w:p>
    <w:p w14:paraId="565548E6"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aps/>
          <w:color w:val="000000"/>
          <w:u w:val="single"/>
        </w:rPr>
        <w:t>INTRODUCTION</w:t>
      </w:r>
    </w:p>
    <w:p w14:paraId="20DA8635" w14:textId="6BCCD5A2" w:rsidR="00A77B3E" w:rsidRPr="00C56D4F" w:rsidRDefault="002237B9"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Geleophysic dysplasia (GD)</w:t>
      </w:r>
      <w:r w:rsidR="00AD0793" w:rsidRPr="00C56D4F">
        <w:rPr>
          <w:rFonts w:ascii="Book Antiqua" w:eastAsia="Book Antiqua" w:hAnsi="Book Antiqua" w:cs="Book Antiqua"/>
          <w:color w:val="000000"/>
        </w:rPr>
        <w:t xml:space="preserve"> belongs to acromelic dysplasia and has unique features</w:t>
      </w:r>
      <w:r w:rsidR="00AD0793" w:rsidRPr="00C56D4F">
        <w:rPr>
          <w:rFonts w:ascii="Book Antiqua" w:eastAsia="Book Antiqua" w:hAnsi="Book Antiqua" w:cs="Book Antiqua"/>
          <w:color w:val="000000"/>
          <w:vertAlign w:val="superscript"/>
        </w:rPr>
        <w:t>[1]</w:t>
      </w:r>
      <w:r w:rsidR="00AD0793" w:rsidRPr="00C56D4F">
        <w:rPr>
          <w:rFonts w:ascii="Book Antiqua" w:eastAsia="Book Antiqua" w:hAnsi="Book Antiqua" w:cs="Book Antiqua"/>
          <w:color w:val="000000"/>
        </w:rPr>
        <w:t>. GD is clinically distinct from other acromelic dysplasia in its symptoms such as cardiac valvular abnormalities, progressive hepatomegaly and tracheal stenosis</w:t>
      </w:r>
      <w:r w:rsidR="00AD0793" w:rsidRPr="00C56D4F">
        <w:rPr>
          <w:rFonts w:ascii="Book Antiqua" w:eastAsia="Book Antiqua" w:hAnsi="Book Antiqua" w:cs="Book Antiqua"/>
          <w:color w:val="000000"/>
          <w:vertAlign w:val="superscript"/>
        </w:rPr>
        <w:t>[1]</w:t>
      </w:r>
      <w:r w:rsidR="00AD0793" w:rsidRPr="00C56D4F">
        <w:rPr>
          <w:rFonts w:ascii="Book Antiqua" w:eastAsia="Book Antiqua" w:hAnsi="Book Antiqua" w:cs="Book Antiqua"/>
          <w:color w:val="000000"/>
        </w:rPr>
        <w:t xml:space="preserve"> . Three genes, </w:t>
      </w:r>
      <w:r w:rsidR="00AD0793" w:rsidRPr="00C56D4F">
        <w:rPr>
          <w:rFonts w:ascii="Book Antiqua" w:eastAsia="Book Antiqua" w:hAnsi="Book Antiqua" w:cs="Book Antiqua"/>
          <w:i/>
          <w:iCs/>
          <w:color w:val="000000"/>
        </w:rPr>
        <w:t xml:space="preserve">ADAMTSL2 </w:t>
      </w:r>
      <w:r w:rsidR="00AD0793" w:rsidRPr="00C56D4F">
        <w:rPr>
          <w:rFonts w:ascii="Book Antiqua" w:eastAsia="Book Antiqua" w:hAnsi="Book Antiqua" w:cs="Book Antiqua"/>
          <w:color w:val="000000"/>
        </w:rPr>
        <w:t xml:space="preserve">(OMIM 612277), </w:t>
      </w:r>
      <w:r w:rsidR="00AD0793" w:rsidRPr="00C56D4F">
        <w:rPr>
          <w:rFonts w:ascii="Book Antiqua" w:eastAsia="Book Antiqua" w:hAnsi="Book Antiqua" w:cs="Book Antiqua"/>
          <w:i/>
          <w:iCs/>
          <w:color w:val="000000"/>
        </w:rPr>
        <w:t>FBN1</w:t>
      </w:r>
      <w:r w:rsidR="00AD0793" w:rsidRPr="00C56D4F">
        <w:rPr>
          <w:rFonts w:ascii="Book Antiqua" w:eastAsia="Book Antiqua" w:hAnsi="Book Antiqua" w:cs="Book Antiqua"/>
          <w:color w:val="000000"/>
        </w:rPr>
        <w:t xml:space="preserve"> and </w:t>
      </w:r>
      <w:r w:rsidR="00AD0793" w:rsidRPr="00C56D4F">
        <w:rPr>
          <w:rFonts w:ascii="Book Antiqua" w:eastAsia="Book Antiqua" w:hAnsi="Book Antiqua" w:cs="Book Antiqua"/>
          <w:i/>
          <w:iCs/>
          <w:color w:val="000000"/>
        </w:rPr>
        <w:t>LTBP2</w:t>
      </w:r>
      <w:r w:rsidR="00AD0793" w:rsidRPr="00C56D4F">
        <w:rPr>
          <w:rFonts w:ascii="Book Antiqua" w:eastAsia="Book Antiqua" w:hAnsi="Book Antiqua" w:cs="Book Antiqua"/>
          <w:color w:val="000000"/>
        </w:rPr>
        <w:t xml:space="preserve"> (OMIM 602091), have been associated with GD</w:t>
      </w:r>
      <w:r w:rsidR="00AD0793" w:rsidRPr="00C56D4F">
        <w:rPr>
          <w:rFonts w:ascii="Book Antiqua" w:eastAsia="Book Antiqua" w:hAnsi="Book Antiqua" w:cs="Book Antiqua"/>
          <w:color w:val="000000"/>
          <w:vertAlign w:val="superscript"/>
        </w:rPr>
        <w:t>[2-4]</w:t>
      </w:r>
      <w:r w:rsidR="00AD0793" w:rsidRPr="00C56D4F">
        <w:rPr>
          <w:rFonts w:ascii="Book Antiqua" w:eastAsia="Book Antiqua" w:hAnsi="Book Antiqua" w:cs="Book Antiqua"/>
          <w:color w:val="000000"/>
        </w:rPr>
        <w:t xml:space="preserve">. Nearly all the mutations in </w:t>
      </w:r>
      <w:r w:rsidR="00AD0793" w:rsidRPr="00C56D4F">
        <w:rPr>
          <w:rFonts w:ascii="Book Antiqua" w:eastAsia="Book Antiqua" w:hAnsi="Book Antiqua" w:cs="Book Antiqua"/>
          <w:i/>
          <w:iCs/>
          <w:color w:val="000000"/>
        </w:rPr>
        <w:t>FBN1</w:t>
      </w:r>
      <w:r w:rsidR="00AD0793" w:rsidRPr="00C56D4F">
        <w:rPr>
          <w:rFonts w:ascii="Book Antiqua" w:eastAsia="Book Antiqua" w:hAnsi="Book Antiqua" w:cs="Book Antiqua"/>
          <w:color w:val="000000"/>
        </w:rPr>
        <w:t xml:space="preserve"> associated with GD are located in exons 41 and 42</w:t>
      </w:r>
      <w:r w:rsidR="00AD0793" w:rsidRPr="00C56D4F">
        <w:rPr>
          <w:rFonts w:ascii="Book Antiqua" w:eastAsia="Book Antiqua" w:hAnsi="Book Antiqua" w:cs="Book Antiqua"/>
          <w:color w:val="000000"/>
          <w:vertAlign w:val="superscript"/>
        </w:rPr>
        <w:t>[5]</w:t>
      </w:r>
      <w:r w:rsidR="00AD0793" w:rsidRPr="00C56D4F">
        <w:rPr>
          <w:rFonts w:ascii="Book Antiqua" w:eastAsia="Book Antiqua" w:hAnsi="Book Antiqua" w:cs="Book Antiqua"/>
          <w:color w:val="000000"/>
        </w:rPr>
        <w:t xml:space="preserve">. </w:t>
      </w:r>
      <w:r w:rsidR="00AD0793" w:rsidRPr="00C56D4F">
        <w:rPr>
          <w:rFonts w:ascii="Book Antiqua" w:eastAsia="Book Antiqua" w:hAnsi="Book Antiqua" w:cs="Book Antiqua"/>
          <w:i/>
          <w:iCs/>
          <w:color w:val="000000"/>
        </w:rPr>
        <w:t>FBN1</w:t>
      </w:r>
      <w:r w:rsidR="00AD0793" w:rsidRPr="00C56D4F">
        <w:rPr>
          <w:rFonts w:ascii="Book Antiqua" w:eastAsia="Book Antiqua" w:hAnsi="Book Antiqua" w:cs="Book Antiqua"/>
          <w:color w:val="000000"/>
        </w:rPr>
        <w:t>, located at 15q21, encodes an extracellular matrix protein that forms a major component of microfibrils of the extracellular matrix in connective tissues</w:t>
      </w:r>
      <w:r w:rsidR="00AD0793" w:rsidRPr="00C56D4F">
        <w:rPr>
          <w:rFonts w:ascii="Book Antiqua" w:eastAsia="Book Antiqua" w:hAnsi="Book Antiqua" w:cs="Book Antiqua"/>
          <w:color w:val="000000"/>
          <w:vertAlign w:val="superscript"/>
        </w:rPr>
        <w:t>[6]</w:t>
      </w:r>
      <w:r w:rsidR="00AD0793" w:rsidRPr="00C56D4F">
        <w:rPr>
          <w:rFonts w:ascii="Book Antiqua" w:eastAsia="Book Antiqua" w:hAnsi="Book Antiqua" w:cs="Book Antiqua"/>
          <w:color w:val="000000"/>
        </w:rPr>
        <w:t xml:space="preserve">. The most common inherited disease caused by </w:t>
      </w:r>
      <w:r w:rsidR="00AD0793" w:rsidRPr="00C56D4F">
        <w:rPr>
          <w:rFonts w:ascii="Book Antiqua" w:eastAsia="Book Antiqua" w:hAnsi="Book Antiqua" w:cs="Book Antiqua"/>
          <w:i/>
          <w:iCs/>
          <w:color w:val="000000"/>
        </w:rPr>
        <w:t>FBN1</w:t>
      </w:r>
      <w:r w:rsidR="00AD0793" w:rsidRPr="00C56D4F">
        <w:rPr>
          <w:rFonts w:ascii="Book Antiqua" w:eastAsia="Book Antiqua" w:hAnsi="Book Antiqua" w:cs="Book Antiqua"/>
          <w:color w:val="000000"/>
        </w:rPr>
        <w:t xml:space="preserve"> mutations is Marfan syndrome. In contrast to the bone overgrowth and tall stature in individuals with Marfan syndrome, heterozygous mutations in the transforming growth factor (TGF)-β-binding protein-like domain 5 (TB5) of </w:t>
      </w:r>
      <w:r w:rsidR="00AD0793" w:rsidRPr="00C56D4F">
        <w:rPr>
          <w:rFonts w:ascii="Book Antiqua" w:eastAsia="Book Antiqua" w:hAnsi="Book Antiqua" w:cs="Book Antiqua"/>
          <w:i/>
          <w:iCs/>
          <w:color w:val="000000"/>
        </w:rPr>
        <w:t>FBN1</w:t>
      </w:r>
      <w:r w:rsidR="00AD0793" w:rsidRPr="00C56D4F">
        <w:rPr>
          <w:rFonts w:ascii="Book Antiqua" w:eastAsia="Book Antiqua" w:hAnsi="Book Antiqua" w:cs="Book Antiqua"/>
          <w:color w:val="000000"/>
        </w:rPr>
        <w:t xml:space="preserve"> have been identified as the underlying etiology of acromelic dysplasia, including GD, which manifest as heritable short stature syndromes</w:t>
      </w:r>
      <w:r w:rsidR="00AD0793" w:rsidRPr="00C56D4F">
        <w:rPr>
          <w:rFonts w:ascii="Book Antiqua" w:eastAsia="Book Antiqua" w:hAnsi="Book Antiqua" w:cs="Book Antiqua"/>
          <w:color w:val="000000"/>
          <w:vertAlign w:val="superscript"/>
        </w:rPr>
        <w:t>[7]</w:t>
      </w:r>
      <w:r w:rsidR="00AD0793" w:rsidRPr="00C56D4F">
        <w:rPr>
          <w:rFonts w:ascii="Book Antiqua" w:eastAsia="Book Antiqua" w:hAnsi="Book Antiqua" w:cs="Book Antiqua"/>
          <w:color w:val="000000"/>
        </w:rPr>
        <w:t xml:space="preserve">. Both Marfan syndrome and </w:t>
      </w:r>
      <w:r w:rsidR="00AD0793" w:rsidRPr="00C56D4F">
        <w:rPr>
          <w:rFonts w:ascii="Book Antiqua" w:eastAsia="Book Antiqua" w:hAnsi="Book Antiqua" w:cs="Book Antiqua"/>
          <w:i/>
          <w:iCs/>
          <w:color w:val="000000"/>
        </w:rPr>
        <w:t>FBN1</w:t>
      </w:r>
      <w:r w:rsidR="00AD0793" w:rsidRPr="00C56D4F">
        <w:rPr>
          <w:rFonts w:ascii="Book Antiqua" w:eastAsia="Book Antiqua" w:hAnsi="Book Antiqua" w:cs="Book Antiqua"/>
          <w:color w:val="000000"/>
        </w:rPr>
        <w:t>-related acromelic dysplasia have autosomal dominant inheritance</w:t>
      </w:r>
      <w:r w:rsidR="00AD0793" w:rsidRPr="00C56D4F">
        <w:rPr>
          <w:rFonts w:ascii="Book Antiqua" w:eastAsia="Book Antiqua" w:hAnsi="Book Antiqua" w:cs="Book Antiqua"/>
          <w:color w:val="000000"/>
          <w:vertAlign w:val="superscript"/>
        </w:rPr>
        <w:t>[6,8]</w:t>
      </w:r>
      <w:r w:rsidR="00AD0793" w:rsidRPr="00C56D4F">
        <w:rPr>
          <w:rFonts w:ascii="Book Antiqua" w:eastAsia="Book Antiqua" w:hAnsi="Book Antiqua" w:cs="Book Antiqua"/>
          <w:color w:val="000000"/>
        </w:rPr>
        <w:t xml:space="preserve">. We reviewed the literature of reported acromelic dysplasia cases due to mutations at c.5242T, c.5243G and c.5244T of </w:t>
      </w:r>
      <w:r w:rsidR="00AD0793" w:rsidRPr="00C56D4F">
        <w:rPr>
          <w:rFonts w:ascii="Book Antiqua" w:eastAsia="Book Antiqua" w:hAnsi="Book Antiqua" w:cs="Book Antiqua"/>
          <w:i/>
          <w:iCs/>
          <w:color w:val="000000"/>
        </w:rPr>
        <w:t>FBN1</w:t>
      </w:r>
      <w:r w:rsidR="00AD0793" w:rsidRPr="00C56D4F">
        <w:rPr>
          <w:rFonts w:ascii="Book Antiqua" w:eastAsia="Book Antiqua" w:hAnsi="Book Antiqua" w:cs="Book Antiqua"/>
          <w:color w:val="000000"/>
        </w:rPr>
        <w:t xml:space="preserve"> by searching PubMed from 2000 onwards.</w:t>
      </w:r>
    </w:p>
    <w:p w14:paraId="7A5B733F" w14:textId="77777777" w:rsidR="00A77B3E" w:rsidRPr="00C56D4F" w:rsidRDefault="00A77B3E" w:rsidP="00C56D4F">
      <w:pPr>
        <w:adjustRightInd w:val="0"/>
        <w:snapToGrid w:val="0"/>
        <w:spacing w:line="360" w:lineRule="auto"/>
        <w:jc w:val="both"/>
        <w:rPr>
          <w:rFonts w:ascii="Book Antiqua" w:hAnsi="Book Antiqua"/>
        </w:rPr>
      </w:pPr>
    </w:p>
    <w:p w14:paraId="2161297B"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aps/>
          <w:color w:val="000000"/>
          <w:u w:val="single"/>
        </w:rPr>
        <w:t>CASE PRESENTATION</w:t>
      </w:r>
    </w:p>
    <w:p w14:paraId="2781153F"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i/>
          <w:color w:val="000000"/>
        </w:rPr>
        <w:t>Chief complaints</w:t>
      </w:r>
    </w:p>
    <w:p w14:paraId="1E18E941"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A 9-year-old Chinese girl presented with labored breathing, cough with wheeze and nasal discharge. </w:t>
      </w:r>
    </w:p>
    <w:p w14:paraId="3CB93483" w14:textId="77777777" w:rsidR="00A77B3E" w:rsidRPr="00C56D4F" w:rsidRDefault="00A77B3E" w:rsidP="00C56D4F">
      <w:pPr>
        <w:adjustRightInd w:val="0"/>
        <w:snapToGrid w:val="0"/>
        <w:spacing w:line="360" w:lineRule="auto"/>
        <w:jc w:val="both"/>
        <w:rPr>
          <w:rFonts w:ascii="Book Antiqua" w:hAnsi="Book Antiqua"/>
        </w:rPr>
      </w:pPr>
    </w:p>
    <w:p w14:paraId="28204D86"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i/>
          <w:color w:val="000000"/>
        </w:rPr>
        <w:t>History of present illness</w:t>
      </w:r>
    </w:p>
    <w:p w14:paraId="7A4ACF8A" w14:textId="1B1234A8" w:rsidR="00A77B3E" w:rsidRPr="00C56D4F" w:rsidRDefault="00725542" w:rsidP="00C56D4F">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w:t>
      </w:r>
      <w:r w:rsidRPr="00C56D4F">
        <w:rPr>
          <w:rFonts w:ascii="Book Antiqua" w:eastAsia="Book Antiqua" w:hAnsi="Book Antiqua" w:cs="Book Antiqua"/>
          <w:color w:val="000000"/>
        </w:rPr>
        <w:t xml:space="preserve"> </w:t>
      </w:r>
      <w:r w:rsidR="00AD0793" w:rsidRPr="00C56D4F">
        <w:rPr>
          <w:rFonts w:ascii="Book Antiqua" w:eastAsia="Book Antiqua" w:hAnsi="Book Antiqua" w:cs="Book Antiqua"/>
          <w:color w:val="000000"/>
        </w:rPr>
        <w:t xml:space="preserve">had no intellectual development disorder, hepatomegaly or hand joint stiffness. </w:t>
      </w:r>
    </w:p>
    <w:p w14:paraId="2308D460" w14:textId="77777777" w:rsidR="00A77B3E" w:rsidRPr="00C56D4F" w:rsidRDefault="00A77B3E" w:rsidP="00C56D4F">
      <w:pPr>
        <w:adjustRightInd w:val="0"/>
        <w:snapToGrid w:val="0"/>
        <w:spacing w:line="360" w:lineRule="auto"/>
        <w:jc w:val="both"/>
        <w:rPr>
          <w:rFonts w:ascii="Book Antiqua" w:hAnsi="Book Antiqua"/>
        </w:rPr>
      </w:pPr>
    </w:p>
    <w:p w14:paraId="24C82870"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i/>
          <w:color w:val="000000"/>
        </w:rPr>
        <w:t>History of past illness</w:t>
      </w:r>
    </w:p>
    <w:p w14:paraId="2DC4280E" w14:textId="247ADF55" w:rsidR="00A77B3E" w:rsidRPr="00C56D4F" w:rsidRDefault="00725542" w:rsidP="00C56D4F">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 had</w:t>
      </w:r>
      <w:r w:rsidR="00AD0793" w:rsidRPr="00C56D4F">
        <w:rPr>
          <w:rFonts w:ascii="Book Antiqua" w:eastAsia="Book Antiqua" w:hAnsi="Book Antiqua" w:cs="Book Antiqua"/>
          <w:color w:val="000000"/>
        </w:rPr>
        <w:t xml:space="preserve"> a history of hypothyroidism, short stature, obstructive sleep apnea hypopnea syndrome</w:t>
      </w:r>
      <w:r w:rsidR="002237B9" w:rsidRPr="00C56D4F">
        <w:rPr>
          <w:rFonts w:ascii="Book Antiqua" w:eastAsia="Book Antiqua" w:hAnsi="Book Antiqua" w:cs="Book Antiqua"/>
          <w:color w:val="000000"/>
        </w:rPr>
        <w:t xml:space="preserve"> </w:t>
      </w:r>
      <w:r w:rsidR="00AD0793" w:rsidRPr="00C56D4F">
        <w:rPr>
          <w:rFonts w:ascii="Book Antiqua" w:eastAsia="Book Antiqua" w:hAnsi="Book Antiqua" w:cs="Book Antiqua"/>
          <w:color w:val="000000"/>
        </w:rPr>
        <w:t xml:space="preserve">and </w:t>
      </w:r>
      <w:r w:rsidR="002237B9" w:rsidRPr="00C56D4F">
        <w:rPr>
          <w:rFonts w:ascii="Book Antiqua" w:eastAsia="Book Antiqua" w:hAnsi="Book Antiqua" w:cs="Book Antiqua"/>
          <w:color w:val="000000"/>
        </w:rPr>
        <w:t>recurrent respiratory tract infections (RRTIs)</w:t>
      </w:r>
      <w:r w:rsidR="00AD0793" w:rsidRPr="00C56D4F">
        <w:rPr>
          <w:rFonts w:ascii="Book Antiqua" w:eastAsia="Book Antiqua" w:hAnsi="Book Antiqua" w:cs="Book Antiqua"/>
          <w:color w:val="000000"/>
        </w:rPr>
        <w:t>.</w:t>
      </w:r>
    </w:p>
    <w:p w14:paraId="594172FB" w14:textId="77777777" w:rsidR="00A77B3E" w:rsidRPr="00C56D4F" w:rsidRDefault="00A77B3E" w:rsidP="00C56D4F">
      <w:pPr>
        <w:adjustRightInd w:val="0"/>
        <w:snapToGrid w:val="0"/>
        <w:spacing w:line="360" w:lineRule="auto"/>
        <w:jc w:val="both"/>
        <w:rPr>
          <w:rFonts w:ascii="Book Antiqua" w:hAnsi="Book Antiqua"/>
        </w:rPr>
      </w:pPr>
    </w:p>
    <w:p w14:paraId="3EE4F57A"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i/>
          <w:color w:val="000000"/>
        </w:rPr>
        <w:t>Personal and family history</w:t>
      </w:r>
    </w:p>
    <w:p w14:paraId="70AA318B" w14:textId="18D6929A" w:rsidR="00A77B3E" w:rsidRPr="00C56D4F" w:rsidRDefault="00725542" w:rsidP="00C56D4F">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w:t>
      </w:r>
      <w:r w:rsidRPr="00C56D4F">
        <w:rPr>
          <w:rFonts w:ascii="Book Antiqua" w:eastAsia="Book Antiqua" w:hAnsi="Book Antiqua" w:cs="Book Antiqua"/>
          <w:color w:val="000000"/>
        </w:rPr>
        <w:t xml:space="preserve"> </w:t>
      </w:r>
      <w:r w:rsidR="00AD0793" w:rsidRPr="00C56D4F">
        <w:rPr>
          <w:rFonts w:ascii="Book Antiqua" w:eastAsia="Book Antiqua" w:hAnsi="Book Antiqua" w:cs="Book Antiqua"/>
          <w:color w:val="000000"/>
        </w:rPr>
        <w:t>was born in Guangxi Zhuang Autonomous Region of China and had no special personal or family history.</w:t>
      </w:r>
    </w:p>
    <w:p w14:paraId="4C3B94BC" w14:textId="77777777" w:rsidR="00A77B3E" w:rsidRPr="00C56D4F" w:rsidRDefault="00A77B3E" w:rsidP="00C56D4F">
      <w:pPr>
        <w:adjustRightInd w:val="0"/>
        <w:snapToGrid w:val="0"/>
        <w:spacing w:line="360" w:lineRule="auto"/>
        <w:jc w:val="both"/>
        <w:rPr>
          <w:rFonts w:ascii="Book Antiqua" w:hAnsi="Book Antiqua"/>
        </w:rPr>
      </w:pPr>
    </w:p>
    <w:p w14:paraId="24C5D839"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i/>
          <w:color w:val="000000"/>
        </w:rPr>
        <w:t>Physical examination</w:t>
      </w:r>
    </w:p>
    <w:p w14:paraId="5504DA13" w14:textId="7AC2E5CC"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The </w:t>
      </w:r>
      <w:r w:rsidR="00725542">
        <w:rPr>
          <w:rFonts w:ascii="Book Antiqua" w:eastAsia="Book Antiqua" w:hAnsi="Book Antiqua" w:cs="Book Antiqua"/>
          <w:color w:val="000000"/>
        </w:rPr>
        <w:t>patient</w:t>
      </w:r>
      <w:r w:rsidR="00725542" w:rsidRPr="00C56D4F">
        <w:rPr>
          <w:rFonts w:ascii="Book Antiqua" w:eastAsia="Book Antiqua" w:hAnsi="Book Antiqua" w:cs="Book Antiqua"/>
          <w:color w:val="000000"/>
        </w:rPr>
        <w:t xml:space="preserve"> </w:t>
      </w:r>
      <w:r w:rsidRPr="00C56D4F">
        <w:rPr>
          <w:rFonts w:ascii="Book Antiqua" w:eastAsia="Book Antiqua" w:hAnsi="Book Antiqua" w:cs="Book Antiqua"/>
          <w:color w:val="000000"/>
        </w:rPr>
        <w:t>had extremely short stature (94 cm, &lt;</w:t>
      </w:r>
      <w:r w:rsidR="002237B9" w:rsidRPr="00C56D4F">
        <w:rPr>
          <w:rFonts w:ascii="Book Antiqua" w:eastAsia="Book Antiqua" w:hAnsi="Book Antiqua" w:cs="Book Antiqua"/>
          <w:color w:val="000000"/>
        </w:rPr>
        <w:t xml:space="preserve"> </w:t>
      </w:r>
      <w:r w:rsidRPr="00C56D4F">
        <w:rPr>
          <w:rFonts w:ascii="Book Antiqua" w:eastAsia="Book Antiqua" w:hAnsi="Book Antiqua" w:cs="Book Antiqua"/>
          <w:color w:val="000000"/>
        </w:rPr>
        <w:t>-3 SD) (Figure 1A), low weight (17 kg, &lt;</w:t>
      </w:r>
      <w:r w:rsidR="002237B9" w:rsidRPr="00C56D4F">
        <w:rPr>
          <w:rFonts w:ascii="Book Antiqua" w:eastAsia="Book Antiqua" w:hAnsi="Book Antiqua" w:cs="Book Antiqua"/>
          <w:color w:val="000000"/>
        </w:rPr>
        <w:t xml:space="preserve"> </w:t>
      </w:r>
      <w:r w:rsidRPr="00C56D4F">
        <w:rPr>
          <w:rFonts w:ascii="Book Antiqua" w:eastAsia="Book Antiqua" w:hAnsi="Book Antiqua" w:cs="Book Antiqua"/>
          <w:color w:val="000000"/>
        </w:rPr>
        <w:t>-3 SD)</w:t>
      </w:r>
      <w:r w:rsidRPr="00C56D4F">
        <w:rPr>
          <w:rFonts w:ascii="Book Antiqua" w:eastAsia="Book Antiqua" w:hAnsi="Book Antiqua" w:cs="Book Antiqua"/>
          <w:color w:val="000000"/>
          <w:vertAlign w:val="superscript"/>
        </w:rPr>
        <w:t>[9]</w:t>
      </w:r>
      <w:r w:rsidRPr="00C56D4F">
        <w:rPr>
          <w:rFonts w:ascii="Book Antiqua" w:eastAsia="Book Antiqua" w:hAnsi="Book Antiqua" w:cs="Book Antiqua"/>
          <w:color w:val="000000"/>
        </w:rPr>
        <w:t xml:space="preserve">, </w:t>
      </w:r>
      <w:r w:rsidR="004E13F9" w:rsidRPr="00C56D4F">
        <w:rPr>
          <w:rFonts w:ascii="Book Antiqua" w:eastAsia="Book Antiqua" w:hAnsi="Book Antiqua" w:cs="Book Antiqua"/>
          <w:color w:val="000000"/>
        </w:rPr>
        <w:t>unique facial features (round face, small nose with anteverted nostrils, broad and depressed nasal bridge and thin upper lip) (Figure 1B),</w:t>
      </w:r>
      <w:r w:rsidR="004E13F9">
        <w:rPr>
          <w:rFonts w:ascii="Book Antiqua" w:eastAsia="Book Antiqua" w:hAnsi="Book Antiqua" w:cs="Book Antiqua"/>
          <w:color w:val="000000"/>
        </w:rPr>
        <w:t xml:space="preserve"> </w:t>
      </w:r>
      <w:r w:rsidRPr="00C56D4F">
        <w:rPr>
          <w:rFonts w:ascii="Book Antiqua" w:eastAsia="Book Antiqua" w:hAnsi="Book Antiqua" w:cs="Book Antiqua"/>
          <w:color w:val="000000"/>
        </w:rPr>
        <w:t>short limbs, and short hands and feet (Figure 1C</w:t>
      </w:r>
      <w:r w:rsidR="002237B9" w:rsidRPr="00C56D4F">
        <w:rPr>
          <w:rFonts w:ascii="Book Antiqua" w:eastAsia="Book Antiqua" w:hAnsi="Book Antiqua" w:cs="Book Antiqua"/>
          <w:color w:val="000000"/>
        </w:rPr>
        <w:t xml:space="preserve"> and </w:t>
      </w:r>
      <w:r w:rsidRPr="00C56D4F">
        <w:rPr>
          <w:rFonts w:ascii="Book Antiqua" w:eastAsia="Book Antiqua" w:hAnsi="Book Antiqua" w:cs="Book Antiqua"/>
          <w:color w:val="000000"/>
        </w:rPr>
        <w:t xml:space="preserve">D). </w:t>
      </w:r>
    </w:p>
    <w:p w14:paraId="362EDCCD" w14:textId="77777777" w:rsidR="00A77B3E" w:rsidRPr="00C56D4F" w:rsidRDefault="00A77B3E" w:rsidP="00C56D4F">
      <w:pPr>
        <w:adjustRightInd w:val="0"/>
        <w:snapToGrid w:val="0"/>
        <w:spacing w:line="360" w:lineRule="auto"/>
        <w:jc w:val="both"/>
        <w:rPr>
          <w:rFonts w:ascii="Book Antiqua" w:hAnsi="Book Antiqua"/>
        </w:rPr>
      </w:pPr>
    </w:p>
    <w:p w14:paraId="3ED96C67"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i/>
          <w:color w:val="000000"/>
        </w:rPr>
        <w:t>Laboratory examinations</w:t>
      </w:r>
    </w:p>
    <w:p w14:paraId="362093A5" w14:textId="50EF60D4"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Laboratory tests suggested inflammation. </w:t>
      </w:r>
    </w:p>
    <w:p w14:paraId="1ACCEDD2" w14:textId="77777777" w:rsidR="00A77B3E" w:rsidRPr="00C56D4F" w:rsidRDefault="00A77B3E" w:rsidP="00C56D4F">
      <w:pPr>
        <w:adjustRightInd w:val="0"/>
        <w:snapToGrid w:val="0"/>
        <w:spacing w:line="360" w:lineRule="auto"/>
        <w:jc w:val="both"/>
        <w:rPr>
          <w:rFonts w:ascii="Book Antiqua" w:hAnsi="Book Antiqua"/>
        </w:rPr>
      </w:pPr>
    </w:p>
    <w:p w14:paraId="42CC52B4"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i/>
          <w:color w:val="000000"/>
        </w:rPr>
        <w:t>Imaging examinations</w:t>
      </w:r>
    </w:p>
    <w:p w14:paraId="338D8CD2" w14:textId="599021F2"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Her chest </w:t>
      </w:r>
      <w:r w:rsidR="002237B9" w:rsidRPr="00C56D4F">
        <w:rPr>
          <w:rFonts w:ascii="Book Antiqua" w:eastAsia="Book Antiqua" w:hAnsi="Book Antiqua" w:cs="Book Antiqua"/>
          <w:color w:val="000000"/>
        </w:rPr>
        <w:t>computed tomography (CT)</w:t>
      </w:r>
      <w:r w:rsidRPr="00C56D4F">
        <w:rPr>
          <w:rFonts w:ascii="Book Antiqua" w:eastAsia="Book Antiqua" w:hAnsi="Book Antiqua" w:cs="Book Antiqua"/>
          <w:color w:val="000000"/>
        </w:rPr>
        <w:t xml:space="preserve"> scan indicated bronchopneumonia. Laryngopharyngeal CT revealed tracheal stenosis (Figure 2A</w:t>
      </w:r>
      <w:r w:rsidR="001236A1">
        <w:rPr>
          <w:rFonts w:ascii="Book Antiqua" w:eastAsia="Book Antiqua" w:hAnsi="Book Antiqua" w:cs="Book Antiqua"/>
          <w:color w:val="000000"/>
        </w:rPr>
        <w:t xml:space="preserve"> and </w:t>
      </w:r>
      <w:r w:rsidRPr="00C56D4F">
        <w:rPr>
          <w:rFonts w:ascii="Book Antiqua" w:eastAsia="Book Antiqua" w:hAnsi="Book Antiqua" w:cs="Book Antiqua"/>
          <w:color w:val="000000"/>
        </w:rPr>
        <w:t>B).</w:t>
      </w:r>
    </w:p>
    <w:p w14:paraId="58602E6D" w14:textId="77777777" w:rsidR="00A77B3E" w:rsidRPr="00C56D4F" w:rsidRDefault="00A77B3E" w:rsidP="00C56D4F">
      <w:pPr>
        <w:adjustRightInd w:val="0"/>
        <w:snapToGrid w:val="0"/>
        <w:spacing w:line="360" w:lineRule="auto"/>
        <w:jc w:val="both"/>
        <w:rPr>
          <w:rFonts w:ascii="Book Antiqua" w:hAnsi="Book Antiqua"/>
        </w:rPr>
      </w:pPr>
    </w:p>
    <w:p w14:paraId="7CE1F924"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aps/>
          <w:color w:val="000000"/>
          <w:u w:val="single"/>
        </w:rPr>
        <w:t>FINAL DIAGNOSIS</w:t>
      </w:r>
    </w:p>
    <w:p w14:paraId="041FC95A" w14:textId="3C447DD5"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GD.</w:t>
      </w:r>
    </w:p>
    <w:p w14:paraId="527C2B21" w14:textId="77777777" w:rsidR="00A77B3E" w:rsidRPr="00C56D4F" w:rsidRDefault="00A77B3E" w:rsidP="00C56D4F">
      <w:pPr>
        <w:adjustRightInd w:val="0"/>
        <w:snapToGrid w:val="0"/>
        <w:spacing w:line="360" w:lineRule="auto"/>
        <w:jc w:val="both"/>
        <w:rPr>
          <w:rFonts w:ascii="Book Antiqua" w:hAnsi="Book Antiqua"/>
        </w:rPr>
      </w:pPr>
    </w:p>
    <w:p w14:paraId="008F7BFD"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aps/>
          <w:color w:val="000000"/>
          <w:u w:val="single"/>
        </w:rPr>
        <w:t>TREATMENT</w:t>
      </w:r>
    </w:p>
    <w:p w14:paraId="1B945B13" w14:textId="26956405"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The patient presented an oxygen saturation of 96% with a nasal catheter giving 0.5-1 L/min oxygen inhalation. She received human immunoglobulin </w:t>
      </w:r>
      <w:r w:rsidR="00725542">
        <w:rPr>
          <w:rFonts w:ascii="Book Antiqua" w:eastAsia="Book Antiqua" w:hAnsi="Book Antiqua" w:cs="Book Antiqua"/>
          <w:color w:val="000000"/>
        </w:rPr>
        <w:t>(</w:t>
      </w:r>
      <w:r w:rsidRPr="00C56D4F">
        <w:rPr>
          <w:rFonts w:ascii="Book Antiqua" w:eastAsia="Book Antiqua" w:hAnsi="Book Antiqua" w:cs="Book Antiqua"/>
          <w:color w:val="000000"/>
        </w:rPr>
        <w:t xml:space="preserve">50 mL: 2.5 g </w:t>
      </w:r>
      <w:r w:rsidR="00725542">
        <w:rPr>
          <w:rFonts w:ascii="Book Antiqua" w:eastAsia="Book Antiqua" w:hAnsi="Book Antiqua" w:cs="Book Antiqua"/>
          <w:color w:val="000000"/>
        </w:rPr>
        <w:t>[</w:t>
      </w:r>
      <w:r w:rsidRPr="00C56D4F">
        <w:rPr>
          <w:rFonts w:ascii="Book Antiqua" w:eastAsia="Book Antiqua" w:hAnsi="Book Antiqua" w:cs="Book Antiqua"/>
          <w:color w:val="000000"/>
        </w:rPr>
        <w:t>5%</w:t>
      </w:r>
      <w:r w:rsidR="00725542">
        <w:rPr>
          <w:rFonts w:ascii="Book Antiqua" w:eastAsia="Book Antiqua" w:hAnsi="Book Antiqua" w:cs="Book Antiqua"/>
          <w:color w:val="000000"/>
        </w:rPr>
        <w:t>])</w:t>
      </w:r>
      <w:r w:rsidRPr="00C56D4F">
        <w:rPr>
          <w:rFonts w:ascii="Book Antiqua" w:eastAsia="Book Antiqua" w:hAnsi="Book Antiqua" w:cs="Book Antiqua"/>
          <w:color w:val="000000"/>
        </w:rPr>
        <w:t xml:space="preserve"> intravenously on the second and the last day of admission. Isopropyl compound ipratropium bromide solution (inhalation of Combivent aerosol budesonide) 1.25 mL</w:t>
      </w:r>
      <w:r w:rsidR="002237B9" w:rsidRPr="00C56D4F">
        <w:rPr>
          <w:rFonts w:ascii="Book Antiqua" w:eastAsia="Book Antiqua" w:hAnsi="Book Antiqua" w:cs="Book Antiqua"/>
          <w:color w:val="000000"/>
        </w:rPr>
        <w:t xml:space="preserve"> </w:t>
      </w:r>
      <w:r w:rsidRPr="00C56D4F">
        <w:rPr>
          <w:rFonts w:ascii="Book Antiqua" w:eastAsia="Book Antiqua" w:hAnsi="Book Antiqua" w:cs="Book Antiqua"/>
          <w:color w:val="000000"/>
        </w:rPr>
        <w:t>+ (Pulmicort) 200 μg + normal saline 1 mL atomization inhalation were continued daily during the hospital stay. The patient received 500 mg/d ceftriaxone sodium for injection until day 11, when the symptoms of the infection were resolved. For antiasthma management, the patient received methylprednisolone sodium succinate for injection at 40 mg/d up to day 10 and methylprednisolone at 16 mg/d orally daily until discharge. The patient was discharged on day 13 after progressive improvement in respiratory function.</w:t>
      </w:r>
    </w:p>
    <w:p w14:paraId="2576AA4B" w14:textId="77777777" w:rsidR="00A77B3E" w:rsidRPr="00C56D4F" w:rsidRDefault="00A77B3E" w:rsidP="00C56D4F">
      <w:pPr>
        <w:adjustRightInd w:val="0"/>
        <w:snapToGrid w:val="0"/>
        <w:spacing w:line="360" w:lineRule="auto"/>
        <w:jc w:val="both"/>
        <w:rPr>
          <w:rFonts w:ascii="Book Antiqua" w:hAnsi="Book Antiqua"/>
        </w:rPr>
      </w:pPr>
    </w:p>
    <w:p w14:paraId="546FBBAD"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aps/>
          <w:color w:val="000000"/>
          <w:u w:val="single"/>
        </w:rPr>
        <w:t>OUTCOME AND FOLLOW-UP</w:t>
      </w:r>
    </w:p>
    <w:p w14:paraId="5D7FB56C" w14:textId="4C2ADCF2" w:rsidR="00A77B3E" w:rsidRPr="00C56D4F" w:rsidRDefault="00725542" w:rsidP="00C56D4F">
      <w:pPr>
        <w:adjustRightInd w:val="0"/>
        <w:snapToGrid w:val="0"/>
        <w:spacing w:line="360" w:lineRule="auto"/>
        <w:jc w:val="both"/>
        <w:rPr>
          <w:rFonts w:ascii="Book Antiqua" w:hAnsi="Book Antiqua"/>
        </w:rPr>
      </w:pPr>
      <w:r>
        <w:rPr>
          <w:rFonts w:ascii="Book Antiqua" w:eastAsia="Book Antiqua" w:hAnsi="Book Antiqua" w:cs="Book Antiqua"/>
          <w:color w:val="000000"/>
        </w:rPr>
        <w:t>When</w:t>
      </w:r>
      <w:r w:rsidRPr="00C56D4F">
        <w:rPr>
          <w:rFonts w:ascii="Book Antiqua" w:eastAsia="Book Antiqua" w:hAnsi="Book Antiqua" w:cs="Book Antiqua"/>
          <w:color w:val="000000"/>
        </w:rPr>
        <w:t xml:space="preserve"> </w:t>
      </w:r>
      <w:r w:rsidR="00AD0793" w:rsidRPr="00C56D4F">
        <w:rPr>
          <w:rFonts w:ascii="Book Antiqua" w:eastAsia="Book Antiqua" w:hAnsi="Book Antiqua" w:cs="Book Antiqua"/>
          <w:color w:val="000000"/>
        </w:rPr>
        <w:t>discharged, patient’s symptoms of RRTIs had improved by using methylprednisolone 20 mg/d orally. Patient returned to the outpatient department regularly.</w:t>
      </w:r>
    </w:p>
    <w:p w14:paraId="075FE307" w14:textId="77777777" w:rsidR="00A77B3E" w:rsidRPr="00C56D4F" w:rsidRDefault="00A77B3E" w:rsidP="00C56D4F">
      <w:pPr>
        <w:adjustRightInd w:val="0"/>
        <w:snapToGrid w:val="0"/>
        <w:spacing w:line="360" w:lineRule="auto"/>
        <w:jc w:val="both"/>
        <w:rPr>
          <w:rFonts w:ascii="Book Antiqua" w:hAnsi="Book Antiqua"/>
        </w:rPr>
      </w:pPr>
    </w:p>
    <w:p w14:paraId="04954183"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aps/>
          <w:color w:val="000000"/>
          <w:u w:val="single"/>
        </w:rPr>
        <w:t>DISCUSSION</w:t>
      </w:r>
    </w:p>
    <w:p w14:paraId="6CFEFA61" w14:textId="040F14CF"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GD, acromicric dysplasia (AD) and Weill-Marchesani syndrome (WMS) are kinds of acromelic dysplasia</w:t>
      </w:r>
      <w:r w:rsidRPr="00C56D4F">
        <w:rPr>
          <w:rFonts w:ascii="Book Antiqua" w:eastAsia="Book Antiqua" w:hAnsi="Book Antiqua" w:cs="Book Antiqua"/>
          <w:color w:val="000000"/>
          <w:vertAlign w:val="superscript"/>
        </w:rPr>
        <w:t>[1]</w:t>
      </w:r>
      <w:r w:rsidRPr="00647BA4">
        <w:rPr>
          <w:rFonts w:ascii="Book Antiqua" w:eastAsia="Book Antiqua" w:hAnsi="Book Antiqua" w:cs="Book Antiqua"/>
          <w:color w:val="000000"/>
        </w:rPr>
        <w:t xml:space="preserve">, </w:t>
      </w:r>
      <w:r w:rsidRPr="00C56D4F">
        <w:rPr>
          <w:rFonts w:ascii="Book Antiqua" w:eastAsia="Book Antiqua" w:hAnsi="Book Antiqua" w:cs="Book Antiqua"/>
          <w:color w:val="000000"/>
        </w:rPr>
        <w:t>but these three disorders have their own unique features. GD is clinically distinct from AD and WMS in its symptoms such as cardiac valvular abnormalities, progressive hepatomegaly and tracheal stenosis. Ordinarily, conditions that resemble GD but without cardiac valvular abnormality are diagnosed as AD, and those accompanied by distinguishing eye anomalies, including lenticular myopia, ectopia lentis, glaucoma and spherophakia, are diagnosed as WMS</w:t>
      </w:r>
      <w:r w:rsidRPr="00C56D4F">
        <w:rPr>
          <w:rFonts w:ascii="Book Antiqua" w:eastAsia="Book Antiqua" w:hAnsi="Book Antiqua" w:cs="Book Antiqua"/>
          <w:color w:val="000000"/>
          <w:vertAlign w:val="superscript"/>
        </w:rPr>
        <w:t>[1]</w:t>
      </w:r>
      <w:r w:rsidRPr="00C56D4F">
        <w:rPr>
          <w:rFonts w:ascii="Book Antiqua" w:eastAsia="Book Antiqua" w:hAnsi="Book Antiqua" w:cs="Book Antiqua"/>
          <w:color w:val="000000"/>
        </w:rPr>
        <w:t>.</w:t>
      </w:r>
    </w:p>
    <w:p w14:paraId="0CD8597F" w14:textId="77777777" w:rsidR="00A77B3E" w:rsidRPr="00C56D4F" w:rsidRDefault="00AD0793" w:rsidP="00C56D4F">
      <w:pPr>
        <w:adjustRightInd w:val="0"/>
        <w:snapToGrid w:val="0"/>
        <w:spacing w:line="360" w:lineRule="auto"/>
        <w:ind w:firstLine="240"/>
        <w:jc w:val="both"/>
        <w:rPr>
          <w:rFonts w:ascii="Book Antiqua" w:hAnsi="Book Antiqua"/>
        </w:rPr>
      </w:pPr>
      <w:r w:rsidRPr="00C56D4F">
        <w:rPr>
          <w:rFonts w:ascii="Book Antiqua" w:eastAsia="Book Antiqua" w:hAnsi="Book Antiqua" w:cs="Book Antiqua"/>
          <w:color w:val="000000"/>
        </w:rPr>
        <w:t xml:space="preserve">Like the patients who have been reported to have </w:t>
      </w:r>
      <w:r w:rsidRPr="00C56D4F">
        <w:rPr>
          <w:rFonts w:ascii="Book Antiqua" w:eastAsia="Book Antiqua" w:hAnsi="Book Antiqua" w:cs="Book Antiqua"/>
          <w:i/>
          <w:iCs/>
          <w:color w:val="000000"/>
        </w:rPr>
        <w:t>FBN1</w:t>
      </w:r>
      <w:r w:rsidRPr="00C56D4F">
        <w:rPr>
          <w:rFonts w:ascii="Book Antiqua" w:eastAsia="Book Antiqua" w:hAnsi="Book Antiqua" w:cs="Book Antiqua"/>
          <w:color w:val="000000"/>
        </w:rPr>
        <w:t xml:space="preserve">-related diseases, the present patient also displayed an autosomal dominant inheritance pattern and had a mutation in the TB5 domain of </w:t>
      </w:r>
      <w:r w:rsidRPr="00C56D4F">
        <w:rPr>
          <w:rFonts w:ascii="Book Antiqua" w:eastAsia="Book Antiqua" w:hAnsi="Book Antiqua" w:cs="Book Antiqua"/>
          <w:i/>
          <w:iCs/>
          <w:color w:val="000000"/>
        </w:rPr>
        <w:t>FBN1</w:t>
      </w:r>
      <w:r w:rsidRPr="00C56D4F">
        <w:rPr>
          <w:rFonts w:ascii="Book Antiqua" w:eastAsia="Book Antiqua" w:hAnsi="Book Antiqua" w:cs="Book Antiqua"/>
          <w:color w:val="000000"/>
        </w:rPr>
        <w:t xml:space="preserve">. The inheritance method of </w:t>
      </w:r>
      <w:r w:rsidRPr="00C56D4F">
        <w:rPr>
          <w:rFonts w:ascii="Book Antiqua" w:eastAsia="Book Antiqua" w:hAnsi="Book Antiqua" w:cs="Book Antiqua"/>
          <w:i/>
          <w:iCs/>
          <w:color w:val="000000"/>
        </w:rPr>
        <w:t>FBN1</w:t>
      </w:r>
      <w:r w:rsidRPr="00C56D4F">
        <w:rPr>
          <w:rFonts w:ascii="Book Antiqua" w:eastAsia="Book Antiqua" w:hAnsi="Book Antiqua" w:cs="Book Antiqua"/>
          <w:color w:val="000000"/>
        </w:rPr>
        <w:t xml:space="preserve"> shows autosomal dominance, whereas the inheritance of </w:t>
      </w:r>
      <w:r w:rsidRPr="00C56D4F">
        <w:rPr>
          <w:rFonts w:ascii="Book Antiqua" w:eastAsia="Book Antiqua" w:hAnsi="Book Antiqua" w:cs="Book Antiqua"/>
          <w:i/>
          <w:iCs/>
          <w:color w:val="000000"/>
        </w:rPr>
        <w:t>ADAMTS10</w:t>
      </w:r>
      <w:r w:rsidRPr="00C56D4F">
        <w:rPr>
          <w:rFonts w:ascii="Book Antiqua" w:eastAsia="Book Antiqua" w:hAnsi="Book Antiqua" w:cs="Book Antiqua"/>
          <w:color w:val="000000"/>
        </w:rPr>
        <w:t xml:space="preserve">, </w:t>
      </w:r>
      <w:r w:rsidRPr="00C56D4F">
        <w:rPr>
          <w:rFonts w:ascii="Book Antiqua" w:eastAsia="Book Antiqua" w:hAnsi="Book Antiqua" w:cs="Book Antiqua"/>
          <w:i/>
          <w:iCs/>
          <w:color w:val="000000"/>
        </w:rPr>
        <w:t>ADAMTS17</w:t>
      </w:r>
      <w:r w:rsidRPr="00C56D4F">
        <w:rPr>
          <w:rFonts w:ascii="Book Antiqua" w:eastAsia="Book Antiqua" w:hAnsi="Book Antiqua" w:cs="Book Antiqua"/>
          <w:color w:val="000000"/>
        </w:rPr>
        <w:t xml:space="preserve"> and </w:t>
      </w:r>
      <w:r w:rsidRPr="00C56D4F">
        <w:rPr>
          <w:rFonts w:ascii="Book Antiqua" w:eastAsia="Book Antiqua" w:hAnsi="Book Antiqua" w:cs="Book Antiqua"/>
          <w:i/>
          <w:iCs/>
          <w:color w:val="000000"/>
        </w:rPr>
        <w:t>LTBP2</w:t>
      </w:r>
      <w:r w:rsidRPr="00C56D4F">
        <w:rPr>
          <w:rFonts w:ascii="Book Antiqua" w:eastAsia="Book Antiqua" w:hAnsi="Book Antiqua" w:cs="Book Antiqua"/>
          <w:color w:val="000000"/>
        </w:rPr>
        <w:t xml:space="preserve"> is autosomal recessive</w:t>
      </w:r>
      <w:r w:rsidRPr="00C56D4F">
        <w:rPr>
          <w:rFonts w:ascii="Book Antiqua" w:eastAsia="Book Antiqua" w:hAnsi="Book Antiqua" w:cs="Book Antiqua"/>
          <w:color w:val="000000"/>
          <w:vertAlign w:val="superscript"/>
        </w:rPr>
        <w:t>[3]</w:t>
      </w:r>
      <w:r w:rsidRPr="00C56D4F">
        <w:rPr>
          <w:rFonts w:ascii="Book Antiqua" w:eastAsia="Book Antiqua" w:hAnsi="Book Antiqua" w:cs="Book Antiqua"/>
          <w:color w:val="000000"/>
        </w:rPr>
        <w:t>. Mutations in these genes are reported to cause WMS</w:t>
      </w:r>
      <w:r w:rsidRPr="00C56D4F">
        <w:rPr>
          <w:rFonts w:ascii="Book Antiqua" w:eastAsia="Book Antiqua" w:hAnsi="Book Antiqua" w:cs="Book Antiqua"/>
          <w:color w:val="000000"/>
          <w:vertAlign w:val="superscript"/>
        </w:rPr>
        <w:t>[10]</w:t>
      </w:r>
      <w:r w:rsidRPr="00C56D4F">
        <w:rPr>
          <w:rFonts w:ascii="Book Antiqua" w:eastAsia="Book Antiqua" w:hAnsi="Book Antiqua" w:cs="Book Antiqua"/>
          <w:color w:val="000000"/>
        </w:rPr>
        <w:t xml:space="preserve">, which has similar clinical manifestations as GD. </w:t>
      </w:r>
      <w:r w:rsidRPr="00C56D4F">
        <w:rPr>
          <w:rFonts w:ascii="Book Antiqua" w:eastAsia="Book Antiqua" w:hAnsi="Book Antiqua" w:cs="Book Antiqua"/>
          <w:i/>
          <w:iCs/>
          <w:color w:val="000000"/>
        </w:rPr>
        <w:t>ADAMTS10</w:t>
      </w:r>
      <w:r w:rsidRPr="00C56D4F">
        <w:rPr>
          <w:rFonts w:ascii="Book Antiqua" w:eastAsia="Book Antiqua" w:hAnsi="Book Antiqua" w:cs="Book Antiqua"/>
          <w:color w:val="000000"/>
        </w:rPr>
        <w:t xml:space="preserve">, </w:t>
      </w:r>
      <w:r w:rsidRPr="00C56D4F">
        <w:rPr>
          <w:rFonts w:ascii="Book Antiqua" w:eastAsia="Book Antiqua" w:hAnsi="Book Antiqua" w:cs="Book Antiqua"/>
          <w:i/>
          <w:iCs/>
          <w:color w:val="000000"/>
        </w:rPr>
        <w:t>ADAMTS17</w:t>
      </w:r>
      <w:r w:rsidRPr="00C56D4F">
        <w:rPr>
          <w:rFonts w:ascii="Book Antiqua" w:eastAsia="Book Antiqua" w:hAnsi="Book Antiqua" w:cs="Book Antiqua"/>
          <w:color w:val="000000"/>
        </w:rPr>
        <w:t xml:space="preserve"> and </w:t>
      </w:r>
      <w:r w:rsidRPr="00C56D4F">
        <w:rPr>
          <w:rFonts w:ascii="Book Antiqua" w:eastAsia="Book Antiqua" w:hAnsi="Book Antiqua" w:cs="Book Antiqua"/>
          <w:i/>
          <w:iCs/>
          <w:color w:val="000000"/>
        </w:rPr>
        <w:t>LTBP2</w:t>
      </w:r>
      <w:r w:rsidRPr="00C56D4F">
        <w:rPr>
          <w:rFonts w:ascii="Book Antiqua" w:eastAsia="Book Antiqua" w:hAnsi="Book Antiqua" w:cs="Book Antiqua"/>
          <w:color w:val="000000"/>
        </w:rPr>
        <w:t xml:space="preserve"> were all included in our genetic analysis, and none of them had mutations.</w:t>
      </w:r>
    </w:p>
    <w:p w14:paraId="62EE1329" w14:textId="77777777" w:rsidR="00A77B3E" w:rsidRPr="00C56D4F" w:rsidRDefault="00AD0793" w:rsidP="00C56D4F">
      <w:pPr>
        <w:adjustRightInd w:val="0"/>
        <w:snapToGrid w:val="0"/>
        <w:spacing w:line="360" w:lineRule="auto"/>
        <w:ind w:firstLine="240"/>
        <w:jc w:val="both"/>
        <w:rPr>
          <w:rFonts w:ascii="Book Antiqua" w:hAnsi="Book Antiqua"/>
        </w:rPr>
      </w:pPr>
      <w:r w:rsidRPr="00C56D4F">
        <w:rPr>
          <w:rFonts w:ascii="Book Antiqua" w:eastAsia="Book Antiqua" w:hAnsi="Book Antiqua" w:cs="Book Antiqua"/>
          <w:color w:val="000000"/>
        </w:rPr>
        <w:t xml:space="preserve">We reviewed the literature of reported acromelic dysplasia cases, including GD, AD and WMS, due to mutations at c.5242T, c.5243G and c.5244T of </w:t>
      </w:r>
      <w:r w:rsidRPr="00C56D4F">
        <w:rPr>
          <w:rFonts w:ascii="Book Antiqua" w:eastAsia="Book Antiqua" w:hAnsi="Book Antiqua" w:cs="Book Antiqua"/>
          <w:i/>
          <w:iCs/>
          <w:color w:val="000000"/>
        </w:rPr>
        <w:t>FBN1</w:t>
      </w:r>
      <w:r w:rsidRPr="00C56D4F">
        <w:rPr>
          <w:rFonts w:ascii="Book Antiqua" w:eastAsia="Book Antiqua" w:hAnsi="Book Antiqua" w:cs="Book Antiqua"/>
          <w:color w:val="000000"/>
        </w:rPr>
        <w:t>, which all are predicted to result in the substitution of cysteine at codon 1748. Other than the patient we reported, a total of 9 patients were found, including one family with 7 patients. Patient 1</w:t>
      </w:r>
      <w:r w:rsidRPr="00C56D4F">
        <w:rPr>
          <w:rFonts w:ascii="Book Antiqua" w:eastAsia="Book Antiqua" w:hAnsi="Book Antiqua" w:cs="Book Antiqua"/>
          <w:color w:val="000000"/>
          <w:vertAlign w:val="superscript"/>
        </w:rPr>
        <w:t>[2]</w:t>
      </w:r>
      <w:r w:rsidRPr="00C56D4F">
        <w:rPr>
          <w:rFonts w:ascii="Book Antiqua" w:eastAsia="Book Antiqua" w:hAnsi="Book Antiqua" w:cs="Book Antiqua"/>
          <w:color w:val="000000"/>
        </w:rPr>
        <w:t xml:space="preserve"> had the heterozygous mutation c.5243G&gt;C (p.Cys1748Ser). Patient 2</w:t>
      </w:r>
      <w:r w:rsidRPr="00C56D4F">
        <w:rPr>
          <w:rFonts w:ascii="Book Antiqua" w:eastAsia="Book Antiqua" w:hAnsi="Book Antiqua" w:cs="Book Antiqua"/>
          <w:color w:val="000000"/>
          <w:vertAlign w:val="superscript"/>
        </w:rPr>
        <w:t>[1]</w:t>
      </w:r>
      <w:r w:rsidRPr="00C56D4F">
        <w:rPr>
          <w:rFonts w:ascii="Book Antiqua" w:eastAsia="Book Antiqua" w:hAnsi="Book Antiqua" w:cs="Book Antiqua"/>
          <w:color w:val="000000"/>
        </w:rPr>
        <w:t>, like the girl we reported, had the same heterozygous mutation c.5243G&gt;T (p.C1748F). Patient 3</w:t>
      </w:r>
      <w:r w:rsidRPr="00C56D4F">
        <w:rPr>
          <w:rFonts w:ascii="Book Antiqua" w:eastAsia="Book Antiqua" w:hAnsi="Book Antiqua" w:cs="Book Antiqua"/>
          <w:color w:val="000000"/>
          <w:vertAlign w:val="superscript"/>
        </w:rPr>
        <w:t>[11]</w:t>
      </w:r>
      <w:r w:rsidRPr="00C56D4F">
        <w:rPr>
          <w:rFonts w:ascii="Book Antiqua" w:eastAsia="Book Antiqua" w:hAnsi="Book Antiqua" w:cs="Book Antiqua"/>
          <w:color w:val="000000"/>
        </w:rPr>
        <w:t>, the proband of the family, had the heterozygous mutation c.5242T&gt;C (p.C1748R). There was no mutation reported at position c.5244T. All the patients had progressive growth delays from an early age and presented dysmorphic features such as short stature, short limbs and stubby fingers and toes. No severe abnormities were mentioned in either the mitral or tricuspid valve. However, Patient 3</w:t>
      </w:r>
      <w:r w:rsidRPr="00C56D4F">
        <w:rPr>
          <w:rFonts w:ascii="Book Antiqua" w:eastAsia="Book Antiqua" w:hAnsi="Book Antiqua" w:cs="Book Antiqua"/>
          <w:color w:val="000000"/>
          <w:vertAlign w:val="superscript"/>
        </w:rPr>
        <w:t>[11]</w:t>
      </w:r>
      <w:r w:rsidRPr="00C56D4F">
        <w:rPr>
          <w:rFonts w:ascii="Book Antiqua" w:eastAsia="Book Antiqua" w:hAnsi="Book Antiqua" w:cs="Book Antiqua"/>
          <w:color w:val="000000"/>
        </w:rPr>
        <w:t xml:space="preserve"> developed a life-threatening subacute aortic dissection extending from the aortic root to the left subclavian artery of the thoracic aortic arch. Severe tracheal stenosis developed in our patient and Patient 1</w:t>
      </w:r>
      <w:r w:rsidRPr="00C56D4F">
        <w:rPr>
          <w:rFonts w:ascii="Book Antiqua" w:eastAsia="Book Antiqua" w:hAnsi="Book Antiqua" w:cs="Book Antiqua"/>
          <w:color w:val="000000"/>
          <w:vertAlign w:val="superscript"/>
        </w:rPr>
        <w:t>[2]</w:t>
      </w:r>
      <w:r w:rsidRPr="00C56D4F">
        <w:rPr>
          <w:rFonts w:ascii="Book Antiqua" w:eastAsia="Book Antiqua" w:hAnsi="Book Antiqua" w:cs="Book Antiqua"/>
          <w:color w:val="000000"/>
        </w:rPr>
        <w:t>. Thyroid hypofunction was found in both our patient and Patient 2</w:t>
      </w:r>
      <w:r w:rsidRPr="00C56D4F">
        <w:rPr>
          <w:rFonts w:ascii="Book Antiqua" w:eastAsia="Book Antiqua" w:hAnsi="Book Antiqua" w:cs="Book Antiqua"/>
          <w:color w:val="000000"/>
          <w:vertAlign w:val="superscript"/>
        </w:rPr>
        <w:t>[1]</w:t>
      </w:r>
      <w:r w:rsidRPr="00C56D4F">
        <w:rPr>
          <w:rFonts w:ascii="Book Antiqua" w:eastAsia="Book Antiqua" w:hAnsi="Book Antiqua" w:cs="Book Antiqua"/>
          <w:color w:val="000000"/>
        </w:rPr>
        <w:t>. It is worth noting that Patient 2, who had the same mutation as our patient, was diagnosed with WWS and had small, round lenses and moderate myopia but did not develop tracheal stenosis (Table 1).</w:t>
      </w:r>
    </w:p>
    <w:p w14:paraId="6261E44F" w14:textId="77777777" w:rsidR="00A77B3E" w:rsidRPr="00C56D4F" w:rsidRDefault="00AD0793" w:rsidP="00C56D4F">
      <w:pPr>
        <w:adjustRightInd w:val="0"/>
        <w:snapToGrid w:val="0"/>
        <w:spacing w:line="360" w:lineRule="auto"/>
        <w:ind w:firstLine="240"/>
        <w:jc w:val="both"/>
        <w:rPr>
          <w:rFonts w:ascii="Book Antiqua" w:hAnsi="Book Antiqua"/>
        </w:rPr>
      </w:pPr>
      <w:r w:rsidRPr="00C56D4F">
        <w:rPr>
          <w:rFonts w:ascii="Book Antiqua" w:eastAsia="Book Antiqua" w:hAnsi="Book Antiqua" w:cs="Book Antiqua"/>
          <w:color w:val="000000"/>
        </w:rPr>
        <w:t>The present patient was diagnosed with GD due to the presence of mitral valve abnormalities and tracheal stenosis. However, Patient 2</w:t>
      </w:r>
      <w:r w:rsidRPr="00C56D4F">
        <w:rPr>
          <w:rFonts w:ascii="Book Antiqua" w:eastAsia="Book Antiqua" w:hAnsi="Book Antiqua" w:cs="Book Antiqua"/>
          <w:color w:val="000000"/>
          <w:vertAlign w:val="superscript"/>
        </w:rPr>
        <w:t>[1]</w:t>
      </w:r>
      <w:r w:rsidRPr="00C56D4F">
        <w:rPr>
          <w:rFonts w:ascii="Book Antiqua" w:eastAsia="Book Antiqua" w:hAnsi="Book Antiqua" w:cs="Book Antiqua"/>
          <w:color w:val="000000"/>
        </w:rPr>
        <w:t>, with the same mutation as our patient, was diagnosed with WMS and lacked either mitral valve abnormalities or tracheal stenosis. These findings demonstrate that an identified genotype can be related to different clinical phenotypes. In addition to genotypes, environmental factors also play an important role in phenotype development. In this study, both the patient we reported and Patient 1</w:t>
      </w:r>
      <w:r w:rsidRPr="00C56D4F">
        <w:rPr>
          <w:rFonts w:ascii="Book Antiqua" w:eastAsia="Book Antiqua" w:hAnsi="Book Antiqua" w:cs="Book Antiqua"/>
          <w:color w:val="000000"/>
          <w:vertAlign w:val="superscript"/>
        </w:rPr>
        <w:t>[2]</w:t>
      </w:r>
      <w:r w:rsidRPr="00C56D4F">
        <w:rPr>
          <w:rFonts w:ascii="Book Antiqua" w:eastAsia="Book Antiqua" w:hAnsi="Book Antiqua" w:cs="Book Antiqua"/>
          <w:color w:val="000000"/>
        </w:rPr>
        <w:t xml:space="preserve"> developed persistent tracheal stenosis with age. It is noteworthy that both of them had a history of RRTIs at an early age before having developed persistent tracheal stenosis. However, none of the same conditions were mentioned in Patient 2</w:t>
      </w:r>
      <w:r w:rsidRPr="00C56D4F">
        <w:rPr>
          <w:rFonts w:ascii="Book Antiqua" w:eastAsia="Book Antiqua" w:hAnsi="Book Antiqua" w:cs="Book Antiqua"/>
          <w:color w:val="000000"/>
          <w:vertAlign w:val="superscript"/>
        </w:rPr>
        <w:t>[1]</w:t>
      </w:r>
      <w:r w:rsidRPr="00C56D4F">
        <w:rPr>
          <w:rFonts w:ascii="Book Antiqua" w:eastAsia="Book Antiqua" w:hAnsi="Book Antiqua" w:cs="Book Antiqua"/>
          <w:color w:val="000000"/>
        </w:rPr>
        <w:t>. RRTIs might play an important role in tracheal stenosis development at an early age.</w:t>
      </w:r>
    </w:p>
    <w:p w14:paraId="6080916D" w14:textId="519DFE19" w:rsidR="00A77B3E" w:rsidRPr="00C56D4F" w:rsidRDefault="00AD0793" w:rsidP="00C56D4F">
      <w:pPr>
        <w:adjustRightInd w:val="0"/>
        <w:snapToGrid w:val="0"/>
        <w:spacing w:line="360" w:lineRule="auto"/>
        <w:ind w:firstLine="240"/>
        <w:jc w:val="both"/>
        <w:rPr>
          <w:rFonts w:ascii="Book Antiqua" w:hAnsi="Book Antiqua"/>
        </w:rPr>
      </w:pPr>
      <w:r w:rsidRPr="00C56D4F">
        <w:rPr>
          <w:rFonts w:ascii="Book Antiqua" w:eastAsia="Book Antiqua" w:hAnsi="Book Antiqua" w:cs="Book Antiqua"/>
          <w:color w:val="000000"/>
        </w:rPr>
        <w:t>Progressive cardiac valvular abnormality is a common cause of death in patients with GD</w:t>
      </w:r>
      <w:r w:rsidRPr="00C56D4F">
        <w:rPr>
          <w:rFonts w:ascii="Book Antiqua" w:eastAsia="Book Antiqua" w:hAnsi="Book Antiqua" w:cs="Book Antiqua"/>
          <w:color w:val="000000"/>
          <w:vertAlign w:val="superscript"/>
        </w:rPr>
        <w:t>[12,13]</w:t>
      </w:r>
      <w:r w:rsidRPr="00C56D4F">
        <w:rPr>
          <w:rFonts w:ascii="Book Antiqua" w:eastAsia="Book Antiqua" w:hAnsi="Book Antiqua" w:cs="Book Antiqua"/>
          <w:color w:val="000000"/>
        </w:rPr>
        <w:t>. In this study, no severe abnormality was found in the mitral or tricuspid valve. However, Patient 3 developed a life-threatening subacute aortic dissection extending from the aortic root to the left subclavian artery of the thoracic aortic arch, which might be caused by aortic valve abnormalities. Moreover, severe tracheal stenosis developed in our patient and Patient 1, the latter of whom needed tracheostomy permanently. This demonstrated that respiratory problems, especially tracheal stenosis, might also be the cause of death in patients with GD. We should pay attention to cardiovascular and respiratory problems in patients with GD to prevent a severe, even life-threatening, event from occurring and to treat complications as early as possible.</w:t>
      </w:r>
    </w:p>
    <w:p w14:paraId="3F57DD90" w14:textId="77777777" w:rsidR="00A77B3E" w:rsidRPr="00C56D4F" w:rsidRDefault="00AD0793" w:rsidP="00C56D4F">
      <w:pPr>
        <w:adjustRightInd w:val="0"/>
        <w:snapToGrid w:val="0"/>
        <w:spacing w:line="360" w:lineRule="auto"/>
        <w:ind w:firstLine="240"/>
        <w:jc w:val="both"/>
        <w:rPr>
          <w:rFonts w:ascii="Book Antiqua" w:hAnsi="Book Antiqua"/>
        </w:rPr>
      </w:pPr>
      <w:r w:rsidRPr="00C56D4F">
        <w:rPr>
          <w:rFonts w:ascii="Book Antiqua" w:eastAsia="Book Antiqua" w:hAnsi="Book Antiqua" w:cs="Book Antiqua"/>
          <w:color w:val="000000"/>
        </w:rPr>
        <w:t>Other than Patient 2</w:t>
      </w:r>
      <w:r w:rsidRPr="00C56D4F">
        <w:rPr>
          <w:rFonts w:ascii="Book Antiqua" w:eastAsia="Book Antiqua" w:hAnsi="Book Antiqua" w:cs="Book Antiqua"/>
          <w:color w:val="000000"/>
          <w:vertAlign w:val="superscript"/>
        </w:rPr>
        <w:t>[1]</w:t>
      </w:r>
      <w:r w:rsidRPr="00C56D4F">
        <w:rPr>
          <w:rFonts w:ascii="Book Antiqua" w:eastAsia="Book Antiqua" w:hAnsi="Book Antiqua" w:cs="Book Antiqua"/>
          <w:color w:val="000000"/>
        </w:rPr>
        <w:t>, none of the patients with acromelic dysplasia were reported to present thyroid hypofunction. Our patient had mild thyroid hypofunction without impaired intelligence. The patient took Euthyrox orally and regularly, but her growth delay showed no improvement. This result indicates that thyroid hypofunction is one of the accompanying manifestations, rather than a causative factor, of GD. Interestingly, both our patient and Patient 2</w:t>
      </w:r>
      <w:r w:rsidRPr="00C56D4F">
        <w:rPr>
          <w:rFonts w:ascii="Book Antiqua" w:eastAsia="Book Antiqua" w:hAnsi="Book Antiqua" w:cs="Book Antiqua"/>
          <w:color w:val="000000"/>
          <w:vertAlign w:val="superscript"/>
        </w:rPr>
        <w:t>[1]</w:t>
      </w:r>
      <w:r w:rsidRPr="00C56D4F">
        <w:rPr>
          <w:rFonts w:ascii="Book Antiqua" w:eastAsia="Book Antiqua" w:hAnsi="Book Antiqua" w:cs="Book Antiqua"/>
          <w:color w:val="000000"/>
        </w:rPr>
        <w:t xml:space="preserve"> had the same mutation, c.5243G&gt;T (p.C1748F) of </w:t>
      </w:r>
      <w:r w:rsidRPr="00C56D4F">
        <w:rPr>
          <w:rFonts w:ascii="Book Antiqua" w:eastAsia="Book Antiqua" w:hAnsi="Book Antiqua" w:cs="Book Antiqua"/>
          <w:i/>
          <w:iCs/>
          <w:color w:val="000000"/>
        </w:rPr>
        <w:t>FBN1</w:t>
      </w:r>
      <w:r w:rsidRPr="00C56D4F">
        <w:rPr>
          <w:rFonts w:ascii="Book Antiqua" w:eastAsia="Book Antiqua" w:hAnsi="Book Antiqua" w:cs="Book Antiqua"/>
          <w:color w:val="000000"/>
        </w:rPr>
        <w:t xml:space="preserve">, which demonstrates that thyroid hypofunction may be specific to patients with the c.5243G&gt;T (p.C1748F) of </w:t>
      </w:r>
      <w:r w:rsidRPr="00C56D4F">
        <w:rPr>
          <w:rFonts w:ascii="Book Antiqua" w:eastAsia="Book Antiqua" w:hAnsi="Book Antiqua" w:cs="Book Antiqua"/>
          <w:i/>
          <w:iCs/>
          <w:color w:val="000000"/>
        </w:rPr>
        <w:t>FBN1</w:t>
      </w:r>
      <w:r w:rsidRPr="00C56D4F">
        <w:rPr>
          <w:rFonts w:ascii="Book Antiqua" w:eastAsia="Book Antiqua" w:hAnsi="Book Antiqua" w:cs="Book Antiqua"/>
          <w:color w:val="000000"/>
        </w:rPr>
        <w:t xml:space="preserve"> in acromelic dysplasia.</w:t>
      </w:r>
    </w:p>
    <w:p w14:paraId="28DBA46C" w14:textId="77777777" w:rsidR="00A77B3E" w:rsidRPr="00C56D4F" w:rsidRDefault="00A77B3E" w:rsidP="00C56D4F">
      <w:pPr>
        <w:adjustRightInd w:val="0"/>
        <w:snapToGrid w:val="0"/>
        <w:spacing w:line="360" w:lineRule="auto"/>
        <w:ind w:firstLine="240"/>
        <w:jc w:val="both"/>
        <w:rPr>
          <w:rFonts w:ascii="Book Antiqua" w:hAnsi="Book Antiqua"/>
        </w:rPr>
      </w:pPr>
    </w:p>
    <w:p w14:paraId="0D3F852D"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aps/>
          <w:color w:val="000000"/>
          <w:u w:val="single"/>
        </w:rPr>
        <w:t>CONCLUSION</w:t>
      </w:r>
    </w:p>
    <w:p w14:paraId="58E4BCD4"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GD is a rare genetic condition that can cause life-threatening cardiovascular and respiratory problems. This study also found that the identified genotype of GD could be related to different clinical phenotypes.</w:t>
      </w:r>
    </w:p>
    <w:p w14:paraId="5A2CF4AB" w14:textId="77777777" w:rsidR="00A77B3E" w:rsidRPr="00C56D4F" w:rsidRDefault="00A77B3E" w:rsidP="00C56D4F">
      <w:pPr>
        <w:adjustRightInd w:val="0"/>
        <w:snapToGrid w:val="0"/>
        <w:spacing w:line="360" w:lineRule="auto"/>
        <w:jc w:val="both"/>
        <w:rPr>
          <w:rFonts w:ascii="Book Antiqua" w:hAnsi="Book Antiqua"/>
        </w:rPr>
      </w:pPr>
    </w:p>
    <w:p w14:paraId="09B3344B"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REFERENCES</w:t>
      </w:r>
    </w:p>
    <w:p w14:paraId="3AE9D180"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1 </w:t>
      </w:r>
      <w:r w:rsidRPr="00C56D4F">
        <w:rPr>
          <w:rFonts w:ascii="Book Antiqua" w:eastAsia="Book Antiqua" w:hAnsi="Book Antiqua" w:cs="Book Antiqua"/>
          <w:b/>
          <w:bCs/>
          <w:color w:val="000000"/>
        </w:rPr>
        <w:t>Wang Y</w:t>
      </w:r>
      <w:r w:rsidRPr="00C56D4F">
        <w:rPr>
          <w:rFonts w:ascii="Book Antiqua" w:eastAsia="Book Antiqua" w:hAnsi="Book Antiqua" w:cs="Book Antiqua"/>
          <w:color w:val="000000"/>
        </w:rPr>
        <w:t xml:space="preserve">, Zhang H, Ye J, Han L, Gu X. Three novel mutations of the FBN1 gene in Chinese children with acromelic dysplasia. </w:t>
      </w:r>
      <w:r w:rsidRPr="00C56D4F">
        <w:rPr>
          <w:rFonts w:ascii="Book Antiqua" w:eastAsia="Book Antiqua" w:hAnsi="Book Antiqua" w:cs="Book Antiqua"/>
          <w:i/>
          <w:iCs/>
          <w:color w:val="000000"/>
        </w:rPr>
        <w:t>J Hum Genet</w:t>
      </w:r>
      <w:r w:rsidRPr="00C56D4F">
        <w:rPr>
          <w:rFonts w:ascii="Book Antiqua" w:eastAsia="Book Antiqua" w:hAnsi="Book Antiqua" w:cs="Book Antiqua"/>
          <w:color w:val="000000"/>
        </w:rPr>
        <w:t xml:space="preserve"> 2014; </w:t>
      </w:r>
      <w:r w:rsidRPr="00C56D4F">
        <w:rPr>
          <w:rFonts w:ascii="Book Antiqua" w:eastAsia="Book Antiqua" w:hAnsi="Book Antiqua" w:cs="Book Antiqua"/>
          <w:b/>
          <w:bCs/>
          <w:color w:val="000000"/>
        </w:rPr>
        <w:t>59</w:t>
      </w:r>
      <w:r w:rsidRPr="00C56D4F">
        <w:rPr>
          <w:rFonts w:ascii="Book Antiqua" w:eastAsia="Book Antiqua" w:hAnsi="Book Antiqua" w:cs="Book Antiqua"/>
          <w:color w:val="000000"/>
        </w:rPr>
        <w:t>: 563-567 [PMID: 25142510 DOI: 10.1038/jhg.2014.73]</w:t>
      </w:r>
    </w:p>
    <w:p w14:paraId="3716F471"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2 </w:t>
      </w:r>
      <w:r w:rsidRPr="00C56D4F">
        <w:rPr>
          <w:rFonts w:ascii="Book Antiqua" w:eastAsia="Book Antiqua" w:hAnsi="Book Antiqua" w:cs="Book Antiqua"/>
          <w:b/>
          <w:bCs/>
          <w:color w:val="000000"/>
        </w:rPr>
        <w:t>Globa E</w:t>
      </w:r>
      <w:r w:rsidRPr="00C56D4F">
        <w:rPr>
          <w:rFonts w:ascii="Book Antiqua" w:eastAsia="Book Antiqua" w:hAnsi="Book Antiqua" w:cs="Book Antiqua"/>
          <w:color w:val="000000"/>
        </w:rPr>
        <w:t xml:space="preserve">, Zelinska N, Dauber A. The Clinical Cases of Geleophysic Dysplasia: One Gene, Different Phenotypes. </w:t>
      </w:r>
      <w:r w:rsidRPr="00C56D4F">
        <w:rPr>
          <w:rFonts w:ascii="Book Antiqua" w:eastAsia="Book Antiqua" w:hAnsi="Book Antiqua" w:cs="Book Antiqua"/>
          <w:i/>
          <w:iCs/>
          <w:color w:val="000000"/>
        </w:rPr>
        <w:t>Case Rep Endocrinol</w:t>
      </w:r>
      <w:r w:rsidRPr="00C56D4F">
        <w:rPr>
          <w:rFonts w:ascii="Book Antiqua" w:eastAsia="Book Antiqua" w:hAnsi="Book Antiqua" w:cs="Book Antiqua"/>
          <w:color w:val="000000"/>
        </w:rPr>
        <w:t xml:space="preserve"> 2018; </w:t>
      </w:r>
      <w:r w:rsidRPr="00C56D4F">
        <w:rPr>
          <w:rFonts w:ascii="Book Antiqua" w:eastAsia="Book Antiqua" w:hAnsi="Book Antiqua" w:cs="Book Antiqua"/>
          <w:b/>
          <w:bCs/>
          <w:color w:val="000000"/>
        </w:rPr>
        <w:t>2018</w:t>
      </w:r>
      <w:r w:rsidRPr="00C56D4F">
        <w:rPr>
          <w:rFonts w:ascii="Book Antiqua" w:eastAsia="Book Antiqua" w:hAnsi="Book Antiqua" w:cs="Book Antiqua"/>
          <w:color w:val="000000"/>
        </w:rPr>
        <w:t>: 8212417 [PMID: 30057829 DOI: 10.1155/2018/8212417]</w:t>
      </w:r>
    </w:p>
    <w:p w14:paraId="06AC5DD5"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3 </w:t>
      </w:r>
      <w:r w:rsidRPr="00C56D4F">
        <w:rPr>
          <w:rFonts w:ascii="Book Antiqua" w:eastAsia="Book Antiqua" w:hAnsi="Book Antiqua" w:cs="Book Antiqua"/>
          <w:b/>
          <w:bCs/>
          <w:color w:val="000000"/>
        </w:rPr>
        <w:t>Li D</w:t>
      </w:r>
      <w:r w:rsidRPr="00C56D4F">
        <w:rPr>
          <w:rFonts w:ascii="Book Antiqua" w:eastAsia="Book Antiqua" w:hAnsi="Book Antiqua" w:cs="Book Antiqua"/>
          <w:color w:val="000000"/>
        </w:rPr>
        <w:t xml:space="preserve">, Dong H, Zheng H, Song J, Li X, Jin Y, Liu Y, Yang Y. A chinese boy with geleophysic dysplasia caused by compound heterozygous mutations in ADAMTSL2. </w:t>
      </w:r>
      <w:r w:rsidRPr="00C56D4F">
        <w:rPr>
          <w:rFonts w:ascii="Book Antiqua" w:eastAsia="Book Antiqua" w:hAnsi="Book Antiqua" w:cs="Book Antiqua"/>
          <w:i/>
          <w:iCs/>
          <w:color w:val="000000"/>
        </w:rPr>
        <w:t>Eur J Med Genet</w:t>
      </w:r>
      <w:r w:rsidRPr="00C56D4F">
        <w:rPr>
          <w:rFonts w:ascii="Book Antiqua" w:eastAsia="Book Antiqua" w:hAnsi="Book Antiqua" w:cs="Book Antiqua"/>
          <w:color w:val="000000"/>
        </w:rPr>
        <w:t xml:space="preserve"> 2017; </w:t>
      </w:r>
      <w:r w:rsidRPr="00C56D4F">
        <w:rPr>
          <w:rFonts w:ascii="Book Antiqua" w:eastAsia="Book Antiqua" w:hAnsi="Book Antiqua" w:cs="Book Antiqua"/>
          <w:b/>
          <w:bCs/>
          <w:color w:val="000000"/>
        </w:rPr>
        <w:t>60</w:t>
      </w:r>
      <w:r w:rsidRPr="00C56D4F">
        <w:rPr>
          <w:rFonts w:ascii="Book Antiqua" w:eastAsia="Book Antiqua" w:hAnsi="Book Antiqua" w:cs="Book Antiqua"/>
          <w:color w:val="000000"/>
        </w:rPr>
        <w:t>: 685-689 [PMID: 28917829 DOI: 10.1016/j.ejmg.2017.09.003]</w:t>
      </w:r>
    </w:p>
    <w:p w14:paraId="1D98727F"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4 </w:t>
      </w:r>
      <w:r w:rsidRPr="00C56D4F">
        <w:rPr>
          <w:rFonts w:ascii="Book Antiqua" w:eastAsia="Book Antiqua" w:hAnsi="Book Antiqua" w:cs="Book Antiqua"/>
          <w:b/>
          <w:bCs/>
          <w:color w:val="000000"/>
        </w:rPr>
        <w:t>McInerney-Leo AM</w:t>
      </w:r>
      <w:r w:rsidRPr="00C56D4F">
        <w:rPr>
          <w:rFonts w:ascii="Book Antiqua" w:eastAsia="Book Antiqua" w:hAnsi="Book Antiqua" w:cs="Book Antiqua"/>
          <w:color w:val="000000"/>
        </w:rPr>
        <w:t xml:space="preserve">, Le Goff C, Leo PJ, Kenna TJ, Keith P, Harris JE, Steer R, Bole-Feysot C, Nitschke P, Kielty C, Brown MA, Zankl A, Duncan EL, Cormier-Daire V. Mutations in LTBP3 cause acromicric dysplasia and geleophysic dysplasia. </w:t>
      </w:r>
      <w:r w:rsidRPr="00C56D4F">
        <w:rPr>
          <w:rFonts w:ascii="Book Antiqua" w:eastAsia="Book Antiqua" w:hAnsi="Book Antiqua" w:cs="Book Antiqua"/>
          <w:i/>
          <w:iCs/>
          <w:color w:val="000000"/>
        </w:rPr>
        <w:t>J Med Genet</w:t>
      </w:r>
      <w:r w:rsidRPr="00C56D4F">
        <w:rPr>
          <w:rFonts w:ascii="Book Antiqua" w:eastAsia="Book Antiqua" w:hAnsi="Book Antiqua" w:cs="Book Antiqua"/>
          <w:color w:val="000000"/>
        </w:rPr>
        <w:t xml:space="preserve"> 2016; </w:t>
      </w:r>
      <w:r w:rsidRPr="00C56D4F">
        <w:rPr>
          <w:rFonts w:ascii="Book Antiqua" w:eastAsia="Book Antiqua" w:hAnsi="Book Antiqua" w:cs="Book Antiqua"/>
          <w:b/>
          <w:bCs/>
          <w:color w:val="000000"/>
        </w:rPr>
        <w:t>53</w:t>
      </w:r>
      <w:r w:rsidRPr="00C56D4F">
        <w:rPr>
          <w:rFonts w:ascii="Book Antiqua" w:eastAsia="Book Antiqua" w:hAnsi="Book Antiqua" w:cs="Book Antiqua"/>
          <w:color w:val="000000"/>
        </w:rPr>
        <w:t>: 457-464 [PMID: 27068007 DOI: 10.1136/jmedgenet-2015-103647]</w:t>
      </w:r>
    </w:p>
    <w:p w14:paraId="7C6D3BDD"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5 </w:t>
      </w:r>
      <w:r w:rsidRPr="00C56D4F">
        <w:rPr>
          <w:rFonts w:ascii="Book Antiqua" w:eastAsia="Book Antiqua" w:hAnsi="Book Antiqua" w:cs="Book Antiqua"/>
          <w:b/>
          <w:bCs/>
          <w:color w:val="000000"/>
        </w:rPr>
        <w:t>Sakai LY</w:t>
      </w:r>
      <w:r w:rsidRPr="00C56D4F">
        <w:rPr>
          <w:rFonts w:ascii="Book Antiqua" w:eastAsia="Book Antiqua" w:hAnsi="Book Antiqua" w:cs="Book Antiqua"/>
          <w:color w:val="000000"/>
        </w:rPr>
        <w:t xml:space="preserve">, Keene DR, Renard M, De Backer J. FBN1: The disease-causing gene for Marfan syndrome and other genetic disorders. </w:t>
      </w:r>
      <w:r w:rsidRPr="00C56D4F">
        <w:rPr>
          <w:rFonts w:ascii="Book Antiqua" w:eastAsia="Book Antiqua" w:hAnsi="Book Antiqua" w:cs="Book Antiqua"/>
          <w:i/>
          <w:iCs/>
          <w:color w:val="000000"/>
        </w:rPr>
        <w:t>Gene</w:t>
      </w:r>
      <w:r w:rsidRPr="00C56D4F">
        <w:rPr>
          <w:rFonts w:ascii="Book Antiqua" w:eastAsia="Book Antiqua" w:hAnsi="Book Antiqua" w:cs="Book Antiqua"/>
          <w:color w:val="000000"/>
        </w:rPr>
        <w:t xml:space="preserve"> 2016; </w:t>
      </w:r>
      <w:r w:rsidRPr="00C56D4F">
        <w:rPr>
          <w:rFonts w:ascii="Book Antiqua" w:eastAsia="Book Antiqua" w:hAnsi="Book Antiqua" w:cs="Book Antiqua"/>
          <w:b/>
          <w:bCs/>
          <w:color w:val="000000"/>
        </w:rPr>
        <w:t>591</w:t>
      </w:r>
      <w:r w:rsidRPr="00C56D4F">
        <w:rPr>
          <w:rFonts w:ascii="Book Antiqua" w:eastAsia="Book Antiqua" w:hAnsi="Book Antiqua" w:cs="Book Antiqua"/>
          <w:color w:val="000000"/>
        </w:rPr>
        <w:t>: 279-291 [PMID: 27437668 DOI: 10.1016/j.gene.2016.07.033]</w:t>
      </w:r>
    </w:p>
    <w:p w14:paraId="059E834D"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6 </w:t>
      </w:r>
      <w:r w:rsidRPr="00C56D4F">
        <w:rPr>
          <w:rFonts w:ascii="Book Antiqua" w:eastAsia="Book Antiqua" w:hAnsi="Book Antiqua" w:cs="Book Antiqua"/>
          <w:b/>
          <w:bCs/>
          <w:color w:val="000000"/>
        </w:rPr>
        <w:t>Le Goff C</w:t>
      </w:r>
      <w:r w:rsidRPr="00C56D4F">
        <w:rPr>
          <w:rFonts w:ascii="Book Antiqua" w:eastAsia="Book Antiqua" w:hAnsi="Book Antiqua" w:cs="Book Antiqua"/>
          <w:color w:val="000000"/>
        </w:rPr>
        <w:t xml:space="preserve">, Mahaut C, Wang LW, Allali S, Abhyankar A, Jensen S, Zylberberg L, Collod-Beroud G, Bonnet D, Alanay Y, Brady AF, Cordier MP, Devriendt K, Genevieve D, Kiper PÖ, Kitoh H, Krakow D, Lynch SA, Le Merrer M, Mégarbane A, Mortier G, Odent S, Polak M, Rohrbach M, Sillence D, Stolte-Dijkstra I, Superti-Furga A, Rimoin DL, Topouchian V, Unger S, Zabel B, Bole-Feysot C, Nitschke P, Handford P, Casanova JL, Boileau C, Apte SS, Munnich A, Cormier-Daire V. Mutations in the TGFβ binding-protein-like domain 5 of FBN1 are responsible for acromicric and geleophysic dysplasias. </w:t>
      </w:r>
      <w:r w:rsidRPr="00C56D4F">
        <w:rPr>
          <w:rFonts w:ascii="Book Antiqua" w:eastAsia="Book Antiqua" w:hAnsi="Book Antiqua" w:cs="Book Antiqua"/>
          <w:i/>
          <w:iCs/>
          <w:color w:val="000000"/>
        </w:rPr>
        <w:t>Am J Hum Genet</w:t>
      </w:r>
      <w:r w:rsidRPr="00C56D4F">
        <w:rPr>
          <w:rFonts w:ascii="Book Antiqua" w:eastAsia="Book Antiqua" w:hAnsi="Book Antiqua" w:cs="Book Antiqua"/>
          <w:color w:val="000000"/>
        </w:rPr>
        <w:t xml:space="preserve"> 2011; </w:t>
      </w:r>
      <w:r w:rsidRPr="00C56D4F">
        <w:rPr>
          <w:rFonts w:ascii="Book Antiqua" w:eastAsia="Book Antiqua" w:hAnsi="Book Antiqua" w:cs="Book Antiqua"/>
          <w:b/>
          <w:bCs/>
          <w:color w:val="000000"/>
        </w:rPr>
        <w:t>89</w:t>
      </w:r>
      <w:r w:rsidRPr="00C56D4F">
        <w:rPr>
          <w:rFonts w:ascii="Book Antiqua" w:eastAsia="Book Antiqua" w:hAnsi="Book Antiqua" w:cs="Book Antiqua"/>
          <w:color w:val="000000"/>
        </w:rPr>
        <w:t>: 7-14 [PMID: 21683322 DOI: 10.1016/j.ajhg.2011.05.012]</w:t>
      </w:r>
    </w:p>
    <w:p w14:paraId="2D1FD7BF" w14:textId="77777777" w:rsidR="00A77B3E" w:rsidRPr="00725542"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7 </w:t>
      </w:r>
      <w:r w:rsidRPr="00C56D4F">
        <w:rPr>
          <w:rFonts w:ascii="Book Antiqua" w:eastAsia="Book Antiqua" w:hAnsi="Book Antiqua" w:cs="Book Antiqua"/>
          <w:b/>
          <w:bCs/>
          <w:color w:val="000000"/>
        </w:rPr>
        <w:t>Sakai LY</w:t>
      </w:r>
      <w:r w:rsidRPr="00C56D4F">
        <w:rPr>
          <w:rFonts w:ascii="Book Antiqua" w:eastAsia="Book Antiqua" w:hAnsi="Book Antiqua" w:cs="Book Antiqua"/>
          <w:color w:val="000000"/>
        </w:rPr>
        <w:t xml:space="preserve">, Keene DR. </w:t>
      </w:r>
      <w:r w:rsidRPr="00725542">
        <w:rPr>
          <w:rFonts w:ascii="Book Antiqua" w:eastAsia="Book Antiqua" w:hAnsi="Book Antiqua" w:cs="Book Antiqua"/>
          <w:color w:val="000000"/>
        </w:rPr>
        <w:t xml:space="preserve">Fibrillin protein pleiotropy: Acromelic dysplasias. </w:t>
      </w:r>
      <w:r w:rsidRPr="00725542">
        <w:rPr>
          <w:rFonts w:ascii="Book Antiqua" w:eastAsia="Book Antiqua" w:hAnsi="Book Antiqua" w:cs="Book Antiqua"/>
          <w:i/>
          <w:iCs/>
          <w:color w:val="000000"/>
        </w:rPr>
        <w:t>Matrix Biol</w:t>
      </w:r>
      <w:r w:rsidRPr="00725542">
        <w:rPr>
          <w:rFonts w:ascii="Book Antiqua" w:eastAsia="Book Antiqua" w:hAnsi="Book Antiqua" w:cs="Book Antiqua"/>
          <w:color w:val="000000"/>
        </w:rPr>
        <w:t xml:space="preserve"> 2019; </w:t>
      </w:r>
      <w:r w:rsidRPr="00725542">
        <w:rPr>
          <w:rFonts w:ascii="Book Antiqua" w:eastAsia="Book Antiqua" w:hAnsi="Book Antiqua" w:cs="Book Antiqua"/>
          <w:b/>
          <w:bCs/>
          <w:color w:val="000000"/>
        </w:rPr>
        <w:t>80</w:t>
      </w:r>
      <w:r w:rsidRPr="00725542">
        <w:rPr>
          <w:rFonts w:ascii="Book Antiqua" w:eastAsia="Book Antiqua" w:hAnsi="Book Antiqua" w:cs="Book Antiqua"/>
          <w:color w:val="000000"/>
        </w:rPr>
        <w:t>: 6-13 [PMID: 30219651 DOI: 10.1016/j.matbio.2018.09.005]</w:t>
      </w:r>
    </w:p>
    <w:p w14:paraId="39A48BC2" w14:textId="77777777" w:rsidR="00A77B3E" w:rsidRPr="00C56D4F" w:rsidRDefault="00AD0793" w:rsidP="00C56D4F">
      <w:pPr>
        <w:adjustRightInd w:val="0"/>
        <w:snapToGrid w:val="0"/>
        <w:spacing w:line="360" w:lineRule="auto"/>
        <w:jc w:val="both"/>
        <w:rPr>
          <w:rFonts w:ascii="Book Antiqua" w:hAnsi="Book Antiqua"/>
        </w:rPr>
      </w:pPr>
      <w:r w:rsidRPr="00725542">
        <w:rPr>
          <w:rFonts w:ascii="Book Antiqua" w:eastAsia="Book Antiqua" w:hAnsi="Book Antiqua" w:cs="Book Antiqua"/>
          <w:color w:val="000000"/>
        </w:rPr>
        <w:t xml:space="preserve">8 </w:t>
      </w:r>
      <w:r w:rsidRPr="00725542">
        <w:rPr>
          <w:rFonts w:ascii="Book Antiqua" w:eastAsia="Book Antiqua" w:hAnsi="Book Antiqua" w:cs="Book Antiqua"/>
          <w:b/>
          <w:bCs/>
          <w:color w:val="000000"/>
        </w:rPr>
        <w:t>Yang H</w:t>
      </w:r>
      <w:r w:rsidRPr="00725542">
        <w:rPr>
          <w:rFonts w:ascii="Book Antiqua" w:eastAsia="Book Antiqua" w:hAnsi="Book Antiqua" w:cs="Book Antiqua"/>
          <w:color w:val="000000"/>
        </w:rPr>
        <w:t xml:space="preserve">, Ma Y, Luo M, Zhao K, Zhang Y, Zhu G, Sun X, Luo F, Wang L, Shu C, Zhou Z. Identification of gross deletions in FBN1 gene by MLPA. </w:t>
      </w:r>
      <w:r w:rsidRPr="00C56D4F">
        <w:rPr>
          <w:rFonts w:ascii="Book Antiqua" w:eastAsia="Book Antiqua" w:hAnsi="Book Antiqua" w:cs="Book Antiqua"/>
          <w:i/>
          <w:iCs/>
          <w:color w:val="000000"/>
        </w:rPr>
        <w:t>Hum Genomics</w:t>
      </w:r>
      <w:r w:rsidRPr="00C56D4F">
        <w:rPr>
          <w:rFonts w:ascii="Book Antiqua" w:eastAsia="Book Antiqua" w:hAnsi="Book Antiqua" w:cs="Book Antiqua"/>
          <w:color w:val="000000"/>
        </w:rPr>
        <w:t xml:space="preserve"> 2018; </w:t>
      </w:r>
      <w:r w:rsidRPr="00C56D4F">
        <w:rPr>
          <w:rFonts w:ascii="Book Antiqua" w:eastAsia="Book Antiqua" w:hAnsi="Book Antiqua" w:cs="Book Antiqua"/>
          <w:b/>
          <w:bCs/>
          <w:color w:val="000000"/>
        </w:rPr>
        <w:t>12</w:t>
      </w:r>
      <w:r w:rsidRPr="00C56D4F">
        <w:rPr>
          <w:rFonts w:ascii="Book Antiqua" w:eastAsia="Book Antiqua" w:hAnsi="Book Antiqua" w:cs="Book Antiqua"/>
          <w:color w:val="000000"/>
        </w:rPr>
        <w:t>: 46 [PMID: 30286810 DOI: 10.1186/s40246-018-0178-y]</w:t>
      </w:r>
    </w:p>
    <w:p w14:paraId="7892755A"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9 </w:t>
      </w:r>
      <w:r w:rsidRPr="00C56D4F">
        <w:rPr>
          <w:rFonts w:ascii="Book Antiqua" w:eastAsia="Book Antiqua" w:hAnsi="Book Antiqua" w:cs="Book Antiqua"/>
          <w:b/>
          <w:bCs/>
          <w:color w:val="000000"/>
        </w:rPr>
        <w:t>Li H</w:t>
      </w:r>
      <w:r w:rsidRPr="00C56D4F">
        <w:rPr>
          <w:rFonts w:ascii="Book Antiqua" w:eastAsia="Book Antiqua" w:hAnsi="Book Antiqua" w:cs="Book Antiqua"/>
          <w:color w:val="000000"/>
        </w:rPr>
        <w:t xml:space="preserve">, Ji CY, Zong XN, Zhang YQ. [Height and weight standardized growth charts for Chinese children and adolescents aged 0 to 18 years]. </w:t>
      </w:r>
      <w:r w:rsidRPr="00C56D4F">
        <w:rPr>
          <w:rFonts w:ascii="Book Antiqua" w:eastAsia="Book Antiqua" w:hAnsi="Book Antiqua" w:cs="Book Antiqua"/>
          <w:i/>
          <w:iCs/>
          <w:color w:val="000000"/>
        </w:rPr>
        <w:t>Zhonghua Er Ke Za Zhi</w:t>
      </w:r>
      <w:r w:rsidRPr="00C56D4F">
        <w:rPr>
          <w:rFonts w:ascii="Book Antiqua" w:eastAsia="Book Antiqua" w:hAnsi="Book Antiqua" w:cs="Book Antiqua"/>
          <w:color w:val="000000"/>
        </w:rPr>
        <w:t xml:space="preserve"> 2009; </w:t>
      </w:r>
      <w:r w:rsidRPr="00C56D4F">
        <w:rPr>
          <w:rFonts w:ascii="Book Antiqua" w:eastAsia="Book Antiqua" w:hAnsi="Book Antiqua" w:cs="Book Antiqua"/>
          <w:b/>
          <w:bCs/>
          <w:color w:val="000000"/>
        </w:rPr>
        <w:t>47</w:t>
      </w:r>
      <w:r w:rsidRPr="00C56D4F">
        <w:rPr>
          <w:rFonts w:ascii="Book Antiqua" w:eastAsia="Book Antiqua" w:hAnsi="Book Antiqua" w:cs="Book Antiqua"/>
          <w:color w:val="000000"/>
        </w:rPr>
        <w:t>: 487-492 [PMID: 19951507 DOI: 10.3760/cma.j.issn.0578-1310.2009.07.003]</w:t>
      </w:r>
    </w:p>
    <w:p w14:paraId="25AD02C5"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10 </w:t>
      </w:r>
      <w:r w:rsidRPr="00C56D4F">
        <w:rPr>
          <w:rFonts w:ascii="Book Antiqua" w:eastAsia="Book Antiqua" w:hAnsi="Book Antiqua" w:cs="Book Antiqua"/>
          <w:b/>
          <w:bCs/>
          <w:color w:val="000000"/>
        </w:rPr>
        <w:t>Cheng SW</w:t>
      </w:r>
      <w:r w:rsidRPr="00C56D4F">
        <w:rPr>
          <w:rFonts w:ascii="Book Antiqua" w:eastAsia="Book Antiqua" w:hAnsi="Book Antiqua" w:cs="Book Antiqua"/>
          <w:color w:val="000000"/>
        </w:rPr>
        <w:t xml:space="preserve">, Luk HM, Chu YWY, Tung YL, Kwan EY, Lo IF, Chung BH. A report of three families with FBN1-related acromelic dysplasias and review of literature for genotype-phenotype correlation in geleophysic dysplasia. </w:t>
      </w:r>
      <w:r w:rsidRPr="00C56D4F">
        <w:rPr>
          <w:rFonts w:ascii="Book Antiqua" w:eastAsia="Book Antiqua" w:hAnsi="Book Antiqua" w:cs="Book Antiqua"/>
          <w:i/>
          <w:iCs/>
          <w:color w:val="000000"/>
        </w:rPr>
        <w:t>Eur J Med Genet</w:t>
      </w:r>
      <w:r w:rsidRPr="00C56D4F">
        <w:rPr>
          <w:rFonts w:ascii="Book Antiqua" w:eastAsia="Book Antiqua" w:hAnsi="Book Antiqua" w:cs="Book Antiqua"/>
          <w:color w:val="000000"/>
        </w:rPr>
        <w:t xml:space="preserve"> 2018; </w:t>
      </w:r>
      <w:r w:rsidRPr="00C56D4F">
        <w:rPr>
          <w:rFonts w:ascii="Book Antiqua" w:eastAsia="Book Antiqua" w:hAnsi="Book Antiqua" w:cs="Book Antiqua"/>
          <w:b/>
          <w:bCs/>
          <w:color w:val="000000"/>
        </w:rPr>
        <w:t>61</w:t>
      </w:r>
      <w:r w:rsidRPr="00C56D4F">
        <w:rPr>
          <w:rFonts w:ascii="Book Antiqua" w:eastAsia="Book Antiqua" w:hAnsi="Book Antiqua" w:cs="Book Antiqua"/>
          <w:color w:val="000000"/>
        </w:rPr>
        <w:t>: 219-224 [PMID: 29191498 DOI: 10.1016/j.ejmg.2017.11.018]</w:t>
      </w:r>
    </w:p>
    <w:p w14:paraId="795009D1"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11 </w:t>
      </w:r>
      <w:r w:rsidRPr="00C56D4F">
        <w:rPr>
          <w:rFonts w:ascii="Book Antiqua" w:eastAsia="Book Antiqua" w:hAnsi="Book Antiqua" w:cs="Book Antiqua"/>
          <w:b/>
          <w:bCs/>
          <w:color w:val="000000"/>
        </w:rPr>
        <w:t>Cecchi A</w:t>
      </w:r>
      <w:r w:rsidRPr="00C56D4F">
        <w:rPr>
          <w:rFonts w:ascii="Book Antiqua" w:eastAsia="Book Antiqua" w:hAnsi="Book Antiqua" w:cs="Book Antiqua"/>
          <w:color w:val="000000"/>
        </w:rPr>
        <w:t xml:space="preserve">, Ogawa N, Martinez HR, Carlson A, Fan Y, Penny DJ, Guo DC, Eisenberg S, Safi H, Estrera A, Lewis RA, Meyers D, Milewicz DM. Missense mutations in FBN1 exons 41 and 42 cause Weill-Marchesani syndrome with thoracic aortic disease and Marfan syndrome. </w:t>
      </w:r>
      <w:r w:rsidRPr="00C56D4F">
        <w:rPr>
          <w:rFonts w:ascii="Book Antiqua" w:eastAsia="Book Antiqua" w:hAnsi="Book Antiqua" w:cs="Book Antiqua"/>
          <w:i/>
          <w:iCs/>
          <w:color w:val="000000"/>
        </w:rPr>
        <w:t>Am J Med Genet A</w:t>
      </w:r>
      <w:r w:rsidRPr="00C56D4F">
        <w:rPr>
          <w:rFonts w:ascii="Book Antiqua" w:eastAsia="Book Antiqua" w:hAnsi="Book Antiqua" w:cs="Book Antiqua"/>
          <w:color w:val="000000"/>
        </w:rPr>
        <w:t xml:space="preserve"> 2013; </w:t>
      </w:r>
      <w:r w:rsidRPr="00C56D4F">
        <w:rPr>
          <w:rFonts w:ascii="Book Antiqua" w:eastAsia="Book Antiqua" w:hAnsi="Book Antiqua" w:cs="Book Antiqua"/>
          <w:b/>
          <w:bCs/>
          <w:color w:val="000000"/>
        </w:rPr>
        <w:t>161A</w:t>
      </w:r>
      <w:r w:rsidRPr="00C56D4F">
        <w:rPr>
          <w:rFonts w:ascii="Book Antiqua" w:eastAsia="Book Antiqua" w:hAnsi="Book Antiqua" w:cs="Book Antiqua"/>
          <w:color w:val="000000"/>
        </w:rPr>
        <w:t>: 2305-2310 [PMID: 23897642 DOI: 10.1002/ajmg.a.36044]</w:t>
      </w:r>
    </w:p>
    <w:p w14:paraId="0E95975B"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12 </w:t>
      </w:r>
      <w:r w:rsidRPr="00C56D4F">
        <w:rPr>
          <w:rFonts w:ascii="Book Antiqua" w:eastAsia="Book Antiqua" w:hAnsi="Book Antiqua" w:cs="Book Antiqua"/>
          <w:b/>
          <w:bCs/>
          <w:color w:val="000000"/>
        </w:rPr>
        <w:t>Legare JM</w:t>
      </w:r>
      <w:r w:rsidRPr="00C56D4F">
        <w:rPr>
          <w:rFonts w:ascii="Book Antiqua" w:eastAsia="Book Antiqua" w:hAnsi="Book Antiqua" w:cs="Book Antiqua"/>
          <w:color w:val="000000"/>
        </w:rPr>
        <w:t xml:space="preserve">, Modaff P, Strom SP, Pauli RM, Bartlett HL. Geleophysic dysplasia: 48 year clinical update with emphasis on cardiac care. </w:t>
      </w:r>
      <w:r w:rsidRPr="00C56D4F">
        <w:rPr>
          <w:rFonts w:ascii="Book Antiqua" w:eastAsia="Book Antiqua" w:hAnsi="Book Antiqua" w:cs="Book Antiqua"/>
          <w:i/>
          <w:iCs/>
          <w:color w:val="000000"/>
        </w:rPr>
        <w:t>Am J Med Genet A</w:t>
      </w:r>
      <w:r w:rsidRPr="00C56D4F">
        <w:rPr>
          <w:rFonts w:ascii="Book Antiqua" w:eastAsia="Book Antiqua" w:hAnsi="Book Antiqua" w:cs="Book Antiqua"/>
          <w:color w:val="000000"/>
        </w:rPr>
        <w:t xml:space="preserve"> 2018; </w:t>
      </w:r>
      <w:r w:rsidRPr="00C56D4F">
        <w:rPr>
          <w:rFonts w:ascii="Book Antiqua" w:eastAsia="Book Antiqua" w:hAnsi="Book Antiqua" w:cs="Book Antiqua"/>
          <w:b/>
          <w:bCs/>
          <w:color w:val="000000"/>
        </w:rPr>
        <w:t>176</w:t>
      </w:r>
      <w:r w:rsidRPr="00C56D4F">
        <w:rPr>
          <w:rFonts w:ascii="Book Antiqua" w:eastAsia="Book Antiqua" w:hAnsi="Book Antiqua" w:cs="Book Antiqua"/>
          <w:color w:val="000000"/>
        </w:rPr>
        <w:t>: 2237-2242 [PMID: 30195254 DOI: 10.1002/ajmg.a.40377]</w:t>
      </w:r>
    </w:p>
    <w:p w14:paraId="1BDC3E6D"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 xml:space="preserve">13 </w:t>
      </w:r>
      <w:r w:rsidRPr="00C56D4F">
        <w:rPr>
          <w:rFonts w:ascii="Book Antiqua" w:eastAsia="Book Antiqua" w:hAnsi="Book Antiqua" w:cs="Book Antiqua"/>
          <w:b/>
          <w:bCs/>
          <w:color w:val="000000"/>
        </w:rPr>
        <w:t>Lee T</w:t>
      </w:r>
      <w:r w:rsidRPr="00C56D4F">
        <w:rPr>
          <w:rFonts w:ascii="Book Antiqua" w:eastAsia="Book Antiqua" w:hAnsi="Book Antiqua" w:cs="Book Antiqua"/>
          <w:color w:val="000000"/>
        </w:rPr>
        <w:t xml:space="preserve">, Takeshima Y, Okizuka Y, Hamahira K, Kusunoki N, Awano H, Yagi M, Sakai N, Matsuo M, Iijima K. A Japanese child with geleophysic dysplasia caused by a novel mutation of FBN1. </w:t>
      </w:r>
      <w:r w:rsidRPr="00C56D4F">
        <w:rPr>
          <w:rFonts w:ascii="Book Antiqua" w:eastAsia="Book Antiqua" w:hAnsi="Book Antiqua" w:cs="Book Antiqua"/>
          <w:i/>
          <w:iCs/>
          <w:color w:val="000000"/>
        </w:rPr>
        <w:t>Gene</w:t>
      </w:r>
      <w:r w:rsidRPr="00C56D4F">
        <w:rPr>
          <w:rFonts w:ascii="Book Antiqua" w:eastAsia="Book Antiqua" w:hAnsi="Book Antiqua" w:cs="Book Antiqua"/>
          <w:color w:val="000000"/>
        </w:rPr>
        <w:t xml:space="preserve"> 2013; </w:t>
      </w:r>
      <w:r w:rsidRPr="00C56D4F">
        <w:rPr>
          <w:rFonts w:ascii="Book Antiqua" w:eastAsia="Book Antiqua" w:hAnsi="Book Antiqua" w:cs="Book Antiqua"/>
          <w:b/>
          <w:bCs/>
          <w:color w:val="000000"/>
        </w:rPr>
        <w:t>512</w:t>
      </w:r>
      <w:r w:rsidRPr="00C56D4F">
        <w:rPr>
          <w:rFonts w:ascii="Book Antiqua" w:eastAsia="Book Antiqua" w:hAnsi="Book Antiqua" w:cs="Book Antiqua"/>
          <w:color w:val="000000"/>
        </w:rPr>
        <w:t>: 456-459 [PMID: 23124041 DOI: 10.1016/j.gene.2012.10.060]</w:t>
      </w:r>
    </w:p>
    <w:p w14:paraId="6B539032" w14:textId="77777777" w:rsidR="00A77B3E" w:rsidRPr="00C56D4F" w:rsidRDefault="00A77B3E" w:rsidP="00C56D4F">
      <w:pPr>
        <w:adjustRightInd w:val="0"/>
        <w:snapToGrid w:val="0"/>
        <w:spacing w:line="360" w:lineRule="auto"/>
        <w:jc w:val="both"/>
        <w:rPr>
          <w:rFonts w:ascii="Book Antiqua" w:hAnsi="Book Antiqua"/>
        </w:rPr>
        <w:sectPr w:rsidR="00A77B3E" w:rsidRPr="00C56D4F">
          <w:pgSz w:w="12240" w:h="15840"/>
          <w:pgMar w:top="1440" w:right="1440" w:bottom="1440" w:left="1440" w:header="720" w:footer="720" w:gutter="0"/>
          <w:cols w:space="720"/>
          <w:docGrid w:linePitch="360"/>
        </w:sectPr>
      </w:pPr>
    </w:p>
    <w:p w14:paraId="7FCFBBA1"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Footnotes</w:t>
      </w:r>
    </w:p>
    <w:p w14:paraId="5F5E1E3A"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 xml:space="preserve">Informed consent statement: </w:t>
      </w:r>
      <w:r w:rsidRPr="00C56D4F">
        <w:rPr>
          <w:rFonts w:ascii="Book Antiqua" w:eastAsia="Book Antiqua" w:hAnsi="Book Antiqua" w:cs="Book Antiqua"/>
          <w:color w:val="000000"/>
        </w:rPr>
        <w:t>Informed written consent was obtained from the patients for publication of this report and any accompanying images.</w:t>
      </w:r>
    </w:p>
    <w:p w14:paraId="38BA71F6" w14:textId="77777777" w:rsidR="00A77B3E" w:rsidRPr="00C56D4F" w:rsidRDefault="00A77B3E" w:rsidP="00C56D4F">
      <w:pPr>
        <w:adjustRightInd w:val="0"/>
        <w:snapToGrid w:val="0"/>
        <w:spacing w:line="360" w:lineRule="auto"/>
        <w:jc w:val="both"/>
        <w:rPr>
          <w:rFonts w:ascii="Book Antiqua" w:hAnsi="Book Antiqua"/>
        </w:rPr>
      </w:pPr>
    </w:p>
    <w:p w14:paraId="63B2AA81"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 xml:space="preserve">Conflict-of-interest statement: </w:t>
      </w:r>
      <w:r w:rsidRPr="00C56D4F">
        <w:rPr>
          <w:rFonts w:ascii="Book Antiqua" w:eastAsia="Book Antiqua" w:hAnsi="Book Antiqua" w:cs="Book Antiqua"/>
          <w:color w:val="000000"/>
        </w:rPr>
        <w:t>The authors have no potential conflicts of interest to disclose.</w:t>
      </w:r>
    </w:p>
    <w:p w14:paraId="58440349" w14:textId="77777777" w:rsidR="00A77B3E" w:rsidRPr="00C56D4F" w:rsidRDefault="00A77B3E" w:rsidP="00C56D4F">
      <w:pPr>
        <w:adjustRightInd w:val="0"/>
        <w:snapToGrid w:val="0"/>
        <w:spacing w:line="360" w:lineRule="auto"/>
        <w:jc w:val="both"/>
        <w:rPr>
          <w:rFonts w:ascii="Book Antiqua" w:hAnsi="Book Antiqua"/>
        </w:rPr>
      </w:pPr>
    </w:p>
    <w:p w14:paraId="443EDAFD"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 xml:space="preserve">CARE Checklist (2016) statement: </w:t>
      </w:r>
      <w:r w:rsidRPr="00C56D4F">
        <w:rPr>
          <w:rFonts w:ascii="Book Antiqua" w:eastAsia="Book Antiqua" w:hAnsi="Book Antiqua" w:cs="Book Antiqua"/>
          <w:color w:val="000000"/>
        </w:rPr>
        <w:t>The authors have read the CARE Checklist (2016), and the manuscript was prepared and revised according to the CARE Checklist (2016).</w:t>
      </w:r>
    </w:p>
    <w:p w14:paraId="3A640316" w14:textId="77777777" w:rsidR="00A77B3E" w:rsidRPr="00C56D4F" w:rsidRDefault="00A77B3E" w:rsidP="00C56D4F">
      <w:pPr>
        <w:adjustRightInd w:val="0"/>
        <w:snapToGrid w:val="0"/>
        <w:spacing w:line="360" w:lineRule="auto"/>
        <w:jc w:val="both"/>
        <w:rPr>
          <w:rFonts w:ascii="Book Antiqua" w:hAnsi="Book Antiqua"/>
        </w:rPr>
      </w:pPr>
    </w:p>
    <w:p w14:paraId="29D74167"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bCs/>
          <w:color w:val="000000"/>
        </w:rPr>
        <w:t xml:space="preserve">Open-Access: </w:t>
      </w:r>
      <w:r w:rsidRPr="00C56D4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F4E129" w14:textId="77777777" w:rsidR="00A77B3E" w:rsidRPr="00C56D4F" w:rsidRDefault="00A77B3E" w:rsidP="00C56D4F">
      <w:pPr>
        <w:adjustRightInd w:val="0"/>
        <w:snapToGrid w:val="0"/>
        <w:spacing w:line="360" w:lineRule="auto"/>
        <w:jc w:val="both"/>
        <w:rPr>
          <w:rFonts w:ascii="Book Antiqua" w:hAnsi="Book Antiqua"/>
        </w:rPr>
      </w:pPr>
    </w:p>
    <w:p w14:paraId="6A6ECC71" w14:textId="10DD2E16"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 xml:space="preserve">Manuscript source: </w:t>
      </w:r>
      <w:r w:rsidRPr="00C56D4F">
        <w:rPr>
          <w:rFonts w:ascii="Book Antiqua" w:eastAsia="Book Antiqua" w:hAnsi="Book Antiqua" w:cs="Book Antiqua"/>
          <w:color w:val="000000"/>
        </w:rPr>
        <w:t xml:space="preserve">Unsolicited </w:t>
      </w:r>
      <w:r w:rsidR="001773C8" w:rsidRPr="00C56D4F">
        <w:rPr>
          <w:rFonts w:ascii="Book Antiqua" w:eastAsia="Book Antiqua" w:hAnsi="Book Antiqua" w:cs="Book Antiqua"/>
          <w:color w:val="000000"/>
        </w:rPr>
        <w:t>manu</w:t>
      </w:r>
      <w:r w:rsidRPr="00C56D4F">
        <w:rPr>
          <w:rFonts w:ascii="Book Antiqua" w:eastAsia="Book Antiqua" w:hAnsi="Book Antiqua" w:cs="Book Antiqua"/>
          <w:color w:val="000000"/>
        </w:rPr>
        <w:t>script</w:t>
      </w:r>
    </w:p>
    <w:p w14:paraId="37A5F021" w14:textId="77777777" w:rsidR="00A77B3E" w:rsidRPr="00C56D4F" w:rsidRDefault="00A77B3E" w:rsidP="00C56D4F">
      <w:pPr>
        <w:adjustRightInd w:val="0"/>
        <w:snapToGrid w:val="0"/>
        <w:spacing w:line="360" w:lineRule="auto"/>
        <w:jc w:val="both"/>
        <w:rPr>
          <w:rFonts w:ascii="Book Antiqua" w:hAnsi="Book Antiqua"/>
        </w:rPr>
      </w:pPr>
    </w:p>
    <w:p w14:paraId="73F9FD19"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 xml:space="preserve">Peer-review started: </w:t>
      </w:r>
      <w:r w:rsidRPr="00C56D4F">
        <w:rPr>
          <w:rFonts w:ascii="Book Antiqua" w:eastAsia="Book Antiqua" w:hAnsi="Book Antiqua" w:cs="Book Antiqua"/>
          <w:color w:val="000000"/>
        </w:rPr>
        <w:t>February 23, 2021</w:t>
      </w:r>
    </w:p>
    <w:p w14:paraId="586FA37D"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 xml:space="preserve">First decision: </w:t>
      </w:r>
      <w:r w:rsidRPr="00C56D4F">
        <w:rPr>
          <w:rFonts w:ascii="Book Antiqua" w:eastAsia="Book Antiqua" w:hAnsi="Book Antiqua" w:cs="Book Antiqua"/>
          <w:color w:val="000000"/>
        </w:rPr>
        <w:t>May 11, 2021</w:t>
      </w:r>
    </w:p>
    <w:p w14:paraId="4DDFD28B" w14:textId="116CA686"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 xml:space="preserve">Article in press: </w:t>
      </w:r>
      <w:r w:rsidR="000B09B6" w:rsidRPr="000B09B6">
        <w:rPr>
          <w:rFonts w:ascii="Book Antiqua" w:eastAsia="Book Antiqua" w:hAnsi="Book Antiqua" w:cs="Book Antiqua"/>
          <w:color w:val="000000"/>
        </w:rPr>
        <w:t>July 7, 2021</w:t>
      </w:r>
    </w:p>
    <w:p w14:paraId="1E9CFA10" w14:textId="77777777" w:rsidR="00A77B3E" w:rsidRPr="00C56D4F" w:rsidRDefault="00A77B3E" w:rsidP="00C56D4F">
      <w:pPr>
        <w:adjustRightInd w:val="0"/>
        <w:snapToGrid w:val="0"/>
        <w:spacing w:line="360" w:lineRule="auto"/>
        <w:jc w:val="both"/>
        <w:rPr>
          <w:rFonts w:ascii="Book Antiqua" w:hAnsi="Book Antiqua"/>
        </w:rPr>
      </w:pPr>
    </w:p>
    <w:p w14:paraId="0731E9F1"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 xml:space="preserve">Specialty type: </w:t>
      </w:r>
      <w:r w:rsidRPr="00C56D4F">
        <w:rPr>
          <w:rFonts w:ascii="Book Antiqua" w:eastAsia="Book Antiqua" w:hAnsi="Book Antiqua" w:cs="Book Antiqua"/>
          <w:color w:val="000000"/>
        </w:rPr>
        <w:t>Pediatrics</w:t>
      </w:r>
    </w:p>
    <w:p w14:paraId="20E889E2"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 xml:space="preserve">Country/Territory of origin: </w:t>
      </w:r>
      <w:r w:rsidRPr="00C56D4F">
        <w:rPr>
          <w:rFonts w:ascii="Book Antiqua" w:eastAsia="Book Antiqua" w:hAnsi="Book Antiqua" w:cs="Book Antiqua"/>
          <w:color w:val="000000"/>
        </w:rPr>
        <w:t>China</w:t>
      </w:r>
    </w:p>
    <w:p w14:paraId="13FE79F2"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b/>
          <w:color w:val="000000"/>
        </w:rPr>
        <w:t>Peer-review report’s scientific quality classification</w:t>
      </w:r>
    </w:p>
    <w:p w14:paraId="24990066"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Grade A (Excellent): 0</w:t>
      </w:r>
    </w:p>
    <w:p w14:paraId="1CB10779"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Grade B (Very good): B</w:t>
      </w:r>
    </w:p>
    <w:p w14:paraId="4E786C32"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Grade C (Good): C</w:t>
      </w:r>
    </w:p>
    <w:p w14:paraId="7CDB9FB0"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Grade D (Fair): 0</w:t>
      </w:r>
    </w:p>
    <w:p w14:paraId="108A27DD" w14:textId="77777777" w:rsidR="00A77B3E" w:rsidRPr="00C56D4F" w:rsidRDefault="00AD0793" w:rsidP="00C56D4F">
      <w:pPr>
        <w:adjustRightInd w:val="0"/>
        <w:snapToGrid w:val="0"/>
        <w:spacing w:line="360" w:lineRule="auto"/>
        <w:jc w:val="both"/>
        <w:rPr>
          <w:rFonts w:ascii="Book Antiqua" w:hAnsi="Book Antiqua"/>
        </w:rPr>
      </w:pPr>
      <w:r w:rsidRPr="00C56D4F">
        <w:rPr>
          <w:rFonts w:ascii="Book Antiqua" w:eastAsia="Book Antiqua" w:hAnsi="Book Antiqua" w:cs="Book Antiqua"/>
          <w:color w:val="000000"/>
        </w:rPr>
        <w:t>Grade E (Poor): 0</w:t>
      </w:r>
    </w:p>
    <w:p w14:paraId="1F2805C1" w14:textId="77777777" w:rsidR="00A77B3E" w:rsidRPr="00C56D4F" w:rsidRDefault="00A77B3E" w:rsidP="00C56D4F">
      <w:pPr>
        <w:adjustRightInd w:val="0"/>
        <w:snapToGrid w:val="0"/>
        <w:spacing w:line="360" w:lineRule="auto"/>
        <w:jc w:val="both"/>
        <w:rPr>
          <w:rFonts w:ascii="Book Antiqua" w:hAnsi="Book Antiqua"/>
        </w:rPr>
      </w:pPr>
    </w:p>
    <w:p w14:paraId="5D7186FE" w14:textId="51100653" w:rsidR="002237B9" w:rsidRPr="000B09B6" w:rsidRDefault="00AD0793" w:rsidP="00C56D4F">
      <w:pPr>
        <w:adjustRightInd w:val="0"/>
        <w:snapToGrid w:val="0"/>
        <w:spacing w:line="360" w:lineRule="auto"/>
        <w:jc w:val="both"/>
        <w:rPr>
          <w:rFonts w:ascii="Book Antiqua" w:hAnsi="Book Antiqua" w:cs="Book Antiqua"/>
          <w:b/>
          <w:color w:val="000000"/>
          <w:lang w:eastAsia="zh-CN"/>
        </w:rPr>
      </w:pPr>
      <w:r w:rsidRPr="00C56D4F">
        <w:rPr>
          <w:rFonts w:ascii="Book Antiqua" w:eastAsia="Book Antiqua" w:hAnsi="Book Antiqua" w:cs="Book Antiqua"/>
          <w:b/>
          <w:color w:val="000000"/>
        </w:rPr>
        <w:t xml:space="preserve">P-Reviewer: </w:t>
      </w:r>
      <w:r w:rsidRPr="00C56D4F">
        <w:rPr>
          <w:rFonts w:ascii="Book Antiqua" w:eastAsia="Book Antiqua" w:hAnsi="Book Antiqua" w:cs="Book Antiqua"/>
          <w:color w:val="000000"/>
        </w:rPr>
        <w:t>Malik S, Zavras N</w:t>
      </w:r>
      <w:r w:rsidRPr="00C56D4F">
        <w:rPr>
          <w:rFonts w:ascii="Book Antiqua" w:eastAsia="Book Antiqua" w:hAnsi="Book Antiqua" w:cs="Book Antiqua"/>
          <w:b/>
          <w:color w:val="000000"/>
        </w:rPr>
        <w:t xml:space="preserve"> S-Editor: </w:t>
      </w:r>
      <w:r w:rsidR="002237B9" w:rsidRPr="00C56D4F">
        <w:rPr>
          <w:rFonts w:ascii="Book Antiqua" w:eastAsia="Book Antiqua" w:hAnsi="Book Antiqua" w:cs="Book Antiqua"/>
          <w:color w:val="000000"/>
        </w:rPr>
        <w:t>Liu M</w:t>
      </w:r>
      <w:r w:rsidRPr="00C56D4F">
        <w:rPr>
          <w:rFonts w:ascii="Book Antiqua" w:eastAsia="Book Antiqua" w:hAnsi="Book Antiqua" w:cs="Book Antiqua"/>
          <w:b/>
          <w:color w:val="000000"/>
        </w:rPr>
        <w:t xml:space="preserve"> L-Editor: </w:t>
      </w:r>
      <w:r w:rsidR="004E13F2">
        <w:rPr>
          <w:rFonts w:ascii="Book Antiqua" w:eastAsia="Book Antiqua" w:hAnsi="Book Antiqua" w:cs="Book Antiqua"/>
          <w:bCs/>
          <w:color w:val="000000"/>
        </w:rPr>
        <w:t>Filipodia</w:t>
      </w:r>
      <w:r w:rsidRPr="00C56D4F">
        <w:rPr>
          <w:rFonts w:ascii="Book Antiqua" w:eastAsia="Book Antiqua" w:hAnsi="Book Antiqua" w:cs="Book Antiqua"/>
          <w:b/>
          <w:color w:val="000000"/>
        </w:rPr>
        <w:t xml:space="preserve"> P-Editor: </w:t>
      </w:r>
      <w:r w:rsidR="000B09B6" w:rsidRPr="000B09B6">
        <w:rPr>
          <w:rFonts w:ascii="Book Antiqua" w:hAnsi="Book Antiqua" w:cs="Book Antiqua" w:hint="eastAsia"/>
          <w:color w:val="000000"/>
          <w:lang w:eastAsia="zh-CN"/>
        </w:rPr>
        <w:t>Yuan YY</w:t>
      </w:r>
    </w:p>
    <w:p w14:paraId="5118EF9A" w14:textId="77777777" w:rsidR="004155A8" w:rsidRDefault="002237B9" w:rsidP="00C56D4F">
      <w:pPr>
        <w:adjustRightInd w:val="0"/>
        <w:snapToGrid w:val="0"/>
        <w:spacing w:line="360" w:lineRule="auto"/>
        <w:jc w:val="both"/>
        <w:rPr>
          <w:rFonts w:ascii="Book Antiqua" w:hAnsi="Book Antiqua" w:cs="Book Antiqua"/>
          <w:b/>
          <w:color w:val="000000"/>
          <w:lang w:eastAsia="zh-CN"/>
        </w:rPr>
      </w:pPr>
      <w:r w:rsidRPr="00C56D4F">
        <w:rPr>
          <w:rFonts w:ascii="Book Antiqua" w:eastAsia="Book Antiqua" w:hAnsi="Book Antiqua" w:cs="Book Antiqua"/>
          <w:b/>
          <w:color w:val="000000"/>
        </w:rPr>
        <w:br w:type="page"/>
      </w:r>
    </w:p>
    <w:p w14:paraId="35524F54" w14:textId="48BDDBD7" w:rsidR="004155A8" w:rsidRPr="004155A8" w:rsidRDefault="004155A8" w:rsidP="004155A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8B9FACE" w14:textId="44ACD41E" w:rsidR="00A77B3E" w:rsidRPr="00C56D4F" w:rsidRDefault="002237B9" w:rsidP="00C56D4F">
      <w:pPr>
        <w:adjustRightInd w:val="0"/>
        <w:snapToGrid w:val="0"/>
        <w:spacing w:line="360" w:lineRule="auto"/>
        <w:jc w:val="both"/>
        <w:rPr>
          <w:rFonts w:ascii="Book Antiqua" w:eastAsia="Book Antiqua" w:hAnsi="Book Antiqua" w:cs="Book Antiqua"/>
          <w:b/>
          <w:noProof/>
          <w:color w:val="000000"/>
        </w:rPr>
      </w:pPr>
      <w:r w:rsidRPr="00C56D4F">
        <w:rPr>
          <w:rFonts w:ascii="Book Antiqua" w:eastAsia="Book Antiqua" w:hAnsi="Book Antiqua" w:cs="Book Antiqua"/>
          <w:b/>
          <w:noProof/>
          <w:color w:val="000000"/>
          <w:lang w:eastAsia="zh-CN"/>
        </w:rPr>
        <w:drawing>
          <wp:inline distT="0" distB="0" distL="0" distR="0" wp14:anchorId="1E2A9FF4" wp14:editId="1A7F6BA0">
            <wp:extent cx="3435531" cy="439113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7346" cy="4393451"/>
                    </a:xfrm>
                    <a:prstGeom prst="rect">
                      <a:avLst/>
                    </a:prstGeom>
                    <a:noFill/>
                  </pic:spPr>
                </pic:pic>
              </a:graphicData>
            </a:graphic>
          </wp:inline>
        </w:drawing>
      </w:r>
    </w:p>
    <w:p w14:paraId="117CFB3D" w14:textId="3869B9EA" w:rsidR="002237B9" w:rsidRPr="002237B9" w:rsidRDefault="002237B9" w:rsidP="00C56D4F">
      <w:pPr>
        <w:adjustRightInd w:val="0"/>
        <w:snapToGrid w:val="0"/>
        <w:spacing w:line="360" w:lineRule="auto"/>
        <w:jc w:val="both"/>
        <w:rPr>
          <w:rFonts w:ascii="Book Antiqua" w:hAnsi="Book Antiqua"/>
        </w:rPr>
      </w:pPr>
      <w:r w:rsidRPr="00C56D4F">
        <w:rPr>
          <w:rFonts w:ascii="Book Antiqua" w:hAnsi="Book Antiqua"/>
          <w:b/>
          <w:bCs/>
        </w:rPr>
        <w:t xml:space="preserve">Figure 1 Clinical characters of the patient. </w:t>
      </w:r>
      <w:r w:rsidRPr="00C56D4F">
        <w:rPr>
          <w:rFonts w:ascii="Book Antiqua" w:hAnsi="Book Antiqua"/>
        </w:rPr>
        <w:t>A, C and D: Patient presented extreme short stature, short limbs, short hands and feet; B</w:t>
      </w:r>
      <w:r w:rsidR="00C56D4F" w:rsidRPr="00C56D4F">
        <w:rPr>
          <w:rFonts w:ascii="Book Antiqua" w:hAnsi="Book Antiqua"/>
        </w:rPr>
        <w:t>:</w:t>
      </w:r>
      <w:r w:rsidRPr="00C56D4F">
        <w:rPr>
          <w:rFonts w:ascii="Book Antiqua" w:hAnsi="Book Antiqua"/>
        </w:rPr>
        <w:t xml:space="preserve"> Patient had unique facial features including round face, small nose with anteverted nostrils, broad and depressed nasal bridge and thin upper lip.</w:t>
      </w:r>
    </w:p>
    <w:p w14:paraId="4F69A198" w14:textId="710A3173" w:rsidR="002237B9" w:rsidRPr="00C56D4F" w:rsidRDefault="00C56D4F" w:rsidP="00C56D4F">
      <w:pPr>
        <w:adjustRightInd w:val="0"/>
        <w:snapToGrid w:val="0"/>
        <w:spacing w:line="360" w:lineRule="auto"/>
        <w:jc w:val="both"/>
        <w:rPr>
          <w:rFonts w:ascii="Book Antiqua" w:hAnsi="Book Antiqua"/>
          <w:noProof/>
        </w:rPr>
      </w:pPr>
      <w:r w:rsidRPr="00C56D4F">
        <w:rPr>
          <w:rFonts w:ascii="Book Antiqua" w:hAnsi="Book Antiqua"/>
        </w:rPr>
        <w:br w:type="page"/>
      </w:r>
      <w:r w:rsidRPr="00C56D4F">
        <w:rPr>
          <w:rFonts w:ascii="Book Antiqua" w:hAnsi="Book Antiqua"/>
          <w:noProof/>
          <w:lang w:eastAsia="zh-CN"/>
        </w:rPr>
        <w:drawing>
          <wp:inline distT="0" distB="0" distL="0" distR="0" wp14:anchorId="0015E62A" wp14:editId="70C9C54D">
            <wp:extent cx="5163820" cy="4962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3820" cy="4962525"/>
                    </a:xfrm>
                    <a:prstGeom prst="rect">
                      <a:avLst/>
                    </a:prstGeom>
                    <a:noFill/>
                  </pic:spPr>
                </pic:pic>
              </a:graphicData>
            </a:graphic>
          </wp:inline>
        </w:drawing>
      </w:r>
    </w:p>
    <w:p w14:paraId="0215ECF1" w14:textId="7EDBF9F4" w:rsidR="001A3181" w:rsidRDefault="00C56D4F" w:rsidP="00C56D4F">
      <w:pPr>
        <w:adjustRightInd w:val="0"/>
        <w:snapToGrid w:val="0"/>
        <w:spacing w:line="360" w:lineRule="auto"/>
        <w:jc w:val="both"/>
        <w:rPr>
          <w:rFonts w:ascii="Book Antiqua" w:hAnsi="Book Antiqua"/>
        </w:rPr>
      </w:pPr>
      <w:r w:rsidRPr="00C56D4F">
        <w:rPr>
          <w:rFonts w:ascii="Book Antiqua" w:hAnsi="Book Antiqua"/>
          <w:b/>
          <w:bCs/>
        </w:rPr>
        <w:t xml:space="preserve">Figure 2 Representative radiographic and flexible bronchofiberscope images. </w:t>
      </w:r>
      <w:r w:rsidRPr="00C56D4F">
        <w:rPr>
          <w:rFonts w:ascii="Book Antiqua" w:hAnsi="Book Antiqua"/>
        </w:rPr>
        <w:t>A and B: Laryngopharynx computed tomography presented trachea stenosis; C: Skeletal X</w:t>
      </w:r>
      <w:r w:rsidR="00725542">
        <w:rPr>
          <w:rFonts w:ascii="Book Antiqua" w:hAnsi="Book Antiqua"/>
        </w:rPr>
        <w:t>-</w:t>
      </w:r>
      <w:r w:rsidRPr="00C56D4F">
        <w:rPr>
          <w:rFonts w:ascii="Book Antiqua" w:hAnsi="Book Antiqua"/>
        </w:rPr>
        <w:t xml:space="preserve">ray was taken at </w:t>
      </w:r>
      <w:r w:rsidR="00725542">
        <w:rPr>
          <w:rFonts w:ascii="Book Antiqua" w:hAnsi="Book Antiqua"/>
        </w:rPr>
        <w:t>age 6 and</w:t>
      </w:r>
      <w:r w:rsidRPr="00C56D4F">
        <w:rPr>
          <w:rFonts w:ascii="Book Antiqua" w:hAnsi="Book Antiqua"/>
        </w:rPr>
        <w:t xml:space="preserve"> revealed a delayed bone age and epiphyseal dysplasia; D: Electronic bronchoscope demonstrated severe glottic stenosis.</w:t>
      </w:r>
    </w:p>
    <w:p w14:paraId="7584B335" w14:textId="77777777" w:rsidR="00C56D4F" w:rsidRDefault="00C56D4F" w:rsidP="00C56D4F">
      <w:pPr>
        <w:adjustRightInd w:val="0"/>
        <w:snapToGrid w:val="0"/>
        <w:spacing w:line="360" w:lineRule="auto"/>
        <w:jc w:val="both"/>
        <w:rPr>
          <w:rFonts w:ascii="Book Antiqua" w:hAnsi="Book Antiqua"/>
        </w:rPr>
      </w:pPr>
    </w:p>
    <w:p w14:paraId="7BCE6B20" w14:textId="38F09F24" w:rsidR="00C56D4F" w:rsidRDefault="00C56D4F" w:rsidP="00C56D4F">
      <w:pPr>
        <w:adjustRightInd w:val="0"/>
        <w:snapToGrid w:val="0"/>
        <w:spacing w:line="360" w:lineRule="auto"/>
        <w:jc w:val="both"/>
        <w:rPr>
          <w:rFonts w:ascii="Book Antiqua" w:hAnsi="Book Antiqua"/>
        </w:rPr>
        <w:sectPr w:rsidR="00C56D4F">
          <w:pgSz w:w="12240" w:h="15840"/>
          <w:pgMar w:top="1440" w:right="1440" w:bottom="1440" w:left="1440" w:header="720" w:footer="720" w:gutter="0"/>
          <w:cols w:space="720"/>
          <w:docGrid w:linePitch="360"/>
        </w:sectPr>
      </w:pPr>
    </w:p>
    <w:p w14:paraId="0BB60D6C" w14:textId="67DAB45F" w:rsidR="00C56D4F" w:rsidRPr="00C56D4F" w:rsidRDefault="00C56D4F" w:rsidP="00C56D4F">
      <w:pPr>
        <w:adjustRightInd w:val="0"/>
        <w:snapToGrid w:val="0"/>
        <w:spacing w:line="360" w:lineRule="auto"/>
        <w:jc w:val="both"/>
        <w:rPr>
          <w:rFonts w:ascii="Book Antiqua" w:hAnsi="Book Antiqua"/>
          <w:b/>
          <w:bCs/>
        </w:rPr>
      </w:pPr>
      <w:r w:rsidRPr="00C56D4F">
        <w:rPr>
          <w:rFonts w:ascii="Book Antiqua" w:hAnsi="Book Antiqua"/>
          <w:b/>
          <w:bCs/>
        </w:rPr>
        <w:t xml:space="preserve">Table 1 Clinical and genetic characteristics of acromelic dysplasia cases due to mutations in c5242T, c5243G of </w:t>
      </w:r>
      <w:r w:rsidRPr="00C56D4F">
        <w:rPr>
          <w:rFonts w:ascii="Book Antiqua" w:hAnsi="Book Antiqua"/>
          <w:b/>
          <w:bCs/>
          <w:i/>
          <w:iCs/>
        </w:rPr>
        <w:t>FBN1</w:t>
      </w:r>
      <w:r w:rsidRPr="00C56D4F">
        <w:rPr>
          <w:rFonts w:ascii="Book Antiqua" w:hAnsi="Book Antiqua"/>
          <w:b/>
          <w:bCs/>
        </w:rPr>
        <w:t xml:space="preserve"> (+</w:t>
      </w:r>
      <w:r w:rsidR="00543A26">
        <w:rPr>
          <w:rFonts w:ascii="Book Antiqua" w:hAnsi="Book Antiqua"/>
          <w:b/>
          <w:bCs/>
        </w:rPr>
        <w:t>:</w:t>
      </w:r>
      <w:r w:rsidRPr="00C56D4F">
        <w:rPr>
          <w:rFonts w:ascii="Book Antiqua" w:hAnsi="Book Antiqua"/>
          <w:b/>
          <w:bCs/>
        </w:rPr>
        <w:t xml:space="preserve"> </w:t>
      </w:r>
      <w:r w:rsidR="00543A26">
        <w:rPr>
          <w:rFonts w:ascii="Book Antiqua" w:hAnsi="Book Antiqua"/>
          <w:b/>
          <w:bCs/>
        </w:rPr>
        <w:t>P</w:t>
      </w:r>
      <w:r w:rsidRPr="00C56D4F">
        <w:rPr>
          <w:rFonts w:ascii="Book Antiqua" w:hAnsi="Book Antiqua"/>
          <w:b/>
          <w:bCs/>
        </w:rPr>
        <w:t>resent, -</w:t>
      </w:r>
      <w:r w:rsidR="00543A26">
        <w:rPr>
          <w:rFonts w:ascii="Book Antiqua" w:hAnsi="Book Antiqua"/>
          <w:b/>
          <w:bCs/>
        </w:rPr>
        <w:t>:</w:t>
      </w:r>
      <w:r w:rsidRPr="00C56D4F">
        <w:rPr>
          <w:rFonts w:ascii="Book Antiqua" w:hAnsi="Book Antiqua"/>
          <w:b/>
          <w:bCs/>
        </w:rPr>
        <w:t xml:space="preserve"> </w:t>
      </w:r>
      <w:r w:rsidR="00543A26">
        <w:rPr>
          <w:rFonts w:ascii="Book Antiqua" w:hAnsi="Book Antiqua"/>
          <w:b/>
          <w:bCs/>
        </w:rPr>
        <w:t>A</w:t>
      </w:r>
      <w:r w:rsidRPr="00C56D4F">
        <w:rPr>
          <w:rFonts w:ascii="Book Antiqua" w:hAnsi="Book Antiqua"/>
          <w:b/>
          <w:bCs/>
        </w:rPr>
        <w:t>bsent, NA</w:t>
      </w:r>
      <w:r w:rsidR="00543A26">
        <w:rPr>
          <w:rFonts w:ascii="Book Antiqua" w:hAnsi="Book Antiqua"/>
          <w:b/>
          <w:bCs/>
        </w:rPr>
        <w:t>: N</w:t>
      </w:r>
      <w:r w:rsidRPr="00C56D4F">
        <w:rPr>
          <w:rFonts w:ascii="Book Antiqua" w:hAnsi="Book Antiqua"/>
          <w:b/>
          <w:bCs/>
        </w:rPr>
        <w:t>ot available)</w:t>
      </w:r>
      <w:r w:rsidRPr="00C56D4F">
        <w:rPr>
          <w:rFonts w:ascii="Book Antiqua" w:hAnsi="Book Antiqua"/>
          <w:b/>
          <w:bCs/>
          <w:vertAlign w:val="superscript"/>
        </w:rPr>
        <w:t>[1,2,11]</w:t>
      </w:r>
    </w:p>
    <w:tbl>
      <w:tblPr>
        <w:tblpPr w:leftFromText="180" w:rightFromText="180" w:vertAnchor="text" w:horzAnchor="page" w:tblpX="1150" w:tblpY="291"/>
        <w:tblOverlap w:val="never"/>
        <w:tblW w:w="13335" w:type="dxa"/>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2562"/>
        <w:gridCol w:w="1559"/>
        <w:gridCol w:w="1843"/>
        <w:gridCol w:w="1417"/>
        <w:gridCol w:w="1418"/>
        <w:gridCol w:w="1276"/>
        <w:gridCol w:w="1417"/>
        <w:gridCol w:w="1843"/>
      </w:tblGrid>
      <w:tr w:rsidR="00E626E2" w:rsidRPr="00662B2F" w14:paraId="7887B50D" w14:textId="77777777" w:rsidTr="00AD742E">
        <w:trPr>
          <w:trHeight w:val="362"/>
        </w:trPr>
        <w:tc>
          <w:tcPr>
            <w:tcW w:w="2562" w:type="dxa"/>
            <w:vMerge w:val="restart"/>
            <w:tcBorders>
              <w:top w:val="single" w:sz="4" w:space="0" w:color="auto"/>
              <w:bottom w:val="single" w:sz="4" w:space="0" w:color="auto"/>
            </w:tcBorders>
            <w:shd w:val="clear" w:color="auto" w:fill="auto"/>
            <w:noWrap/>
            <w:tcMar>
              <w:top w:w="10" w:type="dxa"/>
              <w:left w:w="10" w:type="dxa"/>
              <w:right w:w="10" w:type="dxa"/>
            </w:tcMar>
            <w:vAlign w:val="center"/>
          </w:tcPr>
          <w:p w14:paraId="593D4739" w14:textId="77777777" w:rsidR="00E626E2" w:rsidRPr="00662B2F" w:rsidRDefault="00E626E2" w:rsidP="00387838">
            <w:pPr>
              <w:adjustRightInd w:val="0"/>
              <w:snapToGrid w:val="0"/>
              <w:spacing w:line="360" w:lineRule="auto"/>
              <w:rPr>
                <w:rFonts w:ascii="Book Antiqua" w:hAnsi="Book Antiqua"/>
                <w:b/>
                <w:bCs/>
              </w:rPr>
            </w:pPr>
          </w:p>
        </w:tc>
        <w:tc>
          <w:tcPr>
            <w:tcW w:w="1559" w:type="dxa"/>
            <w:vMerge w:val="restart"/>
            <w:tcBorders>
              <w:top w:val="single" w:sz="4" w:space="0" w:color="auto"/>
              <w:bottom w:val="single" w:sz="4" w:space="0" w:color="auto"/>
            </w:tcBorders>
            <w:shd w:val="clear" w:color="auto" w:fill="auto"/>
            <w:noWrap/>
            <w:tcMar>
              <w:top w:w="10" w:type="dxa"/>
              <w:left w:w="10" w:type="dxa"/>
              <w:right w:w="10" w:type="dxa"/>
            </w:tcMar>
            <w:vAlign w:val="center"/>
          </w:tcPr>
          <w:p w14:paraId="1EE2305F" w14:textId="77777777" w:rsidR="00E626E2" w:rsidRPr="00662B2F" w:rsidRDefault="00E626E2" w:rsidP="00387838">
            <w:pPr>
              <w:adjustRightInd w:val="0"/>
              <w:snapToGrid w:val="0"/>
              <w:spacing w:line="360" w:lineRule="auto"/>
              <w:rPr>
                <w:rFonts w:ascii="Book Antiqua" w:hAnsi="Book Antiqua"/>
                <w:b/>
                <w:bCs/>
              </w:rPr>
            </w:pPr>
            <w:r w:rsidRPr="00C32E1C">
              <w:rPr>
                <w:rFonts w:ascii="Book Antiqua" w:hAnsi="Book Antiqua"/>
                <w:b/>
                <w:bCs/>
              </w:rPr>
              <w:t>Our patient</w:t>
            </w:r>
          </w:p>
        </w:tc>
        <w:tc>
          <w:tcPr>
            <w:tcW w:w="1843" w:type="dxa"/>
            <w:vMerge w:val="restart"/>
            <w:tcBorders>
              <w:top w:val="single" w:sz="4" w:space="0" w:color="auto"/>
              <w:bottom w:val="single" w:sz="4" w:space="0" w:color="auto"/>
            </w:tcBorders>
            <w:shd w:val="clear" w:color="auto" w:fill="auto"/>
            <w:noWrap/>
            <w:tcMar>
              <w:top w:w="10" w:type="dxa"/>
              <w:left w:w="10" w:type="dxa"/>
              <w:right w:w="10" w:type="dxa"/>
            </w:tcMar>
            <w:vAlign w:val="center"/>
          </w:tcPr>
          <w:p w14:paraId="66667E1B" w14:textId="77777777" w:rsidR="00E626E2" w:rsidRPr="00662B2F" w:rsidRDefault="00E626E2" w:rsidP="00387838">
            <w:pPr>
              <w:adjustRightInd w:val="0"/>
              <w:snapToGrid w:val="0"/>
              <w:spacing w:line="360" w:lineRule="auto"/>
              <w:rPr>
                <w:rFonts w:ascii="Book Antiqua" w:hAnsi="Book Antiqua"/>
                <w:b/>
                <w:bCs/>
              </w:rPr>
            </w:pPr>
            <w:r w:rsidRPr="00C56D4F">
              <w:rPr>
                <w:rFonts w:ascii="Book Antiqua" w:hAnsi="Book Antiqua"/>
                <w:b/>
                <w:bCs/>
              </w:rPr>
              <w:t>Patient 1</w:t>
            </w:r>
            <w:r w:rsidRPr="00C56D4F">
              <w:rPr>
                <w:rFonts w:ascii="Book Antiqua" w:hAnsi="Book Antiqua"/>
                <w:b/>
                <w:bCs/>
                <w:vertAlign w:val="superscript"/>
              </w:rPr>
              <w:t>[2]</w:t>
            </w:r>
          </w:p>
        </w:tc>
        <w:tc>
          <w:tcPr>
            <w:tcW w:w="1417" w:type="dxa"/>
            <w:vMerge w:val="restart"/>
            <w:tcBorders>
              <w:top w:val="single" w:sz="4" w:space="0" w:color="auto"/>
            </w:tcBorders>
            <w:shd w:val="clear" w:color="auto" w:fill="auto"/>
            <w:noWrap/>
            <w:tcMar>
              <w:top w:w="10" w:type="dxa"/>
              <w:left w:w="10" w:type="dxa"/>
              <w:right w:w="10" w:type="dxa"/>
            </w:tcMar>
            <w:vAlign w:val="center"/>
          </w:tcPr>
          <w:p w14:paraId="0500CA99" w14:textId="77777777" w:rsidR="00E626E2" w:rsidRPr="00662B2F" w:rsidRDefault="00E626E2" w:rsidP="00387838">
            <w:pPr>
              <w:adjustRightInd w:val="0"/>
              <w:snapToGrid w:val="0"/>
              <w:spacing w:line="360" w:lineRule="auto"/>
              <w:rPr>
                <w:rFonts w:ascii="Book Antiqua" w:hAnsi="Book Antiqua"/>
                <w:b/>
                <w:bCs/>
              </w:rPr>
            </w:pPr>
            <w:r w:rsidRPr="00C56D4F">
              <w:rPr>
                <w:rFonts w:ascii="Book Antiqua" w:hAnsi="Book Antiqua"/>
                <w:b/>
                <w:bCs/>
              </w:rPr>
              <w:t>Patient 2</w:t>
            </w:r>
            <w:r w:rsidRPr="00C56D4F">
              <w:rPr>
                <w:rFonts w:ascii="Book Antiqua" w:hAnsi="Book Antiqua"/>
                <w:b/>
                <w:bCs/>
                <w:vertAlign w:val="superscript"/>
              </w:rPr>
              <w:t>[1]</w:t>
            </w:r>
          </w:p>
        </w:tc>
        <w:tc>
          <w:tcPr>
            <w:tcW w:w="5954" w:type="dxa"/>
            <w:gridSpan w:val="4"/>
            <w:tcBorders>
              <w:top w:val="single" w:sz="4" w:space="0" w:color="auto"/>
              <w:bottom w:val="single" w:sz="4" w:space="0" w:color="auto"/>
            </w:tcBorders>
            <w:shd w:val="clear" w:color="auto" w:fill="auto"/>
            <w:noWrap/>
            <w:tcMar>
              <w:top w:w="10" w:type="dxa"/>
              <w:left w:w="10" w:type="dxa"/>
              <w:right w:w="10" w:type="dxa"/>
            </w:tcMar>
            <w:vAlign w:val="center"/>
          </w:tcPr>
          <w:p w14:paraId="0A68FB92" w14:textId="77777777" w:rsidR="00E626E2" w:rsidRPr="00662B2F" w:rsidRDefault="00E626E2" w:rsidP="00387838">
            <w:pPr>
              <w:adjustRightInd w:val="0"/>
              <w:snapToGrid w:val="0"/>
              <w:spacing w:line="360" w:lineRule="auto"/>
              <w:rPr>
                <w:rFonts w:ascii="Book Antiqua" w:hAnsi="Book Antiqua"/>
                <w:b/>
                <w:bCs/>
              </w:rPr>
            </w:pPr>
            <w:r w:rsidRPr="00C56D4F">
              <w:rPr>
                <w:rFonts w:ascii="Book Antiqua" w:hAnsi="Book Antiqua"/>
                <w:b/>
                <w:bCs/>
              </w:rPr>
              <w:t>Family</w:t>
            </w:r>
            <w:r w:rsidRPr="00C56D4F">
              <w:rPr>
                <w:rFonts w:ascii="Book Antiqua" w:hAnsi="Book Antiqua"/>
                <w:b/>
                <w:bCs/>
                <w:vertAlign w:val="superscript"/>
              </w:rPr>
              <w:t>[11]</w:t>
            </w:r>
          </w:p>
        </w:tc>
      </w:tr>
      <w:tr w:rsidR="00F17753" w:rsidRPr="009609B0" w14:paraId="42CC1B30" w14:textId="77777777" w:rsidTr="00AD742E">
        <w:trPr>
          <w:trHeight w:val="280"/>
        </w:trPr>
        <w:tc>
          <w:tcPr>
            <w:tcW w:w="2562" w:type="dxa"/>
            <w:vMerge/>
            <w:tcBorders>
              <w:top w:val="single" w:sz="4" w:space="0" w:color="auto"/>
              <w:bottom w:val="single" w:sz="4" w:space="0" w:color="auto"/>
            </w:tcBorders>
            <w:shd w:val="clear" w:color="auto" w:fill="auto"/>
            <w:noWrap/>
            <w:tcMar>
              <w:top w:w="10" w:type="dxa"/>
              <w:left w:w="10" w:type="dxa"/>
              <w:right w:w="10" w:type="dxa"/>
            </w:tcMar>
            <w:vAlign w:val="center"/>
          </w:tcPr>
          <w:p w14:paraId="0939A997" w14:textId="77777777" w:rsidR="00E626E2" w:rsidRPr="00811130" w:rsidRDefault="00E626E2" w:rsidP="00387838">
            <w:pPr>
              <w:adjustRightInd w:val="0"/>
              <w:snapToGrid w:val="0"/>
              <w:spacing w:line="360" w:lineRule="auto"/>
              <w:textAlignment w:val="center"/>
              <w:rPr>
                <w:rFonts w:ascii="Book Antiqua" w:hAnsi="Book Antiqua" w:cs="宋体"/>
                <w:color w:val="000000"/>
              </w:rPr>
            </w:pPr>
          </w:p>
        </w:tc>
        <w:tc>
          <w:tcPr>
            <w:tcW w:w="1559" w:type="dxa"/>
            <w:vMerge/>
            <w:tcBorders>
              <w:top w:val="single" w:sz="4" w:space="0" w:color="auto"/>
              <w:bottom w:val="single" w:sz="4" w:space="0" w:color="auto"/>
            </w:tcBorders>
            <w:shd w:val="clear" w:color="auto" w:fill="auto"/>
            <w:noWrap/>
            <w:tcMar>
              <w:top w:w="10" w:type="dxa"/>
              <w:left w:w="10" w:type="dxa"/>
              <w:right w:w="10" w:type="dxa"/>
            </w:tcMar>
            <w:vAlign w:val="center"/>
          </w:tcPr>
          <w:p w14:paraId="042BAEB2" w14:textId="77777777" w:rsidR="00E626E2" w:rsidRPr="00811130" w:rsidRDefault="00E626E2" w:rsidP="00387838">
            <w:pPr>
              <w:adjustRightInd w:val="0"/>
              <w:snapToGrid w:val="0"/>
              <w:spacing w:line="360" w:lineRule="auto"/>
              <w:textAlignment w:val="center"/>
              <w:rPr>
                <w:rFonts w:ascii="Book Antiqua" w:hAnsi="Book Antiqua" w:cs="宋体"/>
                <w:color w:val="000000"/>
              </w:rPr>
            </w:pPr>
          </w:p>
        </w:tc>
        <w:tc>
          <w:tcPr>
            <w:tcW w:w="1843" w:type="dxa"/>
            <w:vMerge/>
            <w:tcBorders>
              <w:top w:val="single" w:sz="4" w:space="0" w:color="auto"/>
              <w:bottom w:val="single" w:sz="4" w:space="0" w:color="auto"/>
            </w:tcBorders>
            <w:shd w:val="clear" w:color="auto" w:fill="auto"/>
            <w:noWrap/>
            <w:tcMar>
              <w:top w:w="10" w:type="dxa"/>
              <w:left w:w="10" w:type="dxa"/>
              <w:right w:w="10" w:type="dxa"/>
            </w:tcMar>
            <w:vAlign w:val="center"/>
          </w:tcPr>
          <w:p w14:paraId="1AD995EB" w14:textId="77777777" w:rsidR="00E626E2" w:rsidRPr="00811130" w:rsidRDefault="00E626E2" w:rsidP="00387838">
            <w:pPr>
              <w:adjustRightInd w:val="0"/>
              <w:snapToGrid w:val="0"/>
              <w:spacing w:line="360" w:lineRule="auto"/>
              <w:textAlignment w:val="center"/>
              <w:rPr>
                <w:rFonts w:ascii="Book Antiqua" w:hAnsi="Book Antiqua" w:cs="宋体"/>
                <w:color w:val="000000"/>
              </w:rPr>
            </w:pPr>
          </w:p>
        </w:tc>
        <w:tc>
          <w:tcPr>
            <w:tcW w:w="1417" w:type="dxa"/>
            <w:vMerge/>
            <w:tcBorders>
              <w:bottom w:val="single" w:sz="4" w:space="0" w:color="auto"/>
            </w:tcBorders>
            <w:shd w:val="clear" w:color="auto" w:fill="auto"/>
            <w:noWrap/>
            <w:tcMar>
              <w:top w:w="10" w:type="dxa"/>
              <w:left w:w="10" w:type="dxa"/>
              <w:right w:w="10" w:type="dxa"/>
            </w:tcMar>
            <w:vAlign w:val="center"/>
          </w:tcPr>
          <w:p w14:paraId="28591524" w14:textId="77777777" w:rsidR="00E626E2" w:rsidRPr="009609B0" w:rsidRDefault="00E626E2" w:rsidP="00387838">
            <w:pPr>
              <w:adjustRightInd w:val="0"/>
              <w:snapToGrid w:val="0"/>
              <w:spacing w:line="360" w:lineRule="auto"/>
              <w:textAlignment w:val="center"/>
              <w:rPr>
                <w:rFonts w:ascii="Book Antiqua" w:hAnsi="Book Antiqua" w:cs="宋体"/>
                <w:color w:val="000000"/>
              </w:rPr>
            </w:pPr>
          </w:p>
        </w:tc>
        <w:tc>
          <w:tcPr>
            <w:tcW w:w="1418" w:type="dxa"/>
            <w:tcBorders>
              <w:top w:val="single" w:sz="4" w:space="0" w:color="auto"/>
              <w:bottom w:val="single" w:sz="4" w:space="0" w:color="auto"/>
            </w:tcBorders>
            <w:shd w:val="clear" w:color="auto" w:fill="auto"/>
            <w:noWrap/>
            <w:tcMar>
              <w:top w:w="10" w:type="dxa"/>
              <w:left w:w="10" w:type="dxa"/>
              <w:right w:w="10" w:type="dxa"/>
            </w:tcMar>
            <w:vAlign w:val="center"/>
          </w:tcPr>
          <w:p w14:paraId="7C8CC577" w14:textId="77777777" w:rsidR="00E626E2" w:rsidRPr="00AD742E" w:rsidRDefault="00E626E2" w:rsidP="00387838">
            <w:pPr>
              <w:adjustRightInd w:val="0"/>
              <w:snapToGrid w:val="0"/>
              <w:spacing w:line="360" w:lineRule="auto"/>
              <w:textAlignment w:val="center"/>
              <w:rPr>
                <w:rFonts w:ascii="Book Antiqua" w:hAnsi="Book Antiqua" w:cs="宋体"/>
                <w:b/>
                <w:color w:val="000000"/>
              </w:rPr>
            </w:pPr>
            <w:r w:rsidRPr="00AD742E">
              <w:rPr>
                <w:rFonts w:ascii="Book Antiqua" w:hAnsi="Book Antiqua"/>
                <w:b/>
              </w:rPr>
              <w:t>Patient 3 (proband)</w:t>
            </w:r>
          </w:p>
        </w:tc>
        <w:tc>
          <w:tcPr>
            <w:tcW w:w="1276" w:type="dxa"/>
            <w:tcBorders>
              <w:top w:val="single" w:sz="4" w:space="0" w:color="auto"/>
              <w:bottom w:val="single" w:sz="4" w:space="0" w:color="auto"/>
            </w:tcBorders>
            <w:vAlign w:val="center"/>
          </w:tcPr>
          <w:p w14:paraId="3F8059B2" w14:textId="77777777" w:rsidR="00E626E2" w:rsidRPr="00AD742E" w:rsidRDefault="00E626E2" w:rsidP="00387838">
            <w:pPr>
              <w:adjustRightInd w:val="0"/>
              <w:snapToGrid w:val="0"/>
              <w:spacing w:line="360" w:lineRule="auto"/>
              <w:jc w:val="both"/>
              <w:rPr>
                <w:rFonts w:ascii="Book Antiqua" w:hAnsi="Book Antiqua"/>
                <w:b/>
              </w:rPr>
            </w:pPr>
            <w:r w:rsidRPr="00AD742E">
              <w:rPr>
                <w:rFonts w:ascii="Book Antiqua" w:hAnsi="Book Antiqua"/>
                <w:b/>
              </w:rPr>
              <w:t>Proband’s father</w:t>
            </w:r>
          </w:p>
        </w:tc>
        <w:tc>
          <w:tcPr>
            <w:tcW w:w="1417" w:type="dxa"/>
            <w:tcBorders>
              <w:top w:val="single" w:sz="4" w:space="0" w:color="auto"/>
              <w:bottom w:val="single" w:sz="4" w:space="0" w:color="auto"/>
            </w:tcBorders>
          </w:tcPr>
          <w:p w14:paraId="39FDD80F" w14:textId="77777777" w:rsidR="00E626E2" w:rsidRPr="00AD742E" w:rsidRDefault="00E626E2" w:rsidP="00387838">
            <w:pPr>
              <w:adjustRightInd w:val="0"/>
              <w:snapToGrid w:val="0"/>
              <w:spacing w:line="360" w:lineRule="auto"/>
              <w:textAlignment w:val="center"/>
              <w:rPr>
                <w:rFonts w:ascii="Book Antiqua" w:hAnsi="Book Antiqua" w:cs="宋体"/>
                <w:b/>
                <w:color w:val="000000"/>
              </w:rPr>
            </w:pPr>
            <w:r w:rsidRPr="00AD742E">
              <w:rPr>
                <w:rFonts w:ascii="Book Antiqua" w:hAnsi="Book Antiqua"/>
                <w:b/>
              </w:rPr>
              <w:t>Proband’s sister</w:t>
            </w:r>
          </w:p>
        </w:tc>
        <w:tc>
          <w:tcPr>
            <w:tcW w:w="1843" w:type="dxa"/>
            <w:tcBorders>
              <w:top w:val="single" w:sz="4" w:space="0" w:color="auto"/>
              <w:bottom w:val="single" w:sz="4" w:space="0" w:color="auto"/>
            </w:tcBorders>
          </w:tcPr>
          <w:p w14:paraId="5A567B7C" w14:textId="77777777" w:rsidR="00E626E2" w:rsidRPr="00AD742E" w:rsidRDefault="00E626E2" w:rsidP="00387838">
            <w:pPr>
              <w:adjustRightInd w:val="0"/>
              <w:snapToGrid w:val="0"/>
              <w:spacing w:line="360" w:lineRule="auto"/>
              <w:textAlignment w:val="center"/>
              <w:rPr>
                <w:rFonts w:ascii="Book Antiqua" w:hAnsi="Book Antiqua" w:cs="宋体"/>
                <w:b/>
                <w:color w:val="000000"/>
              </w:rPr>
            </w:pPr>
            <w:r w:rsidRPr="00AD742E">
              <w:rPr>
                <w:rFonts w:ascii="Book Antiqua" w:hAnsi="Book Antiqua"/>
                <w:b/>
              </w:rPr>
              <w:t>Proband’s children</w:t>
            </w:r>
          </w:p>
        </w:tc>
      </w:tr>
      <w:tr w:rsidR="00F17753" w:rsidRPr="009609B0" w14:paraId="7E79C6AF" w14:textId="77777777" w:rsidTr="00AD742E">
        <w:trPr>
          <w:trHeight w:val="280"/>
        </w:trPr>
        <w:tc>
          <w:tcPr>
            <w:tcW w:w="2562" w:type="dxa"/>
            <w:tcBorders>
              <w:top w:val="single" w:sz="4" w:space="0" w:color="auto"/>
            </w:tcBorders>
            <w:shd w:val="clear" w:color="auto" w:fill="auto"/>
            <w:noWrap/>
            <w:tcMar>
              <w:top w:w="10" w:type="dxa"/>
              <w:left w:w="10" w:type="dxa"/>
              <w:right w:w="10" w:type="dxa"/>
            </w:tcMar>
            <w:vAlign w:val="center"/>
          </w:tcPr>
          <w:p w14:paraId="2B3BE3CB" w14:textId="77777777" w:rsidR="00F17753" w:rsidRPr="00811130" w:rsidRDefault="00F17753" w:rsidP="00387838">
            <w:pPr>
              <w:adjustRightInd w:val="0"/>
              <w:snapToGrid w:val="0"/>
              <w:spacing w:line="360" w:lineRule="auto"/>
              <w:textAlignment w:val="center"/>
              <w:rPr>
                <w:rFonts w:ascii="Book Antiqua" w:hAnsi="Book Antiqua" w:cs="宋体"/>
                <w:color w:val="000000"/>
              </w:rPr>
            </w:pPr>
            <w:r w:rsidRPr="00C32E1C">
              <w:rPr>
                <w:rFonts w:ascii="Book Antiqua" w:hAnsi="Book Antiqua" w:cs="宋体"/>
                <w:color w:val="000000"/>
                <w:lang w:bidi="ar"/>
              </w:rPr>
              <w:t>Mutation</w:t>
            </w:r>
          </w:p>
        </w:tc>
        <w:tc>
          <w:tcPr>
            <w:tcW w:w="1559" w:type="dxa"/>
            <w:tcBorders>
              <w:top w:val="single" w:sz="4" w:space="0" w:color="auto"/>
            </w:tcBorders>
            <w:shd w:val="clear" w:color="auto" w:fill="auto"/>
            <w:noWrap/>
            <w:tcMar>
              <w:top w:w="10" w:type="dxa"/>
              <w:left w:w="10" w:type="dxa"/>
              <w:right w:w="10" w:type="dxa"/>
            </w:tcMar>
            <w:vAlign w:val="center"/>
          </w:tcPr>
          <w:p w14:paraId="339EB70B" w14:textId="77777777" w:rsidR="00F17753" w:rsidRPr="00811130" w:rsidRDefault="00F17753" w:rsidP="00387838">
            <w:pPr>
              <w:adjustRightInd w:val="0"/>
              <w:snapToGrid w:val="0"/>
              <w:spacing w:line="360" w:lineRule="auto"/>
              <w:textAlignment w:val="center"/>
              <w:rPr>
                <w:rFonts w:ascii="Book Antiqua" w:hAnsi="Book Antiqua" w:cs="宋体"/>
                <w:color w:val="000000"/>
              </w:rPr>
            </w:pPr>
            <w:r w:rsidRPr="00C32E1C">
              <w:rPr>
                <w:rFonts w:ascii="Book Antiqua" w:hAnsi="Book Antiqua" w:cs="宋体"/>
                <w:color w:val="000000"/>
                <w:lang w:bidi="ar"/>
              </w:rPr>
              <w:t>c.5243G&gt;T (p.C1748F)</w:t>
            </w:r>
          </w:p>
        </w:tc>
        <w:tc>
          <w:tcPr>
            <w:tcW w:w="1843" w:type="dxa"/>
            <w:tcBorders>
              <w:top w:val="single" w:sz="4" w:space="0" w:color="auto"/>
            </w:tcBorders>
            <w:shd w:val="clear" w:color="auto" w:fill="auto"/>
            <w:noWrap/>
            <w:tcMar>
              <w:top w:w="10" w:type="dxa"/>
              <w:left w:w="10" w:type="dxa"/>
              <w:right w:w="10" w:type="dxa"/>
            </w:tcMar>
            <w:vAlign w:val="center"/>
          </w:tcPr>
          <w:p w14:paraId="6AE0E1BB" w14:textId="77777777" w:rsidR="00F17753" w:rsidRPr="009609B0" w:rsidRDefault="00F17753" w:rsidP="00387838">
            <w:pPr>
              <w:adjustRightInd w:val="0"/>
              <w:snapToGrid w:val="0"/>
              <w:spacing w:line="360" w:lineRule="auto"/>
              <w:textAlignment w:val="center"/>
              <w:rPr>
                <w:rFonts w:ascii="Book Antiqua" w:hAnsi="Book Antiqua" w:cs="宋体"/>
                <w:color w:val="000000"/>
              </w:rPr>
            </w:pPr>
            <w:r w:rsidRPr="00C32E1C">
              <w:rPr>
                <w:rFonts w:ascii="Book Antiqua" w:hAnsi="Book Antiqua" w:cs="宋体"/>
                <w:color w:val="000000"/>
                <w:lang w:bidi="ar"/>
              </w:rPr>
              <w:t>c.5242T&gt;C (p.Cys1748Ser)</w:t>
            </w:r>
          </w:p>
        </w:tc>
        <w:tc>
          <w:tcPr>
            <w:tcW w:w="1417" w:type="dxa"/>
            <w:tcBorders>
              <w:top w:val="single" w:sz="4" w:space="0" w:color="auto"/>
            </w:tcBorders>
            <w:shd w:val="clear" w:color="auto" w:fill="auto"/>
            <w:noWrap/>
            <w:tcMar>
              <w:top w:w="10" w:type="dxa"/>
              <w:left w:w="10" w:type="dxa"/>
              <w:right w:w="10" w:type="dxa"/>
            </w:tcMar>
            <w:vAlign w:val="center"/>
          </w:tcPr>
          <w:p w14:paraId="5040C0BD" w14:textId="77777777" w:rsidR="00F17753" w:rsidRPr="009609B0" w:rsidRDefault="00F17753" w:rsidP="00387838">
            <w:pPr>
              <w:adjustRightInd w:val="0"/>
              <w:snapToGrid w:val="0"/>
              <w:spacing w:line="360" w:lineRule="auto"/>
              <w:textAlignment w:val="center"/>
              <w:rPr>
                <w:rFonts w:ascii="Book Antiqua" w:hAnsi="Book Antiqua" w:cs="宋体"/>
                <w:color w:val="000000"/>
              </w:rPr>
            </w:pPr>
            <w:r w:rsidRPr="00C32E1C">
              <w:rPr>
                <w:rFonts w:ascii="Book Antiqua" w:hAnsi="Book Antiqua" w:cs="宋体"/>
                <w:color w:val="000000"/>
                <w:lang w:bidi="ar"/>
              </w:rPr>
              <w:t>c.5243G&gt;T (p.C1748F)</w:t>
            </w:r>
          </w:p>
        </w:tc>
        <w:tc>
          <w:tcPr>
            <w:tcW w:w="1418" w:type="dxa"/>
            <w:tcBorders>
              <w:top w:val="single" w:sz="4" w:space="0" w:color="auto"/>
            </w:tcBorders>
            <w:shd w:val="clear" w:color="auto" w:fill="auto"/>
            <w:noWrap/>
            <w:tcMar>
              <w:top w:w="10" w:type="dxa"/>
              <w:left w:w="10" w:type="dxa"/>
              <w:right w:w="10" w:type="dxa"/>
            </w:tcMar>
            <w:vAlign w:val="center"/>
          </w:tcPr>
          <w:p w14:paraId="5F2EEB99" w14:textId="77777777" w:rsidR="00F17753" w:rsidRPr="009609B0" w:rsidRDefault="00F17753" w:rsidP="00387838">
            <w:pPr>
              <w:adjustRightInd w:val="0"/>
              <w:snapToGrid w:val="0"/>
              <w:spacing w:line="360" w:lineRule="auto"/>
              <w:textAlignment w:val="center"/>
              <w:rPr>
                <w:rFonts w:ascii="Book Antiqua" w:hAnsi="Book Antiqua" w:cs="宋体"/>
                <w:color w:val="000000"/>
              </w:rPr>
            </w:pPr>
            <w:r w:rsidRPr="00C32E1C">
              <w:rPr>
                <w:rFonts w:ascii="Book Antiqua" w:hAnsi="Book Antiqua" w:cs="宋体"/>
                <w:color w:val="000000"/>
                <w:lang w:bidi="ar"/>
              </w:rPr>
              <w:t>c.5242T&gt;C (p.C1748R)</w:t>
            </w:r>
          </w:p>
        </w:tc>
        <w:tc>
          <w:tcPr>
            <w:tcW w:w="1276" w:type="dxa"/>
            <w:tcBorders>
              <w:top w:val="single" w:sz="4" w:space="0" w:color="auto"/>
            </w:tcBorders>
          </w:tcPr>
          <w:p w14:paraId="6BF31CA6" w14:textId="77777777" w:rsidR="00F17753" w:rsidRPr="009609B0" w:rsidRDefault="00F17753" w:rsidP="00387838">
            <w:pPr>
              <w:adjustRightInd w:val="0"/>
              <w:snapToGrid w:val="0"/>
              <w:spacing w:line="360" w:lineRule="auto"/>
              <w:textAlignment w:val="center"/>
              <w:rPr>
                <w:rFonts w:ascii="Book Antiqua" w:hAnsi="Book Antiqua" w:cs="宋体"/>
                <w:color w:val="000000"/>
              </w:rPr>
            </w:pPr>
          </w:p>
        </w:tc>
        <w:tc>
          <w:tcPr>
            <w:tcW w:w="1417" w:type="dxa"/>
            <w:tcBorders>
              <w:top w:val="single" w:sz="4" w:space="0" w:color="auto"/>
            </w:tcBorders>
          </w:tcPr>
          <w:p w14:paraId="689EF9B3" w14:textId="77777777" w:rsidR="00F17753" w:rsidRPr="009609B0" w:rsidRDefault="00F17753" w:rsidP="00387838">
            <w:pPr>
              <w:adjustRightInd w:val="0"/>
              <w:snapToGrid w:val="0"/>
              <w:spacing w:line="360" w:lineRule="auto"/>
              <w:textAlignment w:val="center"/>
              <w:rPr>
                <w:rFonts w:ascii="Book Antiqua" w:hAnsi="Book Antiqua" w:cs="宋体"/>
                <w:color w:val="000000"/>
              </w:rPr>
            </w:pPr>
          </w:p>
        </w:tc>
        <w:tc>
          <w:tcPr>
            <w:tcW w:w="1843" w:type="dxa"/>
            <w:tcBorders>
              <w:top w:val="single" w:sz="4" w:space="0" w:color="auto"/>
            </w:tcBorders>
          </w:tcPr>
          <w:p w14:paraId="26113DBA" w14:textId="5B97DC81" w:rsidR="00F17753" w:rsidRPr="009609B0" w:rsidRDefault="00F17753" w:rsidP="00387838">
            <w:pPr>
              <w:adjustRightInd w:val="0"/>
              <w:snapToGrid w:val="0"/>
              <w:spacing w:line="360" w:lineRule="auto"/>
              <w:textAlignment w:val="center"/>
              <w:rPr>
                <w:rFonts w:ascii="Book Antiqua" w:hAnsi="Book Antiqua" w:cs="宋体"/>
                <w:color w:val="000000"/>
              </w:rPr>
            </w:pPr>
          </w:p>
        </w:tc>
      </w:tr>
      <w:tr w:rsidR="00F17753" w:rsidRPr="009609B0" w14:paraId="5FA63978" w14:textId="77777777" w:rsidTr="00F17753">
        <w:trPr>
          <w:trHeight w:val="280"/>
        </w:trPr>
        <w:tc>
          <w:tcPr>
            <w:tcW w:w="2562" w:type="dxa"/>
            <w:shd w:val="clear" w:color="auto" w:fill="auto"/>
            <w:noWrap/>
            <w:tcMar>
              <w:top w:w="10" w:type="dxa"/>
              <w:left w:w="10" w:type="dxa"/>
              <w:right w:w="10" w:type="dxa"/>
            </w:tcMar>
            <w:vAlign w:val="center"/>
          </w:tcPr>
          <w:p w14:paraId="20C817AB" w14:textId="77777777" w:rsidR="00F17753" w:rsidRPr="00811130" w:rsidRDefault="00F17753" w:rsidP="00387838">
            <w:pPr>
              <w:adjustRightInd w:val="0"/>
              <w:snapToGrid w:val="0"/>
              <w:spacing w:line="360" w:lineRule="auto"/>
              <w:textAlignment w:val="center"/>
              <w:rPr>
                <w:rFonts w:ascii="Book Antiqua" w:hAnsi="Book Antiqua" w:cs="宋体"/>
                <w:color w:val="000000"/>
              </w:rPr>
            </w:pPr>
            <w:r w:rsidRPr="00C32E1C">
              <w:rPr>
                <w:rFonts w:ascii="Book Antiqua" w:hAnsi="Book Antiqua" w:cs="宋体"/>
                <w:color w:val="000000"/>
                <w:lang w:bidi="ar"/>
              </w:rPr>
              <w:t>Disorder</w:t>
            </w:r>
          </w:p>
        </w:tc>
        <w:tc>
          <w:tcPr>
            <w:tcW w:w="1559" w:type="dxa"/>
            <w:shd w:val="clear" w:color="auto" w:fill="auto"/>
            <w:noWrap/>
            <w:tcMar>
              <w:top w:w="10" w:type="dxa"/>
              <w:left w:w="10" w:type="dxa"/>
              <w:right w:w="10" w:type="dxa"/>
            </w:tcMar>
            <w:vAlign w:val="center"/>
          </w:tcPr>
          <w:p w14:paraId="3740CAC5" w14:textId="77777777" w:rsidR="00F17753" w:rsidRPr="00811130" w:rsidRDefault="00F17753" w:rsidP="00387838">
            <w:pPr>
              <w:adjustRightInd w:val="0"/>
              <w:snapToGrid w:val="0"/>
              <w:spacing w:line="360" w:lineRule="auto"/>
              <w:textAlignment w:val="center"/>
              <w:rPr>
                <w:rFonts w:ascii="Book Antiqua" w:hAnsi="Book Antiqua" w:cs="宋体"/>
                <w:color w:val="000000"/>
                <w:lang w:bidi="ar"/>
              </w:rPr>
            </w:pPr>
            <w:r w:rsidRPr="00C32E1C">
              <w:rPr>
                <w:rFonts w:ascii="Book Antiqua" w:hAnsi="Book Antiqua" w:cs="宋体"/>
                <w:color w:val="000000"/>
                <w:lang w:bidi="ar"/>
              </w:rPr>
              <w:t>GD</w:t>
            </w:r>
          </w:p>
        </w:tc>
        <w:tc>
          <w:tcPr>
            <w:tcW w:w="1843" w:type="dxa"/>
            <w:shd w:val="clear" w:color="auto" w:fill="auto"/>
            <w:noWrap/>
            <w:tcMar>
              <w:top w:w="10" w:type="dxa"/>
              <w:left w:w="10" w:type="dxa"/>
              <w:right w:w="10" w:type="dxa"/>
            </w:tcMar>
            <w:vAlign w:val="center"/>
          </w:tcPr>
          <w:p w14:paraId="4BAFC4A1" w14:textId="77777777" w:rsidR="00F17753" w:rsidRPr="00FB729E" w:rsidRDefault="00F17753" w:rsidP="00387838">
            <w:pPr>
              <w:adjustRightInd w:val="0"/>
              <w:snapToGrid w:val="0"/>
              <w:spacing w:line="360" w:lineRule="auto"/>
              <w:textAlignment w:val="center"/>
              <w:rPr>
                <w:rFonts w:ascii="Book Antiqua" w:eastAsia="宋体" w:hAnsi="Book Antiqua" w:cs="宋体"/>
                <w:color w:val="000000"/>
                <w:lang w:bidi="ar"/>
              </w:rPr>
            </w:pPr>
            <w:r w:rsidRPr="00C32E1C">
              <w:rPr>
                <w:rFonts w:ascii="Book Antiqua" w:hAnsi="Book Antiqua" w:cs="宋体"/>
                <w:color w:val="000000"/>
                <w:lang w:bidi="ar"/>
              </w:rPr>
              <w:t>GD</w:t>
            </w:r>
          </w:p>
        </w:tc>
        <w:tc>
          <w:tcPr>
            <w:tcW w:w="1417" w:type="dxa"/>
            <w:shd w:val="clear" w:color="auto" w:fill="auto"/>
            <w:noWrap/>
            <w:tcMar>
              <w:top w:w="10" w:type="dxa"/>
              <w:left w:w="10" w:type="dxa"/>
              <w:right w:w="10" w:type="dxa"/>
            </w:tcMar>
            <w:vAlign w:val="center"/>
          </w:tcPr>
          <w:p w14:paraId="31171EE5" w14:textId="77777777" w:rsidR="00F17753" w:rsidRPr="00FB729E" w:rsidRDefault="00F17753" w:rsidP="00387838">
            <w:pPr>
              <w:adjustRightInd w:val="0"/>
              <w:snapToGrid w:val="0"/>
              <w:spacing w:line="360" w:lineRule="auto"/>
              <w:textAlignment w:val="center"/>
              <w:rPr>
                <w:rFonts w:ascii="Book Antiqua" w:eastAsia="宋体" w:hAnsi="Book Antiqua" w:cs="宋体"/>
                <w:color w:val="000000"/>
                <w:lang w:bidi="ar"/>
              </w:rPr>
            </w:pPr>
            <w:r w:rsidRPr="00C32E1C">
              <w:rPr>
                <w:rFonts w:ascii="Book Antiqua" w:hAnsi="Book Antiqua" w:cs="宋体"/>
                <w:color w:val="000000"/>
                <w:lang w:bidi="ar"/>
              </w:rPr>
              <w:t>WMS</w:t>
            </w:r>
          </w:p>
        </w:tc>
        <w:tc>
          <w:tcPr>
            <w:tcW w:w="1418" w:type="dxa"/>
            <w:shd w:val="clear" w:color="auto" w:fill="auto"/>
            <w:noWrap/>
            <w:tcMar>
              <w:top w:w="10" w:type="dxa"/>
              <w:left w:w="10" w:type="dxa"/>
              <w:right w:w="10" w:type="dxa"/>
            </w:tcMar>
            <w:vAlign w:val="center"/>
          </w:tcPr>
          <w:p w14:paraId="5F08F8D4" w14:textId="77777777" w:rsidR="00F17753" w:rsidRPr="00FB729E" w:rsidRDefault="00F17753" w:rsidP="00387838">
            <w:pPr>
              <w:adjustRightInd w:val="0"/>
              <w:snapToGrid w:val="0"/>
              <w:spacing w:line="360" w:lineRule="auto"/>
              <w:textAlignment w:val="center"/>
              <w:rPr>
                <w:rFonts w:ascii="Book Antiqua" w:eastAsia="宋体" w:hAnsi="Book Antiqua" w:cs="宋体"/>
                <w:color w:val="000000"/>
                <w:lang w:bidi="ar"/>
              </w:rPr>
            </w:pPr>
            <w:r w:rsidRPr="00C32E1C">
              <w:rPr>
                <w:rFonts w:ascii="Book Antiqua" w:hAnsi="Book Antiqua" w:cs="宋体"/>
                <w:color w:val="000000"/>
                <w:lang w:bidi="ar"/>
              </w:rPr>
              <w:t>WMS</w:t>
            </w:r>
          </w:p>
        </w:tc>
        <w:tc>
          <w:tcPr>
            <w:tcW w:w="1276" w:type="dxa"/>
          </w:tcPr>
          <w:p w14:paraId="07B67A2D" w14:textId="77777777" w:rsidR="00F17753" w:rsidRPr="009609B0" w:rsidRDefault="00F17753" w:rsidP="00387838">
            <w:pPr>
              <w:adjustRightInd w:val="0"/>
              <w:snapToGrid w:val="0"/>
              <w:spacing w:line="360" w:lineRule="auto"/>
              <w:textAlignment w:val="center"/>
              <w:rPr>
                <w:rFonts w:ascii="Book Antiqua" w:hAnsi="Book Antiqua" w:cs="宋体"/>
                <w:color w:val="000000"/>
              </w:rPr>
            </w:pPr>
          </w:p>
        </w:tc>
        <w:tc>
          <w:tcPr>
            <w:tcW w:w="1417" w:type="dxa"/>
          </w:tcPr>
          <w:p w14:paraId="7E79C65E" w14:textId="77777777" w:rsidR="00F17753" w:rsidRPr="009609B0" w:rsidRDefault="00F17753" w:rsidP="00387838">
            <w:pPr>
              <w:adjustRightInd w:val="0"/>
              <w:snapToGrid w:val="0"/>
              <w:spacing w:line="360" w:lineRule="auto"/>
              <w:textAlignment w:val="center"/>
              <w:rPr>
                <w:rFonts w:ascii="Book Antiqua" w:hAnsi="Book Antiqua" w:cs="宋体"/>
                <w:color w:val="000000"/>
              </w:rPr>
            </w:pPr>
          </w:p>
        </w:tc>
        <w:tc>
          <w:tcPr>
            <w:tcW w:w="1843" w:type="dxa"/>
          </w:tcPr>
          <w:p w14:paraId="763EBB59" w14:textId="0BE267D8" w:rsidR="00F17753" w:rsidRPr="009609B0" w:rsidRDefault="00F17753" w:rsidP="00387838">
            <w:pPr>
              <w:adjustRightInd w:val="0"/>
              <w:snapToGrid w:val="0"/>
              <w:spacing w:line="360" w:lineRule="auto"/>
              <w:textAlignment w:val="center"/>
              <w:rPr>
                <w:rFonts w:ascii="Book Antiqua" w:hAnsi="Book Antiqua" w:cs="宋体"/>
                <w:color w:val="000000"/>
              </w:rPr>
            </w:pPr>
          </w:p>
        </w:tc>
      </w:tr>
      <w:tr w:rsidR="00F17753" w:rsidRPr="00FB729E" w14:paraId="3301E7E7" w14:textId="77777777" w:rsidTr="00F17753">
        <w:trPr>
          <w:trHeight w:val="280"/>
        </w:trPr>
        <w:tc>
          <w:tcPr>
            <w:tcW w:w="2562" w:type="dxa"/>
            <w:shd w:val="clear" w:color="auto" w:fill="auto"/>
            <w:noWrap/>
            <w:tcMar>
              <w:top w:w="10" w:type="dxa"/>
              <w:left w:w="10" w:type="dxa"/>
              <w:right w:w="10" w:type="dxa"/>
            </w:tcMar>
            <w:vAlign w:val="center"/>
          </w:tcPr>
          <w:p w14:paraId="06F79F44" w14:textId="77777777" w:rsidR="00E626E2" w:rsidRPr="00C32E1C" w:rsidRDefault="00E626E2" w:rsidP="00387838">
            <w:pPr>
              <w:adjustRightInd w:val="0"/>
              <w:snapToGrid w:val="0"/>
              <w:spacing w:line="360" w:lineRule="auto"/>
              <w:textAlignment w:val="center"/>
              <w:rPr>
                <w:rFonts w:ascii="Book Antiqua" w:hAnsi="Book Antiqua" w:cs="宋体"/>
                <w:color w:val="000000"/>
                <w:lang w:bidi="ar"/>
              </w:rPr>
            </w:pPr>
            <w:r w:rsidRPr="00C32E1C">
              <w:rPr>
                <w:rFonts w:ascii="Book Antiqua" w:hAnsi="Book Antiqua" w:cs="宋体"/>
                <w:color w:val="000000"/>
                <w:lang w:bidi="ar"/>
              </w:rPr>
              <w:t>Short stature</w:t>
            </w:r>
          </w:p>
        </w:tc>
        <w:tc>
          <w:tcPr>
            <w:tcW w:w="1559" w:type="dxa"/>
            <w:shd w:val="clear" w:color="auto" w:fill="auto"/>
            <w:noWrap/>
            <w:tcMar>
              <w:top w:w="10" w:type="dxa"/>
              <w:left w:w="10" w:type="dxa"/>
              <w:right w:w="10" w:type="dxa"/>
            </w:tcMar>
            <w:vAlign w:val="center"/>
          </w:tcPr>
          <w:p w14:paraId="64A5B20B" w14:textId="77777777" w:rsidR="00E626E2" w:rsidRPr="00811130" w:rsidRDefault="00E626E2" w:rsidP="00387838">
            <w:pPr>
              <w:adjustRightInd w:val="0"/>
              <w:snapToGrid w:val="0"/>
              <w:spacing w:line="360" w:lineRule="auto"/>
              <w:textAlignment w:val="center"/>
              <w:rPr>
                <w:rFonts w:ascii="Book Antiqua" w:hAnsi="Book Antiqua" w:cs="宋体"/>
                <w:color w:val="000000"/>
                <w:lang w:bidi="ar"/>
              </w:rPr>
            </w:pPr>
            <w:r w:rsidRPr="00C32E1C">
              <w:rPr>
                <w:rFonts w:ascii="Book Antiqua" w:hAnsi="Book Antiqua" w:cs="宋体"/>
                <w:color w:val="000000"/>
                <w:lang w:bidi="ar"/>
              </w:rPr>
              <w:t>+</w:t>
            </w:r>
          </w:p>
        </w:tc>
        <w:tc>
          <w:tcPr>
            <w:tcW w:w="1843" w:type="dxa"/>
            <w:shd w:val="clear" w:color="auto" w:fill="auto"/>
            <w:noWrap/>
            <w:tcMar>
              <w:top w:w="10" w:type="dxa"/>
              <w:left w:w="10" w:type="dxa"/>
              <w:right w:w="10" w:type="dxa"/>
            </w:tcMar>
            <w:vAlign w:val="center"/>
          </w:tcPr>
          <w:p w14:paraId="43AC2EA1"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C32E1C">
              <w:rPr>
                <w:rFonts w:ascii="Book Antiqua" w:hAnsi="Book Antiqua" w:cs="宋体"/>
                <w:color w:val="000000"/>
                <w:lang w:bidi="ar"/>
              </w:rPr>
              <w:t>+</w:t>
            </w:r>
          </w:p>
        </w:tc>
        <w:tc>
          <w:tcPr>
            <w:tcW w:w="1417" w:type="dxa"/>
            <w:shd w:val="clear" w:color="auto" w:fill="auto"/>
            <w:noWrap/>
            <w:tcMar>
              <w:top w:w="10" w:type="dxa"/>
              <w:left w:w="10" w:type="dxa"/>
              <w:right w:w="10" w:type="dxa"/>
            </w:tcMar>
            <w:vAlign w:val="center"/>
          </w:tcPr>
          <w:p w14:paraId="3F85C023"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C32E1C">
              <w:rPr>
                <w:rFonts w:ascii="Book Antiqua" w:hAnsi="Book Antiqua" w:cs="宋体"/>
                <w:color w:val="000000"/>
                <w:lang w:bidi="ar"/>
              </w:rPr>
              <w:t>+</w:t>
            </w:r>
          </w:p>
        </w:tc>
        <w:tc>
          <w:tcPr>
            <w:tcW w:w="1418" w:type="dxa"/>
            <w:shd w:val="clear" w:color="auto" w:fill="auto"/>
            <w:noWrap/>
            <w:tcMar>
              <w:top w:w="10" w:type="dxa"/>
              <w:left w:w="10" w:type="dxa"/>
              <w:right w:w="10" w:type="dxa"/>
            </w:tcMar>
            <w:vAlign w:val="center"/>
          </w:tcPr>
          <w:p w14:paraId="0928DCE7"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C32E1C">
              <w:rPr>
                <w:rFonts w:ascii="Book Antiqua" w:hAnsi="Book Antiqua" w:cs="宋体"/>
                <w:color w:val="000000"/>
                <w:lang w:bidi="ar"/>
              </w:rPr>
              <w:t>+</w:t>
            </w:r>
          </w:p>
        </w:tc>
        <w:tc>
          <w:tcPr>
            <w:tcW w:w="1276" w:type="dxa"/>
          </w:tcPr>
          <w:p w14:paraId="7FAF49C1"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C32E1C">
              <w:rPr>
                <w:rFonts w:ascii="Book Antiqua" w:hAnsi="Book Antiqua" w:cs="宋体"/>
                <w:color w:val="000000"/>
                <w:lang w:bidi="ar"/>
              </w:rPr>
              <w:t>+</w:t>
            </w:r>
          </w:p>
        </w:tc>
        <w:tc>
          <w:tcPr>
            <w:tcW w:w="1417" w:type="dxa"/>
          </w:tcPr>
          <w:p w14:paraId="02AD6807"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C32E1C">
              <w:rPr>
                <w:rFonts w:ascii="Book Antiqua" w:hAnsi="Book Antiqua" w:cs="宋体"/>
                <w:color w:val="000000"/>
                <w:lang w:bidi="ar"/>
              </w:rPr>
              <w:t>+</w:t>
            </w:r>
          </w:p>
        </w:tc>
        <w:tc>
          <w:tcPr>
            <w:tcW w:w="1843" w:type="dxa"/>
          </w:tcPr>
          <w:p w14:paraId="517C9235"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C32E1C">
              <w:rPr>
                <w:rFonts w:ascii="Book Antiqua" w:hAnsi="Book Antiqua" w:cs="宋体"/>
                <w:color w:val="000000"/>
                <w:lang w:bidi="ar"/>
              </w:rPr>
              <w:t>+</w:t>
            </w:r>
          </w:p>
        </w:tc>
      </w:tr>
      <w:tr w:rsidR="00F17753" w:rsidRPr="00FB729E" w14:paraId="522B5FD5" w14:textId="77777777" w:rsidTr="00F17753">
        <w:trPr>
          <w:trHeight w:val="280"/>
        </w:trPr>
        <w:tc>
          <w:tcPr>
            <w:tcW w:w="2562" w:type="dxa"/>
            <w:shd w:val="clear" w:color="auto" w:fill="auto"/>
            <w:noWrap/>
            <w:tcMar>
              <w:top w:w="10" w:type="dxa"/>
              <w:left w:w="10" w:type="dxa"/>
              <w:right w:w="10" w:type="dxa"/>
            </w:tcMar>
            <w:vAlign w:val="center"/>
          </w:tcPr>
          <w:p w14:paraId="6B2A61EE" w14:textId="77777777" w:rsidR="00E626E2" w:rsidRPr="00C32E1C" w:rsidRDefault="00E626E2" w:rsidP="00387838">
            <w:pPr>
              <w:adjustRightInd w:val="0"/>
              <w:snapToGrid w:val="0"/>
              <w:spacing w:line="360" w:lineRule="auto"/>
              <w:textAlignment w:val="center"/>
              <w:rPr>
                <w:rFonts w:ascii="Book Antiqua" w:hAnsi="Book Antiqua" w:cs="宋体"/>
                <w:color w:val="000000"/>
                <w:lang w:bidi="ar"/>
              </w:rPr>
            </w:pPr>
            <w:r w:rsidRPr="00C32E1C">
              <w:rPr>
                <w:rFonts w:ascii="Book Antiqua" w:hAnsi="Book Antiqua" w:cs="宋体"/>
                <w:color w:val="000000"/>
                <w:lang w:bidi="ar"/>
              </w:rPr>
              <w:t>Short limbs</w:t>
            </w:r>
          </w:p>
        </w:tc>
        <w:tc>
          <w:tcPr>
            <w:tcW w:w="1559" w:type="dxa"/>
            <w:shd w:val="clear" w:color="auto" w:fill="auto"/>
            <w:noWrap/>
            <w:tcMar>
              <w:top w:w="10" w:type="dxa"/>
              <w:left w:w="10" w:type="dxa"/>
              <w:right w:w="10" w:type="dxa"/>
            </w:tcMar>
            <w:vAlign w:val="center"/>
          </w:tcPr>
          <w:p w14:paraId="53FBDF92" w14:textId="77777777" w:rsidR="00E626E2" w:rsidRPr="00811130" w:rsidRDefault="00E626E2" w:rsidP="00387838">
            <w:pPr>
              <w:adjustRightInd w:val="0"/>
              <w:snapToGrid w:val="0"/>
              <w:spacing w:line="360" w:lineRule="auto"/>
              <w:textAlignment w:val="center"/>
              <w:rPr>
                <w:rFonts w:ascii="Book Antiqua" w:hAnsi="Book Antiqua" w:cs="宋体"/>
                <w:color w:val="000000"/>
                <w:lang w:bidi="ar"/>
              </w:rPr>
            </w:pPr>
            <w:r w:rsidRPr="00C32E1C">
              <w:rPr>
                <w:rFonts w:ascii="Book Antiqua" w:hAnsi="Book Antiqua" w:cs="宋体"/>
                <w:color w:val="000000"/>
                <w:lang w:bidi="ar"/>
              </w:rPr>
              <w:t>+</w:t>
            </w:r>
          </w:p>
        </w:tc>
        <w:tc>
          <w:tcPr>
            <w:tcW w:w="1843" w:type="dxa"/>
            <w:shd w:val="clear" w:color="auto" w:fill="auto"/>
            <w:noWrap/>
            <w:tcMar>
              <w:top w:w="10" w:type="dxa"/>
              <w:left w:w="10" w:type="dxa"/>
              <w:right w:w="10" w:type="dxa"/>
            </w:tcMar>
            <w:vAlign w:val="center"/>
          </w:tcPr>
          <w:p w14:paraId="00BCC47A"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C32E1C">
              <w:rPr>
                <w:rFonts w:ascii="Book Antiqua" w:hAnsi="Book Antiqua" w:cs="宋体"/>
                <w:color w:val="000000"/>
                <w:lang w:bidi="ar"/>
              </w:rPr>
              <w:t>+</w:t>
            </w:r>
          </w:p>
        </w:tc>
        <w:tc>
          <w:tcPr>
            <w:tcW w:w="1417" w:type="dxa"/>
            <w:shd w:val="clear" w:color="auto" w:fill="auto"/>
            <w:noWrap/>
            <w:tcMar>
              <w:top w:w="10" w:type="dxa"/>
              <w:left w:w="10" w:type="dxa"/>
              <w:right w:w="10" w:type="dxa"/>
            </w:tcMar>
            <w:vAlign w:val="center"/>
          </w:tcPr>
          <w:p w14:paraId="64CA2707"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418" w:type="dxa"/>
            <w:shd w:val="clear" w:color="auto" w:fill="auto"/>
            <w:noWrap/>
            <w:tcMar>
              <w:top w:w="10" w:type="dxa"/>
              <w:left w:w="10" w:type="dxa"/>
              <w:right w:w="10" w:type="dxa"/>
            </w:tcMar>
            <w:vAlign w:val="center"/>
          </w:tcPr>
          <w:p w14:paraId="3A4825EA"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276" w:type="dxa"/>
          </w:tcPr>
          <w:p w14:paraId="7CE3564C"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417" w:type="dxa"/>
          </w:tcPr>
          <w:p w14:paraId="3872AF13"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843" w:type="dxa"/>
          </w:tcPr>
          <w:p w14:paraId="22B34359"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r>
      <w:tr w:rsidR="00F17753" w:rsidRPr="00FB729E" w14:paraId="17C5FF71" w14:textId="77777777" w:rsidTr="00F17753">
        <w:trPr>
          <w:trHeight w:val="280"/>
        </w:trPr>
        <w:tc>
          <w:tcPr>
            <w:tcW w:w="2562" w:type="dxa"/>
            <w:shd w:val="clear" w:color="auto" w:fill="auto"/>
            <w:noWrap/>
            <w:tcMar>
              <w:top w:w="10" w:type="dxa"/>
              <w:left w:w="10" w:type="dxa"/>
              <w:right w:w="10" w:type="dxa"/>
            </w:tcMar>
            <w:vAlign w:val="center"/>
          </w:tcPr>
          <w:p w14:paraId="6508588D" w14:textId="77777777" w:rsidR="00E626E2" w:rsidRPr="00C32E1C" w:rsidRDefault="00E626E2" w:rsidP="00387838">
            <w:pPr>
              <w:adjustRightInd w:val="0"/>
              <w:snapToGrid w:val="0"/>
              <w:spacing w:line="360" w:lineRule="auto"/>
              <w:textAlignment w:val="center"/>
              <w:rPr>
                <w:rFonts w:ascii="Book Antiqua" w:hAnsi="Book Antiqua" w:cs="宋体"/>
                <w:color w:val="000000"/>
                <w:lang w:bidi="ar"/>
              </w:rPr>
            </w:pPr>
            <w:r w:rsidRPr="00C32E1C">
              <w:rPr>
                <w:rFonts w:ascii="Book Antiqua" w:hAnsi="Book Antiqua" w:cs="宋体"/>
                <w:color w:val="000000"/>
                <w:lang w:bidi="ar"/>
              </w:rPr>
              <w:t>Stubby fingers and toes</w:t>
            </w:r>
          </w:p>
        </w:tc>
        <w:tc>
          <w:tcPr>
            <w:tcW w:w="1559" w:type="dxa"/>
            <w:shd w:val="clear" w:color="auto" w:fill="auto"/>
            <w:noWrap/>
            <w:tcMar>
              <w:top w:w="10" w:type="dxa"/>
              <w:left w:w="10" w:type="dxa"/>
              <w:right w:w="10" w:type="dxa"/>
            </w:tcMar>
            <w:vAlign w:val="center"/>
          </w:tcPr>
          <w:p w14:paraId="0C3A01D3" w14:textId="77777777" w:rsidR="00E626E2" w:rsidRPr="00811130" w:rsidRDefault="00E626E2" w:rsidP="00387838">
            <w:pPr>
              <w:adjustRightInd w:val="0"/>
              <w:snapToGrid w:val="0"/>
              <w:spacing w:line="360" w:lineRule="auto"/>
              <w:textAlignment w:val="center"/>
              <w:rPr>
                <w:rFonts w:ascii="Book Antiqua" w:hAnsi="Book Antiqua" w:cs="宋体"/>
                <w:color w:val="000000"/>
                <w:lang w:bidi="ar"/>
              </w:rPr>
            </w:pPr>
            <w:r w:rsidRPr="00C32E1C">
              <w:rPr>
                <w:rFonts w:ascii="Book Antiqua" w:hAnsi="Book Antiqua" w:cs="宋体"/>
                <w:color w:val="000000"/>
                <w:lang w:bidi="ar"/>
              </w:rPr>
              <w:t>+</w:t>
            </w:r>
          </w:p>
        </w:tc>
        <w:tc>
          <w:tcPr>
            <w:tcW w:w="1843" w:type="dxa"/>
            <w:shd w:val="clear" w:color="auto" w:fill="auto"/>
            <w:noWrap/>
            <w:tcMar>
              <w:top w:w="10" w:type="dxa"/>
              <w:left w:w="10" w:type="dxa"/>
              <w:right w:w="10" w:type="dxa"/>
            </w:tcMar>
            <w:vAlign w:val="center"/>
          </w:tcPr>
          <w:p w14:paraId="2864C502"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C32E1C">
              <w:rPr>
                <w:rFonts w:ascii="Book Antiqua" w:hAnsi="Book Antiqua" w:cs="宋体"/>
                <w:color w:val="000000"/>
                <w:lang w:bidi="ar"/>
              </w:rPr>
              <w:t>+</w:t>
            </w:r>
          </w:p>
        </w:tc>
        <w:tc>
          <w:tcPr>
            <w:tcW w:w="1417" w:type="dxa"/>
            <w:shd w:val="clear" w:color="auto" w:fill="auto"/>
            <w:noWrap/>
            <w:tcMar>
              <w:top w:w="10" w:type="dxa"/>
              <w:left w:w="10" w:type="dxa"/>
              <w:right w:w="10" w:type="dxa"/>
            </w:tcMar>
            <w:vAlign w:val="center"/>
          </w:tcPr>
          <w:p w14:paraId="3CE6B0E6"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418" w:type="dxa"/>
            <w:shd w:val="clear" w:color="auto" w:fill="auto"/>
            <w:noWrap/>
            <w:tcMar>
              <w:top w:w="10" w:type="dxa"/>
              <w:left w:w="10" w:type="dxa"/>
              <w:right w:w="10" w:type="dxa"/>
            </w:tcMar>
            <w:vAlign w:val="center"/>
          </w:tcPr>
          <w:p w14:paraId="791D32DB"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276" w:type="dxa"/>
          </w:tcPr>
          <w:p w14:paraId="7034EA73"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417" w:type="dxa"/>
          </w:tcPr>
          <w:p w14:paraId="39133763"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843" w:type="dxa"/>
          </w:tcPr>
          <w:p w14:paraId="3140A350"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r>
      <w:tr w:rsidR="00F17753" w:rsidRPr="00FB729E" w14:paraId="16F261A0" w14:textId="77777777" w:rsidTr="00F17753">
        <w:trPr>
          <w:trHeight w:val="280"/>
        </w:trPr>
        <w:tc>
          <w:tcPr>
            <w:tcW w:w="2562" w:type="dxa"/>
            <w:shd w:val="clear" w:color="auto" w:fill="auto"/>
            <w:noWrap/>
            <w:tcMar>
              <w:top w:w="10" w:type="dxa"/>
              <w:left w:w="10" w:type="dxa"/>
              <w:right w:w="10" w:type="dxa"/>
            </w:tcMar>
            <w:vAlign w:val="center"/>
          </w:tcPr>
          <w:p w14:paraId="21E5618D" w14:textId="77777777" w:rsidR="00E626E2" w:rsidRPr="00C32E1C" w:rsidRDefault="00E626E2" w:rsidP="00387838">
            <w:pPr>
              <w:adjustRightInd w:val="0"/>
              <w:snapToGrid w:val="0"/>
              <w:spacing w:line="360" w:lineRule="auto"/>
              <w:textAlignment w:val="center"/>
              <w:rPr>
                <w:rFonts w:ascii="Book Antiqua" w:hAnsi="Book Antiqua" w:cs="宋体"/>
                <w:color w:val="000000"/>
                <w:lang w:bidi="ar"/>
              </w:rPr>
            </w:pPr>
            <w:r w:rsidRPr="00C56D4F">
              <w:rPr>
                <w:rFonts w:ascii="Book Antiqua" w:hAnsi="Book Antiqua"/>
              </w:rPr>
              <w:t>Mitral valve thickening and regurgitation</w:t>
            </w:r>
          </w:p>
        </w:tc>
        <w:tc>
          <w:tcPr>
            <w:tcW w:w="1559" w:type="dxa"/>
            <w:shd w:val="clear" w:color="auto" w:fill="auto"/>
            <w:noWrap/>
            <w:tcMar>
              <w:top w:w="10" w:type="dxa"/>
              <w:left w:w="10" w:type="dxa"/>
              <w:right w:w="10" w:type="dxa"/>
            </w:tcMar>
            <w:vAlign w:val="center"/>
          </w:tcPr>
          <w:p w14:paraId="77DC2D58" w14:textId="77777777" w:rsidR="00E626E2" w:rsidRPr="00811130" w:rsidRDefault="00E626E2" w:rsidP="00387838">
            <w:pPr>
              <w:adjustRightInd w:val="0"/>
              <w:snapToGrid w:val="0"/>
              <w:spacing w:line="360" w:lineRule="auto"/>
              <w:textAlignment w:val="center"/>
              <w:rPr>
                <w:rFonts w:ascii="Book Antiqua" w:hAnsi="Book Antiqua" w:cs="宋体"/>
                <w:color w:val="000000"/>
                <w:lang w:bidi="ar"/>
              </w:rPr>
            </w:pPr>
            <w:r w:rsidRPr="00FB729E">
              <w:rPr>
                <w:rFonts w:ascii="Book Antiqua" w:hAnsi="Book Antiqua" w:cs="宋体"/>
                <w:color w:val="000000"/>
                <w:lang w:bidi="ar"/>
              </w:rPr>
              <w:t>Mild</w:t>
            </w:r>
          </w:p>
        </w:tc>
        <w:tc>
          <w:tcPr>
            <w:tcW w:w="1843" w:type="dxa"/>
            <w:shd w:val="clear" w:color="auto" w:fill="auto"/>
            <w:noWrap/>
            <w:tcMar>
              <w:top w:w="10" w:type="dxa"/>
              <w:left w:w="10" w:type="dxa"/>
              <w:right w:w="10" w:type="dxa"/>
            </w:tcMar>
            <w:vAlign w:val="center"/>
          </w:tcPr>
          <w:p w14:paraId="54C481FA"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417" w:type="dxa"/>
            <w:shd w:val="clear" w:color="auto" w:fill="auto"/>
            <w:noWrap/>
            <w:tcMar>
              <w:top w:w="10" w:type="dxa"/>
              <w:left w:w="10" w:type="dxa"/>
              <w:right w:w="10" w:type="dxa"/>
            </w:tcMar>
            <w:vAlign w:val="center"/>
          </w:tcPr>
          <w:p w14:paraId="11BB3B26"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hAnsi="Book Antiqua" w:cs="宋体"/>
                <w:color w:val="000000"/>
                <w:lang w:bidi="ar"/>
              </w:rPr>
              <w:t>NA</w:t>
            </w:r>
          </w:p>
        </w:tc>
        <w:tc>
          <w:tcPr>
            <w:tcW w:w="1418" w:type="dxa"/>
            <w:shd w:val="clear" w:color="auto" w:fill="auto"/>
            <w:noWrap/>
            <w:tcMar>
              <w:top w:w="10" w:type="dxa"/>
              <w:left w:w="10" w:type="dxa"/>
              <w:right w:w="10" w:type="dxa"/>
            </w:tcMar>
            <w:vAlign w:val="center"/>
          </w:tcPr>
          <w:p w14:paraId="56D8E6C9"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276" w:type="dxa"/>
          </w:tcPr>
          <w:p w14:paraId="5A1A9FE2"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hAnsi="Book Antiqua" w:cs="宋体"/>
                <w:color w:val="000000"/>
                <w:lang w:bidi="ar"/>
              </w:rPr>
              <w:t>NA</w:t>
            </w:r>
          </w:p>
        </w:tc>
        <w:tc>
          <w:tcPr>
            <w:tcW w:w="1417" w:type="dxa"/>
          </w:tcPr>
          <w:p w14:paraId="4A748C66"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hAnsi="Book Antiqua" w:cs="宋体"/>
                <w:color w:val="000000"/>
                <w:lang w:bidi="ar"/>
              </w:rPr>
              <w:t>NA</w:t>
            </w:r>
          </w:p>
        </w:tc>
        <w:tc>
          <w:tcPr>
            <w:tcW w:w="1843" w:type="dxa"/>
          </w:tcPr>
          <w:p w14:paraId="743B0316"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hAnsi="Book Antiqua" w:cs="宋体"/>
                <w:color w:val="000000"/>
                <w:lang w:bidi="ar"/>
              </w:rPr>
              <w:t>NA</w:t>
            </w:r>
          </w:p>
        </w:tc>
      </w:tr>
      <w:tr w:rsidR="00F17753" w:rsidRPr="00FB729E" w14:paraId="26FCAE1C" w14:textId="77777777" w:rsidTr="00F17753">
        <w:trPr>
          <w:trHeight w:val="280"/>
        </w:trPr>
        <w:tc>
          <w:tcPr>
            <w:tcW w:w="2562" w:type="dxa"/>
            <w:shd w:val="clear" w:color="auto" w:fill="auto"/>
            <w:noWrap/>
            <w:tcMar>
              <w:top w:w="10" w:type="dxa"/>
              <w:left w:w="10" w:type="dxa"/>
              <w:right w:w="10" w:type="dxa"/>
            </w:tcMar>
            <w:vAlign w:val="center"/>
          </w:tcPr>
          <w:p w14:paraId="6B97E98D" w14:textId="77777777" w:rsidR="00E626E2" w:rsidRPr="00C32E1C" w:rsidRDefault="00E626E2" w:rsidP="00387838">
            <w:pPr>
              <w:adjustRightInd w:val="0"/>
              <w:snapToGrid w:val="0"/>
              <w:spacing w:line="360" w:lineRule="auto"/>
              <w:textAlignment w:val="center"/>
              <w:rPr>
                <w:rFonts w:ascii="Book Antiqua" w:hAnsi="Book Antiqua" w:cs="宋体"/>
                <w:color w:val="000000"/>
                <w:lang w:bidi="ar"/>
              </w:rPr>
            </w:pPr>
            <w:r w:rsidRPr="00C56D4F">
              <w:rPr>
                <w:rFonts w:ascii="Book Antiqua" w:hAnsi="Book Antiqua"/>
              </w:rPr>
              <w:t>Aortic dissection</w:t>
            </w:r>
          </w:p>
        </w:tc>
        <w:tc>
          <w:tcPr>
            <w:tcW w:w="1559" w:type="dxa"/>
            <w:shd w:val="clear" w:color="auto" w:fill="auto"/>
            <w:noWrap/>
            <w:tcMar>
              <w:top w:w="10" w:type="dxa"/>
              <w:left w:w="10" w:type="dxa"/>
              <w:right w:w="10" w:type="dxa"/>
            </w:tcMar>
            <w:vAlign w:val="center"/>
          </w:tcPr>
          <w:p w14:paraId="3DE7A96E" w14:textId="77777777" w:rsidR="00E626E2" w:rsidRPr="00811130" w:rsidRDefault="00E626E2" w:rsidP="00387838">
            <w:pPr>
              <w:adjustRightInd w:val="0"/>
              <w:snapToGrid w:val="0"/>
              <w:spacing w:line="360" w:lineRule="auto"/>
              <w:textAlignment w:val="center"/>
              <w:rPr>
                <w:rFonts w:ascii="Book Antiqua" w:hAnsi="Book Antiqua" w:cs="宋体"/>
                <w:color w:val="000000"/>
                <w:lang w:bidi="ar"/>
              </w:rPr>
            </w:pPr>
            <w:r>
              <w:rPr>
                <w:rFonts w:ascii="Book Antiqua" w:hAnsi="Book Antiqua" w:cs="宋体" w:hint="eastAsia"/>
                <w:color w:val="000000"/>
                <w:lang w:bidi="ar"/>
              </w:rPr>
              <w:t>-</w:t>
            </w:r>
          </w:p>
        </w:tc>
        <w:tc>
          <w:tcPr>
            <w:tcW w:w="1843" w:type="dxa"/>
            <w:shd w:val="clear" w:color="auto" w:fill="auto"/>
            <w:noWrap/>
            <w:tcMar>
              <w:top w:w="10" w:type="dxa"/>
              <w:left w:w="10" w:type="dxa"/>
              <w:right w:w="10" w:type="dxa"/>
            </w:tcMar>
            <w:vAlign w:val="center"/>
          </w:tcPr>
          <w:p w14:paraId="7B5BA751"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417" w:type="dxa"/>
            <w:shd w:val="clear" w:color="auto" w:fill="auto"/>
            <w:noWrap/>
            <w:tcMar>
              <w:top w:w="10" w:type="dxa"/>
              <w:left w:w="10" w:type="dxa"/>
              <w:right w:w="10" w:type="dxa"/>
            </w:tcMar>
            <w:vAlign w:val="center"/>
          </w:tcPr>
          <w:p w14:paraId="062EBDC6"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418" w:type="dxa"/>
            <w:shd w:val="clear" w:color="auto" w:fill="auto"/>
            <w:noWrap/>
            <w:tcMar>
              <w:top w:w="10" w:type="dxa"/>
              <w:left w:w="10" w:type="dxa"/>
              <w:right w:w="10" w:type="dxa"/>
            </w:tcMar>
            <w:vAlign w:val="center"/>
          </w:tcPr>
          <w:p w14:paraId="4A330542"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276" w:type="dxa"/>
          </w:tcPr>
          <w:p w14:paraId="225D94E3"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417" w:type="dxa"/>
          </w:tcPr>
          <w:p w14:paraId="7B258F1E"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843" w:type="dxa"/>
          </w:tcPr>
          <w:p w14:paraId="6AF07D1D"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r>
      <w:tr w:rsidR="00F17753" w:rsidRPr="00FB729E" w14:paraId="2E400A1C" w14:textId="77777777" w:rsidTr="00F17753">
        <w:trPr>
          <w:trHeight w:val="280"/>
        </w:trPr>
        <w:tc>
          <w:tcPr>
            <w:tcW w:w="2562" w:type="dxa"/>
            <w:shd w:val="clear" w:color="auto" w:fill="auto"/>
            <w:noWrap/>
            <w:tcMar>
              <w:top w:w="10" w:type="dxa"/>
              <w:left w:w="10" w:type="dxa"/>
              <w:right w:w="10" w:type="dxa"/>
            </w:tcMar>
            <w:vAlign w:val="center"/>
          </w:tcPr>
          <w:p w14:paraId="46B0234A" w14:textId="77777777" w:rsidR="00E626E2" w:rsidRPr="00C56D4F" w:rsidRDefault="00E626E2" w:rsidP="00387838">
            <w:pPr>
              <w:adjustRightInd w:val="0"/>
              <w:snapToGrid w:val="0"/>
              <w:spacing w:line="360" w:lineRule="auto"/>
              <w:textAlignment w:val="center"/>
              <w:rPr>
                <w:rFonts w:ascii="Book Antiqua" w:hAnsi="Book Antiqua"/>
              </w:rPr>
            </w:pPr>
            <w:r w:rsidRPr="00C56D4F">
              <w:rPr>
                <w:rFonts w:ascii="Book Antiqua" w:hAnsi="Book Antiqua"/>
              </w:rPr>
              <w:t>Tracheal stenosis</w:t>
            </w:r>
          </w:p>
        </w:tc>
        <w:tc>
          <w:tcPr>
            <w:tcW w:w="1559" w:type="dxa"/>
            <w:shd w:val="clear" w:color="auto" w:fill="auto"/>
            <w:noWrap/>
            <w:tcMar>
              <w:top w:w="10" w:type="dxa"/>
              <w:left w:w="10" w:type="dxa"/>
              <w:right w:w="10" w:type="dxa"/>
            </w:tcMar>
            <w:vAlign w:val="center"/>
          </w:tcPr>
          <w:p w14:paraId="6E46B3C8" w14:textId="77777777" w:rsidR="00E626E2" w:rsidRDefault="00E626E2" w:rsidP="00387838">
            <w:pPr>
              <w:adjustRightInd w:val="0"/>
              <w:snapToGrid w:val="0"/>
              <w:spacing w:line="360" w:lineRule="auto"/>
              <w:textAlignment w:val="center"/>
              <w:rPr>
                <w:rFonts w:ascii="Book Antiqua" w:hAnsi="Book Antiqua" w:cs="宋体"/>
                <w:color w:val="000000"/>
                <w:lang w:bidi="ar"/>
              </w:rPr>
            </w:pPr>
            <w:r w:rsidRPr="00FB729E">
              <w:rPr>
                <w:rFonts w:ascii="Book Antiqua" w:eastAsia="宋体" w:hAnsi="Book Antiqua" w:cs="宋体" w:hint="eastAsia"/>
                <w:color w:val="000000"/>
                <w:lang w:bidi="ar"/>
              </w:rPr>
              <w:t>+</w:t>
            </w:r>
          </w:p>
        </w:tc>
        <w:tc>
          <w:tcPr>
            <w:tcW w:w="1843" w:type="dxa"/>
            <w:shd w:val="clear" w:color="auto" w:fill="auto"/>
            <w:noWrap/>
            <w:tcMar>
              <w:top w:w="10" w:type="dxa"/>
              <w:left w:w="10" w:type="dxa"/>
              <w:right w:w="10" w:type="dxa"/>
            </w:tcMar>
            <w:vAlign w:val="center"/>
          </w:tcPr>
          <w:p w14:paraId="296C010F"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417" w:type="dxa"/>
            <w:shd w:val="clear" w:color="auto" w:fill="auto"/>
            <w:noWrap/>
            <w:tcMar>
              <w:top w:w="10" w:type="dxa"/>
              <w:left w:w="10" w:type="dxa"/>
              <w:right w:w="10" w:type="dxa"/>
            </w:tcMar>
            <w:vAlign w:val="center"/>
          </w:tcPr>
          <w:p w14:paraId="2F716A9A"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418" w:type="dxa"/>
            <w:shd w:val="clear" w:color="auto" w:fill="auto"/>
            <w:noWrap/>
            <w:tcMar>
              <w:top w:w="10" w:type="dxa"/>
              <w:left w:w="10" w:type="dxa"/>
              <w:right w:w="10" w:type="dxa"/>
            </w:tcMar>
            <w:vAlign w:val="center"/>
          </w:tcPr>
          <w:p w14:paraId="2D135ABB"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276" w:type="dxa"/>
          </w:tcPr>
          <w:p w14:paraId="5A8C8808"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417" w:type="dxa"/>
          </w:tcPr>
          <w:p w14:paraId="5C4B7B6A"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c>
          <w:tcPr>
            <w:tcW w:w="1843" w:type="dxa"/>
          </w:tcPr>
          <w:p w14:paraId="56CA698C" w14:textId="77777777" w:rsidR="00E626E2" w:rsidRPr="00FB729E" w:rsidRDefault="00E626E2" w:rsidP="00387838">
            <w:pPr>
              <w:adjustRightInd w:val="0"/>
              <w:snapToGrid w:val="0"/>
              <w:spacing w:line="360" w:lineRule="auto"/>
              <w:textAlignment w:val="center"/>
              <w:rPr>
                <w:rFonts w:ascii="Book Antiqua" w:eastAsia="宋体" w:hAnsi="Book Antiqua" w:cs="宋体"/>
                <w:color w:val="000000"/>
                <w:lang w:bidi="ar"/>
              </w:rPr>
            </w:pPr>
            <w:r w:rsidRPr="00FB729E">
              <w:rPr>
                <w:rFonts w:ascii="Book Antiqua" w:eastAsia="宋体" w:hAnsi="Book Antiqua" w:cs="宋体" w:hint="eastAsia"/>
                <w:color w:val="000000"/>
                <w:lang w:bidi="ar"/>
              </w:rPr>
              <w:t>-</w:t>
            </w:r>
          </w:p>
        </w:tc>
      </w:tr>
      <w:tr w:rsidR="00F17753" w:rsidRPr="00FB729E" w14:paraId="3B78BB7A" w14:textId="77777777" w:rsidTr="00F17753">
        <w:trPr>
          <w:trHeight w:val="280"/>
        </w:trPr>
        <w:tc>
          <w:tcPr>
            <w:tcW w:w="2562" w:type="dxa"/>
            <w:shd w:val="clear" w:color="auto" w:fill="auto"/>
            <w:noWrap/>
            <w:tcMar>
              <w:top w:w="10" w:type="dxa"/>
              <w:left w:w="10" w:type="dxa"/>
              <w:right w:w="10" w:type="dxa"/>
            </w:tcMar>
            <w:vAlign w:val="center"/>
          </w:tcPr>
          <w:p w14:paraId="69D09D60" w14:textId="77777777" w:rsidR="00E626E2" w:rsidRPr="00C56D4F" w:rsidRDefault="00E626E2" w:rsidP="00387838">
            <w:pPr>
              <w:adjustRightInd w:val="0"/>
              <w:snapToGrid w:val="0"/>
              <w:spacing w:line="360" w:lineRule="auto"/>
              <w:textAlignment w:val="center"/>
              <w:rPr>
                <w:rFonts w:ascii="Book Antiqua" w:hAnsi="Book Antiqua"/>
              </w:rPr>
            </w:pPr>
            <w:r w:rsidRPr="00C56D4F">
              <w:rPr>
                <w:rFonts w:ascii="Book Antiqua" w:hAnsi="Book Antiqua"/>
              </w:rPr>
              <w:t>Myopia</w:t>
            </w:r>
          </w:p>
        </w:tc>
        <w:tc>
          <w:tcPr>
            <w:tcW w:w="1559" w:type="dxa"/>
            <w:shd w:val="clear" w:color="auto" w:fill="auto"/>
            <w:noWrap/>
            <w:tcMar>
              <w:top w:w="10" w:type="dxa"/>
              <w:left w:w="10" w:type="dxa"/>
              <w:right w:w="10" w:type="dxa"/>
            </w:tcMar>
            <w:vAlign w:val="center"/>
          </w:tcPr>
          <w:p w14:paraId="0332577A" w14:textId="77777777" w:rsidR="00E626E2" w:rsidRPr="00FB729E" w:rsidRDefault="00E626E2" w:rsidP="00387838">
            <w:pPr>
              <w:adjustRightInd w:val="0"/>
              <w:snapToGrid w:val="0"/>
              <w:spacing w:line="360" w:lineRule="auto"/>
              <w:textAlignment w:val="center"/>
              <w:rPr>
                <w:rFonts w:ascii="Book Antiqua" w:hAnsi="Book Antiqua" w:cs="宋体"/>
                <w:color w:val="000000"/>
                <w:lang w:bidi="ar"/>
              </w:rPr>
            </w:pPr>
            <w:r>
              <w:rPr>
                <w:rFonts w:ascii="Book Antiqua" w:hAnsi="Book Antiqua" w:cs="宋体" w:hint="eastAsia"/>
                <w:color w:val="000000"/>
                <w:lang w:bidi="ar"/>
              </w:rPr>
              <w:t>-</w:t>
            </w:r>
          </w:p>
        </w:tc>
        <w:tc>
          <w:tcPr>
            <w:tcW w:w="1843" w:type="dxa"/>
            <w:shd w:val="clear" w:color="auto" w:fill="auto"/>
            <w:noWrap/>
            <w:tcMar>
              <w:top w:w="10" w:type="dxa"/>
              <w:left w:w="10" w:type="dxa"/>
              <w:right w:w="10" w:type="dxa"/>
            </w:tcMar>
            <w:vAlign w:val="center"/>
          </w:tcPr>
          <w:p w14:paraId="3D529081" w14:textId="77777777" w:rsidR="00E626E2" w:rsidRPr="00FB729E" w:rsidRDefault="00E626E2" w:rsidP="00387838">
            <w:pPr>
              <w:adjustRightInd w:val="0"/>
              <w:snapToGrid w:val="0"/>
              <w:spacing w:line="360" w:lineRule="auto"/>
              <w:textAlignment w:val="center"/>
              <w:rPr>
                <w:rFonts w:ascii="Book Antiqua" w:hAnsi="Book Antiqua" w:cs="宋体"/>
                <w:color w:val="000000"/>
                <w:lang w:bidi="ar"/>
              </w:rPr>
            </w:pPr>
            <w:r>
              <w:rPr>
                <w:rFonts w:ascii="Book Antiqua" w:hAnsi="Book Antiqua" w:cs="宋体" w:hint="eastAsia"/>
                <w:color w:val="000000"/>
              </w:rPr>
              <w:t>+</w:t>
            </w:r>
          </w:p>
        </w:tc>
        <w:tc>
          <w:tcPr>
            <w:tcW w:w="1417" w:type="dxa"/>
            <w:shd w:val="clear" w:color="auto" w:fill="auto"/>
            <w:noWrap/>
            <w:tcMar>
              <w:top w:w="10" w:type="dxa"/>
              <w:left w:w="10" w:type="dxa"/>
              <w:right w:w="10" w:type="dxa"/>
            </w:tcMar>
            <w:vAlign w:val="center"/>
          </w:tcPr>
          <w:p w14:paraId="237E6CA6" w14:textId="77777777" w:rsidR="00E626E2" w:rsidRPr="00FB729E" w:rsidRDefault="00E626E2" w:rsidP="00387838">
            <w:pPr>
              <w:adjustRightInd w:val="0"/>
              <w:snapToGrid w:val="0"/>
              <w:spacing w:line="360" w:lineRule="auto"/>
              <w:textAlignment w:val="center"/>
              <w:rPr>
                <w:rFonts w:ascii="Book Antiqua" w:hAnsi="Book Antiqua" w:cs="宋体"/>
                <w:color w:val="000000"/>
                <w:lang w:bidi="ar"/>
              </w:rPr>
            </w:pPr>
            <w:r>
              <w:rPr>
                <w:rFonts w:ascii="Book Antiqua" w:hAnsi="Book Antiqua" w:cs="宋体" w:hint="eastAsia"/>
                <w:color w:val="000000"/>
              </w:rPr>
              <w:t>+</w:t>
            </w:r>
          </w:p>
        </w:tc>
        <w:tc>
          <w:tcPr>
            <w:tcW w:w="1418" w:type="dxa"/>
            <w:shd w:val="clear" w:color="auto" w:fill="auto"/>
            <w:noWrap/>
            <w:tcMar>
              <w:top w:w="10" w:type="dxa"/>
              <w:left w:w="10" w:type="dxa"/>
              <w:right w:w="10" w:type="dxa"/>
            </w:tcMar>
            <w:vAlign w:val="center"/>
          </w:tcPr>
          <w:p w14:paraId="441AE73C" w14:textId="77777777" w:rsidR="00E626E2" w:rsidRPr="00FB729E" w:rsidRDefault="00E626E2" w:rsidP="00387838">
            <w:pPr>
              <w:adjustRightInd w:val="0"/>
              <w:snapToGrid w:val="0"/>
              <w:spacing w:line="360" w:lineRule="auto"/>
              <w:textAlignment w:val="center"/>
              <w:rPr>
                <w:rFonts w:ascii="Book Antiqua" w:hAnsi="Book Antiqua" w:cs="宋体"/>
                <w:color w:val="000000"/>
                <w:lang w:bidi="ar"/>
              </w:rPr>
            </w:pPr>
            <w:r>
              <w:rPr>
                <w:rFonts w:ascii="Book Antiqua" w:hAnsi="Book Antiqua" w:cs="宋体" w:hint="eastAsia"/>
                <w:color w:val="000000"/>
              </w:rPr>
              <w:t>+</w:t>
            </w:r>
          </w:p>
        </w:tc>
        <w:tc>
          <w:tcPr>
            <w:tcW w:w="1276" w:type="dxa"/>
          </w:tcPr>
          <w:p w14:paraId="5725B4D9" w14:textId="77777777" w:rsidR="00E626E2" w:rsidRPr="00FB729E" w:rsidRDefault="00E626E2" w:rsidP="00387838">
            <w:pPr>
              <w:adjustRightInd w:val="0"/>
              <w:snapToGrid w:val="0"/>
              <w:spacing w:line="360" w:lineRule="auto"/>
              <w:textAlignment w:val="center"/>
              <w:rPr>
                <w:rFonts w:ascii="Book Antiqua" w:hAnsi="Book Antiqua" w:cs="宋体"/>
                <w:color w:val="000000"/>
                <w:lang w:bidi="ar"/>
              </w:rPr>
            </w:pPr>
            <w:r>
              <w:rPr>
                <w:rFonts w:ascii="Book Antiqua" w:hAnsi="Book Antiqua" w:cs="宋体" w:hint="eastAsia"/>
                <w:color w:val="000000"/>
              </w:rPr>
              <w:t>+</w:t>
            </w:r>
          </w:p>
        </w:tc>
        <w:tc>
          <w:tcPr>
            <w:tcW w:w="1417" w:type="dxa"/>
          </w:tcPr>
          <w:p w14:paraId="5C97D0AE" w14:textId="77777777" w:rsidR="00E626E2" w:rsidRPr="00FB729E" w:rsidRDefault="00E626E2" w:rsidP="00387838">
            <w:pPr>
              <w:adjustRightInd w:val="0"/>
              <w:snapToGrid w:val="0"/>
              <w:spacing w:line="360" w:lineRule="auto"/>
              <w:textAlignment w:val="center"/>
              <w:rPr>
                <w:rFonts w:ascii="Book Antiqua" w:hAnsi="Book Antiqua" w:cs="宋体"/>
                <w:color w:val="000000"/>
                <w:lang w:bidi="ar"/>
              </w:rPr>
            </w:pPr>
            <w:r>
              <w:rPr>
                <w:rFonts w:ascii="Book Antiqua" w:hAnsi="Book Antiqua" w:cs="宋体" w:hint="eastAsia"/>
                <w:color w:val="000000"/>
              </w:rPr>
              <w:t>+</w:t>
            </w:r>
          </w:p>
        </w:tc>
        <w:tc>
          <w:tcPr>
            <w:tcW w:w="1843" w:type="dxa"/>
          </w:tcPr>
          <w:p w14:paraId="472D99F9" w14:textId="77777777" w:rsidR="00E626E2" w:rsidRPr="00FB729E" w:rsidRDefault="00E626E2" w:rsidP="00387838">
            <w:pPr>
              <w:adjustRightInd w:val="0"/>
              <w:snapToGrid w:val="0"/>
              <w:spacing w:line="360" w:lineRule="auto"/>
              <w:textAlignment w:val="center"/>
              <w:rPr>
                <w:rFonts w:ascii="Book Antiqua" w:hAnsi="Book Antiqua" w:cs="宋体"/>
                <w:color w:val="000000"/>
                <w:lang w:bidi="ar"/>
              </w:rPr>
            </w:pPr>
            <w:r w:rsidRPr="00C56D4F">
              <w:rPr>
                <w:rFonts w:ascii="Book Antiqua" w:hAnsi="Book Antiqua"/>
              </w:rPr>
              <w:t>NA</w:t>
            </w:r>
          </w:p>
        </w:tc>
      </w:tr>
      <w:tr w:rsidR="00F17753" w:rsidRPr="00C56D4F" w14:paraId="6223208A" w14:textId="77777777" w:rsidTr="00F17753">
        <w:trPr>
          <w:trHeight w:val="280"/>
        </w:trPr>
        <w:tc>
          <w:tcPr>
            <w:tcW w:w="2562" w:type="dxa"/>
            <w:shd w:val="clear" w:color="auto" w:fill="auto"/>
            <w:noWrap/>
            <w:tcMar>
              <w:top w:w="10" w:type="dxa"/>
              <w:left w:w="10" w:type="dxa"/>
              <w:right w:w="10" w:type="dxa"/>
            </w:tcMar>
            <w:vAlign w:val="center"/>
          </w:tcPr>
          <w:p w14:paraId="21BCFEE1" w14:textId="77777777" w:rsidR="00E626E2" w:rsidRPr="00C56D4F" w:rsidRDefault="00E626E2" w:rsidP="00387838">
            <w:pPr>
              <w:adjustRightInd w:val="0"/>
              <w:snapToGrid w:val="0"/>
              <w:spacing w:line="360" w:lineRule="auto"/>
              <w:textAlignment w:val="center"/>
              <w:rPr>
                <w:rFonts w:ascii="Book Antiqua" w:hAnsi="Book Antiqua"/>
              </w:rPr>
            </w:pPr>
            <w:r w:rsidRPr="00C56D4F">
              <w:rPr>
                <w:rFonts w:ascii="Book Antiqua" w:hAnsi="Book Antiqua"/>
              </w:rPr>
              <w:t>Ectopia lentis</w:t>
            </w:r>
          </w:p>
        </w:tc>
        <w:tc>
          <w:tcPr>
            <w:tcW w:w="1559" w:type="dxa"/>
            <w:shd w:val="clear" w:color="auto" w:fill="auto"/>
            <w:noWrap/>
            <w:tcMar>
              <w:top w:w="10" w:type="dxa"/>
              <w:left w:w="10" w:type="dxa"/>
              <w:right w:w="10" w:type="dxa"/>
            </w:tcMar>
            <w:vAlign w:val="center"/>
          </w:tcPr>
          <w:p w14:paraId="6A8AC31F" w14:textId="77777777" w:rsidR="00E626E2" w:rsidRDefault="00E626E2" w:rsidP="00387838">
            <w:pPr>
              <w:adjustRightInd w:val="0"/>
              <w:snapToGrid w:val="0"/>
              <w:spacing w:line="360" w:lineRule="auto"/>
              <w:textAlignment w:val="center"/>
              <w:rPr>
                <w:rFonts w:ascii="Book Antiqua" w:hAnsi="Book Antiqua" w:cs="宋体"/>
                <w:color w:val="000000"/>
                <w:lang w:bidi="ar"/>
              </w:rPr>
            </w:pPr>
            <w:r>
              <w:rPr>
                <w:rFonts w:ascii="Book Antiqua" w:hAnsi="Book Antiqua" w:cs="宋体" w:hint="eastAsia"/>
                <w:color w:val="000000"/>
                <w:lang w:bidi="ar"/>
              </w:rPr>
              <w:t>-</w:t>
            </w:r>
          </w:p>
        </w:tc>
        <w:tc>
          <w:tcPr>
            <w:tcW w:w="1843" w:type="dxa"/>
            <w:shd w:val="clear" w:color="auto" w:fill="auto"/>
            <w:noWrap/>
            <w:tcMar>
              <w:top w:w="10" w:type="dxa"/>
              <w:left w:w="10" w:type="dxa"/>
              <w:right w:w="10" w:type="dxa"/>
            </w:tcMar>
            <w:vAlign w:val="center"/>
          </w:tcPr>
          <w:p w14:paraId="686C5DBE" w14:textId="77777777" w:rsidR="00E626E2" w:rsidRDefault="00E626E2" w:rsidP="00387838">
            <w:pPr>
              <w:adjustRightInd w:val="0"/>
              <w:snapToGrid w:val="0"/>
              <w:spacing w:line="360" w:lineRule="auto"/>
              <w:textAlignment w:val="center"/>
              <w:rPr>
                <w:rFonts w:ascii="Book Antiqua" w:hAnsi="Book Antiqua" w:cs="宋体"/>
                <w:color w:val="000000"/>
              </w:rPr>
            </w:pPr>
            <w:r>
              <w:rPr>
                <w:rFonts w:ascii="Book Antiqua" w:hAnsi="Book Antiqua" w:cs="宋体" w:hint="eastAsia"/>
                <w:color w:val="000000"/>
              </w:rPr>
              <w:t>+</w:t>
            </w:r>
          </w:p>
        </w:tc>
        <w:tc>
          <w:tcPr>
            <w:tcW w:w="1417" w:type="dxa"/>
            <w:shd w:val="clear" w:color="auto" w:fill="auto"/>
            <w:noWrap/>
            <w:tcMar>
              <w:top w:w="10" w:type="dxa"/>
              <w:left w:w="10" w:type="dxa"/>
              <w:right w:w="10" w:type="dxa"/>
            </w:tcMar>
            <w:vAlign w:val="center"/>
          </w:tcPr>
          <w:p w14:paraId="205527EE" w14:textId="77777777" w:rsidR="00E626E2" w:rsidRDefault="00E626E2" w:rsidP="00387838">
            <w:pPr>
              <w:adjustRightInd w:val="0"/>
              <w:snapToGrid w:val="0"/>
              <w:spacing w:line="360" w:lineRule="auto"/>
              <w:textAlignment w:val="center"/>
              <w:rPr>
                <w:rFonts w:ascii="Book Antiqua" w:hAnsi="Book Antiqua" w:cs="宋体"/>
                <w:color w:val="000000"/>
              </w:rPr>
            </w:pPr>
            <w:r>
              <w:rPr>
                <w:rFonts w:ascii="Book Antiqua" w:hAnsi="Book Antiqua" w:cs="宋体" w:hint="eastAsia"/>
                <w:color w:val="000000"/>
              </w:rPr>
              <w:t>+</w:t>
            </w:r>
          </w:p>
        </w:tc>
        <w:tc>
          <w:tcPr>
            <w:tcW w:w="1418" w:type="dxa"/>
            <w:shd w:val="clear" w:color="auto" w:fill="auto"/>
            <w:noWrap/>
            <w:tcMar>
              <w:top w:w="10" w:type="dxa"/>
              <w:left w:w="10" w:type="dxa"/>
              <w:right w:w="10" w:type="dxa"/>
            </w:tcMar>
            <w:vAlign w:val="center"/>
          </w:tcPr>
          <w:p w14:paraId="7DE98A22" w14:textId="77777777" w:rsidR="00E626E2" w:rsidRDefault="00E626E2" w:rsidP="00387838">
            <w:pPr>
              <w:adjustRightInd w:val="0"/>
              <w:snapToGrid w:val="0"/>
              <w:spacing w:line="360" w:lineRule="auto"/>
              <w:textAlignment w:val="center"/>
              <w:rPr>
                <w:rFonts w:ascii="Book Antiqua" w:hAnsi="Book Antiqua" w:cs="宋体"/>
                <w:color w:val="000000"/>
              </w:rPr>
            </w:pPr>
            <w:r>
              <w:rPr>
                <w:rFonts w:ascii="Book Antiqua" w:hAnsi="Book Antiqua" w:cs="宋体" w:hint="eastAsia"/>
                <w:color w:val="000000"/>
              </w:rPr>
              <w:t>+</w:t>
            </w:r>
          </w:p>
        </w:tc>
        <w:tc>
          <w:tcPr>
            <w:tcW w:w="1276" w:type="dxa"/>
          </w:tcPr>
          <w:p w14:paraId="03652ECB" w14:textId="77777777" w:rsidR="00E626E2" w:rsidRDefault="00E626E2" w:rsidP="00387838">
            <w:pPr>
              <w:adjustRightInd w:val="0"/>
              <w:snapToGrid w:val="0"/>
              <w:spacing w:line="360" w:lineRule="auto"/>
              <w:textAlignment w:val="center"/>
              <w:rPr>
                <w:rFonts w:ascii="Book Antiqua" w:hAnsi="Book Antiqua" w:cs="宋体"/>
                <w:color w:val="000000"/>
              </w:rPr>
            </w:pPr>
            <w:r>
              <w:rPr>
                <w:rFonts w:ascii="Book Antiqua" w:hAnsi="Book Antiqua" w:cs="宋体" w:hint="eastAsia"/>
                <w:color w:val="000000"/>
              </w:rPr>
              <w:t>+</w:t>
            </w:r>
          </w:p>
        </w:tc>
        <w:tc>
          <w:tcPr>
            <w:tcW w:w="1417" w:type="dxa"/>
          </w:tcPr>
          <w:p w14:paraId="5BC0DF90" w14:textId="77777777" w:rsidR="00E626E2" w:rsidRDefault="00E626E2" w:rsidP="00387838">
            <w:pPr>
              <w:adjustRightInd w:val="0"/>
              <w:snapToGrid w:val="0"/>
              <w:spacing w:line="360" w:lineRule="auto"/>
              <w:textAlignment w:val="center"/>
              <w:rPr>
                <w:rFonts w:ascii="Book Antiqua" w:hAnsi="Book Antiqua" w:cs="宋体"/>
                <w:color w:val="000000"/>
              </w:rPr>
            </w:pPr>
            <w:r>
              <w:rPr>
                <w:rFonts w:ascii="Book Antiqua" w:hAnsi="Book Antiqua" w:cs="宋体" w:hint="eastAsia"/>
                <w:color w:val="000000"/>
              </w:rPr>
              <w:t>+</w:t>
            </w:r>
          </w:p>
        </w:tc>
        <w:tc>
          <w:tcPr>
            <w:tcW w:w="1843" w:type="dxa"/>
          </w:tcPr>
          <w:p w14:paraId="114D6B89" w14:textId="77777777" w:rsidR="00E626E2" w:rsidRPr="00C56D4F" w:rsidRDefault="00E626E2" w:rsidP="00387838">
            <w:pPr>
              <w:adjustRightInd w:val="0"/>
              <w:snapToGrid w:val="0"/>
              <w:spacing w:line="360" w:lineRule="auto"/>
              <w:textAlignment w:val="center"/>
              <w:rPr>
                <w:rFonts w:ascii="Book Antiqua" w:hAnsi="Book Antiqua"/>
              </w:rPr>
            </w:pPr>
            <w:r w:rsidRPr="00C56D4F">
              <w:rPr>
                <w:rFonts w:ascii="Book Antiqua" w:hAnsi="Book Antiqua"/>
              </w:rPr>
              <w:t>NA</w:t>
            </w:r>
          </w:p>
        </w:tc>
      </w:tr>
      <w:tr w:rsidR="00F17753" w:rsidRPr="00C56D4F" w14:paraId="07006588" w14:textId="77777777" w:rsidTr="00F17753">
        <w:trPr>
          <w:trHeight w:val="280"/>
        </w:trPr>
        <w:tc>
          <w:tcPr>
            <w:tcW w:w="2562" w:type="dxa"/>
            <w:shd w:val="clear" w:color="auto" w:fill="auto"/>
            <w:noWrap/>
            <w:tcMar>
              <w:top w:w="10" w:type="dxa"/>
              <w:left w:w="10" w:type="dxa"/>
              <w:right w:w="10" w:type="dxa"/>
            </w:tcMar>
            <w:vAlign w:val="center"/>
          </w:tcPr>
          <w:p w14:paraId="78A429B1" w14:textId="77777777" w:rsidR="00E626E2" w:rsidRPr="00C56D4F" w:rsidRDefault="00E626E2" w:rsidP="00387838">
            <w:pPr>
              <w:adjustRightInd w:val="0"/>
              <w:snapToGrid w:val="0"/>
              <w:spacing w:line="360" w:lineRule="auto"/>
              <w:textAlignment w:val="center"/>
              <w:rPr>
                <w:rFonts w:ascii="Book Antiqua" w:hAnsi="Book Antiqua"/>
              </w:rPr>
            </w:pPr>
            <w:r w:rsidRPr="00AD0793">
              <w:rPr>
                <w:rFonts w:ascii="Book Antiqua" w:hAnsi="Book Antiqua"/>
              </w:rPr>
              <w:t>Thyroid hypofunction</w:t>
            </w:r>
          </w:p>
        </w:tc>
        <w:tc>
          <w:tcPr>
            <w:tcW w:w="1559" w:type="dxa"/>
            <w:shd w:val="clear" w:color="auto" w:fill="auto"/>
            <w:noWrap/>
            <w:tcMar>
              <w:top w:w="10" w:type="dxa"/>
              <w:left w:w="10" w:type="dxa"/>
              <w:right w:w="10" w:type="dxa"/>
            </w:tcMar>
            <w:vAlign w:val="center"/>
          </w:tcPr>
          <w:p w14:paraId="4CE06A27" w14:textId="77777777" w:rsidR="00E626E2" w:rsidRDefault="00E626E2" w:rsidP="00387838">
            <w:pPr>
              <w:adjustRightInd w:val="0"/>
              <w:snapToGrid w:val="0"/>
              <w:spacing w:line="360" w:lineRule="auto"/>
              <w:textAlignment w:val="center"/>
              <w:rPr>
                <w:rFonts w:ascii="Book Antiqua" w:hAnsi="Book Antiqua" w:cs="宋体"/>
                <w:color w:val="000000"/>
                <w:lang w:bidi="ar"/>
              </w:rPr>
            </w:pPr>
            <w:r>
              <w:rPr>
                <w:rFonts w:ascii="Book Antiqua" w:hAnsi="Book Antiqua" w:cs="宋体" w:hint="eastAsia"/>
                <w:color w:val="000000"/>
                <w:lang w:bidi="ar"/>
              </w:rPr>
              <w:t>+</w:t>
            </w:r>
          </w:p>
        </w:tc>
        <w:tc>
          <w:tcPr>
            <w:tcW w:w="1843" w:type="dxa"/>
            <w:shd w:val="clear" w:color="auto" w:fill="auto"/>
            <w:noWrap/>
            <w:tcMar>
              <w:top w:w="10" w:type="dxa"/>
              <w:left w:w="10" w:type="dxa"/>
              <w:right w:w="10" w:type="dxa"/>
            </w:tcMar>
            <w:vAlign w:val="center"/>
          </w:tcPr>
          <w:p w14:paraId="585547F0" w14:textId="77777777" w:rsidR="00E626E2" w:rsidRDefault="00E626E2" w:rsidP="00387838">
            <w:pPr>
              <w:adjustRightInd w:val="0"/>
              <w:snapToGrid w:val="0"/>
              <w:spacing w:line="360" w:lineRule="auto"/>
              <w:textAlignment w:val="center"/>
              <w:rPr>
                <w:rFonts w:ascii="Book Antiqua" w:hAnsi="Book Antiqua" w:cs="宋体"/>
                <w:color w:val="000000"/>
              </w:rPr>
            </w:pPr>
            <w:r>
              <w:rPr>
                <w:rFonts w:ascii="Book Antiqua" w:hAnsi="Book Antiqua" w:cs="宋体" w:hint="eastAsia"/>
                <w:color w:val="000000"/>
              </w:rPr>
              <w:t>-</w:t>
            </w:r>
          </w:p>
        </w:tc>
        <w:tc>
          <w:tcPr>
            <w:tcW w:w="1417" w:type="dxa"/>
            <w:shd w:val="clear" w:color="auto" w:fill="auto"/>
            <w:noWrap/>
            <w:tcMar>
              <w:top w:w="10" w:type="dxa"/>
              <w:left w:w="10" w:type="dxa"/>
              <w:right w:w="10" w:type="dxa"/>
            </w:tcMar>
            <w:vAlign w:val="center"/>
          </w:tcPr>
          <w:p w14:paraId="5AB59FFF" w14:textId="77777777" w:rsidR="00E626E2" w:rsidRDefault="00E626E2" w:rsidP="00387838">
            <w:pPr>
              <w:adjustRightInd w:val="0"/>
              <w:snapToGrid w:val="0"/>
              <w:spacing w:line="360" w:lineRule="auto"/>
              <w:textAlignment w:val="center"/>
              <w:rPr>
                <w:rFonts w:ascii="Book Antiqua" w:hAnsi="Book Antiqua" w:cs="宋体"/>
                <w:color w:val="000000"/>
              </w:rPr>
            </w:pPr>
            <w:r>
              <w:rPr>
                <w:rFonts w:ascii="Book Antiqua" w:hAnsi="Book Antiqua" w:cs="宋体" w:hint="eastAsia"/>
                <w:color w:val="000000"/>
              </w:rPr>
              <w:t>+</w:t>
            </w:r>
          </w:p>
        </w:tc>
        <w:tc>
          <w:tcPr>
            <w:tcW w:w="1418" w:type="dxa"/>
            <w:shd w:val="clear" w:color="auto" w:fill="auto"/>
            <w:noWrap/>
            <w:tcMar>
              <w:top w:w="10" w:type="dxa"/>
              <w:left w:w="10" w:type="dxa"/>
              <w:right w:w="10" w:type="dxa"/>
            </w:tcMar>
            <w:vAlign w:val="center"/>
          </w:tcPr>
          <w:p w14:paraId="04C7E35D" w14:textId="77777777" w:rsidR="00E626E2" w:rsidRDefault="00E626E2" w:rsidP="00387838">
            <w:pPr>
              <w:adjustRightInd w:val="0"/>
              <w:snapToGrid w:val="0"/>
              <w:spacing w:line="360" w:lineRule="auto"/>
              <w:textAlignment w:val="center"/>
              <w:rPr>
                <w:rFonts w:ascii="Book Antiqua" w:hAnsi="Book Antiqua" w:cs="宋体"/>
                <w:color w:val="000000"/>
              </w:rPr>
            </w:pPr>
            <w:r w:rsidRPr="00AD0793">
              <w:rPr>
                <w:rFonts w:ascii="Book Antiqua" w:hAnsi="Book Antiqua"/>
              </w:rPr>
              <w:t>NA</w:t>
            </w:r>
          </w:p>
        </w:tc>
        <w:tc>
          <w:tcPr>
            <w:tcW w:w="1276" w:type="dxa"/>
          </w:tcPr>
          <w:p w14:paraId="036A2594" w14:textId="77777777" w:rsidR="00E626E2" w:rsidRDefault="00E626E2" w:rsidP="00387838">
            <w:pPr>
              <w:adjustRightInd w:val="0"/>
              <w:snapToGrid w:val="0"/>
              <w:spacing w:line="360" w:lineRule="auto"/>
              <w:textAlignment w:val="center"/>
              <w:rPr>
                <w:rFonts w:ascii="Book Antiqua" w:hAnsi="Book Antiqua" w:cs="宋体"/>
                <w:color w:val="000000"/>
              </w:rPr>
            </w:pPr>
            <w:r w:rsidRPr="00AD0793">
              <w:rPr>
                <w:rFonts w:ascii="Book Antiqua" w:hAnsi="Book Antiqua"/>
              </w:rPr>
              <w:t>NA</w:t>
            </w:r>
          </w:p>
        </w:tc>
        <w:tc>
          <w:tcPr>
            <w:tcW w:w="1417" w:type="dxa"/>
          </w:tcPr>
          <w:p w14:paraId="1A305A7C" w14:textId="77777777" w:rsidR="00E626E2" w:rsidRDefault="00E626E2" w:rsidP="00387838">
            <w:pPr>
              <w:adjustRightInd w:val="0"/>
              <w:snapToGrid w:val="0"/>
              <w:spacing w:line="360" w:lineRule="auto"/>
              <w:textAlignment w:val="center"/>
              <w:rPr>
                <w:rFonts w:ascii="Book Antiqua" w:hAnsi="Book Antiqua" w:cs="宋体"/>
                <w:color w:val="000000"/>
              </w:rPr>
            </w:pPr>
            <w:r w:rsidRPr="00AD0793">
              <w:rPr>
                <w:rFonts w:ascii="Book Antiqua" w:hAnsi="Book Antiqua"/>
              </w:rPr>
              <w:t>NA</w:t>
            </w:r>
          </w:p>
        </w:tc>
        <w:tc>
          <w:tcPr>
            <w:tcW w:w="1843" w:type="dxa"/>
          </w:tcPr>
          <w:p w14:paraId="4C0C17F8" w14:textId="77777777" w:rsidR="00E626E2" w:rsidRPr="00C56D4F" w:rsidRDefault="00E626E2" w:rsidP="00387838">
            <w:pPr>
              <w:adjustRightInd w:val="0"/>
              <w:snapToGrid w:val="0"/>
              <w:spacing w:line="360" w:lineRule="auto"/>
              <w:textAlignment w:val="center"/>
              <w:rPr>
                <w:rFonts w:ascii="Book Antiqua" w:hAnsi="Book Antiqua"/>
              </w:rPr>
            </w:pPr>
            <w:r w:rsidRPr="00AD0793">
              <w:rPr>
                <w:rFonts w:ascii="Book Antiqua" w:hAnsi="Book Antiqua"/>
              </w:rPr>
              <w:t>NA</w:t>
            </w:r>
          </w:p>
        </w:tc>
      </w:tr>
      <w:tr w:rsidR="00F17753" w:rsidRPr="00C56D4F" w14:paraId="551123ED" w14:textId="77777777" w:rsidTr="00F17753">
        <w:trPr>
          <w:trHeight w:val="280"/>
        </w:trPr>
        <w:tc>
          <w:tcPr>
            <w:tcW w:w="2562" w:type="dxa"/>
            <w:shd w:val="clear" w:color="auto" w:fill="auto"/>
            <w:noWrap/>
            <w:tcMar>
              <w:top w:w="10" w:type="dxa"/>
              <w:left w:w="10" w:type="dxa"/>
              <w:right w:w="10" w:type="dxa"/>
            </w:tcMar>
            <w:vAlign w:val="center"/>
          </w:tcPr>
          <w:p w14:paraId="3543BD1E" w14:textId="77777777" w:rsidR="00E626E2" w:rsidRPr="00C56D4F" w:rsidRDefault="00E626E2" w:rsidP="00387838">
            <w:pPr>
              <w:adjustRightInd w:val="0"/>
              <w:snapToGrid w:val="0"/>
              <w:spacing w:line="360" w:lineRule="auto"/>
              <w:textAlignment w:val="center"/>
              <w:rPr>
                <w:rFonts w:ascii="Book Antiqua" w:hAnsi="Book Antiqua"/>
              </w:rPr>
            </w:pPr>
            <w:r w:rsidRPr="00AD0793">
              <w:rPr>
                <w:rFonts w:ascii="Book Antiqua" w:hAnsi="Book Antiqua"/>
              </w:rPr>
              <w:t>Hepatosplenomegaly</w:t>
            </w:r>
          </w:p>
        </w:tc>
        <w:tc>
          <w:tcPr>
            <w:tcW w:w="1559" w:type="dxa"/>
            <w:shd w:val="clear" w:color="auto" w:fill="auto"/>
            <w:noWrap/>
            <w:tcMar>
              <w:top w:w="10" w:type="dxa"/>
              <w:left w:w="10" w:type="dxa"/>
              <w:right w:w="10" w:type="dxa"/>
            </w:tcMar>
            <w:vAlign w:val="center"/>
          </w:tcPr>
          <w:p w14:paraId="02BAEFE9" w14:textId="77777777" w:rsidR="00E626E2" w:rsidRDefault="00E626E2" w:rsidP="00387838">
            <w:pPr>
              <w:adjustRightInd w:val="0"/>
              <w:snapToGrid w:val="0"/>
              <w:spacing w:line="360" w:lineRule="auto"/>
              <w:textAlignment w:val="center"/>
              <w:rPr>
                <w:rFonts w:ascii="Book Antiqua" w:hAnsi="Book Antiqua" w:cs="宋体"/>
                <w:color w:val="000000"/>
                <w:lang w:bidi="ar"/>
              </w:rPr>
            </w:pPr>
            <w:r>
              <w:rPr>
                <w:rFonts w:ascii="Book Antiqua" w:hAnsi="Book Antiqua" w:cs="宋体" w:hint="eastAsia"/>
                <w:color w:val="000000"/>
                <w:lang w:bidi="ar"/>
              </w:rPr>
              <w:t>-</w:t>
            </w:r>
          </w:p>
        </w:tc>
        <w:tc>
          <w:tcPr>
            <w:tcW w:w="1843" w:type="dxa"/>
            <w:shd w:val="clear" w:color="auto" w:fill="auto"/>
            <w:noWrap/>
            <w:tcMar>
              <w:top w:w="10" w:type="dxa"/>
              <w:left w:w="10" w:type="dxa"/>
              <w:right w:w="10" w:type="dxa"/>
            </w:tcMar>
            <w:vAlign w:val="center"/>
          </w:tcPr>
          <w:p w14:paraId="5892601C" w14:textId="77777777" w:rsidR="00E626E2" w:rsidRDefault="00E626E2" w:rsidP="00387838">
            <w:pPr>
              <w:adjustRightInd w:val="0"/>
              <w:snapToGrid w:val="0"/>
              <w:spacing w:line="360" w:lineRule="auto"/>
              <w:textAlignment w:val="center"/>
              <w:rPr>
                <w:rFonts w:ascii="Book Antiqua" w:hAnsi="Book Antiqua" w:cs="宋体"/>
                <w:color w:val="000000"/>
              </w:rPr>
            </w:pPr>
            <w:r>
              <w:rPr>
                <w:rFonts w:ascii="Book Antiqua" w:hAnsi="Book Antiqua" w:cs="宋体" w:hint="eastAsia"/>
                <w:color w:val="000000"/>
              </w:rPr>
              <w:t>-</w:t>
            </w:r>
          </w:p>
        </w:tc>
        <w:tc>
          <w:tcPr>
            <w:tcW w:w="1417" w:type="dxa"/>
            <w:shd w:val="clear" w:color="auto" w:fill="auto"/>
            <w:noWrap/>
            <w:tcMar>
              <w:top w:w="10" w:type="dxa"/>
              <w:left w:w="10" w:type="dxa"/>
              <w:right w:w="10" w:type="dxa"/>
            </w:tcMar>
            <w:vAlign w:val="center"/>
          </w:tcPr>
          <w:p w14:paraId="027E014C" w14:textId="77777777" w:rsidR="00E626E2" w:rsidRDefault="00E626E2" w:rsidP="00387838">
            <w:pPr>
              <w:adjustRightInd w:val="0"/>
              <w:snapToGrid w:val="0"/>
              <w:spacing w:line="360" w:lineRule="auto"/>
              <w:textAlignment w:val="center"/>
              <w:rPr>
                <w:rFonts w:ascii="Book Antiqua" w:hAnsi="Book Antiqua" w:cs="宋体"/>
                <w:color w:val="000000"/>
              </w:rPr>
            </w:pPr>
            <w:r>
              <w:rPr>
                <w:rFonts w:ascii="Book Antiqua" w:hAnsi="Book Antiqua" w:hint="eastAsia"/>
              </w:rPr>
              <w:t>-</w:t>
            </w:r>
          </w:p>
        </w:tc>
        <w:tc>
          <w:tcPr>
            <w:tcW w:w="1418" w:type="dxa"/>
            <w:shd w:val="clear" w:color="auto" w:fill="auto"/>
            <w:noWrap/>
            <w:tcMar>
              <w:top w:w="10" w:type="dxa"/>
              <w:left w:w="10" w:type="dxa"/>
              <w:right w:w="10" w:type="dxa"/>
            </w:tcMar>
            <w:vAlign w:val="center"/>
          </w:tcPr>
          <w:p w14:paraId="37047309" w14:textId="77777777" w:rsidR="00E626E2" w:rsidRDefault="00E626E2" w:rsidP="00387838">
            <w:pPr>
              <w:adjustRightInd w:val="0"/>
              <w:snapToGrid w:val="0"/>
              <w:spacing w:line="360" w:lineRule="auto"/>
              <w:textAlignment w:val="center"/>
              <w:rPr>
                <w:rFonts w:ascii="Book Antiqua" w:hAnsi="Book Antiqua" w:cs="宋体"/>
                <w:color w:val="000000"/>
              </w:rPr>
            </w:pPr>
            <w:r w:rsidRPr="00AD0793">
              <w:rPr>
                <w:rFonts w:ascii="Book Antiqua" w:hAnsi="Book Antiqua"/>
              </w:rPr>
              <w:t>NA</w:t>
            </w:r>
          </w:p>
        </w:tc>
        <w:tc>
          <w:tcPr>
            <w:tcW w:w="1276" w:type="dxa"/>
          </w:tcPr>
          <w:p w14:paraId="40BE037A" w14:textId="77777777" w:rsidR="00E626E2" w:rsidRPr="004F51B6" w:rsidRDefault="00E626E2" w:rsidP="00387838">
            <w:pPr>
              <w:adjustRightInd w:val="0"/>
              <w:snapToGrid w:val="0"/>
              <w:spacing w:line="360" w:lineRule="auto"/>
              <w:textAlignment w:val="center"/>
              <w:rPr>
                <w:rFonts w:ascii="Book Antiqua" w:eastAsia="宋体" w:hAnsi="Book Antiqua"/>
              </w:rPr>
            </w:pPr>
            <w:r w:rsidRPr="00AD0793">
              <w:rPr>
                <w:rFonts w:ascii="Book Antiqua" w:hAnsi="Book Antiqua"/>
              </w:rPr>
              <w:t>NA</w:t>
            </w:r>
          </w:p>
        </w:tc>
        <w:tc>
          <w:tcPr>
            <w:tcW w:w="1417" w:type="dxa"/>
          </w:tcPr>
          <w:p w14:paraId="54983CAE" w14:textId="77777777" w:rsidR="00E626E2" w:rsidRPr="004F51B6" w:rsidRDefault="00E626E2" w:rsidP="00387838">
            <w:pPr>
              <w:adjustRightInd w:val="0"/>
              <w:snapToGrid w:val="0"/>
              <w:spacing w:line="360" w:lineRule="auto"/>
              <w:textAlignment w:val="center"/>
              <w:rPr>
                <w:rFonts w:ascii="Book Antiqua" w:eastAsia="宋体" w:hAnsi="Book Antiqua"/>
              </w:rPr>
            </w:pPr>
            <w:r w:rsidRPr="00AD0793">
              <w:rPr>
                <w:rFonts w:ascii="Book Antiqua" w:hAnsi="Book Antiqua"/>
              </w:rPr>
              <w:t>NA</w:t>
            </w:r>
          </w:p>
        </w:tc>
        <w:tc>
          <w:tcPr>
            <w:tcW w:w="1843" w:type="dxa"/>
          </w:tcPr>
          <w:p w14:paraId="6F5CC57C" w14:textId="77777777" w:rsidR="00E626E2" w:rsidRPr="00C56D4F" w:rsidRDefault="00E626E2" w:rsidP="00387838">
            <w:pPr>
              <w:adjustRightInd w:val="0"/>
              <w:snapToGrid w:val="0"/>
              <w:spacing w:line="360" w:lineRule="auto"/>
              <w:textAlignment w:val="center"/>
              <w:rPr>
                <w:rFonts w:ascii="Book Antiqua" w:hAnsi="Book Antiqua"/>
              </w:rPr>
            </w:pPr>
            <w:r w:rsidRPr="00627AEB">
              <w:rPr>
                <w:rFonts w:ascii="Book Antiqua" w:hAnsi="Book Antiqua"/>
              </w:rPr>
              <w:t>NA</w:t>
            </w:r>
          </w:p>
        </w:tc>
      </w:tr>
    </w:tbl>
    <w:p w14:paraId="50950290" w14:textId="77777777" w:rsidR="008A053B" w:rsidRDefault="00C56D4F" w:rsidP="001773C8">
      <w:pPr>
        <w:pStyle w:val="1"/>
        <w:adjustRightInd w:val="0"/>
        <w:snapToGrid w:val="0"/>
        <w:spacing w:line="360" w:lineRule="auto"/>
        <w:rPr>
          <w:rFonts w:ascii="Book Antiqua" w:eastAsia="Book Antiqua" w:hAnsi="Book Antiqua" w:cs="Book Antiqua"/>
          <w:color w:val="000000" w:themeColor="text1"/>
          <w:sz w:val="24"/>
          <w:szCs w:val="24"/>
        </w:rPr>
        <w:sectPr w:rsidR="008A053B" w:rsidSect="00C56D4F">
          <w:pgSz w:w="15840" w:h="12240" w:orient="landscape"/>
          <w:pgMar w:top="1440" w:right="1440" w:bottom="1440" w:left="1440" w:header="720" w:footer="720" w:gutter="0"/>
          <w:cols w:space="720"/>
          <w:docGrid w:linePitch="360"/>
        </w:sectPr>
      </w:pPr>
      <w:r w:rsidRPr="00AD0793">
        <w:rPr>
          <w:rFonts w:ascii="Book Antiqua" w:hAnsi="Book Antiqua"/>
          <w:sz w:val="24"/>
          <w:szCs w:val="24"/>
        </w:rPr>
        <w:t>NA: Not available</w:t>
      </w:r>
      <w:r w:rsidR="001773C8">
        <w:rPr>
          <w:rFonts w:ascii="Book Antiqua" w:hAnsi="Book Antiqua"/>
          <w:sz w:val="24"/>
          <w:szCs w:val="24"/>
        </w:rPr>
        <w:t xml:space="preserve">; </w:t>
      </w:r>
      <w:r w:rsidR="001773C8" w:rsidRPr="004A40AA">
        <w:rPr>
          <w:rFonts w:ascii="Book Antiqua" w:hAnsi="Book Antiqua"/>
          <w:color w:val="000000" w:themeColor="text1"/>
          <w:sz w:val="24"/>
          <w:szCs w:val="24"/>
        </w:rPr>
        <w:t xml:space="preserve">GD: </w:t>
      </w:r>
      <w:r w:rsidR="001773C8" w:rsidRPr="004A40AA">
        <w:rPr>
          <w:rFonts w:ascii="Book Antiqua" w:eastAsia="Book Antiqua" w:hAnsi="Book Antiqua" w:cs="Book Antiqua"/>
          <w:color w:val="000000" w:themeColor="text1"/>
          <w:sz w:val="24"/>
          <w:szCs w:val="24"/>
        </w:rPr>
        <w:t>Geleophysic dysplasia; WMS: Weill-Marchesani syndrome.</w:t>
      </w:r>
    </w:p>
    <w:p w14:paraId="5F96BD0E" w14:textId="77777777" w:rsidR="008A053B" w:rsidRDefault="008A053B" w:rsidP="008A053B">
      <w:pPr>
        <w:jc w:val="center"/>
        <w:rPr>
          <w:rFonts w:ascii="Book Antiqua" w:hAnsi="Book Antiqua"/>
          <w:lang w:eastAsia="zh-CN"/>
        </w:rPr>
      </w:pPr>
    </w:p>
    <w:p w14:paraId="34DFA704" w14:textId="77777777" w:rsidR="008A053B" w:rsidRDefault="008A053B" w:rsidP="008A053B">
      <w:pPr>
        <w:jc w:val="center"/>
        <w:rPr>
          <w:rFonts w:ascii="Book Antiqua" w:hAnsi="Book Antiqua"/>
          <w:lang w:eastAsia="zh-CN"/>
        </w:rPr>
      </w:pPr>
    </w:p>
    <w:p w14:paraId="031711A2" w14:textId="77777777" w:rsidR="008A053B" w:rsidRDefault="008A053B" w:rsidP="008A053B">
      <w:pPr>
        <w:jc w:val="center"/>
        <w:rPr>
          <w:rFonts w:ascii="Book Antiqua" w:hAnsi="Book Antiqua"/>
          <w:lang w:eastAsia="zh-CN"/>
        </w:rPr>
      </w:pPr>
    </w:p>
    <w:p w14:paraId="270C2AC7" w14:textId="77777777" w:rsidR="008A053B" w:rsidRDefault="008A053B" w:rsidP="008A053B">
      <w:pPr>
        <w:jc w:val="center"/>
        <w:rPr>
          <w:rFonts w:ascii="Book Antiqua" w:hAnsi="Book Antiqua"/>
          <w:lang w:eastAsia="zh-CN"/>
        </w:rPr>
      </w:pPr>
    </w:p>
    <w:p w14:paraId="18D1CD3E" w14:textId="77777777" w:rsidR="008A053B" w:rsidRDefault="008A053B" w:rsidP="008A053B">
      <w:pPr>
        <w:jc w:val="center"/>
        <w:rPr>
          <w:rFonts w:ascii="Book Antiqua" w:hAnsi="Book Antiqua"/>
          <w:lang w:eastAsia="zh-CN"/>
        </w:rPr>
      </w:pPr>
    </w:p>
    <w:p w14:paraId="43BB8FCD" w14:textId="77777777" w:rsidR="008A053B" w:rsidRDefault="008A053B" w:rsidP="008A053B">
      <w:pPr>
        <w:jc w:val="center"/>
        <w:rPr>
          <w:rFonts w:ascii="Book Antiqua" w:hAnsi="Book Antiqua"/>
          <w:lang w:eastAsia="zh-CN"/>
        </w:rPr>
      </w:pPr>
      <w:r>
        <w:rPr>
          <w:rFonts w:ascii="Book Antiqua" w:hAnsi="Book Antiqua"/>
          <w:noProof/>
          <w:lang w:eastAsia="zh-CN"/>
        </w:rPr>
        <w:drawing>
          <wp:inline distT="0" distB="0" distL="0" distR="0" wp14:anchorId="740339E3" wp14:editId="3AD0A12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D8881DE" w14:textId="77777777" w:rsidR="008A053B" w:rsidRDefault="008A053B" w:rsidP="008A053B">
      <w:pPr>
        <w:jc w:val="center"/>
        <w:rPr>
          <w:rFonts w:ascii="Book Antiqua" w:hAnsi="Book Antiqua"/>
          <w:lang w:eastAsia="zh-CN"/>
        </w:rPr>
      </w:pPr>
    </w:p>
    <w:p w14:paraId="48EAE5AF" w14:textId="77777777" w:rsidR="008A053B" w:rsidRPr="00763D22" w:rsidRDefault="008A053B" w:rsidP="008A053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67A41B6" w14:textId="77777777" w:rsidR="008A053B" w:rsidRPr="00763D22" w:rsidRDefault="008A053B" w:rsidP="008A053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B37ECD6" w14:textId="77777777" w:rsidR="008A053B" w:rsidRPr="00763D22" w:rsidRDefault="008A053B" w:rsidP="008A053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B85A20A" w14:textId="77777777" w:rsidR="008A053B" w:rsidRPr="00763D22" w:rsidRDefault="008A053B" w:rsidP="008A053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0A61A60" w14:textId="77777777" w:rsidR="008A053B" w:rsidRPr="00763D22" w:rsidRDefault="008A053B" w:rsidP="008A053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F4E85F4" w14:textId="77777777" w:rsidR="008A053B" w:rsidRPr="00763D22" w:rsidRDefault="008A053B" w:rsidP="008A053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275BA82" w14:textId="77777777" w:rsidR="008A053B" w:rsidRDefault="008A053B" w:rsidP="008A053B">
      <w:pPr>
        <w:jc w:val="center"/>
        <w:rPr>
          <w:rFonts w:ascii="Book Antiqua" w:hAnsi="Book Antiqua"/>
          <w:lang w:eastAsia="zh-CN"/>
        </w:rPr>
      </w:pPr>
    </w:p>
    <w:p w14:paraId="4980D109" w14:textId="77777777" w:rsidR="008A053B" w:rsidRDefault="008A053B" w:rsidP="008A053B">
      <w:pPr>
        <w:jc w:val="center"/>
        <w:rPr>
          <w:rFonts w:ascii="Book Antiqua" w:hAnsi="Book Antiqua"/>
          <w:lang w:eastAsia="zh-CN"/>
        </w:rPr>
      </w:pPr>
    </w:p>
    <w:p w14:paraId="6DE02EDE" w14:textId="77777777" w:rsidR="008A053B" w:rsidRDefault="008A053B" w:rsidP="008A053B">
      <w:pPr>
        <w:jc w:val="center"/>
        <w:rPr>
          <w:rFonts w:ascii="Book Antiqua" w:hAnsi="Book Antiqua"/>
          <w:lang w:eastAsia="zh-CN"/>
        </w:rPr>
      </w:pPr>
    </w:p>
    <w:p w14:paraId="4C72EA5E" w14:textId="77777777" w:rsidR="008A053B" w:rsidRDefault="008A053B" w:rsidP="008A053B">
      <w:pPr>
        <w:jc w:val="center"/>
        <w:rPr>
          <w:rFonts w:ascii="Book Antiqua" w:hAnsi="Book Antiqua"/>
          <w:lang w:eastAsia="zh-CN"/>
        </w:rPr>
      </w:pPr>
      <w:r>
        <w:rPr>
          <w:rFonts w:ascii="Book Antiqua" w:hAnsi="Book Antiqua"/>
          <w:noProof/>
          <w:lang w:eastAsia="zh-CN"/>
        </w:rPr>
        <w:drawing>
          <wp:inline distT="0" distB="0" distL="0" distR="0" wp14:anchorId="70C3B114" wp14:editId="1E6D50E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F95EB64" w14:textId="77777777" w:rsidR="008A053B" w:rsidRDefault="008A053B" w:rsidP="008A053B">
      <w:pPr>
        <w:jc w:val="center"/>
        <w:rPr>
          <w:rFonts w:ascii="Book Antiqua" w:hAnsi="Book Antiqua"/>
          <w:lang w:eastAsia="zh-CN"/>
        </w:rPr>
      </w:pPr>
    </w:p>
    <w:p w14:paraId="657453F6" w14:textId="77777777" w:rsidR="008A053B" w:rsidRDefault="008A053B" w:rsidP="008A053B">
      <w:pPr>
        <w:jc w:val="center"/>
        <w:rPr>
          <w:rFonts w:ascii="Book Antiqua" w:hAnsi="Book Antiqua"/>
          <w:lang w:eastAsia="zh-CN"/>
        </w:rPr>
      </w:pPr>
    </w:p>
    <w:p w14:paraId="3AC5EF24" w14:textId="77777777" w:rsidR="008A053B" w:rsidRDefault="008A053B" w:rsidP="008A053B">
      <w:pPr>
        <w:jc w:val="center"/>
        <w:rPr>
          <w:rFonts w:ascii="Book Antiqua" w:hAnsi="Book Antiqua"/>
          <w:lang w:eastAsia="zh-CN"/>
        </w:rPr>
      </w:pPr>
    </w:p>
    <w:p w14:paraId="56740BB2" w14:textId="77777777" w:rsidR="008A053B" w:rsidRDefault="008A053B" w:rsidP="008A053B">
      <w:pPr>
        <w:jc w:val="center"/>
        <w:rPr>
          <w:rFonts w:ascii="Book Antiqua" w:hAnsi="Book Antiqua"/>
          <w:lang w:eastAsia="zh-CN"/>
        </w:rPr>
      </w:pPr>
    </w:p>
    <w:p w14:paraId="3CF1A0C7" w14:textId="77777777" w:rsidR="008A053B" w:rsidRDefault="008A053B" w:rsidP="008A053B">
      <w:pPr>
        <w:jc w:val="center"/>
        <w:rPr>
          <w:rFonts w:ascii="Book Antiqua" w:hAnsi="Book Antiqua"/>
          <w:lang w:eastAsia="zh-CN"/>
        </w:rPr>
      </w:pPr>
    </w:p>
    <w:p w14:paraId="1CB1C877" w14:textId="77777777" w:rsidR="008A053B" w:rsidRDefault="008A053B" w:rsidP="008A053B">
      <w:pPr>
        <w:jc w:val="center"/>
        <w:rPr>
          <w:rFonts w:ascii="Book Antiqua" w:hAnsi="Book Antiqua"/>
          <w:lang w:eastAsia="zh-CN"/>
        </w:rPr>
      </w:pPr>
    </w:p>
    <w:p w14:paraId="6B642C5C" w14:textId="77777777" w:rsidR="008A053B" w:rsidRDefault="008A053B" w:rsidP="008A053B">
      <w:pPr>
        <w:jc w:val="center"/>
        <w:rPr>
          <w:rFonts w:ascii="Book Antiqua" w:hAnsi="Book Antiqua"/>
          <w:lang w:eastAsia="zh-CN"/>
        </w:rPr>
      </w:pPr>
    </w:p>
    <w:p w14:paraId="7D06A8EC" w14:textId="77777777" w:rsidR="008A053B" w:rsidRDefault="008A053B" w:rsidP="008A053B">
      <w:pPr>
        <w:jc w:val="center"/>
        <w:rPr>
          <w:rFonts w:ascii="Book Antiqua" w:hAnsi="Book Antiqua"/>
          <w:lang w:eastAsia="zh-CN"/>
        </w:rPr>
      </w:pPr>
    </w:p>
    <w:p w14:paraId="038B6E55" w14:textId="77777777" w:rsidR="008A053B" w:rsidRDefault="008A053B" w:rsidP="008A053B">
      <w:pPr>
        <w:jc w:val="center"/>
        <w:rPr>
          <w:rFonts w:ascii="Book Antiqua" w:hAnsi="Book Antiqua"/>
          <w:lang w:eastAsia="zh-CN"/>
        </w:rPr>
      </w:pPr>
    </w:p>
    <w:p w14:paraId="17146B74" w14:textId="77777777" w:rsidR="008A053B" w:rsidRPr="00763D22" w:rsidRDefault="008A053B" w:rsidP="008A053B">
      <w:pPr>
        <w:jc w:val="right"/>
        <w:rPr>
          <w:rFonts w:ascii="Book Antiqua" w:hAnsi="Book Antiqua"/>
          <w:color w:val="000000" w:themeColor="text1"/>
          <w:lang w:eastAsia="zh-CN"/>
        </w:rPr>
      </w:pPr>
    </w:p>
    <w:p w14:paraId="566F14FA" w14:textId="62C501A2" w:rsidR="00C56D4F" w:rsidRPr="004A40AA" w:rsidRDefault="008A053B" w:rsidP="008A053B">
      <w:pPr>
        <w:pStyle w:val="1"/>
        <w:adjustRightInd w:val="0"/>
        <w:snapToGrid w:val="0"/>
        <w:spacing w:line="360" w:lineRule="auto"/>
        <w:rPr>
          <w:rFonts w:ascii="Book Antiqua" w:hAnsi="Book Antiqua"/>
          <w:color w:val="000000" w:themeColor="text1"/>
          <w:sz w:val="24"/>
          <w:szCs w:val="24"/>
        </w:rPr>
      </w:pPr>
      <w:r w:rsidRPr="00763D22">
        <w:rPr>
          <w:rFonts w:ascii="Book Antiqua" w:eastAsia="BookAntiqua-Bold" w:hAnsi="Book Antiqua" w:cs="BookAntiqua-Bold"/>
          <w:b/>
          <w:bCs/>
          <w:color w:val="000000" w:themeColor="text1"/>
        </w:rPr>
        <w:t>© 2021 Baishideng Publishing Group Inc. All rights reserved</w:t>
      </w:r>
      <w:r>
        <w:rPr>
          <w:rFonts w:ascii="Book Antiqua" w:eastAsia="BookAntiqua-Bold" w:hAnsi="Book Antiqua" w:cs="BookAntiqua-Bold" w:hint="eastAsia"/>
          <w:b/>
          <w:bCs/>
          <w:color w:val="000000" w:themeColor="text1"/>
        </w:rPr>
        <w:t>.</w:t>
      </w:r>
      <w:bookmarkStart w:id="0" w:name="_GoBack"/>
      <w:bookmarkEnd w:id="0"/>
    </w:p>
    <w:sectPr w:rsidR="00C56D4F" w:rsidRPr="004A40AA" w:rsidSect="008A05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4A27A" w14:textId="77777777" w:rsidR="00C0541C" w:rsidRDefault="00C0541C" w:rsidP="001773C8">
      <w:r>
        <w:separator/>
      </w:r>
    </w:p>
  </w:endnote>
  <w:endnote w:type="continuationSeparator" w:id="0">
    <w:p w14:paraId="5A07934F" w14:textId="77777777" w:rsidR="00C0541C" w:rsidRDefault="00C0541C" w:rsidP="00177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720722"/>
      <w:docPartObj>
        <w:docPartGallery w:val="Page Numbers (Bottom of Page)"/>
        <w:docPartUnique/>
      </w:docPartObj>
    </w:sdtPr>
    <w:sdtEndPr/>
    <w:sdtContent>
      <w:sdt>
        <w:sdtPr>
          <w:id w:val="-1705238520"/>
          <w:docPartObj>
            <w:docPartGallery w:val="Page Numbers (Top of Page)"/>
            <w:docPartUnique/>
          </w:docPartObj>
        </w:sdtPr>
        <w:sdtEndPr/>
        <w:sdtContent>
          <w:p w14:paraId="446C2455" w14:textId="2D730CA7" w:rsidR="001773C8" w:rsidRDefault="001773C8" w:rsidP="001773C8">
            <w:pPr>
              <w:pStyle w:val="a9"/>
              <w:jc w:val="right"/>
            </w:pPr>
            <w:r w:rsidRPr="00D43D1C">
              <w:rPr>
                <w:rFonts w:ascii="Book Antiqua" w:hAnsi="Book Antiqua"/>
                <w:sz w:val="24"/>
                <w:szCs w:val="24"/>
                <w:lang w:val="zh-CN" w:eastAsia="zh-CN"/>
              </w:rPr>
              <w:t xml:space="preserve"> </w:t>
            </w:r>
            <w:r w:rsidRPr="004A40AA">
              <w:rPr>
                <w:rFonts w:ascii="Book Antiqua" w:hAnsi="Book Antiqua"/>
                <w:sz w:val="24"/>
                <w:szCs w:val="24"/>
              </w:rPr>
              <w:fldChar w:fldCharType="begin"/>
            </w:r>
            <w:r w:rsidRPr="004A40AA">
              <w:rPr>
                <w:rFonts w:ascii="Book Antiqua" w:hAnsi="Book Antiqua"/>
                <w:sz w:val="24"/>
                <w:szCs w:val="24"/>
              </w:rPr>
              <w:instrText>PAGE</w:instrText>
            </w:r>
            <w:r w:rsidRPr="004A40AA">
              <w:rPr>
                <w:rFonts w:ascii="Book Antiqua" w:hAnsi="Book Antiqua"/>
                <w:sz w:val="24"/>
                <w:szCs w:val="24"/>
              </w:rPr>
              <w:fldChar w:fldCharType="separate"/>
            </w:r>
            <w:r w:rsidR="00C0541C">
              <w:rPr>
                <w:rFonts w:ascii="Book Antiqua" w:hAnsi="Book Antiqua"/>
                <w:noProof/>
                <w:sz w:val="24"/>
                <w:szCs w:val="24"/>
              </w:rPr>
              <w:t>1</w:t>
            </w:r>
            <w:r w:rsidRPr="004A40AA">
              <w:rPr>
                <w:rFonts w:ascii="Book Antiqua" w:hAnsi="Book Antiqua"/>
                <w:sz w:val="24"/>
                <w:szCs w:val="24"/>
              </w:rPr>
              <w:fldChar w:fldCharType="end"/>
            </w:r>
            <w:r w:rsidRPr="00D43D1C">
              <w:rPr>
                <w:rFonts w:ascii="Book Antiqua" w:hAnsi="Book Antiqua"/>
                <w:sz w:val="24"/>
                <w:szCs w:val="24"/>
                <w:lang w:val="zh-CN" w:eastAsia="zh-CN"/>
              </w:rPr>
              <w:t xml:space="preserve"> / </w:t>
            </w:r>
            <w:r w:rsidRPr="004A40AA">
              <w:rPr>
                <w:rFonts w:ascii="Book Antiqua" w:hAnsi="Book Antiqua"/>
                <w:sz w:val="24"/>
                <w:szCs w:val="24"/>
              </w:rPr>
              <w:fldChar w:fldCharType="begin"/>
            </w:r>
            <w:r w:rsidRPr="004A40AA">
              <w:rPr>
                <w:rFonts w:ascii="Book Antiqua" w:hAnsi="Book Antiqua"/>
                <w:sz w:val="24"/>
                <w:szCs w:val="24"/>
              </w:rPr>
              <w:instrText>NUMPAGES</w:instrText>
            </w:r>
            <w:r w:rsidRPr="004A40AA">
              <w:rPr>
                <w:rFonts w:ascii="Book Antiqua" w:hAnsi="Book Antiqua"/>
                <w:sz w:val="24"/>
                <w:szCs w:val="24"/>
              </w:rPr>
              <w:fldChar w:fldCharType="separate"/>
            </w:r>
            <w:r w:rsidR="00C0541C">
              <w:rPr>
                <w:rFonts w:ascii="Book Antiqua" w:hAnsi="Book Antiqua"/>
                <w:noProof/>
                <w:sz w:val="24"/>
                <w:szCs w:val="24"/>
              </w:rPr>
              <w:t>1</w:t>
            </w:r>
            <w:r w:rsidRPr="004A40AA">
              <w:rPr>
                <w:rFonts w:ascii="Book Antiqua" w:hAnsi="Book Antiqua"/>
                <w:sz w:val="24"/>
                <w:szCs w:val="24"/>
              </w:rPr>
              <w:fldChar w:fldCharType="end"/>
            </w:r>
          </w:p>
        </w:sdtContent>
      </w:sdt>
    </w:sdtContent>
  </w:sdt>
  <w:p w14:paraId="2193EF54" w14:textId="77777777" w:rsidR="001773C8" w:rsidRDefault="001773C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E11F8" w14:textId="77777777" w:rsidR="00C0541C" w:rsidRDefault="00C0541C" w:rsidP="001773C8">
      <w:r>
        <w:separator/>
      </w:r>
    </w:p>
  </w:footnote>
  <w:footnote w:type="continuationSeparator" w:id="0">
    <w:p w14:paraId="4F23136B" w14:textId="77777777" w:rsidR="00C0541C" w:rsidRDefault="00C0541C" w:rsidP="001773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330"/>
    <w:rsid w:val="00064B7B"/>
    <w:rsid w:val="0009617B"/>
    <w:rsid w:val="000B09B6"/>
    <w:rsid w:val="000F45BF"/>
    <w:rsid w:val="00107C68"/>
    <w:rsid w:val="001236A1"/>
    <w:rsid w:val="001773C8"/>
    <w:rsid w:val="001A3181"/>
    <w:rsid w:val="001B3ABD"/>
    <w:rsid w:val="001B6730"/>
    <w:rsid w:val="002237B9"/>
    <w:rsid w:val="00226D40"/>
    <w:rsid w:val="003C16FB"/>
    <w:rsid w:val="004155A8"/>
    <w:rsid w:val="00492FF4"/>
    <w:rsid w:val="004A40AA"/>
    <w:rsid w:val="004B4C7A"/>
    <w:rsid w:val="004E13F2"/>
    <w:rsid w:val="004E13F9"/>
    <w:rsid w:val="00510DAB"/>
    <w:rsid w:val="00543A26"/>
    <w:rsid w:val="00631A48"/>
    <w:rsid w:val="00647BA4"/>
    <w:rsid w:val="00725542"/>
    <w:rsid w:val="0077606D"/>
    <w:rsid w:val="008A053B"/>
    <w:rsid w:val="009614AD"/>
    <w:rsid w:val="00A141D4"/>
    <w:rsid w:val="00A77B3E"/>
    <w:rsid w:val="00A85C22"/>
    <w:rsid w:val="00AD0793"/>
    <w:rsid w:val="00AD742E"/>
    <w:rsid w:val="00AE026D"/>
    <w:rsid w:val="00B43BB4"/>
    <w:rsid w:val="00C0541C"/>
    <w:rsid w:val="00C56D4F"/>
    <w:rsid w:val="00C74D91"/>
    <w:rsid w:val="00CA2A55"/>
    <w:rsid w:val="00D43D1C"/>
    <w:rsid w:val="00DB0918"/>
    <w:rsid w:val="00E32E32"/>
    <w:rsid w:val="00E60EBC"/>
    <w:rsid w:val="00E626E2"/>
    <w:rsid w:val="00E77A5F"/>
    <w:rsid w:val="00E84E6F"/>
    <w:rsid w:val="00EE0CF5"/>
    <w:rsid w:val="00F17753"/>
    <w:rsid w:val="00F31CAA"/>
    <w:rsid w:val="00F32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EC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237B9"/>
    <w:rPr>
      <w:sz w:val="21"/>
      <w:szCs w:val="21"/>
    </w:rPr>
  </w:style>
  <w:style w:type="paragraph" w:styleId="a4">
    <w:name w:val="annotation text"/>
    <w:basedOn w:val="a"/>
    <w:link w:val="Char"/>
    <w:semiHidden/>
    <w:unhideWhenUsed/>
    <w:rsid w:val="002237B9"/>
  </w:style>
  <w:style w:type="character" w:customStyle="1" w:styleId="Char">
    <w:name w:val="批注文字 Char"/>
    <w:basedOn w:val="a0"/>
    <w:link w:val="a4"/>
    <w:semiHidden/>
    <w:rsid w:val="002237B9"/>
    <w:rPr>
      <w:sz w:val="24"/>
      <w:szCs w:val="24"/>
    </w:rPr>
  </w:style>
  <w:style w:type="paragraph" w:styleId="a5">
    <w:name w:val="annotation subject"/>
    <w:basedOn w:val="a4"/>
    <w:next w:val="a4"/>
    <w:link w:val="Char0"/>
    <w:semiHidden/>
    <w:unhideWhenUsed/>
    <w:rsid w:val="002237B9"/>
    <w:rPr>
      <w:b/>
      <w:bCs/>
    </w:rPr>
  </w:style>
  <w:style w:type="character" w:customStyle="1" w:styleId="Char0">
    <w:name w:val="批注主题 Char"/>
    <w:basedOn w:val="Char"/>
    <w:link w:val="a5"/>
    <w:semiHidden/>
    <w:rsid w:val="002237B9"/>
    <w:rPr>
      <w:b/>
      <w:bCs/>
      <w:sz w:val="24"/>
      <w:szCs w:val="24"/>
    </w:rPr>
  </w:style>
  <w:style w:type="paragraph" w:styleId="a6">
    <w:name w:val="Normal (Web)"/>
    <w:basedOn w:val="a"/>
    <w:uiPriority w:val="99"/>
    <w:semiHidden/>
    <w:unhideWhenUsed/>
    <w:rsid w:val="00C56D4F"/>
    <w:pPr>
      <w:spacing w:before="100" w:beforeAutospacing="1" w:after="100" w:afterAutospacing="1"/>
    </w:pPr>
    <w:rPr>
      <w:rFonts w:ascii="宋体" w:eastAsia="宋体" w:hAnsi="宋体" w:cs="宋体"/>
      <w:lang w:eastAsia="zh-CN"/>
    </w:rPr>
  </w:style>
  <w:style w:type="paragraph" w:customStyle="1" w:styleId="1">
    <w:name w:val="正文1"/>
    <w:rsid w:val="00C56D4F"/>
    <w:pPr>
      <w:jc w:val="both"/>
    </w:pPr>
    <w:rPr>
      <w:rFonts w:eastAsia="宋体"/>
      <w:kern w:val="2"/>
      <w:sz w:val="21"/>
      <w:szCs w:val="21"/>
      <w:lang w:eastAsia="zh-CN"/>
    </w:rPr>
  </w:style>
  <w:style w:type="paragraph" w:styleId="a7">
    <w:name w:val="Balloon Text"/>
    <w:basedOn w:val="a"/>
    <w:link w:val="Char1"/>
    <w:rsid w:val="00B43BB4"/>
    <w:rPr>
      <w:sz w:val="18"/>
      <w:szCs w:val="18"/>
    </w:rPr>
  </w:style>
  <w:style w:type="character" w:customStyle="1" w:styleId="Char1">
    <w:name w:val="批注框文本 Char"/>
    <w:basedOn w:val="a0"/>
    <w:link w:val="a7"/>
    <w:rsid w:val="00B43BB4"/>
    <w:rPr>
      <w:sz w:val="18"/>
      <w:szCs w:val="18"/>
    </w:rPr>
  </w:style>
  <w:style w:type="paragraph" w:styleId="a8">
    <w:name w:val="header"/>
    <w:basedOn w:val="a"/>
    <w:link w:val="Char2"/>
    <w:unhideWhenUsed/>
    <w:rsid w:val="001773C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1773C8"/>
    <w:rPr>
      <w:sz w:val="18"/>
      <w:szCs w:val="18"/>
    </w:rPr>
  </w:style>
  <w:style w:type="paragraph" w:styleId="a9">
    <w:name w:val="footer"/>
    <w:basedOn w:val="a"/>
    <w:link w:val="Char3"/>
    <w:uiPriority w:val="99"/>
    <w:unhideWhenUsed/>
    <w:rsid w:val="001773C8"/>
    <w:pPr>
      <w:tabs>
        <w:tab w:val="center" w:pos="4153"/>
        <w:tab w:val="right" w:pos="8306"/>
      </w:tabs>
      <w:snapToGrid w:val="0"/>
    </w:pPr>
    <w:rPr>
      <w:sz w:val="18"/>
      <w:szCs w:val="18"/>
    </w:rPr>
  </w:style>
  <w:style w:type="character" w:customStyle="1" w:styleId="Char3">
    <w:name w:val="页脚 Char"/>
    <w:basedOn w:val="a0"/>
    <w:link w:val="a9"/>
    <w:uiPriority w:val="99"/>
    <w:rsid w:val="001773C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237B9"/>
    <w:rPr>
      <w:sz w:val="21"/>
      <w:szCs w:val="21"/>
    </w:rPr>
  </w:style>
  <w:style w:type="paragraph" w:styleId="a4">
    <w:name w:val="annotation text"/>
    <w:basedOn w:val="a"/>
    <w:link w:val="Char"/>
    <w:semiHidden/>
    <w:unhideWhenUsed/>
    <w:rsid w:val="002237B9"/>
  </w:style>
  <w:style w:type="character" w:customStyle="1" w:styleId="Char">
    <w:name w:val="批注文字 Char"/>
    <w:basedOn w:val="a0"/>
    <w:link w:val="a4"/>
    <w:semiHidden/>
    <w:rsid w:val="002237B9"/>
    <w:rPr>
      <w:sz w:val="24"/>
      <w:szCs w:val="24"/>
    </w:rPr>
  </w:style>
  <w:style w:type="paragraph" w:styleId="a5">
    <w:name w:val="annotation subject"/>
    <w:basedOn w:val="a4"/>
    <w:next w:val="a4"/>
    <w:link w:val="Char0"/>
    <w:semiHidden/>
    <w:unhideWhenUsed/>
    <w:rsid w:val="002237B9"/>
    <w:rPr>
      <w:b/>
      <w:bCs/>
    </w:rPr>
  </w:style>
  <w:style w:type="character" w:customStyle="1" w:styleId="Char0">
    <w:name w:val="批注主题 Char"/>
    <w:basedOn w:val="Char"/>
    <w:link w:val="a5"/>
    <w:semiHidden/>
    <w:rsid w:val="002237B9"/>
    <w:rPr>
      <w:b/>
      <w:bCs/>
      <w:sz w:val="24"/>
      <w:szCs w:val="24"/>
    </w:rPr>
  </w:style>
  <w:style w:type="paragraph" w:styleId="a6">
    <w:name w:val="Normal (Web)"/>
    <w:basedOn w:val="a"/>
    <w:uiPriority w:val="99"/>
    <w:semiHidden/>
    <w:unhideWhenUsed/>
    <w:rsid w:val="00C56D4F"/>
    <w:pPr>
      <w:spacing w:before="100" w:beforeAutospacing="1" w:after="100" w:afterAutospacing="1"/>
    </w:pPr>
    <w:rPr>
      <w:rFonts w:ascii="宋体" w:eastAsia="宋体" w:hAnsi="宋体" w:cs="宋体"/>
      <w:lang w:eastAsia="zh-CN"/>
    </w:rPr>
  </w:style>
  <w:style w:type="paragraph" w:customStyle="1" w:styleId="1">
    <w:name w:val="正文1"/>
    <w:rsid w:val="00C56D4F"/>
    <w:pPr>
      <w:jc w:val="both"/>
    </w:pPr>
    <w:rPr>
      <w:rFonts w:eastAsia="宋体"/>
      <w:kern w:val="2"/>
      <w:sz w:val="21"/>
      <w:szCs w:val="21"/>
      <w:lang w:eastAsia="zh-CN"/>
    </w:rPr>
  </w:style>
  <w:style w:type="paragraph" w:styleId="a7">
    <w:name w:val="Balloon Text"/>
    <w:basedOn w:val="a"/>
    <w:link w:val="Char1"/>
    <w:rsid w:val="00B43BB4"/>
    <w:rPr>
      <w:sz w:val="18"/>
      <w:szCs w:val="18"/>
    </w:rPr>
  </w:style>
  <w:style w:type="character" w:customStyle="1" w:styleId="Char1">
    <w:name w:val="批注框文本 Char"/>
    <w:basedOn w:val="a0"/>
    <w:link w:val="a7"/>
    <w:rsid w:val="00B43BB4"/>
    <w:rPr>
      <w:sz w:val="18"/>
      <w:szCs w:val="18"/>
    </w:rPr>
  </w:style>
  <w:style w:type="paragraph" w:styleId="a8">
    <w:name w:val="header"/>
    <w:basedOn w:val="a"/>
    <w:link w:val="Char2"/>
    <w:unhideWhenUsed/>
    <w:rsid w:val="001773C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1773C8"/>
    <w:rPr>
      <w:sz w:val="18"/>
      <w:szCs w:val="18"/>
    </w:rPr>
  </w:style>
  <w:style w:type="paragraph" w:styleId="a9">
    <w:name w:val="footer"/>
    <w:basedOn w:val="a"/>
    <w:link w:val="Char3"/>
    <w:uiPriority w:val="99"/>
    <w:unhideWhenUsed/>
    <w:rsid w:val="001773C8"/>
    <w:pPr>
      <w:tabs>
        <w:tab w:val="center" w:pos="4153"/>
        <w:tab w:val="right" w:pos="8306"/>
      </w:tabs>
      <w:snapToGrid w:val="0"/>
    </w:pPr>
    <w:rPr>
      <w:sz w:val="18"/>
      <w:szCs w:val="18"/>
    </w:rPr>
  </w:style>
  <w:style w:type="character" w:customStyle="1" w:styleId="Char3">
    <w:name w:val="页脚 Char"/>
    <w:basedOn w:val="a0"/>
    <w:link w:val="a9"/>
    <w:uiPriority w:val="99"/>
    <w:rsid w:val="001773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049136">
      <w:bodyDiv w:val="1"/>
      <w:marLeft w:val="0"/>
      <w:marRight w:val="0"/>
      <w:marTop w:val="0"/>
      <w:marBottom w:val="0"/>
      <w:divBdr>
        <w:top w:val="none" w:sz="0" w:space="0" w:color="auto"/>
        <w:left w:val="none" w:sz="0" w:space="0" w:color="auto"/>
        <w:bottom w:val="none" w:sz="0" w:space="0" w:color="auto"/>
        <w:right w:val="none" w:sz="0" w:space="0" w:color="auto"/>
      </w:divBdr>
    </w:div>
    <w:div w:id="822625562">
      <w:bodyDiv w:val="1"/>
      <w:marLeft w:val="0"/>
      <w:marRight w:val="0"/>
      <w:marTop w:val="0"/>
      <w:marBottom w:val="0"/>
      <w:divBdr>
        <w:top w:val="none" w:sz="0" w:space="0" w:color="auto"/>
        <w:left w:val="none" w:sz="0" w:space="0" w:color="auto"/>
        <w:bottom w:val="none" w:sz="0" w:space="0" w:color="auto"/>
        <w:right w:val="none" w:sz="0" w:space="0" w:color="auto"/>
      </w:divBdr>
    </w:div>
    <w:div w:id="1392926829">
      <w:bodyDiv w:val="1"/>
      <w:marLeft w:val="0"/>
      <w:marRight w:val="0"/>
      <w:marTop w:val="0"/>
      <w:marBottom w:val="0"/>
      <w:divBdr>
        <w:top w:val="none" w:sz="0" w:space="0" w:color="auto"/>
        <w:left w:val="none" w:sz="0" w:space="0" w:color="auto"/>
        <w:bottom w:val="none" w:sz="0" w:space="0" w:color="auto"/>
        <w:right w:val="none" w:sz="0" w:space="0" w:color="auto"/>
      </w:divBdr>
    </w:div>
    <w:div w:id="1492139795">
      <w:bodyDiv w:val="1"/>
      <w:marLeft w:val="0"/>
      <w:marRight w:val="0"/>
      <w:marTop w:val="0"/>
      <w:marBottom w:val="0"/>
      <w:divBdr>
        <w:top w:val="none" w:sz="0" w:space="0" w:color="auto"/>
        <w:left w:val="none" w:sz="0" w:space="0" w:color="auto"/>
        <w:bottom w:val="none" w:sz="0" w:space="0" w:color="auto"/>
        <w:right w:val="none" w:sz="0" w:space="0" w:color="auto"/>
      </w:divBdr>
    </w:div>
    <w:div w:id="1747264957">
      <w:bodyDiv w:val="1"/>
      <w:marLeft w:val="0"/>
      <w:marRight w:val="0"/>
      <w:marTop w:val="0"/>
      <w:marBottom w:val="0"/>
      <w:divBdr>
        <w:top w:val="none" w:sz="0" w:space="0" w:color="auto"/>
        <w:left w:val="none" w:sz="0" w:space="0" w:color="auto"/>
        <w:bottom w:val="none" w:sz="0" w:space="0" w:color="auto"/>
        <w:right w:val="none" w:sz="0" w:space="0" w:color="auto"/>
      </w:divBdr>
    </w:div>
    <w:div w:id="2052682516">
      <w:bodyDiv w:val="1"/>
      <w:marLeft w:val="0"/>
      <w:marRight w:val="0"/>
      <w:marTop w:val="0"/>
      <w:marBottom w:val="0"/>
      <w:divBdr>
        <w:top w:val="none" w:sz="0" w:space="0" w:color="auto"/>
        <w:left w:val="none" w:sz="0" w:space="0" w:color="auto"/>
        <w:bottom w:val="none" w:sz="0" w:space="0" w:color="auto"/>
        <w:right w:val="none" w:sz="0" w:space="0" w:color="auto"/>
      </w:divBdr>
    </w:div>
    <w:div w:id="2105027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947B8-3325-45A6-ACC1-952C7AA2F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Pages>
  <Words>2833</Words>
  <Characters>16149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liujihong2008@qq.con</cp:lastModifiedBy>
  <cp:revision>14</cp:revision>
  <dcterms:created xsi:type="dcterms:W3CDTF">2021-07-15T00:50:00Z</dcterms:created>
  <dcterms:modified xsi:type="dcterms:W3CDTF">2021-08-18T03:13:00Z</dcterms:modified>
</cp:coreProperties>
</file>