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E971EF" w14:textId="77777777" w:rsidR="00A77B3E" w:rsidRDefault="001B2C2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CC49DAA" w14:textId="77777777" w:rsidR="00A77B3E" w:rsidRDefault="001B2C2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62448</w:t>
      </w:r>
    </w:p>
    <w:p w14:paraId="0DE1534F" w14:textId="77777777" w:rsidR="00A77B3E" w:rsidRDefault="001B2C2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845BB4B" w14:textId="77777777" w:rsidR="00A77B3E" w:rsidRDefault="00A77B3E">
      <w:pPr>
        <w:spacing w:line="360" w:lineRule="auto"/>
        <w:jc w:val="both"/>
      </w:pPr>
    </w:p>
    <w:p w14:paraId="462EEB8F" w14:textId="77777777" w:rsidR="00A77B3E" w:rsidRDefault="001B2C2C">
      <w:pPr>
        <w:spacing w:line="360" w:lineRule="auto"/>
        <w:jc w:val="both"/>
      </w:pPr>
      <w:r>
        <w:rPr>
          <w:rFonts w:ascii="Book Antiqua" w:eastAsia="Book Antiqua" w:hAnsi="Book Antiqua" w:cs="Book Antiqua"/>
          <w:b/>
          <w:color w:val="000000"/>
        </w:rPr>
        <w:t>Treatment of acute severe ulcerative colitis using accelerated infliximab regimen based on infliximab trough level: A case report</w:t>
      </w:r>
    </w:p>
    <w:p w14:paraId="110FB973" w14:textId="77777777" w:rsidR="00A77B3E" w:rsidRDefault="00A77B3E">
      <w:pPr>
        <w:spacing w:line="360" w:lineRule="auto"/>
        <w:jc w:val="both"/>
      </w:pPr>
    </w:p>
    <w:p w14:paraId="234A24DB" w14:textId="3E7F4B67" w:rsidR="00A77B3E" w:rsidRDefault="00E37421">
      <w:pPr>
        <w:spacing w:line="360" w:lineRule="auto"/>
        <w:jc w:val="both"/>
      </w:pPr>
      <w:proofErr w:type="spellStart"/>
      <w:r>
        <w:rPr>
          <w:rFonts w:ascii="Book Antiqua" w:eastAsia="Book Antiqua" w:hAnsi="Book Antiqua" w:cs="Book Antiqua"/>
          <w:color w:val="000000"/>
        </w:rPr>
        <w:t>Garate</w:t>
      </w:r>
      <w:proofErr w:type="spellEnd"/>
      <w:r>
        <w:rPr>
          <w:rFonts w:ascii="Book Antiqua" w:eastAsia="Book Antiqua" w:hAnsi="Book Antiqua" w:cs="Book Antiqua"/>
          <w:color w:val="000000"/>
        </w:rPr>
        <w:t xml:space="preserve"> ALSV </w:t>
      </w:r>
      <w:r w:rsidRPr="00E37421">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1B2C2C">
        <w:rPr>
          <w:rFonts w:ascii="Book Antiqua" w:eastAsia="Book Antiqua" w:hAnsi="Book Antiqua" w:cs="Book Antiqua"/>
          <w:color w:val="000000"/>
        </w:rPr>
        <w:t>Accelerated infliximab regimen</w:t>
      </w:r>
    </w:p>
    <w:p w14:paraId="6E74A23F" w14:textId="77777777" w:rsidR="00A77B3E" w:rsidRDefault="00A77B3E">
      <w:pPr>
        <w:spacing w:line="360" w:lineRule="auto"/>
        <w:jc w:val="both"/>
      </w:pPr>
    </w:p>
    <w:p w14:paraId="0B81500A" w14:textId="77777777" w:rsidR="00A77B3E" w:rsidRDefault="001B2C2C">
      <w:pPr>
        <w:spacing w:line="360" w:lineRule="auto"/>
        <w:jc w:val="both"/>
      </w:pPr>
      <w:r>
        <w:rPr>
          <w:rFonts w:ascii="Book Antiqua" w:eastAsia="Book Antiqua" w:hAnsi="Book Antiqua" w:cs="Book Antiqua"/>
          <w:color w:val="000000"/>
        </w:rPr>
        <w:t xml:space="preserve">Ana Lorena Sousa de </w:t>
      </w:r>
      <w:proofErr w:type="spellStart"/>
      <w:r>
        <w:rPr>
          <w:rFonts w:ascii="Book Antiqua" w:eastAsia="Book Antiqua" w:hAnsi="Book Antiqua" w:cs="Book Antiqua"/>
          <w:color w:val="000000"/>
        </w:rPr>
        <w:t>Vasconcelos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Garate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Thiara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Barcelos</w:t>
      </w:r>
      <w:proofErr w:type="spellEnd"/>
      <w:r>
        <w:rPr>
          <w:rFonts w:ascii="Book Antiqua" w:eastAsia="Book Antiqua" w:hAnsi="Book Antiqua" w:cs="Book Antiqua"/>
          <w:color w:val="000000"/>
        </w:rPr>
        <w:t xml:space="preserve"> Rocha, Luciana Rocha Almeida, Rodrigo </w:t>
      </w:r>
      <w:proofErr w:type="spellStart"/>
      <w:r>
        <w:rPr>
          <w:rFonts w:ascii="Book Antiqua" w:eastAsia="Book Antiqua" w:hAnsi="Book Antiqua" w:cs="Book Antiqua"/>
          <w:color w:val="000000"/>
        </w:rPr>
        <w:t>Quera</w:t>
      </w:r>
      <w:proofErr w:type="spellEnd"/>
      <w:r>
        <w:rPr>
          <w:rFonts w:ascii="Book Antiqua" w:eastAsia="Book Antiqua" w:hAnsi="Book Antiqua" w:cs="Book Antiqua"/>
          <w:color w:val="000000"/>
        </w:rPr>
        <w:t xml:space="preserve">, Jaqueline Ribeiro Barros, Julio </w:t>
      </w:r>
      <w:proofErr w:type="spellStart"/>
      <w:r>
        <w:rPr>
          <w:rFonts w:ascii="Book Antiqua" w:eastAsia="Book Antiqua" w:hAnsi="Book Antiqua" w:cs="Book Antiqua"/>
          <w:color w:val="000000"/>
        </w:rPr>
        <w:t>Pinheiro</w:t>
      </w:r>
      <w:proofErr w:type="spellEnd"/>
      <w:r>
        <w:rPr>
          <w:rFonts w:ascii="Book Antiqua" w:eastAsia="Book Antiqua" w:hAnsi="Book Antiqua" w:cs="Book Antiqua"/>
          <w:color w:val="000000"/>
        </w:rPr>
        <w:t xml:space="preserve"> Baima, </w:t>
      </w:r>
      <w:proofErr w:type="spellStart"/>
      <w:r>
        <w:rPr>
          <w:rFonts w:ascii="Book Antiqua" w:eastAsia="Book Antiqua" w:hAnsi="Book Antiqua" w:cs="Book Antiqua"/>
          <w:color w:val="000000"/>
        </w:rPr>
        <w:t>Rogerio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Saad-Hossne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Ligia</w:t>
      </w:r>
      <w:proofErr w:type="spellEnd"/>
      <w:r>
        <w:rPr>
          <w:rFonts w:ascii="Book Antiqua" w:eastAsia="Book Antiqua" w:hAnsi="Book Antiqua" w:cs="Book Antiqua"/>
          <w:color w:val="000000"/>
        </w:rPr>
        <w:t xml:space="preserve"> Yukie </w:t>
      </w:r>
      <w:proofErr w:type="spellStart"/>
      <w:r>
        <w:rPr>
          <w:rFonts w:ascii="Book Antiqua" w:eastAsia="Book Antiqua" w:hAnsi="Book Antiqua" w:cs="Book Antiqua"/>
          <w:color w:val="000000"/>
        </w:rPr>
        <w:t>Sassaki</w:t>
      </w:r>
      <w:proofErr w:type="spellEnd"/>
    </w:p>
    <w:p w14:paraId="7AE83A90" w14:textId="77777777" w:rsidR="00A77B3E" w:rsidRDefault="00A77B3E">
      <w:pPr>
        <w:spacing w:line="360" w:lineRule="auto"/>
        <w:jc w:val="both"/>
      </w:pPr>
    </w:p>
    <w:p w14:paraId="3A1BA996" w14:textId="77777777" w:rsidR="00A77B3E" w:rsidRDefault="001B2C2C">
      <w:pPr>
        <w:spacing w:line="360" w:lineRule="auto"/>
        <w:jc w:val="both"/>
      </w:pPr>
      <w:r>
        <w:rPr>
          <w:rFonts w:ascii="Book Antiqua" w:eastAsia="Book Antiqua" w:hAnsi="Book Antiqua" w:cs="Book Antiqua"/>
          <w:b/>
          <w:bCs/>
          <w:color w:val="000000"/>
        </w:rPr>
        <w:t xml:space="preserve">Ana Lorena Sousa de </w:t>
      </w:r>
      <w:proofErr w:type="spellStart"/>
      <w:r>
        <w:rPr>
          <w:rFonts w:ascii="Book Antiqua" w:eastAsia="Book Antiqua" w:hAnsi="Book Antiqua" w:cs="Book Antiqua"/>
          <w:b/>
          <w:bCs/>
          <w:color w:val="000000"/>
        </w:rPr>
        <w:t>Vasconcelos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Garate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Thiara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Barcelos</w:t>
      </w:r>
      <w:proofErr w:type="spellEnd"/>
      <w:r>
        <w:rPr>
          <w:rFonts w:ascii="Book Antiqua" w:eastAsia="Book Antiqua" w:hAnsi="Book Antiqua" w:cs="Book Antiqua"/>
          <w:b/>
          <w:bCs/>
          <w:color w:val="000000"/>
        </w:rPr>
        <w:t xml:space="preserve"> Rocha, Luciana Rocha Almeida, Jaqueline Ribeiro Barros, Julio </w:t>
      </w:r>
      <w:proofErr w:type="spellStart"/>
      <w:r>
        <w:rPr>
          <w:rFonts w:ascii="Book Antiqua" w:eastAsia="Book Antiqua" w:hAnsi="Book Antiqua" w:cs="Book Antiqua"/>
          <w:b/>
          <w:bCs/>
          <w:color w:val="000000"/>
        </w:rPr>
        <w:t>Pinheiro</w:t>
      </w:r>
      <w:proofErr w:type="spellEnd"/>
      <w:r>
        <w:rPr>
          <w:rFonts w:ascii="Book Antiqua" w:eastAsia="Book Antiqua" w:hAnsi="Book Antiqua" w:cs="Book Antiqua"/>
          <w:b/>
          <w:bCs/>
          <w:color w:val="000000"/>
        </w:rPr>
        <w:t xml:space="preserve"> Baima, </w:t>
      </w:r>
      <w:proofErr w:type="spellStart"/>
      <w:r>
        <w:rPr>
          <w:rFonts w:ascii="Book Antiqua" w:eastAsia="Book Antiqua" w:hAnsi="Book Antiqua" w:cs="Book Antiqua"/>
          <w:b/>
          <w:bCs/>
          <w:color w:val="000000"/>
        </w:rPr>
        <w:t>Rogerio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Saad-Hossne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Ligia</w:t>
      </w:r>
      <w:proofErr w:type="spellEnd"/>
      <w:r>
        <w:rPr>
          <w:rFonts w:ascii="Book Antiqua" w:eastAsia="Book Antiqua" w:hAnsi="Book Antiqua" w:cs="Book Antiqua"/>
          <w:b/>
          <w:bCs/>
          <w:color w:val="000000"/>
        </w:rPr>
        <w:t xml:space="preserve"> Yukie </w:t>
      </w:r>
      <w:proofErr w:type="spellStart"/>
      <w:r>
        <w:rPr>
          <w:rFonts w:ascii="Book Antiqua" w:eastAsia="Book Antiqua" w:hAnsi="Book Antiqua" w:cs="Book Antiqua"/>
          <w:b/>
          <w:bCs/>
          <w:color w:val="000000"/>
        </w:rPr>
        <w:t>Sassaki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Internal Medicine, São Paulo State University (</w:t>
      </w:r>
      <w:proofErr w:type="spellStart"/>
      <w:r>
        <w:rPr>
          <w:rFonts w:ascii="Book Antiqua" w:eastAsia="Book Antiqua" w:hAnsi="Book Antiqua" w:cs="Book Antiqua"/>
          <w:color w:val="000000"/>
        </w:rPr>
        <w:t>Unesp</w:t>
      </w:r>
      <w:proofErr w:type="spellEnd"/>
      <w:r>
        <w:rPr>
          <w:rFonts w:ascii="Book Antiqua" w:eastAsia="Book Antiqua" w:hAnsi="Book Antiqua" w:cs="Book Antiqua"/>
          <w:color w:val="000000"/>
        </w:rPr>
        <w:t xml:space="preserve">), Medical School, </w:t>
      </w:r>
      <w:proofErr w:type="spellStart"/>
      <w:r>
        <w:rPr>
          <w:rFonts w:ascii="Book Antiqua" w:eastAsia="Book Antiqua" w:hAnsi="Book Antiqua" w:cs="Book Antiqua"/>
          <w:color w:val="000000"/>
        </w:rPr>
        <w:t>Botucatu</w:t>
      </w:r>
      <w:proofErr w:type="spellEnd"/>
      <w:r>
        <w:rPr>
          <w:rFonts w:ascii="Book Antiqua" w:eastAsia="Book Antiqua" w:hAnsi="Book Antiqua" w:cs="Book Antiqua"/>
          <w:color w:val="000000"/>
        </w:rPr>
        <w:t xml:space="preserve"> 18618687, São Paulo, Brazil</w:t>
      </w:r>
    </w:p>
    <w:p w14:paraId="5245C252" w14:textId="77777777" w:rsidR="00A77B3E" w:rsidRDefault="00A77B3E">
      <w:pPr>
        <w:spacing w:line="360" w:lineRule="auto"/>
        <w:jc w:val="both"/>
      </w:pPr>
    </w:p>
    <w:p w14:paraId="593CB408" w14:textId="77777777" w:rsidR="00A77B3E" w:rsidRDefault="001B2C2C">
      <w:pPr>
        <w:spacing w:line="360" w:lineRule="auto"/>
        <w:jc w:val="both"/>
      </w:pPr>
      <w:r>
        <w:rPr>
          <w:rFonts w:ascii="Book Antiqua" w:eastAsia="Book Antiqua" w:hAnsi="Book Antiqua" w:cs="Book Antiqua"/>
          <w:b/>
          <w:bCs/>
          <w:color w:val="000000"/>
        </w:rPr>
        <w:t xml:space="preserve">Rodrigo </w:t>
      </w:r>
      <w:proofErr w:type="spellStart"/>
      <w:r>
        <w:rPr>
          <w:rFonts w:ascii="Book Antiqua" w:eastAsia="Book Antiqua" w:hAnsi="Book Antiqua" w:cs="Book Antiqua"/>
          <w:b/>
          <w:bCs/>
          <w:color w:val="000000"/>
        </w:rPr>
        <w:t>Quera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Inflammatory Bowel Disease Program, Gastroenterology, Medicine Department, </w:t>
      </w:r>
      <w:proofErr w:type="spellStart"/>
      <w:r>
        <w:rPr>
          <w:rFonts w:ascii="Book Antiqua" w:eastAsia="Book Antiqua" w:hAnsi="Book Antiqua" w:cs="Book Antiqua"/>
          <w:color w:val="000000"/>
        </w:rPr>
        <w:t>Clínica</w:t>
      </w:r>
      <w:proofErr w:type="spellEnd"/>
      <w:r>
        <w:rPr>
          <w:rFonts w:ascii="Book Antiqua" w:eastAsia="Book Antiqua" w:hAnsi="Book Antiqua" w:cs="Book Antiqua"/>
          <w:color w:val="000000"/>
        </w:rPr>
        <w:t xml:space="preserve"> Universidad de </w:t>
      </w:r>
      <w:proofErr w:type="spellStart"/>
      <w:r>
        <w:rPr>
          <w:rFonts w:ascii="Book Antiqua" w:eastAsia="Book Antiqua" w:hAnsi="Book Antiqua" w:cs="Book Antiqua"/>
          <w:color w:val="000000"/>
        </w:rPr>
        <w:t>los</w:t>
      </w:r>
      <w:proofErr w:type="spellEnd"/>
      <w:r>
        <w:rPr>
          <w:rFonts w:ascii="Book Antiqua" w:eastAsia="Book Antiqua" w:hAnsi="Book Antiqua" w:cs="Book Antiqua"/>
          <w:color w:val="000000"/>
        </w:rPr>
        <w:t xml:space="preserve"> Andes, Santiago 7550000, Chile</w:t>
      </w:r>
    </w:p>
    <w:p w14:paraId="08D3747F" w14:textId="77777777" w:rsidR="00A77B3E" w:rsidRDefault="00A77B3E">
      <w:pPr>
        <w:spacing w:line="360" w:lineRule="auto"/>
        <w:jc w:val="both"/>
      </w:pPr>
    </w:p>
    <w:p w14:paraId="3328DA98" w14:textId="4BAD514E" w:rsidR="00A77B3E" w:rsidRDefault="001B2C2C">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szCs w:val="22"/>
        </w:rPr>
        <w:t>All authors contributed to this manuscript</w:t>
      </w:r>
      <w:r w:rsidR="00E3742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Garate</w:t>
      </w:r>
      <w:proofErr w:type="spellEnd"/>
      <w:r w:rsidR="00E37421">
        <w:rPr>
          <w:rFonts w:ascii="Book Antiqua" w:eastAsia="Book Antiqua" w:hAnsi="Book Antiqua" w:cs="Book Antiqua"/>
          <w:color w:val="000000"/>
          <w:szCs w:val="22"/>
        </w:rPr>
        <w:t xml:space="preserve"> </w:t>
      </w:r>
      <w:r w:rsidR="00E37421">
        <w:rPr>
          <w:rFonts w:ascii="Book Antiqua" w:eastAsia="Book Antiqua" w:hAnsi="Book Antiqua" w:cs="Book Antiqua"/>
          <w:color w:val="000000"/>
        </w:rPr>
        <w:t>ALSV</w:t>
      </w:r>
      <w:r>
        <w:rPr>
          <w:rFonts w:ascii="Book Antiqua" w:eastAsia="Book Antiqua" w:hAnsi="Book Antiqua" w:cs="Book Antiqua"/>
          <w:color w:val="000000"/>
          <w:szCs w:val="22"/>
        </w:rPr>
        <w:t>, Rocha</w:t>
      </w:r>
      <w:r w:rsidR="00E37421">
        <w:rPr>
          <w:rFonts w:ascii="Book Antiqua" w:eastAsia="Book Antiqua" w:hAnsi="Book Antiqua" w:cs="Book Antiqua"/>
          <w:color w:val="000000"/>
          <w:szCs w:val="22"/>
        </w:rPr>
        <w:t xml:space="preserve"> TB</w:t>
      </w:r>
      <w:r>
        <w:rPr>
          <w:rFonts w:ascii="Book Antiqua" w:eastAsia="Book Antiqua" w:hAnsi="Book Antiqua" w:cs="Book Antiqua"/>
          <w:color w:val="000000"/>
          <w:szCs w:val="22"/>
        </w:rPr>
        <w:t>, Almeida</w:t>
      </w:r>
      <w:r w:rsidR="00E37421">
        <w:rPr>
          <w:rFonts w:ascii="Book Antiqua" w:eastAsia="Book Antiqua" w:hAnsi="Book Antiqua" w:cs="Book Antiqua"/>
          <w:color w:val="000000"/>
          <w:szCs w:val="22"/>
        </w:rPr>
        <w:t xml:space="preserve"> LR</w:t>
      </w:r>
      <w:r>
        <w:rPr>
          <w:rFonts w:ascii="Book Antiqua" w:eastAsia="Book Antiqua" w:hAnsi="Book Antiqua" w:cs="Book Antiqua"/>
          <w:color w:val="000000"/>
          <w:szCs w:val="22"/>
        </w:rPr>
        <w:t>, Barros</w:t>
      </w:r>
      <w:r w:rsidR="00E37421">
        <w:rPr>
          <w:rFonts w:ascii="Book Antiqua" w:eastAsia="Book Antiqua" w:hAnsi="Book Antiqua" w:cs="Book Antiqua"/>
          <w:color w:val="000000"/>
          <w:szCs w:val="22"/>
        </w:rPr>
        <w:t xml:space="preserve"> JR</w:t>
      </w:r>
      <w:r>
        <w:rPr>
          <w:rFonts w:ascii="Book Antiqua" w:eastAsia="Book Antiqua" w:hAnsi="Book Antiqua" w:cs="Book Antiqua"/>
          <w:color w:val="000000"/>
          <w:szCs w:val="22"/>
        </w:rPr>
        <w:t>, Baima</w:t>
      </w:r>
      <w:r w:rsidR="00E37421">
        <w:rPr>
          <w:rFonts w:ascii="Book Antiqua" w:eastAsia="Book Antiqua" w:hAnsi="Book Antiqua" w:cs="Book Antiqua"/>
          <w:color w:val="000000"/>
          <w:szCs w:val="22"/>
        </w:rPr>
        <w:t xml:space="preserve"> JP</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Saad-Hossne</w:t>
      </w:r>
      <w:proofErr w:type="spellEnd"/>
      <w:r w:rsidR="00E37421">
        <w:rPr>
          <w:rFonts w:ascii="Book Antiqua" w:eastAsia="Book Antiqua" w:hAnsi="Book Antiqua" w:cs="Book Antiqua"/>
          <w:color w:val="000000"/>
          <w:szCs w:val="22"/>
        </w:rPr>
        <w:t xml:space="preserve"> R and</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Sassaki</w:t>
      </w:r>
      <w:proofErr w:type="spellEnd"/>
      <w:r>
        <w:rPr>
          <w:rFonts w:ascii="Book Antiqua" w:eastAsia="Book Antiqua" w:hAnsi="Book Antiqua" w:cs="Book Antiqua"/>
          <w:color w:val="000000"/>
          <w:szCs w:val="22"/>
        </w:rPr>
        <w:t xml:space="preserve"> </w:t>
      </w:r>
      <w:r w:rsidR="00E37421">
        <w:rPr>
          <w:rFonts w:ascii="Book Antiqua" w:eastAsia="Book Antiqua" w:hAnsi="Book Antiqua" w:cs="Book Antiqua"/>
          <w:color w:val="000000"/>
          <w:szCs w:val="22"/>
        </w:rPr>
        <w:t xml:space="preserve">LY </w:t>
      </w:r>
      <w:r>
        <w:rPr>
          <w:rFonts w:ascii="Book Antiqua" w:eastAsia="Book Antiqua" w:hAnsi="Book Antiqua" w:cs="Book Antiqua"/>
          <w:color w:val="000000"/>
          <w:szCs w:val="22"/>
        </w:rPr>
        <w:t>contributed to the conception and design of the study, acquisition, analysis and interpretation of data, drafting the article, revising it critically for important intellectual content, and final approval of the version to be submitted</w:t>
      </w:r>
      <w:r w:rsidR="00E3742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Quera</w:t>
      </w:r>
      <w:proofErr w:type="spellEnd"/>
      <w:r>
        <w:rPr>
          <w:rFonts w:ascii="Book Antiqua" w:eastAsia="Book Antiqua" w:hAnsi="Book Antiqua" w:cs="Book Antiqua"/>
          <w:color w:val="000000"/>
          <w:szCs w:val="22"/>
        </w:rPr>
        <w:t xml:space="preserve"> </w:t>
      </w:r>
      <w:r w:rsidR="00E37421">
        <w:rPr>
          <w:rFonts w:ascii="Book Antiqua" w:eastAsia="Book Antiqua" w:hAnsi="Book Antiqua" w:cs="Book Antiqua"/>
          <w:color w:val="000000"/>
          <w:szCs w:val="22"/>
        </w:rPr>
        <w:t xml:space="preserve">R </w:t>
      </w:r>
      <w:r>
        <w:rPr>
          <w:rFonts w:ascii="Book Antiqua" w:eastAsia="Book Antiqua" w:hAnsi="Book Antiqua" w:cs="Book Antiqua"/>
          <w:color w:val="000000"/>
          <w:szCs w:val="22"/>
        </w:rPr>
        <w:t>contributed to the analysis and interpretation of data, revising it critically for important intellectual content, and final approval of the version to be submitted.</w:t>
      </w:r>
    </w:p>
    <w:p w14:paraId="4156C45F" w14:textId="77777777" w:rsidR="00A77B3E" w:rsidRDefault="00A77B3E">
      <w:pPr>
        <w:spacing w:line="360" w:lineRule="auto"/>
        <w:jc w:val="both"/>
      </w:pPr>
    </w:p>
    <w:p w14:paraId="38B85178" w14:textId="77777777" w:rsidR="00A77B3E" w:rsidRDefault="001B2C2C">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Ligia</w:t>
      </w:r>
      <w:proofErr w:type="spellEnd"/>
      <w:r>
        <w:rPr>
          <w:rFonts w:ascii="Book Antiqua" w:eastAsia="Book Antiqua" w:hAnsi="Book Antiqua" w:cs="Book Antiqua"/>
          <w:b/>
          <w:bCs/>
          <w:color w:val="000000"/>
        </w:rPr>
        <w:t xml:space="preserve"> Yukie </w:t>
      </w:r>
      <w:proofErr w:type="spellStart"/>
      <w:r>
        <w:rPr>
          <w:rFonts w:ascii="Book Antiqua" w:eastAsia="Book Antiqua" w:hAnsi="Book Antiqua" w:cs="Book Antiqua"/>
          <w:b/>
          <w:bCs/>
          <w:color w:val="000000"/>
        </w:rPr>
        <w:t>Sassaki</w:t>
      </w:r>
      <w:proofErr w:type="spellEnd"/>
      <w:r>
        <w:rPr>
          <w:rFonts w:ascii="Book Antiqua" w:eastAsia="Book Antiqua" w:hAnsi="Book Antiqua" w:cs="Book Antiqua"/>
          <w:b/>
          <w:bCs/>
          <w:color w:val="000000"/>
        </w:rPr>
        <w:t xml:space="preserve">, MD, PhD, Academic Research, Assistant Professor, </w:t>
      </w:r>
      <w:r>
        <w:rPr>
          <w:rFonts w:ascii="Book Antiqua" w:eastAsia="Book Antiqua" w:hAnsi="Book Antiqua" w:cs="Book Antiqua"/>
          <w:color w:val="000000"/>
        </w:rPr>
        <w:t>Department of Internal Medicine, São Paulo State University (</w:t>
      </w:r>
      <w:proofErr w:type="spellStart"/>
      <w:r>
        <w:rPr>
          <w:rFonts w:ascii="Book Antiqua" w:eastAsia="Book Antiqua" w:hAnsi="Book Antiqua" w:cs="Book Antiqua"/>
          <w:color w:val="000000"/>
        </w:rPr>
        <w:t>Unesp</w:t>
      </w:r>
      <w:proofErr w:type="spellEnd"/>
      <w:r>
        <w:rPr>
          <w:rFonts w:ascii="Book Antiqua" w:eastAsia="Book Antiqua" w:hAnsi="Book Antiqua" w:cs="Book Antiqua"/>
          <w:color w:val="000000"/>
        </w:rPr>
        <w:t xml:space="preserve">), Medical School, Av. Professor </w:t>
      </w:r>
      <w:proofErr w:type="spellStart"/>
      <w:r>
        <w:rPr>
          <w:rFonts w:ascii="Book Antiqua" w:eastAsia="Book Antiqua" w:hAnsi="Book Antiqua" w:cs="Book Antiqua"/>
          <w:color w:val="000000"/>
        </w:rPr>
        <w:t>Mário</w:t>
      </w:r>
      <w:proofErr w:type="spellEnd"/>
      <w:r>
        <w:rPr>
          <w:rFonts w:ascii="Book Antiqua" w:eastAsia="Book Antiqua" w:hAnsi="Book Antiqua" w:cs="Book Antiqua"/>
          <w:color w:val="000000"/>
        </w:rPr>
        <w:t xml:space="preserve"> Rubens </w:t>
      </w:r>
      <w:proofErr w:type="spellStart"/>
      <w:r>
        <w:rPr>
          <w:rFonts w:ascii="Book Antiqua" w:eastAsia="Book Antiqua" w:hAnsi="Book Antiqua" w:cs="Book Antiqua"/>
          <w:color w:val="000000"/>
        </w:rPr>
        <w:t>Guimarães</w:t>
      </w:r>
      <w:proofErr w:type="spellEnd"/>
      <w:r>
        <w:rPr>
          <w:rFonts w:ascii="Book Antiqua" w:eastAsia="Book Antiqua" w:hAnsi="Book Antiqua" w:cs="Book Antiqua"/>
          <w:color w:val="000000"/>
        </w:rPr>
        <w:t xml:space="preserve"> Montenegro, s/n, </w:t>
      </w:r>
      <w:proofErr w:type="spellStart"/>
      <w:r>
        <w:rPr>
          <w:rFonts w:ascii="Book Antiqua" w:eastAsia="Book Antiqua" w:hAnsi="Book Antiqua" w:cs="Book Antiqua"/>
          <w:color w:val="000000"/>
        </w:rPr>
        <w:t>Botucatu</w:t>
      </w:r>
      <w:proofErr w:type="spellEnd"/>
      <w:r>
        <w:rPr>
          <w:rFonts w:ascii="Book Antiqua" w:eastAsia="Book Antiqua" w:hAnsi="Book Antiqua" w:cs="Book Antiqua"/>
          <w:color w:val="000000"/>
        </w:rPr>
        <w:t xml:space="preserve"> 18618687, São Paulo, Brazil. ligia.sassaki@unesp.br</w:t>
      </w:r>
    </w:p>
    <w:p w14:paraId="121A4416" w14:textId="77777777" w:rsidR="00A77B3E" w:rsidRDefault="00A77B3E">
      <w:pPr>
        <w:spacing w:line="360" w:lineRule="auto"/>
        <w:jc w:val="both"/>
      </w:pPr>
    </w:p>
    <w:p w14:paraId="14B2AB27" w14:textId="77777777" w:rsidR="00A77B3E" w:rsidRDefault="001B2C2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9, 2021</w:t>
      </w:r>
    </w:p>
    <w:p w14:paraId="255CC29F" w14:textId="77777777" w:rsidR="00A77B3E" w:rsidRDefault="001B2C2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4, 2021</w:t>
      </w:r>
    </w:p>
    <w:p w14:paraId="72A3243A" w14:textId="4AEC9AB0" w:rsidR="00A77B3E" w:rsidRDefault="001B2C2C">
      <w:pPr>
        <w:spacing w:line="360" w:lineRule="auto"/>
        <w:jc w:val="both"/>
      </w:pPr>
      <w:r>
        <w:rPr>
          <w:rFonts w:ascii="Book Antiqua" w:eastAsia="Book Antiqua" w:hAnsi="Book Antiqua" w:cs="Book Antiqua"/>
          <w:b/>
          <w:bCs/>
          <w:color w:val="000000"/>
        </w:rPr>
        <w:t xml:space="preserve">Accepted: </w:t>
      </w:r>
      <w:r w:rsidR="001D66CB" w:rsidRPr="001D66CB">
        <w:rPr>
          <w:rFonts w:ascii="Book Antiqua" w:eastAsia="Book Antiqua" w:hAnsi="Book Antiqua" w:cs="Book Antiqua"/>
          <w:color w:val="000000"/>
        </w:rPr>
        <w:t>March 9, 2021</w:t>
      </w:r>
    </w:p>
    <w:p w14:paraId="77B1B66F" w14:textId="5C07B79A" w:rsidR="00A77B3E" w:rsidRDefault="001B2C2C">
      <w:pPr>
        <w:spacing w:line="360" w:lineRule="auto"/>
        <w:jc w:val="both"/>
      </w:pPr>
      <w:r>
        <w:rPr>
          <w:rFonts w:ascii="Book Antiqua" w:eastAsia="Book Antiqua" w:hAnsi="Book Antiqua" w:cs="Book Antiqua"/>
          <w:b/>
          <w:bCs/>
          <w:color w:val="000000"/>
        </w:rPr>
        <w:t xml:space="preserve">Published online: </w:t>
      </w:r>
      <w:r w:rsidR="005433D0" w:rsidRPr="00F76363">
        <w:rPr>
          <w:rFonts w:ascii="Book Antiqua" w:eastAsia="Book Antiqua" w:hAnsi="Book Antiqua" w:cs="Book Antiqua"/>
          <w:bCs/>
          <w:color w:val="000000"/>
        </w:rPr>
        <w:t>May 6, 2021</w:t>
      </w:r>
    </w:p>
    <w:p w14:paraId="77B0B9C8"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1D4186E" w14:textId="77777777" w:rsidR="00A77B3E" w:rsidRDefault="001B2C2C">
      <w:pPr>
        <w:spacing w:line="360" w:lineRule="auto"/>
        <w:jc w:val="both"/>
      </w:pPr>
      <w:r>
        <w:rPr>
          <w:rFonts w:ascii="Book Antiqua" w:eastAsia="Book Antiqua" w:hAnsi="Book Antiqua" w:cs="Book Antiqua"/>
          <w:b/>
          <w:color w:val="000000"/>
        </w:rPr>
        <w:t>Abstract</w:t>
      </w:r>
    </w:p>
    <w:p w14:paraId="50BA07A8" w14:textId="77777777" w:rsidR="00A77B3E" w:rsidRDefault="001B2C2C">
      <w:pPr>
        <w:spacing w:line="360" w:lineRule="auto"/>
        <w:jc w:val="both"/>
      </w:pPr>
      <w:r>
        <w:rPr>
          <w:rFonts w:ascii="Book Antiqua" w:eastAsia="Book Antiqua" w:hAnsi="Book Antiqua" w:cs="Book Antiqua"/>
          <w:color w:val="000000"/>
        </w:rPr>
        <w:t>BACKGROUND</w:t>
      </w:r>
    </w:p>
    <w:p w14:paraId="0BC48DC1" w14:textId="02D1B460" w:rsidR="00A77B3E" w:rsidRDefault="001B2C2C">
      <w:pPr>
        <w:spacing w:line="360" w:lineRule="auto"/>
        <w:jc w:val="both"/>
      </w:pPr>
      <w:r>
        <w:rPr>
          <w:rFonts w:ascii="Book Antiqua" w:eastAsia="Book Antiqua" w:hAnsi="Book Antiqua" w:cs="Book Antiqua"/>
          <w:color w:val="000000"/>
          <w:szCs w:val="22"/>
        </w:rPr>
        <w:t>Acute severe ulcerative colitis (ASUC) is a complication of ulcerative colitis associated with high levels of circulating tumor necrosis factor alpha, due to the intense inflammation and faster stool clearance of anti-</w:t>
      </w:r>
      <w:r w:rsidR="00E37421">
        <w:rPr>
          <w:rFonts w:ascii="Book Antiqua" w:eastAsia="Book Antiqua" w:hAnsi="Book Antiqua" w:cs="Book Antiqua"/>
          <w:color w:val="000000"/>
          <w:szCs w:val="22"/>
        </w:rPr>
        <w:t>tumor necrosis factor</w:t>
      </w:r>
      <w:r>
        <w:rPr>
          <w:rFonts w:ascii="Book Antiqua" w:eastAsia="Book Antiqua" w:hAnsi="Book Antiqua" w:cs="Book Antiqua"/>
          <w:color w:val="000000"/>
          <w:szCs w:val="22"/>
        </w:rPr>
        <w:t xml:space="preserve"> drugs. Dose-intensified infliximab treatment can be beneficial and is associated with lower rates of colectomy. The aim of the study was to present a case of a patient with ASUC and megacolon, treated with hydrocortisone and accelerated scheme of infliximab that was monitored by drug trough level.</w:t>
      </w:r>
    </w:p>
    <w:p w14:paraId="0E7ED0CD" w14:textId="77777777" w:rsidR="00A77B3E" w:rsidRDefault="00A77B3E">
      <w:pPr>
        <w:spacing w:line="360" w:lineRule="auto"/>
        <w:jc w:val="both"/>
      </w:pPr>
    </w:p>
    <w:p w14:paraId="321CF7FA" w14:textId="77777777" w:rsidR="00A77B3E" w:rsidRDefault="001B2C2C">
      <w:pPr>
        <w:spacing w:line="360" w:lineRule="auto"/>
        <w:jc w:val="both"/>
      </w:pPr>
      <w:r>
        <w:rPr>
          <w:rFonts w:ascii="Book Antiqua" w:eastAsia="Book Antiqua" w:hAnsi="Book Antiqua" w:cs="Book Antiqua"/>
          <w:color w:val="000000"/>
        </w:rPr>
        <w:t>CASE SUMMARY</w:t>
      </w:r>
    </w:p>
    <w:p w14:paraId="1C6211CE" w14:textId="77777777" w:rsidR="00A77B3E" w:rsidRDefault="001B2C2C">
      <w:pPr>
        <w:spacing w:line="360" w:lineRule="auto"/>
        <w:jc w:val="both"/>
      </w:pPr>
      <w:r>
        <w:rPr>
          <w:rFonts w:ascii="Book Antiqua" w:eastAsia="Book Antiqua" w:hAnsi="Book Antiqua" w:cs="Book Antiqua"/>
          <w:color w:val="000000"/>
          <w:szCs w:val="22"/>
        </w:rPr>
        <w:t xml:space="preserve">A 22-year-old female patient diagnosed with ulcerative colitis, presented with diarrhea, rectal bleeding, abdominal pain, vomiting, and distended abdomen. During investigation, a positive toxin for </w:t>
      </w:r>
      <w:r>
        <w:rPr>
          <w:rFonts w:ascii="Book Antiqua" w:eastAsia="Book Antiqua" w:hAnsi="Book Antiqua" w:cs="Book Antiqua"/>
          <w:i/>
          <w:iCs/>
          <w:color w:val="000000"/>
          <w:szCs w:val="22"/>
        </w:rPr>
        <w:t>Clostridium difficile</w:t>
      </w:r>
      <w:r>
        <w:rPr>
          <w:rFonts w:ascii="Book Antiqua" w:eastAsia="Book Antiqua" w:hAnsi="Book Antiqua" w:cs="Book Antiqua"/>
          <w:color w:val="000000"/>
          <w:szCs w:val="22"/>
        </w:rPr>
        <w:t xml:space="preserve"> and colonic dilatation of 7 cm consistent with megacolon were observed. She was treated with oral vancomycin for pseudomembranous colitis and intravenous hydrocortisone for severe colitis, which led to the resolution of megacolon. Due to the persistent severe colitis symptoms, infliximab 5 mg/kg was prescribed, monitored by drug trough level (8.8 </w:t>
      </w:r>
      <w:proofErr w:type="spellStart"/>
      <w:r>
        <w:rPr>
          <w:rFonts w:ascii="Book Antiqua" w:eastAsia="Book Antiqua" w:hAnsi="Book Antiqua" w:cs="Book Antiqua"/>
          <w:color w:val="000000"/>
          <w:szCs w:val="22"/>
        </w:rPr>
        <w:t>μg</w:t>
      </w:r>
      <w:proofErr w:type="spellEnd"/>
      <w:r>
        <w:rPr>
          <w:rFonts w:ascii="Book Antiqua" w:eastAsia="Book Antiqua" w:hAnsi="Book Antiqua" w:cs="Book Antiqua"/>
          <w:color w:val="000000"/>
          <w:szCs w:val="22"/>
        </w:rPr>
        <w:t xml:space="preserve">/mL) and fecal calprotectin of 921 </w:t>
      </w:r>
      <w:proofErr w:type="spellStart"/>
      <w:r>
        <w:rPr>
          <w:rFonts w:ascii="Book Antiqua" w:eastAsia="Book Antiqua" w:hAnsi="Book Antiqua" w:cs="Book Antiqua"/>
          <w:color w:val="000000"/>
          <w:szCs w:val="22"/>
        </w:rPr>
        <w:t>μg</w:t>
      </w:r>
      <w:proofErr w:type="spellEnd"/>
      <w:r>
        <w:rPr>
          <w:rFonts w:ascii="Book Antiqua" w:eastAsia="Book Antiqua" w:hAnsi="Book Antiqua" w:cs="Book Antiqua"/>
          <w:color w:val="000000"/>
          <w:szCs w:val="22"/>
        </w:rPr>
        <w:t xml:space="preserve">/g (&lt; 30 </w:t>
      </w:r>
      <w:proofErr w:type="spellStart"/>
      <w:r>
        <w:rPr>
          <w:rFonts w:ascii="Book Antiqua" w:eastAsia="Book Antiqua" w:hAnsi="Book Antiqua" w:cs="Book Antiqua"/>
          <w:color w:val="000000"/>
          <w:szCs w:val="22"/>
        </w:rPr>
        <w:t>μg</w:t>
      </w:r>
      <w:proofErr w:type="spellEnd"/>
      <w:r>
        <w:rPr>
          <w:rFonts w:ascii="Book Antiqua" w:eastAsia="Book Antiqua" w:hAnsi="Book Antiqua" w:cs="Book Antiqua"/>
          <w:color w:val="000000"/>
          <w:szCs w:val="22"/>
        </w:rPr>
        <w:t xml:space="preserve">/g). Based on the low infliximab trough level after one week from the first infliximab dose, the patient received a second infusion at week 1, consistent with the accelerated regimen (infusions at weeks 0, 1, 2 and 6). We achieved a positive clinical and endoscopic response after 6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of therapy, without the need for a colectomy.</w:t>
      </w:r>
    </w:p>
    <w:p w14:paraId="7951D975" w14:textId="77777777" w:rsidR="00A77B3E" w:rsidRDefault="00A77B3E">
      <w:pPr>
        <w:spacing w:line="360" w:lineRule="auto"/>
        <w:jc w:val="both"/>
      </w:pPr>
    </w:p>
    <w:p w14:paraId="54106499" w14:textId="77777777" w:rsidR="00A77B3E" w:rsidRDefault="001B2C2C">
      <w:pPr>
        <w:spacing w:line="360" w:lineRule="auto"/>
        <w:jc w:val="both"/>
      </w:pPr>
      <w:r>
        <w:rPr>
          <w:rFonts w:ascii="Book Antiqua" w:eastAsia="Book Antiqua" w:hAnsi="Book Antiqua" w:cs="Book Antiqua"/>
          <w:color w:val="000000"/>
        </w:rPr>
        <w:t>CONCLUSION</w:t>
      </w:r>
    </w:p>
    <w:p w14:paraId="13F02E9B" w14:textId="77777777" w:rsidR="00A77B3E" w:rsidRDefault="001B2C2C">
      <w:pPr>
        <w:spacing w:line="360" w:lineRule="auto"/>
        <w:jc w:val="both"/>
      </w:pPr>
      <w:r>
        <w:rPr>
          <w:rFonts w:ascii="Book Antiqua" w:eastAsia="Book Antiqua" w:hAnsi="Book Antiqua" w:cs="Book Antiqua"/>
          <w:color w:val="000000"/>
          <w:szCs w:val="22"/>
        </w:rPr>
        <w:t>Infliximab accelerated infusions can be beneficial in ASUC unresponsive to the treatment with intravenous corticosteroids. Longitudinal studies are necessary to define the best therapeutic drug monitoring and treatment regimen for these patients.</w:t>
      </w:r>
    </w:p>
    <w:p w14:paraId="0038AECE" w14:textId="77777777" w:rsidR="00A77B3E" w:rsidRDefault="00A77B3E">
      <w:pPr>
        <w:spacing w:line="360" w:lineRule="auto"/>
        <w:jc w:val="both"/>
      </w:pPr>
    </w:p>
    <w:p w14:paraId="1996B4AF" w14:textId="45700121" w:rsidR="00A77B3E" w:rsidRDefault="001B2C2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szCs w:val="22"/>
        </w:rPr>
        <w:t xml:space="preserve">Infliximab; Acute severe ulcerative colitis; Toxic megacolon; Ulcerative </w:t>
      </w:r>
      <w:r w:rsidR="00E37421">
        <w:rPr>
          <w:rFonts w:ascii="Book Antiqua" w:eastAsia="Book Antiqua" w:hAnsi="Book Antiqua" w:cs="Book Antiqua"/>
          <w:color w:val="000000"/>
          <w:szCs w:val="22"/>
        </w:rPr>
        <w:t>c</w:t>
      </w:r>
      <w:r>
        <w:rPr>
          <w:rFonts w:ascii="Book Antiqua" w:eastAsia="Book Antiqua" w:hAnsi="Book Antiqua" w:cs="Book Antiqua"/>
          <w:color w:val="000000"/>
          <w:szCs w:val="22"/>
        </w:rPr>
        <w:t>olitis; Inflammatory bowel disease</w:t>
      </w:r>
      <w:r w:rsidR="00E37421">
        <w:rPr>
          <w:rFonts w:ascii="Book Antiqua" w:eastAsia="Book Antiqua" w:hAnsi="Book Antiqua" w:cs="Book Antiqua"/>
          <w:color w:val="000000"/>
          <w:szCs w:val="22"/>
        </w:rPr>
        <w:t>; Case report</w:t>
      </w:r>
    </w:p>
    <w:p w14:paraId="459E589F" w14:textId="77777777" w:rsidR="00A77B3E" w:rsidRDefault="00A77B3E">
      <w:pPr>
        <w:spacing w:line="360" w:lineRule="auto"/>
        <w:jc w:val="both"/>
        <w:rPr>
          <w:rFonts w:hint="eastAsia"/>
          <w:lang w:eastAsia="zh-CN"/>
        </w:rPr>
      </w:pPr>
    </w:p>
    <w:p w14:paraId="4F179F69" w14:textId="77777777" w:rsidR="00AA6856" w:rsidRDefault="00AA6856" w:rsidP="00AA6856">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A250108" w14:textId="77777777" w:rsidR="00AA6856" w:rsidRDefault="00AA6856">
      <w:pPr>
        <w:spacing w:line="360" w:lineRule="auto"/>
        <w:jc w:val="both"/>
        <w:rPr>
          <w:rFonts w:hint="eastAsia"/>
          <w:lang w:eastAsia="zh-CN"/>
        </w:rPr>
      </w:pPr>
    </w:p>
    <w:p w14:paraId="1E9ABF43" w14:textId="7C74D902" w:rsidR="00A77B3E" w:rsidRDefault="001B2C2C">
      <w:pPr>
        <w:spacing w:line="360" w:lineRule="auto"/>
        <w:jc w:val="both"/>
        <w:rPr>
          <w:rFonts w:ascii="Book Antiqua" w:hAnsi="Book Antiqua" w:cs="Book Antiqua"/>
          <w:color w:val="000000"/>
          <w:lang w:eastAsia="zh-CN"/>
        </w:rPr>
      </w:pPr>
      <w:proofErr w:type="spellStart"/>
      <w:r>
        <w:rPr>
          <w:rFonts w:ascii="Book Antiqua" w:eastAsia="Book Antiqua" w:hAnsi="Book Antiqua" w:cs="Book Antiqua"/>
          <w:color w:val="000000"/>
        </w:rPr>
        <w:t>Garate</w:t>
      </w:r>
      <w:proofErr w:type="spellEnd"/>
      <w:r>
        <w:rPr>
          <w:rFonts w:ascii="Book Antiqua" w:eastAsia="Book Antiqua" w:hAnsi="Book Antiqua" w:cs="Book Antiqua"/>
          <w:color w:val="000000"/>
        </w:rPr>
        <w:t xml:space="preserve"> ALSV, Rocha TB, Almeida LR, </w:t>
      </w:r>
      <w:proofErr w:type="spellStart"/>
      <w:r>
        <w:rPr>
          <w:rFonts w:ascii="Book Antiqua" w:eastAsia="Book Antiqua" w:hAnsi="Book Antiqua" w:cs="Book Antiqua"/>
          <w:color w:val="000000"/>
        </w:rPr>
        <w:t>Quera</w:t>
      </w:r>
      <w:proofErr w:type="spellEnd"/>
      <w:r>
        <w:rPr>
          <w:rFonts w:ascii="Book Antiqua" w:eastAsia="Book Antiqua" w:hAnsi="Book Antiqua" w:cs="Book Antiqua"/>
          <w:color w:val="000000"/>
        </w:rPr>
        <w:t xml:space="preserve"> R, Barros JR, Baima JP, </w:t>
      </w:r>
      <w:proofErr w:type="spellStart"/>
      <w:r>
        <w:rPr>
          <w:rFonts w:ascii="Book Antiqua" w:eastAsia="Book Antiqua" w:hAnsi="Book Antiqua" w:cs="Book Antiqua"/>
          <w:color w:val="000000"/>
        </w:rPr>
        <w:t>Saad-Hossne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Sassaki</w:t>
      </w:r>
      <w:proofErr w:type="spellEnd"/>
      <w:r>
        <w:rPr>
          <w:rFonts w:ascii="Book Antiqua" w:eastAsia="Book Antiqua" w:hAnsi="Book Antiqua" w:cs="Book Antiqua"/>
          <w:color w:val="000000"/>
        </w:rPr>
        <w:t xml:space="preserve"> LY. Treatment of acute severe ulcerative colitis using accelerated infliximab regimen based on infliximab trough level: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r w:rsidR="005433D0" w:rsidRPr="005433D0">
        <w:rPr>
          <w:rFonts w:ascii="Book Antiqua" w:eastAsia="Book Antiqua" w:hAnsi="Book Antiqua" w:cs="Book Antiqua"/>
          <w:color w:val="000000"/>
        </w:rPr>
        <w:t xml:space="preserve">9(13): </w:t>
      </w:r>
      <w:r w:rsidR="00C04EB0">
        <w:rPr>
          <w:rFonts w:ascii="Book Antiqua" w:hAnsi="Book Antiqua" w:cs="Book Antiqua" w:hint="eastAsia"/>
          <w:color w:val="000000"/>
          <w:lang w:eastAsia="zh-CN"/>
        </w:rPr>
        <w:t>3219-</w:t>
      </w:r>
      <w:r w:rsidR="00AA6856">
        <w:rPr>
          <w:rFonts w:ascii="Book Antiqua" w:hAnsi="Book Antiqua" w:cs="Book Antiqua" w:hint="eastAsia"/>
          <w:color w:val="000000"/>
          <w:lang w:eastAsia="zh-CN"/>
        </w:rPr>
        <w:t>3226</w:t>
      </w:r>
      <w:r w:rsidR="005433D0" w:rsidRPr="005433D0">
        <w:rPr>
          <w:rFonts w:ascii="Book Antiqua" w:eastAsia="Book Antiqua" w:hAnsi="Book Antiqua" w:cs="Book Antiqua"/>
          <w:color w:val="000000"/>
        </w:rPr>
        <w:t xml:space="preserve"> URL: https://www.wjgnet.com/2307-8960/full/v9/i13/</w:t>
      </w:r>
      <w:r w:rsidR="00AA6856">
        <w:rPr>
          <w:rFonts w:ascii="Book Antiqua" w:hAnsi="Book Antiqua" w:cs="Book Antiqua" w:hint="eastAsia"/>
          <w:color w:val="000000"/>
          <w:lang w:eastAsia="zh-CN"/>
        </w:rPr>
        <w:t>3219</w:t>
      </w:r>
      <w:r w:rsidR="005433D0" w:rsidRPr="005433D0">
        <w:rPr>
          <w:rFonts w:ascii="Book Antiqua" w:eastAsia="Book Antiqua" w:hAnsi="Book Antiqua" w:cs="Book Antiqua"/>
          <w:color w:val="000000"/>
        </w:rPr>
        <w:t xml:space="preserve">.htm DOI: </w:t>
      </w:r>
      <w:r w:rsidR="005433D0" w:rsidRPr="00AA6856">
        <w:rPr>
          <w:rFonts w:ascii="Book Antiqua" w:eastAsia="Book Antiqua" w:hAnsi="Book Antiqua" w:cs="Book Antiqua"/>
        </w:rPr>
        <w:t>https://dx.doi.org/10.12998/wjcc.v9.i13.</w:t>
      </w:r>
      <w:r w:rsidR="00AA6856" w:rsidRPr="00AA6856">
        <w:rPr>
          <w:rFonts w:ascii="Book Antiqua" w:hAnsi="Book Antiqua" w:cs="Book Antiqua" w:hint="eastAsia"/>
          <w:lang w:eastAsia="zh-CN"/>
        </w:rPr>
        <w:t>3</w:t>
      </w:r>
      <w:r w:rsidR="00AA6856">
        <w:rPr>
          <w:rFonts w:ascii="Book Antiqua" w:hAnsi="Book Antiqua" w:cs="Book Antiqua" w:hint="eastAsia"/>
          <w:lang w:eastAsia="zh-CN"/>
        </w:rPr>
        <w:t>219</w:t>
      </w:r>
    </w:p>
    <w:p w14:paraId="7BDF2D2F" w14:textId="77777777" w:rsidR="005433D0" w:rsidRPr="005433D0" w:rsidRDefault="005433D0">
      <w:pPr>
        <w:spacing w:line="360" w:lineRule="auto"/>
        <w:jc w:val="both"/>
        <w:rPr>
          <w:lang w:eastAsia="zh-CN"/>
        </w:rPr>
      </w:pPr>
    </w:p>
    <w:p w14:paraId="31A825D6" w14:textId="51DB970E" w:rsidR="00A77B3E" w:rsidRDefault="001B2C2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zCs w:val="22"/>
        </w:rPr>
        <w:t xml:space="preserve">Acute severe ulcerative colitis (ASUC) is associated with high circulating levels of </w:t>
      </w:r>
      <w:r w:rsidR="00E37421">
        <w:rPr>
          <w:rFonts w:ascii="Book Antiqua" w:eastAsia="Book Antiqua" w:hAnsi="Book Antiqua" w:cs="Book Antiqua"/>
          <w:color w:val="000000"/>
          <w:szCs w:val="22"/>
        </w:rPr>
        <w:t>tumor necrosis factor</w:t>
      </w:r>
      <w:r>
        <w:rPr>
          <w:rFonts w:ascii="Book Antiqua" w:eastAsia="Book Antiqua" w:hAnsi="Book Antiqua" w:cs="Book Antiqua"/>
          <w:color w:val="000000"/>
          <w:szCs w:val="22"/>
        </w:rPr>
        <w:t>-alpha, due to intense inflammation and faster stool clearance of the anti-</w:t>
      </w:r>
      <w:r w:rsidR="00E37421">
        <w:rPr>
          <w:rFonts w:ascii="Book Antiqua" w:eastAsia="Book Antiqua" w:hAnsi="Book Antiqua" w:cs="Book Antiqua"/>
          <w:color w:val="000000"/>
          <w:szCs w:val="22"/>
        </w:rPr>
        <w:t>tumor necrosis factor</w:t>
      </w:r>
      <w:r>
        <w:rPr>
          <w:rFonts w:ascii="Book Antiqua" w:eastAsia="Book Antiqua" w:hAnsi="Book Antiqua" w:cs="Book Antiqua"/>
          <w:color w:val="000000"/>
          <w:szCs w:val="22"/>
        </w:rPr>
        <w:t xml:space="preserve"> drug. Consequently, these patients may need higher doses or more frequent administrations of infliximab. A young patient with a recent diagnosis of ulcerative colitis presenting with ASUC associated with megacolon, was successfully treated with intravenous corticosteroids and an accelerated infliximab regimen, based on the serum levels of the medication. Despite the favorable outcome in the case reported, longitudinal studies are necessary to define the best therapeutic drug monitoring and treatment regimen for these patients.</w:t>
      </w:r>
    </w:p>
    <w:p w14:paraId="606D54A5" w14:textId="080EAEBA" w:rsidR="00A77B3E" w:rsidRDefault="00E37421">
      <w:pPr>
        <w:spacing w:line="360" w:lineRule="auto"/>
        <w:jc w:val="both"/>
      </w:pPr>
      <w:r>
        <w:br w:type="page"/>
      </w:r>
      <w:r w:rsidR="001B2C2C">
        <w:rPr>
          <w:rFonts w:ascii="Book Antiqua" w:eastAsia="Book Antiqua" w:hAnsi="Book Antiqua" w:cs="Book Antiqua"/>
          <w:b/>
          <w:caps/>
          <w:color w:val="000000"/>
          <w:u w:val="single"/>
        </w:rPr>
        <w:t>INTRODUCTION</w:t>
      </w:r>
    </w:p>
    <w:p w14:paraId="5D552544" w14:textId="63C65E25" w:rsidR="00A77B3E" w:rsidRDefault="001B2C2C">
      <w:pPr>
        <w:spacing w:line="360" w:lineRule="auto"/>
        <w:jc w:val="both"/>
      </w:pPr>
      <w:r>
        <w:rPr>
          <w:rFonts w:ascii="Book Antiqua" w:eastAsia="Book Antiqua" w:hAnsi="Book Antiqua" w:cs="Book Antiqua"/>
          <w:color w:val="000000"/>
          <w:szCs w:val="22"/>
        </w:rPr>
        <w:t xml:space="preserve">Ulcerative colitis (UC) is characterized by a chronic inflammation of the colon and rectum and the therapeutic management depends on its extent and </w:t>
      </w:r>
      <w:proofErr w:type="gramStart"/>
      <w:r>
        <w:rPr>
          <w:rFonts w:ascii="Book Antiqua" w:eastAsia="Book Antiqua" w:hAnsi="Book Antiqua" w:cs="Book Antiqua"/>
          <w:color w:val="000000"/>
          <w:szCs w:val="22"/>
        </w:rPr>
        <w:t>severity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w:t>
      </w:r>
      <w:r>
        <w:rPr>
          <w:rFonts w:ascii="Book Antiqua" w:eastAsia="Book Antiqua" w:hAnsi="Book Antiqua" w:cs="Book Antiqua"/>
          <w:color w:val="000000"/>
          <w:szCs w:val="22"/>
        </w:rPr>
        <w:t xml:space="preserve">. Approximately 15% of the patients experience an episode of severe exacerbation as a medical emergency which may require </w:t>
      </w:r>
      <w:proofErr w:type="gramStart"/>
      <w:r>
        <w:rPr>
          <w:rFonts w:ascii="Book Antiqua" w:eastAsia="Book Antiqua" w:hAnsi="Book Antiqua" w:cs="Book Antiqua"/>
          <w:color w:val="000000"/>
          <w:szCs w:val="22"/>
        </w:rPr>
        <w:t>hospitalization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2,3]</w:t>
      </w:r>
      <w:r>
        <w:rPr>
          <w:rFonts w:ascii="Book Antiqua" w:eastAsia="Book Antiqua" w:hAnsi="Book Antiqua" w:cs="Book Antiqua"/>
          <w:color w:val="000000"/>
          <w:szCs w:val="22"/>
        </w:rPr>
        <w:t xml:space="preserve">, defined as acute severe </w:t>
      </w:r>
      <w:r w:rsidR="00E37421">
        <w:rPr>
          <w:rFonts w:ascii="Book Antiqua" w:eastAsia="Book Antiqua" w:hAnsi="Book Antiqua" w:cs="Book Antiqua"/>
          <w:color w:val="000000"/>
          <w:szCs w:val="22"/>
        </w:rPr>
        <w:t>UC</w:t>
      </w:r>
      <w:r>
        <w:rPr>
          <w:rFonts w:ascii="Book Antiqua" w:eastAsia="Book Antiqua" w:hAnsi="Book Antiqua" w:cs="Book Antiqua"/>
          <w:color w:val="000000"/>
          <w:szCs w:val="22"/>
        </w:rPr>
        <w:t xml:space="preserve"> (ASUC). Cyclosporine, a calcineurin inhibitor, and infliximab, an anti-tumor necrosis factor-alpha (TNF-α) agent, have been effective in the management of ASUC as a rescue therapy in patients unresponsive to the initial treatment with </w:t>
      </w:r>
      <w:proofErr w:type="gramStart"/>
      <w:r>
        <w:rPr>
          <w:rFonts w:ascii="Book Antiqua" w:eastAsia="Book Antiqua" w:hAnsi="Book Antiqua" w:cs="Book Antiqua"/>
          <w:color w:val="000000"/>
          <w:szCs w:val="22"/>
        </w:rPr>
        <w:t>corticosteroids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3,4]</w:t>
      </w:r>
      <w:r>
        <w:rPr>
          <w:rFonts w:ascii="Book Antiqua" w:eastAsia="Book Antiqua" w:hAnsi="Book Antiqua" w:cs="Book Antiqua"/>
          <w:color w:val="000000"/>
          <w:szCs w:val="22"/>
        </w:rPr>
        <w:t>.</w:t>
      </w:r>
    </w:p>
    <w:p w14:paraId="26838E0D" w14:textId="4C16A4FB" w:rsidR="00A77B3E" w:rsidRDefault="001B2C2C" w:rsidP="00D17E4E">
      <w:pPr>
        <w:spacing w:line="360" w:lineRule="auto"/>
        <w:ind w:firstLineChars="100" w:firstLine="240"/>
        <w:jc w:val="both"/>
      </w:pPr>
      <w:r>
        <w:rPr>
          <w:rFonts w:ascii="Book Antiqua" w:eastAsia="Book Antiqua" w:hAnsi="Book Antiqua" w:cs="Book Antiqua"/>
          <w:color w:val="000000"/>
          <w:szCs w:val="22"/>
        </w:rPr>
        <w:t xml:space="preserve">ASUC is a complication of </w:t>
      </w:r>
      <w:r w:rsidR="00E37421">
        <w:rPr>
          <w:rFonts w:ascii="Book Antiqua" w:eastAsia="Book Antiqua" w:hAnsi="Book Antiqua" w:cs="Book Antiqua"/>
          <w:color w:val="000000"/>
          <w:szCs w:val="22"/>
        </w:rPr>
        <w:t>UC</w:t>
      </w:r>
      <w:r>
        <w:rPr>
          <w:rFonts w:ascii="Book Antiqua" w:eastAsia="Book Antiqua" w:hAnsi="Book Antiqua" w:cs="Book Antiqua"/>
          <w:color w:val="000000"/>
          <w:szCs w:val="22"/>
        </w:rPr>
        <w:t xml:space="preserve"> associated with high circulating levels of TNF-α, due to the intense inflammation and faster stool clearance of the anti-TNF </w:t>
      </w:r>
      <w:proofErr w:type="gramStart"/>
      <w:r>
        <w:rPr>
          <w:rFonts w:ascii="Book Antiqua" w:eastAsia="Book Antiqua" w:hAnsi="Book Antiqua" w:cs="Book Antiqua"/>
          <w:color w:val="000000"/>
          <w:szCs w:val="22"/>
        </w:rPr>
        <w:t>drugs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3,5]</w:t>
      </w:r>
      <w:r>
        <w:rPr>
          <w:rFonts w:ascii="Book Antiqua" w:eastAsia="Book Antiqua" w:hAnsi="Book Antiqua" w:cs="Book Antiqua"/>
          <w:color w:val="000000"/>
          <w:szCs w:val="22"/>
        </w:rPr>
        <w:t xml:space="preserve">. Consequently, these patients may need higher doses and/or more frequent infliximab administrations to maintain the therapeutic </w:t>
      </w:r>
      <w:proofErr w:type="gramStart"/>
      <w:r>
        <w:rPr>
          <w:rFonts w:ascii="Book Antiqua" w:eastAsia="Book Antiqua" w:hAnsi="Book Antiqua" w:cs="Book Antiqua"/>
          <w:color w:val="000000"/>
          <w:szCs w:val="22"/>
        </w:rPr>
        <w:t>levels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w:t>
      </w:r>
      <w:r>
        <w:rPr>
          <w:rFonts w:ascii="Book Antiqua" w:eastAsia="Book Antiqua" w:hAnsi="Book Antiqua" w:cs="Book Antiqua"/>
          <w:color w:val="000000"/>
          <w:szCs w:val="22"/>
        </w:rPr>
        <w:t>. Studies indicate that the dose intensification improves the prognosis, reducing the chance of colectomy in 1 year of follow-</w:t>
      </w:r>
      <w:proofErr w:type="gramStart"/>
      <w:r>
        <w:rPr>
          <w:rFonts w:ascii="Book Antiqua" w:eastAsia="Book Antiqua" w:hAnsi="Book Antiqua" w:cs="Book Antiqua"/>
          <w:color w:val="000000"/>
          <w:szCs w:val="22"/>
        </w:rPr>
        <w:t>up</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4]</w:t>
      </w:r>
      <w:r>
        <w:rPr>
          <w:rFonts w:ascii="Book Antiqua" w:eastAsia="Book Antiqua" w:hAnsi="Book Antiqua" w:cs="Book Antiqua"/>
          <w:color w:val="000000"/>
          <w:szCs w:val="22"/>
        </w:rPr>
        <w:t xml:space="preserve">. Despite that, not enough data exists defining the ideal serum therapeutic level related to higher rates of clinical response, mucosal healing, and colectomy-free survival in ASUC patients. Interesting, the present study reported a patient with ASUC associated with megacolon, treated with intravenous corticosteroids and an accelerated infliximab regimen, based on the serum levels of the medication, highlighting the rarity of the case and the importance of evaluating this new therapeutic tool in the management of patients with ASUC. </w:t>
      </w:r>
    </w:p>
    <w:p w14:paraId="1FED553A" w14:textId="77777777" w:rsidR="00A77B3E" w:rsidRDefault="00A77B3E">
      <w:pPr>
        <w:spacing w:line="360" w:lineRule="auto"/>
        <w:jc w:val="both"/>
      </w:pPr>
    </w:p>
    <w:p w14:paraId="6EEB5700" w14:textId="77777777" w:rsidR="00A77B3E" w:rsidRDefault="001B2C2C">
      <w:pPr>
        <w:spacing w:line="360" w:lineRule="auto"/>
        <w:jc w:val="both"/>
      </w:pPr>
      <w:r>
        <w:rPr>
          <w:rFonts w:ascii="Book Antiqua" w:eastAsia="Book Antiqua" w:hAnsi="Book Antiqua" w:cs="Book Antiqua"/>
          <w:b/>
          <w:caps/>
          <w:color w:val="000000"/>
          <w:u w:val="single"/>
        </w:rPr>
        <w:t>CASE PRESENTATION</w:t>
      </w:r>
    </w:p>
    <w:p w14:paraId="55759F66" w14:textId="77777777" w:rsidR="00A77B3E" w:rsidRDefault="001B2C2C">
      <w:pPr>
        <w:spacing w:line="360" w:lineRule="auto"/>
        <w:jc w:val="both"/>
      </w:pPr>
      <w:r>
        <w:rPr>
          <w:rFonts w:ascii="Book Antiqua" w:eastAsia="Book Antiqua" w:hAnsi="Book Antiqua" w:cs="Book Antiqua"/>
          <w:b/>
          <w:i/>
          <w:color w:val="000000"/>
        </w:rPr>
        <w:t>Chief complaints</w:t>
      </w:r>
    </w:p>
    <w:p w14:paraId="1C70E466" w14:textId="4B6BF0E7" w:rsidR="00A77B3E" w:rsidRDefault="001B2C2C">
      <w:pPr>
        <w:spacing w:line="360" w:lineRule="auto"/>
        <w:jc w:val="both"/>
      </w:pPr>
      <w:r>
        <w:rPr>
          <w:rFonts w:ascii="Book Antiqua" w:eastAsia="Book Antiqua" w:hAnsi="Book Antiqua" w:cs="Book Antiqua"/>
          <w:color w:val="000000"/>
          <w:szCs w:val="22"/>
        </w:rPr>
        <w:t xml:space="preserve">A 22-year-old female Caucasian patient was diagnosed with </w:t>
      </w:r>
      <w:r w:rsidR="00E37421">
        <w:rPr>
          <w:rFonts w:ascii="Book Antiqua" w:eastAsia="Book Antiqua" w:hAnsi="Book Antiqua" w:cs="Book Antiqua"/>
          <w:color w:val="000000"/>
          <w:szCs w:val="22"/>
        </w:rPr>
        <w:t>UC</w:t>
      </w:r>
      <w:r>
        <w:rPr>
          <w:rFonts w:ascii="Book Antiqua" w:eastAsia="Book Antiqua" w:hAnsi="Book Antiqua" w:cs="Book Antiqua"/>
          <w:color w:val="000000"/>
          <w:szCs w:val="22"/>
        </w:rPr>
        <w:t xml:space="preserve"> 3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ago, complaining of bloody diarrhea, abdominal pain and weight loss, and discontinued mesalamine due to the gastric intolerance. The patient underwent a colonoscopy 2 </w:t>
      </w:r>
      <w:proofErr w:type="spellStart"/>
      <w:r>
        <w:rPr>
          <w:rFonts w:ascii="Book Antiqua" w:eastAsia="Book Antiqua" w:hAnsi="Book Antiqua" w:cs="Book Antiqua"/>
          <w:color w:val="000000"/>
          <w:szCs w:val="22"/>
        </w:rPr>
        <w:t>wk</w:t>
      </w:r>
      <w:proofErr w:type="spellEnd"/>
      <w:r>
        <w:rPr>
          <w:rFonts w:ascii="Book Antiqua" w:eastAsia="Book Antiqua" w:hAnsi="Book Antiqua" w:cs="Book Antiqua"/>
          <w:color w:val="000000"/>
          <w:szCs w:val="22"/>
        </w:rPr>
        <w:t xml:space="preserve"> before the admission to the hospital, which revealed lesions consistent with </w:t>
      </w:r>
      <w:r w:rsidR="00E37421">
        <w:rPr>
          <w:rFonts w:ascii="Book Antiqua" w:eastAsia="Book Antiqua" w:hAnsi="Book Antiqua" w:cs="Book Antiqua"/>
          <w:color w:val="000000"/>
          <w:szCs w:val="22"/>
        </w:rPr>
        <w:t>UC</w:t>
      </w:r>
      <w:r>
        <w:rPr>
          <w:rFonts w:ascii="Book Antiqua" w:eastAsia="Book Antiqua" w:hAnsi="Book Antiqua" w:cs="Book Antiqua"/>
          <w:color w:val="000000"/>
          <w:szCs w:val="22"/>
        </w:rPr>
        <w:t xml:space="preserve"> of moderate endoscopic activity (Mayo endoscopic score 2).</w:t>
      </w:r>
    </w:p>
    <w:p w14:paraId="31F6D673" w14:textId="77777777" w:rsidR="00A77B3E" w:rsidRDefault="00A77B3E">
      <w:pPr>
        <w:spacing w:line="360" w:lineRule="auto"/>
        <w:jc w:val="both"/>
      </w:pPr>
    </w:p>
    <w:p w14:paraId="658DD8DC" w14:textId="77777777" w:rsidR="00A77B3E" w:rsidRDefault="001B2C2C">
      <w:pPr>
        <w:spacing w:line="360" w:lineRule="auto"/>
        <w:jc w:val="both"/>
      </w:pPr>
      <w:r>
        <w:rPr>
          <w:rFonts w:ascii="Book Antiqua" w:eastAsia="Book Antiqua" w:hAnsi="Book Antiqua" w:cs="Book Antiqua"/>
          <w:b/>
          <w:i/>
          <w:color w:val="000000"/>
        </w:rPr>
        <w:t>History of present illness</w:t>
      </w:r>
    </w:p>
    <w:p w14:paraId="0DC55D05" w14:textId="77777777" w:rsidR="00A77B3E" w:rsidRDefault="001B2C2C">
      <w:pPr>
        <w:spacing w:line="360" w:lineRule="auto"/>
        <w:jc w:val="both"/>
      </w:pPr>
      <w:r>
        <w:rPr>
          <w:rFonts w:ascii="Book Antiqua" w:eastAsia="Book Antiqua" w:hAnsi="Book Antiqua" w:cs="Book Antiqua"/>
          <w:color w:val="000000"/>
          <w:szCs w:val="22"/>
        </w:rPr>
        <w:t xml:space="preserve">She was admitted to the emergency department in due to frequent liquid and bloody stool and intense abdominal pain for 2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with worsening of the symptoms during the last week, in poor condition with nausea, vomiting, and weight loss (10 kg) and without the improvement from the previous use of antibiotics.</w:t>
      </w:r>
    </w:p>
    <w:p w14:paraId="678E4E46" w14:textId="77777777" w:rsidR="00A77B3E" w:rsidRDefault="00A77B3E">
      <w:pPr>
        <w:spacing w:line="360" w:lineRule="auto"/>
        <w:jc w:val="both"/>
      </w:pPr>
    </w:p>
    <w:p w14:paraId="4468621A" w14:textId="77777777" w:rsidR="00A77B3E" w:rsidRDefault="001B2C2C">
      <w:pPr>
        <w:spacing w:line="360" w:lineRule="auto"/>
        <w:jc w:val="both"/>
      </w:pPr>
      <w:r>
        <w:rPr>
          <w:rFonts w:ascii="Book Antiqua" w:eastAsia="Book Antiqua" w:hAnsi="Book Antiqua" w:cs="Book Antiqua"/>
          <w:b/>
          <w:i/>
          <w:color w:val="000000"/>
        </w:rPr>
        <w:t>Physical examination</w:t>
      </w:r>
    </w:p>
    <w:p w14:paraId="73886711" w14:textId="537C9F45" w:rsidR="00A77B3E" w:rsidRDefault="001B2C2C">
      <w:pPr>
        <w:spacing w:line="360" w:lineRule="auto"/>
        <w:jc w:val="both"/>
      </w:pPr>
      <w:r>
        <w:rPr>
          <w:rFonts w:ascii="Book Antiqua" w:eastAsia="Book Antiqua" w:hAnsi="Book Antiqua" w:cs="Book Antiqua"/>
          <w:color w:val="000000"/>
          <w:szCs w:val="22"/>
        </w:rPr>
        <w:t>At hospital admission (</w:t>
      </w:r>
      <w:r w:rsidR="00D17E4E">
        <w:rPr>
          <w:rFonts w:ascii="Book Antiqua" w:eastAsia="Book Antiqua" w:hAnsi="Book Antiqua" w:cs="Book Antiqua"/>
          <w:color w:val="000000"/>
          <w:szCs w:val="22"/>
        </w:rPr>
        <w:t>d</w:t>
      </w:r>
      <w:r>
        <w:rPr>
          <w:rFonts w:ascii="Book Antiqua" w:eastAsia="Book Antiqua" w:hAnsi="Book Antiqua" w:cs="Book Antiqua"/>
          <w:color w:val="000000"/>
          <w:szCs w:val="22"/>
        </w:rPr>
        <w:t>ay 1 of hospital admission), the patient presented in poor condition, dehydrated, tachycardic (110 beat</w:t>
      </w:r>
      <w:r w:rsidR="00D17E4E">
        <w:rPr>
          <w:rFonts w:ascii="Book Antiqua" w:eastAsia="Book Antiqua" w:hAnsi="Book Antiqua" w:cs="Book Antiqua"/>
          <w:color w:val="000000"/>
          <w:szCs w:val="22"/>
        </w:rPr>
        <w:t>/</w:t>
      </w:r>
      <w:r>
        <w:rPr>
          <w:rFonts w:ascii="Book Antiqua" w:eastAsia="Book Antiqua" w:hAnsi="Book Antiqua" w:cs="Book Antiqua"/>
          <w:color w:val="000000"/>
          <w:szCs w:val="22"/>
        </w:rPr>
        <w:t>min), blood pressure 100</w:t>
      </w:r>
      <w:r w:rsidR="00D17E4E">
        <w:rPr>
          <w:rFonts w:ascii="Book Antiqua" w:eastAsia="Book Antiqua" w:hAnsi="Book Antiqua" w:cs="Book Antiqua"/>
          <w:color w:val="000000"/>
          <w:szCs w:val="22"/>
        </w:rPr>
        <w:t>/</w:t>
      </w:r>
      <w:r>
        <w:rPr>
          <w:rFonts w:ascii="Book Antiqua" w:eastAsia="Book Antiqua" w:hAnsi="Book Antiqua" w:cs="Book Antiqua"/>
          <w:color w:val="000000"/>
          <w:szCs w:val="22"/>
        </w:rPr>
        <w:t>60 mmHg, temperature &gt; 37.8</w:t>
      </w:r>
      <w:r w:rsidR="00D17E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 with distended and diffusely painful abdomen, and rebound tenderness.</w:t>
      </w:r>
    </w:p>
    <w:p w14:paraId="52E6FF65" w14:textId="77777777" w:rsidR="00A77B3E" w:rsidRDefault="00A77B3E">
      <w:pPr>
        <w:spacing w:line="360" w:lineRule="auto"/>
        <w:jc w:val="both"/>
      </w:pPr>
    </w:p>
    <w:p w14:paraId="02E0A83A" w14:textId="77777777" w:rsidR="00A77B3E" w:rsidRDefault="001B2C2C">
      <w:pPr>
        <w:spacing w:line="360" w:lineRule="auto"/>
        <w:jc w:val="both"/>
      </w:pPr>
      <w:r>
        <w:rPr>
          <w:rFonts w:ascii="Book Antiqua" w:eastAsia="Book Antiqua" w:hAnsi="Book Antiqua" w:cs="Book Antiqua"/>
          <w:b/>
          <w:i/>
          <w:color w:val="000000"/>
        </w:rPr>
        <w:t>Laboratory examinations</w:t>
      </w:r>
    </w:p>
    <w:p w14:paraId="7FA26713" w14:textId="47F39801" w:rsidR="00A77B3E" w:rsidRDefault="001B2C2C">
      <w:pPr>
        <w:spacing w:line="360" w:lineRule="auto"/>
        <w:jc w:val="both"/>
      </w:pPr>
      <w:r>
        <w:rPr>
          <w:rFonts w:ascii="Book Antiqua" w:eastAsia="Book Antiqua" w:hAnsi="Book Antiqua" w:cs="Book Antiqua"/>
          <w:color w:val="000000"/>
          <w:szCs w:val="22"/>
        </w:rPr>
        <w:t>Laboratory tests showed inflammatory process (C-reactive protein 20.3 mg/dL) and anemia (hematocrit 25.8%, hemoglobin 8.1</w:t>
      </w:r>
      <w:r w:rsidR="00D17E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g/dL) at admission (Table 1).</w:t>
      </w:r>
    </w:p>
    <w:p w14:paraId="145931FA" w14:textId="77777777" w:rsidR="00A77B3E" w:rsidRDefault="00A77B3E">
      <w:pPr>
        <w:spacing w:line="360" w:lineRule="auto"/>
        <w:jc w:val="both"/>
      </w:pPr>
    </w:p>
    <w:p w14:paraId="3CDF07C8" w14:textId="77777777" w:rsidR="00A77B3E" w:rsidRDefault="001B2C2C">
      <w:pPr>
        <w:spacing w:line="360" w:lineRule="auto"/>
        <w:jc w:val="both"/>
      </w:pPr>
      <w:r>
        <w:rPr>
          <w:rFonts w:ascii="Book Antiqua" w:eastAsia="Book Antiqua" w:hAnsi="Book Antiqua" w:cs="Book Antiqua"/>
          <w:b/>
          <w:i/>
          <w:color w:val="000000"/>
        </w:rPr>
        <w:t>Imaging examinations</w:t>
      </w:r>
    </w:p>
    <w:p w14:paraId="533A53D4" w14:textId="77777777" w:rsidR="00A77B3E" w:rsidRDefault="001B2C2C">
      <w:pPr>
        <w:spacing w:line="360" w:lineRule="auto"/>
        <w:jc w:val="both"/>
      </w:pPr>
      <w:r>
        <w:rPr>
          <w:rFonts w:ascii="Book Antiqua" w:eastAsia="Book Antiqua" w:hAnsi="Book Antiqua" w:cs="Book Antiqua"/>
          <w:color w:val="000000"/>
          <w:szCs w:val="22"/>
        </w:rPr>
        <w:t xml:space="preserve">Abdominal X-ray revealed colonic dilation of 7 cm, consistent with megacolon (Figure 1). </w:t>
      </w:r>
    </w:p>
    <w:p w14:paraId="7FAED37D" w14:textId="77777777" w:rsidR="00A77B3E" w:rsidRDefault="00A77B3E">
      <w:pPr>
        <w:spacing w:line="360" w:lineRule="auto"/>
        <w:jc w:val="both"/>
      </w:pPr>
    </w:p>
    <w:p w14:paraId="70F45CB1" w14:textId="2704D5BE" w:rsidR="00A77B3E" w:rsidRPr="003C1DA7" w:rsidRDefault="003C1DA7">
      <w:pPr>
        <w:spacing w:line="360" w:lineRule="auto"/>
        <w:jc w:val="both"/>
      </w:pPr>
      <w:r w:rsidRPr="003C1DA7">
        <w:rPr>
          <w:rFonts w:ascii="Book Antiqua" w:eastAsia="Book Antiqua" w:hAnsi="Book Antiqua" w:cs="Book Antiqua"/>
          <w:b/>
          <w:bCs/>
          <w:i/>
          <w:iCs/>
          <w:color w:val="000000"/>
          <w:szCs w:val="22"/>
        </w:rPr>
        <w:t>Further diagnostic work-up</w:t>
      </w:r>
    </w:p>
    <w:p w14:paraId="6994DCEC" w14:textId="0705A98F" w:rsidR="00A77B3E" w:rsidRDefault="001B2C2C">
      <w:pPr>
        <w:spacing w:line="360" w:lineRule="auto"/>
        <w:jc w:val="both"/>
      </w:pPr>
      <w:r>
        <w:rPr>
          <w:rFonts w:ascii="Book Antiqua" w:eastAsia="Book Antiqua" w:hAnsi="Book Antiqua" w:cs="Book Antiqua"/>
          <w:i/>
          <w:iCs/>
          <w:color w:val="000000"/>
          <w:szCs w:val="22"/>
        </w:rPr>
        <w:t>Clostridium difficile</w:t>
      </w:r>
      <w:r>
        <w:rPr>
          <w:rFonts w:ascii="Book Antiqua" w:eastAsia="Book Antiqua" w:hAnsi="Book Antiqua" w:cs="Book Antiqua"/>
          <w:color w:val="000000"/>
          <w:szCs w:val="22"/>
        </w:rPr>
        <w:t xml:space="preserve"> </w:t>
      </w:r>
      <w:r w:rsidR="00D17E4E">
        <w:rPr>
          <w:rFonts w:ascii="Book Antiqua" w:eastAsia="Book Antiqua" w:hAnsi="Book Antiqua" w:cs="Book Antiqua"/>
          <w:color w:val="000000"/>
          <w:szCs w:val="22"/>
        </w:rPr>
        <w:t>(</w:t>
      </w:r>
      <w:r w:rsidR="00D17E4E">
        <w:rPr>
          <w:rFonts w:ascii="Book Antiqua" w:eastAsia="Book Antiqua" w:hAnsi="Book Antiqua" w:cs="Book Antiqua"/>
          <w:i/>
          <w:iCs/>
          <w:color w:val="000000"/>
          <w:szCs w:val="22"/>
        </w:rPr>
        <w:t>C. difficile</w:t>
      </w:r>
      <w:r w:rsidR="00D17E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 and B toxin was positive, and the treatment with oral vancomycin 250</w:t>
      </w:r>
      <w:r w:rsidR="00D17E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mg </w:t>
      </w:r>
      <w:proofErr w:type="spellStart"/>
      <w:r>
        <w:rPr>
          <w:rFonts w:ascii="Book Antiqua" w:eastAsia="Book Antiqua" w:hAnsi="Book Antiqua" w:cs="Book Antiqua"/>
          <w:color w:val="000000"/>
          <w:szCs w:val="22"/>
        </w:rPr>
        <w:t>qid</w:t>
      </w:r>
      <w:proofErr w:type="spellEnd"/>
      <w:r>
        <w:rPr>
          <w:rFonts w:ascii="Book Antiqua" w:eastAsia="Book Antiqua" w:hAnsi="Book Antiqua" w:cs="Book Antiqua"/>
          <w:color w:val="000000"/>
          <w:szCs w:val="22"/>
        </w:rPr>
        <w:t xml:space="preserve"> was initiated. However, the patient presented with worsening of diarrhea and rectal bleeding (&gt;</w:t>
      </w:r>
      <w:r w:rsidR="00D17E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10 episodes/d), increased abdominal distension, and fever. A flexible sigmoidoscopy was performed (</w:t>
      </w:r>
      <w:r w:rsidR="00D17E4E">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ay 4 of hospital admission) and inserted up to 25 cm with no insufflation, showing ulcers covered by fibrin, mucosal friability, edema, and intense enanthem with spontaneous bleeding in sigmoid and rectum, consistent with </w:t>
      </w:r>
      <w:r w:rsidR="00E37421">
        <w:rPr>
          <w:rFonts w:ascii="Book Antiqua" w:eastAsia="Book Antiqua" w:hAnsi="Book Antiqua" w:cs="Book Antiqua"/>
          <w:color w:val="000000"/>
          <w:szCs w:val="22"/>
        </w:rPr>
        <w:t>UC</w:t>
      </w:r>
      <w:r>
        <w:rPr>
          <w:rFonts w:ascii="Book Antiqua" w:eastAsia="Book Antiqua" w:hAnsi="Book Antiqua" w:cs="Book Antiqua"/>
          <w:color w:val="000000"/>
          <w:szCs w:val="22"/>
        </w:rPr>
        <w:t xml:space="preserve"> of severe activity (Mayo endoscopic score 3)</w:t>
      </w:r>
      <w:r w:rsidR="00D17E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Figure 2</w:t>
      </w:r>
      <w:r w:rsidR="00D17E4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Histopathological evaluation showed chronic colitis in intense activity with structural abnormalities of the mucosa, presence of crypt micro-abscesses and plasmacytosis, consistent with severe inflammatory activity without the evidence of </w:t>
      </w:r>
      <w:r>
        <w:rPr>
          <w:rFonts w:ascii="Book Antiqua" w:eastAsia="Book Antiqua" w:hAnsi="Book Antiqua" w:cs="Book Antiqua"/>
          <w:i/>
          <w:iCs/>
          <w:color w:val="000000"/>
          <w:szCs w:val="22"/>
        </w:rPr>
        <w:t>C. difficile</w:t>
      </w:r>
      <w:r>
        <w:rPr>
          <w:rFonts w:ascii="Book Antiqua" w:eastAsia="Book Antiqua" w:hAnsi="Book Antiqua" w:cs="Book Antiqua"/>
          <w:color w:val="000000"/>
          <w:szCs w:val="22"/>
        </w:rPr>
        <w:t xml:space="preserve"> or cytomegalovirus infection.</w:t>
      </w:r>
    </w:p>
    <w:p w14:paraId="0EEC35DC" w14:textId="77777777" w:rsidR="00A77B3E" w:rsidRDefault="00A77B3E">
      <w:pPr>
        <w:spacing w:line="360" w:lineRule="auto"/>
        <w:jc w:val="both"/>
      </w:pPr>
    </w:p>
    <w:p w14:paraId="16DAF086" w14:textId="77777777" w:rsidR="00A77B3E" w:rsidRDefault="001B2C2C">
      <w:pPr>
        <w:spacing w:line="360" w:lineRule="auto"/>
        <w:jc w:val="both"/>
      </w:pPr>
      <w:r>
        <w:rPr>
          <w:rFonts w:ascii="Book Antiqua" w:eastAsia="Book Antiqua" w:hAnsi="Book Antiqua" w:cs="Book Antiqua"/>
          <w:b/>
          <w:caps/>
          <w:color w:val="000000"/>
          <w:u w:val="single"/>
        </w:rPr>
        <w:t>FINAL DIAGNOSIS</w:t>
      </w:r>
    </w:p>
    <w:p w14:paraId="6849EF9D" w14:textId="10F48B3E" w:rsidR="00A77B3E" w:rsidRDefault="001B2C2C">
      <w:pPr>
        <w:spacing w:line="360" w:lineRule="auto"/>
        <w:jc w:val="both"/>
      </w:pPr>
      <w:r>
        <w:rPr>
          <w:rFonts w:ascii="Book Antiqua" w:eastAsia="Book Antiqua" w:hAnsi="Book Antiqua" w:cs="Book Antiqua"/>
          <w:color w:val="000000"/>
          <w:szCs w:val="22"/>
        </w:rPr>
        <w:t xml:space="preserve">The final diagnosis was ASUC with a complication of </w:t>
      </w:r>
      <w:r w:rsidR="00D17E4E">
        <w:rPr>
          <w:rFonts w:ascii="Book Antiqua" w:eastAsia="Book Antiqua" w:hAnsi="Book Antiqua" w:cs="Book Antiqua"/>
          <w:i/>
          <w:iCs/>
          <w:color w:val="000000"/>
          <w:szCs w:val="22"/>
        </w:rPr>
        <w:t>C. difficile</w:t>
      </w:r>
      <w:r>
        <w:rPr>
          <w:rFonts w:ascii="Book Antiqua" w:eastAsia="Book Antiqua" w:hAnsi="Book Antiqua" w:cs="Book Antiqua"/>
          <w:color w:val="000000"/>
          <w:szCs w:val="22"/>
        </w:rPr>
        <w:t xml:space="preserve"> infection and megacolon.</w:t>
      </w:r>
    </w:p>
    <w:p w14:paraId="777A36F1" w14:textId="77777777" w:rsidR="00A77B3E" w:rsidRDefault="00A77B3E">
      <w:pPr>
        <w:spacing w:line="360" w:lineRule="auto"/>
        <w:jc w:val="both"/>
      </w:pPr>
    </w:p>
    <w:p w14:paraId="269AC4BF" w14:textId="77777777" w:rsidR="00A77B3E" w:rsidRDefault="001B2C2C">
      <w:pPr>
        <w:spacing w:line="360" w:lineRule="auto"/>
        <w:jc w:val="both"/>
      </w:pPr>
      <w:r>
        <w:rPr>
          <w:rFonts w:ascii="Book Antiqua" w:eastAsia="Book Antiqua" w:hAnsi="Book Antiqua" w:cs="Book Antiqua"/>
          <w:b/>
          <w:caps/>
          <w:color w:val="000000"/>
          <w:u w:val="single"/>
        </w:rPr>
        <w:t>TREATMENT</w:t>
      </w:r>
    </w:p>
    <w:p w14:paraId="1A7A9D58" w14:textId="1CD881B0" w:rsidR="00A77B3E" w:rsidRDefault="001B2C2C">
      <w:pPr>
        <w:spacing w:line="360" w:lineRule="auto"/>
        <w:jc w:val="both"/>
      </w:pPr>
      <w:r>
        <w:rPr>
          <w:rFonts w:ascii="Book Antiqua" w:eastAsia="Book Antiqua" w:hAnsi="Book Antiqua" w:cs="Book Antiqua"/>
          <w:color w:val="000000"/>
          <w:szCs w:val="22"/>
        </w:rPr>
        <w:t xml:space="preserve">Hydrocortisone 300 mg IV per day was started on </w:t>
      </w:r>
      <w:r w:rsidR="00D17E4E">
        <w:rPr>
          <w:rFonts w:ascii="Book Antiqua" w:eastAsia="Book Antiqua" w:hAnsi="Book Antiqua" w:cs="Book Antiqua"/>
          <w:color w:val="000000"/>
          <w:szCs w:val="22"/>
        </w:rPr>
        <w:t>d</w:t>
      </w:r>
      <w:r>
        <w:rPr>
          <w:rFonts w:ascii="Book Antiqua" w:eastAsia="Book Antiqua" w:hAnsi="Book Antiqua" w:cs="Book Antiqua"/>
          <w:color w:val="000000"/>
          <w:szCs w:val="22"/>
        </w:rPr>
        <w:t>ay 4 with resolution of the abdominal distension on X-ray (Figure 1), in addition to thromboembolic prophylaxis with heparin. Lab</w:t>
      </w:r>
      <w:r w:rsidR="00D17E4E" w:rsidRPr="00D17E4E">
        <w:rPr>
          <w:rFonts w:ascii="Book Antiqua" w:eastAsia="Book Antiqua" w:hAnsi="Book Antiqua" w:cs="Book Antiqua"/>
          <w:color w:val="000000"/>
          <w:szCs w:val="22"/>
        </w:rPr>
        <w:t>oratory</w:t>
      </w:r>
      <w:r>
        <w:rPr>
          <w:rFonts w:ascii="Book Antiqua" w:eastAsia="Book Antiqua" w:hAnsi="Book Antiqua" w:cs="Book Antiqua"/>
          <w:color w:val="000000"/>
          <w:szCs w:val="22"/>
        </w:rPr>
        <w:t xml:space="preserve"> exams showed C-reactive protein of 6.0 mg/dL (Table 1). However, the patients’ diarrhea and rectal bleeding persisted, and infliximab (5</w:t>
      </w:r>
      <w:r w:rsidR="00D17E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mg/kg) was indicated (</w:t>
      </w:r>
      <w:r w:rsidR="00D17E4E">
        <w:rPr>
          <w:rFonts w:ascii="Book Antiqua" w:eastAsia="Book Antiqua" w:hAnsi="Book Antiqua" w:cs="Book Antiqua"/>
          <w:color w:val="000000"/>
          <w:szCs w:val="22"/>
        </w:rPr>
        <w:t>d</w:t>
      </w:r>
      <w:r>
        <w:rPr>
          <w:rFonts w:ascii="Book Antiqua" w:eastAsia="Book Antiqua" w:hAnsi="Book Antiqua" w:cs="Book Antiqua"/>
          <w:color w:val="000000"/>
          <w:szCs w:val="22"/>
        </w:rPr>
        <w:t>ay 8 of hospital admission) for the treatment of ASUC.</w:t>
      </w:r>
    </w:p>
    <w:p w14:paraId="6CF2F728" w14:textId="77777777" w:rsidR="00A77B3E" w:rsidRDefault="00A77B3E">
      <w:pPr>
        <w:spacing w:line="360" w:lineRule="auto"/>
        <w:jc w:val="both"/>
      </w:pPr>
    </w:p>
    <w:p w14:paraId="4000B098" w14:textId="77777777" w:rsidR="00A77B3E" w:rsidRDefault="001B2C2C">
      <w:pPr>
        <w:spacing w:line="360" w:lineRule="auto"/>
        <w:jc w:val="both"/>
      </w:pPr>
      <w:r>
        <w:rPr>
          <w:rFonts w:ascii="Book Antiqua" w:eastAsia="Book Antiqua" w:hAnsi="Book Antiqua" w:cs="Book Antiqua"/>
          <w:b/>
          <w:caps/>
          <w:color w:val="000000"/>
          <w:u w:val="single"/>
        </w:rPr>
        <w:t>OUTCOME AND FOLLOW-UP</w:t>
      </w:r>
    </w:p>
    <w:p w14:paraId="758382D2" w14:textId="44548433" w:rsidR="00A77B3E" w:rsidRDefault="001B2C2C">
      <w:pPr>
        <w:spacing w:line="360" w:lineRule="auto"/>
        <w:jc w:val="both"/>
      </w:pPr>
      <w:r>
        <w:rPr>
          <w:rFonts w:ascii="Book Antiqua" w:eastAsia="Book Antiqua" w:hAnsi="Book Antiqua" w:cs="Book Antiqua"/>
          <w:color w:val="000000"/>
          <w:szCs w:val="22"/>
        </w:rPr>
        <w:t xml:space="preserve">After 1 </w:t>
      </w:r>
      <w:proofErr w:type="spellStart"/>
      <w:r>
        <w:rPr>
          <w:rFonts w:ascii="Book Antiqua" w:eastAsia="Book Antiqua" w:hAnsi="Book Antiqua" w:cs="Book Antiqua"/>
          <w:color w:val="000000"/>
          <w:szCs w:val="22"/>
        </w:rPr>
        <w:t>wk</w:t>
      </w:r>
      <w:proofErr w:type="spellEnd"/>
      <w:r>
        <w:rPr>
          <w:rFonts w:ascii="Book Antiqua" w:eastAsia="Book Antiqua" w:hAnsi="Book Antiqua" w:cs="Book Antiqua"/>
          <w:color w:val="000000"/>
          <w:szCs w:val="22"/>
        </w:rPr>
        <w:t xml:space="preserve"> from the first dose of infliximab (</w:t>
      </w:r>
      <w:r w:rsidR="00D17E4E">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ay 15 of hospital admission), infliximab serum level was 8.8 </w:t>
      </w:r>
      <w:proofErr w:type="spellStart"/>
      <w:r>
        <w:rPr>
          <w:rFonts w:ascii="Book Antiqua" w:eastAsia="Book Antiqua" w:hAnsi="Book Antiqua" w:cs="Book Antiqua"/>
          <w:color w:val="000000"/>
          <w:szCs w:val="22"/>
        </w:rPr>
        <w:t>μg</w:t>
      </w:r>
      <w:proofErr w:type="spellEnd"/>
      <w:r>
        <w:rPr>
          <w:rFonts w:ascii="Book Antiqua" w:eastAsia="Book Antiqua" w:hAnsi="Book Antiqua" w:cs="Book Antiqua"/>
          <w:color w:val="000000"/>
          <w:szCs w:val="22"/>
        </w:rPr>
        <w:t xml:space="preserve">/mL and fecal calprotectin was 921 </w:t>
      </w:r>
      <w:proofErr w:type="spellStart"/>
      <w:r>
        <w:rPr>
          <w:rFonts w:ascii="Book Antiqua" w:eastAsia="Book Antiqua" w:hAnsi="Book Antiqua" w:cs="Book Antiqua"/>
          <w:color w:val="000000"/>
          <w:szCs w:val="22"/>
        </w:rPr>
        <w:t>μg</w:t>
      </w:r>
      <w:proofErr w:type="spellEnd"/>
      <w:r>
        <w:rPr>
          <w:rFonts w:ascii="Book Antiqua" w:eastAsia="Book Antiqua" w:hAnsi="Book Antiqua" w:cs="Book Antiqua"/>
          <w:color w:val="000000"/>
          <w:szCs w:val="22"/>
        </w:rPr>
        <w:t xml:space="preserve">/g (&lt; 30 </w:t>
      </w:r>
      <w:proofErr w:type="spellStart"/>
      <w:r>
        <w:rPr>
          <w:rFonts w:ascii="Book Antiqua" w:eastAsia="Book Antiqua" w:hAnsi="Book Antiqua" w:cs="Book Antiqua"/>
          <w:color w:val="000000"/>
          <w:szCs w:val="22"/>
        </w:rPr>
        <w:t>μg</w:t>
      </w:r>
      <w:proofErr w:type="spellEnd"/>
      <w:r>
        <w:rPr>
          <w:rFonts w:ascii="Book Antiqua" w:eastAsia="Book Antiqua" w:hAnsi="Book Antiqua" w:cs="Book Antiqua"/>
          <w:color w:val="000000"/>
          <w:szCs w:val="22"/>
        </w:rPr>
        <w:t>/g) (Table 1). Due to the low infliximab trough level and the high fecal calprotectin reflecting the inflammatory process, the patient received a second infusion, based on the accelerated infliximab regimen. The patient significantly improved, with the reduction in stool frequency and cessation of rectal bleeding and abdominal pain. The patient was discharged receiving azathioprine 2</w:t>
      </w:r>
      <w:r w:rsidR="00D17E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mg/kg and prednisone 40</w:t>
      </w:r>
      <w:r w:rsidR="00D17E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mg/d</w:t>
      </w:r>
      <w:r w:rsidR="00D17E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(Table 1). After 1 </w:t>
      </w:r>
      <w:proofErr w:type="spellStart"/>
      <w:r>
        <w:rPr>
          <w:rFonts w:ascii="Book Antiqua" w:eastAsia="Book Antiqua" w:hAnsi="Book Antiqua" w:cs="Book Antiqua"/>
          <w:color w:val="000000"/>
          <w:szCs w:val="22"/>
        </w:rPr>
        <w:t>wk</w:t>
      </w:r>
      <w:proofErr w:type="spellEnd"/>
      <w:r>
        <w:rPr>
          <w:rFonts w:ascii="Book Antiqua" w:eastAsia="Book Antiqua" w:hAnsi="Book Antiqua" w:cs="Book Antiqua"/>
          <w:color w:val="000000"/>
          <w:szCs w:val="22"/>
        </w:rPr>
        <w:t xml:space="preserve"> of the second infusion of infliximab, the patients’ infliximab serum level was &gt; 20 </w:t>
      </w:r>
      <w:proofErr w:type="spellStart"/>
      <w:r>
        <w:rPr>
          <w:rFonts w:ascii="Book Antiqua" w:eastAsia="Book Antiqua" w:hAnsi="Book Antiqua" w:cs="Book Antiqua"/>
          <w:color w:val="000000"/>
          <w:szCs w:val="22"/>
        </w:rPr>
        <w:t>μg</w:t>
      </w:r>
      <w:proofErr w:type="spellEnd"/>
      <w:r>
        <w:rPr>
          <w:rFonts w:ascii="Book Antiqua" w:eastAsia="Book Antiqua" w:hAnsi="Book Antiqua" w:cs="Book Antiqua"/>
          <w:color w:val="000000"/>
          <w:szCs w:val="22"/>
        </w:rPr>
        <w:t xml:space="preserve">/mL, C-reactive protein was 2.7 mg/dL (Table 1), and she received the third infusion of infliximab, and corticosteroid tapering was started. After 30 d, she returned for the fourth infusion of infliximab, in clinical remission, reporting stool frequency of once per day and no abdominal pain or distension, and with infliximab serum level of 9.1 </w:t>
      </w:r>
      <w:proofErr w:type="spellStart"/>
      <w:r>
        <w:rPr>
          <w:rFonts w:ascii="Book Antiqua" w:eastAsia="Book Antiqua" w:hAnsi="Book Antiqua" w:cs="Book Antiqua"/>
          <w:color w:val="000000"/>
          <w:szCs w:val="22"/>
        </w:rPr>
        <w:t>μg</w:t>
      </w:r>
      <w:proofErr w:type="spellEnd"/>
      <w:r>
        <w:rPr>
          <w:rFonts w:ascii="Book Antiqua" w:eastAsia="Book Antiqua" w:hAnsi="Book Antiqua" w:cs="Book Antiqua"/>
          <w:color w:val="000000"/>
          <w:szCs w:val="22"/>
        </w:rPr>
        <w:t>/mL (Table 1). The patient received regular treatment with azathioprine and infliximab 5</w:t>
      </w:r>
      <w:r w:rsidR="00D17E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mg/kg every 8 </w:t>
      </w:r>
      <w:proofErr w:type="spellStart"/>
      <w:r>
        <w:rPr>
          <w:rFonts w:ascii="Book Antiqua" w:eastAsia="Book Antiqua" w:hAnsi="Book Antiqua" w:cs="Book Antiqua"/>
          <w:color w:val="000000"/>
          <w:szCs w:val="22"/>
        </w:rPr>
        <w:t>wk</w:t>
      </w:r>
      <w:proofErr w:type="spellEnd"/>
      <w:r>
        <w:rPr>
          <w:rFonts w:ascii="Book Antiqua" w:eastAsia="Book Antiqua" w:hAnsi="Book Antiqua" w:cs="Book Antiqua"/>
          <w:color w:val="000000"/>
          <w:szCs w:val="22"/>
        </w:rPr>
        <w:t xml:space="preserve"> for the maintenance of clinical and endoscopic remission (Figure 3).</w:t>
      </w:r>
    </w:p>
    <w:p w14:paraId="513E96B1" w14:textId="77777777" w:rsidR="00A77B3E" w:rsidRDefault="00A77B3E">
      <w:pPr>
        <w:spacing w:line="360" w:lineRule="auto"/>
        <w:jc w:val="both"/>
      </w:pPr>
    </w:p>
    <w:p w14:paraId="6927ED6C" w14:textId="77777777" w:rsidR="00A77B3E" w:rsidRDefault="001B2C2C">
      <w:pPr>
        <w:spacing w:line="360" w:lineRule="auto"/>
        <w:jc w:val="both"/>
      </w:pPr>
      <w:r>
        <w:rPr>
          <w:rFonts w:ascii="Book Antiqua" w:eastAsia="Book Antiqua" w:hAnsi="Book Antiqua" w:cs="Book Antiqua"/>
          <w:b/>
          <w:caps/>
          <w:color w:val="000000"/>
          <w:u w:val="single"/>
        </w:rPr>
        <w:t>DISCUSSION</w:t>
      </w:r>
    </w:p>
    <w:p w14:paraId="3BCC425E" w14:textId="50776B92" w:rsidR="00A77B3E" w:rsidRDefault="001B2C2C">
      <w:pPr>
        <w:spacing w:line="360" w:lineRule="auto"/>
        <w:jc w:val="both"/>
      </w:pPr>
      <w:r>
        <w:rPr>
          <w:rFonts w:ascii="Book Antiqua" w:eastAsia="Book Antiqua" w:hAnsi="Book Antiqua" w:cs="Book Antiqua"/>
          <w:color w:val="000000"/>
          <w:szCs w:val="22"/>
        </w:rPr>
        <w:t xml:space="preserve">ASUC and toxic megacolon are potentially serious and fatal complications of the </w:t>
      </w:r>
      <w:r w:rsidR="00E37421">
        <w:rPr>
          <w:rFonts w:ascii="Book Antiqua" w:eastAsia="Book Antiqua" w:hAnsi="Book Antiqua" w:cs="Book Antiqua"/>
          <w:color w:val="000000"/>
          <w:szCs w:val="22"/>
        </w:rPr>
        <w:t>UC</w:t>
      </w:r>
      <w:r>
        <w:rPr>
          <w:rFonts w:ascii="Book Antiqua" w:eastAsia="Book Antiqua" w:hAnsi="Book Antiqua" w:cs="Book Antiqua"/>
          <w:color w:val="000000"/>
          <w:szCs w:val="22"/>
        </w:rPr>
        <w:t xml:space="preserve"> which must be rapidly recognized and effectively treated to improve the mucosal lesions and prognosis of the patient. We reported the case of a young patient with a recent diagnosis of </w:t>
      </w:r>
      <w:r w:rsidR="00E37421">
        <w:rPr>
          <w:rFonts w:ascii="Book Antiqua" w:eastAsia="Book Antiqua" w:hAnsi="Book Antiqua" w:cs="Book Antiqua"/>
          <w:color w:val="000000"/>
          <w:szCs w:val="22"/>
        </w:rPr>
        <w:t>UC</w:t>
      </w:r>
      <w:r>
        <w:rPr>
          <w:rFonts w:ascii="Book Antiqua" w:eastAsia="Book Antiqua" w:hAnsi="Book Antiqua" w:cs="Book Antiqua"/>
          <w:color w:val="000000"/>
          <w:szCs w:val="22"/>
        </w:rPr>
        <w:t xml:space="preserve"> presenting two complications, successfully treated with intravenous corticosteroid and accelerated infliximab regimen, based on the serum levels of the medication. Monitoring drug level is as important tool in the therapeutic arsenal of inflammatory bowel disease and, particularly in the case reported, it was essential for the success of the treatment.</w:t>
      </w:r>
    </w:p>
    <w:p w14:paraId="261AECD6" w14:textId="10669755" w:rsidR="00A77B3E" w:rsidRDefault="001B2C2C" w:rsidP="00D17E4E">
      <w:pPr>
        <w:spacing w:line="360" w:lineRule="auto"/>
        <w:ind w:firstLineChars="100" w:firstLine="240"/>
        <w:jc w:val="both"/>
      </w:pPr>
      <w:r>
        <w:rPr>
          <w:rFonts w:ascii="Book Antiqua" w:eastAsia="Book Antiqua" w:hAnsi="Book Antiqua" w:cs="Book Antiqua"/>
          <w:color w:val="000000"/>
          <w:szCs w:val="22"/>
        </w:rPr>
        <w:t>The treatment of ASUC includes clinical support such as electrolyte disorder correction, nutritional therapy, and medications, but sometimes surgery might be necessary for refractory cases. Corticosteroids remain the first-line therapy</w:t>
      </w:r>
      <w:r>
        <w:rPr>
          <w:rFonts w:ascii="Book Antiqua" w:eastAsia="Book Antiqua" w:hAnsi="Book Antiqua" w:cs="Book Antiqua"/>
          <w:color w:val="000000"/>
          <w:szCs w:val="28"/>
          <w:vertAlign w:val="superscript"/>
        </w:rPr>
        <w:t>[5]</w:t>
      </w:r>
      <w:r>
        <w:rPr>
          <w:rFonts w:ascii="Book Antiqua" w:eastAsia="Book Antiqua" w:hAnsi="Book Antiqua" w:cs="Book Antiqua"/>
          <w:color w:val="000000"/>
          <w:szCs w:val="22"/>
        </w:rPr>
        <w:t>, but patients who do not respond to the high doses of intravenous corticosteroids and with stool frequency higher than eight times a day and C-reactive protein &gt; 45 mg/L often require surgical intervention</w:t>
      </w:r>
      <w:r>
        <w:rPr>
          <w:rFonts w:ascii="Book Antiqua" w:eastAsia="Book Antiqua" w:hAnsi="Book Antiqua" w:cs="Book Antiqua"/>
          <w:color w:val="000000"/>
          <w:szCs w:val="28"/>
          <w:vertAlign w:val="superscript"/>
        </w:rPr>
        <w:t>[1,2]</w:t>
      </w:r>
      <w:r>
        <w:rPr>
          <w:rFonts w:ascii="Book Antiqua" w:eastAsia="Book Antiqua" w:hAnsi="Book Antiqua" w:cs="Book Antiqua"/>
          <w:color w:val="000000"/>
          <w:szCs w:val="22"/>
        </w:rPr>
        <w:t xml:space="preserve">. Cyclosporine and, more recently, infliximab, have emerged as an advance in the management of severe </w:t>
      </w:r>
      <w:r w:rsidR="00E37421">
        <w:rPr>
          <w:rFonts w:ascii="Book Antiqua" w:eastAsia="Book Antiqua" w:hAnsi="Book Antiqua" w:cs="Book Antiqua"/>
          <w:color w:val="000000"/>
          <w:szCs w:val="22"/>
        </w:rPr>
        <w:t>UC</w:t>
      </w:r>
      <w:r>
        <w:rPr>
          <w:rFonts w:ascii="Book Antiqua" w:eastAsia="Book Antiqua" w:hAnsi="Book Antiqua" w:cs="Book Antiqua"/>
          <w:color w:val="000000"/>
          <w:szCs w:val="22"/>
        </w:rPr>
        <w:t>, and have been used as a rescue therapy for corticosteroid non-</w:t>
      </w:r>
      <w:proofErr w:type="gramStart"/>
      <w:r>
        <w:rPr>
          <w:rFonts w:ascii="Book Antiqua" w:eastAsia="Book Antiqua" w:hAnsi="Book Antiqua" w:cs="Book Antiqua"/>
          <w:color w:val="000000"/>
          <w:szCs w:val="22"/>
        </w:rPr>
        <w:t>responders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w:t>
      </w:r>
      <w:r>
        <w:rPr>
          <w:rFonts w:ascii="Book Antiqua" w:eastAsia="Book Antiqua" w:hAnsi="Book Antiqua" w:cs="Book Antiqua"/>
          <w:color w:val="000000"/>
          <w:szCs w:val="22"/>
        </w:rPr>
        <w:t xml:space="preserve">. Both are effective and comparable in the initial response and can reduce the need of early </w:t>
      </w:r>
      <w:proofErr w:type="gramStart"/>
      <w:r>
        <w:rPr>
          <w:rFonts w:ascii="Book Antiqua" w:eastAsia="Book Antiqua" w:hAnsi="Book Antiqua" w:cs="Book Antiqua"/>
          <w:color w:val="000000"/>
          <w:szCs w:val="22"/>
        </w:rPr>
        <w:t>colectomy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3,5]</w:t>
      </w:r>
      <w:r>
        <w:rPr>
          <w:rFonts w:ascii="Book Antiqua" w:eastAsia="Book Antiqua" w:hAnsi="Book Antiqua" w:cs="Book Antiqua"/>
          <w:color w:val="000000"/>
          <w:szCs w:val="22"/>
        </w:rPr>
        <w:t>, but many clinicians choose infliximab due to the absence of renal toxicity and facility of administration</w:t>
      </w:r>
      <w:r>
        <w:rPr>
          <w:rFonts w:ascii="Book Antiqua" w:eastAsia="Book Antiqua" w:hAnsi="Book Antiqua" w:cs="Book Antiqua"/>
          <w:color w:val="000000"/>
          <w:szCs w:val="28"/>
          <w:vertAlign w:val="superscript"/>
        </w:rPr>
        <w:t>[4,6]</w:t>
      </w:r>
      <w:r>
        <w:rPr>
          <w:rFonts w:ascii="Book Antiqua" w:eastAsia="Book Antiqua" w:hAnsi="Book Antiqua" w:cs="Book Antiqua"/>
          <w:color w:val="000000"/>
          <w:szCs w:val="22"/>
        </w:rPr>
        <w:t>, which was also done in our case.</w:t>
      </w:r>
    </w:p>
    <w:p w14:paraId="71FC9BAA" w14:textId="6001BAE9" w:rsidR="00A77B3E" w:rsidRDefault="001B2C2C" w:rsidP="00D17E4E">
      <w:pPr>
        <w:spacing w:line="360" w:lineRule="auto"/>
        <w:ind w:firstLineChars="100" w:firstLine="240"/>
        <w:jc w:val="both"/>
      </w:pPr>
      <w:r>
        <w:rPr>
          <w:rFonts w:ascii="Book Antiqua" w:eastAsia="Book Antiqua" w:hAnsi="Book Antiqua" w:cs="Book Antiqua"/>
          <w:color w:val="000000"/>
          <w:szCs w:val="22"/>
        </w:rPr>
        <w:t>Since ASUC is associated with high circulating levels of TNF-</w:t>
      </w:r>
      <w:proofErr w:type="gramStart"/>
      <w:r>
        <w:rPr>
          <w:rFonts w:ascii="Book Antiqua" w:eastAsia="Book Antiqua" w:hAnsi="Book Antiqua" w:cs="Book Antiqua"/>
          <w:color w:val="000000"/>
          <w:szCs w:val="22"/>
        </w:rPr>
        <w:t>α</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3]</w:t>
      </w:r>
      <w:r>
        <w:rPr>
          <w:rFonts w:ascii="Book Antiqua" w:eastAsia="Book Antiqua" w:hAnsi="Book Antiqua" w:cs="Book Antiqua"/>
          <w:color w:val="000000"/>
          <w:szCs w:val="22"/>
        </w:rPr>
        <w:t xml:space="preserve"> and fecal loss of the drug from an inflamed colon</w:t>
      </w:r>
      <w:r>
        <w:rPr>
          <w:rFonts w:ascii="Book Antiqua" w:eastAsia="Book Antiqua" w:hAnsi="Book Antiqua" w:cs="Book Antiqua"/>
          <w:color w:val="000000"/>
          <w:szCs w:val="28"/>
          <w:vertAlign w:val="superscript"/>
        </w:rPr>
        <w:t>[7]</w:t>
      </w:r>
      <w:r>
        <w:rPr>
          <w:rFonts w:ascii="Book Antiqua" w:eastAsia="Book Antiqua" w:hAnsi="Book Antiqua" w:cs="Book Antiqua"/>
          <w:color w:val="000000"/>
          <w:szCs w:val="22"/>
        </w:rPr>
        <w:t xml:space="preserve">, patients may benefit from the dose intensification. It can be done by the dose optimization for induction therapy prescribing 10 mg/kg and/or 3 infusions in 20 d, at weeks 0, 1, and 2, aiming to reduce the risk of colectomy during the induction </w:t>
      </w:r>
      <w:proofErr w:type="gramStart"/>
      <w:r>
        <w:rPr>
          <w:rFonts w:ascii="Book Antiqua" w:eastAsia="Book Antiqua" w:hAnsi="Book Antiqua" w:cs="Book Antiqua"/>
          <w:color w:val="000000"/>
          <w:szCs w:val="22"/>
        </w:rPr>
        <w:t>period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w:t>
      </w:r>
      <w:r>
        <w:rPr>
          <w:rFonts w:ascii="Book Antiqua" w:eastAsia="Book Antiqua" w:hAnsi="Book Antiqua" w:cs="Book Antiqua"/>
          <w:color w:val="000000"/>
          <w:szCs w:val="22"/>
        </w:rPr>
        <w:t>, or in 1 year</w:t>
      </w:r>
      <w:r>
        <w:rPr>
          <w:rFonts w:ascii="Book Antiqua" w:eastAsia="Book Antiqua" w:hAnsi="Book Antiqua" w:cs="Book Antiqua"/>
          <w:color w:val="000000"/>
          <w:szCs w:val="28"/>
          <w:vertAlign w:val="superscript"/>
        </w:rPr>
        <w:t>[4]</w:t>
      </w:r>
      <w:r>
        <w:rPr>
          <w:rFonts w:ascii="Book Antiqua" w:eastAsia="Book Antiqua" w:hAnsi="Book Antiqua" w:cs="Book Antiqua"/>
          <w:color w:val="000000"/>
          <w:szCs w:val="22"/>
        </w:rPr>
        <w:t xml:space="preserve">. Dose intensification is beneficial in at least 50% of the patients and can reduce the rate of early colectomy by up to 80%, although these data need to be confirmed in the prospective </w:t>
      </w:r>
      <w:proofErr w:type="gramStart"/>
      <w:r>
        <w:rPr>
          <w:rFonts w:ascii="Book Antiqua" w:eastAsia="Book Antiqua" w:hAnsi="Book Antiqua" w:cs="Book Antiqua"/>
          <w:color w:val="000000"/>
          <w:szCs w:val="22"/>
        </w:rPr>
        <w:t>studies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4]</w:t>
      </w:r>
      <w:r>
        <w:rPr>
          <w:rFonts w:ascii="Book Antiqua" w:eastAsia="Book Antiqua" w:hAnsi="Book Antiqua" w:cs="Book Antiqua"/>
          <w:color w:val="000000"/>
          <w:szCs w:val="22"/>
        </w:rPr>
        <w:t>.</w:t>
      </w:r>
    </w:p>
    <w:p w14:paraId="02ECC55E" w14:textId="34677576" w:rsidR="00A77B3E" w:rsidRDefault="001B2C2C" w:rsidP="00D17E4E">
      <w:pPr>
        <w:spacing w:line="360" w:lineRule="auto"/>
        <w:ind w:firstLineChars="100" w:firstLine="240"/>
        <w:jc w:val="both"/>
      </w:pPr>
      <w:r>
        <w:rPr>
          <w:rFonts w:ascii="Book Antiqua" w:eastAsia="Book Antiqua" w:hAnsi="Book Antiqua" w:cs="Book Antiqua"/>
          <w:color w:val="000000"/>
          <w:szCs w:val="22"/>
        </w:rPr>
        <w:t xml:space="preserve">On the other hand, a systematic review of short and long-term efficacy outcomes which included a total of 705 patients (308 received intensified infliximab therapy) showed no difference in the short or long-term colectomy rates in hospitalized ASUC </w:t>
      </w:r>
      <w:proofErr w:type="gramStart"/>
      <w:r>
        <w:rPr>
          <w:rFonts w:ascii="Book Antiqua" w:eastAsia="Book Antiqua" w:hAnsi="Book Antiqua" w:cs="Book Antiqua"/>
          <w:color w:val="000000"/>
          <w:szCs w:val="22"/>
        </w:rPr>
        <w:t>patients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18"/>
          <w:vertAlign w:val="superscript"/>
        </w:rPr>
        <w:t>8]</w:t>
      </w:r>
      <w:r>
        <w:rPr>
          <w:rFonts w:ascii="Book Antiqua" w:eastAsia="Book Antiqua" w:hAnsi="Book Antiqua" w:cs="Book Antiqua"/>
          <w:color w:val="000000"/>
          <w:szCs w:val="22"/>
        </w:rPr>
        <w:t xml:space="preserve">. Overall, the quality of data from the selected studies is poor and some of the factors, as the difference in disease severity, timing of the infliximab initiation and median interval to the second infusion, besides the use of variable doses and schedules for infliximab therapy, could have interfered with the </w:t>
      </w:r>
      <w:proofErr w:type="gramStart"/>
      <w:r>
        <w:rPr>
          <w:rFonts w:ascii="Book Antiqua" w:eastAsia="Book Antiqua" w:hAnsi="Book Antiqua" w:cs="Book Antiqua"/>
          <w:color w:val="000000"/>
          <w:szCs w:val="22"/>
        </w:rPr>
        <w:t>results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8]</w:t>
      </w:r>
      <w:r>
        <w:rPr>
          <w:rFonts w:ascii="Book Antiqua" w:eastAsia="Book Antiqua" w:hAnsi="Book Antiqua" w:cs="Book Antiqua"/>
          <w:color w:val="000000"/>
          <w:szCs w:val="22"/>
        </w:rPr>
        <w:t>. Likewise, a recent published retrospective study found that initial induction dosing strategy did not change the short</w:t>
      </w:r>
      <w:r w:rsidR="00D17E4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term or long-term colectomy rates, but a subgroup of patients who presented with more severe disease could benefit from intensified infliximab therapy, without any increase of complication </w:t>
      </w:r>
      <w:proofErr w:type="gramStart"/>
      <w:r>
        <w:rPr>
          <w:rFonts w:ascii="Book Antiqua" w:eastAsia="Book Antiqua" w:hAnsi="Book Antiqua" w:cs="Book Antiqua"/>
          <w:color w:val="000000"/>
          <w:szCs w:val="22"/>
        </w:rPr>
        <w:t>rates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9]</w:t>
      </w:r>
      <w:r>
        <w:rPr>
          <w:rFonts w:ascii="Book Antiqua" w:eastAsia="Book Antiqua" w:hAnsi="Book Antiqua" w:cs="Book Antiqua"/>
          <w:color w:val="000000"/>
          <w:szCs w:val="22"/>
        </w:rPr>
        <w:t xml:space="preserve">. A retrospective cohort study conducted by Chao </w:t>
      </w:r>
      <w:r w:rsidR="00D17E4E" w:rsidRPr="00D17E4E">
        <w:rPr>
          <w:rFonts w:ascii="Book Antiqua" w:eastAsia="Book Antiqua" w:hAnsi="Book Antiqua" w:cs="Book Antiqua"/>
          <w:i/>
          <w:iCs/>
          <w:color w:val="000000"/>
          <w:szCs w:val="22"/>
        </w:rPr>
        <w:t xml:space="preserve">et </w:t>
      </w:r>
      <w:proofErr w:type="gramStart"/>
      <w:r w:rsidR="00D17E4E" w:rsidRPr="00D17E4E">
        <w:rPr>
          <w:rFonts w:ascii="Book Antiqua" w:eastAsia="Book Antiqua" w:hAnsi="Book Antiqua" w:cs="Book Antiqua"/>
          <w:i/>
          <w:iCs/>
          <w:color w:val="000000"/>
          <w:szCs w:val="22"/>
        </w:rPr>
        <w:t>al</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10]</w:t>
      </w:r>
      <w:r>
        <w:rPr>
          <w:rFonts w:ascii="Book Antiqua" w:eastAsia="Book Antiqua" w:hAnsi="Book Antiqua" w:cs="Book Antiqua"/>
          <w:color w:val="000000"/>
          <w:szCs w:val="22"/>
        </w:rPr>
        <w:t xml:space="preserve"> also showed that a high-dose infliximab induction (10 mg/kg) was not superior to the standard infliximab induction (5</w:t>
      </w:r>
      <w:r w:rsidR="00D17E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mg/kg) in the colectomy rate reduction at 1, 3, or 24 mo. This question might be answered after the conclusion of the PREDICT-UC study, which is evaluating different infliximab induction strategies for the </w:t>
      </w:r>
      <w:proofErr w:type="gramStart"/>
      <w:r>
        <w:rPr>
          <w:rFonts w:ascii="Book Antiqua" w:eastAsia="Book Antiqua" w:hAnsi="Book Antiqua" w:cs="Book Antiqua"/>
          <w:color w:val="000000"/>
          <w:szCs w:val="22"/>
        </w:rPr>
        <w:t>ASUC</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11]</w:t>
      </w:r>
      <w:r>
        <w:rPr>
          <w:rFonts w:ascii="Book Antiqua" w:eastAsia="Book Antiqua" w:hAnsi="Book Antiqua" w:cs="Book Antiqua"/>
          <w:color w:val="000000"/>
          <w:szCs w:val="22"/>
        </w:rPr>
        <w:t>.</w:t>
      </w:r>
    </w:p>
    <w:p w14:paraId="505C5D52" w14:textId="5DF2C610" w:rsidR="00A77B3E" w:rsidRDefault="001B2C2C" w:rsidP="00D17E4E">
      <w:pPr>
        <w:spacing w:line="360" w:lineRule="auto"/>
        <w:ind w:firstLineChars="100" w:firstLine="240"/>
        <w:jc w:val="both"/>
      </w:pPr>
      <w:r>
        <w:rPr>
          <w:rFonts w:ascii="Book Antiqua" w:eastAsia="Book Antiqua" w:hAnsi="Book Antiqua" w:cs="Book Antiqua"/>
          <w:color w:val="000000"/>
          <w:szCs w:val="22"/>
        </w:rPr>
        <w:t xml:space="preserve">One possibility for the discrepancy between study results could be the absence of drug monitoring during the treatment. Despite the knowledge about the increased drug clearance and drug fecal loss through the inflamed mucosa of the </w:t>
      </w:r>
      <w:proofErr w:type="gramStart"/>
      <w:r>
        <w:rPr>
          <w:rFonts w:ascii="Book Antiqua" w:eastAsia="Book Antiqua" w:hAnsi="Book Antiqua" w:cs="Book Antiqua"/>
          <w:color w:val="000000"/>
          <w:szCs w:val="22"/>
        </w:rPr>
        <w:t>colon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4,6]</w:t>
      </w:r>
      <w:r>
        <w:rPr>
          <w:rFonts w:ascii="Book Antiqua" w:eastAsia="Book Antiqua" w:hAnsi="Book Antiqua" w:cs="Book Antiqua"/>
          <w:color w:val="000000"/>
          <w:szCs w:val="22"/>
        </w:rPr>
        <w:t>, the recommended drug trough level for treatment of ASUC is not established. The serum concentration of infliximab &lt;</w:t>
      </w:r>
      <w:r w:rsidR="00D17E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16.5 </w:t>
      </w:r>
      <w:proofErr w:type="spellStart"/>
      <w:r>
        <w:rPr>
          <w:rFonts w:ascii="Book Antiqua" w:eastAsia="Book Antiqua" w:hAnsi="Book Antiqua" w:cs="Book Antiqua"/>
          <w:color w:val="000000"/>
          <w:szCs w:val="22"/>
        </w:rPr>
        <w:t>μg</w:t>
      </w:r>
      <w:proofErr w:type="spellEnd"/>
      <w:r>
        <w:rPr>
          <w:rFonts w:ascii="Book Antiqua" w:eastAsia="Book Antiqua" w:hAnsi="Book Antiqua" w:cs="Book Antiqua"/>
          <w:color w:val="000000"/>
          <w:szCs w:val="22"/>
        </w:rPr>
        <w:t xml:space="preserve">/mL at week 2 was an independent predictor for colectomy </w:t>
      </w:r>
      <w:r w:rsidR="00D17E4E">
        <w:rPr>
          <w:rFonts w:ascii="Book Antiqua" w:eastAsia="Book Antiqua" w:hAnsi="Book Antiqua" w:cs="Book Antiqua"/>
          <w:color w:val="000000"/>
          <w:szCs w:val="22"/>
        </w:rPr>
        <w:t>[</w:t>
      </w:r>
      <w:bookmarkStart w:id="0" w:name="_Hlk62042000"/>
      <w:r w:rsidR="00D17E4E" w:rsidRPr="00616F4C">
        <w:rPr>
          <w:rFonts w:ascii="Book Antiqua" w:eastAsia="Book Antiqua" w:hAnsi="Book Antiqua" w:cs="Book Antiqua"/>
          <w:color w:val="000000"/>
        </w:rPr>
        <w:t>hazard ratio</w:t>
      </w:r>
      <w:bookmarkEnd w:id="0"/>
      <w:r w:rsidR="00D17E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(HR</w:t>
      </w:r>
      <w:r w:rsidR="00D17E4E">
        <w:rPr>
          <w:rFonts w:ascii="Book Antiqua" w:eastAsia="Book Antiqua" w:hAnsi="Book Antiqua" w:cs="Book Antiqua"/>
          <w:color w:val="000000"/>
          <w:szCs w:val="22"/>
        </w:rPr>
        <w:t>)</w:t>
      </w:r>
      <w:r>
        <w:rPr>
          <w:rFonts w:ascii="Book Antiqua" w:eastAsia="Book Antiqua" w:hAnsi="Book Antiqua" w:cs="Book Antiqua"/>
          <w:color w:val="000000"/>
          <w:szCs w:val="22"/>
        </w:rPr>
        <w:t>: 5.6; 95%</w:t>
      </w:r>
      <w:r w:rsidR="00D17E4E">
        <w:rPr>
          <w:rFonts w:ascii="Book Antiqua" w:eastAsia="Book Antiqua" w:hAnsi="Book Antiqua" w:cs="Book Antiqua"/>
          <w:color w:val="000000"/>
          <w:szCs w:val="22"/>
        </w:rPr>
        <w:t xml:space="preserve"> </w:t>
      </w:r>
      <w:bookmarkStart w:id="1" w:name="_Hlk58003882"/>
      <w:r w:rsidR="00D17E4E" w:rsidRPr="00616F4C">
        <w:rPr>
          <w:rFonts w:ascii="Book Antiqua" w:eastAsia="Malgun Gothic" w:hAnsi="Book Antiqua"/>
        </w:rPr>
        <w:t>confidence interval</w:t>
      </w:r>
      <w:bookmarkEnd w:id="1"/>
      <w:r w:rsidR="00D17E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CI</w:t>
      </w:r>
      <w:r w:rsidR="00D17E4E">
        <w:rPr>
          <w:rFonts w:ascii="Book Antiqua" w:eastAsia="Book Antiqua" w:hAnsi="Book Antiqua" w:cs="Book Antiqua"/>
          <w:color w:val="000000"/>
          <w:szCs w:val="22"/>
        </w:rPr>
        <w:t>)</w:t>
      </w:r>
      <w:r>
        <w:rPr>
          <w:rFonts w:ascii="Book Antiqua" w:eastAsia="Book Antiqua" w:hAnsi="Book Antiqua" w:cs="Book Antiqua"/>
          <w:color w:val="000000"/>
          <w:szCs w:val="22"/>
        </w:rPr>
        <w:t>: 1.1</w:t>
      </w:r>
      <w:r w:rsidR="00D17E4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27.8;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0.034</w:t>
      </w:r>
      <w:r w:rsidR="00D17E4E">
        <w:rPr>
          <w:rFonts w:ascii="Book Antiqua" w:eastAsia="Book Antiqua" w:hAnsi="Book Antiqua" w:cs="Book Antiqua"/>
          <w:color w:val="000000"/>
          <w:szCs w:val="22"/>
        </w:rPr>
        <w:t>]</w:t>
      </w:r>
      <w:r>
        <w:rPr>
          <w:rFonts w:ascii="Book Antiqua" w:eastAsia="Book Antiqua" w:hAnsi="Book Antiqua" w:cs="Book Antiqua"/>
          <w:color w:val="000000"/>
          <w:szCs w:val="22"/>
        </w:rPr>
        <w:t>, in addition to other factors such as the presence of severe colitis (HR: 24; 95%CI: 2.5</w:t>
      </w:r>
      <w:r w:rsidR="00D17E4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231;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0.006), C-reactive protein &gt; 5 mg/L (HR: 11; 95%CI: 2.1</w:t>
      </w:r>
      <w:r w:rsidR="0006416B">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58.8;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0.005) and albumin &lt;</w:t>
      </w:r>
      <w:r w:rsidR="0006416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40 g/L (HR: 9.5; 95%CI: 1.3</w:t>
      </w:r>
      <w:r w:rsidR="0006416B">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71.4;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0.026) in a study that evaluated 99 infliximab primary non-responders</w:t>
      </w:r>
      <w:r>
        <w:rPr>
          <w:rFonts w:ascii="Book Antiqua" w:eastAsia="Book Antiqua" w:hAnsi="Book Antiqua" w:cs="Book Antiqua"/>
          <w:color w:val="000000"/>
          <w:szCs w:val="28"/>
          <w:vertAlign w:val="superscript"/>
        </w:rPr>
        <w:t>[12]</w:t>
      </w:r>
      <w:r>
        <w:rPr>
          <w:rFonts w:ascii="Book Antiqua" w:eastAsia="Book Antiqua" w:hAnsi="Book Antiqua" w:cs="Book Antiqua"/>
          <w:color w:val="000000"/>
          <w:szCs w:val="22"/>
        </w:rPr>
        <w:t>. Similarly, a Hungarian study showed that the serum level of the infliximab biosimilar</w:t>
      </w:r>
      <w:r w:rsidR="00966CD5">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CTP-13</w:t>
      </w:r>
      <w:r w:rsidR="00966CD5">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at week 2 was associated with week 14 clinical response (11.5 </w:t>
      </w:r>
      <w:proofErr w:type="spellStart"/>
      <w:r>
        <w:rPr>
          <w:rFonts w:ascii="Book Antiqua" w:eastAsia="Book Antiqua" w:hAnsi="Book Antiqua" w:cs="Book Antiqua"/>
          <w:color w:val="000000"/>
          <w:szCs w:val="22"/>
        </w:rPr>
        <w:t>μg</w:t>
      </w:r>
      <w:proofErr w:type="spellEnd"/>
      <w:r>
        <w:rPr>
          <w:rFonts w:ascii="Book Antiqua" w:eastAsia="Book Antiqua" w:hAnsi="Book Antiqua" w:cs="Book Antiqua"/>
          <w:color w:val="000000"/>
          <w:szCs w:val="22"/>
        </w:rPr>
        <w:t xml:space="preserve">/mL) and remission (15.3 </w:t>
      </w:r>
      <w:proofErr w:type="spellStart"/>
      <w:r>
        <w:rPr>
          <w:rFonts w:ascii="Book Antiqua" w:eastAsia="Book Antiqua" w:hAnsi="Book Antiqua" w:cs="Book Antiqua"/>
          <w:color w:val="000000"/>
          <w:szCs w:val="22"/>
        </w:rPr>
        <w:t>μg</w:t>
      </w:r>
      <w:proofErr w:type="spellEnd"/>
      <w:r>
        <w:rPr>
          <w:rFonts w:ascii="Book Antiqua" w:eastAsia="Book Antiqua" w:hAnsi="Book Antiqua" w:cs="Book Antiqua"/>
          <w:color w:val="000000"/>
          <w:szCs w:val="22"/>
        </w:rPr>
        <w:t xml:space="preserve">/mL) as well as at week 30 with clinical response (11.5 </w:t>
      </w:r>
      <w:proofErr w:type="spellStart"/>
      <w:r>
        <w:rPr>
          <w:rFonts w:ascii="Book Antiqua" w:eastAsia="Book Antiqua" w:hAnsi="Book Antiqua" w:cs="Book Antiqua"/>
          <w:color w:val="000000"/>
          <w:szCs w:val="22"/>
        </w:rPr>
        <w:t>μg</w:t>
      </w:r>
      <w:proofErr w:type="spellEnd"/>
      <w:r>
        <w:rPr>
          <w:rFonts w:ascii="Book Antiqua" w:eastAsia="Book Antiqua" w:hAnsi="Book Antiqua" w:cs="Book Antiqua"/>
          <w:color w:val="000000"/>
          <w:szCs w:val="22"/>
        </w:rPr>
        <w:t xml:space="preserve">/mL) and remission (14.5 </w:t>
      </w:r>
      <w:proofErr w:type="spellStart"/>
      <w:r>
        <w:rPr>
          <w:rFonts w:ascii="Book Antiqua" w:eastAsia="Book Antiqua" w:hAnsi="Book Antiqua" w:cs="Book Antiqua"/>
          <w:color w:val="000000"/>
          <w:szCs w:val="22"/>
        </w:rPr>
        <w:t>μg</w:t>
      </w:r>
      <w:proofErr w:type="spellEnd"/>
      <w:r>
        <w:rPr>
          <w:rFonts w:ascii="Book Antiqua" w:eastAsia="Book Antiqua" w:hAnsi="Book Antiqua" w:cs="Book Antiqua"/>
          <w:color w:val="000000"/>
          <w:szCs w:val="22"/>
        </w:rPr>
        <w:t>/mL)</w:t>
      </w:r>
      <w:r>
        <w:rPr>
          <w:rFonts w:ascii="Book Antiqua" w:eastAsia="Book Antiqua" w:hAnsi="Book Antiqua" w:cs="Book Antiqua"/>
          <w:color w:val="000000"/>
          <w:szCs w:val="28"/>
          <w:vertAlign w:val="superscript"/>
        </w:rPr>
        <w:t>[13]</w:t>
      </w:r>
      <w:r>
        <w:rPr>
          <w:rFonts w:ascii="Book Antiqua" w:eastAsia="Book Antiqua" w:hAnsi="Book Antiqua" w:cs="Book Antiqua"/>
          <w:color w:val="000000"/>
          <w:szCs w:val="22"/>
        </w:rPr>
        <w:t xml:space="preserve">. In the present case, the patient had a serum infliximab concentration of 8.8 </w:t>
      </w:r>
      <w:proofErr w:type="spellStart"/>
      <w:r>
        <w:rPr>
          <w:rFonts w:ascii="Book Antiqua" w:eastAsia="Book Antiqua" w:hAnsi="Book Antiqua" w:cs="Book Antiqua"/>
          <w:color w:val="000000"/>
          <w:szCs w:val="22"/>
        </w:rPr>
        <w:t>μg</w:t>
      </w:r>
      <w:proofErr w:type="spellEnd"/>
      <w:r>
        <w:rPr>
          <w:rFonts w:ascii="Book Antiqua" w:eastAsia="Book Antiqua" w:hAnsi="Book Antiqua" w:cs="Book Antiqua"/>
          <w:color w:val="000000"/>
          <w:szCs w:val="22"/>
        </w:rPr>
        <w:t>/mL at week 1 of the treatment; therefore, below the recommended dosage of the aforementioned studies, so, a second infusion of infliximab was prescribed at this moment, based on the accelerated regimen. Longitudinal studies with determined outcomes are essential to define the ideal drug serum level in the patients with ASUC.</w:t>
      </w:r>
    </w:p>
    <w:p w14:paraId="0274F926" w14:textId="65155144" w:rsidR="00A77B3E" w:rsidRDefault="001B2C2C" w:rsidP="0006416B">
      <w:pPr>
        <w:spacing w:line="360" w:lineRule="auto"/>
        <w:ind w:firstLineChars="100" w:firstLine="240"/>
        <w:jc w:val="both"/>
      </w:pPr>
      <w:r>
        <w:rPr>
          <w:rFonts w:ascii="Book Antiqua" w:eastAsia="Book Antiqua" w:hAnsi="Book Antiqua" w:cs="Book Antiqua"/>
          <w:color w:val="000000"/>
          <w:szCs w:val="22"/>
        </w:rPr>
        <w:t xml:space="preserve">Toxic megacolon is characterized by the dilation of colon associated with systemic symptoms. It is usually related to </w:t>
      </w:r>
      <w:r w:rsidR="00E37421">
        <w:rPr>
          <w:rFonts w:ascii="Book Antiqua" w:eastAsia="Book Antiqua" w:hAnsi="Book Antiqua" w:cs="Book Antiqua"/>
          <w:color w:val="000000"/>
          <w:szCs w:val="22"/>
        </w:rPr>
        <w:t>UC</w:t>
      </w:r>
      <w:r>
        <w:rPr>
          <w:rFonts w:ascii="Book Antiqua" w:eastAsia="Book Antiqua" w:hAnsi="Book Antiqua" w:cs="Book Antiqua"/>
          <w:color w:val="000000"/>
          <w:szCs w:val="22"/>
        </w:rPr>
        <w:t xml:space="preserve">; however, it can also be secondary to the infections, such as </w:t>
      </w:r>
      <w:r>
        <w:rPr>
          <w:rFonts w:ascii="Book Antiqua" w:eastAsia="Book Antiqua" w:hAnsi="Book Antiqua" w:cs="Book Antiqua"/>
          <w:i/>
          <w:iCs/>
          <w:color w:val="000000"/>
          <w:szCs w:val="22"/>
        </w:rPr>
        <w:t>C. difficile</w:t>
      </w:r>
      <w:r>
        <w:rPr>
          <w:rFonts w:ascii="Book Antiqua" w:eastAsia="Book Antiqua" w:hAnsi="Book Antiqua" w:cs="Book Antiqua"/>
          <w:color w:val="000000"/>
          <w:szCs w:val="22"/>
        </w:rPr>
        <w:t xml:space="preserve">, ischemic colitis, volvulus, diverticulitis, and obstruction due to the colon </w:t>
      </w:r>
      <w:proofErr w:type="gramStart"/>
      <w:r>
        <w:rPr>
          <w:rFonts w:ascii="Book Antiqua" w:eastAsia="Book Antiqua" w:hAnsi="Book Antiqua" w:cs="Book Antiqua"/>
          <w:color w:val="000000"/>
          <w:szCs w:val="22"/>
        </w:rPr>
        <w:t>cancer</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w:t>
      </w:r>
      <w:r>
        <w:rPr>
          <w:rFonts w:ascii="Book Antiqua" w:eastAsia="Book Antiqua" w:hAnsi="Book Antiqua" w:cs="Book Antiqua"/>
          <w:color w:val="000000"/>
          <w:szCs w:val="22"/>
        </w:rPr>
        <w:t xml:space="preserve">. The use of intravenous corticosteroids associated with early colectomy reduced the mortality of patients and, in the referral centers, mortality varies around 3% or even </w:t>
      </w:r>
      <w:proofErr w:type="gramStart"/>
      <w:r>
        <w:rPr>
          <w:rFonts w:ascii="Book Antiqua" w:eastAsia="Book Antiqua" w:hAnsi="Book Antiqua" w:cs="Book Antiqua"/>
          <w:color w:val="000000"/>
          <w:szCs w:val="22"/>
        </w:rPr>
        <w:t>less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w:t>
      </w:r>
      <w:r>
        <w:rPr>
          <w:rFonts w:ascii="Book Antiqua" w:eastAsia="Book Antiqua" w:hAnsi="Book Antiqua" w:cs="Book Antiqua"/>
          <w:color w:val="000000"/>
          <w:szCs w:val="22"/>
        </w:rPr>
        <w:t xml:space="preserve">. Toxic megacolon management comprises treatment of the underlying disease and supportive care. In our case, the </w:t>
      </w:r>
      <w:r>
        <w:rPr>
          <w:rFonts w:ascii="Book Antiqua" w:eastAsia="Book Antiqua" w:hAnsi="Book Antiqua" w:cs="Book Antiqua"/>
          <w:i/>
          <w:iCs/>
          <w:color w:val="000000"/>
          <w:szCs w:val="22"/>
        </w:rPr>
        <w:t>C. difficile</w:t>
      </w:r>
      <w:r>
        <w:rPr>
          <w:rFonts w:ascii="Book Antiqua" w:eastAsia="Book Antiqua" w:hAnsi="Book Antiqua" w:cs="Book Antiqua"/>
          <w:color w:val="000000"/>
          <w:szCs w:val="22"/>
        </w:rPr>
        <w:t xml:space="preserve"> infection associated with ASUC could be the underlying cause of the megacolon. The patient improved after the management of the infection and the intravenous corticosteroid therapy. Patient’s monitoring must be continuous and performed by a multidisciplinary team to avoid intestinal perforation and systemic complications. In the face of any sign of complication, surgery should be indicated.</w:t>
      </w:r>
    </w:p>
    <w:p w14:paraId="5C86CF90" w14:textId="7DDB791D" w:rsidR="00A77B3E" w:rsidRDefault="001B2C2C" w:rsidP="0006416B">
      <w:pPr>
        <w:spacing w:line="360" w:lineRule="auto"/>
        <w:ind w:firstLineChars="100" w:firstLine="240"/>
        <w:jc w:val="both"/>
      </w:pPr>
      <w:r>
        <w:rPr>
          <w:rFonts w:ascii="Book Antiqua" w:eastAsia="Book Antiqua" w:hAnsi="Book Antiqua" w:cs="Book Antiqua"/>
          <w:color w:val="000000"/>
          <w:szCs w:val="22"/>
        </w:rPr>
        <w:t xml:space="preserve">This study reported a case of a young patient, diagnosed with ASUC associated with megacolon and </w:t>
      </w:r>
      <w:r>
        <w:rPr>
          <w:rFonts w:ascii="Book Antiqua" w:eastAsia="Book Antiqua" w:hAnsi="Book Antiqua" w:cs="Book Antiqua"/>
          <w:i/>
          <w:iCs/>
          <w:color w:val="000000"/>
          <w:szCs w:val="22"/>
        </w:rPr>
        <w:t>C. difficile</w:t>
      </w:r>
      <w:r>
        <w:rPr>
          <w:rFonts w:ascii="Book Antiqua" w:eastAsia="Book Antiqua" w:hAnsi="Book Antiqua" w:cs="Book Antiqua"/>
          <w:color w:val="000000"/>
          <w:szCs w:val="22"/>
        </w:rPr>
        <w:t xml:space="preserve"> infection. The patient improved from the megacolon due to the prescription of antibiotics for </w:t>
      </w:r>
      <w:r>
        <w:rPr>
          <w:rFonts w:ascii="Book Antiqua" w:eastAsia="Book Antiqua" w:hAnsi="Book Antiqua" w:cs="Book Antiqua"/>
          <w:i/>
          <w:iCs/>
          <w:color w:val="000000"/>
          <w:szCs w:val="22"/>
        </w:rPr>
        <w:t>C. difficile</w:t>
      </w:r>
      <w:r>
        <w:rPr>
          <w:rFonts w:ascii="Book Antiqua" w:eastAsia="Book Antiqua" w:hAnsi="Book Antiqua" w:cs="Book Antiqua"/>
          <w:color w:val="000000"/>
          <w:szCs w:val="22"/>
        </w:rPr>
        <w:t xml:space="preserve"> infection and intravenous hydrocortisone, but without any benefit for other symptoms. We opted for the accelerated infliximab treatment, based on the patient's clinical condition and serum level of medication. The patient achieved clinical improvement and endoscopic remission of </w:t>
      </w:r>
      <w:r w:rsidR="00E37421">
        <w:rPr>
          <w:rFonts w:ascii="Book Antiqua" w:eastAsia="Book Antiqua" w:hAnsi="Book Antiqua" w:cs="Book Antiqua"/>
          <w:color w:val="000000"/>
          <w:szCs w:val="22"/>
        </w:rPr>
        <w:t>UC</w:t>
      </w:r>
      <w:r>
        <w:rPr>
          <w:rFonts w:ascii="Book Antiqua" w:eastAsia="Book Antiqua" w:hAnsi="Book Antiqua" w:cs="Book Antiqua"/>
          <w:color w:val="000000"/>
          <w:szCs w:val="22"/>
        </w:rPr>
        <w:t xml:space="preserve">. Despite the success of the reported case, many questions remain unanswered and longitudinal studies are necessary to establish the best treatment regimen and therapeutic drug level for these patients. Furthermore, recent studies have emerged showing a potential treatment using tofacitinib, an oral small synthetic Janus kinase inhibitor, in ASUC, especially in biologic treatment experienced </w:t>
      </w:r>
      <w:proofErr w:type="gramStart"/>
      <w:r>
        <w:rPr>
          <w:rFonts w:ascii="Book Antiqua" w:eastAsia="Book Antiqua" w:hAnsi="Book Antiqua" w:cs="Book Antiqua"/>
          <w:color w:val="000000"/>
          <w:szCs w:val="22"/>
        </w:rPr>
        <w:t>patients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14]</w:t>
      </w:r>
      <w:r>
        <w:rPr>
          <w:rFonts w:ascii="Book Antiqua" w:eastAsia="Book Antiqua" w:hAnsi="Book Antiqua" w:cs="Book Antiqua"/>
          <w:color w:val="000000"/>
          <w:szCs w:val="22"/>
        </w:rPr>
        <w:t>.</w:t>
      </w:r>
    </w:p>
    <w:p w14:paraId="3AD5C053" w14:textId="77777777" w:rsidR="00A77B3E" w:rsidRDefault="001B2C2C" w:rsidP="0006416B">
      <w:pPr>
        <w:spacing w:line="360" w:lineRule="auto"/>
        <w:ind w:firstLineChars="100" w:firstLine="240"/>
        <w:jc w:val="both"/>
      </w:pPr>
      <w:r>
        <w:rPr>
          <w:rFonts w:ascii="Book Antiqua" w:eastAsia="Book Antiqua" w:hAnsi="Book Antiqua" w:cs="Book Antiqua"/>
          <w:color w:val="000000"/>
          <w:szCs w:val="22"/>
        </w:rPr>
        <w:t>The study has some limitations, such as being based in only 1 case, and the lack of calprotectin at all moments to assess the intestinal inflammation. Despite this, the reported case shows an example of success in the management of ASUC monitored by the serum dosage of the medication and future patients can benefit from this therapeutic strategy.</w:t>
      </w:r>
    </w:p>
    <w:p w14:paraId="3540080B" w14:textId="77777777" w:rsidR="00A77B3E" w:rsidRDefault="00A77B3E" w:rsidP="0006416B">
      <w:pPr>
        <w:spacing w:line="360" w:lineRule="auto"/>
        <w:jc w:val="both"/>
      </w:pPr>
    </w:p>
    <w:p w14:paraId="74816A4E" w14:textId="77777777" w:rsidR="00A77B3E" w:rsidRDefault="001B2C2C">
      <w:pPr>
        <w:spacing w:line="360" w:lineRule="auto"/>
        <w:jc w:val="both"/>
      </w:pPr>
      <w:r>
        <w:rPr>
          <w:rFonts w:ascii="Book Antiqua" w:eastAsia="Book Antiqua" w:hAnsi="Book Antiqua" w:cs="Book Antiqua"/>
          <w:b/>
          <w:caps/>
          <w:color w:val="000000"/>
          <w:u w:val="single"/>
        </w:rPr>
        <w:t>CONCLUSION</w:t>
      </w:r>
    </w:p>
    <w:p w14:paraId="23D82A26" w14:textId="77777777" w:rsidR="00A77B3E" w:rsidRDefault="001B2C2C">
      <w:pPr>
        <w:spacing w:line="360" w:lineRule="auto"/>
        <w:jc w:val="both"/>
      </w:pPr>
      <w:r>
        <w:rPr>
          <w:rFonts w:ascii="Book Antiqua" w:eastAsia="Book Antiqua" w:hAnsi="Book Antiqua" w:cs="Book Antiqua"/>
          <w:color w:val="000000"/>
          <w:szCs w:val="22"/>
        </w:rPr>
        <w:t>Infliximab accelerated infusions can be beneficial in ASUC patients unresponsive to the treatment with intravenous corticosteroids. Monitoring the drug levels in these cases is essential to guide the frequency of infusions. Longitudinal studies are necessary to define the best therapeutic drug monitoring and treatment regimen for these patients.</w:t>
      </w:r>
    </w:p>
    <w:p w14:paraId="36D5B85D" w14:textId="77777777" w:rsidR="00A77B3E" w:rsidRDefault="00A77B3E">
      <w:pPr>
        <w:spacing w:line="360" w:lineRule="auto"/>
        <w:jc w:val="both"/>
      </w:pPr>
    </w:p>
    <w:p w14:paraId="400EA958" w14:textId="77777777" w:rsidR="00A77B3E" w:rsidRDefault="001B2C2C">
      <w:pPr>
        <w:spacing w:line="360" w:lineRule="auto"/>
        <w:jc w:val="both"/>
      </w:pPr>
      <w:r>
        <w:rPr>
          <w:rFonts w:ascii="Book Antiqua" w:eastAsia="Book Antiqua" w:hAnsi="Book Antiqua" w:cs="Book Antiqua"/>
          <w:b/>
          <w:color w:val="000000"/>
        </w:rPr>
        <w:t>REFERENCES</w:t>
      </w:r>
    </w:p>
    <w:p w14:paraId="0D835B7B" w14:textId="77777777" w:rsidR="00A77B3E" w:rsidRDefault="001B2C2C">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Magro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Gionchetti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Eliakim</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Ardizzone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Armuzzi</w:t>
      </w:r>
      <w:proofErr w:type="spellEnd"/>
      <w:r>
        <w:rPr>
          <w:rFonts w:ascii="Book Antiqua" w:eastAsia="Book Antiqua" w:hAnsi="Book Antiqua" w:cs="Book Antiqua"/>
          <w:color w:val="000000"/>
        </w:rPr>
        <w:t xml:space="preserve"> A, Barreiro-de Acosta M, </w:t>
      </w:r>
      <w:proofErr w:type="spellStart"/>
      <w:r>
        <w:rPr>
          <w:rFonts w:ascii="Book Antiqua" w:eastAsia="Book Antiqua" w:hAnsi="Book Antiqua" w:cs="Book Antiqua"/>
          <w:color w:val="000000"/>
        </w:rPr>
        <w:t>Burisch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Gecse</w:t>
      </w:r>
      <w:proofErr w:type="spellEnd"/>
      <w:r>
        <w:rPr>
          <w:rFonts w:ascii="Book Antiqua" w:eastAsia="Book Antiqua" w:hAnsi="Book Antiqua" w:cs="Book Antiqua"/>
          <w:color w:val="000000"/>
        </w:rPr>
        <w:t xml:space="preserve"> KB, Hart AL, </w:t>
      </w:r>
      <w:proofErr w:type="spellStart"/>
      <w:r>
        <w:rPr>
          <w:rFonts w:ascii="Book Antiqua" w:eastAsia="Book Antiqua" w:hAnsi="Book Antiqua" w:cs="Book Antiqua"/>
          <w:color w:val="000000"/>
        </w:rPr>
        <w:t>Hindryckx</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Langner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Limdi</w:t>
      </w:r>
      <w:proofErr w:type="spellEnd"/>
      <w:r>
        <w:rPr>
          <w:rFonts w:ascii="Book Antiqua" w:eastAsia="Book Antiqua" w:hAnsi="Book Antiqua" w:cs="Book Antiqua"/>
          <w:color w:val="000000"/>
        </w:rPr>
        <w:t xml:space="preserve"> JK, </w:t>
      </w:r>
      <w:proofErr w:type="spellStart"/>
      <w:r>
        <w:rPr>
          <w:rFonts w:ascii="Book Antiqua" w:eastAsia="Book Antiqua" w:hAnsi="Book Antiqua" w:cs="Book Antiqua"/>
          <w:color w:val="000000"/>
        </w:rPr>
        <w:t>Pellino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Zagórowicz</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Raine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Harbord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Rieder</w:t>
      </w:r>
      <w:proofErr w:type="spellEnd"/>
      <w:r>
        <w:rPr>
          <w:rFonts w:ascii="Book Antiqua" w:eastAsia="Book Antiqua" w:hAnsi="Book Antiqua" w:cs="Book Antiqua"/>
          <w:color w:val="000000"/>
        </w:rPr>
        <w:t xml:space="preserve"> F; European Crohn’s and Colitis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[ECCO]. Third European Evidence-based Consensus on Diagnosis and Management of Ulcerative Colitis. Part 1: Definitions, Diagnosis, Extra-intestinal Manifestations, Pregnancy, Cancer Surveillance, Surgery, and Ileo-anal Pouch Disorders.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649-670 [PMID: 28158501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/jjx008]</w:t>
      </w:r>
    </w:p>
    <w:p w14:paraId="03592E3E" w14:textId="77777777" w:rsidR="00A77B3E" w:rsidRDefault="001B2C2C">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Daperno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Sostegni</w:t>
      </w:r>
      <w:proofErr w:type="spellEnd"/>
      <w:r>
        <w:rPr>
          <w:rFonts w:ascii="Book Antiqua" w:eastAsia="Book Antiqua" w:hAnsi="Book Antiqua" w:cs="Book Antiqua"/>
          <w:color w:val="000000"/>
        </w:rPr>
        <w:t xml:space="preserve"> R, Rocca R, </w:t>
      </w:r>
      <w:proofErr w:type="spellStart"/>
      <w:r>
        <w:rPr>
          <w:rFonts w:ascii="Book Antiqua" w:eastAsia="Book Antiqua" w:hAnsi="Book Antiqua" w:cs="Book Antiqua"/>
          <w:color w:val="000000"/>
        </w:rPr>
        <w:t>Rigazio</w:t>
      </w:r>
      <w:proofErr w:type="spellEnd"/>
      <w:r>
        <w:rPr>
          <w:rFonts w:ascii="Book Antiqua" w:eastAsia="Book Antiqua" w:hAnsi="Book Antiqua" w:cs="Book Antiqua"/>
          <w:color w:val="000000"/>
        </w:rPr>
        <w:t xml:space="preserve"> C, Scaglione N, </w:t>
      </w:r>
      <w:proofErr w:type="spellStart"/>
      <w:r>
        <w:rPr>
          <w:rFonts w:ascii="Book Antiqua" w:eastAsia="Book Antiqua" w:hAnsi="Book Antiqua" w:cs="Book Antiqua"/>
          <w:color w:val="000000"/>
        </w:rPr>
        <w:t>Castellino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Ercole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Pera</w:t>
      </w:r>
      <w:proofErr w:type="spellEnd"/>
      <w:r>
        <w:rPr>
          <w:rFonts w:ascii="Book Antiqua" w:eastAsia="Book Antiqua" w:hAnsi="Book Antiqua" w:cs="Book Antiqua"/>
          <w:color w:val="000000"/>
        </w:rPr>
        <w:t xml:space="preserve"> A. Review article: medical treatment of severe ulcerative colitis.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16 Suppl 4</w:t>
      </w:r>
      <w:r>
        <w:rPr>
          <w:rFonts w:ascii="Book Antiqua" w:eastAsia="Book Antiqua" w:hAnsi="Book Antiqua" w:cs="Book Antiqua"/>
          <w:color w:val="000000"/>
        </w:rPr>
        <w:t>: 7-12 [PMID: 12047253 DOI: 10.1046/j.1365-2036.16.s4.2.x]</w:t>
      </w:r>
    </w:p>
    <w:p w14:paraId="0F4FA89D" w14:textId="77777777" w:rsidR="00A77B3E" w:rsidRDefault="001B2C2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Gibson DJ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Heetun</w:t>
      </w:r>
      <w:proofErr w:type="spellEnd"/>
      <w:r>
        <w:rPr>
          <w:rFonts w:ascii="Book Antiqua" w:eastAsia="Book Antiqua" w:hAnsi="Book Antiqua" w:cs="Book Antiqua"/>
          <w:color w:val="000000"/>
        </w:rPr>
        <w:t xml:space="preserve"> ZS, Redmond CE, Nanda KS, Keegan D, Byrne K, Mulcahy HE, Cullen G, Doherty GA. An accelerated infliximab induction regimen reduces the need for early colectomy in patients with acute severe ulcerative colitis.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330-335.e1 [PMID: 25086187 DOI: 10.1016/j.cgh.2014.07.041]</w:t>
      </w:r>
    </w:p>
    <w:p w14:paraId="7E044953" w14:textId="77777777" w:rsidR="00A77B3E" w:rsidRDefault="001B2C2C">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Hindryckx</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Novak G, </w:t>
      </w:r>
      <w:proofErr w:type="spellStart"/>
      <w:r>
        <w:rPr>
          <w:rFonts w:ascii="Book Antiqua" w:eastAsia="Book Antiqua" w:hAnsi="Book Antiqua" w:cs="Book Antiqua"/>
          <w:color w:val="000000"/>
        </w:rPr>
        <w:t>Vande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Casteele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Laukens</w:t>
      </w:r>
      <w:proofErr w:type="spellEnd"/>
      <w:r>
        <w:rPr>
          <w:rFonts w:ascii="Book Antiqua" w:eastAsia="Book Antiqua" w:hAnsi="Book Antiqua" w:cs="Book Antiqua"/>
          <w:color w:val="000000"/>
        </w:rPr>
        <w:t xml:space="preserve"> D, Parker C, </w:t>
      </w:r>
      <w:proofErr w:type="spellStart"/>
      <w:r>
        <w:rPr>
          <w:rFonts w:ascii="Book Antiqua" w:eastAsia="Book Antiqua" w:hAnsi="Book Antiqua" w:cs="Book Antiqua"/>
          <w:color w:val="000000"/>
        </w:rPr>
        <w:t>Shackelton</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Narula</w:t>
      </w:r>
      <w:proofErr w:type="spellEnd"/>
      <w:r>
        <w:rPr>
          <w:rFonts w:ascii="Book Antiqua" w:eastAsia="Book Antiqua" w:hAnsi="Book Antiqua" w:cs="Book Antiqua"/>
          <w:color w:val="000000"/>
        </w:rPr>
        <w:t xml:space="preserve"> N, Khanna R, </w:t>
      </w:r>
      <w:proofErr w:type="spellStart"/>
      <w:r>
        <w:rPr>
          <w:rFonts w:ascii="Book Antiqua" w:eastAsia="Book Antiqua" w:hAnsi="Book Antiqua" w:cs="Book Antiqua"/>
          <w:color w:val="000000"/>
        </w:rPr>
        <w:t>Dulai</w:t>
      </w:r>
      <w:proofErr w:type="spellEnd"/>
      <w:r>
        <w:rPr>
          <w:rFonts w:ascii="Book Antiqua" w:eastAsia="Book Antiqua" w:hAnsi="Book Antiqua" w:cs="Book Antiqua"/>
          <w:color w:val="000000"/>
        </w:rPr>
        <w:t xml:space="preserve"> P, Levesque BG,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Feagan</w:t>
      </w:r>
      <w:proofErr w:type="spellEnd"/>
      <w:r>
        <w:rPr>
          <w:rFonts w:ascii="Book Antiqua" w:eastAsia="Book Antiqua" w:hAnsi="Book Antiqua" w:cs="Book Antiqua"/>
          <w:color w:val="000000"/>
        </w:rPr>
        <w:t xml:space="preserve"> BG, </w:t>
      </w:r>
      <w:proofErr w:type="spellStart"/>
      <w:r>
        <w:rPr>
          <w:rFonts w:ascii="Book Antiqua" w:eastAsia="Book Antiqua" w:hAnsi="Book Antiqua" w:cs="Book Antiqua"/>
          <w:color w:val="000000"/>
        </w:rPr>
        <w:t>Jairath</w:t>
      </w:r>
      <w:proofErr w:type="spellEnd"/>
      <w:r>
        <w:rPr>
          <w:rFonts w:ascii="Book Antiqua" w:eastAsia="Book Antiqua" w:hAnsi="Book Antiqua" w:cs="Book Antiqua"/>
          <w:color w:val="000000"/>
        </w:rPr>
        <w:t xml:space="preserve"> V. Review article: dose </w:t>
      </w:r>
      <w:proofErr w:type="spellStart"/>
      <w:r>
        <w:rPr>
          <w:rFonts w:ascii="Book Antiqua" w:eastAsia="Book Antiqua" w:hAnsi="Book Antiqua" w:cs="Book Antiqua"/>
          <w:color w:val="000000"/>
        </w:rPr>
        <w:t>optimisation</w:t>
      </w:r>
      <w:proofErr w:type="spellEnd"/>
      <w:r>
        <w:rPr>
          <w:rFonts w:ascii="Book Antiqua" w:eastAsia="Book Antiqua" w:hAnsi="Book Antiqua" w:cs="Book Antiqua"/>
          <w:color w:val="000000"/>
        </w:rPr>
        <w:t xml:space="preserve"> of infliximab for acute severe ulcerative colitis.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45</w:t>
      </w:r>
      <w:r>
        <w:rPr>
          <w:rFonts w:ascii="Book Antiqua" w:eastAsia="Book Antiqua" w:hAnsi="Book Antiqua" w:cs="Book Antiqua"/>
          <w:color w:val="000000"/>
        </w:rPr>
        <w:t>: 617-630 [PMID: 28074618 DOI: 10.1111/apt.13913]</w:t>
      </w:r>
    </w:p>
    <w:p w14:paraId="057E017F" w14:textId="77777777" w:rsidR="00A77B3E" w:rsidRDefault="001B2C2C">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Dulai</w:t>
      </w:r>
      <w:proofErr w:type="spellEnd"/>
      <w:r>
        <w:rPr>
          <w:rFonts w:ascii="Book Antiqua" w:eastAsia="Book Antiqua" w:hAnsi="Book Antiqua" w:cs="Book Antiqua"/>
          <w:b/>
          <w:bCs/>
          <w:color w:val="000000"/>
        </w:rPr>
        <w:t xml:space="preserve"> PS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Jairath</w:t>
      </w:r>
      <w:proofErr w:type="spellEnd"/>
      <w:r>
        <w:rPr>
          <w:rFonts w:ascii="Book Antiqua" w:eastAsia="Book Antiqua" w:hAnsi="Book Antiqua" w:cs="Book Antiqua"/>
          <w:color w:val="000000"/>
        </w:rPr>
        <w:t xml:space="preserve"> V. Acute severe ulcerative colitis: latest evidence and therapeutic implications.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Chronic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65-72 [PMID: 29387331 DOI: 10.1177/2040622317742095]</w:t>
      </w:r>
    </w:p>
    <w:p w14:paraId="4E0C20DB" w14:textId="77777777" w:rsidR="00A77B3E" w:rsidRDefault="001B2C2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Rosen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Minar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Vinks</w:t>
      </w:r>
      <w:proofErr w:type="spellEnd"/>
      <w:r>
        <w:rPr>
          <w:rFonts w:ascii="Book Antiqua" w:eastAsia="Book Antiqua" w:hAnsi="Book Antiqua" w:cs="Book Antiqua"/>
          <w:color w:val="000000"/>
        </w:rPr>
        <w:t xml:space="preserve"> AA. Review article: applying pharmacokinetics to </w:t>
      </w:r>
      <w:proofErr w:type="spellStart"/>
      <w:r>
        <w:rPr>
          <w:rFonts w:ascii="Book Antiqua" w:eastAsia="Book Antiqua" w:hAnsi="Book Antiqua" w:cs="Book Antiqua"/>
          <w:color w:val="000000"/>
        </w:rPr>
        <w:t>optimise</w:t>
      </w:r>
      <w:proofErr w:type="spellEnd"/>
      <w:r>
        <w:rPr>
          <w:rFonts w:ascii="Book Antiqua" w:eastAsia="Book Antiqua" w:hAnsi="Book Antiqua" w:cs="Book Antiqua"/>
          <w:color w:val="000000"/>
        </w:rPr>
        <w:t xml:space="preserve"> dosing of anti-TNF biologics in acute severe ulcerative colitis.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41</w:t>
      </w:r>
      <w:r>
        <w:rPr>
          <w:rFonts w:ascii="Book Antiqua" w:eastAsia="Book Antiqua" w:hAnsi="Book Antiqua" w:cs="Book Antiqua"/>
          <w:color w:val="000000"/>
        </w:rPr>
        <w:t>: 1094-1103 [PMID: 25809869 DOI: 10.1111/apt.13175]</w:t>
      </w:r>
    </w:p>
    <w:p w14:paraId="4255427B" w14:textId="77777777" w:rsidR="00A77B3E" w:rsidRDefault="001B2C2C">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Brandse</w:t>
      </w:r>
      <w:proofErr w:type="spellEnd"/>
      <w:r>
        <w:rPr>
          <w:rFonts w:ascii="Book Antiqua" w:eastAsia="Book Antiqua" w:hAnsi="Book Antiqua" w:cs="Book Antiqua"/>
          <w:b/>
          <w:bCs/>
          <w:color w:val="000000"/>
        </w:rPr>
        <w:t xml:space="preserve"> JF</w:t>
      </w:r>
      <w:r>
        <w:rPr>
          <w:rFonts w:ascii="Book Antiqua" w:eastAsia="Book Antiqua" w:hAnsi="Book Antiqua" w:cs="Book Antiqua"/>
          <w:color w:val="000000"/>
        </w:rPr>
        <w:t xml:space="preserve">, van den Brink GR, </w:t>
      </w:r>
      <w:proofErr w:type="spellStart"/>
      <w:r>
        <w:rPr>
          <w:rFonts w:ascii="Book Antiqua" w:eastAsia="Book Antiqua" w:hAnsi="Book Antiqua" w:cs="Book Antiqua"/>
          <w:color w:val="000000"/>
        </w:rPr>
        <w:t>Wildenberg</w:t>
      </w:r>
      <w:proofErr w:type="spellEnd"/>
      <w:r>
        <w:rPr>
          <w:rFonts w:ascii="Book Antiqua" w:eastAsia="Book Antiqua" w:hAnsi="Book Antiqua" w:cs="Book Antiqua"/>
          <w:color w:val="000000"/>
        </w:rPr>
        <w:t xml:space="preserve"> ME, van der </w:t>
      </w:r>
      <w:proofErr w:type="spellStart"/>
      <w:r>
        <w:rPr>
          <w:rFonts w:ascii="Book Antiqua" w:eastAsia="Book Antiqua" w:hAnsi="Book Antiqua" w:cs="Book Antiqua"/>
          <w:color w:val="000000"/>
        </w:rPr>
        <w:t>Kleij</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Rispens</w:t>
      </w:r>
      <w:proofErr w:type="spellEnd"/>
      <w:r>
        <w:rPr>
          <w:rFonts w:ascii="Book Antiqua" w:eastAsia="Book Antiqua" w:hAnsi="Book Antiqua" w:cs="Book Antiqua"/>
          <w:color w:val="000000"/>
        </w:rPr>
        <w:t xml:space="preserve"> T, Jansen JM, </w:t>
      </w:r>
      <w:proofErr w:type="spellStart"/>
      <w:r>
        <w:rPr>
          <w:rFonts w:ascii="Book Antiqua" w:eastAsia="Book Antiqua" w:hAnsi="Book Antiqua" w:cs="Book Antiqua"/>
          <w:color w:val="000000"/>
        </w:rPr>
        <w:t>Mathôt</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Ponsioen</w:t>
      </w:r>
      <w:proofErr w:type="spellEnd"/>
      <w:r>
        <w:rPr>
          <w:rFonts w:ascii="Book Antiqua" w:eastAsia="Book Antiqua" w:hAnsi="Book Antiqua" w:cs="Book Antiqua"/>
          <w:color w:val="000000"/>
        </w:rPr>
        <w:t xml:space="preserve"> CY, </w:t>
      </w:r>
      <w:proofErr w:type="spellStart"/>
      <w:r>
        <w:rPr>
          <w:rFonts w:ascii="Book Antiqua" w:eastAsia="Book Antiqua" w:hAnsi="Book Antiqua" w:cs="Book Antiqua"/>
          <w:color w:val="000000"/>
        </w:rPr>
        <w:t>Löwenberg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GR. Loss of Infliximab Into Feces Is Associated With Lack of Response to Therapy in Patients With Severe Ulcerative Colitis.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149</w:t>
      </w:r>
      <w:r>
        <w:rPr>
          <w:rFonts w:ascii="Book Antiqua" w:eastAsia="Book Antiqua" w:hAnsi="Book Antiqua" w:cs="Book Antiqua"/>
          <w:color w:val="000000"/>
        </w:rPr>
        <w:t>: 350-5.e2 [PMID: 25917786 DOI: 10.1053/j.gastro.2015.04.016]</w:t>
      </w:r>
    </w:p>
    <w:p w14:paraId="5BE4491D" w14:textId="77777777" w:rsidR="00A77B3E" w:rsidRDefault="001B2C2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Sebastian S</w:t>
      </w:r>
      <w:r>
        <w:rPr>
          <w:rFonts w:ascii="Book Antiqua" w:eastAsia="Book Antiqua" w:hAnsi="Book Antiqua" w:cs="Book Antiqua"/>
          <w:color w:val="000000"/>
        </w:rPr>
        <w:t xml:space="preserve">, Myers S, Nadir S, Subramanian S. Systematic Review: Efficacy and Safety of Accelerated Induction Regimes in Infliximab Rescue Therapy for Hospitalized Patients with Acute Severe Colitis.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64</w:t>
      </w:r>
      <w:r>
        <w:rPr>
          <w:rFonts w:ascii="Book Antiqua" w:eastAsia="Book Antiqua" w:hAnsi="Book Antiqua" w:cs="Book Antiqua"/>
          <w:color w:val="000000"/>
        </w:rPr>
        <w:t>: 1119-1128 [PMID: 30535888 DOI: 10.1007/s10620-018-5407-7]</w:t>
      </w:r>
    </w:p>
    <w:p w14:paraId="5FD5D4F8" w14:textId="77777777" w:rsidR="00A77B3E" w:rsidRDefault="001B2C2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Sebastian S</w:t>
      </w:r>
      <w:r>
        <w:rPr>
          <w:rFonts w:ascii="Book Antiqua" w:eastAsia="Book Antiqua" w:hAnsi="Book Antiqua" w:cs="Book Antiqua"/>
          <w:color w:val="000000"/>
        </w:rPr>
        <w:t xml:space="preserve">, Myers S, </w:t>
      </w:r>
      <w:proofErr w:type="spellStart"/>
      <w:r>
        <w:rPr>
          <w:rFonts w:ascii="Book Antiqua" w:eastAsia="Book Antiqua" w:hAnsi="Book Antiqua" w:cs="Book Antiqua"/>
          <w:color w:val="000000"/>
        </w:rPr>
        <w:t>Argyriou</w:t>
      </w:r>
      <w:proofErr w:type="spellEnd"/>
      <w:r>
        <w:rPr>
          <w:rFonts w:ascii="Book Antiqua" w:eastAsia="Book Antiqua" w:hAnsi="Book Antiqua" w:cs="Book Antiqua"/>
          <w:color w:val="000000"/>
        </w:rPr>
        <w:t xml:space="preserve"> K, Martin G, Los L, Fiske J, Ranjan R, Cooper B, </w:t>
      </w:r>
      <w:proofErr w:type="spellStart"/>
      <w:r>
        <w:rPr>
          <w:rFonts w:ascii="Book Antiqua" w:eastAsia="Book Antiqua" w:hAnsi="Book Antiqua" w:cs="Book Antiqua"/>
          <w:color w:val="000000"/>
        </w:rPr>
        <w:t>Goodoory</w:t>
      </w:r>
      <w:proofErr w:type="spellEnd"/>
      <w:r>
        <w:rPr>
          <w:rFonts w:ascii="Book Antiqua" w:eastAsia="Book Antiqua" w:hAnsi="Book Antiqua" w:cs="Book Antiqua"/>
          <w:color w:val="000000"/>
        </w:rPr>
        <w:t xml:space="preserve"> V, Ching HL, </w:t>
      </w:r>
      <w:proofErr w:type="spellStart"/>
      <w:r>
        <w:rPr>
          <w:rFonts w:ascii="Book Antiqua" w:eastAsia="Book Antiqua" w:hAnsi="Book Antiqua" w:cs="Book Antiqua"/>
          <w:color w:val="000000"/>
        </w:rPr>
        <w:t>Jayasooriya</w:t>
      </w:r>
      <w:proofErr w:type="spellEnd"/>
      <w:r>
        <w:rPr>
          <w:rFonts w:ascii="Book Antiqua" w:eastAsia="Book Antiqua" w:hAnsi="Book Antiqua" w:cs="Book Antiqua"/>
          <w:color w:val="000000"/>
        </w:rPr>
        <w:t xml:space="preserve"> N, Brooks J, </w:t>
      </w:r>
      <w:proofErr w:type="spellStart"/>
      <w:r>
        <w:rPr>
          <w:rFonts w:ascii="Book Antiqua" w:eastAsia="Book Antiqua" w:hAnsi="Book Antiqua" w:cs="Book Antiqua"/>
          <w:color w:val="000000"/>
        </w:rPr>
        <w:t>Dhar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Shenoy</w:t>
      </w:r>
      <w:proofErr w:type="spellEnd"/>
      <w:r>
        <w:rPr>
          <w:rFonts w:ascii="Book Antiqua" w:eastAsia="Book Antiqua" w:hAnsi="Book Antiqua" w:cs="Book Antiqua"/>
          <w:color w:val="000000"/>
        </w:rPr>
        <w:t xml:space="preserve"> AH, </w:t>
      </w:r>
      <w:proofErr w:type="spellStart"/>
      <w:r>
        <w:rPr>
          <w:rFonts w:ascii="Book Antiqua" w:eastAsia="Book Antiqua" w:hAnsi="Book Antiqua" w:cs="Book Antiqua"/>
          <w:color w:val="000000"/>
        </w:rPr>
        <w:t>Limdi</w:t>
      </w:r>
      <w:proofErr w:type="spellEnd"/>
      <w:r>
        <w:rPr>
          <w:rFonts w:ascii="Book Antiqua" w:eastAsia="Book Antiqua" w:hAnsi="Book Antiqua" w:cs="Book Antiqua"/>
          <w:color w:val="000000"/>
        </w:rPr>
        <w:t xml:space="preserve"> JK, Butterworth J, Allen PB, Samuel S, Moran GW, </w:t>
      </w:r>
      <w:proofErr w:type="spellStart"/>
      <w:r>
        <w:rPr>
          <w:rFonts w:ascii="Book Antiqua" w:eastAsia="Book Antiqua" w:hAnsi="Book Antiqua" w:cs="Book Antiqua"/>
          <w:color w:val="000000"/>
        </w:rPr>
        <w:t>Shenderey</w:t>
      </w:r>
      <w:proofErr w:type="spellEnd"/>
      <w:r>
        <w:rPr>
          <w:rFonts w:ascii="Book Antiqua" w:eastAsia="Book Antiqua" w:hAnsi="Book Antiqua" w:cs="Book Antiqua"/>
          <w:color w:val="000000"/>
        </w:rPr>
        <w:t xml:space="preserve"> R, Parkes G, Lobo A, Kennedy NA, Subramanian S, Raine T. Infliximab induction regimens in steroid-refractory acute severe colitis: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retrospective cohort study with propensity score analysis.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50</w:t>
      </w:r>
      <w:r>
        <w:rPr>
          <w:rFonts w:ascii="Book Antiqua" w:eastAsia="Book Antiqua" w:hAnsi="Book Antiqua" w:cs="Book Antiqua"/>
          <w:color w:val="000000"/>
        </w:rPr>
        <w:t>: 675-683 [PMID: 31456297 DOI: 10.1111/apt.15456]</w:t>
      </w:r>
    </w:p>
    <w:p w14:paraId="29581C77" w14:textId="77777777" w:rsidR="00A77B3E" w:rsidRDefault="001B2C2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Chao CY</w:t>
      </w:r>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Khoury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Aruljothy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Restellini</w:t>
      </w:r>
      <w:proofErr w:type="spellEnd"/>
      <w:r>
        <w:rPr>
          <w:rFonts w:ascii="Book Antiqua" w:eastAsia="Book Antiqua" w:hAnsi="Book Antiqua" w:cs="Book Antiqua"/>
          <w:color w:val="000000"/>
        </w:rPr>
        <w:t xml:space="preserve"> S, Wyse J, </w:t>
      </w:r>
      <w:proofErr w:type="spellStart"/>
      <w:r>
        <w:rPr>
          <w:rFonts w:ascii="Book Antiqua" w:eastAsia="Book Antiqua" w:hAnsi="Book Antiqua" w:cs="Book Antiqua"/>
          <w:color w:val="000000"/>
        </w:rPr>
        <w:t>Afif</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Bitton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Lakatos</w:t>
      </w:r>
      <w:proofErr w:type="spellEnd"/>
      <w:r>
        <w:rPr>
          <w:rFonts w:ascii="Book Antiqua" w:eastAsia="Book Antiqua" w:hAnsi="Book Antiqua" w:cs="Book Antiqua"/>
          <w:color w:val="000000"/>
        </w:rPr>
        <w:t xml:space="preserve"> PL, </w:t>
      </w:r>
      <w:proofErr w:type="spellStart"/>
      <w:r>
        <w:rPr>
          <w:rFonts w:ascii="Book Antiqua" w:eastAsia="Book Antiqua" w:hAnsi="Book Antiqua" w:cs="Book Antiqua"/>
          <w:color w:val="000000"/>
        </w:rPr>
        <w:t>Bessissow</w:t>
      </w:r>
      <w:proofErr w:type="spellEnd"/>
      <w:r>
        <w:rPr>
          <w:rFonts w:ascii="Book Antiqua" w:eastAsia="Book Antiqua" w:hAnsi="Book Antiqua" w:cs="Book Antiqua"/>
          <w:color w:val="000000"/>
        </w:rPr>
        <w:t xml:space="preserve"> T. High-Dose Infliximab Rescue Therapy for Hospitalized Acute Severe Ulcerative Colitis Does Not Improve Colectomy-Free Survival.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64</w:t>
      </w:r>
      <w:r>
        <w:rPr>
          <w:rFonts w:ascii="Book Antiqua" w:eastAsia="Book Antiqua" w:hAnsi="Book Antiqua" w:cs="Book Antiqua"/>
          <w:color w:val="000000"/>
        </w:rPr>
        <w:t>: 518-523 [PMID: 30446928 DOI: 10.1007/s10620-018-5358-z]</w:t>
      </w:r>
    </w:p>
    <w:p w14:paraId="3448CA10" w14:textId="0E722771" w:rsidR="00A77B3E" w:rsidRDefault="001B2C2C">
      <w:pPr>
        <w:spacing w:line="360" w:lineRule="auto"/>
        <w:jc w:val="both"/>
      </w:pPr>
      <w:r w:rsidRPr="00905198">
        <w:rPr>
          <w:rFonts w:ascii="Book Antiqua" w:eastAsia="Book Antiqua" w:hAnsi="Book Antiqua" w:cs="Book Antiqua"/>
          <w:color w:val="000000"/>
          <w:highlight w:val="yellow"/>
        </w:rPr>
        <w:t xml:space="preserve">11 </w:t>
      </w:r>
      <w:r w:rsidRPr="00905198">
        <w:rPr>
          <w:rFonts w:ascii="Book Antiqua" w:eastAsia="Book Antiqua" w:hAnsi="Book Antiqua" w:cs="Book Antiqua"/>
          <w:b/>
          <w:bCs/>
          <w:color w:val="000000"/>
          <w:highlight w:val="yellow"/>
        </w:rPr>
        <w:t>De Cruz P</w:t>
      </w:r>
      <w:r w:rsidRPr="00905198">
        <w:rPr>
          <w:rFonts w:ascii="Book Antiqua" w:eastAsia="Book Antiqua" w:hAnsi="Book Antiqua" w:cs="Book Antiqua"/>
          <w:color w:val="000000"/>
          <w:highlight w:val="yellow"/>
        </w:rPr>
        <w:t xml:space="preserve">. </w:t>
      </w:r>
      <w:proofErr w:type="spellStart"/>
      <w:r w:rsidRPr="00905198">
        <w:rPr>
          <w:rFonts w:ascii="Book Antiqua" w:eastAsia="Book Antiqua" w:hAnsi="Book Antiqua" w:cs="Book Antiqua"/>
          <w:color w:val="000000"/>
          <w:highlight w:val="yellow"/>
        </w:rPr>
        <w:t>Optimising</w:t>
      </w:r>
      <w:proofErr w:type="spellEnd"/>
      <w:r w:rsidRPr="00905198">
        <w:rPr>
          <w:rFonts w:ascii="Book Antiqua" w:eastAsia="Book Antiqua" w:hAnsi="Book Antiqua" w:cs="Book Antiqua"/>
          <w:color w:val="000000"/>
          <w:highlight w:val="yellow"/>
        </w:rPr>
        <w:t xml:space="preserve"> Infliximab induction therapy for acute severe ulcerative colitis (PREDICT-UC). </w:t>
      </w:r>
      <w:r w:rsidR="00952C1E" w:rsidRPr="00905198">
        <w:rPr>
          <w:rFonts w:ascii="Book Antiqua" w:eastAsia="Book Antiqua" w:hAnsi="Book Antiqua" w:cs="Book Antiqua"/>
          <w:color w:val="000000"/>
          <w:highlight w:val="yellow"/>
        </w:rPr>
        <w:t xml:space="preserve">[Accessed </w:t>
      </w:r>
      <w:r w:rsidR="00EA5EC2" w:rsidRPr="00905198">
        <w:rPr>
          <w:rFonts w:ascii="Book Antiqua" w:eastAsia="Book Antiqua" w:hAnsi="Book Antiqua" w:cs="Book Antiqua"/>
          <w:color w:val="000000"/>
          <w:highlight w:val="yellow"/>
        </w:rPr>
        <w:t>Apr 17</w:t>
      </w:r>
      <w:r w:rsidR="00EA5EC2">
        <w:rPr>
          <w:rFonts w:ascii="Book Antiqua" w:eastAsia="Book Antiqua" w:hAnsi="Book Antiqua" w:cs="Book Antiqua"/>
          <w:color w:val="000000"/>
          <w:highlight w:val="yellow"/>
        </w:rPr>
        <w:t xml:space="preserve">, </w:t>
      </w:r>
      <w:r w:rsidR="00952C1E" w:rsidRPr="00905198">
        <w:rPr>
          <w:rFonts w:ascii="Book Antiqua" w:eastAsia="Book Antiqua" w:hAnsi="Book Antiqua" w:cs="Book Antiqua"/>
          <w:color w:val="000000"/>
          <w:highlight w:val="yellow"/>
        </w:rPr>
        <w:t xml:space="preserve">2020]. </w:t>
      </w:r>
      <w:r w:rsidR="00952C1E" w:rsidRPr="00905198">
        <w:rPr>
          <w:rFonts w:ascii="Book Antiqua" w:eastAsia="Times New Roman" w:hAnsi="Book Antiqua"/>
          <w:bCs/>
          <w:color w:val="000000" w:themeColor="text1"/>
          <w:highlight w:val="yellow"/>
        </w:rPr>
        <w:t>In: ClinicalTrials.gov [Internet]. Melbourne (Victoria): Austin Health</w:t>
      </w:r>
      <w:r w:rsidR="00905198" w:rsidRPr="00905198">
        <w:rPr>
          <w:rFonts w:ascii="Book Antiqua" w:eastAsia="Times New Roman" w:hAnsi="Book Antiqua"/>
          <w:bCs/>
          <w:color w:val="000000" w:themeColor="text1"/>
          <w:highlight w:val="yellow"/>
        </w:rPr>
        <w:t>.</w:t>
      </w:r>
      <w:r w:rsidR="00952C1E" w:rsidRPr="00905198">
        <w:rPr>
          <w:rFonts w:ascii="Book Antiqua" w:eastAsia="Times New Roman" w:hAnsi="Book Antiqua"/>
          <w:bCs/>
          <w:color w:val="000000" w:themeColor="text1"/>
          <w:highlight w:val="yellow"/>
        </w:rPr>
        <w:t xml:space="preserve"> </w:t>
      </w:r>
      <w:r w:rsidR="00B36FE6" w:rsidRPr="00905198">
        <w:rPr>
          <w:rFonts w:ascii="Book Antiqua" w:eastAsia="Book Antiqua" w:hAnsi="Book Antiqua" w:cs="Book Antiqua"/>
          <w:color w:val="000000"/>
          <w:highlight w:val="yellow"/>
        </w:rPr>
        <w:t>ClinicalTrials.gov</w:t>
      </w:r>
      <w:r w:rsidR="00194FC9">
        <w:rPr>
          <w:rFonts w:ascii="Book Antiqua" w:eastAsia="Book Antiqua" w:hAnsi="Book Antiqua" w:cs="Book Antiqua"/>
          <w:color w:val="000000"/>
          <w:highlight w:val="yellow"/>
        </w:rPr>
        <w:t>.</w:t>
      </w:r>
      <w:r w:rsidR="00B36FE6" w:rsidRPr="00905198">
        <w:rPr>
          <w:rFonts w:ascii="Book Antiqua" w:eastAsia="Book Antiqua" w:hAnsi="Book Antiqua" w:cs="Book Antiqua"/>
          <w:color w:val="000000"/>
          <w:highlight w:val="yellow"/>
        </w:rPr>
        <w:t xml:space="preserve"> Identifier: NCT02770040</w:t>
      </w:r>
      <w:r w:rsidR="00B36FE6">
        <w:rPr>
          <w:rFonts w:hint="eastAsia"/>
          <w:lang w:eastAsia="zh-CN"/>
        </w:rPr>
        <w:t xml:space="preserve"> </w:t>
      </w:r>
      <w:r w:rsidRPr="00905198">
        <w:rPr>
          <w:rFonts w:ascii="Book Antiqua" w:eastAsia="Book Antiqua" w:hAnsi="Book Antiqua" w:cs="Book Antiqua"/>
          <w:color w:val="000000"/>
          <w:highlight w:val="yellow"/>
        </w:rPr>
        <w:t xml:space="preserve">Available from: </w:t>
      </w:r>
      <w:r w:rsidR="00952C1E" w:rsidRPr="00905198">
        <w:rPr>
          <w:rFonts w:ascii="Book Antiqua" w:eastAsia="Book Antiqua" w:hAnsi="Book Antiqua" w:cs="Book Antiqua"/>
          <w:color w:val="000000"/>
          <w:highlight w:val="yellow"/>
        </w:rPr>
        <w:t xml:space="preserve">https://clinicaltrials.gov/ct2/show/NCT02770040 </w:t>
      </w:r>
    </w:p>
    <w:p w14:paraId="677C9091" w14:textId="77777777" w:rsidR="00A77B3E" w:rsidRDefault="001B2C2C">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Papamichael</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Rivals-</w:t>
      </w:r>
      <w:proofErr w:type="spellStart"/>
      <w:r>
        <w:rPr>
          <w:rFonts w:ascii="Book Antiqua" w:eastAsia="Book Antiqua" w:hAnsi="Book Antiqua" w:cs="Book Antiqua"/>
          <w:color w:val="000000"/>
        </w:rPr>
        <w:t>Lerebours</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Billiet</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Vande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Casteele</w:t>
      </w:r>
      <w:proofErr w:type="spellEnd"/>
      <w:r>
        <w:rPr>
          <w:rFonts w:ascii="Book Antiqua" w:eastAsia="Book Antiqua" w:hAnsi="Book Antiqua" w:cs="Book Antiqua"/>
          <w:color w:val="000000"/>
        </w:rPr>
        <w:t xml:space="preserve"> N, Gils A, Ferrante M, Van </w:t>
      </w:r>
      <w:proofErr w:type="spellStart"/>
      <w:r>
        <w:rPr>
          <w:rFonts w:ascii="Book Antiqua" w:eastAsia="Book Antiqua" w:hAnsi="Book Antiqua" w:cs="Book Antiqua"/>
          <w:color w:val="000000"/>
        </w:rPr>
        <w:t>Assche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Rutgeerts</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Mantzaris</w:t>
      </w:r>
      <w:proofErr w:type="spellEnd"/>
      <w:r>
        <w:rPr>
          <w:rFonts w:ascii="Book Antiqua" w:eastAsia="Book Antiqua" w:hAnsi="Book Antiqua" w:cs="Book Antiqua"/>
          <w:color w:val="000000"/>
        </w:rPr>
        <w:t xml:space="preserve"> GJ,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Vermeire</w:t>
      </w:r>
      <w:proofErr w:type="spellEnd"/>
      <w:r>
        <w:rPr>
          <w:rFonts w:ascii="Book Antiqua" w:eastAsia="Book Antiqua" w:hAnsi="Book Antiqua" w:cs="Book Antiqua"/>
          <w:color w:val="000000"/>
        </w:rPr>
        <w:t xml:space="preserve"> S. Long-Term Outcome of Patients with Ulcerative Colitis and Primary Non-response to Infliximab.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1015-1023 [PMID: 27022161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/jjw067]</w:t>
      </w:r>
    </w:p>
    <w:p w14:paraId="30C2F2D4" w14:textId="77777777" w:rsidR="00A77B3E" w:rsidRDefault="001B2C2C">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Gonczi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Vegh</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Golovics</w:t>
      </w:r>
      <w:proofErr w:type="spellEnd"/>
      <w:r>
        <w:rPr>
          <w:rFonts w:ascii="Book Antiqua" w:eastAsia="Book Antiqua" w:hAnsi="Book Antiqua" w:cs="Book Antiqua"/>
          <w:color w:val="000000"/>
        </w:rPr>
        <w:t xml:space="preserve"> PA, </w:t>
      </w:r>
      <w:proofErr w:type="spellStart"/>
      <w:r>
        <w:rPr>
          <w:rFonts w:ascii="Book Antiqua" w:eastAsia="Book Antiqua" w:hAnsi="Book Antiqua" w:cs="Book Antiqua"/>
          <w:color w:val="000000"/>
        </w:rPr>
        <w:t>Rutka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Gecse</w:t>
      </w:r>
      <w:proofErr w:type="spellEnd"/>
      <w:r>
        <w:rPr>
          <w:rFonts w:ascii="Book Antiqua" w:eastAsia="Book Antiqua" w:hAnsi="Book Antiqua" w:cs="Book Antiqua"/>
          <w:color w:val="000000"/>
        </w:rPr>
        <w:t xml:space="preserve"> KB, </w:t>
      </w:r>
      <w:proofErr w:type="spellStart"/>
      <w:r>
        <w:rPr>
          <w:rFonts w:ascii="Book Antiqua" w:eastAsia="Book Antiqua" w:hAnsi="Book Antiqua" w:cs="Book Antiqua"/>
          <w:color w:val="000000"/>
        </w:rPr>
        <w:t>Bor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Farkas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Szamosi</w:t>
      </w:r>
      <w:proofErr w:type="spellEnd"/>
      <w:r>
        <w:rPr>
          <w:rFonts w:ascii="Book Antiqua" w:eastAsia="Book Antiqua" w:hAnsi="Book Antiqua" w:cs="Book Antiqua"/>
          <w:color w:val="000000"/>
        </w:rPr>
        <w:t xml:space="preserve"> T, Bene L, </w:t>
      </w:r>
      <w:proofErr w:type="spellStart"/>
      <w:r>
        <w:rPr>
          <w:rFonts w:ascii="Book Antiqua" w:eastAsia="Book Antiqua" w:hAnsi="Book Antiqua" w:cs="Book Antiqua"/>
          <w:color w:val="000000"/>
        </w:rPr>
        <w:t>Gasztonyi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Kristóf</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Lakatos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Miheller</w:t>
      </w:r>
      <w:proofErr w:type="spellEnd"/>
      <w:r>
        <w:rPr>
          <w:rFonts w:ascii="Book Antiqua" w:eastAsia="Book Antiqua" w:hAnsi="Book Antiqua" w:cs="Book Antiqua"/>
          <w:color w:val="000000"/>
        </w:rPr>
        <w:t xml:space="preserve"> P, Palatka K, Papp M, </w:t>
      </w:r>
      <w:proofErr w:type="spellStart"/>
      <w:r>
        <w:rPr>
          <w:rFonts w:ascii="Book Antiqua" w:eastAsia="Book Antiqua" w:hAnsi="Book Antiqua" w:cs="Book Antiqua"/>
          <w:color w:val="000000"/>
        </w:rPr>
        <w:t>Patai</w:t>
      </w:r>
      <w:proofErr w:type="spellEnd"/>
      <w:r>
        <w:rPr>
          <w:rFonts w:ascii="Book Antiqua" w:eastAsia="Book Antiqua" w:hAnsi="Book Antiqua" w:cs="Book Antiqua"/>
          <w:color w:val="000000"/>
        </w:rPr>
        <w:t xml:space="preserve"> Á, </w:t>
      </w:r>
      <w:proofErr w:type="spellStart"/>
      <w:r>
        <w:rPr>
          <w:rFonts w:ascii="Book Antiqua" w:eastAsia="Book Antiqua" w:hAnsi="Book Antiqua" w:cs="Book Antiqua"/>
          <w:color w:val="000000"/>
        </w:rPr>
        <w:t>Salamon</w:t>
      </w:r>
      <w:proofErr w:type="spellEnd"/>
      <w:r>
        <w:rPr>
          <w:rFonts w:ascii="Book Antiqua" w:eastAsia="Book Antiqua" w:hAnsi="Book Antiqua" w:cs="Book Antiqua"/>
          <w:color w:val="000000"/>
        </w:rPr>
        <w:t xml:space="preserve"> Á, </w:t>
      </w:r>
      <w:proofErr w:type="spellStart"/>
      <w:r>
        <w:rPr>
          <w:rFonts w:ascii="Book Antiqua" w:eastAsia="Book Antiqua" w:hAnsi="Book Antiqua" w:cs="Book Antiqua"/>
          <w:color w:val="000000"/>
        </w:rPr>
        <w:t>Tóth</w:t>
      </w:r>
      <w:proofErr w:type="spellEnd"/>
      <w:r>
        <w:rPr>
          <w:rFonts w:ascii="Book Antiqua" w:eastAsia="Book Antiqua" w:hAnsi="Book Antiqua" w:cs="Book Antiqua"/>
          <w:color w:val="000000"/>
        </w:rPr>
        <w:t xml:space="preserve"> GT, </w:t>
      </w:r>
      <w:proofErr w:type="spellStart"/>
      <w:r>
        <w:rPr>
          <w:rFonts w:ascii="Book Antiqua" w:eastAsia="Book Antiqua" w:hAnsi="Book Antiqua" w:cs="Book Antiqua"/>
          <w:color w:val="000000"/>
        </w:rPr>
        <w:t>Vincze</w:t>
      </w:r>
      <w:proofErr w:type="spellEnd"/>
      <w:r>
        <w:rPr>
          <w:rFonts w:ascii="Book Antiqua" w:eastAsia="Book Antiqua" w:hAnsi="Book Antiqua" w:cs="Book Antiqua"/>
          <w:color w:val="000000"/>
        </w:rPr>
        <w:t xml:space="preserve"> Á, Biro E, </w:t>
      </w:r>
      <w:proofErr w:type="spellStart"/>
      <w:r>
        <w:rPr>
          <w:rFonts w:ascii="Book Antiqua" w:eastAsia="Book Antiqua" w:hAnsi="Book Antiqua" w:cs="Book Antiqua"/>
          <w:color w:val="000000"/>
        </w:rPr>
        <w:t>Lovasz</w:t>
      </w:r>
      <w:proofErr w:type="spellEnd"/>
      <w:r>
        <w:rPr>
          <w:rFonts w:ascii="Book Antiqua" w:eastAsia="Book Antiqua" w:hAnsi="Book Antiqua" w:cs="Book Antiqua"/>
          <w:color w:val="000000"/>
        </w:rPr>
        <w:t xml:space="preserve"> BD, </w:t>
      </w:r>
      <w:proofErr w:type="spellStart"/>
      <w:r>
        <w:rPr>
          <w:rFonts w:ascii="Book Antiqua" w:eastAsia="Book Antiqua" w:hAnsi="Book Antiqua" w:cs="Book Antiqua"/>
          <w:color w:val="000000"/>
        </w:rPr>
        <w:t>Kurti</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Szepes</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Molnár</w:t>
      </w:r>
      <w:proofErr w:type="spellEnd"/>
      <w:r>
        <w:rPr>
          <w:rFonts w:ascii="Book Antiqua" w:eastAsia="Book Antiqua" w:hAnsi="Book Antiqua" w:cs="Book Antiqua"/>
          <w:color w:val="000000"/>
        </w:rPr>
        <w:t xml:space="preserve"> T, Lakatos PL. Prediction of Short- and Medium-term Efficacy of Biosimilar Infliximab Therapy. Do Trough Levels and Antidrug Antibody Levels or Clinical </w:t>
      </w:r>
      <w:proofErr w:type="gramStart"/>
      <w:r>
        <w:rPr>
          <w:rFonts w:ascii="Book Antiqua" w:eastAsia="Book Antiqua" w:hAnsi="Book Antiqua" w:cs="Book Antiqua"/>
          <w:color w:val="000000"/>
        </w:rPr>
        <w:t>And</w:t>
      </w:r>
      <w:proofErr w:type="gramEnd"/>
      <w:r>
        <w:rPr>
          <w:rFonts w:ascii="Book Antiqua" w:eastAsia="Book Antiqua" w:hAnsi="Book Antiqua" w:cs="Book Antiqua"/>
          <w:color w:val="000000"/>
        </w:rPr>
        <w:t xml:space="preserve"> Biochemical Markers Play the More Important Role?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697-705 [PMID: 27838610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/jjw203]</w:t>
      </w:r>
    </w:p>
    <w:p w14:paraId="41EA74ED" w14:textId="77777777" w:rsidR="00A77B3E" w:rsidRDefault="001B2C2C">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Kotwani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Terdiman</w:t>
      </w:r>
      <w:proofErr w:type="spellEnd"/>
      <w:r>
        <w:rPr>
          <w:rFonts w:ascii="Book Antiqua" w:eastAsia="Book Antiqua" w:hAnsi="Book Antiqua" w:cs="Book Antiqua"/>
          <w:color w:val="000000"/>
        </w:rPr>
        <w:t xml:space="preserve"> J, Lewin S. Tofacitinib for Rescue Therapy in Acute Severe Ulcerative Colitis: A Real-world Experience.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1026-1028 [PMID: 32020189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/jjaa018]</w:t>
      </w:r>
    </w:p>
    <w:p w14:paraId="5A946DA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B3EA8E9" w14:textId="77777777" w:rsidR="00A77B3E" w:rsidRDefault="001B2C2C">
      <w:pPr>
        <w:spacing w:line="360" w:lineRule="auto"/>
        <w:jc w:val="both"/>
      </w:pPr>
      <w:r>
        <w:rPr>
          <w:rFonts w:ascii="Book Antiqua" w:eastAsia="Book Antiqua" w:hAnsi="Book Antiqua" w:cs="Book Antiqua"/>
          <w:b/>
          <w:color w:val="000000"/>
        </w:rPr>
        <w:t>Footnotes</w:t>
      </w:r>
    </w:p>
    <w:p w14:paraId="7DE2A9F0" w14:textId="6EC39B18" w:rsidR="00A77B3E" w:rsidRDefault="001B2C2C">
      <w:pPr>
        <w:spacing w:line="360" w:lineRule="auto"/>
        <w:jc w:val="both"/>
      </w:pPr>
      <w:r>
        <w:rPr>
          <w:rFonts w:ascii="Book Antiqua" w:eastAsia="Book Antiqua" w:hAnsi="Book Antiqua" w:cs="Book Antiqua"/>
          <w:b/>
          <w:bCs/>
          <w:color w:val="000000"/>
          <w:szCs w:val="22"/>
        </w:rPr>
        <w:t>Informed consent statement:</w:t>
      </w:r>
      <w:r w:rsidR="00966CD5">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2"/>
        </w:rPr>
        <w:t>Written informed consent was obtained from the patient for publication of this case report and any accompanying images.</w:t>
      </w:r>
    </w:p>
    <w:p w14:paraId="7B9E5E56" w14:textId="77777777" w:rsidR="00A77B3E" w:rsidRDefault="00A77B3E">
      <w:pPr>
        <w:spacing w:line="360" w:lineRule="auto"/>
        <w:jc w:val="both"/>
      </w:pPr>
    </w:p>
    <w:p w14:paraId="0595F6B7" w14:textId="77777777" w:rsidR="00A77B3E" w:rsidRDefault="001B2C2C">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szCs w:val="22"/>
        </w:rPr>
        <w:t>The authors state that they have no conflicts of interest regarding this case report.</w:t>
      </w:r>
    </w:p>
    <w:p w14:paraId="65268C7E" w14:textId="77777777" w:rsidR="00A77B3E" w:rsidRDefault="00A77B3E">
      <w:pPr>
        <w:spacing w:line="360" w:lineRule="auto"/>
        <w:jc w:val="both"/>
      </w:pPr>
    </w:p>
    <w:p w14:paraId="12E89897" w14:textId="380FE925" w:rsidR="00A77B3E" w:rsidRPr="00966CD5" w:rsidRDefault="001B2C2C" w:rsidP="00BD0F91">
      <w:pPr>
        <w:spacing w:line="360" w:lineRule="auto"/>
        <w:jc w:val="both"/>
        <w:rPr>
          <w:rFonts w:ascii="Book Antiqua" w:eastAsia="宋体" w:hAnsi="Book Antiqua"/>
        </w:rPr>
      </w:pPr>
      <w:r>
        <w:rPr>
          <w:rFonts w:ascii="Book Antiqua" w:eastAsia="Book Antiqua" w:hAnsi="Book Antiqua" w:cs="Book Antiqua"/>
          <w:b/>
          <w:bCs/>
          <w:color w:val="000000"/>
          <w:szCs w:val="22"/>
        </w:rPr>
        <w:t xml:space="preserve">CARE Checklist (2016) statement: </w:t>
      </w:r>
      <w:r w:rsidR="00966CD5" w:rsidRPr="00313B45">
        <w:rPr>
          <w:rFonts w:ascii="Book Antiqua" w:eastAsia="宋体" w:hAnsi="Book Antiqua"/>
        </w:rPr>
        <w:t>The authors have read the CARE Checklist (2016), and the manuscript was prepared and revised according to the CARE Checklist (2016).</w:t>
      </w:r>
    </w:p>
    <w:p w14:paraId="00329208" w14:textId="77777777" w:rsidR="00A77B3E" w:rsidRDefault="00A77B3E">
      <w:pPr>
        <w:spacing w:line="360" w:lineRule="auto"/>
        <w:jc w:val="both"/>
      </w:pPr>
    </w:p>
    <w:p w14:paraId="2F18E0B9" w14:textId="77777777" w:rsidR="00A77B3E" w:rsidRDefault="001B2C2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871EC4D" w14:textId="77777777" w:rsidR="00A77B3E" w:rsidRDefault="00A77B3E">
      <w:pPr>
        <w:spacing w:line="360" w:lineRule="auto"/>
        <w:jc w:val="both"/>
      </w:pPr>
    </w:p>
    <w:p w14:paraId="75833F0E" w14:textId="5B2F89C3" w:rsidR="00A77B3E" w:rsidRDefault="001B2C2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952C1E">
        <w:rPr>
          <w:rFonts w:ascii="Book Antiqua" w:eastAsia="Book Antiqua" w:hAnsi="Book Antiqua" w:cs="Book Antiqua"/>
          <w:color w:val="000000"/>
        </w:rPr>
        <w:t xml:space="preserve"> man</w:t>
      </w:r>
      <w:r>
        <w:rPr>
          <w:rFonts w:ascii="Book Antiqua" w:eastAsia="Book Antiqua" w:hAnsi="Book Antiqua" w:cs="Book Antiqua"/>
          <w:color w:val="000000"/>
        </w:rPr>
        <w:t>uscript</w:t>
      </w:r>
    </w:p>
    <w:p w14:paraId="4716EA4E" w14:textId="77777777" w:rsidR="00A77B3E" w:rsidRDefault="00A77B3E">
      <w:pPr>
        <w:spacing w:line="360" w:lineRule="auto"/>
        <w:jc w:val="both"/>
      </w:pPr>
    </w:p>
    <w:p w14:paraId="552793AB" w14:textId="77777777" w:rsidR="00A77B3E" w:rsidRDefault="001B2C2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9, 2021</w:t>
      </w:r>
    </w:p>
    <w:p w14:paraId="6A58DF16" w14:textId="77777777" w:rsidR="00A77B3E" w:rsidRDefault="001B2C2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24, 2021</w:t>
      </w:r>
    </w:p>
    <w:p w14:paraId="6E733245" w14:textId="21941EEF" w:rsidR="00A77B3E" w:rsidRPr="005433D0" w:rsidRDefault="001B2C2C">
      <w:pPr>
        <w:spacing w:line="360" w:lineRule="auto"/>
        <w:jc w:val="both"/>
        <w:rPr>
          <w:lang w:eastAsia="zh-CN"/>
        </w:rPr>
      </w:pPr>
      <w:r>
        <w:rPr>
          <w:rFonts w:ascii="Book Antiqua" w:eastAsia="Book Antiqua" w:hAnsi="Book Antiqua" w:cs="Book Antiqua"/>
          <w:b/>
          <w:color w:val="000000"/>
        </w:rPr>
        <w:t xml:space="preserve">Article in press: </w:t>
      </w:r>
      <w:r w:rsidR="005433D0" w:rsidRPr="001D66CB">
        <w:rPr>
          <w:rFonts w:ascii="Book Antiqua" w:eastAsia="Book Antiqua" w:hAnsi="Book Antiqua" w:cs="Book Antiqua"/>
          <w:color w:val="000000"/>
        </w:rPr>
        <w:t>March 9, 2021</w:t>
      </w:r>
    </w:p>
    <w:p w14:paraId="545C74C1" w14:textId="77777777" w:rsidR="00A77B3E" w:rsidRDefault="00A77B3E">
      <w:pPr>
        <w:spacing w:line="360" w:lineRule="auto"/>
        <w:jc w:val="both"/>
      </w:pPr>
    </w:p>
    <w:p w14:paraId="79F7FB55" w14:textId="2308580D" w:rsidR="00A77B3E" w:rsidRDefault="001B2C2C">
      <w:pPr>
        <w:spacing w:line="360" w:lineRule="auto"/>
        <w:jc w:val="both"/>
      </w:pPr>
      <w:r>
        <w:rPr>
          <w:rFonts w:ascii="Book Antiqua" w:eastAsia="Book Antiqua" w:hAnsi="Book Antiqua" w:cs="Book Antiqua"/>
          <w:b/>
          <w:color w:val="000000"/>
        </w:rPr>
        <w:t xml:space="preserve">Specialty type: </w:t>
      </w:r>
      <w:r w:rsidR="00952C1E" w:rsidRPr="00E700C2">
        <w:rPr>
          <w:rFonts w:ascii="Book Antiqua" w:eastAsia="微软雅黑" w:hAnsi="Book Antiqua" w:cs="宋体"/>
        </w:rPr>
        <w:t>Medicine, research and experimental</w:t>
      </w:r>
    </w:p>
    <w:p w14:paraId="3971E94F" w14:textId="77777777" w:rsidR="00A77B3E" w:rsidRDefault="001B2C2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Brazil</w:t>
      </w:r>
    </w:p>
    <w:p w14:paraId="6210583C" w14:textId="77777777" w:rsidR="00A77B3E" w:rsidRDefault="001B2C2C">
      <w:pPr>
        <w:spacing w:line="360" w:lineRule="auto"/>
        <w:jc w:val="both"/>
      </w:pPr>
      <w:r>
        <w:rPr>
          <w:rFonts w:ascii="Book Antiqua" w:eastAsia="Book Antiqua" w:hAnsi="Book Antiqua" w:cs="Book Antiqua"/>
          <w:b/>
          <w:color w:val="000000"/>
        </w:rPr>
        <w:t>Peer-review report’s scientific quality classification</w:t>
      </w:r>
    </w:p>
    <w:p w14:paraId="2815DC27" w14:textId="77777777" w:rsidR="00A77B3E" w:rsidRDefault="001B2C2C">
      <w:pPr>
        <w:spacing w:line="360" w:lineRule="auto"/>
        <w:jc w:val="both"/>
      </w:pPr>
      <w:r>
        <w:rPr>
          <w:rFonts w:ascii="Book Antiqua" w:eastAsia="Book Antiqua" w:hAnsi="Book Antiqua" w:cs="Book Antiqua"/>
          <w:color w:val="000000"/>
        </w:rPr>
        <w:t>Grade A (Excellent): 0</w:t>
      </w:r>
    </w:p>
    <w:p w14:paraId="69AB7C49" w14:textId="50B5ACAA" w:rsidR="00A77B3E" w:rsidRDefault="001B2C2C">
      <w:pPr>
        <w:spacing w:line="360" w:lineRule="auto"/>
        <w:jc w:val="both"/>
      </w:pPr>
      <w:r>
        <w:rPr>
          <w:rFonts w:ascii="Book Antiqua" w:eastAsia="Book Antiqua" w:hAnsi="Book Antiqua" w:cs="Book Antiqua"/>
          <w:color w:val="000000"/>
        </w:rPr>
        <w:t>Grade B (Very good): B</w:t>
      </w:r>
      <w:r w:rsidR="00952C1E">
        <w:rPr>
          <w:rFonts w:ascii="Book Antiqua" w:eastAsia="Book Antiqua" w:hAnsi="Book Antiqua" w:cs="Book Antiqua"/>
          <w:color w:val="000000"/>
        </w:rPr>
        <w:t>, B</w:t>
      </w:r>
    </w:p>
    <w:p w14:paraId="72CBFE98" w14:textId="77777777" w:rsidR="00A77B3E" w:rsidRDefault="001B2C2C">
      <w:pPr>
        <w:spacing w:line="360" w:lineRule="auto"/>
        <w:jc w:val="both"/>
      </w:pPr>
      <w:r>
        <w:rPr>
          <w:rFonts w:ascii="Book Antiqua" w:eastAsia="Book Antiqua" w:hAnsi="Book Antiqua" w:cs="Book Antiqua"/>
          <w:color w:val="000000"/>
        </w:rPr>
        <w:t>Grade C (Good): C</w:t>
      </w:r>
    </w:p>
    <w:p w14:paraId="16F2F3A6" w14:textId="77777777" w:rsidR="00A77B3E" w:rsidRDefault="001B2C2C">
      <w:pPr>
        <w:spacing w:line="360" w:lineRule="auto"/>
        <w:jc w:val="both"/>
      </w:pPr>
      <w:r>
        <w:rPr>
          <w:rFonts w:ascii="Book Antiqua" w:eastAsia="Book Antiqua" w:hAnsi="Book Antiqua" w:cs="Book Antiqua"/>
          <w:color w:val="000000"/>
        </w:rPr>
        <w:t>Grade D (Fair): 0</w:t>
      </w:r>
    </w:p>
    <w:p w14:paraId="0179E679" w14:textId="77777777" w:rsidR="00A77B3E" w:rsidRDefault="001B2C2C">
      <w:pPr>
        <w:spacing w:line="360" w:lineRule="auto"/>
        <w:jc w:val="both"/>
      </w:pPr>
      <w:r>
        <w:rPr>
          <w:rFonts w:ascii="Book Antiqua" w:eastAsia="Book Antiqua" w:hAnsi="Book Antiqua" w:cs="Book Antiqua"/>
          <w:color w:val="000000"/>
        </w:rPr>
        <w:t>Grade E (Poor): 0</w:t>
      </w:r>
    </w:p>
    <w:p w14:paraId="3C8B6827" w14:textId="77777777" w:rsidR="00A77B3E" w:rsidRDefault="00A77B3E">
      <w:pPr>
        <w:spacing w:line="360" w:lineRule="auto"/>
        <w:jc w:val="both"/>
      </w:pPr>
    </w:p>
    <w:p w14:paraId="4B2782D9" w14:textId="317256BD" w:rsidR="00A77B3E" w:rsidRDefault="001B2C2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Ozair</w:t>
      </w:r>
      <w:proofErr w:type="spellEnd"/>
      <w:r>
        <w:rPr>
          <w:rFonts w:ascii="Book Antiqua" w:eastAsia="Book Antiqua" w:hAnsi="Book Antiqua" w:cs="Book Antiqua"/>
          <w:color w:val="000000"/>
        </w:rPr>
        <w:t xml:space="preserve"> A, Yang TY</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5433D0" w:rsidRPr="005433D0">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5433D0" w:rsidRPr="005433D0">
        <w:rPr>
          <w:rFonts w:ascii="Book Antiqua" w:eastAsia="Book Antiqua" w:hAnsi="Book Antiqua" w:cs="Book Antiqua"/>
          <w:color w:val="000000"/>
        </w:rPr>
        <w:t>Xing YX</w:t>
      </w:r>
    </w:p>
    <w:p w14:paraId="174537F9" w14:textId="77777777" w:rsidR="00F7040D" w:rsidRDefault="00F7040D">
      <w:pPr>
        <w:spacing w:line="360" w:lineRule="auto"/>
        <w:jc w:val="both"/>
        <w:sectPr w:rsidR="00F7040D">
          <w:pgSz w:w="12240" w:h="15840"/>
          <w:pgMar w:top="1440" w:right="1440" w:bottom="1440" w:left="1440" w:header="720" w:footer="720" w:gutter="0"/>
          <w:cols w:space="720"/>
          <w:docGrid w:linePitch="360"/>
        </w:sectPr>
      </w:pPr>
    </w:p>
    <w:p w14:paraId="45D3AC9A" w14:textId="55700350" w:rsidR="00A77B3E" w:rsidRDefault="001B2C2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453BE9DB" w14:textId="23768082" w:rsidR="00966CD5" w:rsidRDefault="00966CD5">
      <w:pPr>
        <w:spacing w:line="360" w:lineRule="auto"/>
        <w:jc w:val="both"/>
      </w:pPr>
      <w:r>
        <w:rPr>
          <w:noProof/>
          <w:lang w:eastAsia="zh-CN"/>
        </w:rPr>
        <w:drawing>
          <wp:inline distT="0" distB="0" distL="0" distR="0" wp14:anchorId="142CD19F" wp14:editId="316C1FCD">
            <wp:extent cx="5943600" cy="2514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514600"/>
                    </a:xfrm>
                    <a:prstGeom prst="rect">
                      <a:avLst/>
                    </a:prstGeom>
                  </pic:spPr>
                </pic:pic>
              </a:graphicData>
            </a:graphic>
          </wp:inline>
        </w:drawing>
      </w:r>
    </w:p>
    <w:p w14:paraId="64916DC1" w14:textId="15F699B6" w:rsidR="00A77B3E" w:rsidRDefault="001B2C2C">
      <w:pPr>
        <w:spacing w:line="360" w:lineRule="auto"/>
        <w:jc w:val="both"/>
      </w:pPr>
      <w:r>
        <w:rPr>
          <w:rFonts w:ascii="Book Antiqua" w:eastAsia="Book Antiqua" w:hAnsi="Book Antiqua" w:cs="Book Antiqua"/>
          <w:b/>
          <w:bCs/>
          <w:color w:val="000000"/>
          <w:szCs w:val="22"/>
        </w:rPr>
        <w:t>Figure 1</w:t>
      </w:r>
      <w:r w:rsidR="00966CD5">
        <w:rPr>
          <w:rFonts w:ascii="Book Antiqua" w:eastAsia="Book Antiqua" w:hAnsi="Book Antiqua" w:cs="Book Antiqua"/>
          <w:b/>
          <w:bCs/>
          <w:color w:val="000000"/>
          <w:szCs w:val="22"/>
        </w:rPr>
        <w:t xml:space="preserve"> </w:t>
      </w:r>
      <w:r>
        <w:rPr>
          <w:rFonts w:ascii="Book Antiqua" w:eastAsia="Book Antiqua" w:hAnsi="Book Antiqua" w:cs="Book Antiqua"/>
          <w:b/>
          <w:bCs/>
          <w:color w:val="000000"/>
          <w:szCs w:val="22"/>
        </w:rPr>
        <w:t>Abdominal X-ray during hospitalization.</w:t>
      </w:r>
      <w:r>
        <w:rPr>
          <w:rFonts w:ascii="Book Antiqua" w:eastAsia="Book Antiqua" w:hAnsi="Book Antiqua" w:cs="Book Antiqua"/>
          <w:color w:val="000000"/>
          <w:szCs w:val="22"/>
        </w:rPr>
        <w:t xml:space="preserve"> A</w:t>
      </w:r>
      <w:r w:rsidR="00966CD5">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Abdominal X-ray at admission (</w:t>
      </w:r>
      <w:r w:rsidR="00966CD5">
        <w:rPr>
          <w:rFonts w:ascii="Book Antiqua" w:eastAsia="Book Antiqua" w:hAnsi="Book Antiqua" w:cs="Book Antiqua"/>
          <w:color w:val="000000"/>
          <w:szCs w:val="22"/>
        </w:rPr>
        <w:t>d</w:t>
      </w:r>
      <w:r>
        <w:rPr>
          <w:rFonts w:ascii="Book Antiqua" w:eastAsia="Book Antiqua" w:hAnsi="Book Antiqua" w:cs="Book Antiqua"/>
          <w:color w:val="000000"/>
          <w:szCs w:val="22"/>
        </w:rPr>
        <w:t>ay 1) evidenced colonic dilation of 7 cm, consistent with the diagnosis of megacolon</w:t>
      </w:r>
      <w:r w:rsidR="00966CD5">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B</w:t>
      </w:r>
      <w:r w:rsidR="00966CD5">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Abdominal X-ray during treatment with oral vancomycin and hydrocortisone (</w:t>
      </w:r>
      <w:r w:rsidR="00966CD5">
        <w:rPr>
          <w:rFonts w:ascii="Book Antiqua" w:eastAsia="Book Antiqua" w:hAnsi="Book Antiqua" w:cs="Book Antiqua"/>
          <w:color w:val="000000"/>
          <w:szCs w:val="22"/>
        </w:rPr>
        <w:t>d</w:t>
      </w:r>
      <w:r>
        <w:rPr>
          <w:rFonts w:ascii="Book Antiqua" w:eastAsia="Book Antiqua" w:hAnsi="Book Antiqua" w:cs="Book Antiqua"/>
          <w:color w:val="000000"/>
          <w:szCs w:val="22"/>
        </w:rPr>
        <w:t>ay 4)</w:t>
      </w:r>
      <w:r w:rsidR="00966CD5">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C</w:t>
      </w:r>
      <w:r w:rsidR="00966CD5">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Abdominal X-ray on the third day of treatment with hydrocortisone evidencing improvement of colonic distention (</w:t>
      </w:r>
      <w:r w:rsidR="00966CD5">
        <w:rPr>
          <w:rFonts w:ascii="Book Antiqua" w:eastAsia="Book Antiqua" w:hAnsi="Book Antiqua" w:cs="Book Antiqua"/>
          <w:color w:val="000000"/>
          <w:szCs w:val="22"/>
        </w:rPr>
        <w:t>d</w:t>
      </w:r>
      <w:r>
        <w:rPr>
          <w:rFonts w:ascii="Book Antiqua" w:eastAsia="Book Antiqua" w:hAnsi="Book Antiqua" w:cs="Book Antiqua"/>
          <w:color w:val="000000"/>
          <w:szCs w:val="22"/>
        </w:rPr>
        <w:t>ay 6).</w:t>
      </w:r>
    </w:p>
    <w:p w14:paraId="3A2C6ED6" w14:textId="37149F6A" w:rsidR="00A77B3E" w:rsidRDefault="00966CD5">
      <w:pPr>
        <w:spacing w:line="360" w:lineRule="auto"/>
        <w:jc w:val="both"/>
      </w:pPr>
      <w:r>
        <w:br w:type="page"/>
      </w:r>
      <w:r>
        <w:rPr>
          <w:noProof/>
          <w:lang w:eastAsia="zh-CN"/>
        </w:rPr>
        <w:drawing>
          <wp:inline distT="0" distB="0" distL="0" distR="0" wp14:anchorId="2D347216" wp14:editId="7E70C93A">
            <wp:extent cx="5943600" cy="4724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724400"/>
                    </a:xfrm>
                    <a:prstGeom prst="rect">
                      <a:avLst/>
                    </a:prstGeom>
                  </pic:spPr>
                </pic:pic>
              </a:graphicData>
            </a:graphic>
          </wp:inline>
        </w:drawing>
      </w:r>
    </w:p>
    <w:p w14:paraId="55A4ECE5" w14:textId="46702A63" w:rsidR="00A77B3E" w:rsidRDefault="001B2C2C">
      <w:pPr>
        <w:spacing w:line="360" w:lineRule="auto"/>
        <w:jc w:val="both"/>
      </w:pPr>
      <w:r>
        <w:rPr>
          <w:rFonts w:ascii="Book Antiqua" w:eastAsia="Book Antiqua" w:hAnsi="Book Antiqua" w:cs="Book Antiqua"/>
          <w:b/>
          <w:bCs/>
          <w:color w:val="000000"/>
          <w:szCs w:val="22"/>
        </w:rPr>
        <w:t>Figure 2</w:t>
      </w:r>
      <w:r w:rsidR="00966CD5">
        <w:rPr>
          <w:rFonts w:ascii="Book Antiqua" w:eastAsia="Book Antiqua" w:hAnsi="Book Antiqua" w:cs="Book Antiqua"/>
          <w:b/>
          <w:bCs/>
          <w:color w:val="000000"/>
          <w:szCs w:val="22"/>
        </w:rPr>
        <w:t xml:space="preserve"> </w:t>
      </w:r>
      <w:r>
        <w:rPr>
          <w:rFonts w:ascii="Book Antiqua" w:eastAsia="Book Antiqua" w:hAnsi="Book Antiqua" w:cs="Book Antiqua"/>
          <w:b/>
          <w:bCs/>
          <w:color w:val="000000"/>
          <w:szCs w:val="22"/>
        </w:rPr>
        <w:t>Flexible sigmoidoscopy performed during hospitalization.</w:t>
      </w:r>
      <w:r>
        <w:rPr>
          <w:rFonts w:ascii="Book Antiqua" w:eastAsia="Book Antiqua" w:hAnsi="Book Antiqua" w:cs="Book Antiqua"/>
          <w:color w:val="000000"/>
          <w:szCs w:val="22"/>
        </w:rPr>
        <w:t xml:space="preserve"> </w:t>
      </w:r>
      <w:r w:rsidR="00966CD5">
        <w:rPr>
          <w:rFonts w:ascii="Book Antiqua" w:eastAsia="Book Antiqua" w:hAnsi="Book Antiqua" w:cs="Book Antiqua"/>
          <w:color w:val="000000"/>
          <w:szCs w:val="22"/>
        </w:rPr>
        <w:t xml:space="preserve">A-D: </w:t>
      </w:r>
      <w:r>
        <w:rPr>
          <w:rFonts w:ascii="Book Antiqua" w:eastAsia="Book Antiqua" w:hAnsi="Book Antiqua" w:cs="Book Antiqua"/>
          <w:color w:val="000000"/>
          <w:szCs w:val="22"/>
        </w:rPr>
        <w:t>Endoscopic image showing ulcers covered by fibrin, friability, edema and marked enanthem with spontaneous bleeding in sigmoid (A and B) and rectum (C and D), consistent with the ulcerative colitis of severe activity (Mayo endoscopic score 3).</w:t>
      </w:r>
    </w:p>
    <w:p w14:paraId="3320EF46" w14:textId="135AE232" w:rsidR="00A77B3E" w:rsidRDefault="00966CD5">
      <w:pPr>
        <w:spacing w:line="360" w:lineRule="auto"/>
        <w:jc w:val="both"/>
      </w:pPr>
      <w:r>
        <w:br w:type="page"/>
      </w:r>
      <w:r>
        <w:rPr>
          <w:noProof/>
          <w:lang w:eastAsia="zh-CN"/>
        </w:rPr>
        <w:drawing>
          <wp:inline distT="0" distB="0" distL="0" distR="0" wp14:anchorId="20A45D2D" wp14:editId="36D41DE7">
            <wp:extent cx="4538345" cy="466741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2318" cy="4671502"/>
                    </a:xfrm>
                    <a:prstGeom prst="rect">
                      <a:avLst/>
                    </a:prstGeom>
                  </pic:spPr>
                </pic:pic>
              </a:graphicData>
            </a:graphic>
          </wp:inline>
        </w:drawing>
      </w:r>
    </w:p>
    <w:p w14:paraId="623C28DF" w14:textId="77777777" w:rsidR="0068121F" w:rsidRDefault="001B2C2C">
      <w:pPr>
        <w:spacing w:line="360" w:lineRule="auto"/>
        <w:jc w:val="both"/>
        <w:rPr>
          <w:rFonts w:ascii="Book Antiqua" w:eastAsia="Book Antiqua" w:hAnsi="Book Antiqua" w:cs="Book Antiqua"/>
          <w:color w:val="000000"/>
          <w:szCs w:val="22"/>
        </w:rPr>
        <w:sectPr w:rsidR="0068121F">
          <w:pgSz w:w="12240" w:h="15840"/>
          <w:pgMar w:top="1440" w:right="1440" w:bottom="1440" w:left="1440" w:header="720" w:footer="720" w:gutter="0"/>
          <w:cols w:space="720"/>
          <w:docGrid w:linePitch="360"/>
        </w:sectPr>
      </w:pPr>
      <w:r>
        <w:rPr>
          <w:rFonts w:ascii="Book Antiqua" w:eastAsia="Book Antiqua" w:hAnsi="Book Antiqua" w:cs="Book Antiqua"/>
          <w:b/>
          <w:bCs/>
          <w:color w:val="000000"/>
          <w:szCs w:val="22"/>
        </w:rPr>
        <w:t>Figure 3</w:t>
      </w:r>
      <w:r w:rsidR="00966CD5">
        <w:rPr>
          <w:rFonts w:ascii="Book Antiqua" w:eastAsia="Book Antiqua" w:hAnsi="Book Antiqua" w:cs="Book Antiqua"/>
          <w:b/>
          <w:bCs/>
          <w:color w:val="000000"/>
          <w:szCs w:val="22"/>
        </w:rPr>
        <w:t xml:space="preserve"> </w:t>
      </w:r>
      <w:r>
        <w:rPr>
          <w:rFonts w:ascii="Book Antiqua" w:eastAsia="Book Antiqua" w:hAnsi="Book Antiqua" w:cs="Book Antiqua"/>
          <w:b/>
          <w:bCs/>
          <w:color w:val="000000"/>
          <w:szCs w:val="22"/>
        </w:rPr>
        <w:t xml:space="preserve">Colonoscopy performed 6 </w:t>
      </w:r>
      <w:proofErr w:type="spellStart"/>
      <w:r>
        <w:rPr>
          <w:rFonts w:ascii="Book Antiqua" w:eastAsia="Book Antiqua" w:hAnsi="Book Antiqua" w:cs="Book Antiqua"/>
          <w:b/>
          <w:bCs/>
          <w:color w:val="000000"/>
          <w:szCs w:val="22"/>
        </w:rPr>
        <w:t>mo</w:t>
      </w:r>
      <w:proofErr w:type="spellEnd"/>
      <w:r>
        <w:rPr>
          <w:rFonts w:ascii="Book Antiqua" w:eastAsia="Book Antiqua" w:hAnsi="Book Antiqua" w:cs="Book Antiqua"/>
          <w:b/>
          <w:bCs/>
          <w:color w:val="000000"/>
          <w:szCs w:val="22"/>
        </w:rPr>
        <w:t xml:space="preserve"> after starting the treatment with infliximab.</w:t>
      </w:r>
      <w:r>
        <w:rPr>
          <w:rFonts w:ascii="Book Antiqua" w:eastAsia="Book Antiqua" w:hAnsi="Book Antiqua" w:cs="Book Antiqua"/>
          <w:color w:val="000000"/>
          <w:szCs w:val="22"/>
        </w:rPr>
        <w:t xml:space="preserve"> </w:t>
      </w:r>
      <w:r w:rsidR="00966CD5">
        <w:rPr>
          <w:rFonts w:ascii="Book Antiqua" w:eastAsia="Book Antiqua" w:hAnsi="Book Antiqua" w:cs="Book Antiqua"/>
          <w:color w:val="000000"/>
          <w:szCs w:val="22"/>
        </w:rPr>
        <w:t xml:space="preserve">A-D: </w:t>
      </w:r>
      <w:r>
        <w:rPr>
          <w:rFonts w:ascii="Book Antiqua" w:eastAsia="Book Antiqua" w:hAnsi="Book Antiqua" w:cs="Book Antiqua"/>
          <w:color w:val="000000"/>
          <w:szCs w:val="22"/>
        </w:rPr>
        <w:t>Endoscopic image showing discrete erythema and decreased vascular pattern, consistent with the ulcerative colitis of mild activity (Mayo endoscopic score 1)</w:t>
      </w:r>
      <w:r w:rsidR="00966CD5">
        <w:rPr>
          <w:rFonts w:ascii="Book Antiqua" w:eastAsia="Book Antiqua" w:hAnsi="Book Antiqua" w:cs="Book Antiqua"/>
          <w:color w:val="000000"/>
          <w:szCs w:val="22"/>
        </w:rPr>
        <w:t>.</w:t>
      </w:r>
    </w:p>
    <w:p w14:paraId="1188215B" w14:textId="73E1F7A9" w:rsidR="00A77B3E" w:rsidRDefault="0068121F">
      <w:pPr>
        <w:spacing w:line="360" w:lineRule="auto"/>
        <w:jc w:val="both"/>
        <w:rPr>
          <w:rFonts w:ascii="Book Antiqua" w:hAnsi="Book Antiqua"/>
          <w:b/>
          <w:bCs/>
        </w:rPr>
      </w:pPr>
      <w:r w:rsidRPr="0068121F">
        <w:rPr>
          <w:rFonts w:ascii="Book Antiqua" w:hAnsi="Book Antiqua"/>
          <w:b/>
          <w:bCs/>
        </w:rPr>
        <w:t>Table 1</w:t>
      </w:r>
      <w:r>
        <w:rPr>
          <w:rFonts w:ascii="Book Antiqua" w:hAnsi="Book Antiqua"/>
          <w:b/>
          <w:bCs/>
        </w:rPr>
        <w:t xml:space="preserve"> </w:t>
      </w:r>
      <w:r w:rsidRPr="0068121F">
        <w:rPr>
          <w:rFonts w:ascii="Book Antiqua" w:hAnsi="Book Antiqua"/>
          <w:b/>
          <w:bCs/>
        </w:rPr>
        <w:t>Evolution of clinical disease activity, laboratory exams, and clinical treatment</w:t>
      </w:r>
    </w:p>
    <w:tbl>
      <w:tblPr>
        <w:tblStyle w:val="PlainTable2"/>
        <w:tblW w:w="5000" w:type="pct"/>
        <w:tblBorders>
          <w:top w:val="none" w:sz="0" w:space="0" w:color="auto"/>
          <w:bottom w:val="none" w:sz="0" w:space="0" w:color="auto"/>
        </w:tblBorders>
        <w:tblLayout w:type="fixed"/>
        <w:tblLook w:val="00A0" w:firstRow="1" w:lastRow="0" w:firstColumn="1" w:lastColumn="0" w:noHBand="0" w:noVBand="0"/>
      </w:tblPr>
      <w:tblGrid>
        <w:gridCol w:w="3387"/>
        <w:gridCol w:w="1219"/>
        <w:gridCol w:w="1468"/>
        <w:gridCol w:w="1588"/>
        <w:gridCol w:w="1607"/>
        <w:gridCol w:w="1231"/>
        <w:gridCol w:w="1447"/>
        <w:gridCol w:w="1229"/>
      </w:tblGrid>
      <w:tr w:rsidR="003B1CAD" w:rsidRPr="003B1CAD" w14:paraId="781BCFA7" w14:textId="77777777" w:rsidTr="00083F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7" w:type="dxa"/>
            <w:tcBorders>
              <w:top w:val="single" w:sz="4" w:space="0" w:color="auto"/>
              <w:bottom w:val="single" w:sz="4" w:space="0" w:color="auto"/>
            </w:tcBorders>
          </w:tcPr>
          <w:p w14:paraId="445B6E8A" w14:textId="77777777" w:rsidR="0068121F" w:rsidRPr="003B1CAD" w:rsidRDefault="0068121F" w:rsidP="003B1CAD">
            <w:pPr>
              <w:spacing w:line="360" w:lineRule="auto"/>
              <w:jc w:val="both"/>
              <w:rPr>
                <w:rFonts w:ascii="Book Antiqua" w:hAnsi="Book Antiqua" w:cs="Arial"/>
                <w:lang w:val="en-US"/>
              </w:rPr>
            </w:pPr>
          </w:p>
        </w:tc>
        <w:tc>
          <w:tcPr>
            <w:cnfStyle w:val="000010000000" w:firstRow="0" w:lastRow="0" w:firstColumn="0" w:lastColumn="0" w:oddVBand="1" w:evenVBand="0" w:oddHBand="0" w:evenHBand="0" w:firstRowFirstColumn="0" w:firstRowLastColumn="0" w:lastRowFirstColumn="0" w:lastRowLastColumn="0"/>
            <w:tcW w:w="1219" w:type="dxa"/>
            <w:tcBorders>
              <w:top w:val="single" w:sz="4" w:space="0" w:color="auto"/>
              <w:left w:val="none" w:sz="0" w:space="0" w:color="auto"/>
              <w:bottom w:val="single" w:sz="4" w:space="0" w:color="auto"/>
              <w:right w:val="none" w:sz="0" w:space="0" w:color="auto"/>
            </w:tcBorders>
          </w:tcPr>
          <w:p w14:paraId="2F2182DA" w14:textId="0C4777EB" w:rsidR="0068121F" w:rsidRPr="003B1CAD" w:rsidRDefault="0068121F" w:rsidP="003B1CAD">
            <w:pPr>
              <w:spacing w:line="360" w:lineRule="auto"/>
              <w:jc w:val="both"/>
              <w:rPr>
                <w:rFonts w:ascii="Book Antiqua" w:hAnsi="Book Antiqua" w:cs="Arial"/>
              </w:rPr>
            </w:pPr>
            <w:r w:rsidRPr="003B1CAD">
              <w:rPr>
                <w:rFonts w:ascii="Book Antiqua" w:hAnsi="Book Antiqua" w:cs="Arial"/>
              </w:rPr>
              <w:t>Day 1</w:t>
            </w:r>
            <w:r w:rsidR="003B1CAD">
              <w:rPr>
                <w:rFonts w:ascii="Book Antiqua" w:hAnsi="Book Antiqua" w:cs="Arial"/>
              </w:rPr>
              <w:t xml:space="preserve"> </w:t>
            </w:r>
            <w:r w:rsidRPr="003B1CAD">
              <w:rPr>
                <w:rFonts w:ascii="Book Antiqua" w:hAnsi="Book Antiqua" w:cs="Arial"/>
              </w:rPr>
              <w:t>(</w:t>
            </w:r>
            <w:r w:rsidR="003B1CAD">
              <w:rPr>
                <w:rFonts w:ascii="Book Antiqua" w:hAnsi="Book Antiqua" w:cs="Arial"/>
              </w:rPr>
              <w:t>a</w:t>
            </w:r>
            <w:r w:rsidRPr="003B1CAD">
              <w:rPr>
                <w:rFonts w:ascii="Book Antiqua" w:hAnsi="Book Antiqua" w:cs="Arial"/>
              </w:rPr>
              <w:t>t hospital admission)</w:t>
            </w:r>
          </w:p>
        </w:tc>
        <w:tc>
          <w:tcPr>
            <w:cnfStyle w:val="000001000000" w:firstRow="0" w:lastRow="0" w:firstColumn="0" w:lastColumn="0" w:oddVBand="0" w:evenVBand="1" w:oddHBand="0" w:evenHBand="0" w:firstRowFirstColumn="0" w:firstRowLastColumn="0" w:lastRowFirstColumn="0" w:lastRowLastColumn="0"/>
            <w:tcW w:w="1468" w:type="dxa"/>
            <w:tcBorders>
              <w:top w:val="single" w:sz="4" w:space="0" w:color="auto"/>
              <w:left w:val="none" w:sz="0" w:space="0" w:color="auto"/>
              <w:bottom w:val="single" w:sz="4" w:space="0" w:color="auto"/>
              <w:right w:val="none" w:sz="0" w:space="0" w:color="auto"/>
            </w:tcBorders>
          </w:tcPr>
          <w:p w14:paraId="33A5C362"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Day 4</w:t>
            </w:r>
          </w:p>
        </w:tc>
        <w:tc>
          <w:tcPr>
            <w:cnfStyle w:val="000010000000" w:firstRow="0" w:lastRow="0" w:firstColumn="0" w:lastColumn="0" w:oddVBand="1" w:evenVBand="0" w:oddHBand="0" w:evenHBand="0" w:firstRowFirstColumn="0" w:firstRowLastColumn="0" w:lastRowFirstColumn="0" w:lastRowLastColumn="0"/>
            <w:tcW w:w="1588" w:type="dxa"/>
            <w:tcBorders>
              <w:top w:val="single" w:sz="4" w:space="0" w:color="auto"/>
              <w:left w:val="none" w:sz="0" w:space="0" w:color="auto"/>
              <w:bottom w:val="single" w:sz="4" w:space="0" w:color="auto"/>
              <w:right w:val="none" w:sz="0" w:space="0" w:color="auto"/>
            </w:tcBorders>
          </w:tcPr>
          <w:p w14:paraId="79455D71"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Day 8</w:t>
            </w:r>
          </w:p>
        </w:tc>
        <w:tc>
          <w:tcPr>
            <w:cnfStyle w:val="000001000000" w:firstRow="0" w:lastRow="0" w:firstColumn="0" w:lastColumn="0" w:oddVBand="0" w:evenVBand="1" w:oddHBand="0" w:evenHBand="0" w:firstRowFirstColumn="0" w:firstRowLastColumn="0" w:lastRowFirstColumn="0" w:lastRowLastColumn="0"/>
            <w:tcW w:w="1607" w:type="dxa"/>
            <w:tcBorders>
              <w:top w:val="single" w:sz="4" w:space="0" w:color="auto"/>
              <w:left w:val="none" w:sz="0" w:space="0" w:color="auto"/>
              <w:bottom w:val="single" w:sz="4" w:space="0" w:color="auto"/>
              <w:right w:val="none" w:sz="0" w:space="0" w:color="auto"/>
            </w:tcBorders>
          </w:tcPr>
          <w:p w14:paraId="751EA5E5"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Day 15</w:t>
            </w:r>
          </w:p>
        </w:tc>
        <w:tc>
          <w:tcPr>
            <w:cnfStyle w:val="000010000000" w:firstRow="0" w:lastRow="0" w:firstColumn="0" w:lastColumn="0" w:oddVBand="1" w:evenVBand="0" w:oddHBand="0" w:evenHBand="0" w:firstRowFirstColumn="0" w:firstRowLastColumn="0" w:lastRowFirstColumn="0" w:lastRowLastColumn="0"/>
            <w:tcW w:w="1231" w:type="dxa"/>
            <w:tcBorders>
              <w:top w:val="single" w:sz="4" w:space="0" w:color="auto"/>
              <w:left w:val="none" w:sz="0" w:space="0" w:color="auto"/>
              <w:bottom w:val="single" w:sz="4" w:space="0" w:color="auto"/>
              <w:right w:val="none" w:sz="0" w:space="0" w:color="auto"/>
            </w:tcBorders>
          </w:tcPr>
          <w:p w14:paraId="33CF271F"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Day 21</w:t>
            </w:r>
          </w:p>
        </w:tc>
        <w:tc>
          <w:tcPr>
            <w:cnfStyle w:val="000001000000" w:firstRow="0" w:lastRow="0" w:firstColumn="0" w:lastColumn="0" w:oddVBand="0" w:evenVBand="1" w:oddHBand="0" w:evenHBand="0" w:firstRowFirstColumn="0" w:firstRowLastColumn="0" w:lastRowFirstColumn="0" w:lastRowLastColumn="0"/>
            <w:tcW w:w="1447" w:type="dxa"/>
            <w:tcBorders>
              <w:top w:val="single" w:sz="4" w:space="0" w:color="auto"/>
              <w:left w:val="none" w:sz="0" w:space="0" w:color="auto"/>
              <w:bottom w:val="single" w:sz="4" w:space="0" w:color="auto"/>
              <w:right w:val="none" w:sz="0" w:space="0" w:color="auto"/>
            </w:tcBorders>
          </w:tcPr>
          <w:p w14:paraId="2D1C9D84"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Day 51</w:t>
            </w:r>
          </w:p>
        </w:tc>
        <w:tc>
          <w:tcPr>
            <w:cnfStyle w:val="000010000000" w:firstRow="0" w:lastRow="0" w:firstColumn="0" w:lastColumn="0" w:oddVBand="1" w:evenVBand="0" w:oddHBand="0" w:evenHBand="0" w:firstRowFirstColumn="0" w:firstRowLastColumn="0" w:lastRowFirstColumn="0" w:lastRowLastColumn="0"/>
            <w:tcW w:w="1229" w:type="dxa"/>
            <w:tcBorders>
              <w:top w:val="single" w:sz="4" w:space="0" w:color="auto"/>
              <w:left w:val="none" w:sz="0" w:space="0" w:color="auto"/>
              <w:bottom w:val="single" w:sz="4" w:space="0" w:color="auto"/>
              <w:right w:val="none" w:sz="0" w:space="0" w:color="auto"/>
            </w:tcBorders>
          </w:tcPr>
          <w:p w14:paraId="3DD38ED8" w14:textId="2CD02087" w:rsidR="0068121F" w:rsidRPr="003B1CAD" w:rsidRDefault="0068121F" w:rsidP="003B1CAD">
            <w:pPr>
              <w:spacing w:line="360" w:lineRule="auto"/>
              <w:jc w:val="both"/>
              <w:rPr>
                <w:rFonts w:ascii="Book Antiqua" w:hAnsi="Book Antiqua" w:cs="Arial"/>
              </w:rPr>
            </w:pPr>
            <w:r w:rsidRPr="003B1CAD">
              <w:rPr>
                <w:rFonts w:ascii="Book Antiqua" w:hAnsi="Book Antiqua" w:cs="Arial"/>
              </w:rPr>
              <w:t>After 6 mo</w:t>
            </w:r>
          </w:p>
        </w:tc>
      </w:tr>
      <w:tr w:rsidR="003B1CAD" w:rsidRPr="003B1CAD" w14:paraId="0B4A59D0" w14:textId="77777777" w:rsidTr="00083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7" w:type="dxa"/>
            <w:tcBorders>
              <w:top w:val="single" w:sz="4" w:space="0" w:color="auto"/>
              <w:bottom w:val="none" w:sz="0" w:space="0" w:color="auto"/>
            </w:tcBorders>
          </w:tcPr>
          <w:p w14:paraId="5DFA3C0B" w14:textId="77777777" w:rsidR="0068121F" w:rsidRPr="003B1CAD" w:rsidRDefault="0068121F" w:rsidP="003B1CAD">
            <w:pPr>
              <w:spacing w:line="360" w:lineRule="auto"/>
              <w:jc w:val="both"/>
              <w:rPr>
                <w:rFonts w:ascii="Book Antiqua" w:hAnsi="Book Antiqua" w:cs="Arial"/>
                <w:b w:val="0"/>
                <w:bCs w:val="0"/>
              </w:rPr>
            </w:pPr>
            <w:r w:rsidRPr="003B1CAD">
              <w:rPr>
                <w:rFonts w:ascii="Book Antiqua" w:hAnsi="Book Antiqua" w:cs="Arial"/>
                <w:b w:val="0"/>
                <w:bCs w:val="0"/>
              </w:rPr>
              <w:t>Partial Mayo score (points)</w:t>
            </w:r>
          </w:p>
        </w:tc>
        <w:tc>
          <w:tcPr>
            <w:cnfStyle w:val="000010000000" w:firstRow="0" w:lastRow="0" w:firstColumn="0" w:lastColumn="0" w:oddVBand="1" w:evenVBand="0" w:oddHBand="0" w:evenHBand="0" w:firstRowFirstColumn="0" w:firstRowLastColumn="0" w:lastRowFirstColumn="0" w:lastRowLastColumn="0"/>
            <w:tcW w:w="1219" w:type="dxa"/>
            <w:tcBorders>
              <w:top w:val="single" w:sz="4" w:space="0" w:color="auto"/>
              <w:left w:val="none" w:sz="0" w:space="0" w:color="auto"/>
              <w:bottom w:val="none" w:sz="0" w:space="0" w:color="auto"/>
              <w:right w:val="none" w:sz="0" w:space="0" w:color="auto"/>
            </w:tcBorders>
          </w:tcPr>
          <w:p w14:paraId="63DE4DEE"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9</w:t>
            </w:r>
          </w:p>
        </w:tc>
        <w:tc>
          <w:tcPr>
            <w:cnfStyle w:val="000001000000" w:firstRow="0" w:lastRow="0" w:firstColumn="0" w:lastColumn="0" w:oddVBand="0" w:evenVBand="1" w:oddHBand="0" w:evenHBand="0" w:firstRowFirstColumn="0" w:firstRowLastColumn="0" w:lastRowFirstColumn="0" w:lastRowLastColumn="0"/>
            <w:tcW w:w="1468" w:type="dxa"/>
            <w:tcBorders>
              <w:top w:val="single" w:sz="4" w:space="0" w:color="auto"/>
              <w:left w:val="none" w:sz="0" w:space="0" w:color="auto"/>
              <w:bottom w:val="none" w:sz="0" w:space="0" w:color="auto"/>
              <w:right w:val="none" w:sz="0" w:space="0" w:color="auto"/>
            </w:tcBorders>
          </w:tcPr>
          <w:p w14:paraId="62609ECB"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7</w:t>
            </w:r>
          </w:p>
        </w:tc>
        <w:tc>
          <w:tcPr>
            <w:cnfStyle w:val="000010000000" w:firstRow="0" w:lastRow="0" w:firstColumn="0" w:lastColumn="0" w:oddVBand="1" w:evenVBand="0" w:oddHBand="0" w:evenHBand="0" w:firstRowFirstColumn="0" w:firstRowLastColumn="0" w:lastRowFirstColumn="0" w:lastRowLastColumn="0"/>
            <w:tcW w:w="1588" w:type="dxa"/>
            <w:tcBorders>
              <w:top w:val="single" w:sz="4" w:space="0" w:color="auto"/>
              <w:left w:val="none" w:sz="0" w:space="0" w:color="auto"/>
              <w:bottom w:val="none" w:sz="0" w:space="0" w:color="auto"/>
              <w:right w:val="none" w:sz="0" w:space="0" w:color="auto"/>
            </w:tcBorders>
          </w:tcPr>
          <w:p w14:paraId="2FB8AAD6"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7</w:t>
            </w:r>
          </w:p>
        </w:tc>
        <w:tc>
          <w:tcPr>
            <w:cnfStyle w:val="000001000000" w:firstRow="0" w:lastRow="0" w:firstColumn="0" w:lastColumn="0" w:oddVBand="0" w:evenVBand="1" w:oddHBand="0" w:evenHBand="0" w:firstRowFirstColumn="0" w:firstRowLastColumn="0" w:lastRowFirstColumn="0" w:lastRowLastColumn="0"/>
            <w:tcW w:w="1607" w:type="dxa"/>
            <w:tcBorders>
              <w:top w:val="single" w:sz="4" w:space="0" w:color="auto"/>
              <w:left w:val="none" w:sz="0" w:space="0" w:color="auto"/>
              <w:bottom w:val="none" w:sz="0" w:space="0" w:color="auto"/>
              <w:right w:val="none" w:sz="0" w:space="0" w:color="auto"/>
            </w:tcBorders>
          </w:tcPr>
          <w:p w14:paraId="5A7EAC75"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7</w:t>
            </w:r>
          </w:p>
        </w:tc>
        <w:tc>
          <w:tcPr>
            <w:cnfStyle w:val="000010000000" w:firstRow="0" w:lastRow="0" w:firstColumn="0" w:lastColumn="0" w:oddVBand="1" w:evenVBand="0" w:oddHBand="0" w:evenHBand="0" w:firstRowFirstColumn="0" w:firstRowLastColumn="0" w:lastRowFirstColumn="0" w:lastRowLastColumn="0"/>
            <w:tcW w:w="1231" w:type="dxa"/>
            <w:tcBorders>
              <w:top w:val="single" w:sz="4" w:space="0" w:color="auto"/>
              <w:left w:val="none" w:sz="0" w:space="0" w:color="auto"/>
              <w:bottom w:val="none" w:sz="0" w:space="0" w:color="auto"/>
              <w:right w:val="none" w:sz="0" w:space="0" w:color="auto"/>
            </w:tcBorders>
          </w:tcPr>
          <w:p w14:paraId="48AAE0BE"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3</w:t>
            </w:r>
          </w:p>
        </w:tc>
        <w:tc>
          <w:tcPr>
            <w:cnfStyle w:val="000001000000" w:firstRow="0" w:lastRow="0" w:firstColumn="0" w:lastColumn="0" w:oddVBand="0" w:evenVBand="1" w:oddHBand="0" w:evenHBand="0" w:firstRowFirstColumn="0" w:firstRowLastColumn="0" w:lastRowFirstColumn="0" w:lastRowLastColumn="0"/>
            <w:tcW w:w="1447" w:type="dxa"/>
            <w:tcBorders>
              <w:top w:val="single" w:sz="4" w:space="0" w:color="auto"/>
              <w:left w:val="none" w:sz="0" w:space="0" w:color="auto"/>
              <w:bottom w:val="none" w:sz="0" w:space="0" w:color="auto"/>
              <w:right w:val="none" w:sz="0" w:space="0" w:color="auto"/>
            </w:tcBorders>
          </w:tcPr>
          <w:p w14:paraId="5E7CA380"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2</w:t>
            </w:r>
          </w:p>
        </w:tc>
        <w:tc>
          <w:tcPr>
            <w:cnfStyle w:val="000010000000" w:firstRow="0" w:lastRow="0" w:firstColumn="0" w:lastColumn="0" w:oddVBand="1" w:evenVBand="0" w:oddHBand="0" w:evenHBand="0" w:firstRowFirstColumn="0" w:firstRowLastColumn="0" w:lastRowFirstColumn="0" w:lastRowLastColumn="0"/>
            <w:tcW w:w="1229" w:type="dxa"/>
            <w:tcBorders>
              <w:top w:val="single" w:sz="4" w:space="0" w:color="auto"/>
              <w:left w:val="none" w:sz="0" w:space="0" w:color="auto"/>
              <w:bottom w:val="none" w:sz="0" w:space="0" w:color="auto"/>
              <w:right w:val="none" w:sz="0" w:space="0" w:color="auto"/>
            </w:tcBorders>
          </w:tcPr>
          <w:p w14:paraId="6E995477"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0</w:t>
            </w:r>
          </w:p>
        </w:tc>
      </w:tr>
      <w:tr w:rsidR="003B1CAD" w:rsidRPr="003B1CAD" w14:paraId="2BD5F1C1" w14:textId="77777777" w:rsidTr="00083FEB">
        <w:tc>
          <w:tcPr>
            <w:cnfStyle w:val="001000000000" w:firstRow="0" w:lastRow="0" w:firstColumn="1" w:lastColumn="0" w:oddVBand="0" w:evenVBand="0" w:oddHBand="0" w:evenHBand="0" w:firstRowFirstColumn="0" w:firstRowLastColumn="0" w:lastRowFirstColumn="0" w:lastRowLastColumn="0"/>
            <w:tcW w:w="3387" w:type="dxa"/>
          </w:tcPr>
          <w:p w14:paraId="3E64285A" w14:textId="77777777" w:rsidR="0068121F" w:rsidRPr="003B1CAD" w:rsidRDefault="0068121F" w:rsidP="003B1CAD">
            <w:pPr>
              <w:spacing w:line="360" w:lineRule="auto"/>
              <w:jc w:val="both"/>
              <w:rPr>
                <w:rFonts w:ascii="Book Antiqua" w:hAnsi="Book Antiqua" w:cs="Arial"/>
                <w:b w:val="0"/>
                <w:bCs w:val="0"/>
              </w:rPr>
            </w:pPr>
            <w:r w:rsidRPr="003B1CAD">
              <w:rPr>
                <w:rFonts w:ascii="Book Antiqua" w:hAnsi="Book Antiqua" w:cs="Arial"/>
                <w:b w:val="0"/>
                <w:bCs w:val="0"/>
              </w:rPr>
              <w:t>Mayo endoscopic score (points)</w:t>
            </w:r>
          </w:p>
        </w:tc>
        <w:tc>
          <w:tcPr>
            <w:cnfStyle w:val="000010000000" w:firstRow="0" w:lastRow="0" w:firstColumn="0" w:lastColumn="0" w:oddVBand="1" w:evenVBand="0" w:oddHBand="0" w:evenHBand="0" w:firstRowFirstColumn="0" w:firstRowLastColumn="0" w:lastRowFirstColumn="0" w:lastRowLastColumn="0"/>
            <w:tcW w:w="1219" w:type="dxa"/>
            <w:tcBorders>
              <w:left w:val="none" w:sz="0" w:space="0" w:color="auto"/>
              <w:right w:val="none" w:sz="0" w:space="0" w:color="auto"/>
            </w:tcBorders>
          </w:tcPr>
          <w:p w14:paraId="236CC97B"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3</w:t>
            </w:r>
          </w:p>
        </w:tc>
        <w:tc>
          <w:tcPr>
            <w:cnfStyle w:val="000001000000" w:firstRow="0" w:lastRow="0" w:firstColumn="0" w:lastColumn="0" w:oddVBand="0" w:evenVBand="1" w:oddHBand="0" w:evenHBand="0" w:firstRowFirstColumn="0" w:firstRowLastColumn="0" w:lastRowFirstColumn="0" w:lastRowLastColumn="0"/>
            <w:tcW w:w="1468" w:type="dxa"/>
            <w:tcBorders>
              <w:left w:val="none" w:sz="0" w:space="0" w:color="auto"/>
              <w:right w:val="none" w:sz="0" w:space="0" w:color="auto"/>
            </w:tcBorders>
          </w:tcPr>
          <w:p w14:paraId="1F7A43C9"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w:t>
            </w:r>
          </w:p>
        </w:tc>
        <w:tc>
          <w:tcPr>
            <w:cnfStyle w:val="000010000000" w:firstRow="0" w:lastRow="0" w:firstColumn="0" w:lastColumn="0" w:oddVBand="1" w:evenVBand="0" w:oddHBand="0" w:evenHBand="0" w:firstRowFirstColumn="0" w:firstRowLastColumn="0" w:lastRowFirstColumn="0" w:lastRowLastColumn="0"/>
            <w:tcW w:w="1588" w:type="dxa"/>
            <w:tcBorders>
              <w:left w:val="none" w:sz="0" w:space="0" w:color="auto"/>
              <w:right w:val="none" w:sz="0" w:space="0" w:color="auto"/>
            </w:tcBorders>
          </w:tcPr>
          <w:p w14:paraId="3087302A"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w:t>
            </w:r>
          </w:p>
        </w:tc>
        <w:tc>
          <w:tcPr>
            <w:cnfStyle w:val="000001000000" w:firstRow="0" w:lastRow="0" w:firstColumn="0" w:lastColumn="0" w:oddVBand="0" w:evenVBand="1" w:oddHBand="0" w:evenHBand="0" w:firstRowFirstColumn="0" w:firstRowLastColumn="0" w:lastRowFirstColumn="0" w:lastRowLastColumn="0"/>
            <w:tcW w:w="1607" w:type="dxa"/>
            <w:tcBorders>
              <w:left w:val="none" w:sz="0" w:space="0" w:color="auto"/>
              <w:right w:val="none" w:sz="0" w:space="0" w:color="auto"/>
            </w:tcBorders>
          </w:tcPr>
          <w:p w14:paraId="4D4F934C"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w:t>
            </w:r>
          </w:p>
        </w:tc>
        <w:tc>
          <w:tcPr>
            <w:cnfStyle w:val="000010000000" w:firstRow="0" w:lastRow="0" w:firstColumn="0" w:lastColumn="0" w:oddVBand="1" w:evenVBand="0" w:oddHBand="0" w:evenHBand="0" w:firstRowFirstColumn="0" w:firstRowLastColumn="0" w:lastRowFirstColumn="0" w:lastRowLastColumn="0"/>
            <w:tcW w:w="1231" w:type="dxa"/>
            <w:tcBorders>
              <w:left w:val="none" w:sz="0" w:space="0" w:color="auto"/>
              <w:right w:val="none" w:sz="0" w:space="0" w:color="auto"/>
            </w:tcBorders>
          </w:tcPr>
          <w:p w14:paraId="00D2B4DD"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w:t>
            </w:r>
          </w:p>
        </w:tc>
        <w:tc>
          <w:tcPr>
            <w:cnfStyle w:val="000001000000" w:firstRow="0" w:lastRow="0" w:firstColumn="0" w:lastColumn="0" w:oddVBand="0" w:evenVBand="1" w:oddHBand="0" w:evenHBand="0" w:firstRowFirstColumn="0" w:firstRowLastColumn="0" w:lastRowFirstColumn="0" w:lastRowLastColumn="0"/>
            <w:tcW w:w="1447" w:type="dxa"/>
            <w:tcBorders>
              <w:left w:val="none" w:sz="0" w:space="0" w:color="auto"/>
              <w:right w:val="none" w:sz="0" w:space="0" w:color="auto"/>
            </w:tcBorders>
          </w:tcPr>
          <w:p w14:paraId="2E712521"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w:t>
            </w:r>
          </w:p>
        </w:tc>
        <w:tc>
          <w:tcPr>
            <w:cnfStyle w:val="000010000000" w:firstRow="0" w:lastRow="0" w:firstColumn="0" w:lastColumn="0" w:oddVBand="1" w:evenVBand="0" w:oddHBand="0" w:evenHBand="0" w:firstRowFirstColumn="0" w:firstRowLastColumn="0" w:lastRowFirstColumn="0" w:lastRowLastColumn="0"/>
            <w:tcW w:w="1229" w:type="dxa"/>
            <w:tcBorders>
              <w:left w:val="none" w:sz="0" w:space="0" w:color="auto"/>
              <w:right w:val="none" w:sz="0" w:space="0" w:color="auto"/>
            </w:tcBorders>
          </w:tcPr>
          <w:p w14:paraId="45AA2839"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0</w:t>
            </w:r>
          </w:p>
        </w:tc>
      </w:tr>
      <w:tr w:rsidR="003B1CAD" w:rsidRPr="003B1CAD" w14:paraId="120B8639" w14:textId="77777777" w:rsidTr="00083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7" w:type="dxa"/>
            <w:tcBorders>
              <w:top w:val="none" w:sz="0" w:space="0" w:color="auto"/>
              <w:bottom w:val="none" w:sz="0" w:space="0" w:color="auto"/>
            </w:tcBorders>
          </w:tcPr>
          <w:p w14:paraId="49A84F95" w14:textId="1D948716" w:rsidR="0068121F" w:rsidRPr="003B1CAD" w:rsidRDefault="0068121F" w:rsidP="003B1CAD">
            <w:pPr>
              <w:spacing w:line="360" w:lineRule="auto"/>
              <w:jc w:val="both"/>
              <w:rPr>
                <w:rFonts w:ascii="Book Antiqua" w:hAnsi="Book Antiqua" w:cs="Arial"/>
                <w:b w:val="0"/>
                <w:bCs w:val="0"/>
              </w:rPr>
            </w:pPr>
            <w:r w:rsidRPr="003B1CAD">
              <w:rPr>
                <w:rFonts w:ascii="Book Antiqua" w:hAnsi="Book Antiqua" w:cs="Arial"/>
                <w:b w:val="0"/>
                <w:bCs w:val="0"/>
              </w:rPr>
              <w:t>Hematocrit/</w:t>
            </w:r>
            <w:r w:rsidR="003B1CAD" w:rsidRPr="003B1CAD">
              <w:rPr>
                <w:rFonts w:ascii="Book Antiqua" w:hAnsi="Book Antiqua" w:cs="Arial"/>
                <w:b w:val="0"/>
                <w:bCs w:val="0"/>
              </w:rPr>
              <w:t>h</w:t>
            </w:r>
            <w:r w:rsidRPr="003B1CAD">
              <w:rPr>
                <w:rFonts w:ascii="Book Antiqua" w:hAnsi="Book Antiqua" w:cs="Arial"/>
                <w:b w:val="0"/>
                <w:bCs w:val="0"/>
              </w:rPr>
              <w:t>emoglobin</w:t>
            </w:r>
            <w:r w:rsidR="003B1CAD" w:rsidRPr="003B1CAD">
              <w:rPr>
                <w:rFonts w:ascii="Book Antiqua" w:hAnsi="Book Antiqua" w:cs="Arial"/>
                <w:b w:val="0"/>
                <w:bCs w:val="0"/>
              </w:rPr>
              <w:t>,</w:t>
            </w:r>
            <w:r w:rsidRPr="003B1CAD">
              <w:rPr>
                <w:rFonts w:ascii="Book Antiqua" w:hAnsi="Book Antiqua" w:cs="Arial"/>
                <w:b w:val="0"/>
                <w:bCs w:val="0"/>
              </w:rPr>
              <w:t xml:space="preserve"> </w:t>
            </w:r>
            <w:r w:rsidR="003B1CAD" w:rsidRPr="003B1CAD">
              <w:rPr>
                <w:rFonts w:ascii="Book Antiqua" w:hAnsi="Book Antiqua" w:cs="Arial"/>
                <w:b w:val="0"/>
                <w:bCs w:val="0"/>
              </w:rPr>
              <w:t>(%)/</w:t>
            </w:r>
            <w:r w:rsidRPr="003B1CAD">
              <w:rPr>
                <w:rFonts w:ascii="Book Antiqua" w:hAnsi="Book Antiqua" w:cs="Arial"/>
                <w:b w:val="0"/>
                <w:bCs w:val="0"/>
              </w:rPr>
              <w:t>(g/d</w:t>
            </w:r>
            <w:r w:rsidR="003B1CAD" w:rsidRPr="003B1CAD">
              <w:rPr>
                <w:rFonts w:ascii="Book Antiqua" w:hAnsi="Book Antiqua" w:cs="Arial"/>
                <w:b w:val="0"/>
                <w:bCs w:val="0"/>
              </w:rPr>
              <w:t>L</w:t>
            </w:r>
            <w:r w:rsidRPr="003B1CAD">
              <w:rPr>
                <w:rFonts w:ascii="Book Antiqua" w:hAnsi="Book Antiqua" w:cs="Arial"/>
                <w:b w:val="0"/>
                <w:bCs w:val="0"/>
              </w:rPr>
              <w:t>)</w:t>
            </w:r>
          </w:p>
        </w:tc>
        <w:tc>
          <w:tcPr>
            <w:cnfStyle w:val="000010000000" w:firstRow="0" w:lastRow="0" w:firstColumn="0" w:lastColumn="0" w:oddVBand="1" w:evenVBand="0" w:oddHBand="0" w:evenHBand="0" w:firstRowFirstColumn="0" w:firstRowLastColumn="0" w:lastRowFirstColumn="0" w:lastRowLastColumn="0"/>
            <w:tcW w:w="1219" w:type="dxa"/>
            <w:tcBorders>
              <w:top w:val="none" w:sz="0" w:space="0" w:color="auto"/>
              <w:left w:val="none" w:sz="0" w:space="0" w:color="auto"/>
              <w:bottom w:val="none" w:sz="0" w:space="0" w:color="auto"/>
              <w:right w:val="none" w:sz="0" w:space="0" w:color="auto"/>
            </w:tcBorders>
          </w:tcPr>
          <w:p w14:paraId="5901D222" w14:textId="3EE08159" w:rsidR="0068121F" w:rsidRPr="003B1CAD" w:rsidRDefault="0068121F" w:rsidP="003B1CAD">
            <w:pPr>
              <w:spacing w:line="360" w:lineRule="auto"/>
              <w:jc w:val="both"/>
              <w:rPr>
                <w:rFonts w:ascii="Book Antiqua" w:hAnsi="Book Antiqua" w:cs="Arial"/>
              </w:rPr>
            </w:pPr>
            <w:r w:rsidRPr="003B1CAD">
              <w:rPr>
                <w:rFonts w:ascii="Book Antiqua" w:hAnsi="Book Antiqua" w:cs="Arial"/>
              </w:rPr>
              <w:t>25.8/8.1</w:t>
            </w:r>
            <w:r w:rsidR="003B1CAD" w:rsidRPr="003B1CAD">
              <w:rPr>
                <w:rFonts w:ascii="Book Antiqua" w:hAnsi="Book Antiqua" w:cs="Arial"/>
                <w:vertAlign w:val="superscript"/>
              </w:rPr>
              <w:t>1</w:t>
            </w:r>
          </w:p>
        </w:tc>
        <w:tc>
          <w:tcPr>
            <w:cnfStyle w:val="000001000000" w:firstRow="0" w:lastRow="0" w:firstColumn="0" w:lastColumn="0" w:oddVBand="0" w:evenVBand="1" w:oddHBand="0" w:evenHBand="0" w:firstRowFirstColumn="0" w:firstRowLastColumn="0" w:lastRowFirstColumn="0" w:lastRowLastColumn="0"/>
            <w:tcW w:w="1468" w:type="dxa"/>
            <w:tcBorders>
              <w:top w:val="none" w:sz="0" w:space="0" w:color="auto"/>
              <w:left w:val="none" w:sz="0" w:space="0" w:color="auto"/>
              <w:bottom w:val="none" w:sz="0" w:space="0" w:color="auto"/>
              <w:right w:val="none" w:sz="0" w:space="0" w:color="auto"/>
            </w:tcBorders>
          </w:tcPr>
          <w:p w14:paraId="35E73560" w14:textId="616E3D56" w:rsidR="0068121F" w:rsidRPr="003B1CAD" w:rsidRDefault="0068121F" w:rsidP="003B1CAD">
            <w:pPr>
              <w:spacing w:line="360" w:lineRule="auto"/>
              <w:jc w:val="both"/>
              <w:rPr>
                <w:rFonts w:ascii="Book Antiqua" w:hAnsi="Book Antiqua" w:cs="Arial"/>
              </w:rPr>
            </w:pPr>
            <w:r w:rsidRPr="003B1CAD">
              <w:rPr>
                <w:rFonts w:ascii="Book Antiqua" w:hAnsi="Book Antiqua" w:cs="Arial"/>
              </w:rPr>
              <w:t>27.1/8.6</w:t>
            </w:r>
            <w:r w:rsidR="003B1CAD" w:rsidRPr="003B1CAD">
              <w:rPr>
                <w:rFonts w:ascii="Book Antiqua" w:hAnsi="Book Antiqua" w:cs="Arial"/>
                <w:vertAlign w:val="superscript"/>
              </w:rPr>
              <w:t>1</w:t>
            </w:r>
          </w:p>
        </w:tc>
        <w:tc>
          <w:tcPr>
            <w:cnfStyle w:val="000010000000" w:firstRow="0" w:lastRow="0" w:firstColumn="0" w:lastColumn="0" w:oddVBand="1" w:evenVBand="0" w:oddHBand="0" w:evenHBand="0" w:firstRowFirstColumn="0" w:firstRowLastColumn="0" w:lastRowFirstColumn="0" w:lastRowLastColumn="0"/>
            <w:tcW w:w="1588" w:type="dxa"/>
            <w:tcBorders>
              <w:top w:val="none" w:sz="0" w:space="0" w:color="auto"/>
              <w:left w:val="none" w:sz="0" w:space="0" w:color="auto"/>
              <w:bottom w:val="none" w:sz="0" w:space="0" w:color="auto"/>
              <w:right w:val="none" w:sz="0" w:space="0" w:color="auto"/>
            </w:tcBorders>
          </w:tcPr>
          <w:p w14:paraId="01F7613F"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35.6/11.9</w:t>
            </w:r>
          </w:p>
        </w:tc>
        <w:tc>
          <w:tcPr>
            <w:cnfStyle w:val="000001000000" w:firstRow="0" w:lastRow="0" w:firstColumn="0" w:lastColumn="0" w:oddVBand="0" w:evenVBand="1" w:oddHBand="0" w:evenHBand="0" w:firstRowFirstColumn="0" w:firstRowLastColumn="0" w:lastRowFirstColumn="0" w:lastRowLastColumn="0"/>
            <w:tcW w:w="1607" w:type="dxa"/>
            <w:tcBorders>
              <w:top w:val="none" w:sz="0" w:space="0" w:color="auto"/>
              <w:left w:val="none" w:sz="0" w:space="0" w:color="auto"/>
              <w:bottom w:val="none" w:sz="0" w:space="0" w:color="auto"/>
              <w:right w:val="none" w:sz="0" w:space="0" w:color="auto"/>
            </w:tcBorders>
          </w:tcPr>
          <w:p w14:paraId="0A5A584D"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34.4/10.8</w:t>
            </w:r>
          </w:p>
        </w:tc>
        <w:tc>
          <w:tcPr>
            <w:cnfStyle w:val="000010000000" w:firstRow="0" w:lastRow="0" w:firstColumn="0" w:lastColumn="0" w:oddVBand="1" w:evenVBand="0" w:oddHBand="0" w:evenHBand="0" w:firstRowFirstColumn="0" w:firstRowLastColumn="0" w:lastRowFirstColumn="0" w:lastRowLastColumn="0"/>
            <w:tcW w:w="1231" w:type="dxa"/>
            <w:tcBorders>
              <w:top w:val="none" w:sz="0" w:space="0" w:color="auto"/>
              <w:left w:val="none" w:sz="0" w:space="0" w:color="auto"/>
              <w:bottom w:val="none" w:sz="0" w:space="0" w:color="auto"/>
              <w:right w:val="none" w:sz="0" w:space="0" w:color="auto"/>
            </w:tcBorders>
          </w:tcPr>
          <w:p w14:paraId="46FA2E1C"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32.3/10.6</w:t>
            </w:r>
          </w:p>
        </w:tc>
        <w:tc>
          <w:tcPr>
            <w:cnfStyle w:val="000001000000" w:firstRow="0" w:lastRow="0" w:firstColumn="0" w:lastColumn="0" w:oddVBand="0" w:evenVBand="1" w:oddHBand="0" w:evenHBand="0" w:firstRowFirstColumn="0" w:firstRowLastColumn="0" w:lastRowFirstColumn="0" w:lastRowLastColumn="0"/>
            <w:tcW w:w="1447" w:type="dxa"/>
            <w:tcBorders>
              <w:top w:val="none" w:sz="0" w:space="0" w:color="auto"/>
              <w:left w:val="none" w:sz="0" w:space="0" w:color="auto"/>
              <w:bottom w:val="none" w:sz="0" w:space="0" w:color="auto"/>
              <w:right w:val="none" w:sz="0" w:space="0" w:color="auto"/>
            </w:tcBorders>
          </w:tcPr>
          <w:p w14:paraId="06C7B21F"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28.9/9.4</w:t>
            </w:r>
          </w:p>
        </w:tc>
        <w:tc>
          <w:tcPr>
            <w:cnfStyle w:val="000010000000" w:firstRow="0" w:lastRow="0" w:firstColumn="0" w:lastColumn="0" w:oddVBand="1" w:evenVBand="0" w:oddHBand="0" w:evenHBand="0" w:firstRowFirstColumn="0" w:firstRowLastColumn="0" w:lastRowFirstColumn="0" w:lastRowLastColumn="0"/>
            <w:tcW w:w="1229" w:type="dxa"/>
            <w:tcBorders>
              <w:top w:val="none" w:sz="0" w:space="0" w:color="auto"/>
              <w:left w:val="none" w:sz="0" w:space="0" w:color="auto"/>
              <w:bottom w:val="none" w:sz="0" w:space="0" w:color="auto"/>
              <w:right w:val="none" w:sz="0" w:space="0" w:color="auto"/>
            </w:tcBorders>
          </w:tcPr>
          <w:p w14:paraId="3608FE2B" w14:textId="77777777" w:rsidR="0068121F" w:rsidRPr="003B1CAD" w:rsidRDefault="0068121F" w:rsidP="003B1CAD">
            <w:pPr>
              <w:spacing w:line="360" w:lineRule="auto"/>
              <w:jc w:val="both"/>
              <w:rPr>
                <w:rFonts w:ascii="Book Antiqua" w:hAnsi="Book Antiqua" w:cs="Arial"/>
                <w:highlight w:val="yellow"/>
              </w:rPr>
            </w:pPr>
            <w:r w:rsidRPr="003B1CAD">
              <w:rPr>
                <w:rFonts w:ascii="Book Antiqua" w:hAnsi="Book Antiqua" w:cs="Arial"/>
              </w:rPr>
              <w:t>40.2/13.8</w:t>
            </w:r>
          </w:p>
        </w:tc>
      </w:tr>
      <w:tr w:rsidR="003B1CAD" w:rsidRPr="003B1CAD" w14:paraId="663105DF" w14:textId="77777777" w:rsidTr="00083FEB">
        <w:tc>
          <w:tcPr>
            <w:cnfStyle w:val="001000000000" w:firstRow="0" w:lastRow="0" w:firstColumn="1" w:lastColumn="0" w:oddVBand="0" w:evenVBand="0" w:oddHBand="0" w:evenHBand="0" w:firstRowFirstColumn="0" w:firstRowLastColumn="0" w:lastRowFirstColumn="0" w:lastRowLastColumn="0"/>
            <w:tcW w:w="3387" w:type="dxa"/>
          </w:tcPr>
          <w:p w14:paraId="5F2900F0" w14:textId="6CB24372" w:rsidR="0068121F" w:rsidRPr="003B1CAD" w:rsidRDefault="0068121F" w:rsidP="003B1CAD">
            <w:pPr>
              <w:spacing w:line="360" w:lineRule="auto"/>
              <w:jc w:val="both"/>
              <w:rPr>
                <w:rFonts w:ascii="Book Antiqua" w:hAnsi="Book Antiqua" w:cs="Arial"/>
                <w:b w:val="0"/>
                <w:bCs w:val="0"/>
                <w:lang w:val="en-US"/>
              </w:rPr>
            </w:pPr>
            <w:r w:rsidRPr="003B1CAD">
              <w:rPr>
                <w:rFonts w:ascii="Book Antiqua" w:hAnsi="Book Antiqua" w:cs="Arial"/>
                <w:b w:val="0"/>
                <w:bCs w:val="0"/>
                <w:lang w:val="en-US"/>
              </w:rPr>
              <w:t>C-reactive protein (</w:t>
            </w:r>
            <w:proofErr w:type="spellStart"/>
            <w:r w:rsidRPr="003B1CAD">
              <w:rPr>
                <w:rFonts w:ascii="Book Antiqua" w:hAnsi="Book Antiqua" w:cs="Arial"/>
                <w:b w:val="0"/>
                <w:bCs w:val="0"/>
                <w:lang w:val="en-US"/>
              </w:rPr>
              <w:t>hs</w:t>
            </w:r>
            <w:proofErr w:type="spellEnd"/>
            <w:r w:rsidRPr="003B1CAD">
              <w:rPr>
                <w:rFonts w:ascii="Book Antiqua" w:hAnsi="Book Antiqua" w:cs="Arial"/>
                <w:b w:val="0"/>
                <w:bCs w:val="0"/>
                <w:lang w:val="en-US"/>
              </w:rPr>
              <w:t>-CRP) (&lt;</w:t>
            </w:r>
            <w:r w:rsidR="003B1CAD" w:rsidRPr="003B1CAD">
              <w:rPr>
                <w:rFonts w:ascii="Book Antiqua" w:hAnsi="Book Antiqua" w:cs="Arial"/>
                <w:b w:val="0"/>
                <w:bCs w:val="0"/>
                <w:lang w:val="en-US"/>
              </w:rPr>
              <w:t xml:space="preserve"> </w:t>
            </w:r>
            <w:r w:rsidRPr="003B1CAD">
              <w:rPr>
                <w:rFonts w:ascii="Book Antiqua" w:hAnsi="Book Antiqua" w:cs="Arial"/>
                <w:b w:val="0"/>
                <w:bCs w:val="0"/>
                <w:lang w:val="en-US"/>
              </w:rPr>
              <w:t>1.0mg/</w:t>
            </w:r>
            <w:proofErr w:type="spellStart"/>
            <w:r w:rsidRPr="003B1CAD">
              <w:rPr>
                <w:rFonts w:ascii="Book Antiqua" w:hAnsi="Book Antiqua" w:cs="Arial"/>
                <w:b w:val="0"/>
                <w:bCs w:val="0"/>
                <w:lang w:val="en-US"/>
              </w:rPr>
              <w:t>d</w:t>
            </w:r>
            <w:r w:rsidR="003B1CAD" w:rsidRPr="003B1CAD">
              <w:rPr>
                <w:rFonts w:ascii="Book Antiqua" w:hAnsi="Book Antiqua" w:cs="Arial"/>
                <w:b w:val="0"/>
                <w:bCs w:val="0"/>
                <w:lang w:val="en-US"/>
              </w:rPr>
              <w:t>L</w:t>
            </w:r>
            <w:proofErr w:type="spellEnd"/>
            <w:r w:rsidRPr="003B1CAD">
              <w:rPr>
                <w:rFonts w:ascii="Book Antiqua" w:hAnsi="Book Antiqua" w:cs="Arial"/>
                <w:b w:val="0"/>
                <w:bCs w:val="0"/>
                <w:lang w:val="en-US"/>
              </w:rPr>
              <w:t>)</w:t>
            </w:r>
          </w:p>
        </w:tc>
        <w:tc>
          <w:tcPr>
            <w:cnfStyle w:val="000010000000" w:firstRow="0" w:lastRow="0" w:firstColumn="0" w:lastColumn="0" w:oddVBand="1" w:evenVBand="0" w:oddHBand="0" w:evenHBand="0" w:firstRowFirstColumn="0" w:firstRowLastColumn="0" w:lastRowFirstColumn="0" w:lastRowLastColumn="0"/>
            <w:tcW w:w="1219" w:type="dxa"/>
            <w:tcBorders>
              <w:left w:val="none" w:sz="0" w:space="0" w:color="auto"/>
              <w:right w:val="none" w:sz="0" w:space="0" w:color="auto"/>
            </w:tcBorders>
          </w:tcPr>
          <w:p w14:paraId="4315D4EC"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20.3</w:t>
            </w:r>
          </w:p>
        </w:tc>
        <w:tc>
          <w:tcPr>
            <w:cnfStyle w:val="000001000000" w:firstRow="0" w:lastRow="0" w:firstColumn="0" w:lastColumn="0" w:oddVBand="0" w:evenVBand="1" w:oddHBand="0" w:evenHBand="0" w:firstRowFirstColumn="0" w:firstRowLastColumn="0" w:lastRowFirstColumn="0" w:lastRowLastColumn="0"/>
            <w:tcW w:w="1468" w:type="dxa"/>
            <w:tcBorders>
              <w:left w:val="none" w:sz="0" w:space="0" w:color="auto"/>
              <w:right w:val="none" w:sz="0" w:space="0" w:color="auto"/>
            </w:tcBorders>
          </w:tcPr>
          <w:p w14:paraId="3796447E"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6.0</w:t>
            </w:r>
          </w:p>
        </w:tc>
        <w:tc>
          <w:tcPr>
            <w:cnfStyle w:val="000010000000" w:firstRow="0" w:lastRow="0" w:firstColumn="0" w:lastColumn="0" w:oddVBand="1" w:evenVBand="0" w:oddHBand="0" w:evenHBand="0" w:firstRowFirstColumn="0" w:firstRowLastColumn="0" w:lastRowFirstColumn="0" w:lastRowLastColumn="0"/>
            <w:tcW w:w="1588" w:type="dxa"/>
            <w:tcBorders>
              <w:left w:val="none" w:sz="0" w:space="0" w:color="auto"/>
              <w:right w:val="none" w:sz="0" w:space="0" w:color="auto"/>
            </w:tcBorders>
          </w:tcPr>
          <w:p w14:paraId="1ACE58B0"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2.9</w:t>
            </w:r>
          </w:p>
        </w:tc>
        <w:tc>
          <w:tcPr>
            <w:cnfStyle w:val="000001000000" w:firstRow="0" w:lastRow="0" w:firstColumn="0" w:lastColumn="0" w:oddVBand="0" w:evenVBand="1" w:oddHBand="0" w:evenHBand="0" w:firstRowFirstColumn="0" w:firstRowLastColumn="0" w:lastRowFirstColumn="0" w:lastRowLastColumn="0"/>
            <w:tcW w:w="1607" w:type="dxa"/>
            <w:tcBorders>
              <w:left w:val="none" w:sz="0" w:space="0" w:color="auto"/>
              <w:right w:val="none" w:sz="0" w:space="0" w:color="auto"/>
            </w:tcBorders>
          </w:tcPr>
          <w:p w14:paraId="792D1347"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3.7</w:t>
            </w:r>
          </w:p>
        </w:tc>
        <w:tc>
          <w:tcPr>
            <w:cnfStyle w:val="000010000000" w:firstRow="0" w:lastRow="0" w:firstColumn="0" w:lastColumn="0" w:oddVBand="1" w:evenVBand="0" w:oddHBand="0" w:evenHBand="0" w:firstRowFirstColumn="0" w:firstRowLastColumn="0" w:lastRowFirstColumn="0" w:lastRowLastColumn="0"/>
            <w:tcW w:w="1231" w:type="dxa"/>
            <w:tcBorders>
              <w:left w:val="none" w:sz="0" w:space="0" w:color="auto"/>
              <w:right w:val="none" w:sz="0" w:space="0" w:color="auto"/>
            </w:tcBorders>
          </w:tcPr>
          <w:p w14:paraId="5149859A"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2.7</w:t>
            </w:r>
          </w:p>
        </w:tc>
        <w:tc>
          <w:tcPr>
            <w:cnfStyle w:val="000001000000" w:firstRow="0" w:lastRow="0" w:firstColumn="0" w:lastColumn="0" w:oddVBand="0" w:evenVBand="1" w:oddHBand="0" w:evenHBand="0" w:firstRowFirstColumn="0" w:firstRowLastColumn="0" w:lastRowFirstColumn="0" w:lastRowLastColumn="0"/>
            <w:tcW w:w="1447" w:type="dxa"/>
            <w:tcBorders>
              <w:left w:val="none" w:sz="0" w:space="0" w:color="auto"/>
              <w:right w:val="none" w:sz="0" w:space="0" w:color="auto"/>
            </w:tcBorders>
          </w:tcPr>
          <w:p w14:paraId="0C9733B3"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w:t>
            </w:r>
          </w:p>
        </w:tc>
        <w:tc>
          <w:tcPr>
            <w:cnfStyle w:val="000010000000" w:firstRow="0" w:lastRow="0" w:firstColumn="0" w:lastColumn="0" w:oddVBand="1" w:evenVBand="0" w:oddHBand="0" w:evenHBand="0" w:firstRowFirstColumn="0" w:firstRowLastColumn="0" w:lastRowFirstColumn="0" w:lastRowLastColumn="0"/>
            <w:tcW w:w="1229" w:type="dxa"/>
            <w:tcBorders>
              <w:left w:val="none" w:sz="0" w:space="0" w:color="auto"/>
              <w:right w:val="none" w:sz="0" w:space="0" w:color="auto"/>
            </w:tcBorders>
          </w:tcPr>
          <w:p w14:paraId="1FA709D5" w14:textId="77777777" w:rsidR="0068121F" w:rsidRPr="003B1CAD" w:rsidRDefault="0068121F" w:rsidP="003B1CAD">
            <w:pPr>
              <w:spacing w:line="360" w:lineRule="auto"/>
              <w:jc w:val="both"/>
              <w:rPr>
                <w:rFonts w:ascii="Book Antiqua" w:hAnsi="Book Antiqua" w:cs="Arial"/>
                <w:highlight w:val="yellow"/>
              </w:rPr>
            </w:pPr>
            <w:r w:rsidRPr="003B1CAD">
              <w:rPr>
                <w:rFonts w:ascii="Book Antiqua" w:hAnsi="Book Antiqua" w:cs="Arial"/>
              </w:rPr>
              <w:t>0.0</w:t>
            </w:r>
          </w:p>
        </w:tc>
      </w:tr>
      <w:tr w:rsidR="003B1CAD" w:rsidRPr="003B1CAD" w14:paraId="2228ED1A" w14:textId="77777777" w:rsidTr="00083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7" w:type="dxa"/>
            <w:tcBorders>
              <w:top w:val="none" w:sz="0" w:space="0" w:color="auto"/>
              <w:bottom w:val="none" w:sz="0" w:space="0" w:color="auto"/>
            </w:tcBorders>
          </w:tcPr>
          <w:p w14:paraId="01BB1F85" w14:textId="591723C1" w:rsidR="0068121F" w:rsidRPr="003B1CAD" w:rsidRDefault="0068121F" w:rsidP="003B1CAD">
            <w:pPr>
              <w:spacing w:line="360" w:lineRule="auto"/>
              <w:jc w:val="both"/>
              <w:rPr>
                <w:rFonts w:ascii="Book Antiqua" w:hAnsi="Book Antiqua" w:cs="Arial"/>
                <w:b w:val="0"/>
                <w:bCs w:val="0"/>
              </w:rPr>
            </w:pPr>
            <w:r w:rsidRPr="003B1CAD">
              <w:rPr>
                <w:rFonts w:ascii="Book Antiqua" w:hAnsi="Book Antiqua" w:cs="Arial"/>
                <w:b w:val="0"/>
                <w:bCs w:val="0"/>
              </w:rPr>
              <w:t>Albumin (g/d</w:t>
            </w:r>
            <w:r w:rsidR="003B1CAD" w:rsidRPr="003B1CAD">
              <w:rPr>
                <w:rFonts w:ascii="Book Antiqua" w:hAnsi="Book Antiqua" w:cs="Arial"/>
                <w:b w:val="0"/>
                <w:bCs w:val="0"/>
              </w:rPr>
              <w:t>L</w:t>
            </w:r>
            <w:r w:rsidRPr="003B1CAD">
              <w:rPr>
                <w:rFonts w:ascii="Book Antiqua" w:hAnsi="Book Antiqua" w:cs="Arial"/>
                <w:b w:val="0"/>
                <w:bCs w:val="0"/>
              </w:rPr>
              <w:t>)</w:t>
            </w:r>
          </w:p>
        </w:tc>
        <w:tc>
          <w:tcPr>
            <w:cnfStyle w:val="000010000000" w:firstRow="0" w:lastRow="0" w:firstColumn="0" w:lastColumn="0" w:oddVBand="1" w:evenVBand="0" w:oddHBand="0" w:evenHBand="0" w:firstRowFirstColumn="0" w:firstRowLastColumn="0" w:lastRowFirstColumn="0" w:lastRowLastColumn="0"/>
            <w:tcW w:w="1219" w:type="dxa"/>
            <w:tcBorders>
              <w:top w:val="none" w:sz="0" w:space="0" w:color="auto"/>
              <w:left w:val="none" w:sz="0" w:space="0" w:color="auto"/>
              <w:bottom w:val="none" w:sz="0" w:space="0" w:color="auto"/>
              <w:right w:val="none" w:sz="0" w:space="0" w:color="auto"/>
            </w:tcBorders>
          </w:tcPr>
          <w:p w14:paraId="02B4ED30"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w:t>
            </w:r>
          </w:p>
        </w:tc>
        <w:tc>
          <w:tcPr>
            <w:cnfStyle w:val="000001000000" w:firstRow="0" w:lastRow="0" w:firstColumn="0" w:lastColumn="0" w:oddVBand="0" w:evenVBand="1" w:oddHBand="0" w:evenHBand="0" w:firstRowFirstColumn="0" w:firstRowLastColumn="0" w:lastRowFirstColumn="0" w:lastRowLastColumn="0"/>
            <w:tcW w:w="1468" w:type="dxa"/>
            <w:tcBorders>
              <w:top w:val="none" w:sz="0" w:space="0" w:color="auto"/>
              <w:left w:val="none" w:sz="0" w:space="0" w:color="auto"/>
              <w:bottom w:val="none" w:sz="0" w:space="0" w:color="auto"/>
              <w:right w:val="none" w:sz="0" w:space="0" w:color="auto"/>
            </w:tcBorders>
          </w:tcPr>
          <w:p w14:paraId="71FC02EF"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1.9</w:t>
            </w:r>
          </w:p>
        </w:tc>
        <w:tc>
          <w:tcPr>
            <w:cnfStyle w:val="000010000000" w:firstRow="0" w:lastRow="0" w:firstColumn="0" w:lastColumn="0" w:oddVBand="1" w:evenVBand="0" w:oddHBand="0" w:evenHBand="0" w:firstRowFirstColumn="0" w:firstRowLastColumn="0" w:lastRowFirstColumn="0" w:lastRowLastColumn="0"/>
            <w:tcW w:w="1588" w:type="dxa"/>
            <w:tcBorders>
              <w:top w:val="none" w:sz="0" w:space="0" w:color="auto"/>
              <w:left w:val="none" w:sz="0" w:space="0" w:color="auto"/>
              <w:bottom w:val="none" w:sz="0" w:space="0" w:color="auto"/>
              <w:right w:val="none" w:sz="0" w:space="0" w:color="auto"/>
            </w:tcBorders>
          </w:tcPr>
          <w:p w14:paraId="6C097A03"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1.9</w:t>
            </w:r>
          </w:p>
        </w:tc>
        <w:tc>
          <w:tcPr>
            <w:cnfStyle w:val="000001000000" w:firstRow="0" w:lastRow="0" w:firstColumn="0" w:lastColumn="0" w:oddVBand="0" w:evenVBand="1" w:oddHBand="0" w:evenHBand="0" w:firstRowFirstColumn="0" w:firstRowLastColumn="0" w:lastRowFirstColumn="0" w:lastRowLastColumn="0"/>
            <w:tcW w:w="1607" w:type="dxa"/>
            <w:tcBorders>
              <w:top w:val="none" w:sz="0" w:space="0" w:color="auto"/>
              <w:left w:val="none" w:sz="0" w:space="0" w:color="auto"/>
              <w:bottom w:val="none" w:sz="0" w:space="0" w:color="auto"/>
              <w:right w:val="none" w:sz="0" w:space="0" w:color="auto"/>
            </w:tcBorders>
          </w:tcPr>
          <w:p w14:paraId="429AACB7"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2.1</w:t>
            </w:r>
          </w:p>
        </w:tc>
        <w:tc>
          <w:tcPr>
            <w:cnfStyle w:val="000010000000" w:firstRow="0" w:lastRow="0" w:firstColumn="0" w:lastColumn="0" w:oddVBand="1" w:evenVBand="0" w:oddHBand="0" w:evenHBand="0" w:firstRowFirstColumn="0" w:firstRowLastColumn="0" w:lastRowFirstColumn="0" w:lastRowLastColumn="0"/>
            <w:tcW w:w="1231" w:type="dxa"/>
            <w:tcBorders>
              <w:top w:val="none" w:sz="0" w:space="0" w:color="auto"/>
              <w:left w:val="none" w:sz="0" w:space="0" w:color="auto"/>
              <w:bottom w:val="none" w:sz="0" w:space="0" w:color="auto"/>
              <w:right w:val="none" w:sz="0" w:space="0" w:color="auto"/>
            </w:tcBorders>
          </w:tcPr>
          <w:p w14:paraId="42E0CA69"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2.1</w:t>
            </w:r>
          </w:p>
        </w:tc>
        <w:tc>
          <w:tcPr>
            <w:cnfStyle w:val="000001000000" w:firstRow="0" w:lastRow="0" w:firstColumn="0" w:lastColumn="0" w:oddVBand="0" w:evenVBand="1" w:oddHBand="0" w:evenHBand="0" w:firstRowFirstColumn="0" w:firstRowLastColumn="0" w:lastRowFirstColumn="0" w:lastRowLastColumn="0"/>
            <w:tcW w:w="1447" w:type="dxa"/>
            <w:tcBorders>
              <w:top w:val="none" w:sz="0" w:space="0" w:color="auto"/>
              <w:left w:val="none" w:sz="0" w:space="0" w:color="auto"/>
              <w:bottom w:val="none" w:sz="0" w:space="0" w:color="auto"/>
              <w:right w:val="none" w:sz="0" w:space="0" w:color="auto"/>
            </w:tcBorders>
          </w:tcPr>
          <w:p w14:paraId="44C2077E"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3.5</w:t>
            </w:r>
          </w:p>
        </w:tc>
        <w:tc>
          <w:tcPr>
            <w:cnfStyle w:val="000010000000" w:firstRow="0" w:lastRow="0" w:firstColumn="0" w:lastColumn="0" w:oddVBand="1" w:evenVBand="0" w:oddHBand="0" w:evenHBand="0" w:firstRowFirstColumn="0" w:firstRowLastColumn="0" w:lastRowFirstColumn="0" w:lastRowLastColumn="0"/>
            <w:tcW w:w="1229" w:type="dxa"/>
            <w:tcBorders>
              <w:top w:val="none" w:sz="0" w:space="0" w:color="auto"/>
              <w:left w:val="none" w:sz="0" w:space="0" w:color="auto"/>
              <w:bottom w:val="none" w:sz="0" w:space="0" w:color="auto"/>
              <w:right w:val="none" w:sz="0" w:space="0" w:color="auto"/>
            </w:tcBorders>
          </w:tcPr>
          <w:p w14:paraId="62A65572" w14:textId="77777777" w:rsidR="0068121F" w:rsidRPr="003B1CAD" w:rsidRDefault="0068121F" w:rsidP="003B1CAD">
            <w:pPr>
              <w:spacing w:line="360" w:lineRule="auto"/>
              <w:jc w:val="both"/>
              <w:rPr>
                <w:rFonts w:ascii="Book Antiqua" w:hAnsi="Book Antiqua" w:cs="Arial"/>
                <w:highlight w:val="yellow"/>
              </w:rPr>
            </w:pPr>
            <w:r w:rsidRPr="003B1CAD">
              <w:rPr>
                <w:rFonts w:ascii="Book Antiqua" w:hAnsi="Book Antiqua" w:cs="Arial"/>
              </w:rPr>
              <w:t>4.4</w:t>
            </w:r>
          </w:p>
        </w:tc>
      </w:tr>
      <w:tr w:rsidR="003B1CAD" w:rsidRPr="003B1CAD" w14:paraId="21CC1F73" w14:textId="77777777" w:rsidTr="00083FEB">
        <w:tc>
          <w:tcPr>
            <w:cnfStyle w:val="001000000000" w:firstRow="0" w:lastRow="0" w:firstColumn="1" w:lastColumn="0" w:oddVBand="0" w:evenVBand="0" w:oddHBand="0" w:evenHBand="0" w:firstRowFirstColumn="0" w:firstRowLastColumn="0" w:lastRowFirstColumn="0" w:lastRowLastColumn="0"/>
            <w:tcW w:w="3387" w:type="dxa"/>
          </w:tcPr>
          <w:p w14:paraId="171CCD7F" w14:textId="510AD4E8" w:rsidR="0068121F" w:rsidRPr="003B1CAD" w:rsidRDefault="0068121F" w:rsidP="003B1CAD">
            <w:pPr>
              <w:spacing w:line="360" w:lineRule="auto"/>
              <w:jc w:val="both"/>
              <w:rPr>
                <w:rFonts w:ascii="Book Antiqua" w:hAnsi="Book Antiqua" w:cs="Arial"/>
                <w:b w:val="0"/>
                <w:bCs w:val="0"/>
              </w:rPr>
            </w:pPr>
            <w:r w:rsidRPr="003B1CAD">
              <w:rPr>
                <w:rFonts w:ascii="Book Antiqua" w:hAnsi="Book Antiqua" w:cs="Arial"/>
                <w:b w:val="0"/>
                <w:bCs w:val="0"/>
              </w:rPr>
              <w:t>Fecal calprotectin (&lt;</w:t>
            </w:r>
            <w:r w:rsidR="003B1CAD" w:rsidRPr="003B1CAD">
              <w:rPr>
                <w:rFonts w:ascii="Book Antiqua" w:hAnsi="Book Antiqua" w:cs="Arial"/>
                <w:b w:val="0"/>
                <w:bCs w:val="0"/>
              </w:rPr>
              <w:t xml:space="preserve"> </w:t>
            </w:r>
            <w:r w:rsidRPr="003B1CAD">
              <w:rPr>
                <w:rFonts w:ascii="Book Antiqua" w:hAnsi="Book Antiqua" w:cs="Arial"/>
                <w:b w:val="0"/>
                <w:bCs w:val="0"/>
              </w:rPr>
              <w:t>30</w:t>
            </w:r>
            <w:r w:rsidR="003B1CAD" w:rsidRPr="003B1CAD">
              <w:rPr>
                <w:rFonts w:ascii="Book Antiqua" w:hAnsi="Book Antiqua" w:cs="Arial"/>
                <w:b w:val="0"/>
                <w:bCs w:val="0"/>
              </w:rPr>
              <w:t xml:space="preserve"> </w:t>
            </w:r>
            <w:r w:rsidRPr="003B1CAD">
              <w:rPr>
                <w:rFonts w:ascii="Book Antiqua" w:hAnsi="Book Antiqua" w:cs="Arial"/>
                <w:b w:val="0"/>
                <w:bCs w:val="0"/>
              </w:rPr>
              <w:t>μg/g)</w:t>
            </w:r>
          </w:p>
        </w:tc>
        <w:tc>
          <w:tcPr>
            <w:cnfStyle w:val="000010000000" w:firstRow="0" w:lastRow="0" w:firstColumn="0" w:lastColumn="0" w:oddVBand="1" w:evenVBand="0" w:oddHBand="0" w:evenHBand="0" w:firstRowFirstColumn="0" w:firstRowLastColumn="0" w:lastRowFirstColumn="0" w:lastRowLastColumn="0"/>
            <w:tcW w:w="1219" w:type="dxa"/>
            <w:tcBorders>
              <w:left w:val="none" w:sz="0" w:space="0" w:color="auto"/>
              <w:right w:val="none" w:sz="0" w:space="0" w:color="auto"/>
            </w:tcBorders>
          </w:tcPr>
          <w:p w14:paraId="47044CD0"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w:t>
            </w:r>
          </w:p>
        </w:tc>
        <w:tc>
          <w:tcPr>
            <w:cnfStyle w:val="000001000000" w:firstRow="0" w:lastRow="0" w:firstColumn="0" w:lastColumn="0" w:oddVBand="0" w:evenVBand="1" w:oddHBand="0" w:evenHBand="0" w:firstRowFirstColumn="0" w:firstRowLastColumn="0" w:lastRowFirstColumn="0" w:lastRowLastColumn="0"/>
            <w:tcW w:w="1468" w:type="dxa"/>
            <w:tcBorders>
              <w:left w:val="none" w:sz="0" w:space="0" w:color="auto"/>
              <w:right w:val="none" w:sz="0" w:space="0" w:color="auto"/>
            </w:tcBorders>
          </w:tcPr>
          <w:p w14:paraId="0B03B2F0"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w:t>
            </w:r>
          </w:p>
        </w:tc>
        <w:tc>
          <w:tcPr>
            <w:cnfStyle w:val="000010000000" w:firstRow="0" w:lastRow="0" w:firstColumn="0" w:lastColumn="0" w:oddVBand="1" w:evenVBand="0" w:oddHBand="0" w:evenHBand="0" w:firstRowFirstColumn="0" w:firstRowLastColumn="0" w:lastRowFirstColumn="0" w:lastRowLastColumn="0"/>
            <w:tcW w:w="1588" w:type="dxa"/>
            <w:tcBorders>
              <w:left w:val="none" w:sz="0" w:space="0" w:color="auto"/>
              <w:right w:val="none" w:sz="0" w:space="0" w:color="auto"/>
            </w:tcBorders>
          </w:tcPr>
          <w:p w14:paraId="27F45FD4"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w:t>
            </w:r>
          </w:p>
        </w:tc>
        <w:tc>
          <w:tcPr>
            <w:cnfStyle w:val="000001000000" w:firstRow="0" w:lastRow="0" w:firstColumn="0" w:lastColumn="0" w:oddVBand="0" w:evenVBand="1" w:oddHBand="0" w:evenHBand="0" w:firstRowFirstColumn="0" w:firstRowLastColumn="0" w:lastRowFirstColumn="0" w:lastRowLastColumn="0"/>
            <w:tcW w:w="1607" w:type="dxa"/>
            <w:tcBorders>
              <w:left w:val="none" w:sz="0" w:space="0" w:color="auto"/>
              <w:right w:val="none" w:sz="0" w:space="0" w:color="auto"/>
            </w:tcBorders>
          </w:tcPr>
          <w:p w14:paraId="650D1C28"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921</w:t>
            </w:r>
          </w:p>
        </w:tc>
        <w:tc>
          <w:tcPr>
            <w:cnfStyle w:val="000010000000" w:firstRow="0" w:lastRow="0" w:firstColumn="0" w:lastColumn="0" w:oddVBand="1" w:evenVBand="0" w:oddHBand="0" w:evenHBand="0" w:firstRowFirstColumn="0" w:firstRowLastColumn="0" w:lastRowFirstColumn="0" w:lastRowLastColumn="0"/>
            <w:tcW w:w="1231" w:type="dxa"/>
            <w:tcBorders>
              <w:left w:val="none" w:sz="0" w:space="0" w:color="auto"/>
              <w:right w:val="none" w:sz="0" w:space="0" w:color="auto"/>
            </w:tcBorders>
          </w:tcPr>
          <w:p w14:paraId="42FE2A0F"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w:t>
            </w:r>
          </w:p>
        </w:tc>
        <w:tc>
          <w:tcPr>
            <w:cnfStyle w:val="000001000000" w:firstRow="0" w:lastRow="0" w:firstColumn="0" w:lastColumn="0" w:oddVBand="0" w:evenVBand="1" w:oddHBand="0" w:evenHBand="0" w:firstRowFirstColumn="0" w:firstRowLastColumn="0" w:lastRowFirstColumn="0" w:lastRowLastColumn="0"/>
            <w:tcW w:w="1447" w:type="dxa"/>
            <w:tcBorders>
              <w:left w:val="none" w:sz="0" w:space="0" w:color="auto"/>
              <w:right w:val="none" w:sz="0" w:space="0" w:color="auto"/>
            </w:tcBorders>
          </w:tcPr>
          <w:p w14:paraId="2BA06122"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166</w:t>
            </w:r>
          </w:p>
        </w:tc>
        <w:tc>
          <w:tcPr>
            <w:cnfStyle w:val="000010000000" w:firstRow="0" w:lastRow="0" w:firstColumn="0" w:lastColumn="0" w:oddVBand="1" w:evenVBand="0" w:oddHBand="0" w:evenHBand="0" w:firstRowFirstColumn="0" w:firstRowLastColumn="0" w:lastRowFirstColumn="0" w:lastRowLastColumn="0"/>
            <w:tcW w:w="1229" w:type="dxa"/>
            <w:tcBorders>
              <w:left w:val="none" w:sz="0" w:space="0" w:color="auto"/>
              <w:right w:val="none" w:sz="0" w:space="0" w:color="auto"/>
            </w:tcBorders>
          </w:tcPr>
          <w:p w14:paraId="42BB2D78"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w:t>
            </w:r>
          </w:p>
        </w:tc>
      </w:tr>
      <w:tr w:rsidR="003B1CAD" w:rsidRPr="003B1CAD" w14:paraId="6FB029DE" w14:textId="77777777" w:rsidTr="00083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7" w:type="dxa"/>
            <w:tcBorders>
              <w:top w:val="none" w:sz="0" w:space="0" w:color="auto"/>
              <w:bottom w:val="none" w:sz="0" w:space="0" w:color="auto"/>
            </w:tcBorders>
          </w:tcPr>
          <w:p w14:paraId="2EDF43DD" w14:textId="5B855206" w:rsidR="0068121F" w:rsidRPr="003B1CAD" w:rsidRDefault="0068121F" w:rsidP="003B1CAD">
            <w:pPr>
              <w:spacing w:line="360" w:lineRule="auto"/>
              <w:jc w:val="both"/>
              <w:rPr>
                <w:rFonts w:ascii="Book Antiqua" w:hAnsi="Book Antiqua" w:cs="Arial"/>
                <w:b w:val="0"/>
                <w:bCs w:val="0"/>
                <w:lang w:val="en-US"/>
              </w:rPr>
            </w:pPr>
            <w:r w:rsidRPr="003B1CAD">
              <w:rPr>
                <w:rFonts w:ascii="Book Antiqua" w:hAnsi="Book Antiqua" w:cs="Arial"/>
                <w:b w:val="0"/>
                <w:bCs w:val="0"/>
                <w:lang w:val="en-US"/>
              </w:rPr>
              <w:t>Infliximab trough level (</w:t>
            </w:r>
            <w:r w:rsidRPr="003B1CAD">
              <w:rPr>
                <w:rFonts w:ascii="Book Antiqua" w:hAnsi="Book Antiqua" w:cs="Arial"/>
                <w:b w:val="0"/>
                <w:bCs w:val="0"/>
              </w:rPr>
              <w:t>μ</w:t>
            </w:r>
            <w:r w:rsidRPr="003B1CAD">
              <w:rPr>
                <w:rFonts w:ascii="Book Antiqua" w:hAnsi="Book Antiqua" w:cs="Arial"/>
                <w:b w:val="0"/>
                <w:bCs w:val="0"/>
                <w:lang w:val="en-US"/>
              </w:rPr>
              <w:t>g/m</w:t>
            </w:r>
            <w:r w:rsidR="003B1CAD" w:rsidRPr="003B1CAD">
              <w:rPr>
                <w:rFonts w:ascii="Book Antiqua" w:hAnsi="Book Antiqua" w:cs="Arial"/>
                <w:b w:val="0"/>
                <w:bCs w:val="0"/>
                <w:lang w:val="en-US"/>
              </w:rPr>
              <w:t>L</w:t>
            </w:r>
            <w:r w:rsidRPr="003B1CAD">
              <w:rPr>
                <w:rFonts w:ascii="Book Antiqua" w:hAnsi="Book Antiqua" w:cs="Arial"/>
                <w:b w:val="0"/>
                <w:bCs w:val="0"/>
                <w:lang w:val="en-US"/>
              </w:rPr>
              <w:t>)</w:t>
            </w:r>
          </w:p>
        </w:tc>
        <w:tc>
          <w:tcPr>
            <w:cnfStyle w:val="000010000000" w:firstRow="0" w:lastRow="0" w:firstColumn="0" w:lastColumn="0" w:oddVBand="1" w:evenVBand="0" w:oddHBand="0" w:evenHBand="0" w:firstRowFirstColumn="0" w:firstRowLastColumn="0" w:lastRowFirstColumn="0" w:lastRowLastColumn="0"/>
            <w:tcW w:w="1219" w:type="dxa"/>
            <w:tcBorders>
              <w:top w:val="none" w:sz="0" w:space="0" w:color="auto"/>
              <w:left w:val="none" w:sz="0" w:space="0" w:color="auto"/>
              <w:bottom w:val="none" w:sz="0" w:space="0" w:color="auto"/>
              <w:right w:val="none" w:sz="0" w:space="0" w:color="auto"/>
            </w:tcBorders>
          </w:tcPr>
          <w:p w14:paraId="463B3AE5"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w:t>
            </w:r>
          </w:p>
        </w:tc>
        <w:tc>
          <w:tcPr>
            <w:cnfStyle w:val="000001000000" w:firstRow="0" w:lastRow="0" w:firstColumn="0" w:lastColumn="0" w:oddVBand="0" w:evenVBand="1" w:oddHBand="0" w:evenHBand="0" w:firstRowFirstColumn="0" w:firstRowLastColumn="0" w:lastRowFirstColumn="0" w:lastRowLastColumn="0"/>
            <w:tcW w:w="1468" w:type="dxa"/>
            <w:tcBorders>
              <w:top w:val="none" w:sz="0" w:space="0" w:color="auto"/>
              <w:left w:val="none" w:sz="0" w:space="0" w:color="auto"/>
              <w:bottom w:val="none" w:sz="0" w:space="0" w:color="auto"/>
              <w:right w:val="none" w:sz="0" w:space="0" w:color="auto"/>
            </w:tcBorders>
          </w:tcPr>
          <w:p w14:paraId="694F3336"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w:t>
            </w:r>
          </w:p>
        </w:tc>
        <w:tc>
          <w:tcPr>
            <w:cnfStyle w:val="000010000000" w:firstRow="0" w:lastRow="0" w:firstColumn="0" w:lastColumn="0" w:oddVBand="1" w:evenVBand="0" w:oddHBand="0" w:evenHBand="0" w:firstRowFirstColumn="0" w:firstRowLastColumn="0" w:lastRowFirstColumn="0" w:lastRowLastColumn="0"/>
            <w:tcW w:w="1588" w:type="dxa"/>
            <w:tcBorders>
              <w:top w:val="none" w:sz="0" w:space="0" w:color="auto"/>
              <w:left w:val="none" w:sz="0" w:space="0" w:color="auto"/>
              <w:bottom w:val="none" w:sz="0" w:space="0" w:color="auto"/>
              <w:right w:val="none" w:sz="0" w:space="0" w:color="auto"/>
            </w:tcBorders>
          </w:tcPr>
          <w:p w14:paraId="1E6C9E86"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w:t>
            </w:r>
          </w:p>
        </w:tc>
        <w:tc>
          <w:tcPr>
            <w:cnfStyle w:val="000001000000" w:firstRow="0" w:lastRow="0" w:firstColumn="0" w:lastColumn="0" w:oddVBand="0" w:evenVBand="1" w:oddHBand="0" w:evenHBand="0" w:firstRowFirstColumn="0" w:firstRowLastColumn="0" w:lastRowFirstColumn="0" w:lastRowLastColumn="0"/>
            <w:tcW w:w="1607" w:type="dxa"/>
            <w:tcBorders>
              <w:top w:val="none" w:sz="0" w:space="0" w:color="auto"/>
              <w:left w:val="none" w:sz="0" w:space="0" w:color="auto"/>
              <w:bottom w:val="none" w:sz="0" w:space="0" w:color="auto"/>
              <w:right w:val="none" w:sz="0" w:space="0" w:color="auto"/>
            </w:tcBorders>
          </w:tcPr>
          <w:p w14:paraId="480A307A"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8.8</w:t>
            </w:r>
          </w:p>
        </w:tc>
        <w:tc>
          <w:tcPr>
            <w:cnfStyle w:val="000010000000" w:firstRow="0" w:lastRow="0" w:firstColumn="0" w:lastColumn="0" w:oddVBand="1" w:evenVBand="0" w:oddHBand="0" w:evenHBand="0" w:firstRowFirstColumn="0" w:firstRowLastColumn="0" w:lastRowFirstColumn="0" w:lastRowLastColumn="0"/>
            <w:tcW w:w="1231" w:type="dxa"/>
            <w:tcBorders>
              <w:top w:val="none" w:sz="0" w:space="0" w:color="auto"/>
              <w:left w:val="none" w:sz="0" w:space="0" w:color="auto"/>
              <w:bottom w:val="none" w:sz="0" w:space="0" w:color="auto"/>
              <w:right w:val="none" w:sz="0" w:space="0" w:color="auto"/>
            </w:tcBorders>
          </w:tcPr>
          <w:p w14:paraId="49F2A232" w14:textId="24A89616" w:rsidR="0068121F" w:rsidRPr="003B1CAD" w:rsidRDefault="0068121F" w:rsidP="003B1CAD">
            <w:pPr>
              <w:spacing w:line="360" w:lineRule="auto"/>
              <w:jc w:val="both"/>
              <w:rPr>
                <w:rFonts w:ascii="Book Antiqua" w:hAnsi="Book Antiqua" w:cs="Arial"/>
              </w:rPr>
            </w:pPr>
            <w:r w:rsidRPr="003B1CAD">
              <w:rPr>
                <w:rFonts w:ascii="Book Antiqua" w:hAnsi="Book Antiqua" w:cs="Arial"/>
              </w:rPr>
              <w:t>&gt;</w:t>
            </w:r>
            <w:r w:rsidR="003B1CAD">
              <w:rPr>
                <w:rFonts w:ascii="Book Antiqua" w:hAnsi="Book Antiqua" w:cs="Arial"/>
              </w:rPr>
              <w:t xml:space="preserve"> </w:t>
            </w:r>
            <w:r w:rsidRPr="003B1CAD">
              <w:rPr>
                <w:rFonts w:ascii="Book Antiqua" w:hAnsi="Book Antiqua" w:cs="Arial"/>
              </w:rPr>
              <w:t>20</w:t>
            </w:r>
          </w:p>
        </w:tc>
        <w:tc>
          <w:tcPr>
            <w:cnfStyle w:val="000001000000" w:firstRow="0" w:lastRow="0" w:firstColumn="0" w:lastColumn="0" w:oddVBand="0" w:evenVBand="1" w:oddHBand="0" w:evenHBand="0" w:firstRowFirstColumn="0" w:firstRowLastColumn="0" w:lastRowFirstColumn="0" w:lastRowLastColumn="0"/>
            <w:tcW w:w="1447" w:type="dxa"/>
            <w:tcBorders>
              <w:top w:val="none" w:sz="0" w:space="0" w:color="auto"/>
              <w:left w:val="none" w:sz="0" w:space="0" w:color="auto"/>
              <w:bottom w:val="none" w:sz="0" w:space="0" w:color="auto"/>
              <w:right w:val="none" w:sz="0" w:space="0" w:color="auto"/>
            </w:tcBorders>
          </w:tcPr>
          <w:p w14:paraId="7C4524E3"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9.1</w:t>
            </w:r>
          </w:p>
        </w:tc>
        <w:tc>
          <w:tcPr>
            <w:cnfStyle w:val="000010000000" w:firstRow="0" w:lastRow="0" w:firstColumn="0" w:lastColumn="0" w:oddVBand="1" w:evenVBand="0" w:oddHBand="0" w:evenHBand="0" w:firstRowFirstColumn="0" w:firstRowLastColumn="0" w:lastRowFirstColumn="0" w:lastRowLastColumn="0"/>
            <w:tcW w:w="1229" w:type="dxa"/>
            <w:tcBorders>
              <w:top w:val="none" w:sz="0" w:space="0" w:color="auto"/>
              <w:left w:val="none" w:sz="0" w:space="0" w:color="auto"/>
              <w:bottom w:val="none" w:sz="0" w:space="0" w:color="auto"/>
              <w:right w:val="none" w:sz="0" w:space="0" w:color="auto"/>
            </w:tcBorders>
          </w:tcPr>
          <w:p w14:paraId="03A518AC"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w:t>
            </w:r>
          </w:p>
        </w:tc>
      </w:tr>
      <w:tr w:rsidR="003B1CAD" w:rsidRPr="003B1CAD" w14:paraId="5EBFD1A5" w14:textId="77777777" w:rsidTr="00083FEB">
        <w:tc>
          <w:tcPr>
            <w:cnfStyle w:val="001000000000" w:firstRow="0" w:lastRow="0" w:firstColumn="1" w:lastColumn="0" w:oddVBand="0" w:evenVBand="0" w:oddHBand="0" w:evenHBand="0" w:firstRowFirstColumn="0" w:firstRowLastColumn="0" w:lastRowFirstColumn="0" w:lastRowLastColumn="0"/>
            <w:tcW w:w="3387" w:type="dxa"/>
            <w:tcBorders>
              <w:bottom w:val="single" w:sz="4" w:space="0" w:color="auto"/>
            </w:tcBorders>
          </w:tcPr>
          <w:p w14:paraId="54430A01" w14:textId="77777777" w:rsidR="0068121F" w:rsidRPr="003B1CAD" w:rsidRDefault="0068121F" w:rsidP="003B1CAD">
            <w:pPr>
              <w:spacing w:line="360" w:lineRule="auto"/>
              <w:jc w:val="both"/>
              <w:rPr>
                <w:rFonts w:ascii="Book Antiqua" w:hAnsi="Book Antiqua" w:cs="Arial"/>
                <w:b w:val="0"/>
                <w:bCs w:val="0"/>
              </w:rPr>
            </w:pPr>
            <w:r w:rsidRPr="003B1CAD">
              <w:rPr>
                <w:rFonts w:ascii="Book Antiqua" w:hAnsi="Book Antiqua" w:cs="Arial"/>
                <w:b w:val="0"/>
                <w:bCs w:val="0"/>
              </w:rPr>
              <w:t>Medical treatment</w:t>
            </w:r>
          </w:p>
        </w:tc>
        <w:tc>
          <w:tcPr>
            <w:cnfStyle w:val="000010000000" w:firstRow="0" w:lastRow="0" w:firstColumn="0" w:lastColumn="0" w:oddVBand="1" w:evenVBand="0" w:oddHBand="0" w:evenHBand="0" w:firstRowFirstColumn="0" w:firstRowLastColumn="0" w:lastRowFirstColumn="0" w:lastRowLastColumn="0"/>
            <w:tcW w:w="1219" w:type="dxa"/>
            <w:tcBorders>
              <w:left w:val="none" w:sz="0" w:space="0" w:color="auto"/>
              <w:bottom w:val="single" w:sz="4" w:space="0" w:color="auto"/>
              <w:right w:val="none" w:sz="0" w:space="0" w:color="auto"/>
            </w:tcBorders>
          </w:tcPr>
          <w:p w14:paraId="2AE3B8FB" w14:textId="77777777" w:rsidR="0068121F" w:rsidRPr="003B1CAD" w:rsidRDefault="0068121F" w:rsidP="003B1CAD">
            <w:pPr>
              <w:spacing w:line="360" w:lineRule="auto"/>
              <w:jc w:val="both"/>
              <w:rPr>
                <w:rFonts w:ascii="Book Antiqua" w:hAnsi="Book Antiqua" w:cs="Arial"/>
              </w:rPr>
            </w:pPr>
          </w:p>
        </w:tc>
        <w:tc>
          <w:tcPr>
            <w:cnfStyle w:val="000001000000" w:firstRow="0" w:lastRow="0" w:firstColumn="0" w:lastColumn="0" w:oddVBand="0" w:evenVBand="1" w:oddHBand="0" w:evenHBand="0" w:firstRowFirstColumn="0" w:firstRowLastColumn="0" w:lastRowFirstColumn="0" w:lastRowLastColumn="0"/>
            <w:tcW w:w="1468" w:type="dxa"/>
            <w:tcBorders>
              <w:left w:val="none" w:sz="0" w:space="0" w:color="auto"/>
              <w:bottom w:val="single" w:sz="4" w:space="0" w:color="auto"/>
              <w:right w:val="none" w:sz="0" w:space="0" w:color="auto"/>
            </w:tcBorders>
          </w:tcPr>
          <w:p w14:paraId="0DB90A78" w14:textId="3133CFDB" w:rsidR="0068121F" w:rsidRPr="003B1CAD" w:rsidRDefault="0068121F" w:rsidP="003B1CAD">
            <w:pPr>
              <w:spacing w:line="360" w:lineRule="auto"/>
              <w:jc w:val="both"/>
              <w:rPr>
                <w:rFonts w:ascii="Book Antiqua" w:hAnsi="Book Antiqua" w:cs="Arial"/>
                <w:lang w:val="en-US"/>
              </w:rPr>
            </w:pPr>
            <w:r w:rsidRPr="003B1CAD">
              <w:rPr>
                <w:rFonts w:ascii="Book Antiqua" w:hAnsi="Book Antiqua" w:cs="Arial"/>
                <w:lang w:val="en-US"/>
              </w:rPr>
              <w:t>Hydrocortisone</w:t>
            </w:r>
            <w:r w:rsidR="003B1CAD">
              <w:rPr>
                <w:rFonts w:ascii="Book Antiqua" w:hAnsi="Book Antiqua" w:cs="Arial"/>
                <w:lang w:val="en-US"/>
              </w:rPr>
              <w:t xml:space="preserve"> </w:t>
            </w:r>
            <w:r w:rsidRPr="003B1CAD">
              <w:rPr>
                <w:rFonts w:ascii="Book Antiqua" w:hAnsi="Book Antiqua" w:cs="Arial"/>
                <w:lang w:val="en-US"/>
              </w:rPr>
              <w:t xml:space="preserve">300 mg/d + oral </w:t>
            </w:r>
            <w:r w:rsidR="003B1CAD">
              <w:rPr>
                <w:rFonts w:ascii="Book Antiqua" w:hAnsi="Book Antiqua" w:cs="Arial"/>
                <w:lang w:val="en-US"/>
              </w:rPr>
              <w:t>v</w:t>
            </w:r>
            <w:r w:rsidRPr="003B1CAD">
              <w:rPr>
                <w:rFonts w:ascii="Book Antiqua" w:hAnsi="Book Antiqua" w:cs="Arial"/>
                <w:lang w:val="en-US"/>
              </w:rPr>
              <w:t>ancomycin 250</w:t>
            </w:r>
            <w:r w:rsidR="003B1CAD">
              <w:rPr>
                <w:rFonts w:ascii="Book Antiqua" w:hAnsi="Book Antiqua" w:cs="Arial"/>
                <w:lang w:val="en-US"/>
              </w:rPr>
              <w:t xml:space="preserve"> </w:t>
            </w:r>
            <w:r w:rsidRPr="003B1CAD">
              <w:rPr>
                <w:rFonts w:ascii="Book Antiqua" w:hAnsi="Book Antiqua" w:cs="Arial"/>
                <w:lang w:val="en-US"/>
              </w:rPr>
              <w:t xml:space="preserve">mg </w:t>
            </w:r>
            <w:proofErr w:type="spellStart"/>
            <w:r w:rsidRPr="003B1CAD">
              <w:rPr>
                <w:rFonts w:ascii="Book Antiqua" w:hAnsi="Book Antiqua" w:cs="Arial"/>
                <w:lang w:val="en-US"/>
              </w:rPr>
              <w:t>qid</w:t>
            </w:r>
            <w:proofErr w:type="spellEnd"/>
          </w:p>
        </w:tc>
        <w:tc>
          <w:tcPr>
            <w:cnfStyle w:val="000010000000" w:firstRow="0" w:lastRow="0" w:firstColumn="0" w:lastColumn="0" w:oddVBand="1" w:evenVBand="0" w:oddHBand="0" w:evenHBand="0" w:firstRowFirstColumn="0" w:firstRowLastColumn="0" w:lastRowFirstColumn="0" w:lastRowLastColumn="0"/>
            <w:tcW w:w="1588" w:type="dxa"/>
            <w:tcBorders>
              <w:left w:val="none" w:sz="0" w:space="0" w:color="auto"/>
              <w:bottom w:val="single" w:sz="4" w:space="0" w:color="auto"/>
              <w:right w:val="none" w:sz="0" w:space="0" w:color="auto"/>
            </w:tcBorders>
          </w:tcPr>
          <w:p w14:paraId="59F14732" w14:textId="01A8B985" w:rsidR="0068121F" w:rsidRPr="003B1CAD" w:rsidRDefault="0068121F" w:rsidP="003B1CAD">
            <w:pPr>
              <w:spacing w:line="360" w:lineRule="auto"/>
              <w:jc w:val="both"/>
              <w:rPr>
                <w:rFonts w:ascii="Book Antiqua" w:hAnsi="Book Antiqua" w:cs="Arial"/>
                <w:lang w:val="en-US"/>
              </w:rPr>
            </w:pPr>
            <w:r w:rsidRPr="003B1CAD">
              <w:rPr>
                <w:rFonts w:ascii="Book Antiqua" w:hAnsi="Book Antiqua" w:cs="Arial"/>
                <w:lang w:val="en-US"/>
              </w:rPr>
              <w:t>Infliximab 5</w:t>
            </w:r>
            <w:r w:rsidR="003B1CAD">
              <w:rPr>
                <w:rFonts w:ascii="Book Antiqua" w:hAnsi="Book Antiqua" w:cs="Arial"/>
                <w:lang w:val="en-US"/>
              </w:rPr>
              <w:t xml:space="preserve"> </w:t>
            </w:r>
            <w:r w:rsidRPr="003B1CAD">
              <w:rPr>
                <w:rFonts w:ascii="Book Antiqua" w:hAnsi="Book Antiqua" w:cs="Arial"/>
                <w:lang w:val="en-US"/>
              </w:rPr>
              <w:t>mg/kg</w:t>
            </w:r>
            <w:r w:rsidR="003B1CAD">
              <w:rPr>
                <w:rFonts w:ascii="Book Antiqua" w:hAnsi="Book Antiqua" w:cs="Arial"/>
                <w:lang w:val="en-US"/>
              </w:rPr>
              <w:t xml:space="preserve"> </w:t>
            </w:r>
            <w:r w:rsidRPr="003B1CAD">
              <w:rPr>
                <w:rFonts w:ascii="Book Antiqua" w:hAnsi="Book Antiqua" w:cs="Arial"/>
                <w:lang w:val="en-US"/>
              </w:rPr>
              <w:t xml:space="preserve">(first infusion) + </w:t>
            </w:r>
            <w:r w:rsidR="003B1CAD">
              <w:rPr>
                <w:rFonts w:ascii="Book Antiqua" w:hAnsi="Book Antiqua" w:cs="Arial"/>
                <w:lang w:val="en-US"/>
              </w:rPr>
              <w:t>h</w:t>
            </w:r>
            <w:r w:rsidRPr="003B1CAD">
              <w:rPr>
                <w:rFonts w:ascii="Book Antiqua" w:hAnsi="Book Antiqua" w:cs="Arial"/>
                <w:lang w:val="en-US"/>
              </w:rPr>
              <w:t>ydrocortisone</w:t>
            </w:r>
          </w:p>
          <w:p w14:paraId="18452C99" w14:textId="04C94D3A" w:rsidR="0068121F" w:rsidRPr="003B1CAD" w:rsidRDefault="0068121F" w:rsidP="003B1CAD">
            <w:pPr>
              <w:spacing w:line="360" w:lineRule="auto"/>
              <w:jc w:val="both"/>
              <w:rPr>
                <w:rFonts w:ascii="Book Antiqua" w:hAnsi="Book Antiqua" w:cs="Arial"/>
                <w:lang w:val="en-US"/>
              </w:rPr>
            </w:pPr>
            <w:r w:rsidRPr="003B1CAD">
              <w:rPr>
                <w:rFonts w:ascii="Book Antiqua" w:hAnsi="Book Antiqua" w:cs="Arial"/>
                <w:lang w:val="en-US"/>
              </w:rPr>
              <w:t>300 mg/d</w:t>
            </w:r>
          </w:p>
        </w:tc>
        <w:tc>
          <w:tcPr>
            <w:cnfStyle w:val="000001000000" w:firstRow="0" w:lastRow="0" w:firstColumn="0" w:lastColumn="0" w:oddVBand="0" w:evenVBand="1" w:oddHBand="0" w:evenHBand="0" w:firstRowFirstColumn="0" w:firstRowLastColumn="0" w:lastRowFirstColumn="0" w:lastRowLastColumn="0"/>
            <w:tcW w:w="1607" w:type="dxa"/>
            <w:tcBorders>
              <w:left w:val="none" w:sz="0" w:space="0" w:color="auto"/>
              <w:bottom w:val="single" w:sz="4" w:space="0" w:color="auto"/>
              <w:right w:val="none" w:sz="0" w:space="0" w:color="auto"/>
            </w:tcBorders>
          </w:tcPr>
          <w:p w14:paraId="5EDACC92" w14:textId="7B0B43DA" w:rsidR="0068121F" w:rsidRPr="003B1CAD" w:rsidRDefault="0068121F" w:rsidP="003B1CAD">
            <w:pPr>
              <w:spacing w:line="360" w:lineRule="auto"/>
              <w:jc w:val="both"/>
              <w:rPr>
                <w:rFonts w:ascii="Book Antiqua" w:hAnsi="Book Antiqua" w:cs="Arial"/>
                <w:lang w:val="en-US"/>
              </w:rPr>
            </w:pPr>
            <w:r w:rsidRPr="003B1CAD">
              <w:rPr>
                <w:rFonts w:ascii="Book Antiqua" w:hAnsi="Book Antiqua" w:cs="Arial"/>
                <w:lang w:val="en-US"/>
              </w:rPr>
              <w:t>Infliximab 5</w:t>
            </w:r>
            <w:r w:rsidR="002A2266">
              <w:rPr>
                <w:rFonts w:ascii="Book Antiqua" w:hAnsi="Book Antiqua" w:cs="Arial"/>
                <w:lang w:val="en-US"/>
              </w:rPr>
              <w:t xml:space="preserve"> </w:t>
            </w:r>
            <w:r w:rsidRPr="003B1CAD">
              <w:rPr>
                <w:rFonts w:ascii="Book Antiqua" w:hAnsi="Book Antiqua" w:cs="Arial"/>
                <w:lang w:val="en-US"/>
              </w:rPr>
              <w:t>mg/kg</w:t>
            </w:r>
            <w:r w:rsidR="003B1CAD">
              <w:rPr>
                <w:rFonts w:ascii="Book Antiqua" w:hAnsi="Book Antiqua" w:cs="Arial"/>
                <w:lang w:val="en-US"/>
              </w:rPr>
              <w:t xml:space="preserve"> </w:t>
            </w:r>
            <w:r w:rsidRPr="003B1CAD">
              <w:rPr>
                <w:rFonts w:ascii="Book Antiqua" w:hAnsi="Book Antiqua" w:cs="Arial"/>
                <w:lang w:val="en-US"/>
              </w:rPr>
              <w:t>(second infusion) + hydrocortisone</w:t>
            </w:r>
            <w:r w:rsidR="003B1CAD">
              <w:rPr>
                <w:rFonts w:ascii="Book Antiqua" w:hAnsi="Book Antiqua" w:cs="Arial"/>
                <w:lang w:val="en-US"/>
              </w:rPr>
              <w:t xml:space="preserve"> </w:t>
            </w:r>
            <w:r w:rsidRPr="003B1CAD">
              <w:rPr>
                <w:rFonts w:ascii="Book Antiqua" w:hAnsi="Book Antiqua" w:cs="Arial"/>
                <w:lang w:val="en-US"/>
              </w:rPr>
              <w:t>100 mg/d. Discharge with azathioprine + prednisone 40</w:t>
            </w:r>
            <w:r w:rsidR="003B1CAD">
              <w:rPr>
                <w:rFonts w:ascii="Book Antiqua" w:hAnsi="Book Antiqua" w:cs="Arial"/>
                <w:lang w:val="en-US"/>
              </w:rPr>
              <w:t xml:space="preserve"> </w:t>
            </w:r>
            <w:r w:rsidRPr="003B1CAD">
              <w:rPr>
                <w:rFonts w:ascii="Book Antiqua" w:hAnsi="Book Antiqua" w:cs="Arial"/>
                <w:lang w:val="en-US"/>
              </w:rPr>
              <w:t>mg</w:t>
            </w:r>
          </w:p>
        </w:tc>
        <w:tc>
          <w:tcPr>
            <w:cnfStyle w:val="000010000000" w:firstRow="0" w:lastRow="0" w:firstColumn="0" w:lastColumn="0" w:oddVBand="1" w:evenVBand="0" w:oddHBand="0" w:evenHBand="0" w:firstRowFirstColumn="0" w:firstRowLastColumn="0" w:lastRowFirstColumn="0" w:lastRowLastColumn="0"/>
            <w:tcW w:w="1231" w:type="dxa"/>
            <w:tcBorders>
              <w:left w:val="none" w:sz="0" w:space="0" w:color="auto"/>
              <w:bottom w:val="single" w:sz="4" w:space="0" w:color="auto"/>
              <w:right w:val="none" w:sz="0" w:space="0" w:color="auto"/>
            </w:tcBorders>
          </w:tcPr>
          <w:p w14:paraId="0AE6F8C0" w14:textId="7A370DEF" w:rsidR="0068121F" w:rsidRPr="003B1CAD" w:rsidRDefault="0068121F" w:rsidP="003B1CAD">
            <w:pPr>
              <w:spacing w:line="360" w:lineRule="auto"/>
              <w:jc w:val="both"/>
              <w:rPr>
                <w:rFonts w:ascii="Book Antiqua" w:hAnsi="Book Antiqua" w:cs="Arial"/>
                <w:lang w:val="en-US"/>
              </w:rPr>
            </w:pPr>
            <w:r w:rsidRPr="003B1CAD">
              <w:rPr>
                <w:rFonts w:ascii="Book Antiqua" w:hAnsi="Book Antiqua" w:cs="Arial"/>
                <w:lang w:val="en-US"/>
              </w:rPr>
              <w:t>Infliximab 5</w:t>
            </w:r>
            <w:r w:rsidR="002A2266">
              <w:rPr>
                <w:rFonts w:ascii="Book Antiqua" w:hAnsi="Book Antiqua" w:cs="Arial"/>
                <w:lang w:val="en-US"/>
              </w:rPr>
              <w:t xml:space="preserve"> </w:t>
            </w:r>
            <w:r w:rsidRPr="003B1CAD">
              <w:rPr>
                <w:rFonts w:ascii="Book Antiqua" w:hAnsi="Book Antiqua" w:cs="Arial"/>
                <w:lang w:val="en-US"/>
              </w:rPr>
              <w:t>mg/kg</w:t>
            </w:r>
            <w:r w:rsidR="003B1CAD">
              <w:rPr>
                <w:rFonts w:ascii="Book Antiqua" w:hAnsi="Book Antiqua" w:cs="Arial"/>
                <w:lang w:val="en-US"/>
              </w:rPr>
              <w:t xml:space="preserve"> + </w:t>
            </w:r>
            <w:r w:rsidRPr="003B1CAD">
              <w:rPr>
                <w:rFonts w:ascii="Book Antiqua" w:hAnsi="Book Antiqua" w:cs="Arial"/>
                <w:lang w:val="en-US"/>
              </w:rPr>
              <w:t>azathioprine (third infusion) + corticosteroid tapering</w:t>
            </w:r>
          </w:p>
        </w:tc>
        <w:tc>
          <w:tcPr>
            <w:cnfStyle w:val="000001000000" w:firstRow="0" w:lastRow="0" w:firstColumn="0" w:lastColumn="0" w:oddVBand="0" w:evenVBand="1" w:oddHBand="0" w:evenHBand="0" w:firstRowFirstColumn="0" w:firstRowLastColumn="0" w:lastRowFirstColumn="0" w:lastRowLastColumn="0"/>
            <w:tcW w:w="1447" w:type="dxa"/>
            <w:tcBorders>
              <w:left w:val="none" w:sz="0" w:space="0" w:color="auto"/>
              <w:bottom w:val="single" w:sz="4" w:space="0" w:color="auto"/>
              <w:right w:val="none" w:sz="0" w:space="0" w:color="auto"/>
            </w:tcBorders>
          </w:tcPr>
          <w:p w14:paraId="59E18CF4" w14:textId="5E1F0A1A" w:rsidR="0068121F" w:rsidRPr="003B1CAD" w:rsidRDefault="0068121F" w:rsidP="003B1CAD">
            <w:pPr>
              <w:spacing w:line="360" w:lineRule="auto"/>
              <w:jc w:val="both"/>
              <w:rPr>
                <w:rFonts w:ascii="Book Antiqua" w:hAnsi="Book Antiqua" w:cs="Arial"/>
                <w:lang w:val="en-US"/>
              </w:rPr>
            </w:pPr>
            <w:r w:rsidRPr="003B1CAD">
              <w:rPr>
                <w:rFonts w:ascii="Book Antiqua" w:hAnsi="Book Antiqua" w:cs="Arial"/>
                <w:lang w:val="en-US"/>
              </w:rPr>
              <w:t>Infliximab 5</w:t>
            </w:r>
            <w:r w:rsidR="003B1CAD">
              <w:rPr>
                <w:rFonts w:ascii="Book Antiqua" w:hAnsi="Book Antiqua" w:cs="Arial"/>
                <w:lang w:val="en-US"/>
              </w:rPr>
              <w:t xml:space="preserve"> </w:t>
            </w:r>
            <w:r w:rsidRPr="003B1CAD">
              <w:rPr>
                <w:rFonts w:ascii="Book Antiqua" w:hAnsi="Book Antiqua" w:cs="Arial"/>
                <w:lang w:val="en-US"/>
              </w:rPr>
              <w:t>mg/kg + azathioprine (fourth infusion) + prednisone 20</w:t>
            </w:r>
            <w:r w:rsidR="003B1CAD">
              <w:rPr>
                <w:rFonts w:ascii="Book Antiqua" w:hAnsi="Book Antiqua" w:cs="Arial"/>
                <w:lang w:val="en-US"/>
              </w:rPr>
              <w:t xml:space="preserve"> </w:t>
            </w:r>
            <w:r w:rsidRPr="003B1CAD">
              <w:rPr>
                <w:rFonts w:ascii="Book Antiqua" w:hAnsi="Book Antiqua" w:cs="Arial"/>
                <w:lang w:val="en-US"/>
              </w:rPr>
              <w:t>mg (dose tapering)</w:t>
            </w:r>
          </w:p>
        </w:tc>
        <w:tc>
          <w:tcPr>
            <w:cnfStyle w:val="000010000000" w:firstRow="0" w:lastRow="0" w:firstColumn="0" w:lastColumn="0" w:oddVBand="1" w:evenVBand="0" w:oddHBand="0" w:evenHBand="0" w:firstRowFirstColumn="0" w:firstRowLastColumn="0" w:lastRowFirstColumn="0" w:lastRowLastColumn="0"/>
            <w:tcW w:w="1229" w:type="dxa"/>
            <w:tcBorders>
              <w:left w:val="none" w:sz="0" w:space="0" w:color="auto"/>
              <w:bottom w:val="single" w:sz="4" w:space="0" w:color="auto"/>
              <w:right w:val="none" w:sz="0" w:space="0" w:color="auto"/>
            </w:tcBorders>
          </w:tcPr>
          <w:p w14:paraId="3CE9571D" w14:textId="67D37D28" w:rsidR="0068121F" w:rsidRPr="003B1CAD" w:rsidRDefault="0068121F" w:rsidP="003B1CAD">
            <w:pPr>
              <w:spacing w:line="360" w:lineRule="auto"/>
              <w:jc w:val="both"/>
              <w:rPr>
                <w:rFonts w:ascii="Book Antiqua" w:hAnsi="Book Antiqua" w:cs="Arial"/>
                <w:lang w:val="en-US"/>
              </w:rPr>
            </w:pPr>
            <w:r w:rsidRPr="003B1CAD">
              <w:rPr>
                <w:rFonts w:ascii="Book Antiqua" w:hAnsi="Book Antiqua" w:cs="Arial"/>
                <w:lang w:val="en-US"/>
              </w:rPr>
              <w:t>Infliximab 5</w:t>
            </w:r>
            <w:r w:rsidR="003B1CAD">
              <w:rPr>
                <w:rFonts w:ascii="Book Antiqua" w:hAnsi="Book Antiqua" w:cs="Arial"/>
                <w:lang w:val="en-US"/>
              </w:rPr>
              <w:t xml:space="preserve"> </w:t>
            </w:r>
            <w:r w:rsidRPr="003B1CAD">
              <w:rPr>
                <w:rFonts w:ascii="Book Antiqua" w:hAnsi="Book Antiqua" w:cs="Arial"/>
                <w:lang w:val="en-US"/>
              </w:rPr>
              <w:t>mg/kg + azathioprine (maintenance treatment)</w:t>
            </w:r>
          </w:p>
        </w:tc>
      </w:tr>
    </w:tbl>
    <w:p w14:paraId="3EE714E4" w14:textId="73DCF205" w:rsidR="00AA6856" w:rsidRDefault="003B1CAD">
      <w:pPr>
        <w:spacing w:line="360" w:lineRule="auto"/>
        <w:jc w:val="both"/>
        <w:rPr>
          <w:rFonts w:ascii="Book Antiqua" w:hAnsi="Book Antiqua"/>
        </w:rPr>
      </w:pPr>
      <w:proofErr w:type="gramStart"/>
      <w:r w:rsidRPr="003B1CAD">
        <w:rPr>
          <w:rFonts w:ascii="Book Antiqua" w:hAnsi="Book Antiqua"/>
          <w:vertAlign w:val="superscript"/>
        </w:rPr>
        <w:t>1</w:t>
      </w:r>
      <w:r w:rsidRPr="003B1CAD">
        <w:rPr>
          <w:rFonts w:ascii="Book Antiqua" w:hAnsi="Book Antiqua"/>
        </w:rPr>
        <w:t>Blood transfusions</w:t>
      </w:r>
      <w:r>
        <w:rPr>
          <w:rFonts w:ascii="Book Antiqua" w:hAnsi="Book Antiqua"/>
        </w:rPr>
        <w:t>.</w:t>
      </w:r>
      <w:proofErr w:type="gramEnd"/>
    </w:p>
    <w:p w14:paraId="7E3DA658" w14:textId="77777777" w:rsidR="00AA6856" w:rsidRDefault="00AA6856">
      <w:pPr>
        <w:rPr>
          <w:rFonts w:ascii="Book Antiqua" w:hAnsi="Book Antiqua"/>
        </w:rPr>
      </w:pPr>
      <w:r>
        <w:rPr>
          <w:rFonts w:ascii="Book Antiqua" w:hAnsi="Book Antiqua"/>
        </w:rPr>
        <w:br w:type="page"/>
      </w:r>
    </w:p>
    <w:p w14:paraId="2A778E36" w14:textId="77777777" w:rsidR="00AA6856" w:rsidRDefault="00AA6856" w:rsidP="00AA6856">
      <w:pPr>
        <w:jc w:val="center"/>
        <w:rPr>
          <w:rFonts w:ascii="Book Antiqua" w:hAnsi="Book Antiqua"/>
        </w:rPr>
      </w:pPr>
    </w:p>
    <w:p w14:paraId="479769DC" w14:textId="77777777" w:rsidR="00AA6856" w:rsidRDefault="00AA6856" w:rsidP="00AA6856">
      <w:pPr>
        <w:jc w:val="center"/>
        <w:rPr>
          <w:rFonts w:ascii="Book Antiqua" w:hAnsi="Book Antiqua"/>
        </w:rPr>
      </w:pPr>
    </w:p>
    <w:p w14:paraId="16C4F843" w14:textId="77777777" w:rsidR="00AA6856" w:rsidRDefault="00AA6856" w:rsidP="00AA6856">
      <w:pPr>
        <w:jc w:val="center"/>
        <w:rPr>
          <w:rFonts w:ascii="Book Antiqua" w:hAnsi="Book Antiqua"/>
        </w:rPr>
      </w:pPr>
    </w:p>
    <w:p w14:paraId="1D74E5ED" w14:textId="77777777" w:rsidR="00AA6856" w:rsidRDefault="00AA6856" w:rsidP="00AA6856">
      <w:pPr>
        <w:jc w:val="center"/>
        <w:rPr>
          <w:rFonts w:ascii="Book Antiqua" w:hAnsi="Book Antiqua"/>
        </w:rPr>
      </w:pPr>
    </w:p>
    <w:p w14:paraId="28A588CB" w14:textId="50511319" w:rsidR="00AA6856" w:rsidRDefault="00AA6856" w:rsidP="00AA6856">
      <w:pPr>
        <w:jc w:val="center"/>
        <w:rPr>
          <w:rFonts w:ascii="Book Antiqua" w:hAnsi="Book Antiqua"/>
        </w:rPr>
      </w:pPr>
      <w:r>
        <w:rPr>
          <w:rFonts w:ascii="Book Antiqua" w:hAnsi="Book Antiqua"/>
          <w:noProof/>
          <w:lang w:eastAsia="zh-CN"/>
        </w:rPr>
        <w:drawing>
          <wp:inline distT="0" distB="0" distL="0" distR="0" wp14:anchorId="65AE4ACD" wp14:editId="6FDEC5A4">
            <wp:extent cx="2495550" cy="1438275"/>
            <wp:effectExtent l="0" t="0" r="0" b="9525"/>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5550" cy="1438275"/>
                    </a:xfrm>
                    <a:prstGeom prst="rect">
                      <a:avLst/>
                    </a:prstGeom>
                    <a:noFill/>
                    <a:ln>
                      <a:noFill/>
                    </a:ln>
                  </pic:spPr>
                </pic:pic>
              </a:graphicData>
            </a:graphic>
          </wp:inline>
        </w:drawing>
      </w:r>
    </w:p>
    <w:p w14:paraId="717DA976" w14:textId="77777777" w:rsidR="00AA6856" w:rsidRDefault="00AA6856" w:rsidP="00AA6856">
      <w:pPr>
        <w:jc w:val="center"/>
        <w:rPr>
          <w:rFonts w:ascii="Book Antiqua" w:hAnsi="Book Antiqua"/>
        </w:rPr>
      </w:pPr>
    </w:p>
    <w:p w14:paraId="7CDB0C46" w14:textId="77777777" w:rsidR="00AA6856" w:rsidRDefault="00AA6856" w:rsidP="00AA6856">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7A72D5BC" w14:textId="77777777" w:rsidR="00AA6856" w:rsidRDefault="00AA6856" w:rsidP="00AA6856">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27E7453" w14:textId="77777777" w:rsidR="00AA6856" w:rsidRDefault="00AA6856" w:rsidP="00AA6856">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84164B3" w14:textId="77777777" w:rsidR="00AA6856" w:rsidRDefault="00AA6856" w:rsidP="00AA685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FC10AFC" w14:textId="77777777" w:rsidR="00AA6856" w:rsidRDefault="00AA6856" w:rsidP="00AA685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BCF24DD" w14:textId="77777777" w:rsidR="00AA6856" w:rsidRDefault="00AA6856" w:rsidP="00AA6856">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4C5F86A" w14:textId="77777777" w:rsidR="00AA6856" w:rsidRDefault="00AA6856" w:rsidP="00AA6856">
      <w:pPr>
        <w:jc w:val="center"/>
        <w:rPr>
          <w:rFonts w:ascii="Book Antiqua" w:hAnsi="Book Antiqua"/>
        </w:rPr>
      </w:pPr>
    </w:p>
    <w:p w14:paraId="69D7FB4F" w14:textId="77777777" w:rsidR="00AA6856" w:rsidRDefault="00AA6856" w:rsidP="00AA6856">
      <w:pPr>
        <w:jc w:val="center"/>
        <w:rPr>
          <w:rFonts w:ascii="Book Antiqua" w:hAnsi="Book Antiqua"/>
        </w:rPr>
      </w:pPr>
    </w:p>
    <w:p w14:paraId="1DD0E8D5" w14:textId="77777777" w:rsidR="00AA6856" w:rsidRDefault="00AA6856" w:rsidP="00AA6856">
      <w:pPr>
        <w:jc w:val="center"/>
        <w:rPr>
          <w:rFonts w:ascii="Book Antiqua" w:hAnsi="Book Antiqua"/>
        </w:rPr>
      </w:pPr>
    </w:p>
    <w:p w14:paraId="7280F2C4" w14:textId="425F81BB" w:rsidR="00AA6856" w:rsidRDefault="00AA6856" w:rsidP="00AA6856">
      <w:pPr>
        <w:jc w:val="center"/>
        <w:rPr>
          <w:rFonts w:ascii="Book Antiqua" w:hAnsi="Book Antiqua"/>
        </w:rPr>
      </w:pPr>
      <w:r>
        <w:rPr>
          <w:rFonts w:ascii="Book Antiqua" w:hAnsi="Book Antiqua"/>
          <w:noProof/>
          <w:lang w:eastAsia="zh-CN"/>
        </w:rPr>
        <w:drawing>
          <wp:inline distT="0" distB="0" distL="0" distR="0" wp14:anchorId="6A7876EF" wp14:editId="035DD921">
            <wp:extent cx="1447800" cy="1438275"/>
            <wp:effectExtent l="0" t="0" r="0" b="9525"/>
            <wp:docPr id="4" name="图片 4"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二维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38275"/>
                    </a:xfrm>
                    <a:prstGeom prst="rect">
                      <a:avLst/>
                    </a:prstGeom>
                    <a:noFill/>
                    <a:ln>
                      <a:noFill/>
                    </a:ln>
                  </pic:spPr>
                </pic:pic>
              </a:graphicData>
            </a:graphic>
          </wp:inline>
        </w:drawing>
      </w:r>
    </w:p>
    <w:p w14:paraId="57EE3CAB" w14:textId="77777777" w:rsidR="00AA6856" w:rsidRDefault="00AA6856" w:rsidP="00AA6856">
      <w:pPr>
        <w:jc w:val="center"/>
        <w:rPr>
          <w:rFonts w:ascii="Book Antiqua" w:hAnsi="Book Antiqua"/>
        </w:rPr>
      </w:pPr>
    </w:p>
    <w:p w14:paraId="699A4283" w14:textId="77777777" w:rsidR="00AA6856" w:rsidRDefault="00AA6856" w:rsidP="00AA6856">
      <w:pPr>
        <w:jc w:val="center"/>
        <w:rPr>
          <w:rFonts w:ascii="Book Antiqua" w:hAnsi="Book Antiqua"/>
        </w:rPr>
      </w:pPr>
    </w:p>
    <w:p w14:paraId="5DF685FD" w14:textId="77777777" w:rsidR="00AA6856" w:rsidRDefault="00AA6856" w:rsidP="00AA6856">
      <w:pPr>
        <w:jc w:val="center"/>
        <w:rPr>
          <w:rFonts w:ascii="Book Antiqua" w:hAnsi="Book Antiqua"/>
        </w:rPr>
      </w:pPr>
    </w:p>
    <w:p w14:paraId="557F120D" w14:textId="77777777" w:rsidR="00AA6856" w:rsidRDefault="00AA6856" w:rsidP="00AA6856">
      <w:pPr>
        <w:jc w:val="right"/>
        <w:rPr>
          <w:rFonts w:ascii="Book Antiqua" w:hAnsi="Book Antiqua"/>
          <w:color w:val="000000" w:themeColor="text1"/>
        </w:rPr>
      </w:pPr>
    </w:p>
    <w:p w14:paraId="06E46015" w14:textId="77777777" w:rsidR="00AA6856" w:rsidRDefault="00AA6856" w:rsidP="00AA6856">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02B2FFD" w14:textId="77777777" w:rsidR="0068121F" w:rsidRPr="003B1CAD" w:rsidRDefault="0068121F">
      <w:pPr>
        <w:spacing w:line="360" w:lineRule="auto"/>
        <w:jc w:val="both"/>
        <w:rPr>
          <w:rFonts w:ascii="Book Antiqua" w:hAnsi="Book Antiqua"/>
        </w:rPr>
      </w:pPr>
      <w:bookmarkStart w:id="2" w:name="_GoBack"/>
      <w:bookmarkEnd w:id="2"/>
    </w:p>
    <w:sectPr w:rsidR="0068121F" w:rsidRPr="003B1CAD" w:rsidSect="0068121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B48B50" w14:textId="77777777" w:rsidR="00CB2D15" w:rsidRDefault="00CB2D15" w:rsidP="00952C1E">
      <w:r>
        <w:separator/>
      </w:r>
    </w:p>
  </w:endnote>
  <w:endnote w:type="continuationSeparator" w:id="0">
    <w:p w14:paraId="4CE6ACC8" w14:textId="77777777" w:rsidR="00CB2D15" w:rsidRDefault="00CB2D15" w:rsidP="00952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968403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F03737F" w14:textId="3953E0C8" w:rsidR="0060642F" w:rsidRPr="0060642F" w:rsidRDefault="0060642F" w:rsidP="0060642F">
            <w:pPr>
              <w:pStyle w:val="a4"/>
              <w:jc w:val="right"/>
              <w:rPr>
                <w:rFonts w:ascii="Book Antiqua" w:hAnsi="Book Antiqua"/>
                <w:sz w:val="24"/>
                <w:szCs w:val="24"/>
              </w:rPr>
            </w:pPr>
            <w:r w:rsidRPr="0060642F">
              <w:rPr>
                <w:rFonts w:ascii="Book Antiqua" w:hAnsi="Book Antiqua"/>
                <w:sz w:val="24"/>
                <w:szCs w:val="24"/>
                <w:lang w:val="zh-CN" w:eastAsia="zh-CN"/>
              </w:rPr>
              <w:t xml:space="preserve"> </w:t>
            </w:r>
            <w:r w:rsidRPr="0060642F">
              <w:rPr>
                <w:rFonts w:ascii="Book Antiqua" w:hAnsi="Book Antiqua"/>
                <w:sz w:val="24"/>
                <w:szCs w:val="24"/>
              </w:rPr>
              <w:fldChar w:fldCharType="begin"/>
            </w:r>
            <w:r w:rsidRPr="0060642F">
              <w:rPr>
                <w:rFonts w:ascii="Book Antiqua" w:hAnsi="Book Antiqua"/>
                <w:sz w:val="24"/>
                <w:szCs w:val="24"/>
              </w:rPr>
              <w:instrText>PAGE</w:instrText>
            </w:r>
            <w:r w:rsidRPr="0060642F">
              <w:rPr>
                <w:rFonts w:ascii="Book Antiqua" w:hAnsi="Book Antiqua"/>
                <w:sz w:val="24"/>
                <w:szCs w:val="24"/>
              </w:rPr>
              <w:fldChar w:fldCharType="separate"/>
            </w:r>
            <w:r w:rsidR="00083FEB">
              <w:rPr>
                <w:rFonts w:ascii="Book Antiqua" w:hAnsi="Book Antiqua"/>
                <w:noProof/>
                <w:sz w:val="24"/>
                <w:szCs w:val="24"/>
              </w:rPr>
              <w:t>19</w:t>
            </w:r>
            <w:r w:rsidRPr="0060642F">
              <w:rPr>
                <w:rFonts w:ascii="Book Antiqua" w:hAnsi="Book Antiqua"/>
                <w:sz w:val="24"/>
                <w:szCs w:val="24"/>
              </w:rPr>
              <w:fldChar w:fldCharType="end"/>
            </w:r>
            <w:r w:rsidRPr="0060642F">
              <w:rPr>
                <w:rFonts w:ascii="Book Antiqua" w:hAnsi="Book Antiqua"/>
                <w:sz w:val="24"/>
                <w:szCs w:val="24"/>
                <w:lang w:val="zh-CN" w:eastAsia="zh-CN"/>
              </w:rPr>
              <w:t xml:space="preserve"> / </w:t>
            </w:r>
            <w:r w:rsidRPr="0060642F">
              <w:rPr>
                <w:rFonts w:ascii="Book Antiqua" w:hAnsi="Book Antiqua"/>
                <w:sz w:val="24"/>
                <w:szCs w:val="24"/>
              </w:rPr>
              <w:fldChar w:fldCharType="begin"/>
            </w:r>
            <w:r w:rsidRPr="0060642F">
              <w:rPr>
                <w:rFonts w:ascii="Book Antiqua" w:hAnsi="Book Antiqua"/>
                <w:sz w:val="24"/>
                <w:szCs w:val="24"/>
              </w:rPr>
              <w:instrText>NUMPAGES</w:instrText>
            </w:r>
            <w:r w:rsidRPr="0060642F">
              <w:rPr>
                <w:rFonts w:ascii="Book Antiqua" w:hAnsi="Book Antiqua"/>
                <w:sz w:val="24"/>
                <w:szCs w:val="24"/>
              </w:rPr>
              <w:fldChar w:fldCharType="separate"/>
            </w:r>
            <w:r w:rsidR="00083FEB">
              <w:rPr>
                <w:rFonts w:ascii="Book Antiqua" w:hAnsi="Book Antiqua"/>
                <w:noProof/>
                <w:sz w:val="24"/>
                <w:szCs w:val="24"/>
              </w:rPr>
              <w:t>20</w:t>
            </w:r>
            <w:r w:rsidRPr="0060642F">
              <w:rPr>
                <w:rFonts w:ascii="Book Antiqua" w:hAnsi="Book Antiqua"/>
                <w:sz w:val="24"/>
                <w:szCs w:val="24"/>
              </w:rPr>
              <w:fldChar w:fldCharType="end"/>
            </w:r>
          </w:p>
        </w:sdtContent>
      </w:sdt>
    </w:sdtContent>
  </w:sdt>
  <w:p w14:paraId="5F39BB91" w14:textId="77777777" w:rsidR="0060642F" w:rsidRPr="0060642F" w:rsidRDefault="0060642F" w:rsidP="0060642F">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DF9051" w14:textId="77777777" w:rsidR="00CB2D15" w:rsidRDefault="00CB2D15" w:rsidP="00952C1E">
      <w:r>
        <w:separator/>
      </w:r>
    </w:p>
  </w:footnote>
  <w:footnote w:type="continuationSeparator" w:id="0">
    <w:p w14:paraId="184EB2D8" w14:textId="77777777" w:rsidR="00CB2D15" w:rsidRDefault="00CB2D15" w:rsidP="00952C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6E2"/>
    <w:rsid w:val="0006416B"/>
    <w:rsid w:val="00083FEB"/>
    <w:rsid w:val="000D68AD"/>
    <w:rsid w:val="00194FC9"/>
    <w:rsid w:val="001B2C2C"/>
    <w:rsid w:val="001D66CB"/>
    <w:rsid w:val="0029121D"/>
    <w:rsid w:val="00297565"/>
    <w:rsid w:val="002A2266"/>
    <w:rsid w:val="002B5574"/>
    <w:rsid w:val="002C1CC5"/>
    <w:rsid w:val="0037216D"/>
    <w:rsid w:val="003B1CAD"/>
    <w:rsid w:val="003C1DA7"/>
    <w:rsid w:val="00520CD8"/>
    <w:rsid w:val="005433D0"/>
    <w:rsid w:val="005E4010"/>
    <w:rsid w:val="0060642F"/>
    <w:rsid w:val="0068121F"/>
    <w:rsid w:val="00782C55"/>
    <w:rsid w:val="00831FD9"/>
    <w:rsid w:val="0084694A"/>
    <w:rsid w:val="0084762E"/>
    <w:rsid w:val="00905198"/>
    <w:rsid w:val="00931904"/>
    <w:rsid w:val="00952C1E"/>
    <w:rsid w:val="00966CD5"/>
    <w:rsid w:val="00A77B3E"/>
    <w:rsid w:val="00AA6856"/>
    <w:rsid w:val="00B36FE6"/>
    <w:rsid w:val="00BD0F91"/>
    <w:rsid w:val="00C04EB0"/>
    <w:rsid w:val="00CA2A55"/>
    <w:rsid w:val="00CB2D15"/>
    <w:rsid w:val="00CF1E83"/>
    <w:rsid w:val="00D12DA5"/>
    <w:rsid w:val="00D17E4E"/>
    <w:rsid w:val="00DB3670"/>
    <w:rsid w:val="00DF2192"/>
    <w:rsid w:val="00E13E47"/>
    <w:rsid w:val="00E37421"/>
    <w:rsid w:val="00EA5EC2"/>
    <w:rsid w:val="00EF7705"/>
    <w:rsid w:val="00F7040D"/>
    <w:rsid w:val="00FF60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A33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52C1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52C1E"/>
    <w:rPr>
      <w:sz w:val="18"/>
      <w:szCs w:val="18"/>
    </w:rPr>
  </w:style>
  <w:style w:type="paragraph" w:styleId="a4">
    <w:name w:val="footer"/>
    <w:basedOn w:val="a"/>
    <w:link w:val="Char0"/>
    <w:uiPriority w:val="99"/>
    <w:unhideWhenUsed/>
    <w:rsid w:val="00952C1E"/>
    <w:pPr>
      <w:tabs>
        <w:tab w:val="center" w:pos="4153"/>
        <w:tab w:val="right" w:pos="8306"/>
      </w:tabs>
      <w:snapToGrid w:val="0"/>
    </w:pPr>
    <w:rPr>
      <w:sz w:val="18"/>
      <w:szCs w:val="18"/>
    </w:rPr>
  </w:style>
  <w:style w:type="character" w:customStyle="1" w:styleId="Char0">
    <w:name w:val="页脚 Char"/>
    <w:basedOn w:val="a0"/>
    <w:link w:val="a4"/>
    <w:uiPriority w:val="99"/>
    <w:rsid w:val="00952C1E"/>
    <w:rPr>
      <w:sz w:val="18"/>
      <w:szCs w:val="18"/>
    </w:rPr>
  </w:style>
  <w:style w:type="character" w:styleId="a5">
    <w:name w:val="Hyperlink"/>
    <w:basedOn w:val="a0"/>
    <w:unhideWhenUsed/>
    <w:rsid w:val="00952C1E"/>
    <w:rPr>
      <w:color w:val="0000FF" w:themeColor="hyperlink"/>
      <w:u w:val="single"/>
    </w:rPr>
  </w:style>
  <w:style w:type="character" w:customStyle="1" w:styleId="UnresolvedMention1">
    <w:name w:val="Unresolved Mention1"/>
    <w:basedOn w:val="a0"/>
    <w:uiPriority w:val="99"/>
    <w:semiHidden/>
    <w:unhideWhenUsed/>
    <w:rsid w:val="00952C1E"/>
    <w:rPr>
      <w:color w:val="605E5C"/>
      <w:shd w:val="clear" w:color="auto" w:fill="E1DFDD"/>
    </w:rPr>
  </w:style>
  <w:style w:type="character" w:styleId="a6">
    <w:name w:val="annotation reference"/>
    <w:basedOn w:val="a0"/>
    <w:semiHidden/>
    <w:unhideWhenUsed/>
    <w:rsid w:val="0006416B"/>
    <w:rPr>
      <w:sz w:val="21"/>
      <w:szCs w:val="21"/>
    </w:rPr>
  </w:style>
  <w:style w:type="paragraph" w:styleId="a7">
    <w:name w:val="annotation text"/>
    <w:basedOn w:val="a"/>
    <w:link w:val="Char1"/>
    <w:semiHidden/>
    <w:unhideWhenUsed/>
    <w:rsid w:val="0006416B"/>
  </w:style>
  <w:style w:type="character" w:customStyle="1" w:styleId="Char1">
    <w:name w:val="批注文字 Char"/>
    <w:basedOn w:val="a0"/>
    <w:link w:val="a7"/>
    <w:semiHidden/>
    <w:rsid w:val="0006416B"/>
    <w:rPr>
      <w:sz w:val="24"/>
      <w:szCs w:val="24"/>
    </w:rPr>
  </w:style>
  <w:style w:type="paragraph" w:styleId="a8">
    <w:name w:val="annotation subject"/>
    <w:basedOn w:val="a7"/>
    <w:next w:val="a7"/>
    <w:link w:val="Char2"/>
    <w:semiHidden/>
    <w:unhideWhenUsed/>
    <w:rsid w:val="0006416B"/>
    <w:rPr>
      <w:b/>
      <w:bCs/>
    </w:rPr>
  </w:style>
  <w:style w:type="character" w:customStyle="1" w:styleId="Char2">
    <w:name w:val="批注主题 Char"/>
    <w:basedOn w:val="Char1"/>
    <w:link w:val="a8"/>
    <w:semiHidden/>
    <w:rsid w:val="0006416B"/>
    <w:rPr>
      <w:b/>
      <w:bCs/>
      <w:sz w:val="24"/>
      <w:szCs w:val="24"/>
    </w:rPr>
  </w:style>
  <w:style w:type="table" w:customStyle="1" w:styleId="PlainTable2">
    <w:name w:val="Plain Table 2"/>
    <w:basedOn w:val="a1"/>
    <w:uiPriority w:val="42"/>
    <w:rsid w:val="0068121F"/>
    <w:rPr>
      <w:rFonts w:asciiTheme="minorHAnsi" w:hAnsiTheme="minorHAnsi" w:cstheme="minorBidi"/>
      <w:sz w:val="22"/>
      <w:szCs w:val="22"/>
      <w:lang w:val="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9">
    <w:name w:val="Balloon Text"/>
    <w:basedOn w:val="a"/>
    <w:link w:val="Char3"/>
    <w:semiHidden/>
    <w:unhideWhenUsed/>
    <w:rsid w:val="005433D0"/>
    <w:rPr>
      <w:sz w:val="18"/>
      <w:szCs w:val="18"/>
    </w:rPr>
  </w:style>
  <w:style w:type="character" w:customStyle="1" w:styleId="Char3">
    <w:name w:val="批注框文本 Char"/>
    <w:basedOn w:val="a0"/>
    <w:link w:val="a9"/>
    <w:semiHidden/>
    <w:rsid w:val="005433D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52C1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52C1E"/>
    <w:rPr>
      <w:sz w:val="18"/>
      <w:szCs w:val="18"/>
    </w:rPr>
  </w:style>
  <w:style w:type="paragraph" w:styleId="a4">
    <w:name w:val="footer"/>
    <w:basedOn w:val="a"/>
    <w:link w:val="Char0"/>
    <w:uiPriority w:val="99"/>
    <w:unhideWhenUsed/>
    <w:rsid w:val="00952C1E"/>
    <w:pPr>
      <w:tabs>
        <w:tab w:val="center" w:pos="4153"/>
        <w:tab w:val="right" w:pos="8306"/>
      </w:tabs>
      <w:snapToGrid w:val="0"/>
    </w:pPr>
    <w:rPr>
      <w:sz w:val="18"/>
      <w:szCs w:val="18"/>
    </w:rPr>
  </w:style>
  <w:style w:type="character" w:customStyle="1" w:styleId="Char0">
    <w:name w:val="页脚 Char"/>
    <w:basedOn w:val="a0"/>
    <w:link w:val="a4"/>
    <w:uiPriority w:val="99"/>
    <w:rsid w:val="00952C1E"/>
    <w:rPr>
      <w:sz w:val="18"/>
      <w:szCs w:val="18"/>
    </w:rPr>
  </w:style>
  <w:style w:type="character" w:styleId="a5">
    <w:name w:val="Hyperlink"/>
    <w:basedOn w:val="a0"/>
    <w:unhideWhenUsed/>
    <w:rsid w:val="00952C1E"/>
    <w:rPr>
      <w:color w:val="0000FF" w:themeColor="hyperlink"/>
      <w:u w:val="single"/>
    </w:rPr>
  </w:style>
  <w:style w:type="character" w:customStyle="1" w:styleId="UnresolvedMention1">
    <w:name w:val="Unresolved Mention1"/>
    <w:basedOn w:val="a0"/>
    <w:uiPriority w:val="99"/>
    <w:semiHidden/>
    <w:unhideWhenUsed/>
    <w:rsid w:val="00952C1E"/>
    <w:rPr>
      <w:color w:val="605E5C"/>
      <w:shd w:val="clear" w:color="auto" w:fill="E1DFDD"/>
    </w:rPr>
  </w:style>
  <w:style w:type="character" w:styleId="a6">
    <w:name w:val="annotation reference"/>
    <w:basedOn w:val="a0"/>
    <w:semiHidden/>
    <w:unhideWhenUsed/>
    <w:rsid w:val="0006416B"/>
    <w:rPr>
      <w:sz w:val="21"/>
      <w:szCs w:val="21"/>
    </w:rPr>
  </w:style>
  <w:style w:type="paragraph" w:styleId="a7">
    <w:name w:val="annotation text"/>
    <w:basedOn w:val="a"/>
    <w:link w:val="Char1"/>
    <w:semiHidden/>
    <w:unhideWhenUsed/>
    <w:rsid w:val="0006416B"/>
  </w:style>
  <w:style w:type="character" w:customStyle="1" w:styleId="Char1">
    <w:name w:val="批注文字 Char"/>
    <w:basedOn w:val="a0"/>
    <w:link w:val="a7"/>
    <w:semiHidden/>
    <w:rsid w:val="0006416B"/>
    <w:rPr>
      <w:sz w:val="24"/>
      <w:szCs w:val="24"/>
    </w:rPr>
  </w:style>
  <w:style w:type="paragraph" w:styleId="a8">
    <w:name w:val="annotation subject"/>
    <w:basedOn w:val="a7"/>
    <w:next w:val="a7"/>
    <w:link w:val="Char2"/>
    <w:semiHidden/>
    <w:unhideWhenUsed/>
    <w:rsid w:val="0006416B"/>
    <w:rPr>
      <w:b/>
      <w:bCs/>
    </w:rPr>
  </w:style>
  <w:style w:type="character" w:customStyle="1" w:styleId="Char2">
    <w:name w:val="批注主题 Char"/>
    <w:basedOn w:val="Char1"/>
    <w:link w:val="a8"/>
    <w:semiHidden/>
    <w:rsid w:val="0006416B"/>
    <w:rPr>
      <w:b/>
      <w:bCs/>
      <w:sz w:val="24"/>
      <w:szCs w:val="24"/>
    </w:rPr>
  </w:style>
  <w:style w:type="table" w:customStyle="1" w:styleId="PlainTable2">
    <w:name w:val="Plain Table 2"/>
    <w:basedOn w:val="a1"/>
    <w:uiPriority w:val="42"/>
    <w:rsid w:val="0068121F"/>
    <w:rPr>
      <w:rFonts w:asciiTheme="minorHAnsi" w:hAnsiTheme="minorHAnsi" w:cstheme="minorBidi"/>
      <w:sz w:val="22"/>
      <w:szCs w:val="22"/>
      <w:lang w:val="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9">
    <w:name w:val="Balloon Text"/>
    <w:basedOn w:val="a"/>
    <w:link w:val="Char3"/>
    <w:semiHidden/>
    <w:unhideWhenUsed/>
    <w:rsid w:val="005433D0"/>
    <w:rPr>
      <w:sz w:val="18"/>
      <w:szCs w:val="18"/>
    </w:rPr>
  </w:style>
  <w:style w:type="character" w:customStyle="1" w:styleId="Char3">
    <w:name w:val="批注框文本 Char"/>
    <w:basedOn w:val="a0"/>
    <w:link w:val="a9"/>
    <w:semiHidden/>
    <w:rsid w:val="005433D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785290">
      <w:bodyDiv w:val="1"/>
      <w:marLeft w:val="0"/>
      <w:marRight w:val="0"/>
      <w:marTop w:val="0"/>
      <w:marBottom w:val="0"/>
      <w:divBdr>
        <w:top w:val="none" w:sz="0" w:space="0" w:color="auto"/>
        <w:left w:val="none" w:sz="0" w:space="0" w:color="auto"/>
        <w:bottom w:val="none" w:sz="0" w:space="0" w:color="auto"/>
        <w:right w:val="none" w:sz="0" w:space="0" w:color="auto"/>
      </w:divBdr>
    </w:div>
    <w:div w:id="7175093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3962</Words>
  <Characters>22587</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8</cp:revision>
  <dcterms:created xsi:type="dcterms:W3CDTF">2021-03-09T21:21:00Z</dcterms:created>
  <dcterms:modified xsi:type="dcterms:W3CDTF">2021-04-21T08:31:00Z</dcterms:modified>
</cp:coreProperties>
</file>