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38BC5" w14:textId="77777777" w:rsidR="00A77B3E" w:rsidRPr="00573B26" w:rsidRDefault="00C642ED">
      <w:pPr>
        <w:spacing w:line="360" w:lineRule="auto"/>
        <w:jc w:val="both"/>
      </w:pPr>
      <w:r w:rsidRPr="00573B26">
        <w:rPr>
          <w:rFonts w:ascii="Book Antiqua" w:eastAsia="Book Antiqua" w:hAnsi="Book Antiqua" w:cs="Book Antiqua"/>
          <w:b/>
          <w:color w:val="000000"/>
        </w:rPr>
        <w:t xml:space="preserve">Name of Journal: </w:t>
      </w:r>
      <w:r w:rsidRPr="00573B26">
        <w:rPr>
          <w:rFonts w:ascii="Book Antiqua" w:eastAsia="Book Antiqua" w:hAnsi="Book Antiqua" w:cs="Book Antiqua"/>
          <w:i/>
          <w:color w:val="000000"/>
        </w:rPr>
        <w:t>World Journal of Clinical Cases</w:t>
      </w:r>
    </w:p>
    <w:p w14:paraId="6C65D7A9" w14:textId="77777777" w:rsidR="00A77B3E" w:rsidRPr="00573B26" w:rsidRDefault="00C642ED">
      <w:pPr>
        <w:spacing w:line="360" w:lineRule="auto"/>
        <w:jc w:val="both"/>
      </w:pPr>
      <w:r w:rsidRPr="00573B26">
        <w:rPr>
          <w:rFonts w:ascii="Book Antiqua" w:eastAsia="Book Antiqua" w:hAnsi="Book Antiqua" w:cs="Book Antiqua"/>
          <w:b/>
          <w:color w:val="000000"/>
        </w:rPr>
        <w:t xml:space="preserve">Manuscript NO: </w:t>
      </w:r>
      <w:r w:rsidRPr="00573B26">
        <w:rPr>
          <w:rFonts w:ascii="Book Antiqua" w:eastAsia="Book Antiqua" w:hAnsi="Book Antiqua" w:cs="Book Antiqua"/>
          <w:color w:val="000000"/>
        </w:rPr>
        <w:t>62473</w:t>
      </w:r>
    </w:p>
    <w:p w14:paraId="1A0F5918" w14:textId="77777777" w:rsidR="00A77B3E" w:rsidRPr="00573B26" w:rsidRDefault="00C642ED">
      <w:pPr>
        <w:spacing w:line="360" w:lineRule="auto"/>
        <w:jc w:val="both"/>
      </w:pPr>
      <w:r w:rsidRPr="00573B26">
        <w:rPr>
          <w:rFonts w:ascii="Book Antiqua" w:eastAsia="Book Antiqua" w:hAnsi="Book Antiqua" w:cs="Book Antiqua"/>
          <w:b/>
          <w:color w:val="000000"/>
        </w:rPr>
        <w:t xml:space="preserve">Manuscript Type: </w:t>
      </w:r>
      <w:r w:rsidRPr="00573B26">
        <w:rPr>
          <w:rFonts w:ascii="Book Antiqua" w:eastAsia="Book Antiqua" w:hAnsi="Book Antiqua" w:cs="Book Antiqua"/>
          <w:color w:val="000000"/>
        </w:rPr>
        <w:t>CASE REPORT</w:t>
      </w:r>
    </w:p>
    <w:p w14:paraId="59D9BA5F" w14:textId="77777777" w:rsidR="00A77B3E" w:rsidRPr="00573B26" w:rsidRDefault="00A77B3E">
      <w:pPr>
        <w:spacing w:line="360" w:lineRule="auto"/>
        <w:jc w:val="both"/>
      </w:pPr>
    </w:p>
    <w:p w14:paraId="10CFA163" w14:textId="77777777" w:rsidR="00A77B3E" w:rsidRPr="00573B26" w:rsidRDefault="00C642ED">
      <w:pPr>
        <w:spacing w:line="360" w:lineRule="auto"/>
        <w:jc w:val="both"/>
      </w:pPr>
      <w:r w:rsidRPr="00573B26">
        <w:rPr>
          <w:rFonts w:ascii="Book Antiqua" w:eastAsia="Book Antiqua" w:hAnsi="Book Antiqua" w:cs="Book Antiqua"/>
          <w:b/>
          <w:bCs/>
          <w:color w:val="000000"/>
        </w:rPr>
        <w:t>Contralateral hemopneumothorax after penetrating thoracic trauma: A case report</w:t>
      </w:r>
    </w:p>
    <w:p w14:paraId="086F0266" w14:textId="77777777" w:rsidR="00A77B3E" w:rsidRPr="00573B26" w:rsidRDefault="00A77B3E">
      <w:pPr>
        <w:spacing w:line="360" w:lineRule="auto"/>
        <w:jc w:val="both"/>
      </w:pPr>
    </w:p>
    <w:p w14:paraId="25BBB5B5" w14:textId="1A654099" w:rsidR="00A77B3E" w:rsidRPr="00573B26" w:rsidRDefault="00C322C8">
      <w:pPr>
        <w:spacing w:line="360" w:lineRule="auto"/>
        <w:jc w:val="both"/>
      </w:pPr>
      <w:r w:rsidRPr="00573B26">
        <w:rPr>
          <w:rFonts w:ascii="Book Antiqua" w:eastAsia="Book Antiqua" w:hAnsi="Book Antiqua" w:cs="Book Antiqua"/>
          <w:color w:val="000000"/>
        </w:rPr>
        <w:t xml:space="preserve">İşcan M. </w:t>
      </w:r>
      <w:r w:rsidR="00C642ED" w:rsidRPr="00573B26">
        <w:rPr>
          <w:rFonts w:ascii="Book Antiqua" w:eastAsia="Book Antiqua" w:hAnsi="Book Antiqua" w:cs="Book Antiqua"/>
          <w:color w:val="000000"/>
        </w:rPr>
        <w:t>Contralateral hemopneumothorax after penetrating thoracic trauma</w:t>
      </w:r>
    </w:p>
    <w:p w14:paraId="2D36B281" w14:textId="77777777" w:rsidR="00A77B3E" w:rsidRPr="00573B26" w:rsidRDefault="00A77B3E">
      <w:pPr>
        <w:spacing w:line="360" w:lineRule="auto"/>
        <w:jc w:val="both"/>
      </w:pPr>
    </w:p>
    <w:p w14:paraId="266AB8DC" w14:textId="77777777" w:rsidR="00A77B3E" w:rsidRPr="00573B26" w:rsidRDefault="00C642ED">
      <w:pPr>
        <w:spacing w:line="360" w:lineRule="auto"/>
        <w:jc w:val="both"/>
      </w:pPr>
      <w:r w:rsidRPr="00573B26">
        <w:rPr>
          <w:rFonts w:ascii="Book Antiqua" w:eastAsia="Book Antiqua" w:hAnsi="Book Antiqua" w:cs="Book Antiqua"/>
          <w:color w:val="000000"/>
        </w:rPr>
        <w:t>Mehlika İşcan</w:t>
      </w:r>
    </w:p>
    <w:p w14:paraId="67429A06" w14:textId="77777777" w:rsidR="00A77B3E" w:rsidRPr="00573B26" w:rsidRDefault="00A77B3E">
      <w:pPr>
        <w:spacing w:line="360" w:lineRule="auto"/>
        <w:jc w:val="both"/>
      </w:pPr>
    </w:p>
    <w:p w14:paraId="011BCAAD" w14:textId="77777777" w:rsidR="00A77B3E" w:rsidRPr="00573B26" w:rsidRDefault="00C642ED">
      <w:pPr>
        <w:spacing w:line="360" w:lineRule="auto"/>
        <w:jc w:val="both"/>
      </w:pPr>
      <w:r w:rsidRPr="00573B26">
        <w:rPr>
          <w:rFonts w:ascii="Book Antiqua" w:eastAsia="Book Antiqua" w:hAnsi="Book Antiqua" w:cs="Book Antiqua"/>
          <w:b/>
          <w:bCs/>
          <w:color w:val="000000"/>
        </w:rPr>
        <w:t xml:space="preserve">Mehlika İşcan, </w:t>
      </w:r>
      <w:r w:rsidRPr="00573B26">
        <w:rPr>
          <w:rFonts w:ascii="Book Antiqua" w:eastAsia="Book Antiqua" w:hAnsi="Book Antiqua" w:cs="Book Antiqua"/>
          <w:color w:val="000000"/>
        </w:rPr>
        <w:t>Thoracic Surgery Department, Gebze Fatih State Hospital, Kocaeli 41400, Gebze, Turkey</w:t>
      </w:r>
    </w:p>
    <w:p w14:paraId="223AF0F1" w14:textId="77777777" w:rsidR="00A77B3E" w:rsidRPr="00573B26" w:rsidRDefault="00A77B3E">
      <w:pPr>
        <w:spacing w:line="360" w:lineRule="auto"/>
        <w:jc w:val="both"/>
      </w:pPr>
    </w:p>
    <w:p w14:paraId="4A3A19D4" w14:textId="396BEB40" w:rsidR="00A77B3E" w:rsidRPr="00573B26" w:rsidRDefault="00C642ED">
      <w:pPr>
        <w:spacing w:line="360" w:lineRule="auto"/>
        <w:jc w:val="both"/>
      </w:pPr>
      <w:r w:rsidRPr="00573B26">
        <w:rPr>
          <w:rFonts w:ascii="Book Antiqua" w:eastAsia="Book Antiqua" w:hAnsi="Book Antiqua" w:cs="Book Antiqua"/>
          <w:b/>
          <w:bCs/>
          <w:color w:val="000000"/>
        </w:rPr>
        <w:t xml:space="preserve">Author contributions: </w:t>
      </w:r>
      <w:r w:rsidRPr="00573B26">
        <w:rPr>
          <w:rFonts w:ascii="Book Antiqua" w:eastAsia="Book Antiqua" w:hAnsi="Book Antiqua" w:cs="Book Antiqua"/>
          <w:color w:val="000000"/>
          <w:shd w:val="clear" w:color="auto" w:fill="FFFFFF"/>
        </w:rPr>
        <w:t>İşcan M was the patient’s thoracic surgeon, reviewed the literature, and analyzed and interpreted the imaging findings; İşcan M wrote and revised the manuscript; İşcan M issued final approval for the version to be submitted.</w:t>
      </w:r>
    </w:p>
    <w:p w14:paraId="31FDBBE9" w14:textId="77777777" w:rsidR="00A77B3E" w:rsidRPr="00573B26" w:rsidRDefault="00A77B3E">
      <w:pPr>
        <w:spacing w:line="360" w:lineRule="auto"/>
        <w:jc w:val="both"/>
      </w:pPr>
    </w:p>
    <w:p w14:paraId="6E1EAC5D" w14:textId="77777777" w:rsidR="00A77B3E" w:rsidRPr="00573B26" w:rsidRDefault="00C642ED">
      <w:pPr>
        <w:spacing w:line="360" w:lineRule="auto"/>
        <w:jc w:val="both"/>
      </w:pPr>
      <w:r w:rsidRPr="00573B26">
        <w:rPr>
          <w:rFonts w:ascii="Book Antiqua" w:eastAsia="Book Antiqua" w:hAnsi="Book Antiqua" w:cs="Book Antiqua"/>
          <w:b/>
          <w:bCs/>
          <w:color w:val="000000"/>
        </w:rPr>
        <w:t xml:space="preserve">Corresponding author: Mehlika İşcan, MD, Surgeon, </w:t>
      </w:r>
      <w:r w:rsidRPr="00573B26">
        <w:rPr>
          <w:rFonts w:ascii="Book Antiqua" w:eastAsia="Book Antiqua" w:hAnsi="Book Antiqua" w:cs="Book Antiqua"/>
          <w:color w:val="000000"/>
        </w:rPr>
        <w:t>Thoracic Surgery Department, Gebze Fatih State Hospital, Gebze Fatih Devlet Hastanesi Poliklinik Binası 3.kat, Göğüs Cerrahisi Polikliniği, Kocaeli 41400, Gebze, Turkey. mehlikaiscan@gmail.com</w:t>
      </w:r>
    </w:p>
    <w:p w14:paraId="29C75A02" w14:textId="77777777" w:rsidR="00A77B3E" w:rsidRPr="00573B26" w:rsidRDefault="00A77B3E">
      <w:pPr>
        <w:spacing w:line="360" w:lineRule="auto"/>
        <w:jc w:val="both"/>
      </w:pPr>
    </w:p>
    <w:p w14:paraId="5FD4B9B2" w14:textId="77777777" w:rsidR="00A77B3E" w:rsidRPr="00573B26" w:rsidRDefault="00C642ED">
      <w:pPr>
        <w:spacing w:line="360" w:lineRule="auto"/>
        <w:jc w:val="both"/>
      </w:pPr>
      <w:r w:rsidRPr="00573B26">
        <w:rPr>
          <w:rFonts w:ascii="Book Antiqua" w:eastAsia="Book Antiqua" w:hAnsi="Book Antiqua" w:cs="Book Antiqua"/>
          <w:b/>
          <w:bCs/>
          <w:color w:val="000000"/>
        </w:rPr>
        <w:t xml:space="preserve">Received: </w:t>
      </w:r>
      <w:r w:rsidRPr="00573B26">
        <w:rPr>
          <w:rFonts w:ascii="Book Antiqua" w:eastAsia="Book Antiqua" w:hAnsi="Book Antiqua" w:cs="Book Antiqua"/>
          <w:color w:val="000000"/>
        </w:rPr>
        <w:t>January 9, 2021</w:t>
      </w:r>
    </w:p>
    <w:p w14:paraId="7EE4B9A0" w14:textId="77777777" w:rsidR="00A77B3E" w:rsidRPr="00573B26" w:rsidRDefault="00C642ED">
      <w:pPr>
        <w:spacing w:line="360" w:lineRule="auto"/>
        <w:jc w:val="both"/>
      </w:pPr>
      <w:r w:rsidRPr="00573B26">
        <w:rPr>
          <w:rFonts w:ascii="Book Antiqua" w:eastAsia="Book Antiqua" w:hAnsi="Book Antiqua" w:cs="Book Antiqua"/>
          <w:b/>
          <w:bCs/>
          <w:color w:val="000000"/>
        </w:rPr>
        <w:t xml:space="preserve">Revised: </w:t>
      </w:r>
      <w:r w:rsidRPr="00573B26">
        <w:rPr>
          <w:rFonts w:ascii="Book Antiqua" w:eastAsia="Book Antiqua" w:hAnsi="Book Antiqua" w:cs="Book Antiqua"/>
          <w:color w:val="000000"/>
        </w:rPr>
        <w:t>January 30, 2021</w:t>
      </w:r>
    </w:p>
    <w:p w14:paraId="27B238C5" w14:textId="31C35E5F" w:rsidR="00A77B3E" w:rsidRPr="00573B26" w:rsidRDefault="00C642ED">
      <w:pPr>
        <w:spacing w:line="360" w:lineRule="auto"/>
        <w:jc w:val="both"/>
      </w:pPr>
      <w:r w:rsidRPr="00573B26">
        <w:rPr>
          <w:rFonts w:ascii="Book Antiqua" w:eastAsia="Book Antiqua" w:hAnsi="Book Antiqua" w:cs="Book Antiqua"/>
          <w:b/>
          <w:bCs/>
          <w:color w:val="000000"/>
        </w:rPr>
        <w:t xml:space="preserve">Accepted: </w:t>
      </w:r>
      <w:r w:rsidR="008239CF" w:rsidRPr="00573B26">
        <w:rPr>
          <w:rFonts w:ascii="Book Antiqua" w:eastAsia="Book Antiqua" w:hAnsi="Book Antiqua" w:cs="Book Antiqua"/>
          <w:color w:val="000000"/>
        </w:rPr>
        <w:t>March 17, 2021</w:t>
      </w:r>
    </w:p>
    <w:p w14:paraId="4CCB82E8" w14:textId="0245CA46" w:rsidR="00A77B3E" w:rsidRPr="00573B26" w:rsidRDefault="00C642ED">
      <w:pPr>
        <w:spacing w:line="360" w:lineRule="auto"/>
        <w:jc w:val="both"/>
        <w:rPr>
          <w:rFonts w:ascii="Book Antiqua" w:eastAsia="Book Antiqua" w:hAnsi="Book Antiqua" w:cs="Book Antiqua"/>
          <w:color w:val="000000"/>
        </w:rPr>
      </w:pPr>
      <w:r w:rsidRPr="00573B26">
        <w:rPr>
          <w:rFonts w:ascii="Book Antiqua" w:eastAsia="Book Antiqua" w:hAnsi="Book Antiqua" w:cs="Book Antiqua"/>
          <w:b/>
          <w:bCs/>
          <w:color w:val="000000"/>
        </w:rPr>
        <w:t xml:space="preserve">Published online: </w:t>
      </w:r>
      <w:r w:rsidR="00964636" w:rsidRPr="00573B26">
        <w:rPr>
          <w:rFonts w:ascii="Book Antiqua" w:eastAsia="Book Antiqua" w:hAnsi="Book Antiqua" w:cs="Book Antiqua"/>
          <w:color w:val="000000"/>
        </w:rPr>
        <w:t>May 26, 2021</w:t>
      </w:r>
    </w:p>
    <w:p w14:paraId="3666011F" w14:textId="77777777" w:rsidR="00964636" w:rsidRPr="00573B26" w:rsidRDefault="00964636">
      <w:pPr>
        <w:spacing w:line="360" w:lineRule="auto"/>
        <w:jc w:val="both"/>
        <w:rPr>
          <w:rFonts w:ascii="Book Antiqua" w:eastAsia="Book Antiqua" w:hAnsi="Book Antiqua" w:cs="Book Antiqua"/>
          <w:b/>
          <w:color w:val="000000"/>
        </w:rPr>
      </w:pPr>
    </w:p>
    <w:p w14:paraId="51B3ABAE" w14:textId="4961577C" w:rsidR="00A77B3E" w:rsidRPr="00573B26" w:rsidRDefault="00C642ED">
      <w:pPr>
        <w:spacing w:line="360" w:lineRule="auto"/>
        <w:jc w:val="both"/>
      </w:pPr>
      <w:r w:rsidRPr="00573B26">
        <w:rPr>
          <w:rFonts w:ascii="Book Antiqua" w:eastAsia="Book Antiqua" w:hAnsi="Book Antiqua" w:cs="Book Antiqua"/>
          <w:b/>
          <w:color w:val="000000"/>
        </w:rPr>
        <w:t>Abstract</w:t>
      </w:r>
    </w:p>
    <w:p w14:paraId="74CE0EF8" w14:textId="77777777" w:rsidR="00A77B3E" w:rsidRPr="00573B26" w:rsidRDefault="00C642ED">
      <w:pPr>
        <w:spacing w:line="360" w:lineRule="auto"/>
        <w:jc w:val="both"/>
      </w:pPr>
      <w:r w:rsidRPr="00573B26">
        <w:rPr>
          <w:rFonts w:ascii="Book Antiqua" w:eastAsia="Book Antiqua" w:hAnsi="Book Antiqua" w:cs="Book Antiqua"/>
          <w:color w:val="000000"/>
        </w:rPr>
        <w:t>BACKGROUND</w:t>
      </w:r>
    </w:p>
    <w:p w14:paraId="20213B5A" w14:textId="77777777" w:rsidR="00A77B3E" w:rsidRPr="00573B26" w:rsidRDefault="00C642ED">
      <w:pPr>
        <w:spacing w:line="360" w:lineRule="auto"/>
        <w:jc w:val="both"/>
      </w:pPr>
      <w:r w:rsidRPr="00573B26">
        <w:rPr>
          <w:rFonts w:ascii="Book Antiqua" w:eastAsia="Book Antiqua" w:hAnsi="Book Antiqua" w:cs="Book Antiqua"/>
          <w:color w:val="000000"/>
        </w:rPr>
        <w:lastRenderedPageBreak/>
        <w:t>Trauma is the leading cause of death in young adults up to the age of 45 years. Hemothorax is a frequent consequence of penetrating thoracic trauma, and is usually associated with pneumothorax and pneumoderma. Intercostal arterial bleeding or intrathoracic hemorrhage occurs after penetrating thoracic trauma, and uncontrolled bleeding is the main cause of death.</w:t>
      </w:r>
    </w:p>
    <w:p w14:paraId="35EEBDE5" w14:textId="77777777" w:rsidR="00A77B3E" w:rsidRPr="00573B26" w:rsidRDefault="00A77B3E">
      <w:pPr>
        <w:spacing w:line="360" w:lineRule="auto"/>
        <w:jc w:val="both"/>
      </w:pPr>
    </w:p>
    <w:p w14:paraId="22F7B7A2" w14:textId="77777777" w:rsidR="00A77B3E" w:rsidRPr="00573B26" w:rsidRDefault="00C642ED">
      <w:pPr>
        <w:spacing w:line="360" w:lineRule="auto"/>
        <w:jc w:val="both"/>
      </w:pPr>
      <w:r w:rsidRPr="00573B26">
        <w:rPr>
          <w:rFonts w:ascii="Book Antiqua" w:eastAsia="Book Antiqua" w:hAnsi="Book Antiqua" w:cs="Book Antiqua"/>
          <w:color w:val="000000"/>
        </w:rPr>
        <w:t>CASE SUMMARY</w:t>
      </w:r>
    </w:p>
    <w:p w14:paraId="144C9998" w14:textId="77777777" w:rsidR="00A77B3E" w:rsidRPr="00573B26" w:rsidRDefault="00C642ED">
      <w:pPr>
        <w:spacing w:line="360" w:lineRule="auto"/>
        <w:jc w:val="both"/>
      </w:pPr>
      <w:r w:rsidRPr="00573B26">
        <w:rPr>
          <w:rFonts w:ascii="Book Antiqua" w:eastAsia="Book Antiqua" w:hAnsi="Book Antiqua" w:cs="Book Antiqua"/>
          <w:color w:val="000000"/>
        </w:rPr>
        <w:t>In this case report, a patient who developed a right hemopneumothorax after penetrating thoracic trauma was examined. A 19-year-old male patient, who was brought to the emergency room with a penetrating stab injury to the posterior of the left hemithorax, was diagnosed with a right hemopneumothorax after physical examination and thoracic imaging. Chest tube thoracostomy was performed as the initial intervention. Bleeding control was achieved with right posterolateral thoracotomy in the patient, who developed massive hemorrhage after 1 h and hemodynamic instability. The patient recovered and was discharged on the fourth postoperative day.</w:t>
      </w:r>
    </w:p>
    <w:p w14:paraId="59AD2A98" w14:textId="77777777" w:rsidR="00A77B3E" w:rsidRPr="00573B26" w:rsidRDefault="00A77B3E">
      <w:pPr>
        <w:spacing w:line="360" w:lineRule="auto"/>
        <w:jc w:val="both"/>
      </w:pPr>
    </w:p>
    <w:p w14:paraId="6347E2E8" w14:textId="77777777" w:rsidR="00A77B3E" w:rsidRPr="00573B26" w:rsidRDefault="00C642ED">
      <w:pPr>
        <w:spacing w:line="360" w:lineRule="auto"/>
        <w:jc w:val="both"/>
      </w:pPr>
      <w:r w:rsidRPr="00573B26">
        <w:rPr>
          <w:rFonts w:ascii="Book Antiqua" w:eastAsia="Book Antiqua" w:hAnsi="Book Antiqua" w:cs="Book Antiqua"/>
          <w:color w:val="000000"/>
        </w:rPr>
        <w:t>CONCLUSION</w:t>
      </w:r>
    </w:p>
    <w:p w14:paraId="3A8ED7E7" w14:textId="77777777" w:rsidR="00E67E8D" w:rsidRPr="00573B26" w:rsidRDefault="00E67E8D" w:rsidP="00E67E8D">
      <w:pPr>
        <w:spacing w:line="360" w:lineRule="auto"/>
        <w:jc w:val="both"/>
      </w:pPr>
      <w:r w:rsidRPr="00573B26">
        <w:rPr>
          <w:rFonts w:ascii="Book Antiqua" w:hAnsi="Book Antiqua"/>
        </w:rPr>
        <w:t xml:space="preserve">Contralateral hemopneumothorax that accounts for 30% of thoracic traumas and can be encountered in penetrating thoracic traumas requiring major surgery in 15-30% of cases was emphasized and the contralateral development mechanism was addressed. </w:t>
      </w:r>
    </w:p>
    <w:p w14:paraId="328C12DF" w14:textId="77777777" w:rsidR="00A77B3E" w:rsidRPr="00573B26" w:rsidRDefault="00A77B3E">
      <w:pPr>
        <w:spacing w:line="360" w:lineRule="auto"/>
        <w:jc w:val="both"/>
      </w:pPr>
    </w:p>
    <w:p w14:paraId="42BCC27D" w14:textId="77777777" w:rsidR="00A77B3E" w:rsidRPr="00573B26" w:rsidRDefault="00C642ED">
      <w:pPr>
        <w:spacing w:line="360" w:lineRule="auto"/>
        <w:jc w:val="both"/>
      </w:pPr>
      <w:r w:rsidRPr="00573B26">
        <w:rPr>
          <w:rFonts w:ascii="Book Antiqua" w:eastAsia="Book Antiqua" w:hAnsi="Book Antiqua" w:cs="Book Antiqua"/>
          <w:b/>
          <w:bCs/>
          <w:color w:val="000000"/>
        </w:rPr>
        <w:t xml:space="preserve">Key Words: </w:t>
      </w:r>
      <w:r w:rsidRPr="00573B26">
        <w:rPr>
          <w:rFonts w:ascii="Book Antiqua" w:eastAsia="Book Antiqua" w:hAnsi="Book Antiqua" w:cs="Book Antiqua"/>
          <w:color w:val="000000"/>
          <w:shd w:val="clear" w:color="auto" w:fill="FFFFFF"/>
        </w:rPr>
        <w:t>Chest tube; Contralateral hemopneumothorax; Penetrating thoracic trauma; Thoracotomy; Thoracic surgery; Tube thoracostomy; Case report</w:t>
      </w:r>
    </w:p>
    <w:p w14:paraId="12239871" w14:textId="77777777" w:rsidR="0062698C" w:rsidRPr="00573B26" w:rsidRDefault="0062698C" w:rsidP="0062698C">
      <w:pPr>
        <w:spacing w:line="360" w:lineRule="auto"/>
        <w:jc w:val="both"/>
        <w:rPr>
          <w:lang w:eastAsia="zh-CN"/>
        </w:rPr>
      </w:pPr>
    </w:p>
    <w:p w14:paraId="7A9BE4A3" w14:textId="77777777" w:rsidR="0062698C" w:rsidRPr="00573B26" w:rsidRDefault="0062698C" w:rsidP="0062698C">
      <w:pPr>
        <w:spacing w:line="360" w:lineRule="auto"/>
        <w:jc w:val="both"/>
        <w:rPr>
          <w:rFonts w:ascii="Book Antiqua" w:eastAsia="Book Antiqua" w:hAnsi="Book Antiqua" w:cs="Book Antiqua"/>
          <w:color w:val="000000"/>
        </w:rPr>
      </w:pPr>
      <w:r w:rsidRPr="00573B26">
        <w:rPr>
          <w:rFonts w:ascii="Book Antiqua" w:eastAsia="Book Antiqua" w:hAnsi="Book Antiqua" w:cs="Book Antiqua" w:hint="eastAsia"/>
          <w:b/>
          <w:color w:val="000000"/>
        </w:rPr>
        <w:t>©</w:t>
      </w:r>
      <w:r w:rsidRPr="00573B26">
        <w:rPr>
          <w:rFonts w:ascii="Book Antiqua" w:eastAsia="Book Antiqua" w:hAnsi="Book Antiqua" w:cs="Book Antiqua"/>
          <w:b/>
          <w:color w:val="000000"/>
        </w:rPr>
        <w:t>The</w:t>
      </w:r>
      <w:r w:rsidRPr="00573B26">
        <w:rPr>
          <w:rFonts w:ascii="Book Antiqua" w:eastAsia="Book Antiqua" w:hAnsi="Book Antiqua" w:cs="Book Antiqua"/>
          <w:color w:val="000000"/>
        </w:rPr>
        <w:t xml:space="preserve"> </w:t>
      </w:r>
      <w:r w:rsidRPr="00573B26">
        <w:rPr>
          <w:rFonts w:ascii="Book Antiqua" w:eastAsia="Book Antiqua" w:hAnsi="Book Antiqua" w:cs="Book Antiqua"/>
          <w:b/>
          <w:color w:val="000000"/>
        </w:rPr>
        <w:t xml:space="preserve">Author(s) 2021. </w:t>
      </w:r>
      <w:r w:rsidRPr="00573B26">
        <w:rPr>
          <w:rFonts w:ascii="Book Antiqua" w:eastAsia="Book Antiqua" w:hAnsi="Book Antiqua" w:cs="Book Antiqua"/>
          <w:color w:val="000000"/>
        </w:rPr>
        <w:t xml:space="preserve">Published by Baishideng Publishing Group Inc. All rights reserved. </w:t>
      </w:r>
    </w:p>
    <w:p w14:paraId="5E7E0834" w14:textId="77777777" w:rsidR="00A77B3E" w:rsidRPr="00573B26" w:rsidRDefault="00A77B3E">
      <w:pPr>
        <w:spacing w:line="360" w:lineRule="auto"/>
        <w:jc w:val="both"/>
      </w:pPr>
    </w:p>
    <w:p w14:paraId="6AC30E01" w14:textId="3EEB035F" w:rsidR="00C960D4" w:rsidRPr="00573B26" w:rsidRDefault="00C960D4">
      <w:pPr>
        <w:spacing w:line="360" w:lineRule="auto"/>
        <w:jc w:val="both"/>
        <w:rPr>
          <w:rFonts w:ascii="Book Antiqua" w:hAnsi="Book Antiqua" w:cs="Book Antiqua" w:hint="eastAsia"/>
          <w:color w:val="000000"/>
          <w:lang w:eastAsia="zh-CN"/>
        </w:rPr>
      </w:pPr>
      <w:r w:rsidRPr="00573B26">
        <w:rPr>
          <w:rFonts w:ascii="Book Antiqua" w:hAnsi="Book Antiqua" w:cs="Book Antiqua" w:hint="eastAsia"/>
          <w:b/>
          <w:color w:val="000000"/>
          <w:lang w:eastAsia="zh-CN"/>
        </w:rPr>
        <w:t xml:space="preserve">Citation: </w:t>
      </w:r>
      <w:r w:rsidR="00C642ED" w:rsidRPr="00573B26">
        <w:rPr>
          <w:rFonts w:ascii="Book Antiqua" w:eastAsia="Book Antiqua" w:hAnsi="Book Antiqua" w:cs="Book Antiqua"/>
          <w:color w:val="000000"/>
        </w:rPr>
        <w:t xml:space="preserve">İşcan M. Contralateral hemopneumothorax after penetrating thoracic trauma: A case report. </w:t>
      </w:r>
      <w:r w:rsidR="00C642ED" w:rsidRPr="00573B26">
        <w:rPr>
          <w:rFonts w:ascii="Book Antiqua" w:eastAsia="Book Antiqua" w:hAnsi="Book Antiqua" w:cs="Book Antiqua"/>
          <w:i/>
          <w:iCs/>
          <w:color w:val="000000"/>
        </w:rPr>
        <w:t>World J Clin Cases</w:t>
      </w:r>
      <w:r w:rsidR="00C642ED" w:rsidRPr="00573B26">
        <w:rPr>
          <w:rFonts w:ascii="Book Antiqua" w:eastAsia="Book Antiqua" w:hAnsi="Book Antiqua" w:cs="Book Antiqua"/>
          <w:color w:val="000000"/>
        </w:rPr>
        <w:t xml:space="preserve"> </w:t>
      </w:r>
      <w:r w:rsidR="002F294F" w:rsidRPr="00573B26">
        <w:rPr>
          <w:rFonts w:ascii="Book Antiqua" w:eastAsia="Book Antiqua" w:hAnsi="Book Antiqua" w:cs="Book Antiqua"/>
          <w:color w:val="000000"/>
        </w:rPr>
        <w:t xml:space="preserve">2021; 9(15): </w:t>
      </w:r>
      <w:r w:rsidR="00220328" w:rsidRPr="00573B26">
        <w:rPr>
          <w:rFonts w:ascii="Book Antiqua" w:eastAsia="Book Antiqua" w:hAnsi="Book Antiqua" w:cs="Book Antiqua"/>
          <w:color w:val="000000"/>
        </w:rPr>
        <w:t>3773-3778</w:t>
      </w:r>
      <w:r w:rsidR="002F294F" w:rsidRPr="00573B26">
        <w:rPr>
          <w:rFonts w:ascii="Book Antiqua" w:eastAsia="Book Antiqua" w:hAnsi="Book Antiqua" w:cs="Book Antiqua"/>
          <w:color w:val="000000"/>
        </w:rPr>
        <w:t xml:space="preserve">  </w:t>
      </w:r>
    </w:p>
    <w:p w14:paraId="2551E328" w14:textId="77777777" w:rsidR="00C960D4" w:rsidRPr="00573B26" w:rsidRDefault="002F294F">
      <w:pPr>
        <w:spacing w:line="360" w:lineRule="auto"/>
        <w:jc w:val="both"/>
        <w:rPr>
          <w:rFonts w:ascii="Book Antiqua" w:hAnsi="Book Antiqua" w:cs="Book Antiqua" w:hint="eastAsia"/>
          <w:color w:val="000000"/>
          <w:lang w:eastAsia="zh-CN"/>
        </w:rPr>
      </w:pPr>
      <w:r w:rsidRPr="00573B26">
        <w:rPr>
          <w:rFonts w:ascii="Book Antiqua" w:eastAsia="Book Antiqua" w:hAnsi="Book Antiqua" w:cs="Book Antiqua"/>
          <w:b/>
          <w:color w:val="000000"/>
        </w:rPr>
        <w:t xml:space="preserve">URL: </w:t>
      </w:r>
      <w:r w:rsidRPr="00573B26">
        <w:rPr>
          <w:rFonts w:ascii="Book Antiqua" w:eastAsia="Book Antiqua" w:hAnsi="Book Antiqua" w:cs="Book Antiqua"/>
          <w:color w:val="000000"/>
        </w:rPr>
        <w:t>https://www.wjgnet.com/2307-8960/full/v9/i15/</w:t>
      </w:r>
      <w:r w:rsidR="00456C17" w:rsidRPr="00573B26">
        <w:rPr>
          <w:rFonts w:ascii="Book Antiqua" w:eastAsia="Book Antiqua" w:hAnsi="Book Antiqua" w:cs="Book Antiqua"/>
          <w:color w:val="000000"/>
        </w:rPr>
        <w:t>3773</w:t>
      </w:r>
      <w:r w:rsidRPr="00573B26">
        <w:rPr>
          <w:rFonts w:ascii="Book Antiqua" w:eastAsia="Book Antiqua" w:hAnsi="Book Antiqua" w:cs="Book Antiqua"/>
          <w:color w:val="000000"/>
        </w:rPr>
        <w:t xml:space="preserve">.htm  </w:t>
      </w:r>
    </w:p>
    <w:p w14:paraId="240DA815" w14:textId="51843DE9" w:rsidR="00A77B3E" w:rsidRPr="00573B26" w:rsidRDefault="002F294F">
      <w:pPr>
        <w:spacing w:line="360" w:lineRule="auto"/>
        <w:jc w:val="both"/>
      </w:pPr>
      <w:r w:rsidRPr="00573B26">
        <w:rPr>
          <w:rFonts w:ascii="Book Antiqua" w:eastAsia="Book Antiqua" w:hAnsi="Book Antiqua" w:cs="Book Antiqua"/>
          <w:b/>
          <w:color w:val="000000"/>
        </w:rPr>
        <w:t xml:space="preserve">DOI: </w:t>
      </w:r>
      <w:r w:rsidRPr="00573B26">
        <w:rPr>
          <w:rFonts w:ascii="Book Antiqua" w:eastAsia="Book Antiqua" w:hAnsi="Book Antiqua" w:cs="Book Antiqua"/>
          <w:color w:val="000000"/>
        </w:rPr>
        <w:t>https://dx.doi.org/10.12998/wjcc.v9.i15.</w:t>
      </w:r>
      <w:r w:rsidR="00456C17" w:rsidRPr="00573B26">
        <w:rPr>
          <w:rFonts w:ascii="Book Antiqua" w:eastAsia="Book Antiqua" w:hAnsi="Book Antiqua" w:cs="Book Antiqua"/>
          <w:color w:val="000000"/>
        </w:rPr>
        <w:t>3773</w:t>
      </w:r>
    </w:p>
    <w:p w14:paraId="3AF5E467" w14:textId="77777777" w:rsidR="00A77B3E" w:rsidRPr="00573B26" w:rsidRDefault="00A77B3E">
      <w:pPr>
        <w:spacing w:line="360" w:lineRule="auto"/>
        <w:jc w:val="both"/>
      </w:pPr>
    </w:p>
    <w:p w14:paraId="064814CB" w14:textId="2AF40D26" w:rsidR="00A77B3E" w:rsidRPr="00573B26" w:rsidRDefault="00C642ED">
      <w:pPr>
        <w:spacing w:line="360" w:lineRule="auto"/>
        <w:jc w:val="both"/>
      </w:pPr>
      <w:r w:rsidRPr="00573B26">
        <w:rPr>
          <w:rFonts w:ascii="Book Antiqua" w:eastAsia="Book Antiqua" w:hAnsi="Book Antiqua" w:cs="Book Antiqua"/>
          <w:b/>
          <w:bCs/>
          <w:color w:val="000000"/>
        </w:rPr>
        <w:t>Core Tip:</w:t>
      </w:r>
      <w:r w:rsidRPr="00573B26">
        <w:rPr>
          <w:rFonts w:ascii="Book Antiqua" w:eastAsia="Book Antiqua" w:hAnsi="Book Antiqua" w:cs="Book Antiqua"/>
          <w:color w:val="000000"/>
        </w:rPr>
        <w:t xml:space="preserve"> </w:t>
      </w:r>
      <w:r w:rsidR="00C322C8" w:rsidRPr="00573B26">
        <w:rPr>
          <w:rFonts w:ascii="Book Antiqua" w:eastAsia="Book Antiqua" w:hAnsi="Book Antiqua" w:cs="Book Antiqua"/>
          <w:color w:val="000000"/>
        </w:rPr>
        <w:t xml:space="preserve">Trauma is the leading cause of death in young adults up to the age of 45 years. Hemothorax is a frequent consequence of penetrating thoracic trauma, and is usually associated with pneumothorax and pneumoderma. </w:t>
      </w:r>
      <w:r w:rsidRPr="00573B26">
        <w:rPr>
          <w:rFonts w:ascii="Book Antiqua" w:eastAsia="Book Antiqua" w:hAnsi="Book Antiqua" w:cs="Book Antiqua"/>
          <w:color w:val="000000"/>
          <w:shd w:val="clear" w:color="auto" w:fill="FFFFFF"/>
        </w:rPr>
        <w:t>Contralateral thoracic trauma is rare and easily overlooked in the initial evaluation. Here, we review the clinical presentation, radiographic features, diagnosis and treatment for contralateral hemopneumothorax after penetrating thoracic trauma.</w:t>
      </w:r>
    </w:p>
    <w:p w14:paraId="7336820C" w14:textId="7FC95EFF" w:rsidR="00A77B3E" w:rsidRPr="00573B26" w:rsidRDefault="00C322C8">
      <w:pPr>
        <w:spacing w:line="360" w:lineRule="auto"/>
        <w:jc w:val="both"/>
      </w:pPr>
      <w:r w:rsidRPr="00573B26">
        <w:br w:type="page"/>
      </w:r>
      <w:r w:rsidR="00C642ED" w:rsidRPr="00573B26">
        <w:rPr>
          <w:rFonts w:ascii="Book Antiqua" w:eastAsia="Book Antiqua" w:hAnsi="Book Antiqua" w:cs="Book Antiqua"/>
          <w:b/>
          <w:caps/>
          <w:color w:val="000000"/>
          <w:u w:val="single"/>
        </w:rPr>
        <w:t>INTRODUCTION</w:t>
      </w:r>
    </w:p>
    <w:p w14:paraId="0D27F6FB" w14:textId="73F6EA5E" w:rsidR="00A77B3E" w:rsidRPr="00573B26" w:rsidRDefault="00C642ED">
      <w:pPr>
        <w:spacing w:line="360" w:lineRule="auto"/>
        <w:jc w:val="both"/>
      </w:pPr>
      <w:r w:rsidRPr="00573B26">
        <w:rPr>
          <w:rFonts w:ascii="Book Antiqua" w:eastAsia="Book Antiqua" w:hAnsi="Book Antiqua" w:cs="Book Antiqua"/>
          <w:color w:val="000000"/>
        </w:rPr>
        <w:t>Trauma is the leading cause of death in young adults up to the age of 45 years</w:t>
      </w:r>
      <w:r w:rsidRPr="00573B26">
        <w:rPr>
          <w:rFonts w:ascii="Book Antiqua" w:eastAsia="Book Antiqua" w:hAnsi="Book Antiqua" w:cs="Book Antiqua"/>
          <w:color w:val="000000"/>
          <w:szCs w:val="20"/>
          <w:vertAlign w:val="superscript"/>
        </w:rPr>
        <w:t>[1]</w:t>
      </w:r>
      <w:r w:rsidRPr="00573B26">
        <w:rPr>
          <w:rFonts w:ascii="Book Antiqua" w:eastAsia="Book Antiqua" w:hAnsi="Book Antiqua" w:cs="Book Antiqua"/>
          <w:color w:val="000000"/>
        </w:rPr>
        <w:t>. Thoracic trauma, which is the third most common trauma after cranial and limb trauma, accounting for 25% of all trauma-related deaths, can create a domino effect in survival by affecting the functioning of other systems involving vital organs and leading to oxygenation imbalance of the impaired cardiopulmonary system</w:t>
      </w:r>
      <w:r w:rsidRPr="00573B26">
        <w:rPr>
          <w:rFonts w:ascii="Book Antiqua" w:eastAsia="Book Antiqua" w:hAnsi="Book Antiqua" w:cs="Book Antiqua"/>
          <w:color w:val="000000"/>
          <w:szCs w:val="20"/>
          <w:vertAlign w:val="superscript"/>
        </w:rPr>
        <w:t>[2,3]</w:t>
      </w:r>
      <w:r w:rsidRPr="00573B26">
        <w:rPr>
          <w:rFonts w:ascii="Book Antiqua" w:eastAsia="Book Antiqua" w:hAnsi="Book Antiqua" w:cs="Book Antiqua"/>
          <w:color w:val="000000"/>
        </w:rPr>
        <w:t>. In penetrating thoracic trauma, accounting for 30% of thoracic trauma cases, 15%-30% of patients require major surgery as a result of hemothorax and pneumothorax, which are among the primary outcomes of this injury</w:t>
      </w:r>
      <w:r w:rsidRPr="00573B26">
        <w:rPr>
          <w:rFonts w:ascii="Book Antiqua" w:eastAsia="Book Antiqua" w:hAnsi="Book Antiqua" w:cs="Book Antiqua"/>
          <w:color w:val="000000"/>
          <w:szCs w:val="20"/>
          <w:vertAlign w:val="superscript"/>
        </w:rPr>
        <w:t>[4]</w:t>
      </w:r>
      <w:r w:rsidRPr="00573B26">
        <w:rPr>
          <w:rFonts w:ascii="Book Antiqua" w:eastAsia="Book Antiqua" w:hAnsi="Book Antiqua" w:cs="Book Antiqua"/>
          <w:color w:val="000000"/>
        </w:rPr>
        <w:t>. The outcomes of penetrating trauma depend on the route that the penetrating object follows within the thorax</w:t>
      </w:r>
      <w:r w:rsidRPr="00573B26">
        <w:rPr>
          <w:rFonts w:ascii="Book Antiqua" w:eastAsia="Book Antiqua" w:hAnsi="Book Antiqua" w:cs="Book Antiqua"/>
          <w:color w:val="000000"/>
          <w:szCs w:val="20"/>
          <w:vertAlign w:val="superscript"/>
        </w:rPr>
        <w:t>[5]</w:t>
      </w:r>
      <w:r w:rsidRPr="00573B26">
        <w:rPr>
          <w:rFonts w:ascii="Book Antiqua" w:eastAsia="Book Antiqua" w:hAnsi="Book Antiqua" w:cs="Book Antiqua"/>
          <w:color w:val="000000"/>
        </w:rPr>
        <w:t>.</w:t>
      </w:r>
    </w:p>
    <w:p w14:paraId="513AAEF5" w14:textId="77777777" w:rsidR="00A77B3E" w:rsidRPr="00573B26" w:rsidRDefault="00C642ED" w:rsidP="008D4518">
      <w:pPr>
        <w:spacing w:line="360" w:lineRule="auto"/>
        <w:ind w:firstLineChars="100" w:firstLine="240"/>
        <w:jc w:val="both"/>
      </w:pPr>
      <w:r w:rsidRPr="00573B26">
        <w:rPr>
          <w:rFonts w:ascii="Book Antiqua" w:eastAsia="Book Antiqua" w:hAnsi="Book Antiqua" w:cs="Book Antiqua"/>
          <w:color w:val="000000"/>
        </w:rPr>
        <w:t>We present a patient with penetrating thoracic trauma to emphasize that this injury can increase the risk of contralateral hemithorax.</w:t>
      </w:r>
    </w:p>
    <w:p w14:paraId="5356DA8C" w14:textId="77777777" w:rsidR="00A77B3E" w:rsidRPr="00573B26" w:rsidRDefault="00A77B3E" w:rsidP="008D4518">
      <w:pPr>
        <w:spacing w:line="360" w:lineRule="auto"/>
        <w:jc w:val="both"/>
      </w:pPr>
    </w:p>
    <w:p w14:paraId="460B1C21" w14:textId="77777777" w:rsidR="00A77B3E" w:rsidRPr="00573B26" w:rsidRDefault="00C642ED">
      <w:pPr>
        <w:spacing w:line="360" w:lineRule="auto"/>
        <w:jc w:val="both"/>
      </w:pPr>
      <w:r w:rsidRPr="00573B26">
        <w:rPr>
          <w:rFonts w:ascii="Book Antiqua" w:eastAsia="Book Antiqua" w:hAnsi="Book Antiqua" w:cs="Book Antiqua"/>
          <w:b/>
          <w:caps/>
          <w:color w:val="000000"/>
          <w:u w:val="single"/>
        </w:rPr>
        <w:t>CASE PRESENTATION</w:t>
      </w:r>
    </w:p>
    <w:p w14:paraId="3342EDB7" w14:textId="77777777" w:rsidR="00A77B3E" w:rsidRPr="00573B26" w:rsidRDefault="00C642ED">
      <w:pPr>
        <w:spacing w:line="360" w:lineRule="auto"/>
        <w:jc w:val="both"/>
      </w:pPr>
      <w:r w:rsidRPr="00573B26">
        <w:rPr>
          <w:rFonts w:ascii="Book Antiqua" w:eastAsia="Book Antiqua" w:hAnsi="Book Antiqua" w:cs="Book Antiqua"/>
          <w:b/>
          <w:i/>
          <w:color w:val="000000"/>
        </w:rPr>
        <w:t>Chief complaints</w:t>
      </w:r>
    </w:p>
    <w:p w14:paraId="29A64326" w14:textId="77777777" w:rsidR="00A77B3E" w:rsidRPr="00573B26" w:rsidRDefault="00C642ED">
      <w:pPr>
        <w:spacing w:line="360" w:lineRule="auto"/>
        <w:jc w:val="both"/>
      </w:pPr>
      <w:r w:rsidRPr="00573B26">
        <w:rPr>
          <w:rFonts w:ascii="Book Antiqua" w:eastAsia="Book Antiqua" w:hAnsi="Book Antiqua" w:cs="Book Antiqua"/>
          <w:color w:val="000000"/>
        </w:rPr>
        <w:t>A 19-year-old male patient presented to the emergency department with back pain and dyspnea after a penetrating stab injury.</w:t>
      </w:r>
    </w:p>
    <w:p w14:paraId="6A6ACF16" w14:textId="77777777" w:rsidR="00A77B3E" w:rsidRPr="00573B26" w:rsidRDefault="00A77B3E">
      <w:pPr>
        <w:spacing w:line="360" w:lineRule="auto"/>
        <w:jc w:val="both"/>
      </w:pPr>
    </w:p>
    <w:p w14:paraId="1E97675F" w14:textId="77777777" w:rsidR="00A77B3E" w:rsidRPr="00573B26" w:rsidRDefault="00C642ED">
      <w:pPr>
        <w:spacing w:line="360" w:lineRule="auto"/>
        <w:jc w:val="both"/>
      </w:pPr>
      <w:r w:rsidRPr="00573B26">
        <w:rPr>
          <w:rFonts w:ascii="Book Antiqua" w:eastAsia="Book Antiqua" w:hAnsi="Book Antiqua" w:cs="Book Antiqua"/>
          <w:b/>
          <w:i/>
          <w:color w:val="000000"/>
        </w:rPr>
        <w:t>History of present illness</w:t>
      </w:r>
    </w:p>
    <w:p w14:paraId="31655BF6" w14:textId="77777777" w:rsidR="00A77B3E" w:rsidRPr="00573B26" w:rsidRDefault="00C642ED">
      <w:pPr>
        <w:spacing w:line="360" w:lineRule="auto"/>
        <w:jc w:val="both"/>
      </w:pPr>
      <w:r w:rsidRPr="00573B26">
        <w:rPr>
          <w:rFonts w:ascii="Book Antiqua" w:eastAsia="Book Antiqua" w:hAnsi="Book Antiqua" w:cs="Book Antiqua"/>
          <w:color w:val="000000"/>
        </w:rPr>
        <w:t>The patient was brought to the emergency room area within 30 min after the injury.</w:t>
      </w:r>
    </w:p>
    <w:p w14:paraId="1885CBE7" w14:textId="77777777" w:rsidR="00A77B3E" w:rsidRPr="00573B26" w:rsidRDefault="00A77B3E">
      <w:pPr>
        <w:spacing w:line="360" w:lineRule="auto"/>
        <w:jc w:val="both"/>
      </w:pPr>
    </w:p>
    <w:p w14:paraId="5FEC2718" w14:textId="77777777" w:rsidR="00A77B3E" w:rsidRPr="00573B26" w:rsidRDefault="00C642ED">
      <w:pPr>
        <w:spacing w:line="360" w:lineRule="auto"/>
        <w:jc w:val="both"/>
      </w:pPr>
      <w:r w:rsidRPr="00573B26">
        <w:rPr>
          <w:rFonts w:ascii="Book Antiqua" w:eastAsia="Book Antiqua" w:hAnsi="Book Antiqua" w:cs="Book Antiqua"/>
          <w:b/>
          <w:i/>
          <w:color w:val="000000"/>
        </w:rPr>
        <w:t>History of past illness</w:t>
      </w:r>
    </w:p>
    <w:p w14:paraId="01A4BD2E" w14:textId="628A088A" w:rsidR="00A77B3E" w:rsidRPr="00573B26" w:rsidRDefault="00C642ED">
      <w:pPr>
        <w:spacing w:line="360" w:lineRule="auto"/>
        <w:jc w:val="both"/>
      </w:pPr>
      <w:r w:rsidRPr="00573B26">
        <w:rPr>
          <w:rFonts w:ascii="Book Antiqua" w:eastAsia="Book Antiqua" w:hAnsi="Book Antiqua" w:cs="Book Antiqua"/>
          <w:color w:val="000000"/>
          <w:shd w:val="clear" w:color="auto" w:fill="FFFFFF"/>
        </w:rPr>
        <w:t>The patient had no history of other illness and had no known allergies.</w:t>
      </w:r>
    </w:p>
    <w:p w14:paraId="27FA520C" w14:textId="77777777" w:rsidR="00A77B3E" w:rsidRPr="00573B26" w:rsidRDefault="00A77B3E">
      <w:pPr>
        <w:spacing w:line="360" w:lineRule="auto"/>
        <w:jc w:val="both"/>
      </w:pPr>
    </w:p>
    <w:p w14:paraId="492A6303" w14:textId="77777777" w:rsidR="00A77B3E" w:rsidRPr="00573B26" w:rsidRDefault="00C642ED">
      <w:pPr>
        <w:spacing w:line="360" w:lineRule="auto"/>
        <w:jc w:val="both"/>
      </w:pPr>
      <w:r w:rsidRPr="00573B26">
        <w:rPr>
          <w:rFonts w:ascii="Book Antiqua" w:eastAsia="Book Antiqua" w:hAnsi="Book Antiqua" w:cs="Book Antiqua"/>
          <w:b/>
          <w:i/>
          <w:color w:val="000000"/>
        </w:rPr>
        <w:t>Personal and family history</w:t>
      </w:r>
    </w:p>
    <w:p w14:paraId="7A254875" w14:textId="77777777" w:rsidR="00A77B3E" w:rsidRPr="00573B26" w:rsidRDefault="00C642ED">
      <w:pPr>
        <w:spacing w:line="360" w:lineRule="auto"/>
        <w:jc w:val="both"/>
      </w:pPr>
      <w:r w:rsidRPr="00573B26">
        <w:rPr>
          <w:rFonts w:ascii="Book Antiqua" w:eastAsia="Book Antiqua" w:hAnsi="Book Antiqua" w:cs="Book Antiqua"/>
          <w:color w:val="000000"/>
          <w:shd w:val="clear" w:color="auto" w:fill="FFFFFF"/>
        </w:rPr>
        <w:t>The patient had no family history of illness.</w:t>
      </w:r>
    </w:p>
    <w:p w14:paraId="0359BB46" w14:textId="77777777" w:rsidR="00A77B3E" w:rsidRPr="00573B26" w:rsidRDefault="00A77B3E">
      <w:pPr>
        <w:spacing w:line="360" w:lineRule="auto"/>
        <w:jc w:val="both"/>
      </w:pPr>
    </w:p>
    <w:p w14:paraId="24722F31" w14:textId="77777777" w:rsidR="00A77B3E" w:rsidRPr="00573B26" w:rsidRDefault="00C642ED">
      <w:pPr>
        <w:spacing w:line="360" w:lineRule="auto"/>
        <w:jc w:val="both"/>
      </w:pPr>
      <w:r w:rsidRPr="00573B26">
        <w:rPr>
          <w:rFonts w:ascii="Book Antiqua" w:eastAsia="Book Antiqua" w:hAnsi="Book Antiqua" w:cs="Book Antiqua"/>
          <w:b/>
          <w:i/>
          <w:color w:val="000000"/>
        </w:rPr>
        <w:t>Physical examination</w:t>
      </w:r>
    </w:p>
    <w:p w14:paraId="4B893E92" w14:textId="77777777" w:rsidR="00A77B3E" w:rsidRPr="00573B26" w:rsidRDefault="00C642ED">
      <w:pPr>
        <w:spacing w:line="360" w:lineRule="auto"/>
        <w:jc w:val="both"/>
      </w:pPr>
      <w:r w:rsidRPr="00573B26">
        <w:rPr>
          <w:rFonts w:ascii="Book Antiqua" w:eastAsia="Book Antiqua" w:hAnsi="Book Antiqua" w:cs="Book Antiqua"/>
          <w:color w:val="000000"/>
        </w:rPr>
        <w:t>On physical examination, the patient was conscious, cooperative, and oriented. In the posterior left hemithorax, the injury site (possibly caused by a 3 cm long sharp object) was observed at the fourth rib level, between the left border of the spinal line and the medial border of the left scapula. There was no active bleeding or air leak. A pneumoderma was present around the wound, which was approximately 2 cm in diameter and caused crepitation. The patient’s respiratory sounds were reduced in the right hemithorax. His systolic blood pressure was 100 mmHg, heart rate was 112 beats/min, and respiratory rate was 12 breath/min. The partial pressure of oxygen (PaO</w:t>
      </w:r>
      <w:r w:rsidRPr="00573B26">
        <w:rPr>
          <w:rFonts w:ascii="Book Antiqua" w:eastAsia="Book Antiqua" w:hAnsi="Book Antiqua" w:cs="Book Antiqua"/>
          <w:color w:val="000000"/>
          <w:szCs w:val="30"/>
          <w:vertAlign w:val="subscript"/>
        </w:rPr>
        <w:t>2</w:t>
      </w:r>
      <w:r w:rsidRPr="00573B26">
        <w:rPr>
          <w:rFonts w:ascii="Book Antiqua" w:eastAsia="Book Antiqua" w:hAnsi="Book Antiqua" w:cs="Book Antiqua"/>
          <w:color w:val="000000"/>
        </w:rPr>
        <w:t>) was 95% in room air.</w:t>
      </w:r>
    </w:p>
    <w:p w14:paraId="6B3243B9" w14:textId="77777777" w:rsidR="00A77B3E" w:rsidRPr="00573B26" w:rsidRDefault="00A77B3E">
      <w:pPr>
        <w:spacing w:line="360" w:lineRule="auto"/>
        <w:jc w:val="both"/>
      </w:pPr>
    </w:p>
    <w:p w14:paraId="025D0480" w14:textId="77777777" w:rsidR="00A77B3E" w:rsidRPr="00573B26" w:rsidRDefault="00C642ED">
      <w:pPr>
        <w:spacing w:line="360" w:lineRule="auto"/>
        <w:jc w:val="both"/>
      </w:pPr>
      <w:r w:rsidRPr="00573B26">
        <w:rPr>
          <w:rFonts w:ascii="Book Antiqua" w:eastAsia="Book Antiqua" w:hAnsi="Book Antiqua" w:cs="Book Antiqua"/>
          <w:b/>
          <w:i/>
          <w:color w:val="000000"/>
        </w:rPr>
        <w:t>Laboratory examinations</w:t>
      </w:r>
    </w:p>
    <w:p w14:paraId="45825261" w14:textId="77777777" w:rsidR="00A77B3E" w:rsidRPr="00573B26" w:rsidRDefault="00C642ED">
      <w:pPr>
        <w:spacing w:line="360" w:lineRule="auto"/>
        <w:jc w:val="both"/>
      </w:pPr>
      <w:r w:rsidRPr="00573B26">
        <w:rPr>
          <w:rFonts w:ascii="Book Antiqua" w:eastAsia="Book Antiqua" w:hAnsi="Book Antiqua" w:cs="Book Antiqua"/>
          <w:color w:val="000000"/>
        </w:rPr>
        <w:t>Arterial blood gas pH was 7.36, PaCO</w:t>
      </w:r>
      <w:r w:rsidRPr="00573B26">
        <w:rPr>
          <w:rFonts w:ascii="Book Antiqua" w:eastAsia="Book Antiqua" w:hAnsi="Book Antiqua" w:cs="Book Antiqua"/>
          <w:color w:val="000000"/>
          <w:szCs w:val="20"/>
          <w:vertAlign w:val="subscript"/>
        </w:rPr>
        <w:t xml:space="preserve">2 </w:t>
      </w:r>
      <w:r w:rsidRPr="00573B26">
        <w:rPr>
          <w:rFonts w:ascii="Book Antiqua" w:eastAsia="Book Antiqua" w:hAnsi="Book Antiqua" w:cs="Book Antiqua"/>
          <w:color w:val="000000"/>
        </w:rPr>
        <w:t>was 36.3 mmHg, PaO</w:t>
      </w:r>
      <w:r w:rsidRPr="00573B26">
        <w:rPr>
          <w:rFonts w:ascii="Book Antiqua" w:eastAsia="Book Antiqua" w:hAnsi="Book Antiqua" w:cs="Book Antiqua"/>
          <w:color w:val="000000"/>
          <w:szCs w:val="20"/>
          <w:vertAlign w:val="subscript"/>
        </w:rPr>
        <w:t xml:space="preserve">2 </w:t>
      </w:r>
      <w:r w:rsidRPr="00573B26">
        <w:rPr>
          <w:rFonts w:ascii="Book Antiqua" w:eastAsia="Book Antiqua" w:hAnsi="Book Antiqua" w:cs="Book Antiqua"/>
          <w:color w:val="000000"/>
        </w:rPr>
        <w:t>was 92 mmHg, and lactate level was 1.4 mmol/L. In the blood tests, leukocytosis was observed (13600/mm</w:t>
      </w:r>
      <w:r w:rsidRPr="00573B26">
        <w:rPr>
          <w:rFonts w:ascii="Book Antiqua" w:eastAsia="Book Antiqua" w:hAnsi="Book Antiqua" w:cs="Book Antiqua"/>
          <w:color w:val="000000"/>
          <w:szCs w:val="20"/>
          <w:vertAlign w:val="superscript"/>
        </w:rPr>
        <w:t>3</w:t>
      </w:r>
      <w:r w:rsidRPr="00573B26">
        <w:rPr>
          <w:rFonts w:ascii="Book Antiqua" w:eastAsia="Book Antiqua" w:hAnsi="Book Antiqua" w:cs="Book Antiqua"/>
          <w:color w:val="000000"/>
        </w:rPr>
        <w:t>), while other values were normal. His electrocardiogram revealed sinus tachycardia.</w:t>
      </w:r>
    </w:p>
    <w:p w14:paraId="339F2FB4" w14:textId="77777777" w:rsidR="00A77B3E" w:rsidRPr="00573B26" w:rsidRDefault="00A77B3E">
      <w:pPr>
        <w:spacing w:line="360" w:lineRule="auto"/>
        <w:jc w:val="both"/>
      </w:pPr>
    </w:p>
    <w:p w14:paraId="7CF5DC69" w14:textId="77777777" w:rsidR="00A77B3E" w:rsidRPr="00573B26" w:rsidRDefault="00C642ED">
      <w:pPr>
        <w:spacing w:line="360" w:lineRule="auto"/>
        <w:jc w:val="both"/>
      </w:pPr>
      <w:r w:rsidRPr="00573B26">
        <w:rPr>
          <w:rFonts w:ascii="Book Antiqua" w:eastAsia="Book Antiqua" w:hAnsi="Book Antiqua" w:cs="Book Antiqua"/>
          <w:b/>
          <w:i/>
          <w:color w:val="000000"/>
        </w:rPr>
        <w:t>Imaging examinations</w:t>
      </w:r>
    </w:p>
    <w:p w14:paraId="7F15A80B" w14:textId="647681A7" w:rsidR="00A77B3E" w:rsidRPr="00573B26" w:rsidRDefault="00C642ED">
      <w:pPr>
        <w:spacing w:line="360" w:lineRule="auto"/>
        <w:jc w:val="both"/>
      </w:pPr>
      <w:r w:rsidRPr="00573B26">
        <w:rPr>
          <w:rFonts w:ascii="Book Antiqua" w:eastAsia="Book Antiqua" w:hAnsi="Book Antiqua" w:cs="Book Antiqua"/>
          <w:color w:val="000000"/>
        </w:rPr>
        <w:t>Computed tomography (CT) of the thorax showed a right hemopneumothorax and pneumoderma around the penetration site of the sharp object. No pathology was visualized in the left hemithorax (Figure 1).</w:t>
      </w:r>
    </w:p>
    <w:p w14:paraId="7CDCB098" w14:textId="77777777" w:rsidR="00A77B3E" w:rsidRPr="00573B26" w:rsidRDefault="00A77B3E">
      <w:pPr>
        <w:spacing w:line="360" w:lineRule="auto"/>
        <w:jc w:val="both"/>
      </w:pPr>
    </w:p>
    <w:p w14:paraId="396FA823" w14:textId="77777777" w:rsidR="00A77B3E" w:rsidRPr="00573B26" w:rsidRDefault="00C642ED">
      <w:pPr>
        <w:spacing w:line="360" w:lineRule="auto"/>
        <w:jc w:val="both"/>
      </w:pPr>
      <w:r w:rsidRPr="00573B26">
        <w:rPr>
          <w:rFonts w:ascii="Book Antiqua" w:eastAsia="Book Antiqua" w:hAnsi="Book Antiqua" w:cs="Book Antiqua"/>
          <w:b/>
          <w:caps/>
          <w:color w:val="000000"/>
          <w:u w:val="single"/>
        </w:rPr>
        <w:t>FINAL DIAGNOSIS</w:t>
      </w:r>
    </w:p>
    <w:p w14:paraId="0B92165E" w14:textId="77777777" w:rsidR="00A77B3E" w:rsidRPr="00573B26" w:rsidRDefault="00C642ED">
      <w:pPr>
        <w:spacing w:line="360" w:lineRule="auto"/>
        <w:jc w:val="both"/>
      </w:pPr>
      <w:r w:rsidRPr="00573B26">
        <w:rPr>
          <w:rFonts w:ascii="Book Antiqua" w:eastAsia="Book Antiqua" w:hAnsi="Book Antiqua" w:cs="Book Antiqua"/>
          <w:color w:val="000000"/>
        </w:rPr>
        <w:t>Contralateral right hemopneumothorax after penetrating thoracic trauma.</w:t>
      </w:r>
    </w:p>
    <w:p w14:paraId="7E70CAD8" w14:textId="77777777" w:rsidR="00A77B3E" w:rsidRPr="00573B26" w:rsidRDefault="00A77B3E">
      <w:pPr>
        <w:spacing w:line="360" w:lineRule="auto"/>
        <w:jc w:val="both"/>
      </w:pPr>
    </w:p>
    <w:p w14:paraId="4822B13C" w14:textId="77777777" w:rsidR="00A77B3E" w:rsidRPr="00573B26" w:rsidRDefault="00C642ED">
      <w:pPr>
        <w:spacing w:line="360" w:lineRule="auto"/>
        <w:jc w:val="both"/>
      </w:pPr>
      <w:r w:rsidRPr="00573B26">
        <w:rPr>
          <w:rFonts w:ascii="Book Antiqua" w:eastAsia="Book Antiqua" w:hAnsi="Book Antiqua" w:cs="Book Antiqua"/>
          <w:b/>
          <w:caps/>
          <w:color w:val="000000"/>
          <w:u w:val="single"/>
        </w:rPr>
        <w:t>TREATMENT</w:t>
      </w:r>
    </w:p>
    <w:p w14:paraId="75F632DF" w14:textId="77777777" w:rsidR="00A77B3E" w:rsidRPr="00573B26" w:rsidRDefault="00C642ED">
      <w:pPr>
        <w:spacing w:line="360" w:lineRule="auto"/>
        <w:jc w:val="both"/>
      </w:pPr>
      <w:r w:rsidRPr="00573B26">
        <w:rPr>
          <w:rFonts w:ascii="Book Antiqua" w:eastAsia="Book Antiqua" w:hAnsi="Book Antiqua" w:cs="Book Antiqua"/>
          <w:color w:val="000000"/>
        </w:rPr>
        <w:t>After the tube thoracostomy procedure was performed, with a 32 F chest tube inserted at the seventh intercostal space in the lateral direction under local anesthesia, 700 cc hemorrhagic drainage and air leak were observed. A posteroanterior chest X-ray was taken immediately afterwards and showed that the pneumothorax line almost completely regressed, but an increased density consistent with hematoma was present in the right hemothorax base (Figure 2A). There was no additional drainage in the first hour of the patient’s follow-up in the emergency room and the blood tests revealed leukocytosis (17680/mm</w:t>
      </w:r>
      <w:r w:rsidRPr="00573B26">
        <w:rPr>
          <w:rFonts w:ascii="Book Antiqua" w:eastAsia="Book Antiqua" w:hAnsi="Book Antiqua" w:cs="Book Antiqua"/>
          <w:color w:val="000000"/>
          <w:szCs w:val="20"/>
          <w:vertAlign w:val="superscript"/>
        </w:rPr>
        <w:t>3</w:t>
      </w:r>
      <w:r w:rsidRPr="00573B26">
        <w:rPr>
          <w:rFonts w:ascii="Book Antiqua" w:eastAsia="Book Antiqua" w:hAnsi="Book Antiqua" w:cs="Book Antiqua"/>
          <w:color w:val="000000"/>
        </w:rPr>
        <w:t>) along with a decrease in hemoglobin from 15.2 g/dL to 12.9 g/dL, while other values were within normal range. During transfer of the patient from the emergency room to the thoracic surgery ward using a stretcher, massive drainage of 1600 cc was observed in the chest drain, which developed within minutes. His blood pressure was 60/40 mmHg and heart rate was 124 beats/min. The patient underwent emergency right posterolateral thoracotomy, with the diagnosis of massive hemorrhage. About 1000 cc hematoma/hemorrhagic fluid was evacuated from the right hemithorax cavity. The hemorrhage focus in the right hemithorax posterior fifth intercostal artery that was injured by the sharp object was sutured. A laceration site of 2 cm in length that caused the air leak in the right lower lobe posterior segment was sutured. The patient received 3 U of erythrocyte suspension and 1 U of fresh frozen plasma replacement perioperatively. A 36 F chest drain was placed from the previous drain site, and the operation was completed without any complication (Figure 2B).</w:t>
      </w:r>
    </w:p>
    <w:p w14:paraId="010A7A52" w14:textId="77777777" w:rsidR="00A77B3E" w:rsidRPr="00573B26" w:rsidRDefault="00A77B3E">
      <w:pPr>
        <w:spacing w:line="360" w:lineRule="auto"/>
        <w:jc w:val="both"/>
      </w:pPr>
    </w:p>
    <w:p w14:paraId="0A033F15" w14:textId="77777777" w:rsidR="00A77B3E" w:rsidRPr="00573B26" w:rsidRDefault="00C642ED">
      <w:pPr>
        <w:spacing w:line="360" w:lineRule="auto"/>
        <w:jc w:val="both"/>
      </w:pPr>
      <w:r w:rsidRPr="00573B26">
        <w:rPr>
          <w:rFonts w:ascii="Book Antiqua" w:eastAsia="Book Antiqua" w:hAnsi="Book Antiqua" w:cs="Book Antiqua"/>
          <w:b/>
          <w:caps/>
          <w:color w:val="000000"/>
          <w:u w:val="single"/>
        </w:rPr>
        <w:t>OUTCOME AND FOLLOW-UP</w:t>
      </w:r>
    </w:p>
    <w:p w14:paraId="3997D150" w14:textId="77777777" w:rsidR="00A77B3E" w:rsidRPr="00573B26" w:rsidRDefault="00C642ED">
      <w:pPr>
        <w:spacing w:line="360" w:lineRule="auto"/>
        <w:jc w:val="both"/>
      </w:pPr>
      <w:r w:rsidRPr="00573B26">
        <w:rPr>
          <w:rFonts w:ascii="Book Antiqua" w:eastAsia="Book Antiqua" w:hAnsi="Book Antiqua" w:cs="Book Antiqua"/>
          <w:color w:val="000000"/>
        </w:rPr>
        <w:t>The patient was followed up in extubated status for 24 h in the level 2 intensive care unit, and was discharged on the fourth postoperative day without any complication (Figure 3). The patient was followed up for 12 mo and had no complaints (Figure 4).</w:t>
      </w:r>
    </w:p>
    <w:p w14:paraId="1045B063" w14:textId="77777777" w:rsidR="00A77B3E" w:rsidRPr="00573B26" w:rsidRDefault="00A77B3E">
      <w:pPr>
        <w:spacing w:line="360" w:lineRule="auto"/>
        <w:jc w:val="both"/>
      </w:pPr>
    </w:p>
    <w:p w14:paraId="5C8C7851" w14:textId="77777777" w:rsidR="00A77B3E" w:rsidRPr="00573B26" w:rsidRDefault="00C642ED">
      <w:pPr>
        <w:spacing w:line="360" w:lineRule="auto"/>
        <w:jc w:val="both"/>
      </w:pPr>
      <w:r w:rsidRPr="00573B26">
        <w:rPr>
          <w:rFonts w:ascii="Book Antiqua" w:eastAsia="Book Antiqua" w:hAnsi="Book Antiqua" w:cs="Book Antiqua"/>
          <w:b/>
          <w:caps/>
          <w:color w:val="000000"/>
          <w:u w:val="single"/>
        </w:rPr>
        <w:t>DISCUSSION</w:t>
      </w:r>
    </w:p>
    <w:p w14:paraId="13F097AA" w14:textId="77777777" w:rsidR="00A77B3E" w:rsidRPr="00573B26" w:rsidRDefault="00C642ED">
      <w:pPr>
        <w:spacing w:line="360" w:lineRule="auto"/>
        <w:jc w:val="both"/>
      </w:pPr>
      <w:r w:rsidRPr="00573B26">
        <w:rPr>
          <w:rFonts w:ascii="Book Antiqua" w:eastAsia="Book Antiqua" w:hAnsi="Book Antiqua" w:cs="Book Antiqua"/>
          <w:color w:val="000000"/>
        </w:rPr>
        <w:t>Because penetrating thoracic trauma depends on the type of penetrating sharp object and the route within the thorax, it is necessary to be prepared for more severe results than the findings obtained from initial examination. The mechanisms underlying contralateral and contrecoup thoracic trauma are effective thorax anatomy in the transmission of trauma</w:t>
      </w:r>
      <w:r w:rsidRPr="00573B26">
        <w:rPr>
          <w:rFonts w:ascii="Book Antiqua" w:eastAsia="Book Antiqua" w:hAnsi="Book Antiqua" w:cs="Book Antiqua"/>
          <w:color w:val="000000"/>
          <w:szCs w:val="20"/>
          <w:vertAlign w:val="superscript"/>
        </w:rPr>
        <w:t>[5,6]</w:t>
      </w:r>
      <w:r w:rsidRPr="00573B26">
        <w:rPr>
          <w:rFonts w:ascii="Book Antiqua" w:eastAsia="Book Antiqua" w:hAnsi="Book Antiqua" w:cs="Book Antiqua"/>
          <w:color w:val="000000"/>
        </w:rPr>
        <w:t>. In our case, the trauma damaged the contralateral part of the chest wall, which is an ellipsoid formation consisting of ribs, sternum, and spine, through the influence of scapulothoracic joint kinematics. During shoulder girdle movements, the elevation, depression, protraction, retraction, and upward and downward rotation movements of the scapula change the direction of the sharp object, causing hemorrhage in the intercostal artery of the opposite hemithorax, which is the most frequently injured structure in penetrating thoracic trauma, as well as parenchymal damage in the right lower lobe posterior segment</w:t>
      </w:r>
      <w:r w:rsidRPr="00573B26">
        <w:rPr>
          <w:rFonts w:ascii="Book Antiqua" w:eastAsia="Book Antiqua" w:hAnsi="Book Antiqua" w:cs="Book Antiqua"/>
          <w:color w:val="000000"/>
          <w:szCs w:val="20"/>
          <w:vertAlign w:val="superscript"/>
        </w:rPr>
        <w:t>[6-9]</w:t>
      </w:r>
      <w:r w:rsidRPr="00573B26">
        <w:rPr>
          <w:rFonts w:ascii="Book Antiqua" w:eastAsia="Book Antiqua" w:hAnsi="Book Antiqua" w:cs="Book Antiqua"/>
          <w:color w:val="000000"/>
        </w:rPr>
        <w:t>. This case shows that auscultation of lung sounds and immediate thoracic imaging (</w:t>
      </w:r>
      <w:r w:rsidRPr="00573B26">
        <w:rPr>
          <w:rFonts w:ascii="Book Antiqua" w:eastAsia="Book Antiqua" w:hAnsi="Book Antiqua" w:cs="Book Antiqua"/>
          <w:i/>
          <w:iCs/>
          <w:color w:val="000000"/>
        </w:rPr>
        <w:t>e.g.,</w:t>
      </w:r>
      <w:r w:rsidRPr="00573B26">
        <w:rPr>
          <w:rFonts w:ascii="Book Antiqua" w:eastAsia="Book Antiqua" w:hAnsi="Book Antiqua" w:cs="Book Antiqua"/>
          <w:color w:val="000000"/>
        </w:rPr>
        <w:t xml:space="preserve"> chest X-ray, thoracic ultrasound, CT of the thorax) are important steps in determining the side of hemithorax injury. In this context, physical examination and auscultation have high sensitivity (90%) and specificity (98%)</w:t>
      </w:r>
      <w:r w:rsidRPr="00573B26">
        <w:rPr>
          <w:rFonts w:ascii="Book Antiqua" w:eastAsia="Book Antiqua" w:hAnsi="Book Antiqua" w:cs="Book Antiqua"/>
          <w:color w:val="000000"/>
          <w:szCs w:val="20"/>
          <w:vertAlign w:val="superscript"/>
        </w:rPr>
        <w:t>[1]</w:t>
      </w:r>
      <w:r w:rsidRPr="00573B26">
        <w:rPr>
          <w:rFonts w:ascii="Book Antiqua" w:eastAsia="Book Antiqua" w:hAnsi="Book Antiqua" w:cs="Book Antiqua"/>
          <w:color w:val="000000"/>
        </w:rPr>
        <w:t>.</w:t>
      </w:r>
    </w:p>
    <w:p w14:paraId="0FF71F3D" w14:textId="77777777" w:rsidR="00A77B3E" w:rsidRPr="00573B26" w:rsidRDefault="00C642ED" w:rsidP="008D4518">
      <w:pPr>
        <w:spacing w:line="360" w:lineRule="auto"/>
        <w:ind w:firstLineChars="100" w:firstLine="240"/>
        <w:jc w:val="both"/>
      </w:pPr>
      <w:r w:rsidRPr="00573B26">
        <w:rPr>
          <w:rFonts w:ascii="Book Antiqua" w:eastAsia="Book Antiqua" w:hAnsi="Book Antiqua" w:cs="Book Antiqua"/>
          <w:color w:val="000000"/>
        </w:rPr>
        <w:t>In thoracic trauma causing disruption in the pleural space, the first step is usually tube thoracostomy, although there is no randomized study regarding the size of the placed tube. However, according to Poiseuille’s law and the results of Fanning’s equation, an increase in pipe diameter leads to an exponential increase in the fluid and gas flowing through it. Therefore, the Advanced Trauma Life Support recommends that chest drains larger than 28 F be used to accurately assess the true volume of blood loss in cases of acute hemothorax</w:t>
      </w:r>
      <w:r w:rsidRPr="00573B26">
        <w:rPr>
          <w:rFonts w:ascii="Book Antiqua" w:eastAsia="Book Antiqua" w:hAnsi="Book Antiqua" w:cs="Book Antiqua"/>
          <w:color w:val="000000"/>
          <w:szCs w:val="20"/>
          <w:vertAlign w:val="superscript"/>
        </w:rPr>
        <w:t>[1]</w:t>
      </w:r>
      <w:r w:rsidRPr="00573B26">
        <w:rPr>
          <w:rFonts w:ascii="Book Antiqua" w:eastAsia="Book Antiqua" w:hAnsi="Book Antiqua" w:cs="Book Antiqua"/>
          <w:color w:val="000000"/>
        </w:rPr>
        <w:t>. In our case, the initial intervention was tube thoracostomy using a 32 F chest drain with the diagnosis of pneumohemothorax in the emergency department. After subsequent massive drainage, a 36 F chest drain was inserted during the emergency thoracotomy. In cases of rapidly deteriorating general condition, uncontrolled bleeding, development of cardiac arrest, severe hypotension due to pericardial tamponade, massive thoracic, or thoracoabdominal bleeding in the patient with penetrating thoracic trauma, surgery is recommended in 15%-30% of cases</w:t>
      </w:r>
      <w:r w:rsidRPr="00573B26">
        <w:rPr>
          <w:rFonts w:ascii="Book Antiqua" w:eastAsia="Book Antiqua" w:hAnsi="Book Antiqua" w:cs="Book Antiqua"/>
          <w:color w:val="000000"/>
          <w:szCs w:val="20"/>
          <w:vertAlign w:val="superscript"/>
        </w:rPr>
        <w:t>[10]</w:t>
      </w:r>
      <w:r w:rsidRPr="00573B26">
        <w:rPr>
          <w:rFonts w:ascii="Book Antiqua" w:eastAsia="Book Antiqua" w:hAnsi="Book Antiqua" w:cs="Book Antiqua"/>
          <w:color w:val="000000"/>
        </w:rPr>
        <w:t>. Stability of vital signs was achieved after tube thoracostomy in the patient with a right hemopneumothorax caused by penetrating trauma to the left hemithorax. However, emergency thoracotomy was performed due to acute massive hemorrhage, which likely occurred due to inactivation of coagulation factors in the hemorrhage focus during mobilization of the patient to the ward, creating hemodynamic instability with risk of mortality.</w:t>
      </w:r>
    </w:p>
    <w:p w14:paraId="16762FC5" w14:textId="77777777" w:rsidR="00A77B3E" w:rsidRPr="00573B26" w:rsidRDefault="00C642ED" w:rsidP="008D4518">
      <w:pPr>
        <w:spacing w:line="360" w:lineRule="auto"/>
        <w:ind w:firstLineChars="100" w:firstLine="240"/>
        <w:jc w:val="both"/>
      </w:pPr>
      <w:r w:rsidRPr="00573B26">
        <w:rPr>
          <w:rFonts w:ascii="Book Antiqua" w:eastAsia="Book Antiqua" w:hAnsi="Book Antiqua" w:cs="Book Antiqua"/>
          <w:color w:val="000000"/>
        </w:rPr>
        <w:t>Hemothorax is a condition that requires rapid diagnosis and treatment. Treatment with tube thoracostomy is typically sufficient due to the buffering effect of the expanded lung, the presence of intense thromboplastin support in the lung parenchyma, and the low blood pressure in the pulmonary parenchyma</w:t>
      </w:r>
      <w:r w:rsidRPr="00573B26">
        <w:rPr>
          <w:rFonts w:ascii="Book Antiqua" w:eastAsia="Book Antiqua" w:hAnsi="Book Antiqua" w:cs="Book Antiqua"/>
          <w:color w:val="000000"/>
          <w:szCs w:val="20"/>
          <w:vertAlign w:val="superscript"/>
        </w:rPr>
        <w:t>[4]</w:t>
      </w:r>
      <w:r w:rsidRPr="00573B26">
        <w:rPr>
          <w:rFonts w:ascii="Book Antiqua" w:eastAsia="Book Antiqua" w:hAnsi="Book Antiqua" w:cs="Book Antiqua"/>
          <w:color w:val="000000"/>
        </w:rPr>
        <w:t>. However, the flow rate of the intercostal artery reportedly increases to a maximum of 169 mL/min, and can therefore result in 1 L of blood loss within minutes, if injured</w:t>
      </w:r>
      <w:r w:rsidRPr="00573B26">
        <w:rPr>
          <w:rFonts w:ascii="Book Antiqua" w:eastAsia="Book Antiqua" w:hAnsi="Book Antiqua" w:cs="Book Antiqua"/>
          <w:color w:val="000000"/>
          <w:szCs w:val="20"/>
          <w:vertAlign w:val="superscript"/>
        </w:rPr>
        <w:t>[11]</w:t>
      </w:r>
      <w:r w:rsidRPr="00573B26">
        <w:rPr>
          <w:rFonts w:ascii="Book Antiqua" w:eastAsia="Book Antiqua" w:hAnsi="Book Antiqua" w:cs="Book Antiqua"/>
          <w:color w:val="000000"/>
        </w:rPr>
        <w:t>. In our case, injury of the fifth intercostal artery led to 1600 cc blood loss within minutes. Clinical progression depends on the correct selection of patients’ vital signs and intervals for monitoring of drainage and hemogram, and rapid and accurate decisions about treatment with the synthesis of patient data.</w:t>
      </w:r>
    </w:p>
    <w:p w14:paraId="4F134C6B" w14:textId="77777777" w:rsidR="00A77B3E" w:rsidRPr="00573B26" w:rsidRDefault="00A77B3E" w:rsidP="008D4518">
      <w:pPr>
        <w:spacing w:line="360" w:lineRule="auto"/>
        <w:jc w:val="both"/>
      </w:pPr>
    </w:p>
    <w:p w14:paraId="32677306" w14:textId="77777777" w:rsidR="00A77B3E" w:rsidRPr="00573B26" w:rsidRDefault="00C642ED">
      <w:pPr>
        <w:spacing w:line="360" w:lineRule="auto"/>
        <w:jc w:val="both"/>
      </w:pPr>
      <w:r w:rsidRPr="00573B26">
        <w:rPr>
          <w:rFonts w:ascii="Book Antiqua" w:eastAsia="Book Antiqua" w:hAnsi="Book Antiqua" w:cs="Book Antiqua"/>
          <w:b/>
          <w:caps/>
          <w:color w:val="000000"/>
          <w:u w:val="single"/>
        </w:rPr>
        <w:t>CONCLUSION</w:t>
      </w:r>
    </w:p>
    <w:p w14:paraId="45B471F7" w14:textId="77777777" w:rsidR="00A77B3E" w:rsidRPr="00573B26" w:rsidRDefault="00C642ED">
      <w:pPr>
        <w:spacing w:line="360" w:lineRule="auto"/>
        <w:jc w:val="both"/>
      </w:pPr>
      <w:r w:rsidRPr="00573B26">
        <w:rPr>
          <w:rFonts w:ascii="Book Antiqua" w:eastAsia="Book Antiqua" w:hAnsi="Book Antiqua" w:cs="Book Antiqua"/>
          <w:color w:val="000000"/>
        </w:rPr>
        <w:t>Rapid diagnosis and correct intervention should be performed for patients with penetrating thoracic trauma, keeping in mind that both hemithoraces may have been injured.</w:t>
      </w:r>
    </w:p>
    <w:p w14:paraId="3684E0D4" w14:textId="77777777" w:rsidR="00A77B3E" w:rsidRPr="00573B26" w:rsidRDefault="00A77B3E">
      <w:pPr>
        <w:spacing w:line="360" w:lineRule="auto"/>
        <w:jc w:val="both"/>
      </w:pPr>
    </w:p>
    <w:p w14:paraId="22B20586" w14:textId="77777777" w:rsidR="00A77B3E" w:rsidRPr="00573B26" w:rsidRDefault="00C642ED">
      <w:pPr>
        <w:spacing w:line="360" w:lineRule="auto"/>
        <w:jc w:val="both"/>
      </w:pPr>
      <w:r w:rsidRPr="00573B26">
        <w:rPr>
          <w:rFonts w:ascii="Book Antiqua" w:eastAsia="Book Antiqua" w:hAnsi="Book Antiqua" w:cs="Book Antiqua"/>
          <w:b/>
          <w:color w:val="000000"/>
        </w:rPr>
        <w:t>REFERENCES</w:t>
      </w:r>
    </w:p>
    <w:p w14:paraId="228ABDB9" w14:textId="77777777" w:rsidR="00A77B3E" w:rsidRPr="00573B26" w:rsidRDefault="00C642ED">
      <w:pPr>
        <w:spacing w:line="360" w:lineRule="auto"/>
        <w:jc w:val="both"/>
      </w:pPr>
      <w:r w:rsidRPr="00573B26">
        <w:rPr>
          <w:rFonts w:ascii="Book Antiqua" w:eastAsia="Book Antiqua" w:hAnsi="Book Antiqua" w:cs="Book Antiqua"/>
          <w:color w:val="000000"/>
        </w:rPr>
        <w:t xml:space="preserve">1 </w:t>
      </w:r>
      <w:r w:rsidRPr="00573B26">
        <w:rPr>
          <w:rFonts w:ascii="Book Antiqua" w:eastAsia="Book Antiqua" w:hAnsi="Book Antiqua" w:cs="Book Antiqua"/>
          <w:b/>
          <w:bCs/>
          <w:color w:val="000000"/>
        </w:rPr>
        <w:t>Bertoglio P</w:t>
      </w:r>
      <w:r w:rsidRPr="00573B26">
        <w:rPr>
          <w:rFonts w:ascii="Book Antiqua" w:eastAsia="Book Antiqua" w:hAnsi="Book Antiqua" w:cs="Book Antiqua"/>
          <w:color w:val="000000"/>
        </w:rPr>
        <w:t xml:space="preserve">, Guerrera F, Viti A, Terzi AC, Ruffini E, Lyberis P, Filosso PL. Chest drain and thoracotomy for chest trauma. </w:t>
      </w:r>
      <w:r w:rsidRPr="00573B26">
        <w:rPr>
          <w:rFonts w:ascii="Book Antiqua" w:eastAsia="Book Antiqua" w:hAnsi="Book Antiqua" w:cs="Book Antiqua"/>
          <w:i/>
          <w:iCs/>
          <w:color w:val="000000"/>
        </w:rPr>
        <w:t>J Thorac Dis</w:t>
      </w:r>
      <w:r w:rsidRPr="00573B26">
        <w:rPr>
          <w:rFonts w:ascii="Book Antiqua" w:eastAsia="Book Antiqua" w:hAnsi="Book Antiqua" w:cs="Book Antiqua"/>
          <w:color w:val="000000"/>
        </w:rPr>
        <w:t xml:space="preserve"> 2019; </w:t>
      </w:r>
      <w:r w:rsidRPr="00573B26">
        <w:rPr>
          <w:rFonts w:ascii="Book Antiqua" w:eastAsia="Book Antiqua" w:hAnsi="Book Antiqua" w:cs="Book Antiqua"/>
          <w:b/>
          <w:bCs/>
          <w:color w:val="000000"/>
        </w:rPr>
        <w:t>11</w:t>
      </w:r>
      <w:r w:rsidRPr="00573B26">
        <w:rPr>
          <w:rFonts w:ascii="Book Antiqua" w:eastAsia="Book Antiqua" w:hAnsi="Book Antiqua" w:cs="Book Antiqua"/>
          <w:color w:val="000000"/>
        </w:rPr>
        <w:t>: S186-S191 [PMID: 30906584 DOI: 10.21037/jtd.2019.01.53]</w:t>
      </w:r>
    </w:p>
    <w:p w14:paraId="3F9D2618" w14:textId="77777777" w:rsidR="00A77B3E" w:rsidRPr="00573B26" w:rsidRDefault="00C642ED">
      <w:pPr>
        <w:spacing w:line="360" w:lineRule="auto"/>
        <w:jc w:val="both"/>
      </w:pPr>
      <w:r w:rsidRPr="00573B26">
        <w:rPr>
          <w:rFonts w:ascii="Book Antiqua" w:eastAsia="Book Antiqua" w:hAnsi="Book Antiqua" w:cs="Book Antiqua"/>
          <w:color w:val="000000"/>
        </w:rPr>
        <w:t xml:space="preserve">2 </w:t>
      </w:r>
      <w:r w:rsidRPr="00573B26">
        <w:rPr>
          <w:rFonts w:ascii="Book Antiqua" w:eastAsia="Book Antiqua" w:hAnsi="Book Antiqua" w:cs="Book Antiqua"/>
          <w:b/>
          <w:bCs/>
          <w:color w:val="000000"/>
        </w:rPr>
        <w:t>Imamoglu OU</w:t>
      </w:r>
      <w:r w:rsidRPr="00573B26">
        <w:rPr>
          <w:rFonts w:ascii="Book Antiqua" w:eastAsia="Book Antiqua" w:hAnsi="Book Antiqua" w:cs="Book Antiqua"/>
          <w:color w:val="000000"/>
        </w:rPr>
        <w:t xml:space="preserve">, Oncel M, Enginel T, Tunçay E, Dalkılıc G, Acar H. Toraks travmalarında yaklaşım: 110 olgunun için. </w:t>
      </w:r>
      <w:r w:rsidRPr="00573B26">
        <w:rPr>
          <w:rFonts w:ascii="Book Antiqua" w:eastAsia="Book Antiqua" w:hAnsi="Book Antiqua" w:cs="Book Antiqua"/>
          <w:i/>
          <w:iCs/>
          <w:color w:val="000000"/>
        </w:rPr>
        <w:t>Türk J Thorac Cardiovasc Surg</w:t>
      </w:r>
      <w:r w:rsidRPr="00573B26">
        <w:rPr>
          <w:rFonts w:ascii="Book Antiqua" w:eastAsia="Book Antiqua" w:hAnsi="Book Antiqua" w:cs="Book Antiqua"/>
          <w:color w:val="000000"/>
        </w:rPr>
        <w:t xml:space="preserve"> 1999; </w:t>
      </w:r>
      <w:r w:rsidRPr="00573B26">
        <w:rPr>
          <w:rFonts w:ascii="Book Antiqua" w:eastAsia="Book Antiqua" w:hAnsi="Book Antiqua" w:cs="Book Antiqua"/>
          <w:b/>
          <w:bCs/>
          <w:color w:val="000000"/>
        </w:rPr>
        <w:t>7</w:t>
      </w:r>
      <w:r w:rsidRPr="00573B26">
        <w:rPr>
          <w:rFonts w:ascii="Book Antiqua" w:eastAsia="Book Antiqua" w:hAnsi="Book Antiqua" w:cs="Book Antiqua"/>
          <w:color w:val="000000"/>
        </w:rPr>
        <w:t>: 450-453</w:t>
      </w:r>
    </w:p>
    <w:p w14:paraId="0ACB2FED" w14:textId="77777777" w:rsidR="00A77B3E" w:rsidRPr="00573B26" w:rsidRDefault="00C642ED">
      <w:pPr>
        <w:spacing w:line="360" w:lineRule="auto"/>
        <w:jc w:val="both"/>
      </w:pPr>
      <w:r w:rsidRPr="00573B26">
        <w:rPr>
          <w:rFonts w:ascii="Book Antiqua" w:eastAsia="Book Antiqua" w:hAnsi="Book Antiqua" w:cs="Book Antiqua"/>
          <w:color w:val="000000"/>
        </w:rPr>
        <w:t xml:space="preserve">3 </w:t>
      </w:r>
      <w:r w:rsidRPr="00573B26">
        <w:rPr>
          <w:rFonts w:ascii="Book Antiqua" w:eastAsia="Book Antiqua" w:hAnsi="Book Antiqua" w:cs="Book Antiqua"/>
          <w:b/>
          <w:bCs/>
          <w:color w:val="000000"/>
        </w:rPr>
        <w:t>Clark GC</w:t>
      </w:r>
      <w:r w:rsidRPr="00573B26">
        <w:rPr>
          <w:rFonts w:ascii="Book Antiqua" w:eastAsia="Book Antiqua" w:hAnsi="Book Antiqua" w:cs="Book Antiqua"/>
          <w:color w:val="000000"/>
        </w:rPr>
        <w:t xml:space="preserve">, Schecter WP, Trunkey DD. Variables affecting outcome in blunt chest trauma: flail chest vs. pulmonary contusion. </w:t>
      </w:r>
      <w:r w:rsidRPr="00573B26">
        <w:rPr>
          <w:rFonts w:ascii="Book Antiqua" w:eastAsia="Book Antiqua" w:hAnsi="Book Antiqua" w:cs="Book Antiqua"/>
          <w:i/>
          <w:iCs/>
          <w:color w:val="000000"/>
        </w:rPr>
        <w:t>J Trauma</w:t>
      </w:r>
      <w:r w:rsidRPr="00573B26">
        <w:rPr>
          <w:rFonts w:ascii="Book Antiqua" w:eastAsia="Book Antiqua" w:hAnsi="Book Antiqua" w:cs="Book Antiqua"/>
          <w:color w:val="000000"/>
        </w:rPr>
        <w:t xml:space="preserve"> 1988; </w:t>
      </w:r>
      <w:r w:rsidRPr="00573B26">
        <w:rPr>
          <w:rFonts w:ascii="Book Antiqua" w:eastAsia="Book Antiqua" w:hAnsi="Book Antiqua" w:cs="Book Antiqua"/>
          <w:b/>
          <w:bCs/>
          <w:color w:val="000000"/>
        </w:rPr>
        <w:t>28</w:t>
      </w:r>
      <w:r w:rsidRPr="00573B26">
        <w:rPr>
          <w:rFonts w:ascii="Book Antiqua" w:eastAsia="Book Antiqua" w:hAnsi="Book Antiqua" w:cs="Book Antiqua"/>
          <w:color w:val="000000"/>
        </w:rPr>
        <w:t>: 298-304 [PMID: 3351988 DOI: 10.1097]</w:t>
      </w:r>
    </w:p>
    <w:p w14:paraId="50B13DE6" w14:textId="77777777" w:rsidR="008D4518" w:rsidRPr="00573B26" w:rsidRDefault="008D4518" w:rsidP="008D4518">
      <w:pPr>
        <w:spacing w:line="360" w:lineRule="auto"/>
        <w:jc w:val="both"/>
      </w:pPr>
      <w:r w:rsidRPr="00573B26">
        <w:rPr>
          <w:rFonts w:ascii="Book Antiqua" w:eastAsia="Book Antiqua" w:hAnsi="Book Antiqua" w:cs="Book Antiqua"/>
          <w:color w:val="000000"/>
        </w:rPr>
        <w:t xml:space="preserve">4 </w:t>
      </w:r>
      <w:r w:rsidRPr="00573B26">
        <w:rPr>
          <w:rFonts w:ascii="Book Antiqua" w:eastAsia="Book Antiqua" w:hAnsi="Book Antiqua" w:cs="Book Antiqua"/>
          <w:b/>
          <w:bCs/>
          <w:color w:val="000000"/>
        </w:rPr>
        <w:t>Yıldız O</w:t>
      </w:r>
      <w:r w:rsidRPr="00573B26">
        <w:rPr>
          <w:rFonts w:ascii="Book Antiqua" w:eastAsia="Book Antiqua" w:hAnsi="Book Antiqua" w:cs="Book Antiqua"/>
          <w:color w:val="000000"/>
        </w:rPr>
        <w:t>, Kılıç D. Factors affecting morbidity and mortality in thoracic trauma. In: Özyurtkan MO, Bostancı K, Özpolat B. Thoracic trauma. Ankara: Ankara Nobel Medical Bookstores, 2018: 53-57</w:t>
      </w:r>
    </w:p>
    <w:p w14:paraId="3EEC8436" w14:textId="77777777" w:rsidR="008D4518" w:rsidRPr="00573B26" w:rsidRDefault="008D4518" w:rsidP="008D4518">
      <w:pPr>
        <w:spacing w:line="360" w:lineRule="auto"/>
        <w:jc w:val="both"/>
      </w:pPr>
      <w:r w:rsidRPr="00573B26">
        <w:rPr>
          <w:rFonts w:ascii="Book Antiqua" w:eastAsia="Book Antiqua" w:hAnsi="Book Antiqua" w:cs="Book Antiqua"/>
          <w:color w:val="000000"/>
        </w:rPr>
        <w:t xml:space="preserve">5 </w:t>
      </w:r>
      <w:r w:rsidRPr="00573B26">
        <w:rPr>
          <w:rFonts w:ascii="Book Antiqua" w:eastAsia="Book Antiqua" w:hAnsi="Book Antiqua" w:cs="Book Antiqua"/>
          <w:b/>
          <w:bCs/>
          <w:color w:val="000000"/>
        </w:rPr>
        <w:t>Döner E</w:t>
      </w:r>
      <w:r w:rsidRPr="00573B26">
        <w:rPr>
          <w:rFonts w:ascii="Book Antiqua" w:eastAsia="Book Antiqua" w:hAnsi="Book Antiqua" w:cs="Book Antiqua"/>
          <w:color w:val="000000"/>
        </w:rPr>
        <w:t>, Sivrikoz C. Traumatic pneumothorax and hemothorax. In: Özyurtkan MO, Bostancı K, Özpolat B, editors. Thoracic Trauma. Ankara: Ankara Nobel Medical Bookstores, 2018: 145-151</w:t>
      </w:r>
    </w:p>
    <w:p w14:paraId="6444A961" w14:textId="77777777" w:rsidR="00A77B3E" w:rsidRPr="00573B26" w:rsidRDefault="00C642ED">
      <w:pPr>
        <w:spacing w:line="360" w:lineRule="auto"/>
        <w:jc w:val="both"/>
      </w:pPr>
      <w:r w:rsidRPr="00573B26">
        <w:rPr>
          <w:rFonts w:ascii="Book Antiqua" w:eastAsia="Book Antiqua" w:hAnsi="Book Antiqua" w:cs="Book Antiqua"/>
          <w:color w:val="000000"/>
        </w:rPr>
        <w:t xml:space="preserve">6 </w:t>
      </w:r>
      <w:r w:rsidRPr="00573B26">
        <w:rPr>
          <w:rFonts w:ascii="Book Antiqua" w:eastAsia="Book Antiqua" w:hAnsi="Book Antiqua" w:cs="Book Antiqua"/>
          <w:b/>
          <w:bCs/>
          <w:color w:val="000000"/>
        </w:rPr>
        <w:t>Güvenç EÇ</w:t>
      </w:r>
      <w:r w:rsidRPr="00573B26">
        <w:rPr>
          <w:rFonts w:ascii="Book Antiqua" w:eastAsia="Book Antiqua" w:hAnsi="Book Antiqua" w:cs="Book Antiqua"/>
          <w:color w:val="000000"/>
        </w:rPr>
        <w:t xml:space="preserve">, Ünal M, Gülmez B, Üçvet A, Gürsoy S. Penetrating contralateral hemothoraces. </w:t>
      </w:r>
      <w:r w:rsidRPr="00573B26">
        <w:rPr>
          <w:rFonts w:ascii="Book Antiqua" w:eastAsia="Book Antiqua" w:hAnsi="Book Antiqua" w:cs="Book Antiqua"/>
          <w:i/>
          <w:iCs/>
          <w:color w:val="000000"/>
        </w:rPr>
        <w:t>J Izmir Chest Hospital</w:t>
      </w:r>
      <w:r w:rsidRPr="00573B26">
        <w:rPr>
          <w:rFonts w:ascii="Book Antiqua" w:eastAsia="Book Antiqua" w:hAnsi="Book Antiqua" w:cs="Book Antiqua"/>
          <w:color w:val="000000"/>
        </w:rPr>
        <w:t xml:space="preserve"> 2018; </w:t>
      </w:r>
      <w:r w:rsidRPr="00573B26">
        <w:rPr>
          <w:rFonts w:ascii="Book Antiqua" w:eastAsia="Book Antiqua" w:hAnsi="Book Antiqua" w:cs="Book Antiqua"/>
          <w:b/>
          <w:bCs/>
          <w:color w:val="000000"/>
        </w:rPr>
        <w:t>3</w:t>
      </w:r>
      <w:r w:rsidRPr="00573B26">
        <w:rPr>
          <w:rFonts w:ascii="Book Antiqua" w:eastAsia="Book Antiqua" w:hAnsi="Book Antiqua" w:cs="Book Antiqua"/>
          <w:color w:val="000000"/>
        </w:rPr>
        <w:t>: 203-205</w:t>
      </w:r>
    </w:p>
    <w:p w14:paraId="3922C887" w14:textId="10A1746B" w:rsidR="00A77B3E" w:rsidRPr="00573B26" w:rsidRDefault="00C642ED">
      <w:pPr>
        <w:spacing w:line="360" w:lineRule="auto"/>
        <w:jc w:val="both"/>
      </w:pPr>
      <w:r w:rsidRPr="00573B26">
        <w:rPr>
          <w:rFonts w:ascii="Book Antiqua" w:eastAsia="Book Antiqua" w:hAnsi="Book Antiqua" w:cs="Book Antiqua"/>
          <w:color w:val="000000"/>
        </w:rPr>
        <w:t xml:space="preserve">7 </w:t>
      </w:r>
      <w:r w:rsidRPr="00573B26">
        <w:rPr>
          <w:rFonts w:ascii="Book Antiqua" w:eastAsia="Book Antiqua" w:hAnsi="Book Antiqua" w:cs="Book Antiqua"/>
          <w:b/>
          <w:bCs/>
          <w:color w:val="000000"/>
        </w:rPr>
        <w:t>Rashid MA</w:t>
      </w:r>
      <w:r w:rsidRPr="00573B26">
        <w:rPr>
          <w:rFonts w:ascii="Book Antiqua" w:eastAsia="Book Antiqua" w:hAnsi="Book Antiqua" w:cs="Book Antiqua"/>
          <w:color w:val="000000"/>
        </w:rPr>
        <w:t xml:space="preserve">, Rashid MA. Cardiothoracic contralateral shoes: nomenclature, mechanism and importance. </w:t>
      </w:r>
      <w:r w:rsidRPr="00573B26">
        <w:rPr>
          <w:rFonts w:ascii="Book Antiqua" w:eastAsia="Book Antiqua" w:hAnsi="Book Antiqua" w:cs="Book Antiqua"/>
          <w:i/>
          <w:iCs/>
          <w:color w:val="000000"/>
        </w:rPr>
        <w:t>J Cardiothoracic Trauma</w:t>
      </w:r>
      <w:r w:rsidRPr="00573B26">
        <w:rPr>
          <w:rFonts w:ascii="Book Antiqua" w:eastAsia="Book Antiqua" w:hAnsi="Book Antiqua" w:cs="Book Antiqua"/>
          <w:color w:val="000000"/>
        </w:rPr>
        <w:t xml:space="preserve"> 2016; </w:t>
      </w:r>
      <w:r w:rsidRPr="00573B26">
        <w:rPr>
          <w:rFonts w:ascii="Book Antiqua" w:eastAsia="Book Antiqua" w:hAnsi="Book Antiqua" w:cs="Book Antiqua"/>
          <w:b/>
          <w:bCs/>
          <w:color w:val="000000"/>
        </w:rPr>
        <w:t>1</w:t>
      </w:r>
      <w:r w:rsidRPr="00573B26">
        <w:rPr>
          <w:rFonts w:ascii="Book Antiqua" w:eastAsia="Book Antiqua" w:hAnsi="Book Antiqua" w:cs="Book Antiqua"/>
          <w:color w:val="000000"/>
        </w:rPr>
        <w:t>: 4-7 [DOI: 10.4103/2542-6281.194051]</w:t>
      </w:r>
    </w:p>
    <w:p w14:paraId="0673B82A" w14:textId="77777777" w:rsidR="00A77B3E" w:rsidRPr="00573B26" w:rsidRDefault="00C642ED">
      <w:pPr>
        <w:spacing w:line="360" w:lineRule="auto"/>
        <w:jc w:val="both"/>
      </w:pPr>
      <w:r w:rsidRPr="00573B26">
        <w:rPr>
          <w:rFonts w:ascii="Book Antiqua" w:eastAsia="Book Antiqua" w:hAnsi="Book Antiqua" w:cs="Book Antiqua"/>
          <w:color w:val="000000"/>
        </w:rPr>
        <w:t xml:space="preserve">8 </w:t>
      </w:r>
      <w:r w:rsidRPr="00573B26">
        <w:rPr>
          <w:rFonts w:ascii="Book Antiqua" w:eastAsia="Book Antiqua" w:hAnsi="Book Antiqua" w:cs="Book Antiqua"/>
          <w:b/>
          <w:bCs/>
          <w:color w:val="000000"/>
        </w:rPr>
        <w:t>Sharma OP</w:t>
      </w:r>
      <w:r w:rsidRPr="00573B26">
        <w:rPr>
          <w:rFonts w:ascii="Book Antiqua" w:eastAsia="Book Antiqua" w:hAnsi="Book Antiqua" w:cs="Book Antiqua"/>
          <w:color w:val="000000"/>
        </w:rPr>
        <w:t xml:space="preserve">, Blaney J, Oswanski MF, Assi Z, Disalle R, Latocki V. Stab wound of the neck with contralateral hemo-pneumothorax. </w:t>
      </w:r>
      <w:r w:rsidRPr="00573B26">
        <w:rPr>
          <w:rFonts w:ascii="Book Antiqua" w:eastAsia="Book Antiqua" w:hAnsi="Book Antiqua" w:cs="Book Antiqua"/>
          <w:i/>
          <w:iCs/>
          <w:color w:val="000000"/>
        </w:rPr>
        <w:t>J Emerg Med</w:t>
      </w:r>
      <w:r w:rsidRPr="00573B26">
        <w:rPr>
          <w:rFonts w:ascii="Book Antiqua" w:eastAsia="Book Antiqua" w:hAnsi="Book Antiqua" w:cs="Book Antiqua"/>
          <w:color w:val="000000"/>
        </w:rPr>
        <w:t xml:space="preserve"> 2010; </w:t>
      </w:r>
      <w:r w:rsidRPr="00573B26">
        <w:rPr>
          <w:rFonts w:ascii="Book Antiqua" w:eastAsia="Book Antiqua" w:hAnsi="Book Antiqua" w:cs="Book Antiqua"/>
          <w:b/>
          <w:bCs/>
          <w:color w:val="000000"/>
        </w:rPr>
        <w:t>39</w:t>
      </w:r>
      <w:r w:rsidRPr="00573B26">
        <w:rPr>
          <w:rFonts w:ascii="Book Antiqua" w:eastAsia="Book Antiqua" w:hAnsi="Book Antiqua" w:cs="Book Antiqua"/>
          <w:color w:val="000000"/>
        </w:rPr>
        <w:t>: e135-e138 [PMID: 17976811 DOI: 10.1016/j.jemermed.2007.04.008]</w:t>
      </w:r>
    </w:p>
    <w:p w14:paraId="206CE3EC" w14:textId="77777777" w:rsidR="00A77B3E" w:rsidRPr="00573B26" w:rsidRDefault="00C642ED">
      <w:pPr>
        <w:spacing w:line="360" w:lineRule="auto"/>
        <w:jc w:val="both"/>
      </w:pPr>
      <w:r w:rsidRPr="00573B26">
        <w:rPr>
          <w:rFonts w:ascii="Book Antiqua" w:eastAsia="Book Antiqua" w:hAnsi="Book Antiqua" w:cs="Book Antiqua"/>
          <w:color w:val="000000"/>
        </w:rPr>
        <w:t xml:space="preserve">9 </w:t>
      </w:r>
      <w:r w:rsidRPr="00573B26">
        <w:rPr>
          <w:rFonts w:ascii="Book Antiqua" w:eastAsia="Book Antiqua" w:hAnsi="Book Antiqua" w:cs="Book Antiqua"/>
          <w:b/>
          <w:bCs/>
          <w:color w:val="000000"/>
        </w:rPr>
        <w:t>Seth A</w:t>
      </w:r>
      <w:r w:rsidRPr="00573B26">
        <w:rPr>
          <w:rFonts w:ascii="Book Antiqua" w:eastAsia="Book Antiqua" w:hAnsi="Book Antiqua" w:cs="Book Antiqua"/>
          <w:color w:val="000000"/>
        </w:rPr>
        <w:t xml:space="preserve">, Matias R, Veloso AP, Delp SL. A Biomechanical Model of the Scapulothoracic Joint to Accurately Capture Scapular Kinematics during Shoulder Movements. </w:t>
      </w:r>
      <w:r w:rsidRPr="00573B26">
        <w:rPr>
          <w:rFonts w:ascii="Book Antiqua" w:eastAsia="Book Antiqua" w:hAnsi="Book Antiqua" w:cs="Book Antiqua"/>
          <w:i/>
          <w:iCs/>
          <w:color w:val="000000"/>
        </w:rPr>
        <w:t>PLoS One</w:t>
      </w:r>
      <w:r w:rsidRPr="00573B26">
        <w:rPr>
          <w:rFonts w:ascii="Book Antiqua" w:eastAsia="Book Antiqua" w:hAnsi="Book Antiqua" w:cs="Book Antiqua"/>
          <w:color w:val="000000"/>
        </w:rPr>
        <w:t xml:space="preserve"> 2016; </w:t>
      </w:r>
      <w:r w:rsidRPr="00573B26">
        <w:rPr>
          <w:rFonts w:ascii="Book Antiqua" w:eastAsia="Book Antiqua" w:hAnsi="Book Antiqua" w:cs="Book Antiqua"/>
          <w:b/>
          <w:bCs/>
          <w:color w:val="000000"/>
        </w:rPr>
        <w:t>11</w:t>
      </w:r>
      <w:r w:rsidRPr="00573B26">
        <w:rPr>
          <w:rFonts w:ascii="Book Antiqua" w:eastAsia="Book Antiqua" w:hAnsi="Book Antiqua" w:cs="Book Antiqua"/>
          <w:color w:val="000000"/>
        </w:rPr>
        <w:t>: e0141028 [PMID: 26734761 DOI: 10.1371/journal.pone.0141028]</w:t>
      </w:r>
    </w:p>
    <w:p w14:paraId="0C70A536" w14:textId="07F51DF5" w:rsidR="00A77B3E" w:rsidRPr="00573B26" w:rsidRDefault="008D4518">
      <w:pPr>
        <w:spacing w:line="360" w:lineRule="auto"/>
        <w:jc w:val="both"/>
      </w:pPr>
      <w:r w:rsidRPr="00573B26">
        <w:rPr>
          <w:rFonts w:ascii="Book Antiqua" w:eastAsia="Book Antiqua" w:hAnsi="Book Antiqua" w:cs="Book Antiqua"/>
          <w:color w:val="000000"/>
        </w:rPr>
        <w:t xml:space="preserve">10 </w:t>
      </w:r>
      <w:r w:rsidRPr="00573B26">
        <w:rPr>
          <w:rFonts w:ascii="Book Antiqua" w:eastAsia="Book Antiqua" w:hAnsi="Book Antiqua" w:cs="Book Antiqua"/>
          <w:b/>
          <w:bCs/>
          <w:color w:val="000000"/>
        </w:rPr>
        <w:t>Temel U</w:t>
      </w:r>
      <w:r w:rsidRPr="00573B26">
        <w:rPr>
          <w:rFonts w:ascii="Book Antiqua" w:eastAsia="Book Antiqua" w:hAnsi="Book Antiqua" w:cs="Book Antiqua"/>
          <w:color w:val="000000"/>
        </w:rPr>
        <w:t>, Temel AGA. Surgical Procedures in Patients with Thoracic Trauma. In: Özyurtkan MO, Bostancı K, Özpolat B. Thoracic Trauma. Ankara: Ankara Nobel Medical Bookstores, 2018: 83-89</w:t>
      </w:r>
    </w:p>
    <w:p w14:paraId="587EBF3D" w14:textId="15EE9EBC" w:rsidR="00A77B3E" w:rsidRPr="00573B26" w:rsidRDefault="00C642ED">
      <w:pPr>
        <w:spacing w:line="360" w:lineRule="auto"/>
        <w:jc w:val="both"/>
        <w:rPr>
          <w:rFonts w:ascii="Book Antiqua" w:eastAsia="Book Antiqua" w:hAnsi="Book Antiqua" w:cs="Book Antiqua"/>
          <w:color w:val="000000"/>
        </w:rPr>
      </w:pPr>
      <w:r w:rsidRPr="00573B26">
        <w:rPr>
          <w:rFonts w:ascii="Book Antiqua" w:eastAsia="Book Antiqua" w:hAnsi="Book Antiqua" w:cs="Book Antiqua"/>
          <w:color w:val="000000"/>
        </w:rPr>
        <w:t xml:space="preserve">11 </w:t>
      </w:r>
      <w:r w:rsidRPr="00573B26">
        <w:rPr>
          <w:rFonts w:ascii="Book Antiqua" w:eastAsia="Book Antiqua" w:hAnsi="Book Antiqua" w:cs="Book Antiqua"/>
          <w:b/>
          <w:bCs/>
          <w:color w:val="000000"/>
        </w:rPr>
        <w:t>Koyanagi T</w:t>
      </w:r>
      <w:r w:rsidRPr="00573B26">
        <w:rPr>
          <w:rFonts w:ascii="Book Antiqua" w:eastAsia="Book Antiqua" w:hAnsi="Book Antiqua" w:cs="Book Antiqua"/>
          <w:color w:val="000000"/>
        </w:rPr>
        <w:t xml:space="preserve">, Kawaharada N, Kurimoto Y, Ito T, Baba T, Nakamura M, Watanebe A, Higami T. Examination of intercostal arteries with transthoracic Doppler sonography. </w:t>
      </w:r>
      <w:r w:rsidRPr="00573B26">
        <w:rPr>
          <w:rFonts w:ascii="Book Antiqua" w:eastAsia="Book Antiqua" w:hAnsi="Book Antiqua" w:cs="Book Antiqua"/>
          <w:i/>
          <w:iCs/>
          <w:color w:val="000000"/>
        </w:rPr>
        <w:t>Echocardiography</w:t>
      </w:r>
      <w:r w:rsidRPr="00573B26">
        <w:rPr>
          <w:rFonts w:ascii="Book Antiqua" w:eastAsia="Book Antiqua" w:hAnsi="Book Antiqua" w:cs="Book Antiqua"/>
          <w:color w:val="000000"/>
        </w:rPr>
        <w:t xml:space="preserve"> 2010; </w:t>
      </w:r>
      <w:r w:rsidRPr="00573B26">
        <w:rPr>
          <w:rFonts w:ascii="Book Antiqua" w:eastAsia="Book Antiqua" w:hAnsi="Book Antiqua" w:cs="Book Antiqua"/>
          <w:b/>
          <w:bCs/>
          <w:color w:val="000000"/>
        </w:rPr>
        <w:t>27</w:t>
      </w:r>
      <w:r w:rsidRPr="00573B26">
        <w:rPr>
          <w:rFonts w:ascii="Book Antiqua" w:eastAsia="Book Antiqua" w:hAnsi="Book Antiqua" w:cs="Book Antiqua"/>
          <w:color w:val="000000"/>
        </w:rPr>
        <w:t>: 17-20 [PMID: 19725850 DOI: 10.1111/j.1540-8175.2009.00970.x]</w:t>
      </w:r>
    </w:p>
    <w:p w14:paraId="7E4C6072" w14:textId="531CE090" w:rsidR="00BD589C" w:rsidRPr="00573B26" w:rsidRDefault="00BD589C">
      <w:pPr>
        <w:spacing w:line="360" w:lineRule="auto"/>
        <w:jc w:val="both"/>
        <w:rPr>
          <w:rFonts w:ascii="Book Antiqua" w:eastAsia="Book Antiqua" w:hAnsi="Book Antiqua" w:cs="Book Antiqua"/>
          <w:color w:val="000000"/>
        </w:rPr>
      </w:pPr>
    </w:p>
    <w:p w14:paraId="117B70F6" w14:textId="77777777" w:rsidR="00A77B3E" w:rsidRPr="00573B26" w:rsidRDefault="00A77B3E">
      <w:pPr>
        <w:spacing w:line="360" w:lineRule="auto"/>
        <w:jc w:val="both"/>
        <w:sectPr w:rsidR="00A77B3E" w:rsidRPr="00573B26">
          <w:footerReference w:type="default" r:id="rId7"/>
          <w:pgSz w:w="12240" w:h="15840"/>
          <w:pgMar w:top="1440" w:right="1440" w:bottom="1440" w:left="1440" w:header="720" w:footer="720" w:gutter="0"/>
          <w:cols w:space="720"/>
          <w:docGrid w:linePitch="360"/>
        </w:sectPr>
      </w:pPr>
    </w:p>
    <w:p w14:paraId="47A95320" w14:textId="77777777" w:rsidR="00A77B3E" w:rsidRPr="00573B26" w:rsidRDefault="00C642ED">
      <w:pPr>
        <w:spacing w:line="360" w:lineRule="auto"/>
        <w:jc w:val="both"/>
      </w:pPr>
      <w:r w:rsidRPr="00573B26">
        <w:rPr>
          <w:rFonts w:ascii="Book Antiqua" w:eastAsia="Book Antiqua" w:hAnsi="Book Antiqua" w:cs="Book Antiqua"/>
          <w:b/>
          <w:color w:val="000000"/>
        </w:rPr>
        <w:t>Footnotes</w:t>
      </w:r>
    </w:p>
    <w:p w14:paraId="45E6D096" w14:textId="2CF7382D" w:rsidR="00A77B3E" w:rsidRPr="00573B26" w:rsidRDefault="00C642ED">
      <w:pPr>
        <w:spacing w:line="360" w:lineRule="auto"/>
        <w:jc w:val="both"/>
      </w:pPr>
      <w:r w:rsidRPr="00573B26">
        <w:rPr>
          <w:rFonts w:ascii="Book Antiqua" w:eastAsia="Book Antiqua" w:hAnsi="Book Antiqua" w:cs="Book Antiqua"/>
          <w:b/>
          <w:bCs/>
          <w:color w:val="000000"/>
          <w:szCs w:val="22"/>
        </w:rPr>
        <w:t xml:space="preserve">Informed consent statement: </w:t>
      </w:r>
      <w:r w:rsidRPr="00573B26">
        <w:rPr>
          <w:rFonts w:ascii="Book Antiqua" w:eastAsia="Book Antiqua" w:hAnsi="Book Antiqua" w:cs="Book Antiqua"/>
          <w:color w:val="000000"/>
        </w:rPr>
        <w:t>Informed written consent was obtained from the patient for publication of this report and any accompanying images.</w:t>
      </w:r>
    </w:p>
    <w:p w14:paraId="42DCDBCA" w14:textId="77777777" w:rsidR="00A77B3E" w:rsidRPr="00573B26" w:rsidRDefault="00A77B3E">
      <w:pPr>
        <w:spacing w:line="360" w:lineRule="auto"/>
        <w:jc w:val="both"/>
      </w:pPr>
    </w:p>
    <w:p w14:paraId="2DE8B14C" w14:textId="2332E94C" w:rsidR="00A77B3E" w:rsidRPr="00573B26" w:rsidRDefault="00C642ED">
      <w:pPr>
        <w:spacing w:line="360" w:lineRule="auto"/>
        <w:jc w:val="both"/>
      </w:pPr>
      <w:r w:rsidRPr="00573B26">
        <w:rPr>
          <w:rFonts w:ascii="Book Antiqua" w:eastAsia="Book Antiqua" w:hAnsi="Book Antiqua" w:cs="Book Antiqua"/>
          <w:b/>
          <w:bCs/>
          <w:color w:val="000000"/>
          <w:szCs w:val="22"/>
        </w:rPr>
        <w:t xml:space="preserve">Conflict-of-interest statement: </w:t>
      </w:r>
      <w:r w:rsidRPr="00573B26">
        <w:rPr>
          <w:rFonts w:ascii="Book Antiqua" w:eastAsia="Book Antiqua" w:hAnsi="Book Antiqua" w:cs="Book Antiqua"/>
          <w:color w:val="000000"/>
        </w:rPr>
        <w:t>The author declares that there is no conflict of interest.</w:t>
      </w:r>
    </w:p>
    <w:p w14:paraId="52E66D13" w14:textId="77777777" w:rsidR="00A77B3E" w:rsidRPr="00573B26" w:rsidRDefault="00A77B3E">
      <w:pPr>
        <w:spacing w:line="360" w:lineRule="auto"/>
        <w:jc w:val="both"/>
      </w:pPr>
    </w:p>
    <w:p w14:paraId="6CF36224" w14:textId="77777777" w:rsidR="00A77B3E" w:rsidRPr="00573B26" w:rsidRDefault="00C642ED">
      <w:pPr>
        <w:spacing w:line="360" w:lineRule="auto"/>
        <w:jc w:val="both"/>
      </w:pPr>
      <w:r w:rsidRPr="00573B26">
        <w:rPr>
          <w:rFonts w:ascii="Book Antiqua" w:eastAsia="Book Antiqua" w:hAnsi="Book Antiqua" w:cs="Book Antiqua"/>
          <w:b/>
          <w:bCs/>
          <w:color w:val="000000"/>
          <w:szCs w:val="22"/>
        </w:rPr>
        <w:t xml:space="preserve">CARE Checklist (2016) statement: </w:t>
      </w:r>
      <w:r w:rsidRPr="00573B26">
        <w:rPr>
          <w:rFonts w:ascii="Book Antiqua" w:eastAsia="Book Antiqua" w:hAnsi="Book Antiqua" w:cs="Book Antiqua"/>
          <w:color w:val="000000"/>
        </w:rPr>
        <w:t>The author has read the CARE Checklist (2016), and the manuscript was prepared and revised according to the CARE Checklist (2016).</w:t>
      </w:r>
    </w:p>
    <w:p w14:paraId="50090307" w14:textId="77777777" w:rsidR="00A77B3E" w:rsidRPr="00573B26" w:rsidRDefault="00A77B3E">
      <w:pPr>
        <w:spacing w:line="360" w:lineRule="auto"/>
        <w:jc w:val="both"/>
      </w:pPr>
    </w:p>
    <w:p w14:paraId="04C5F871" w14:textId="77777777" w:rsidR="00A77B3E" w:rsidRPr="00573B26" w:rsidRDefault="00C642ED">
      <w:pPr>
        <w:spacing w:line="360" w:lineRule="auto"/>
        <w:jc w:val="both"/>
      </w:pPr>
      <w:r w:rsidRPr="00573B26">
        <w:rPr>
          <w:rFonts w:ascii="Book Antiqua" w:eastAsia="Book Antiqua" w:hAnsi="Book Antiqua" w:cs="Book Antiqua"/>
          <w:b/>
          <w:bCs/>
          <w:color w:val="000000"/>
        </w:rPr>
        <w:t xml:space="preserve">Open-Access: </w:t>
      </w:r>
      <w:r w:rsidRPr="00573B2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D8B2CF" w14:textId="77777777" w:rsidR="00A77B3E" w:rsidRPr="00573B26" w:rsidRDefault="00A77B3E">
      <w:pPr>
        <w:spacing w:line="360" w:lineRule="auto"/>
        <w:jc w:val="both"/>
      </w:pPr>
    </w:p>
    <w:p w14:paraId="49508C09" w14:textId="1A183061" w:rsidR="00A77B3E" w:rsidRPr="00573B26" w:rsidRDefault="00C642ED">
      <w:pPr>
        <w:spacing w:line="360" w:lineRule="auto"/>
        <w:jc w:val="both"/>
      </w:pPr>
      <w:r w:rsidRPr="00573B26">
        <w:rPr>
          <w:rFonts w:ascii="Book Antiqua" w:eastAsia="Book Antiqua" w:hAnsi="Book Antiqua" w:cs="Book Antiqua"/>
          <w:b/>
          <w:color w:val="000000"/>
        </w:rPr>
        <w:t xml:space="preserve">Manuscript source: </w:t>
      </w:r>
      <w:r w:rsidRPr="00573B26">
        <w:rPr>
          <w:rFonts w:ascii="Book Antiqua" w:eastAsia="Book Antiqua" w:hAnsi="Book Antiqua" w:cs="Book Antiqua"/>
          <w:color w:val="000000"/>
        </w:rPr>
        <w:t xml:space="preserve">Unsolicited </w:t>
      </w:r>
      <w:r w:rsidR="009E1A1B" w:rsidRPr="00573B26">
        <w:rPr>
          <w:rFonts w:ascii="Book Antiqua" w:eastAsia="Book Antiqua" w:hAnsi="Book Antiqua" w:cs="Book Antiqua"/>
          <w:color w:val="000000"/>
        </w:rPr>
        <w:t>ma</w:t>
      </w:r>
      <w:r w:rsidRPr="00573B26">
        <w:rPr>
          <w:rFonts w:ascii="Book Antiqua" w:eastAsia="Book Antiqua" w:hAnsi="Book Antiqua" w:cs="Book Antiqua"/>
          <w:color w:val="000000"/>
        </w:rPr>
        <w:t>nuscript</w:t>
      </w:r>
    </w:p>
    <w:p w14:paraId="32191122" w14:textId="77777777" w:rsidR="00A77B3E" w:rsidRPr="00573B26" w:rsidRDefault="00A77B3E">
      <w:pPr>
        <w:spacing w:line="360" w:lineRule="auto"/>
        <w:jc w:val="both"/>
      </w:pPr>
    </w:p>
    <w:p w14:paraId="06B3135B" w14:textId="77777777" w:rsidR="00A77B3E" w:rsidRPr="00573B26" w:rsidRDefault="00C642ED">
      <w:pPr>
        <w:spacing w:line="360" w:lineRule="auto"/>
        <w:jc w:val="both"/>
      </w:pPr>
      <w:r w:rsidRPr="00573B26">
        <w:rPr>
          <w:rFonts w:ascii="Book Antiqua" w:eastAsia="Book Antiqua" w:hAnsi="Book Antiqua" w:cs="Book Antiqua"/>
          <w:b/>
          <w:color w:val="000000"/>
        </w:rPr>
        <w:t xml:space="preserve">Peer-review started: </w:t>
      </w:r>
      <w:r w:rsidRPr="00573B26">
        <w:rPr>
          <w:rFonts w:ascii="Book Antiqua" w:eastAsia="Book Antiqua" w:hAnsi="Book Antiqua" w:cs="Book Antiqua"/>
          <w:color w:val="000000"/>
        </w:rPr>
        <w:t>January 9, 2021</w:t>
      </w:r>
    </w:p>
    <w:p w14:paraId="1EFA40E9" w14:textId="77777777" w:rsidR="00A77B3E" w:rsidRPr="00573B26" w:rsidRDefault="00C642ED">
      <w:pPr>
        <w:spacing w:line="360" w:lineRule="auto"/>
        <w:jc w:val="both"/>
      </w:pPr>
      <w:r w:rsidRPr="00573B26">
        <w:rPr>
          <w:rFonts w:ascii="Book Antiqua" w:eastAsia="Book Antiqua" w:hAnsi="Book Antiqua" w:cs="Book Antiqua"/>
          <w:b/>
          <w:color w:val="000000"/>
        </w:rPr>
        <w:t xml:space="preserve">First decision: </w:t>
      </w:r>
      <w:r w:rsidRPr="00573B26">
        <w:rPr>
          <w:rFonts w:ascii="Book Antiqua" w:eastAsia="Book Antiqua" w:hAnsi="Book Antiqua" w:cs="Book Antiqua"/>
          <w:color w:val="000000"/>
        </w:rPr>
        <w:t>January 17, 2021</w:t>
      </w:r>
    </w:p>
    <w:p w14:paraId="0198DCA0" w14:textId="56DBA775" w:rsidR="00A77B3E" w:rsidRPr="00573B26" w:rsidRDefault="00C642ED">
      <w:pPr>
        <w:spacing w:line="360" w:lineRule="auto"/>
        <w:jc w:val="both"/>
      </w:pPr>
      <w:r w:rsidRPr="00573B26">
        <w:rPr>
          <w:rFonts w:ascii="Book Antiqua" w:eastAsia="Book Antiqua" w:hAnsi="Book Antiqua" w:cs="Book Antiqua"/>
          <w:b/>
          <w:color w:val="000000"/>
        </w:rPr>
        <w:t xml:space="preserve">Article in press: </w:t>
      </w:r>
      <w:r w:rsidR="00964636" w:rsidRPr="00573B26">
        <w:rPr>
          <w:rFonts w:ascii="Book Antiqua" w:eastAsia="Book Antiqua" w:hAnsi="Book Antiqua" w:cs="Book Antiqua"/>
          <w:color w:val="000000"/>
        </w:rPr>
        <w:t>March 17, 2021</w:t>
      </w:r>
    </w:p>
    <w:p w14:paraId="60549F85" w14:textId="77777777" w:rsidR="00A77B3E" w:rsidRPr="00573B26" w:rsidRDefault="00A77B3E">
      <w:pPr>
        <w:spacing w:line="360" w:lineRule="auto"/>
        <w:jc w:val="both"/>
      </w:pPr>
    </w:p>
    <w:p w14:paraId="29789067" w14:textId="04E8BA79" w:rsidR="00A77B3E" w:rsidRPr="00573B26" w:rsidRDefault="00C642ED">
      <w:pPr>
        <w:spacing w:line="360" w:lineRule="auto"/>
        <w:jc w:val="both"/>
      </w:pPr>
      <w:r w:rsidRPr="00573B26">
        <w:rPr>
          <w:rFonts w:ascii="Book Antiqua" w:eastAsia="Book Antiqua" w:hAnsi="Book Antiqua" w:cs="Book Antiqua"/>
          <w:b/>
          <w:color w:val="000000"/>
        </w:rPr>
        <w:t xml:space="preserve">Specialty type: </w:t>
      </w:r>
      <w:r w:rsidR="009E1A1B" w:rsidRPr="00573B26">
        <w:rPr>
          <w:rFonts w:ascii="Book Antiqua" w:eastAsia="微软雅黑" w:hAnsi="Book Antiqua" w:cs="宋体"/>
        </w:rPr>
        <w:t>Medicine, research and experimental</w:t>
      </w:r>
    </w:p>
    <w:p w14:paraId="1148919E" w14:textId="77777777" w:rsidR="00A77B3E" w:rsidRPr="00573B26" w:rsidRDefault="00C642ED">
      <w:pPr>
        <w:spacing w:line="360" w:lineRule="auto"/>
        <w:jc w:val="both"/>
      </w:pPr>
      <w:r w:rsidRPr="00573B26">
        <w:rPr>
          <w:rFonts w:ascii="Book Antiqua" w:eastAsia="Book Antiqua" w:hAnsi="Book Antiqua" w:cs="Book Antiqua"/>
          <w:b/>
          <w:color w:val="000000"/>
        </w:rPr>
        <w:t xml:space="preserve">Country/Territory of origin: </w:t>
      </w:r>
      <w:r w:rsidRPr="00573B26">
        <w:rPr>
          <w:rFonts w:ascii="Book Antiqua" w:eastAsia="Book Antiqua" w:hAnsi="Book Antiqua" w:cs="Book Antiqua"/>
          <w:color w:val="000000"/>
        </w:rPr>
        <w:t>Turkey</w:t>
      </w:r>
    </w:p>
    <w:p w14:paraId="280717D7" w14:textId="77777777" w:rsidR="00A77B3E" w:rsidRPr="00573B26" w:rsidRDefault="00C642ED">
      <w:pPr>
        <w:spacing w:line="360" w:lineRule="auto"/>
        <w:jc w:val="both"/>
      </w:pPr>
      <w:r w:rsidRPr="00573B26">
        <w:rPr>
          <w:rFonts w:ascii="Book Antiqua" w:eastAsia="Book Antiqua" w:hAnsi="Book Antiqua" w:cs="Book Antiqua"/>
          <w:b/>
          <w:color w:val="000000"/>
        </w:rPr>
        <w:t>Peer-review report’s scientific quality classification</w:t>
      </w:r>
    </w:p>
    <w:p w14:paraId="332A6AD9" w14:textId="77777777" w:rsidR="00A77B3E" w:rsidRPr="00573B26" w:rsidRDefault="00C642ED">
      <w:pPr>
        <w:spacing w:line="360" w:lineRule="auto"/>
        <w:jc w:val="both"/>
      </w:pPr>
      <w:r w:rsidRPr="00573B26">
        <w:rPr>
          <w:rFonts w:ascii="Book Antiqua" w:eastAsia="Book Antiqua" w:hAnsi="Book Antiqua" w:cs="Book Antiqua"/>
          <w:color w:val="000000"/>
        </w:rPr>
        <w:t>Grade A (Excellent): A</w:t>
      </w:r>
    </w:p>
    <w:p w14:paraId="7D51D534" w14:textId="77777777" w:rsidR="00A77B3E" w:rsidRPr="00573B26" w:rsidRDefault="00C642ED">
      <w:pPr>
        <w:spacing w:line="360" w:lineRule="auto"/>
        <w:jc w:val="both"/>
      </w:pPr>
      <w:r w:rsidRPr="00573B26">
        <w:rPr>
          <w:rFonts w:ascii="Book Antiqua" w:eastAsia="Book Antiqua" w:hAnsi="Book Antiqua" w:cs="Book Antiqua"/>
          <w:color w:val="000000"/>
        </w:rPr>
        <w:t>Grade B (Very good): 0</w:t>
      </w:r>
    </w:p>
    <w:p w14:paraId="476D2BF1" w14:textId="77777777" w:rsidR="00A77B3E" w:rsidRPr="00573B26" w:rsidRDefault="00C642ED">
      <w:pPr>
        <w:spacing w:line="360" w:lineRule="auto"/>
        <w:jc w:val="both"/>
      </w:pPr>
      <w:r w:rsidRPr="00573B26">
        <w:rPr>
          <w:rFonts w:ascii="Book Antiqua" w:eastAsia="Book Antiqua" w:hAnsi="Book Antiqua" w:cs="Book Antiqua"/>
          <w:color w:val="000000"/>
        </w:rPr>
        <w:t>Grade C (Good): 0</w:t>
      </w:r>
    </w:p>
    <w:p w14:paraId="423BA6B9" w14:textId="77777777" w:rsidR="00A77B3E" w:rsidRPr="00573B26" w:rsidRDefault="00C642ED">
      <w:pPr>
        <w:spacing w:line="360" w:lineRule="auto"/>
        <w:jc w:val="both"/>
      </w:pPr>
      <w:r w:rsidRPr="00573B26">
        <w:rPr>
          <w:rFonts w:ascii="Book Antiqua" w:eastAsia="Book Antiqua" w:hAnsi="Book Antiqua" w:cs="Book Antiqua"/>
          <w:color w:val="000000"/>
        </w:rPr>
        <w:t>Grade D (Fair): 0</w:t>
      </w:r>
    </w:p>
    <w:p w14:paraId="0577EFD0" w14:textId="77777777" w:rsidR="00A77B3E" w:rsidRPr="00573B26" w:rsidRDefault="00C642ED">
      <w:pPr>
        <w:spacing w:line="360" w:lineRule="auto"/>
        <w:jc w:val="both"/>
      </w:pPr>
      <w:r w:rsidRPr="00573B26">
        <w:rPr>
          <w:rFonts w:ascii="Book Antiqua" w:eastAsia="Book Antiqua" w:hAnsi="Book Antiqua" w:cs="Book Antiqua"/>
          <w:color w:val="000000"/>
        </w:rPr>
        <w:t>Grade E (Poor): 0</w:t>
      </w:r>
    </w:p>
    <w:p w14:paraId="6537A18D" w14:textId="77777777" w:rsidR="00A77B3E" w:rsidRPr="00573B26" w:rsidRDefault="00A77B3E">
      <w:pPr>
        <w:spacing w:line="360" w:lineRule="auto"/>
        <w:jc w:val="both"/>
      </w:pPr>
    </w:p>
    <w:p w14:paraId="7E22D21A" w14:textId="2070D51A" w:rsidR="000D4F72" w:rsidRPr="00573B26" w:rsidRDefault="00C642ED">
      <w:pPr>
        <w:spacing w:line="360" w:lineRule="auto"/>
        <w:jc w:val="both"/>
        <w:rPr>
          <w:lang w:eastAsia="zh-CN"/>
        </w:rPr>
      </w:pPr>
      <w:r w:rsidRPr="00573B26">
        <w:rPr>
          <w:rFonts w:ascii="Book Antiqua" w:eastAsia="Book Antiqua" w:hAnsi="Book Antiqua" w:cs="Book Antiqua"/>
          <w:b/>
          <w:color w:val="000000"/>
        </w:rPr>
        <w:t xml:space="preserve">P-Reviewer: </w:t>
      </w:r>
      <w:r w:rsidRPr="00573B26">
        <w:rPr>
          <w:rFonts w:ascii="Book Antiqua" w:eastAsia="Book Antiqua" w:hAnsi="Book Antiqua" w:cs="Book Antiqua"/>
          <w:color w:val="000000"/>
        </w:rPr>
        <w:t>Gedik IE</w:t>
      </w:r>
      <w:r w:rsidRPr="00573B26">
        <w:rPr>
          <w:rFonts w:ascii="Book Antiqua" w:eastAsia="Book Antiqua" w:hAnsi="Book Antiqua" w:cs="Book Antiqua"/>
          <w:b/>
          <w:color w:val="000000"/>
        </w:rPr>
        <w:t xml:space="preserve"> S-Editor: </w:t>
      </w:r>
      <w:r w:rsidRPr="00573B26">
        <w:rPr>
          <w:rFonts w:ascii="Book Antiqua" w:eastAsia="Book Antiqua" w:hAnsi="Book Antiqua" w:cs="Book Antiqua"/>
          <w:color w:val="000000"/>
        </w:rPr>
        <w:t>Gao CC</w:t>
      </w:r>
      <w:r w:rsidRPr="00573B26">
        <w:rPr>
          <w:rFonts w:ascii="Book Antiqua" w:eastAsia="Book Antiqua" w:hAnsi="Book Antiqua" w:cs="Book Antiqua"/>
          <w:b/>
          <w:color w:val="000000"/>
        </w:rPr>
        <w:t xml:space="preserve"> L-Editor: </w:t>
      </w:r>
      <w:r w:rsidR="00964636" w:rsidRPr="00573B26">
        <w:rPr>
          <w:rFonts w:ascii="Book Antiqua" w:eastAsia="Book Antiqua" w:hAnsi="Book Antiqua" w:cs="Book Antiqua"/>
          <w:color w:val="000000"/>
        </w:rPr>
        <w:t>A</w:t>
      </w:r>
      <w:r w:rsidR="00964636" w:rsidRPr="00573B26">
        <w:rPr>
          <w:rFonts w:ascii="Book Antiqua" w:eastAsia="Book Antiqua" w:hAnsi="Book Antiqua" w:cs="Book Antiqua"/>
          <w:b/>
          <w:color w:val="000000"/>
        </w:rPr>
        <w:t xml:space="preserve"> </w:t>
      </w:r>
      <w:r w:rsidRPr="00573B26">
        <w:rPr>
          <w:rFonts w:ascii="Book Antiqua" w:eastAsia="Book Antiqua" w:hAnsi="Book Antiqua" w:cs="Book Antiqua"/>
          <w:b/>
          <w:color w:val="000000"/>
        </w:rPr>
        <w:t xml:space="preserve">P-Editor: </w:t>
      </w:r>
      <w:r w:rsidR="00964636" w:rsidRPr="00573B26">
        <w:rPr>
          <w:rFonts w:ascii="Book Antiqua" w:eastAsia="Book Antiqua" w:hAnsi="Book Antiqua" w:cs="Book Antiqua" w:hint="eastAsia"/>
          <w:color w:val="000000"/>
        </w:rPr>
        <w:t>Li</w:t>
      </w:r>
      <w:r w:rsidR="00964636" w:rsidRPr="00573B26">
        <w:rPr>
          <w:rFonts w:ascii="Book Antiqua" w:eastAsia="Book Antiqua" w:hAnsi="Book Antiqua" w:cs="Book Antiqua"/>
          <w:color w:val="000000"/>
        </w:rPr>
        <w:t xml:space="preserve"> X</w:t>
      </w:r>
    </w:p>
    <w:p w14:paraId="78DB36C1" w14:textId="77777777" w:rsidR="00964636" w:rsidRPr="00573B26" w:rsidRDefault="00964636">
      <w:pPr>
        <w:spacing w:line="360" w:lineRule="auto"/>
        <w:jc w:val="both"/>
        <w:rPr>
          <w:lang w:eastAsia="zh-CN"/>
        </w:rPr>
      </w:pPr>
    </w:p>
    <w:p w14:paraId="3491170B" w14:textId="77777777" w:rsidR="00964636" w:rsidRPr="00573B26" w:rsidRDefault="00964636">
      <w:pPr>
        <w:spacing w:line="360" w:lineRule="auto"/>
        <w:jc w:val="both"/>
        <w:rPr>
          <w:lang w:eastAsia="zh-CN"/>
        </w:rPr>
      </w:pPr>
    </w:p>
    <w:p w14:paraId="2FF3B8C8" w14:textId="6F46646F" w:rsidR="00A77B3E" w:rsidRPr="00573B26" w:rsidRDefault="00C642ED">
      <w:pPr>
        <w:spacing w:line="360" w:lineRule="auto"/>
        <w:jc w:val="both"/>
        <w:rPr>
          <w:rFonts w:ascii="Book Antiqua" w:eastAsia="Book Antiqua" w:hAnsi="Book Antiqua" w:cs="Book Antiqua"/>
          <w:b/>
          <w:color w:val="000000"/>
        </w:rPr>
      </w:pPr>
      <w:r w:rsidRPr="00573B26">
        <w:rPr>
          <w:rFonts w:ascii="Book Antiqua" w:eastAsia="Book Antiqua" w:hAnsi="Book Antiqua" w:cs="Book Antiqua"/>
          <w:b/>
          <w:color w:val="000000"/>
        </w:rPr>
        <w:t>Figure Legends</w:t>
      </w:r>
    </w:p>
    <w:p w14:paraId="7A87E42A" w14:textId="1D99A2FB" w:rsidR="009E1A1B" w:rsidRPr="00573B26" w:rsidRDefault="009E1A1B">
      <w:pPr>
        <w:spacing w:line="360" w:lineRule="auto"/>
        <w:jc w:val="both"/>
      </w:pPr>
      <w:r w:rsidRPr="00573B26">
        <w:rPr>
          <w:noProof/>
          <w:lang w:eastAsia="zh-CN"/>
        </w:rPr>
        <w:drawing>
          <wp:inline distT="0" distB="0" distL="0" distR="0" wp14:anchorId="520D7F5F" wp14:editId="6ADC3993">
            <wp:extent cx="3954974" cy="26636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7885" cy="2672383"/>
                    </a:xfrm>
                    <a:prstGeom prst="rect">
                      <a:avLst/>
                    </a:prstGeom>
                  </pic:spPr>
                </pic:pic>
              </a:graphicData>
            </a:graphic>
          </wp:inline>
        </w:drawing>
      </w:r>
    </w:p>
    <w:p w14:paraId="2A0E4449" w14:textId="256FB66A" w:rsidR="009E1A1B" w:rsidRPr="00573B26" w:rsidRDefault="009E1A1B">
      <w:pPr>
        <w:spacing w:line="360" w:lineRule="auto"/>
        <w:jc w:val="both"/>
      </w:pPr>
      <w:r w:rsidRPr="00573B26">
        <w:rPr>
          <w:noProof/>
          <w:lang w:eastAsia="zh-CN"/>
        </w:rPr>
        <w:drawing>
          <wp:inline distT="0" distB="0" distL="0" distR="0" wp14:anchorId="49B5D9D2" wp14:editId="60723AE8">
            <wp:extent cx="3919993" cy="28125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8550" cy="2840231"/>
                    </a:xfrm>
                    <a:prstGeom prst="rect">
                      <a:avLst/>
                    </a:prstGeom>
                  </pic:spPr>
                </pic:pic>
              </a:graphicData>
            </a:graphic>
          </wp:inline>
        </w:drawing>
      </w:r>
    </w:p>
    <w:p w14:paraId="34049930" w14:textId="19DF7CC7" w:rsidR="009E1A1B" w:rsidRPr="00573B26" w:rsidRDefault="00C642ED">
      <w:pPr>
        <w:spacing w:line="360" w:lineRule="auto"/>
        <w:jc w:val="both"/>
        <w:rPr>
          <w:rFonts w:ascii="Book Antiqua" w:eastAsia="Book Antiqua" w:hAnsi="Book Antiqua" w:cs="Book Antiqua"/>
          <w:color w:val="000000"/>
        </w:rPr>
      </w:pPr>
      <w:r w:rsidRPr="00573B26">
        <w:rPr>
          <w:rFonts w:ascii="Book Antiqua" w:eastAsia="Book Antiqua" w:hAnsi="Book Antiqua" w:cs="Book Antiqua"/>
          <w:b/>
          <w:bCs/>
          <w:color w:val="000000"/>
        </w:rPr>
        <w:t>Figure 1 Pre-operative thoracic computed tomography.</w:t>
      </w:r>
      <w:r w:rsidRPr="00573B26">
        <w:rPr>
          <w:rFonts w:ascii="Book Antiqua" w:eastAsia="Book Antiqua" w:hAnsi="Book Antiqua" w:cs="Book Antiqua"/>
          <w:color w:val="000000"/>
        </w:rPr>
        <w:t xml:space="preserve"> A: Mediastinal window section of thoracic computed tomography: from a to b (level of the arrow). Penetration site of the sharp object (the pressure of dressing can be seen). A pneumoderma can be seen in the route taken by the sharp object from the left to right hemithorax; c: right hemithorax; B: Parenchymal window section of thoracic computed tomography: right hemopneumothorax.</w:t>
      </w:r>
    </w:p>
    <w:p w14:paraId="6594D5EB" w14:textId="65DFB9E1" w:rsidR="00A77B3E" w:rsidRPr="00573B26" w:rsidRDefault="009E1A1B">
      <w:pPr>
        <w:spacing w:line="360" w:lineRule="auto"/>
        <w:jc w:val="both"/>
        <w:rPr>
          <w:rFonts w:ascii="Book Antiqua" w:eastAsia="Book Antiqua" w:hAnsi="Book Antiqua" w:cs="Book Antiqua"/>
          <w:color w:val="000000"/>
        </w:rPr>
      </w:pPr>
      <w:r w:rsidRPr="00573B26">
        <w:rPr>
          <w:rFonts w:ascii="Book Antiqua" w:eastAsia="Book Antiqua" w:hAnsi="Book Antiqua" w:cs="Book Antiqua"/>
          <w:color w:val="000000"/>
        </w:rPr>
        <w:br w:type="page"/>
      </w:r>
      <w:r w:rsidRPr="00573B26">
        <w:rPr>
          <w:noProof/>
          <w:lang w:eastAsia="zh-CN"/>
        </w:rPr>
        <w:drawing>
          <wp:inline distT="0" distB="0" distL="0" distR="0" wp14:anchorId="67ECE54C" wp14:editId="062573FF">
            <wp:extent cx="3459276" cy="2627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3362" cy="2630729"/>
                    </a:xfrm>
                    <a:prstGeom prst="rect">
                      <a:avLst/>
                    </a:prstGeom>
                  </pic:spPr>
                </pic:pic>
              </a:graphicData>
            </a:graphic>
          </wp:inline>
        </w:drawing>
      </w:r>
    </w:p>
    <w:p w14:paraId="52EAC813" w14:textId="3F1FB626" w:rsidR="009E1A1B" w:rsidRPr="00573B26" w:rsidRDefault="009E1A1B">
      <w:pPr>
        <w:spacing w:line="360" w:lineRule="auto"/>
        <w:jc w:val="both"/>
      </w:pPr>
      <w:r w:rsidRPr="00573B26">
        <w:rPr>
          <w:noProof/>
          <w:lang w:eastAsia="zh-CN"/>
        </w:rPr>
        <w:drawing>
          <wp:inline distT="0" distB="0" distL="0" distR="0" wp14:anchorId="3E9BAFCA" wp14:editId="75B3A601">
            <wp:extent cx="3472738" cy="31914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634" cy="3204197"/>
                    </a:xfrm>
                    <a:prstGeom prst="rect">
                      <a:avLst/>
                    </a:prstGeom>
                  </pic:spPr>
                </pic:pic>
              </a:graphicData>
            </a:graphic>
          </wp:inline>
        </w:drawing>
      </w:r>
    </w:p>
    <w:p w14:paraId="2F7599AF" w14:textId="7D530D88" w:rsidR="009E1A1B" w:rsidRPr="00573B26" w:rsidRDefault="00C642ED">
      <w:pPr>
        <w:spacing w:line="360" w:lineRule="auto"/>
        <w:jc w:val="both"/>
        <w:rPr>
          <w:rFonts w:ascii="Book Antiqua" w:eastAsia="Book Antiqua" w:hAnsi="Book Antiqua" w:cs="Book Antiqua"/>
          <w:color w:val="000000"/>
        </w:rPr>
      </w:pPr>
      <w:r w:rsidRPr="00573B26">
        <w:rPr>
          <w:rFonts w:ascii="Book Antiqua" w:eastAsia="Book Antiqua" w:hAnsi="Book Antiqua" w:cs="Book Antiqua"/>
          <w:b/>
          <w:bCs/>
          <w:color w:val="000000"/>
        </w:rPr>
        <w:t>Figure 2 Posteroanterior chest X-rays after surgery.</w:t>
      </w:r>
      <w:r w:rsidRPr="00573B26">
        <w:rPr>
          <w:rFonts w:ascii="Book Antiqua" w:eastAsia="Book Antiqua" w:hAnsi="Book Antiqua" w:cs="Book Antiqua"/>
          <w:color w:val="000000"/>
        </w:rPr>
        <w:t xml:space="preserve"> A: Posteroanterior chest X-ray taken after right tube thoracostomy in the emergency room: the pneumothorax line in the right hemithorax is regressed, but the image of the right hemithorax is consistent with a hematoma; B: Posteroanterior chest X-ray taken after emergency right thoracotomy.</w:t>
      </w:r>
    </w:p>
    <w:p w14:paraId="49312486" w14:textId="58C01B79" w:rsidR="00A77B3E" w:rsidRPr="00573B26" w:rsidRDefault="009E1A1B">
      <w:pPr>
        <w:spacing w:line="360" w:lineRule="auto"/>
        <w:jc w:val="both"/>
      </w:pPr>
      <w:r w:rsidRPr="00573B26">
        <w:rPr>
          <w:rFonts w:ascii="Book Antiqua" w:eastAsia="Book Antiqua" w:hAnsi="Book Antiqua" w:cs="Book Antiqua"/>
          <w:color w:val="000000"/>
        </w:rPr>
        <w:br w:type="page"/>
      </w:r>
      <w:r w:rsidRPr="00573B26">
        <w:rPr>
          <w:noProof/>
          <w:lang w:eastAsia="zh-CN"/>
        </w:rPr>
        <w:drawing>
          <wp:inline distT="0" distB="0" distL="0" distR="0" wp14:anchorId="5CEAD582" wp14:editId="380DD34A">
            <wp:extent cx="3300943" cy="37454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7145" cy="3752471"/>
                    </a:xfrm>
                    <a:prstGeom prst="rect">
                      <a:avLst/>
                    </a:prstGeom>
                  </pic:spPr>
                </pic:pic>
              </a:graphicData>
            </a:graphic>
          </wp:inline>
        </w:drawing>
      </w:r>
    </w:p>
    <w:p w14:paraId="4D95A0D8" w14:textId="06F44104" w:rsidR="009E1A1B" w:rsidRPr="00573B26" w:rsidRDefault="00C642ED">
      <w:pPr>
        <w:spacing w:line="360" w:lineRule="auto"/>
        <w:jc w:val="both"/>
        <w:rPr>
          <w:rFonts w:ascii="Book Antiqua" w:eastAsia="Book Antiqua" w:hAnsi="Book Antiqua" w:cs="Book Antiqua"/>
          <w:color w:val="000000"/>
        </w:rPr>
      </w:pPr>
      <w:r w:rsidRPr="00573B26">
        <w:rPr>
          <w:rFonts w:ascii="Book Antiqua" w:eastAsia="Book Antiqua" w:hAnsi="Book Antiqua" w:cs="Book Antiqua"/>
          <w:b/>
          <w:bCs/>
          <w:color w:val="000000"/>
        </w:rPr>
        <w:t xml:space="preserve">Figure 3 Posteroanterior chest X-ray at discharge. </w:t>
      </w:r>
      <w:r w:rsidRPr="00573B26">
        <w:rPr>
          <w:rFonts w:ascii="Book Antiqua" w:eastAsia="Book Antiqua" w:hAnsi="Book Antiqua" w:cs="Book Antiqua"/>
          <w:color w:val="000000"/>
        </w:rPr>
        <w:t>The patient was followed up for 6 mo and had no complaints.</w:t>
      </w:r>
    </w:p>
    <w:p w14:paraId="22F75E95" w14:textId="38B7B26B" w:rsidR="00A77B3E" w:rsidRPr="00573B26" w:rsidRDefault="009E1A1B">
      <w:pPr>
        <w:spacing w:line="360" w:lineRule="auto"/>
        <w:jc w:val="both"/>
      </w:pPr>
      <w:r w:rsidRPr="00573B26">
        <w:rPr>
          <w:rFonts w:ascii="Book Antiqua" w:eastAsia="Book Antiqua" w:hAnsi="Book Antiqua" w:cs="Book Antiqua"/>
          <w:color w:val="000000"/>
        </w:rPr>
        <w:br w:type="page"/>
      </w:r>
      <w:r w:rsidRPr="00573B26">
        <w:rPr>
          <w:noProof/>
          <w:lang w:eastAsia="zh-CN"/>
        </w:rPr>
        <w:drawing>
          <wp:inline distT="0" distB="0" distL="0" distR="0" wp14:anchorId="7A449420" wp14:editId="78F9ECB8">
            <wp:extent cx="3094903" cy="39199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8056" cy="3923986"/>
                    </a:xfrm>
                    <a:prstGeom prst="rect">
                      <a:avLst/>
                    </a:prstGeom>
                  </pic:spPr>
                </pic:pic>
              </a:graphicData>
            </a:graphic>
          </wp:inline>
        </w:drawing>
      </w:r>
    </w:p>
    <w:p w14:paraId="0048693F" w14:textId="6DD51C01" w:rsidR="00573B26" w:rsidRDefault="00C642ED">
      <w:pPr>
        <w:spacing w:line="360" w:lineRule="auto"/>
        <w:jc w:val="both"/>
        <w:rPr>
          <w:rFonts w:ascii="Book Antiqua" w:eastAsia="Book Antiqua" w:hAnsi="Book Antiqua" w:cs="Book Antiqua"/>
          <w:color w:val="000000"/>
        </w:rPr>
      </w:pPr>
      <w:r w:rsidRPr="00573B26">
        <w:rPr>
          <w:rFonts w:ascii="Book Antiqua" w:eastAsia="Book Antiqua" w:hAnsi="Book Antiqua" w:cs="Book Antiqua"/>
          <w:b/>
          <w:bCs/>
          <w:color w:val="000000"/>
        </w:rPr>
        <w:t>Figure 4 Patient’s scars.</w:t>
      </w:r>
      <w:r w:rsidRPr="00573B26">
        <w:rPr>
          <w:rFonts w:ascii="Book Antiqua" w:eastAsia="Book Antiqua" w:hAnsi="Book Antiqua" w:cs="Book Antiqua"/>
          <w:color w:val="000000"/>
        </w:rPr>
        <w:t xml:space="preserve"> The “a” shows</w:t>
      </w:r>
      <w:r w:rsidRPr="00573B26">
        <w:rPr>
          <w:rFonts w:ascii="Book Antiqua" w:eastAsia="Book Antiqua" w:hAnsi="Book Antiqua" w:cs="Book Antiqua"/>
          <w:i/>
          <w:iCs/>
          <w:color w:val="000000"/>
        </w:rPr>
        <w:t xml:space="preserve"> </w:t>
      </w:r>
      <w:r w:rsidRPr="00573B26">
        <w:rPr>
          <w:rFonts w:ascii="Book Antiqua" w:eastAsia="Book Antiqua" w:hAnsi="Book Antiqua" w:cs="Book Antiqua"/>
          <w:color w:val="000000"/>
        </w:rPr>
        <w:t>the sharp object wound scar between the left border of the spinal line and medial border of the left scapula in the posterior left hemithorax; “b” shows right posterolateral thoracotomy scar; and “c” shows the right tube thoracostomy scar.</w:t>
      </w:r>
    </w:p>
    <w:p w14:paraId="23A03605" w14:textId="77777777" w:rsidR="00573B26" w:rsidRDefault="00573B26">
      <w:pPr>
        <w:rPr>
          <w:rFonts w:ascii="Book Antiqua" w:eastAsia="Book Antiqua" w:hAnsi="Book Antiqua" w:cs="Book Antiqua"/>
          <w:color w:val="000000"/>
        </w:rPr>
      </w:pPr>
      <w:r>
        <w:rPr>
          <w:rFonts w:ascii="Book Antiqua" w:eastAsia="Book Antiqua" w:hAnsi="Book Antiqua" w:cs="Book Antiqua"/>
          <w:color w:val="000000"/>
        </w:rPr>
        <w:br w:type="page"/>
      </w:r>
    </w:p>
    <w:p w14:paraId="7E1AF544" w14:textId="77777777" w:rsidR="00573B26" w:rsidRDefault="00573B26" w:rsidP="00573B26">
      <w:pPr>
        <w:jc w:val="center"/>
        <w:rPr>
          <w:rFonts w:ascii="Book Antiqua" w:hAnsi="Book Antiqua"/>
          <w:lang w:eastAsia="zh-CN"/>
        </w:rPr>
      </w:pPr>
      <w:bookmarkStart w:id="0" w:name="OLE_LINK1"/>
      <w:bookmarkStart w:id="1" w:name="OLE_LINK2"/>
    </w:p>
    <w:p w14:paraId="6B403952" w14:textId="77777777" w:rsidR="00573B26" w:rsidRDefault="00573B26" w:rsidP="00573B26">
      <w:pPr>
        <w:jc w:val="center"/>
        <w:rPr>
          <w:rFonts w:ascii="Book Antiqua" w:hAnsi="Book Antiqua"/>
          <w:lang w:eastAsia="zh-CN"/>
        </w:rPr>
      </w:pPr>
    </w:p>
    <w:p w14:paraId="19E3F627" w14:textId="77777777" w:rsidR="00573B26" w:rsidRDefault="00573B26" w:rsidP="00573B26">
      <w:pPr>
        <w:jc w:val="center"/>
        <w:rPr>
          <w:rFonts w:ascii="Book Antiqua" w:hAnsi="Book Antiqua"/>
          <w:lang w:eastAsia="zh-CN"/>
        </w:rPr>
      </w:pPr>
    </w:p>
    <w:p w14:paraId="5966F748" w14:textId="77777777" w:rsidR="00573B26" w:rsidRDefault="00573B26" w:rsidP="00573B26">
      <w:pPr>
        <w:jc w:val="center"/>
        <w:rPr>
          <w:rFonts w:ascii="Book Antiqua" w:hAnsi="Book Antiqua"/>
          <w:lang w:eastAsia="zh-CN"/>
        </w:rPr>
      </w:pPr>
    </w:p>
    <w:p w14:paraId="5E295913" w14:textId="77777777" w:rsidR="00573B26" w:rsidRDefault="00573B26" w:rsidP="00573B26">
      <w:pPr>
        <w:jc w:val="center"/>
        <w:rPr>
          <w:rFonts w:ascii="Book Antiqua" w:hAnsi="Book Antiqua"/>
          <w:lang w:eastAsia="zh-CN"/>
        </w:rPr>
      </w:pPr>
    </w:p>
    <w:p w14:paraId="734B1886" w14:textId="77777777" w:rsidR="00573B26" w:rsidRDefault="00573B26" w:rsidP="00573B26">
      <w:pPr>
        <w:jc w:val="center"/>
        <w:rPr>
          <w:rFonts w:ascii="Book Antiqua" w:hAnsi="Book Antiqua"/>
          <w:lang w:eastAsia="zh-CN"/>
        </w:rPr>
      </w:pPr>
      <w:r>
        <w:rPr>
          <w:rFonts w:ascii="Book Antiqua" w:hAnsi="Book Antiqua"/>
          <w:noProof/>
          <w:lang w:eastAsia="zh-CN"/>
        </w:rPr>
        <w:drawing>
          <wp:inline distT="0" distB="0" distL="0" distR="0" wp14:anchorId="709BF63B" wp14:editId="2A422AA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F8B8BA" w14:textId="77777777" w:rsidR="00573B26" w:rsidRDefault="00573B26" w:rsidP="00573B26">
      <w:pPr>
        <w:jc w:val="center"/>
        <w:rPr>
          <w:rFonts w:ascii="Book Antiqua" w:hAnsi="Book Antiqua"/>
          <w:lang w:eastAsia="zh-CN"/>
        </w:rPr>
      </w:pPr>
    </w:p>
    <w:p w14:paraId="3AD38E90" w14:textId="77777777" w:rsidR="00573B26" w:rsidRPr="00763D22" w:rsidRDefault="00573B26" w:rsidP="00573B2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110FFBB" w14:textId="77777777" w:rsidR="00573B26" w:rsidRPr="00763D22" w:rsidRDefault="00573B26" w:rsidP="00573B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2F8578" w14:textId="77777777" w:rsidR="00573B26" w:rsidRPr="00763D22" w:rsidRDefault="00573B26" w:rsidP="00573B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2032F3" w14:textId="77777777" w:rsidR="00573B26" w:rsidRPr="00763D22" w:rsidRDefault="00573B26" w:rsidP="00573B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44F4C67" w14:textId="77777777" w:rsidR="00573B26" w:rsidRPr="00763D22" w:rsidRDefault="00573B26" w:rsidP="00573B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32C0C4" w14:textId="77777777" w:rsidR="00573B26" w:rsidRPr="00763D22" w:rsidRDefault="00573B26" w:rsidP="00573B2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31A05A1" w14:textId="77777777" w:rsidR="00573B26" w:rsidRDefault="00573B26" w:rsidP="00573B26">
      <w:pPr>
        <w:jc w:val="center"/>
        <w:rPr>
          <w:rFonts w:ascii="Book Antiqua" w:hAnsi="Book Antiqua"/>
          <w:lang w:eastAsia="zh-CN"/>
        </w:rPr>
      </w:pPr>
    </w:p>
    <w:p w14:paraId="5856D704" w14:textId="77777777" w:rsidR="00573B26" w:rsidRDefault="00573B26" w:rsidP="00573B26">
      <w:pPr>
        <w:jc w:val="center"/>
        <w:rPr>
          <w:rFonts w:ascii="Book Antiqua" w:hAnsi="Book Antiqua"/>
          <w:lang w:eastAsia="zh-CN"/>
        </w:rPr>
      </w:pPr>
    </w:p>
    <w:p w14:paraId="16839304" w14:textId="77777777" w:rsidR="00573B26" w:rsidRDefault="00573B26" w:rsidP="00573B26">
      <w:pPr>
        <w:jc w:val="center"/>
        <w:rPr>
          <w:rFonts w:ascii="Book Antiqua" w:hAnsi="Book Antiqua"/>
          <w:lang w:eastAsia="zh-CN"/>
        </w:rPr>
      </w:pPr>
    </w:p>
    <w:p w14:paraId="50ABBCC5" w14:textId="77777777" w:rsidR="00573B26" w:rsidRDefault="00573B26" w:rsidP="00573B26">
      <w:pPr>
        <w:jc w:val="center"/>
        <w:rPr>
          <w:rFonts w:ascii="Book Antiqua" w:hAnsi="Book Antiqua"/>
          <w:lang w:eastAsia="zh-CN"/>
        </w:rPr>
      </w:pPr>
      <w:r>
        <w:rPr>
          <w:rFonts w:ascii="Book Antiqua" w:hAnsi="Book Antiqua"/>
          <w:noProof/>
          <w:lang w:eastAsia="zh-CN"/>
        </w:rPr>
        <w:drawing>
          <wp:inline distT="0" distB="0" distL="0" distR="0" wp14:anchorId="4769F2E6" wp14:editId="469832ED">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75B3DF" w14:textId="77777777" w:rsidR="00573B26" w:rsidRDefault="00573B26" w:rsidP="00573B26">
      <w:pPr>
        <w:jc w:val="center"/>
        <w:rPr>
          <w:rFonts w:ascii="Book Antiqua" w:hAnsi="Book Antiqua"/>
          <w:lang w:eastAsia="zh-CN"/>
        </w:rPr>
      </w:pPr>
    </w:p>
    <w:p w14:paraId="298257D7" w14:textId="77777777" w:rsidR="00573B26" w:rsidRDefault="00573B26" w:rsidP="00573B26">
      <w:pPr>
        <w:jc w:val="center"/>
        <w:rPr>
          <w:rFonts w:ascii="Book Antiqua" w:hAnsi="Book Antiqua"/>
          <w:lang w:eastAsia="zh-CN"/>
        </w:rPr>
      </w:pPr>
    </w:p>
    <w:p w14:paraId="0870A72E" w14:textId="77777777" w:rsidR="00573B26" w:rsidRDefault="00573B26" w:rsidP="00573B26">
      <w:pPr>
        <w:jc w:val="center"/>
        <w:rPr>
          <w:rFonts w:ascii="Book Antiqua" w:hAnsi="Book Antiqua"/>
          <w:lang w:eastAsia="zh-CN"/>
        </w:rPr>
      </w:pPr>
    </w:p>
    <w:p w14:paraId="64CA3B8B" w14:textId="77777777" w:rsidR="00573B26" w:rsidRDefault="00573B26" w:rsidP="00573B26">
      <w:pPr>
        <w:jc w:val="center"/>
        <w:rPr>
          <w:rFonts w:ascii="Book Antiqua" w:hAnsi="Book Antiqua"/>
          <w:lang w:eastAsia="zh-CN"/>
        </w:rPr>
      </w:pPr>
    </w:p>
    <w:p w14:paraId="3D5B274D" w14:textId="77777777" w:rsidR="00573B26" w:rsidRDefault="00573B26" w:rsidP="00573B26">
      <w:pPr>
        <w:jc w:val="center"/>
        <w:rPr>
          <w:rFonts w:ascii="Book Antiqua" w:hAnsi="Book Antiqua"/>
          <w:lang w:eastAsia="zh-CN"/>
        </w:rPr>
      </w:pPr>
    </w:p>
    <w:p w14:paraId="6CFF8CB6" w14:textId="77777777" w:rsidR="00573B26" w:rsidRDefault="00573B26" w:rsidP="00573B26">
      <w:pPr>
        <w:jc w:val="center"/>
        <w:rPr>
          <w:rFonts w:ascii="Book Antiqua" w:hAnsi="Book Antiqua"/>
          <w:lang w:eastAsia="zh-CN"/>
        </w:rPr>
      </w:pPr>
    </w:p>
    <w:p w14:paraId="22C616DC" w14:textId="77777777" w:rsidR="00573B26" w:rsidRDefault="00573B26" w:rsidP="00573B26">
      <w:pPr>
        <w:jc w:val="center"/>
        <w:rPr>
          <w:rFonts w:ascii="Book Antiqua" w:hAnsi="Book Antiqua"/>
          <w:lang w:eastAsia="zh-CN"/>
        </w:rPr>
      </w:pPr>
    </w:p>
    <w:p w14:paraId="2467A940" w14:textId="77777777" w:rsidR="00573B26" w:rsidRDefault="00573B26" w:rsidP="00573B26">
      <w:pPr>
        <w:jc w:val="center"/>
        <w:rPr>
          <w:rFonts w:ascii="Book Antiqua" w:hAnsi="Book Antiqua"/>
          <w:lang w:eastAsia="zh-CN"/>
        </w:rPr>
      </w:pPr>
    </w:p>
    <w:p w14:paraId="37D4BFFC" w14:textId="77777777" w:rsidR="00573B26" w:rsidRDefault="00573B26" w:rsidP="00573B26">
      <w:pPr>
        <w:jc w:val="center"/>
        <w:rPr>
          <w:rFonts w:ascii="Book Antiqua" w:hAnsi="Book Antiqua"/>
          <w:lang w:eastAsia="zh-CN"/>
        </w:rPr>
      </w:pPr>
    </w:p>
    <w:p w14:paraId="77D6082D" w14:textId="77777777" w:rsidR="00573B26" w:rsidRPr="00763D22" w:rsidRDefault="00573B26" w:rsidP="00573B26">
      <w:pPr>
        <w:jc w:val="right"/>
        <w:rPr>
          <w:rFonts w:ascii="Book Antiqua" w:hAnsi="Book Antiqua"/>
          <w:color w:val="000000" w:themeColor="text1"/>
          <w:lang w:eastAsia="zh-CN"/>
        </w:rPr>
      </w:pPr>
    </w:p>
    <w:p w14:paraId="69049A2F" w14:textId="77777777" w:rsidR="00573B26" w:rsidRPr="00763D22" w:rsidRDefault="00573B26" w:rsidP="00573B2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5701743D"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A731A" w14:textId="77777777" w:rsidR="006B4442" w:rsidRDefault="006B4442" w:rsidP="009E1A1B">
      <w:r>
        <w:separator/>
      </w:r>
    </w:p>
  </w:endnote>
  <w:endnote w:type="continuationSeparator" w:id="0">
    <w:p w14:paraId="7B013D44" w14:textId="77777777" w:rsidR="006B4442" w:rsidRDefault="006B4442" w:rsidP="009E1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983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49BA006" w14:textId="59509A5B" w:rsidR="009E1A1B" w:rsidRPr="009E1A1B" w:rsidRDefault="009E1A1B" w:rsidP="009E1A1B">
            <w:pPr>
              <w:pStyle w:val="a4"/>
              <w:jc w:val="right"/>
              <w:rPr>
                <w:rFonts w:ascii="Book Antiqua" w:hAnsi="Book Antiqua"/>
                <w:sz w:val="24"/>
                <w:szCs w:val="24"/>
              </w:rPr>
            </w:pPr>
            <w:r w:rsidRPr="009E1A1B">
              <w:rPr>
                <w:rFonts w:ascii="Book Antiqua" w:hAnsi="Book Antiqua"/>
                <w:sz w:val="24"/>
                <w:szCs w:val="24"/>
                <w:lang w:val="zh-CN" w:eastAsia="zh-CN"/>
              </w:rPr>
              <w:t xml:space="preserve"> </w:t>
            </w:r>
            <w:r w:rsidRPr="009E1A1B">
              <w:rPr>
                <w:rFonts w:ascii="Book Antiqua" w:hAnsi="Book Antiqua"/>
                <w:sz w:val="24"/>
                <w:szCs w:val="24"/>
              </w:rPr>
              <w:fldChar w:fldCharType="begin"/>
            </w:r>
            <w:r w:rsidRPr="009E1A1B">
              <w:rPr>
                <w:rFonts w:ascii="Book Antiqua" w:hAnsi="Book Antiqua"/>
                <w:sz w:val="24"/>
                <w:szCs w:val="24"/>
              </w:rPr>
              <w:instrText>PAGE</w:instrText>
            </w:r>
            <w:r w:rsidRPr="009E1A1B">
              <w:rPr>
                <w:rFonts w:ascii="Book Antiqua" w:hAnsi="Book Antiqua"/>
                <w:sz w:val="24"/>
                <w:szCs w:val="24"/>
              </w:rPr>
              <w:fldChar w:fldCharType="separate"/>
            </w:r>
            <w:r w:rsidR="006B4442">
              <w:rPr>
                <w:rFonts w:ascii="Book Antiqua" w:hAnsi="Book Antiqua"/>
                <w:noProof/>
                <w:sz w:val="24"/>
                <w:szCs w:val="24"/>
              </w:rPr>
              <w:t>1</w:t>
            </w:r>
            <w:r w:rsidRPr="009E1A1B">
              <w:rPr>
                <w:rFonts w:ascii="Book Antiqua" w:hAnsi="Book Antiqua"/>
                <w:sz w:val="24"/>
                <w:szCs w:val="24"/>
              </w:rPr>
              <w:fldChar w:fldCharType="end"/>
            </w:r>
            <w:r w:rsidRPr="009E1A1B">
              <w:rPr>
                <w:rFonts w:ascii="Book Antiqua" w:hAnsi="Book Antiqua"/>
                <w:sz w:val="24"/>
                <w:szCs w:val="24"/>
                <w:lang w:val="zh-CN" w:eastAsia="zh-CN"/>
              </w:rPr>
              <w:t xml:space="preserve"> / </w:t>
            </w:r>
            <w:r w:rsidRPr="009E1A1B">
              <w:rPr>
                <w:rFonts w:ascii="Book Antiqua" w:hAnsi="Book Antiqua"/>
                <w:sz w:val="24"/>
                <w:szCs w:val="24"/>
              </w:rPr>
              <w:fldChar w:fldCharType="begin"/>
            </w:r>
            <w:r w:rsidRPr="009E1A1B">
              <w:rPr>
                <w:rFonts w:ascii="Book Antiqua" w:hAnsi="Book Antiqua"/>
                <w:sz w:val="24"/>
                <w:szCs w:val="24"/>
              </w:rPr>
              <w:instrText>NUMPAGES</w:instrText>
            </w:r>
            <w:r w:rsidRPr="009E1A1B">
              <w:rPr>
                <w:rFonts w:ascii="Book Antiqua" w:hAnsi="Book Antiqua"/>
                <w:sz w:val="24"/>
                <w:szCs w:val="24"/>
              </w:rPr>
              <w:fldChar w:fldCharType="separate"/>
            </w:r>
            <w:r w:rsidR="006B4442">
              <w:rPr>
                <w:rFonts w:ascii="Book Antiqua" w:hAnsi="Book Antiqua"/>
                <w:noProof/>
                <w:sz w:val="24"/>
                <w:szCs w:val="24"/>
              </w:rPr>
              <w:t>1</w:t>
            </w:r>
            <w:r w:rsidRPr="009E1A1B">
              <w:rPr>
                <w:rFonts w:ascii="Book Antiqua" w:hAnsi="Book Antiqua"/>
                <w:sz w:val="24"/>
                <w:szCs w:val="24"/>
              </w:rPr>
              <w:fldChar w:fldCharType="end"/>
            </w:r>
          </w:p>
        </w:sdtContent>
      </w:sdt>
    </w:sdtContent>
  </w:sdt>
  <w:p w14:paraId="3ABD7B67" w14:textId="77777777" w:rsidR="009E1A1B" w:rsidRPr="009E1A1B" w:rsidRDefault="009E1A1B" w:rsidP="009E1A1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5E361" w14:textId="77777777" w:rsidR="006B4442" w:rsidRDefault="006B4442" w:rsidP="009E1A1B">
      <w:r>
        <w:separator/>
      </w:r>
    </w:p>
  </w:footnote>
  <w:footnote w:type="continuationSeparator" w:id="0">
    <w:p w14:paraId="4BC90B45" w14:textId="77777777" w:rsidR="006B4442" w:rsidRDefault="006B4442" w:rsidP="009E1A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31A0"/>
    <w:rsid w:val="000D4F72"/>
    <w:rsid w:val="00220328"/>
    <w:rsid w:val="002F294F"/>
    <w:rsid w:val="00336275"/>
    <w:rsid w:val="00456C17"/>
    <w:rsid w:val="00461ED6"/>
    <w:rsid w:val="00571FEF"/>
    <w:rsid w:val="00573B26"/>
    <w:rsid w:val="0062698C"/>
    <w:rsid w:val="006B4442"/>
    <w:rsid w:val="008239CF"/>
    <w:rsid w:val="008D4518"/>
    <w:rsid w:val="00964636"/>
    <w:rsid w:val="00983C68"/>
    <w:rsid w:val="009E1A1B"/>
    <w:rsid w:val="00A0448B"/>
    <w:rsid w:val="00A77B3E"/>
    <w:rsid w:val="00BD589C"/>
    <w:rsid w:val="00BD7C04"/>
    <w:rsid w:val="00C322C8"/>
    <w:rsid w:val="00C642ED"/>
    <w:rsid w:val="00C911A8"/>
    <w:rsid w:val="00C960D4"/>
    <w:rsid w:val="00CA2A55"/>
    <w:rsid w:val="00CF4B71"/>
    <w:rsid w:val="00DD27A7"/>
    <w:rsid w:val="00E67E8D"/>
    <w:rsid w:val="00F06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EE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1A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1A1B"/>
    <w:rPr>
      <w:sz w:val="18"/>
      <w:szCs w:val="18"/>
    </w:rPr>
  </w:style>
  <w:style w:type="paragraph" w:styleId="a4">
    <w:name w:val="footer"/>
    <w:basedOn w:val="a"/>
    <w:link w:val="Char0"/>
    <w:uiPriority w:val="99"/>
    <w:unhideWhenUsed/>
    <w:rsid w:val="009E1A1B"/>
    <w:pPr>
      <w:tabs>
        <w:tab w:val="center" w:pos="4153"/>
        <w:tab w:val="right" w:pos="8306"/>
      </w:tabs>
      <w:snapToGrid w:val="0"/>
    </w:pPr>
    <w:rPr>
      <w:sz w:val="18"/>
      <w:szCs w:val="18"/>
    </w:rPr>
  </w:style>
  <w:style w:type="character" w:customStyle="1" w:styleId="Char0">
    <w:name w:val="页脚 Char"/>
    <w:basedOn w:val="a0"/>
    <w:link w:val="a4"/>
    <w:uiPriority w:val="99"/>
    <w:rsid w:val="009E1A1B"/>
    <w:rPr>
      <w:sz w:val="18"/>
      <w:szCs w:val="18"/>
    </w:rPr>
  </w:style>
  <w:style w:type="paragraph" w:styleId="a5">
    <w:name w:val="Balloon Text"/>
    <w:basedOn w:val="a"/>
    <w:link w:val="Char1"/>
    <w:semiHidden/>
    <w:unhideWhenUsed/>
    <w:rsid w:val="00573B26"/>
    <w:rPr>
      <w:sz w:val="18"/>
      <w:szCs w:val="18"/>
    </w:rPr>
  </w:style>
  <w:style w:type="character" w:customStyle="1" w:styleId="Char1">
    <w:name w:val="批注框文本 Char"/>
    <w:basedOn w:val="a0"/>
    <w:link w:val="a5"/>
    <w:semiHidden/>
    <w:rsid w:val="00573B2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1A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1A1B"/>
    <w:rPr>
      <w:sz w:val="18"/>
      <w:szCs w:val="18"/>
    </w:rPr>
  </w:style>
  <w:style w:type="paragraph" w:styleId="a4">
    <w:name w:val="footer"/>
    <w:basedOn w:val="a"/>
    <w:link w:val="Char0"/>
    <w:uiPriority w:val="99"/>
    <w:unhideWhenUsed/>
    <w:rsid w:val="009E1A1B"/>
    <w:pPr>
      <w:tabs>
        <w:tab w:val="center" w:pos="4153"/>
        <w:tab w:val="right" w:pos="8306"/>
      </w:tabs>
      <w:snapToGrid w:val="0"/>
    </w:pPr>
    <w:rPr>
      <w:sz w:val="18"/>
      <w:szCs w:val="18"/>
    </w:rPr>
  </w:style>
  <w:style w:type="character" w:customStyle="1" w:styleId="Char0">
    <w:name w:val="页脚 Char"/>
    <w:basedOn w:val="a0"/>
    <w:link w:val="a4"/>
    <w:uiPriority w:val="99"/>
    <w:rsid w:val="009E1A1B"/>
    <w:rPr>
      <w:sz w:val="18"/>
      <w:szCs w:val="18"/>
    </w:rPr>
  </w:style>
  <w:style w:type="paragraph" w:styleId="a5">
    <w:name w:val="Balloon Text"/>
    <w:basedOn w:val="a"/>
    <w:link w:val="Char1"/>
    <w:semiHidden/>
    <w:unhideWhenUsed/>
    <w:rsid w:val="00573B26"/>
    <w:rPr>
      <w:sz w:val="18"/>
      <w:szCs w:val="18"/>
    </w:rPr>
  </w:style>
  <w:style w:type="character" w:customStyle="1" w:styleId="Char1">
    <w:name w:val="批注框文本 Char"/>
    <w:basedOn w:val="a0"/>
    <w:link w:val="a5"/>
    <w:semiHidden/>
    <w:rsid w:val="00573B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07577">
      <w:bodyDiv w:val="1"/>
      <w:marLeft w:val="0"/>
      <w:marRight w:val="0"/>
      <w:marTop w:val="0"/>
      <w:marBottom w:val="0"/>
      <w:divBdr>
        <w:top w:val="none" w:sz="0" w:space="0" w:color="auto"/>
        <w:left w:val="none" w:sz="0" w:space="0" w:color="auto"/>
        <w:bottom w:val="none" w:sz="0" w:space="0" w:color="auto"/>
        <w:right w:val="none" w:sz="0" w:space="0" w:color="auto"/>
      </w:divBdr>
    </w:div>
    <w:div w:id="194581912">
      <w:bodyDiv w:val="1"/>
      <w:marLeft w:val="0"/>
      <w:marRight w:val="0"/>
      <w:marTop w:val="0"/>
      <w:marBottom w:val="0"/>
      <w:divBdr>
        <w:top w:val="none" w:sz="0" w:space="0" w:color="auto"/>
        <w:left w:val="none" w:sz="0" w:space="0" w:color="auto"/>
        <w:bottom w:val="none" w:sz="0" w:space="0" w:color="auto"/>
        <w:right w:val="none" w:sz="0" w:space="0" w:color="auto"/>
      </w:divBdr>
    </w:div>
    <w:div w:id="1127042622">
      <w:bodyDiv w:val="1"/>
      <w:marLeft w:val="0"/>
      <w:marRight w:val="0"/>
      <w:marTop w:val="0"/>
      <w:marBottom w:val="0"/>
      <w:divBdr>
        <w:top w:val="none" w:sz="0" w:space="0" w:color="auto"/>
        <w:left w:val="none" w:sz="0" w:space="0" w:color="auto"/>
        <w:bottom w:val="none" w:sz="0" w:space="0" w:color="auto"/>
        <w:right w:val="none" w:sz="0" w:space="0" w:color="auto"/>
      </w:divBdr>
    </w:div>
    <w:div w:id="1695034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2021-03-17T05:43:00Z</dcterms:created>
  <dcterms:modified xsi:type="dcterms:W3CDTF">2021-05-07T08:09:00Z</dcterms:modified>
</cp:coreProperties>
</file>