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31B2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DE5B05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62484</w:t>
      </w:r>
    </w:p>
    <w:p w14:paraId="1FABA9A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798BC7F" w14:textId="77777777" w:rsidR="00011DC0" w:rsidRDefault="00011DC0">
      <w:pPr>
        <w:adjustRightInd w:val="0"/>
        <w:snapToGrid w:val="0"/>
        <w:spacing w:line="360" w:lineRule="auto"/>
        <w:jc w:val="both"/>
        <w:rPr>
          <w:rFonts w:ascii="Book Antiqua" w:eastAsia="Book Antiqua" w:hAnsi="Book Antiqua" w:cs="Book Antiqua"/>
          <w:b/>
          <w:i/>
          <w:color w:val="000000"/>
        </w:rPr>
      </w:pPr>
    </w:p>
    <w:p w14:paraId="5984108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Observational Study</w:t>
      </w:r>
    </w:p>
    <w:p w14:paraId="3A7AF451" w14:textId="2FC128FA"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Effects of sepsis and its treatment measures on</w:t>
      </w:r>
      <w:r w:rsidR="0076400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intestinal flora </w:t>
      </w:r>
      <w:r w:rsidR="00764001">
        <w:rPr>
          <w:rFonts w:ascii="Book Antiqua" w:eastAsia="Book Antiqua" w:hAnsi="Book Antiqua" w:cs="Book Antiqua"/>
          <w:b/>
          <w:color w:val="000000"/>
        </w:rPr>
        <w:t xml:space="preserve">structure in </w:t>
      </w:r>
      <w:r>
        <w:rPr>
          <w:rFonts w:ascii="Book Antiqua" w:eastAsia="Book Antiqua" w:hAnsi="Book Antiqua" w:cs="Book Antiqua"/>
          <w:b/>
          <w:color w:val="000000"/>
        </w:rPr>
        <w:t>critical care patients</w:t>
      </w:r>
    </w:p>
    <w:p w14:paraId="19FBA923" w14:textId="77777777" w:rsidR="00011DC0" w:rsidRDefault="00011DC0">
      <w:pPr>
        <w:adjustRightInd w:val="0"/>
        <w:snapToGrid w:val="0"/>
        <w:spacing w:line="360" w:lineRule="auto"/>
        <w:jc w:val="both"/>
        <w:rPr>
          <w:rFonts w:ascii="Book Antiqua" w:hAnsi="Book Antiqua"/>
        </w:rPr>
      </w:pPr>
    </w:p>
    <w:p w14:paraId="669451C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Yang XJ </w:t>
      </w:r>
      <w:r>
        <w:rPr>
          <w:rFonts w:ascii="Book Antiqua" w:eastAsia="Book Antiqua" w:hAnsi="Book Antiqua" w:cs="Book Antiqua"/>
          <w:i/>
          <w:iCs/>
          <w:color w:val="000000"/>
        </w:rPr>
        <w:t xml:space="preserve">et al. </w:t>
      </w:r>
      <w:r>
        <w:rPr>
          <w:rFonts w:ascii="Book Antiqua" w:eastAsia="Book Antiqua" w:hAnsi="Book Antiqua" w:cs="Book Antiqua"/>
          <w:color w:val="000000"/>
        </w:rPr>
        <w:t>Intestinal flora composition of sepsis patients</w:t>
      </w:r>
    </w:p>
    <w:p w14:paraId="6312CDC8" w14:textId="77777777" w:rsidR="00011DC0" w:rsidRDefault="00011DC0">
      <w:pPr>
        <w:adjustRightInd w:val="0"/>
        <w:snapToGrid w:val="0"/>
        <w:spacing w:line="360" w:lineRule="auto"/>
        <w:jc w:val="both"/>
        <w:rPr>
          <w:rFonts w:ascii="Book Antiqua" w:hAnsi="Book Antiqua"/>
        </w:rPr>
      </w:pPr>
    </w:p>
    <w:p w14:paraId="636D673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Xiao-Juan Yang, Dan Liu, Hong-Yan Ren, Xiao-Ya Zhang, Jun Zhang, Xiao-Jun Yang</w:t>
      </w:r>
    </w:p>
    <w:p w14:paraId="771DA8F4" w14:textId="77777777" w:rsidR="00011DC0" w:rsidRDefault="00011DC0">
      <w:pPr>
        <w:adjustRightInd w:val="0"/>
        <w:snapToGrid w:val="0"/>
        <w:spacing w:line="360" w:lineRule="auto"/>
        <w:jc w:val="both"/>
        <w:rPr>
          <w:rFonts w:ascii="Book Antiqua" w:hAnsi="Book Antiqua"/>
        </w:rPr>
      </w:pPr>
    </w:p>
    <w:p w14:paraId="47E7A222"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Xiao-Juan Yang, Xiao-Ya Zhang, Jun Zhang, Xiao-Jun Yang, </w:t>
      </w:r>
      <w:r>
        <w:rPr>
          <w:rFonts w:ascii="Book Antiqua" w:eastAsia="Book Antiqua" w:hAnsi="Book Antiqua" w:cs="Book Antiqua"/>
          <w:color w:val="000000"/>
        </w:rPr>
        <w:t>Department of Critical Care Medicine, General Hospital of Ningxia Medical University, Yinchuan 750004, Ningxia Hui Autonomous Region, China</w:t>
      </w:r>
    </w:p>
    <w:p w14:paraId="1C43D82E" w14:textId="77777777" w:rsidR="00011DC0" w:rsidRDefault="00011DC0">
      <w:pPr>
        <w:adjustRightInd w:val="0"/>
        <w:snapToGrid w:val="0"/>
        <w:spacing w:line="360" w:lineRule="auto"/>
        <w:jc w:val="both"/>
        <w:rPr>
          <w:rFonts w:ascii="Book Antiqua" w:hAnsi="Book Antiqua"/>
        </w:rPr>
      </w:pPr>
    </w:p>
    <w:p w14:paraId="71C930C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Dan Liu, </w:t>
      </w:r>
      <w:r>
        <w:rPr>
          <w:rFonts w:ascii="Book Antiqua" w:eastAsia="Book Antiqua" w:hAnsi="Book Antiqua" w:cs="Book Antiqua"/>
          <w:color w:val="000000"/>
        </w:rPr>
        <w:t>Department of Critical Care Medicine, Taihe Hospit</w:t>
      </w:r>
      <w:r>
        <w:rPr>
          <w:rFonts w:ascii="Book Antiqua" w:hAnsi="Book Antiqua" w:cs="Book Antiqua"/>
          <w:color w:val="000000"/>
          <w:lang w:eastAsia="zh-CN"/>
        </w:rPr>
        <w:t xml:space="preserve">al, </w:t>
      </w:r>
      <w:r>
        <w:rPr>
          <w:rFonts w:ascii="Book Antiqua" w:eastAsia="Book Antiqua" w:hAnsi="Book Antiqua" w:cs="Book Antiqua"/>
          <w:color w:val="000000"/>
        </w:rPr>
        <w:t>Hubei University of Medicine, Shiyan 442000, Hubei Province, China</w:t>
      </w:r>
    </w:p>
    <w:p w14:paraId="4E613ADA" w14:textId="77777777" w:rsidR="00011DC0" w:rsidRDefault="00011DC0">
      <w:pPr>
        <w:adjustRightInd w:val="0"/>
        <w:snapToGrid w:val="0"/>
        <w:spacing w:line="360" w:lineRule="auto"/>
        <w:jc w:val="both"/>
        <w:rPr>
          <w:rFonts w:ascii="Book Antiqua" w:hAnsi="Book Antiqua"/>
        </w:rPr>
      </w:pPr>
    </w:p>
    <w:p w14:paraId="031BA11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Hong-Yan Ren,</w:t>
      </w:r>
      <w:r>
        <w:rPr>
          <w:rFonts w:ascii="Book Antiqua" w:eastAsia="Book Antiqua" w:hAnsi="Book Antiqua" w:cs="Book Antiqua"/>
          <w:color w:val="000000"/>
        </w:rPr>
        <w:t xml:space="preserve"> Shanghai Mobio Biomedical Technology Co., Shanghai 201318, China</w:t>
      </w:r>
    </w:p>
    <w:p w14:paraId="55FF349C" w14:textId="77777777" w:rsidR="00011DC0" w:rsidRDefault="00011DC0">
      <w:pPr>
        <w:adjustRightInd w:val="0"/>
        <w:snapToGrid w:val="0"/>
        <w:spacing w:line="360" w:lineRule="auto"/>
        <w:jc w:val="both"/>
        <w:rPr>
          <w:rFonts w:ascii="Book Antiqua" w:hAnsi="Book Antiqua"/>
        </w:rPr>
      </w:pPr>
    </w:p>
    <w:p w14:paraId="3A92354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XJ was the guarantor and designed the study; Yang XJ participated in the acquisition, analysis, and interpretation of the data, and drafted the initial manuscript; Liu D, Zhang XY, Ren HY, and</w:t>
      </w:r>
      <w:r>
        <w:rPr>
          <w:rFonts w:ascii="Book Antiqua" w:eastAsia="Book Antiqua" w:hAnsi="Book Antiqua" w:cs="Book Antiqua"/>
          <w:b/>
          <w:bCs/>
          <w:color w:val="000000"/>
        </w:rPr>
        <w:t xml:space="preserve"> </w:t>
      </w:r>
      <w:r>
        <w:rPr>
          <w:rFonts w:ascii="Book Antiqua" w:eastAsia="Book Antiqua" w:hAnsi="Book Antiqua" w:cs="Book Antiqua"/>
          <w:color w:val="000000"/>
        </w:rPr>
        <w:t>Zhang J revised the article critically for important intellectual content.</w:t>
      </w:r>
    </w:p>
    <w:p w14:paraId="161348F4" w14:textId="77777777" w:rsidR="00011DC0" w:rsidRDefault="00011DC0">
      <w:pPr>
        <w:adjustRightInd w:val="0"/>
        <w:snapToGrid w:val="0"/>
        <w:spacing w:line="360" w:lineRule="auto"/>
        <w:jc w:val="both"/>
        <w:rPr>
          <w:rFonts w:ascii="Book Antiqua" w:hAnsi="Book Antiqua"/>
        </w:rPr>
      </w:pPr>
    </w:p>
    <w:p w14:paraId="7CE26FC9" w14:textId="204DB8E4"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the National Key Research and Development Program of China, </w:t>
      </w:r>
      <w:r w:rsidR="00764001">
        <w:rPr>
          <w:rFonts w:ascii="Book Antiqua" w:eastAsia="Book Antiqua" w:hAnsi="Book Antiqua" w:cs="Book Antiqua"/>
          <w:color w:val="000000"/>
        </w:rPr>
        <w:t>No</w:t>
      </w:r>
      <w:r>
        <w:rPr>
          <w:rFonts w:ascii="Book Antiqua" w:eastAsia="Book Antiqua" w:hAnsi="Book Antiqua" w:cs="Book Antiqua"/>
          <w:color w:val="000000"/>
        </w:rPr>
        <w:t>.</w:t>
      </w:r>
      <w:r w:rsidR="00764001">
        <w:rPr>
          <w:rFonts w:ascii="Book Antiqua" w:eastAsia="Book Antiqua" w:hAnsi="Book Antiqua" w:cs="Book Antiqua"/>
          <w:color w:val="000000"/>
        </w:rPr>
        <w:t xml:space="preserve"> </w:t>
      </w:r>
      <w:r>
        <w:rPr>
          <w:rFonts w:ascii="Book Antiqua" w:eastAsia="Book Antiqua" w:hAnsi="Book Antiqua" w:cs="Book Antiqua"/>
          <w:color w:val="000000"/>
        </w:rPr>
        <w:t>2016YFD0400605.</w:t>
      </w:r>
      <w:proofErr w:type="gramEnd"/>
    </w:p>
    <w:p w14:paraId="15E7663C" w14:textId="77777777" w:rsidR="00011DC0" w:rsidRDefault="00011DC0">
      <w:pPr>
        <w:adjustRightInd w:val="0"/>
        <w:snapToGrid w:val="0"/>
        <w:spacing w:line="360" w:lineRule="auto"/>
        <w:jc w:val="both"/>
        <w:rPr>
          <w:rFonts w:ascii="Book Antiqua" w:hAnsi="Book Antiqua"/>
        </w:rPr>
      </w:pPr>
    </w:p>
    <w:p w14:paraId="6949DB2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Xiao-Jun Yang, MM, Chief Doctor, Professor, </w:t>
      </w:r>
      <w:r>
        <w:rPr>
          <w:rFonts w:ascii="Book Antiqua" w:eastAsia="Book Antiqua" w:hAnsi="Book Antiqua" w:cs="Book Antiqua"/>
          <w:color w:val="000000"/>
        </w:rPr>
        <w:t>Department of Critical Care Medicine, General Hospital of Ningxia Medical University, No. 804 Shengli South Street, Xingqing District, Yinchuan 750004, Ningxia Hui Autonomous Region, China. yxjicu@163.com</w:t>
      </w:r>
    </w:p>
    <w:p w14:paraId="516901FE" w14:textId="77777777" w:rsidR="00011DC0" w:rsidRDefault="00011DC0">
      <w:pPr>
        <w:adjustRightInd w:val="0"/>
        <w:snapToGrid w:val="0"/>
        <w:spacing w:line="360" w:lineRule="auto"/>
        <w:jc w:val="both"/>
        <w:rPr>
          <w:rFonts w:ascii="Book Antiqua" w:hAnsi="Book Antiqua"/>
        </w:rPr>
      </w:pPr>
    </w:p>
    <w:p w14:paraId="447E482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2021</w:t>
      </w:r>
    </w:p>
    <w:p w14:paraId="3BA3336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2021</w:t>
      </w:r>
    </w:p>
    <w:p w14:paraId="7EF7961C" w14:textId="5F6B122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1D206B" w:rsidRPr="001D206B">
        <w:rPr>
          <w:rFonts w:ascii="Book Antiqua" w:eastAsia="Book Antiqua" w:hAnsi="Book Antiqua" w:cs="Book Antiqua"/>
          <w:color w:val="000000"/>
        </w:rPr>
        <w:t>April 22, 2021</w:t>
      </w:r>
    </w:p>
    <w:p w14:paraId="7B46AA01" w14:textId="027AA4B0"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1D2823" w:rsidRPr="00AE11C5">
        <w:rPr>
          <w:rFonts w:ascii="Book Antiqua" w:eastAsia="Book Antiqua" w:hAnsi="Book Antiqua" w:cs="Book Antiqua"/>
          <w:bCs/>
        </w:rPr>
        <w:t>May</w:t>
      </w:r>
      <w:r w:rsidR="001D2823">
        <w:rPr>
          <w:rFonts w:ascii="Book Antiqua" w:hAnsi="Book Antiqua" w:cs="Book Antiqua" w:hint="eastAsia"/>
          <w:bCs/>
          <w:lang w:eastAsia="zh-CN"/>
        </w:rPr>
        <w:t xml:space="preserve"> 21</w:t>
      </w:r>
      <w:r w:rsidR="001D2823" w:rsidRPr="002D5D30">
        <w:rPr>
          <w:rFonts w:ascii="Book Antiqua" w:eastAsia="Book Antiqua" w:hAnsi="Book Antiqua" w:cs="Book Antiqua"/>
        </w:rPr>
        <w:t>, 2021</w:t>
      </w:r>
    </w:p>
    <w:p w14:paraId="60F4CFB0" w14:textId="77777777" w:rsidR="00011DC0" w:rsidRDefault="00011DC0">
      <w:pPr>
        <w:adjustRightInd w:val="0"/>
        <w:snapToGrid w:val="0"/>
        <w:spacing w:line="360" w:lineRule="auto"/>
        <w:jc w:val="both"/>
        <w:rPr>
          <w:rFonts w:ascii="Book Antiqua" w:hAnsi="Book Antiqua"/>
        </w:rPr>
        <w:sectPr w:rsidR="00011DC0">
          <w:footerReference w:type="default" r:id="rId8"/>
          <w:pgSz w:w="12240" w:h="15840"/>
          <w:pgMar w:top="1440" w:right="1440" w:bottom="1440" w:left="1440" w:header="720" w:footer="720" w:gutter="0"/>
          <w:cols w:space="720"/>
          <w:docGrid w:linePitch="360"/>
        </w:sectPr>
      </w:pPr>
    </w:p>
    <w:p w14:paraId="2AD07F5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Abstract</w:t>
      </w:r>
    </w:p>
    <w:p w14:paraId="1BB2BFE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3378750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Sepsis is a common disease in intensive care units, with high morbidity and mortality. Intestinal microecology plays a vital part in the development and progression of this disease, possibly because sepsis and its treatment cause specific changes in the composition of the intestinal flora.</w:t>
      </w:r>
    </w:p>
    <w:p w14:paraId="2F2D85C6" w14:textId="77777777" w:rsidR="00011DC0" w:rsidRDefault="00011DC0">
      <w:pPr>
        <w:adjustRightInd w:val="0"/>
        <w:snapToGrid w:val="0"/>
        <w:spacing w:line="360" w:lineRule="auto"/>
        <w:jc w:val="both"/>
        <w:rPr>
          <w:rFonts w:ascii="Book Antiqua" w:hAnsi="Book Antiqua"/>
        </w:rPr>
      </w:pPr>
    </w:p>
    <w:p w14:paraId="0071D1A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29859E0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To investigate the characteristics of intestinal flora disturbance in sepsis patients treated with antibiotics.</w:t>
      </w:r>
    </w:p>
    <w:p w14:paraId="060C7DFD" w14:textId="77777777" w:rsidR="00011DC0" w:rsidRDefault="00011DC0">
      <w:pPr>
        <w:adjustRightInd w:val="0"/>
        <w:snapToGrid w:val="0"/>
        <w:spacing w:line="360" w:lineRule="auto"/>
        <w:jc w:val="both"/>
        <w:rPr>
          <w:rFonts w:ascii="Book Antiqua" w:hAnsi="Book Antiqua"/>
        </w:rPr>
      </w:pPr>
    </w:p>
    <w:p w14:paraId="284A132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3CCDEF96" w14:textId="19497B3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this prospective comparative study, we enrolled </w:t>
      </w:r>
      <w:r w:rsidR="00764001">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 sepsis (sepsis group), hospitalized in the Department of Critical Care Medicine of the General Hospital, Ningxia Medical University, China (a class IIIa general hospital) from February 2017 to June 2017; </w:t>
      </w:r>
      <w:r w:rsidR="00764001">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without sepsis hospitalized in the same period (non-sepsis group) and </w:t>
      </w:r>
      <w:r w:rsidR="00764001">
        <w:rPr>
          <w:rFonts w:ascii="Book Antiqua" w:eastAsia="Book Antiqua" w:hAnsi="Book Antiqua" w:cs="Book Antiqua"/>
          <w:color w:val="000000"/>
        </w:rPr>
        <w:t xml:space="preserve">ten </w:t>
      </w:r>
      <w:r>
        <w:rPr>
          <w:rFonts w:ascii="Book Antiqua" w:eastAsia="Book Antiqua" w:hAnsi="Book Antiqua" w:cs="Book Antiqua"/>
          <w:color w:val="000000"/>
        </w:rPr>
        <w:t xml:space="preserve">healthy individuals (control group) were also enrolled. Fecal samples collected from the three groups were subjected to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and the intestinal flora diversity, structure, and composition were determined. Additionally, the dynamics of the intestinal flora diversity, structure, and composition in sepsis patients were investigated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of samples collected 0 d, 3 d, and 7 d after admittance to the intensive care unit. Correlations between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-lactic acid and the intestinal flora composition of sepsis patients were also investigated.</w:t>
      </w:r>
    </w:p>
    <w:p w14:paraId="436D2DF6" w14:textId="77777777" w:rsidR="00011DC0" w:rsidRDefault="00011DC0">
      <w:pPr>
        <w:adjustRightInd w:val="0"/>
        <w:snapToGrid w:val="0"/>
        <w:spacing w:line="360" w:lineRule="auto"/>
        <w:jc w:val="both"/>
        <w:rPr>
          <w:rFonts w:ascii="Book Antiqua" w:hAnsi="Book Antiqua"/>
        </w:rPr>
      </w:pPr>
    </w:p>
    <w:p w14:paraId="4E891E1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7D535AFF" w14:textId="6FD134C0"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Compared with the healthy control group, sepsis and non-sepsis patients showed reduced intestinal flora α-diversity and a distinct flora structure, with Firmicutes as the dominant phylum, and significantly decreased proportions of Bacteroidetes, as well as </w:t>
      </w:r>
      <w:r>
        <w:rPr>
          <w:rFonts w:ascii="Book Antiqua" w:eastAsia="Book Antiqua" w:hAnsi="Book Antiqua" w:cs="Book Antiqua"/>
          <w:i/>
          <w:iCs/>
          <w:color w:val="000000"/>
        </w:rPr>
        <w:lastRenderedPageBreak/>
        <w:t>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Lachnospira</w:t>
      </w:r>
      <w:r>
        <w:rPr>
          <w:rFonts w:ascii="Book Antiqua" w:eastAsia="Book Antiqua" w:hAnsi="Book Antiqua" w:cs="Book Antiqua"/>
          <w:color w:val="000000"/>
        </w:rPr>
        <w:t xml:space="preserve">, among other genera. Of note, the proportion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significantly increased in the intestinal tract of sepsis patients. Interestingly, the α-diversity in the sepsis group decreased gradually, from days </w:t>
      </w:r>
      <w:r w:rsidR="00764001">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764001">
        <w:rPr>
          <w:rFonts w:ascii="Book Antiqua" w:eastAsia="Book Antiqua" w:hAnsi="Book Antiqua" w:cs="Book Antiqua"/>
          <w:color w:val="000000"/>
        </w:rPr>
        <w:t xml:space="preserve">7 </w:t>
      </w:r>
      <w:r>
        <w:rPr>
          <w:rFonts w:ascii="Book Antiqua" w:eastAsia="Book Antiqua" w:hAnsi="Book Antiqua" w:cs="Book Antiqua"/>
          <w:color w:val="000000"/>
        </w:rPr>
        <w:t>of treatment. However, pairwise comparisons showed that both the diversity and structure of the intestinal flora were not significantly different considering the three different time</w:t>
      </w:r>
      <w:r w:rsidR="00764001">
        <w:rPr>
          <w:rFonts w:ascii="Book Antiqua" w:eastAsia="Book Antiqua" w:hAnsi="Book Antiqua" w:cs="Book Antiqua"/>
          <w:color w:val="000000"/>
        </w:rPr>
        <w:t xml:space="preserve"> </w:t>
      </w:r>
      <w:r>
        <w:rPr>
          <w:rFonts w:ascii="Book Antiqua" w:eastAsia="Book Antiqua" w:hAnsi="Book Antiqua" w:cs="Book Antiqua"/>
          <w:color w:val="000000"/>
        </w:rPr>
        <w:t xml:space="preserve">points studied. Curiously,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-lactic acid in sepsis patients correlated with the prevalence of various bacterial genera. For example, the prevalence of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was positively correlated with serum procalcitonin, endotoxins, and diamine oxidase; similarly, the prevalence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was positively correlated with serum procalcitonin, endotoxins, and </w:t>
      </w:r>
      <w:r>
        <w:rPr>
          <w:rFonts w:ascii="Book Antiqua" w:eastAsia="Book Antiqua" w:hAnsi="Book Antiqua" w:cs="Book Antiqua"/>
          <w:smallCaps/>
          <w:color w:val="000000"/>
        </w:rPr>
        <w:t>D</w:t>
      </w:r>
      <w:r>
        <w:rPr>
          <w:rFonts w:ascii="Book Antiqua" w:eastAsia="Book Antiqua" w:hAnsi="Book Antiqua" w:cs="Book Antiqua"/>
          <w:color w:val="000000"/>
        </w:rPr>
        <w:t>-lactic acid.</w:t>
      </w:r>
    </w:p>
    <w:p w14:paraId="01D6ED44" w14:textId="77777777" w:rsidR="00011DC0" w:rsidRDefault="00011DC0">
      <w:pPr>
        <w:adjustRightInd w:val="0"/>
        <w:snapToGrid w:val="0"/>
        <w:spacing w:line="360" w:lineRule="auto"/>
        <w:jc w:val="both"/>
        <w:rPr>
          <w:rFonts w:ascii="Book Antiqua" w:hAnsi="Book Antiqua"/>
        </w:rPr>
      </w:pPr>
    </w:p>
    <w:p w14:paraId="2D58EA4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47213FF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Sepsis patients in intensive care units show dysbiosis, lasting for at least 1 wk.</w:t>
      </w:r>
    </w:p>
    <w:p w14:paraId="61A0268C" w14:textId="77777777" w:rsidR="00011DC0" w:rsidRDefault="00011DC0">
      <w:pPr>
        <w:adjustRightInd w:val="0"/>
        <w:snapToGrid w:val="0"/>
        <w:spacing w:line="360" w:lineRule="auto"/>
        <w:jc w:val="both"/>
        <w:rPr>
          <w:rFonts w:ascii="Book Antiqua" w:hAnsi="Book Antiqua"/>
        </w:rPr>
      </w:pPr>
    </w:p>
    <w:p w14:paraId="57F3A2B2" w14:textId="64E5F0D0"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Sepsis; Intestinal flora; </w:t>
      </w:r>
      <w:r w:rsidR="008E51E9" w:rsidRPr="008E51E9">
        <w:rPr>
          <w:rFonts w:ascii="Book Antiqua" w:eastAsia="Book Antiqua" w:hAnsi="Book Antiqua" w:cs="Book Antiqua"/>
          <w:color w:val="000000"/>
        </w:rPr>
        <w:t>&lt;italic&gt;</w:t>
      </w:r>
      <w:r>
        <w:rPr>
          <w:rFonts w:ascii="Book Antiqua" w:eastAsia="Book Antiqua" w:hAnsi="Book Antiqua" w:cs="Book Antiqua"/>
          <w:i/>
          <w:iCs/>
          <w:color w:val="000000"/>
        </w:rPr>
        <w:t>16S rRNA</w:t>
      </w:r>
      <w:r w:rsidR="008E51E9" w:rsidRPr="008E51E9">
        <w:rPr>
          <w:rFonts w:ascii="Book Antiqua" w:eastAsia="Book Antiqua" w:hAnsi="Book Antiqua" w:cs="Book Antiqua"/>
          <w:i/>
          <w:iCs/>
          <w:color w:val="000000"/>
        </w:rPr>
        <w:t>&lt;</w:t>
      </w:r>
      <w:r w:rsidR="008E51E9">
        <w:rPr>
          <w:rFonts w:ascii="Book Antiqua" w:hAnsi="Book Antiqua" w:cs="Book Antiqua" w:hint="eastAsia"/>
          <w:i/>
          <w:iCs/>
          <w:color w:val="000000"/>
          <w:lang w:eastAsia="zh-CN"/>
        </w:rPr>
        <w:t>/</w:t>
      </w:r>
      <w:r w:rsidR="008E51E9" w:rsidRPr="008E51E9">
        <w:rPr>
          <w:rFonts w:ascii="Book Antiqua" w:eastAsia="Book Antiqua" w:hAnsi="Book Antiqua" w:cs="Book Antiqua"/>
          <w:i/>
          <w:iCs/>
          <w:color w:val="000000"/>
        </w:rPr>
        <w:t>italic&gt;</w:t>
      </w:r>
      <w:r>
        <w:rPr>
          <w:rFonts w:ascii="Book Antiqua" w:eastAsia="Book Antiqua" w:hAnsi="Book Antiqua" w:cs="Book Antiqua"/>
          <w:color w:val="000000"/>
        </w:rPr>
        <w:t xml:space="preserve"> gene sequencing; Dynamic changes; Intestinal barrier index; Procalcitonin</w:t>
      </w:r>
    </w:p>
    <w:p w14:paraId="38B57EB3" w14:textId="77777777" w:rsidR="00011DC0" w:rsidRDefault="00011DC0">
      <w:pPr>
        <w:adjustRightInd w:val="0"/>
        <w:snapToGrid w:val="0"/>
        <w:spacing w:line="360" w:lineRule="auto"/>
        <w:jc w:val="both"/>
        <w:rPr>
          <w:rFonts w:ascii="Book Antiqua" w:hAnsi="Book Antiqua"/>
          <w:lang w:eastAsia="zh-CN"/>
        </w:rPr>
      </w:pPr>
    </w:p>
    <w:p w14:paraId="1788B699" w14:textId="77777777" w:rsidR="00913C04" w:rsidRPr="00026CB8" w:rsidRDefault="00913C04" w:rsidP="00913C0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3377A08D" w14:textId="77777777" w:rsidR="00913C04" w:rsidRDefault="00913C04">
      <w:pPr>
        <w:adjustRightInd w:val="0"/>
        <w:snapToGrid w:val="0"/>
        <w:spacing w:line="360" w:lineRule="auto"/>
        <w:jc w:val="both"/>
        <w:rPr>
          <w:rFonts w:ascii="Book Antiqua" w:hAnsi="Book Antiqua"/>
          <w:lang w:eastAsia="zh-CN"/>
        </w:rPr>
      </w:pPr>
    </w:p>
    <w:p w14:paraId="50D0F68A" w14:textId="01916ED5" w:rsidR="002451BA" w:rsidRDefault="002451BA">
      <w:pPr>
        <w:adjustRightInd w:val="0"/>
        <w:snapToGrid w:val="0"/>
        <w:spacing w:line="360" w:lineRule="auto"/>
        <w:jc w:val="both"/>
        <w:rPr>
          <w:rFonts w:ascii="Book Antiqua" w:hAnsi="Book Antiqua" w:cs="Book Antiqua"/>
          <w:lang w:eastAsia="zh-CN"/>
        </w:rPr>
      </w:pPr>
      <w:r w:rsidRPr="002451BA">
        <w:rPr>
          <w:rFonts w:ascii="Book Antiqua" w:hAnsi="Book Antiqua" w:cs="Book Antiqua" w:hint="eastAsia"/>
          <w:b/>
          <w:color w:val="000000"/>
          <w:lang w:eastAsia="zh-CN"/>
        </w:rPr>
        <w:t xml:space="preserve">Citation: </w:t>
      </w:r>
      <w:r w:rsidR="00546129">
        <w:rPr>
          <w:rFonts w:ascii="Book Antiqua" w:eastAsia="Book Antiqua" w:hAnsi="Book Antiqua" w:cs="Book Antiqua"/>
          <w:color w:val="000000"/>
        </w:rPr>
        <w:t>Yang XJ, Liu D, Ren HY, Zhang XY, Zhang J, Yang XJ. Effects of sepsis and its treatment measures on</w:t>
      </w:r>
      <w:r w:rsidR="00764001">
        <w:rPr>
          <w:rFonts w:ascii="Book Antiqua" w:eastAsia="Book Antiqua" w:hAnsi="Book Antiqua" w:cs="Book Antiqua"/>
          <w:color w:val="000000"/>
        </w:rPr>
        <w:t xml:space="preserve"> </w:t>
      </w:r>
      <w:r w:rsidR="00546129">
        <w:rPr>
          <w:rFonts w:ascii="Book Antiqua" w:eastAsia="Book Antiqua" w:hAnsi="Book Antiqua" w:cs="Book Antiqua"/>
          <w:color w:val="000000"/>
        </w:rPr>
        <w:t xml:space="preserve">intestinal flora </w:t>
      </w:r>
      <w:r w:rsidR="00764001">
        <w:rPr>
          <w:rFonts w:ascii="Book Antiqua" w:eastAsia="Book Antiqua" w:hAnsi="Book Antiqua" w:cs="Book Antiqua"/>
          <w:color w:val="000000"/>
        </w:rPr>
        <w:t xml:space="preserve">structure in </w:t>
      </w:r>
      <w:r w:rsidR="00546129">
        <w:rPr>
          <w:rFonts w:ascii="Book Antiqua" w:eastAsia="Book Antiqua" w:hAnsi="Book Antiqua" w:cs="Book Antiqua"/>
          <w:color w:val="000000"/>
        </w:rPr>
        <w:t xml:space="preserve">critical care patients. </w:t>
      </w:r>
      <w:r w:rsidR="00546129">
        <w:rPr>
          <w:rFonts w:ascii="Book Antiqua" w:eastAsia="Book Antiqua" w:hAnsi="Book Antiqua" w:cs="Book Antiqua"/>
          <w:i/>
          <w:iCs/>
          <w:color w:val="000000"/>
        </w:rPr>
        <w:t>World J Gastroenterol</w:t>
      </w:r>
      <w:r w:rsidR="00546129">
        <w:rPr>
          <w:rFonts w:ascii="Book Antiqua" w:eastAsia="Book Antiqua" w:hAnsi="Book Antiqua" w:cs="Book Antiqua"/>
          <w:color w:val="000000"/>
        </w:rPr>
        <w:t xml:space="preserve"> </w:t>
      </w:r>
      <w:r w:rsidR="00576EFC" w:rsidRPr="0032360E">
        <w:rPr>
          <w:rFonts w:ascii="Book Antiqua" w:eastAsia="Book Antiqua" w:hAnsi="Book Antiqua" w:cs="Book Antiqua"/>
        </w:rPr>
        <w:t>202</w:t>
      </w:r>
      <w:r w:rsidR="00576EFC">
        <w:rPr>
          <w:rFonts w:ascii="Book Antiqua" w:hAnsi="Book Antiqua" w:cs="Book Antiqua" w:hint="eastAsia"/>
          <w:lang w:eastAsia="zh-CN"/>
        </w:rPr>
        <w:t>1</w:t>
      </w:r>
      <w:r w:rsidR="00576EFC" w:rsidRPr="0032360E">
        <w:rPr>
          <w:rFonts w:ascii="Book Antiqua" w:eastAsia="Book Antiqua" w:hAnsi="Book Antiqua" w:cs="Book Antiqua"/>
        </w:rPr>
        <w:t>; 2</w:t>
      </w:r>
      <w:r w:rsidR="00576EFC">
        <w:rPr>
          <w:rFonts w:ascii="Book Antiqua" w:hAnsi="Book Antiqua" w:cs="Book Antiqua" w:hint="eastAsia"/>
          <w:lang w:eastAsia="zh-CN"/>
        </w:rPr>
        <w:t>7</w:t>
      </w:r>
      <w:r w:rsidR="00576EFC" w:rsidRPr="0032360E">
        <w:rPr>
          <w:rFonts w:ascii="Book Antiqua" w:eastAsia="Book Antiqua" w:hAnsi="Book Antiqua" w:cs="Book Antiqua"/>
        </w:rPr>
        <w:t>(</w:t>
      </w:r>
      <w:r w:rsidR="00576EFC">
        <w:rPr>
          <w:rFonts w:ascii="Book Antiqua" w:hAnsi="Book Antiqua" w:cs="Book Antiqua" w:hint="eastAsia"/>
          <w:lang w:eastAsia="zh-CN"/>
        </w:rPr>
        <w:t>19</w:t>
      </w:r>
      <w:r w:rsidR="00576EFC" w:rsidRPr="0032360E">
        <w:rPr>
          <w:rFonts w:ascii="Book Antiqua" w:eastAsia="Book Antiqua" w:hAnsi="Book Antiqua" w:cs="Book Antiqua"/>
        </w:rPr>
        <w:t xml:space="preserve">): </w:t>
      </w:r>
      <w:r w:rsidR="00323F2C">
        <w:rPr>
          <w:rFonts w:ascii="Book Antiqua" w:hAnsi="Book Antiqua" w:hint="eastAsia"/>
        </w:rPr>
        <w:t>237</w:t>
      </w:r>
      <w:r w:rsidR="009F4BC2">
        <w:rPr>
          <w:rFonts w:ascii="Book Antiqua" w:hAnsi="Book Antiqua" w:hint="eastAsia"/>
          <w:lang w:eastAsia="zh-CN"/>
        </w:rPr>
        <w:t>6</w:t>
      </w:r>
      <w:r w:rsidR="00323F2C">
        <w:rPr>
          <w:rFonts w:ascii="Book Antiqua" w:hAnsi="Book Antiqua" w:hint="eastAsia"/>
          <w:lang w:eastAsia="zh-CN"/>
        </w:rPr>
        <w:t>-</w:t>
      </w:r>
      <w:r w:rsidR="00323F2C">
        <w:rPr>
          <w:rFonts w:ascii="Book Antiqua" w:hAnsi="Book Antiqua" w:hint="eastAsia"/>
        </w:rPr>
        <w:t>239</w:t>
      </w:r>
      <w:r w:rsidR="009F4BC2">
        <w:rPr>
          <w:rFonts w:ascii="Book Antiqua" w:hAnsi="Book Antiqua" w:hint="eastAsia"/>
          <w:lang w:eastAsia="zh-CN"/>
        </w:rPr>
        <w:t>3</w:t>
      </w:r>
      <w:r w:rsidR="00576EFC" w:rsidRPr="0032360E">
        <w:rPr>
          <w:rFonts w:ascii="Book Antiqua" w:eastAsia="Book Antiqua" w:hAnsi="Book Antiqua" w:cs="Book Antiqua"/>
        </w:rPr>
        <w:t xml:space="preserve">  </w:t>
      </w:r>
    </w:p>
    <w:p w14:paraId="3632DAF2" w14:textId="46BAB608" w:rsidR="002451BA" w:rsidRDefault="00576EFC">
      <w:pPr>
        <w:adjustRightInd w:val="0"/>
        <w:snapToGrid w:val="0"/>
        <w:spacing w:line="360" w:lineRule="auto"/>
        <w:jc w:val="both"/>
        <w:rPr>
          <w:rFonts w:ascii="Book Antiqua" w:hAnsi="Book Antiqua" w:cs="Book Antiqua"/>
          <w:lang w:eastAsia="zh-CN"/>
        </w:rPr>
      </w:pPr>
      <w:r w:rsidRPr="002451BA">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19</w:t>
      </w:r>
      <w:r w:rsidRPr="0032360E">
        <w:rPr>
          <w:rFonts w:ascii="Book Antiqua" w:eastAsia="Book Antiqua" w:hAnsi="Book Antiqua" w:cs="Book Antiqua"/>
        </w:rPr>
        <w:t>/</w:t>
      </w:r>
      <w:r w:rsidR="00323F2C">
        <w:rPr>
          <w:rFonts w:ascii="Book Antiqua" w:hAnsi="Book Antiqua" w:cs="Book Antiqua" w:hint="eastAsia"/>
          <w:lang w:eastAsia="zh-CN"/>
        </w:rPr>
        <w:t>237</w:t>
      </w:r>
      <w:r w:rsidR="009F4BC2">
        <w:rPr>
          <w:rFonts w:ascii="Book Antiqua" w:hAnsi="Book Antiqua" w:cs="Book Antiqua" w:hint="eastAsia"/>
          <w:lang w:eastAsia="zh-CN"/>
        </w:rPr>
        <w:t>6</w:t>
      </w:r>
      <w:r w:rsidRPr="0032360E">
        <w:rPr>
          <w:rFonts w:ascii="Book Antiqua" w:eastAsia="Book Antiqua" w:hAnsi="Book Antiqua" w:cs="Book Antiqua"/>
        </w:rPr>
        <w:t xml:space="preserve">.htm  </w:t>
      </w:r>
    </w:p>
    <w:p w14:paraId="25CA726B" w14:textId="3002B30F" w:rsidR="00011DC0" w:rsidRDefault="00576EFC">
      <w:pPr>
        <w:adjustRightInd w:val="0"/>
        <w:snapToGrid w:val="0"/>
        <w:spacing w:line="360" w:lineRule="auto"/>
        <w:jc w:val="both"/>
        <w:rPr>
          <w:rFonts w:ascii="Book Antiqua" w:hAnsi="Book Antiqua"/>
        </w:rPr>
      </w:pPr>
      <w:r w:rsidRPr="002451BA">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lang w:eastAsia="zh-CN"/>
        </w:rPr>
        <w:t>7</w:t>
      </w:r>
      <w:r w:rsidRPr="0032360E">
        <w:rPr>
          <w:rFonts w:ascii="Book Antiqua" w:eastAsia="Book Antiqua" w:hAnsi="Book Antiqua" w:cs="Book Antiqua"/>
        </w:rPr>
        <w:t>.i</w:t>
      </w:r>
      <w:r>
        <w:rPr>
          <w:rFonts w:ascii="Book Antiqua" w:hAnsi="Book Antiqua" w:cs="Book Antiqua" w:hint="eastAsia"/>
          <w:lang w:eastAsia="zh-CN"/>
        </w:rPr>
        <w:t>19</w:t>
      </w:r>
      <w:r w:rsidRPr="0032360E">
        <w:rPr>
          <w:rFonts w:ascii="Book Antiqua" w:eastAsia="Book Antiqua" w:hAnsi="Book Antiqua" w:cs="Book Antiqua"/>
        </w:rPr>
        <w:t>.</w:t>
      </w:r>
      <w:r w:rsidR="00323F2C">
        <w:rPr>
          <w:rFonts w:ascii="Book Antiqua" w:hAnsi="Book Antiqua" w:cs="Book Antiqua" w:hint="eastAsia"/>
          <w:lang w:eastAsia="zh-CN"/>
        </w:rPr>
        <w:t>237</w:t>
      </w:r>
      <w:r w:rsidR="009F4BC2">
        <w:rPr>
          <w:rFonts w:ascii="Book Antiqua" w:hAnsi="Book Antiqua" w:cs="Book Antiqua" w:hint="eastAsia"/>
          <w:lang w:eastAsia="zh-CN"/>
        </w:rPr>
        <w:t>6</w:t>
      </w:r>
      <w:bookmarkStart w:id="0" w:name="_GoBack"/>
      <w:bookmarkEnd w:id="0"/>
    </w:p>
    <w:p w14:paraId="62944118" w14:textId="77777777" w:rsidR="00011DC0" w:rsidRDefault="00011DC0">
      <w:pPr>
        <w:adjustRightInd w:val="0"/>
        <w:snapToGrid w:val="0"/>
        <w:spacing w:line="360" w:lineRule="auto"/>
        <w:jc w:val="both"/>
        <w:rPr>
          <w:rFonts w:ascii="Book Antiqua" w:hAnsi="Book Antiqua"/>
        </w:rPr>
      </w:pPr>
    </w:p>
    <w:p w14:paraId="6C9227D5" w14:textId="37BDCD9F"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As the largest reservoir of bacteria and endotoxins in the body, the intestinal tract is regarded as the “engine” of sepsis and multiple organ </w:t>
      </w:r>
      <w:proofErr w:type="gramStart"/>
      <w:r>
        <w:rPr>
          <w:rFonts w:ascii="Book Antiqua" w:eastAsia="Book Antiqua" w:hAnsi="Book Antiqua" w:cs="Book Antiqua"/>
          <w:color w:val="000000"/>
        </w:rPr>
        <w:t>dysfunction</w:t>
      </w:r>
      <w:proofErr w:type="gramEnd"/>
      <w:r>
        <w:rPr>
          <w:rFonts w:ascii="Book Antiqua" w:eastAsia="Book Antiqua" w:hAnsi="Book Antiqua" w:cs="Book Antiqua"/>
          <w:color w:val="000000"/>
        </w:rPr>
        <w:t xml:space="preserve">. Through </w:t>
      </w:r>
      <w:r>
        <w:rPr>
          <w:rFonts w:ascii="Book Antiqua" w:eastAsia="Book Antiqua" w:hAnsi="Book Antiqua" w:cs="Book Antiqua"/>
          <w:i/>
          <w:iCs/>
          <w:color w:val="000000"/>
        </w:rPr>
        <w:t xml:space="preserve">16S </w:t>
      </w:r>
      <w:r>
        <w:rPr>
          <w:rFonts w:ascii="Book Antiqua" w:eastAsia="Book Antiqua" w:hAnsi="Book Antiqua" w:cs="Book Antiqua"/>
          <w:i/>
          <w:iCs/>
          <w:color w:val="000000"/>
        </w:rPr>
        <w:lastRenderedPageBreak/>
        <w:t>rRNA</w:t>
      </w:r>
      <w:r>
        <w:rPr>
          <w:rFonts w:ascii="Book Antiqua" w:eastAsia="Book Antiqua" w:hAnsi="Book Antiqua" w:cs="Book Antiqua"/>
          <w:color w:val="000000"/>
        </w:rPr>
        <w:t xml:space="preserve"> gene sequencing, we observed that intestinal flora disturbance occurs in sepsis patients. Notably, here, we reveal</w:t>
      </w:r>
      <w:r w:rsidR="00764001">
        <w:rPr>
          <w:rFonts w:ascii="Book Antiqua" w:eastAsia="Book Antiqua" w:hAnsi="Book Antiqua" w:cs="Book Antiqua"/>
          <w:color w:val="000000"/>
        </w:rPr>
        <w:t>ed</w:t>
      </w:r>
      <w:r>
        <w:rPr>
          <w:rFonts w:ascii="Book Antiqua" w:eastAsia="Book Antiqua" w:hAnsi="Book Antiqua" w:cs="Book Antiqua"/>
          <w:color w:val="000000"/>
        </w:rPr>
        <w:t xml:space="preserve"> for the first time the intestinal flora dynamic changes in sepsis patients during treatment. We found that the abundance of some intestinal bacteria in sepsis patients significantly </w:t>
      </w:r>
      <w:r w:rsidR="00764001">
        <w:rPr>
          <w:rFonts w:ascii="Book Antiqua" w:eastAsia="Book Antiqua" w:hAnsi="Book Antiqua" w:cs="Book Antiqua"/>
          <w:color w:val="000000"/>
        </w:rPr>
        <w:t xml:space="preserve">correlated </w:t>
      </w:r>
      <w:r>
        <w:rPr>
          <w:rFonts w:ascii="Book Antiqua" w:eastAsia="Book Antiqua" w:hAnsi="Book Antiqua" w:cs="Book Antiqua"/>
          <w:color w:val="000000"/>
        </w:rPr>
        <w:t>with infection- and intestinal barrier-related clinical indicators. These findings add to the understanding of the intestinal flora in sepsis, providing a basis for the reversal of dysbiosis.</w:t>
      </w:r>
    </w:p>
    <w:p w14:paraId="61CE5BE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4A782D5" w14:textId="47E18DDB"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Sepsis refers to the life-threatening organ dysfunction caused by imbalanced responses to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As the largest reservoir of bacteria and endotoxins in the body, the intestinal tract is regarded as the “engine” of sepsis and multiple organ dysfunction </w:t>
      </w:r>
      <w:proofErr w:type="gramStart"/>
      <w:r>
        <w:rPr>
          <w:rFonts w:ascii="Book Antiqua" w:eastAsia="Book Antiqua" w:hAnsi="Book Antiqua" w:cs="Book Antiqua"/>
          <w:color w:val="000000"/>
        </w:rPr>
        <w:t>syndrome</w:t>
      </w:r>
      <w:proofErr w:type="gramEnd"/>
      <w:r>
        <w:rPr>
          <w:rFonts w:ascii="Book Antiqua" w:eastAsia="Book Antiqua" w:hAnsi="Book Antiqua" w:cs="Book Antiqua"/>
          <w:color w:val="000000"/>
        </w:rPr>
        <w:t xml:space="preserve">. Under normal circumstances, the intestinal flora plays beneficial roles in the context of human physiology and </w:t>
      </w:r>
      <w:proofErr w:type="gramStart"/>
      <w:r>
        <w:rPr>
          <w:rFonts w:ascii="Book Antiqua" w:eastAsia="Book Antiqua" w:hAnsi="Book Antiqua" w:cs="Book Antiqua"/>
          <w:color w:val="000000"/>
        </w:rPr>
        <w:t>immunity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existing in a homeostatic state important for the maintenance of human health. However, in the context of critical illness, homeostasis is interrupted, leading to abnormal changes in the types, quantities, proportions, and locations of microorganisms in the intestinal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thus</w:t>
      </w:r>
      <w:r w:rsidR="00B600B5">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increasing susceptibility to sepsis. In fact, studies have shown that there is a dose–response relationship between the degree of intestinal microecological disturbance and the incidence of subsequent severe </w:t>
      </w:r>
      <w:proofErr w:type="gramStart"/>
      <w:r>
        <w:rPr>
          <w:rFonts w:ascii="Book Antiqua" w:eastAsia="Book Antiqua" w:hAnsi="Book Antiqua" w:cs="Book Antiqua"/>
          <w:color w:val="000000"/>
        </w:rPr>
        <w:t>sepsis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Therefore, an improved understanding of the status and degree of intestinal flora disturbances in sepsis patients is of great significance; for instance, the establishment of strong intestinal microecology-based biomarkers will allow</w:t>
      </w:r>
      <w:r w:rsidR="00B600B5">
        <w:rPr>
          <w:rFonts w:ascii="Book Antiqua" w:eastAsia="Book Antiqua" w:hAnsi="Book Antiqua" w:cs="Book Antiqua"/>
          <w:color w:val="000000"/>
        </w:rPr>
        <w:t xml:space="preserve"> for</w:t>
      </w:r>
      <w:r>
        <w:rPr>
          <w:rFonts w:ascii="Book Antiqua" w:eastAsia="Book Antiqua" w:hAnsi="Book Antiqua" w:cs="Book Antiqua"/>
          <w:color w:val="000000"/>
        </w:rPr>
        <w:t xml:space="preserve"> the accurate </w:t>
      </w:r>
      <w:r w:rsidR="00B600B5">
        <w:rPr>
          <w:rFonts w:ascii="Book Antiqua" w:eastAsia="Book Antiqua" w:hAnsi="Book Antiqua" w:cs="Book Antiqua"/>
          <w:color w:val="000000"/>
        </w:rPr>
        <w:t xml:space="preserve">prediction of </w:t>
      </w:r>
      <w:r>
        <w:rPr>
          <w:rFonts w:ascii="Book Antiqua" w:eastAsia="Book Antiqua" w:hAnsi="Book Antiqua" w:cs="Book Antiqua"/>
          <w:color w:val="000000"/>
        </w:rPr>
        <w:t>prognosis of sepsis patients and the consequent adoption of adequate treatment measures. However, there are few reports on the sepsis-related intestinal flora and its dynamic changes.</w:t>
      </w:r>
    </w:p>
    <w:p w14:paraId="6952F2C7" w14:textId="28A271E2"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High-throughput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allows for a comprehensive understanding of the intestinal flora structure, and it is the standard technology used for human intestinal flora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In this study, the diversity and composition of the intestinal flora in sepsis patients, non-sepsis patients, and healthy individuals were analyzed and compared. The dynamic changes in the intestinal flora α-diversity and structure throughout a 1 wk period [</w:t>
      </w:r>
      <w:r w:rsidR="00B600B5">
        <w:rPr>
          <w:rFonts w:ascii="Book Antiqua" w:eastAsia="Book Antiqua" w:hAnsi="Book Antiqua" w:cs="Book Antiqua"/>
          <w:color w:val="000000"/>
        </w:rPr>
        <w:t>1</w:t>
      </w:r>
      <w:r>
        <w:rPr>
          <w:rFonts w:ascii="Book Antiqua" w:eastAsia="Book Antiqua" w:hAnsi="Book Antiqua" w:cs="Book Antiqua"/>
          <w:color w:val="000000"/>
        </w:rPr>
        <w:t xml:space="preserve">, </w:t>
      </w:r>
      <w:r w:rsidR="00B600B5">
        <w:rPr>
          <w:rFonts w:ascii="Book Antiqua" w:eastAsia="Book Antiqua" w:hAnsi="Book Antiqua" w:cs="Book Antiqua"/>
          <w:color w:val="000000"/>
        </w:rPr>
        <w:t>3</w:t>
      </w:r>
      <w:r>
        <w:rPr>
          <w:rFonts w:ascii="Book Antiqua" w:eastAsia="Book Antiqua" w:hAnsi="Book Antiqua" w:cs="Book Antiqua"/>
          <w:color w:val="000000"/>
        </w:rPr>
        <w:t xml:space="preserve">, and </w:t>
      </w:r>
      <w:r w:rsidR="00B600B5">
        <w:rPr>
          <w:rFonts w:ascii="Book Antiqua" w:eastAsia="Book Antiqua" w:hAnsi="Book Antiqua" w:cs="Book Antiqua"/>
          <w:color w:val="000000"/>
        </w:rPr>
        <w:t xml:space="preserve">7 d </w:t>
      </w:r>
      <w:r>
        <w:rPr>
          <w:rFonts w:ascii="Book Antiqua" w:eastAsia="Book Antiqua" w:hAnsi="Book Antiqua" w:cs="Book Antiqua"/>
          <w:color w:val="000000"/>
        </w:rPr>
        <w:t xml:space="preserve">after admittance to the </w:t>
      </w:r>
      <w:bookmarkStart w:id="1" w:name="_Hlk69739205"/>
      <w:bookmarkStart w:id="2" w:name="_Hlk69237441"/>
      <w:r>
        <w:rPr>
          <w:rFonts w:ascii="Book Antiqua" w:eastAsia="Book Antiqua" w:hAnsi="Book Antiqua" w:cs="Book Antiqua"/>
          <w:color w:val="000000"/>
        </w:rPr>
        <w:t xml:space="preserve">intensive care </w:t>
      </w:r>
      <w:r>
        <w:rPr>
          <w:rFonts w:ascii="Book Antiqua" w:eastAsia="Book Antiqua" w:hAnsi="Book Antiqua" w:cs="Book Antiqua"/>
          <w:color w:val="000000"/>
        </w:rPr>
        <w:lastRenderedPageBreak/>
        <w:t>unit</w:t>
      </w:r>
      <w:bookmarkEnd w:id="1"/>
      <w:r>
        <w:rPr>
          <w:rFonts w:ascii="Book Antiqua" w:eastAsia="Book Antiqua" w:hAnsi="Book Antiqua" w:cs="Book Antiqua"/>
          <w:color w:val="000000"/>
        </w:rPr>
        <w:t xml:space="preserve"> (ICU)</w:t>
      </w:r>
      <w:bookmarkEnd w:id="2"/>
      <w:r>
        <w:rPr>
          <w:rFonts w:ascii="Book Antiqua" w:eastAsia="Book Antiqua" w:hAnsi="Book Antiqua" w:cs="Book Antiqua"/>
          <w:color w:val="000000"/>
        </w:rPr>
        <w:t xml:space="preserve">] were also investigated to disclose the transformation of the intestinal flora in the context of antibiotic treatment. In addition, the potential relationships between the intestinal flora imbalance and clinical indicators in sepsis were investigated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correlation analysis. </w:t>
      </w:r>
    </w:p>
    <w:p w14:paraId="2E38AE7C" w14:textId="77777777" w:rsidR="00011DC0" w:rsidRDefault="00011DC0">
      <w:pPr>
        <w:adjustRightInd w:val="0"/>
        <w:snapToGrid w:val="0"/>
        <w:spacing w:line="360" w:lineRule="auto"/>
        <w:ind w:firstLine="480"/>
        <w:jc w:val="both"/>
        <w:rPr>
          <w:rFonts w:ascii="Book Antiqua" w:hAnsi="Book Antiqua"/>
        </w:rPr>
      </w:pPr>
    </w:p>
    <w:p w14:paraId="4F8A9DF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3DBF60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General information</w:t>
      </w:r>
    </w:p>
    <w:p w14:paraId="787A8C29" w14:textId="5A1A08B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This is a prospective observational study, including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sepsis patients (sepsis group) admitted to the ICU of the General Hospital, Ningxia Medical University, China from February 2017 to June 2017,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without sepsis (non-sepsis group) admitted to the same ICU during the same time period, and </w:t>
      </w:r>
      <w:r w:rsidR="00B600B5">
        <w:rPr>
          <w:rFonts w:ascii="Book Antiqua" w:eastAsia="Book Antiqua" w:hAnsi="Book Antiqua" w:cs="Book Antiqua"/>
          <w:color w:val="000000"/>
        </w:rPr>
        <w:t xml:space="preserve">ten local </w:t>
      </w:r>
      <w:r>
        <w:rPr>
          <w:rFonts w:ascii="Book Antiqua" w:eastAsia="Book Antiqua" w:hAnsi="Book Antiqua" w:cs="Book Antiqua"/>
          <w:color w:val="000000"/>
        </w:rPr>
        <w:t>healthy individuals (control group). The inclusion criteria for sepsis patients were as follows: 18</w:t>
      </w:r>
      <w:r w:rsidR="004A1436">
        <w:rPr>
          <w:rFonts w:ascii="Book Antiqua" w:eastAsia="Book Antiqua" w:hAnsi="Book Antiqua" w:cs="Book Antiqua"/>
          <w:color w:val="000000"/>
        </w:rPr>
        <w:t>-</w:t>
      </w:r>
      <w:r>
        <w:rPr>
          <w:rFonts w:ascii="Book Antiqua" w:eastAsia="Book Antiqua" w:hAnsi="Book Antiqua" w:cs="Book Antiqua"/>
          <w:color w:val="000000"/>
        </w:rPr>
        <w:t>75 years old; sepsis patients meeting the latest definition of sepsis in “Sepsis-3.0” issued by the Society of Critical Care Medicine (SCCM) in 2016</w:t>
      </w:r>
      <w:r>
        <w:rPr>
          <w:rFonts w:ascii="Book Antiqua" w:eastAsia="Book Antiqua" w:hAnsi="Book Antiqua" w:cs="Book Antiqua"/>
          <w:color w:val="000000"/>
          <w:vertAlign w:val="superscript"/>
        </w:rPr>
        <w:t>[7]</w:t>
      </w:r>
      <w:r>
        <w:rPr>
          <w:rFonts w:ascii="Book Antiqua" w:eastAsia="Book Antiqua" w:hAnsi="Book Antiqua" w:cs="Book Antiqua"/>
          <w:color w:val="000000"/>
        </w:rPr>
        <w:t>; and estimated time of more than</w:t>
      </w:r>
      <w:r w:rsidR="00B600B5">
        <w:rPr>
          <w:rFonts w:ascii="Book Antiqua" w:eastAsia="Book Antiqua" w:hAnsi="Book Antiqua" w:cs="Book Antiqua"/>
          <w:color w:val="000000"/>
        </w:rPr>
        <w:t xml:space="preserve"> 2</w:t>
      </w:r>
      <w:r>
        <w:rPr>
          <w:rFonts w:ascii="Book Antiqua" w:eastAsia="Book Antiqua" w:hAnsi="Book Antiqua" w:cs="Book Antiqua"/>
          <w:color w:val="000000"/>
        </w:rPr>
        <w:t xml:space="preserve"> </w:t>
      </w:r>
      <w:r w:rsidR="00B600B5">
        <w:rPr>
          <w:rFonts w:ascii="Book Antiqua" w:eastAsia="Book Antiqua" w:hAnsi="Book Antiqua" w:cs="Book Antiqua"/>
          <w:color w:val="000000"/>
        </w:rPr>
        <w:t xml:space="preserve">d </w:t>
      </w:r>
      <w:r>
        <w:rPr>
          <w:rFonts w:ascii="Book Antiqua" w:eastAsia="Book Antiqua" w:hAnsi="Book Antiqua" w:cs="Book Antiqua"/>
          <w:color w:val="000000"/>
        </w:rPr>
        <w:t>spent in the ICU after enrollment.</w:t>
      </w:r>
      <w:r>
        <w:rPr>
          <w:rFonts w:ascii="Book Antiqua" w:eastAsia="Book Antiqua" w:hAnsi="Book Antiqua" w:cs="Book Antiqua"/>
          <w:b/>
          <w:bCs/>
          <w:color w:val="000000"/>
        </w:rPr>
        <w:t xml:space="preserve"> </w:t>
      </w:r>
      <w:r>
        <w:rPr>
          <w:rFonts w:ascii="Book Antiqua" w:eastAsia="Book Antiqua" w:hAnsi="Book Antiqua" w:cs="Book Antiqua"/>
          <w:color w:val="000000"/>
        </w:rPr>
        <w:t>The inclusion criteria for the non-sepsis patients were as follows: 18</w:t>
      </w:r>
      <w:r w:rsidR="004A1436">
        <w:rPr>
          <w:rFonts w:ascii="Book Antiqua" w:eastAsia="Book Antiqua" w:hAnsi="Book Antiqua" w:cs="Book Antiqua"/>
          <w:color w:val="000000"/>
        </w:rPr>
        <w:t>-</w:t>
      </w:r>
      <w:r>
        <w:rPr>
          <w:rFonts w:ascii="Book Antiqua" w:eastAsia="Book Antiqua" w:hAnsi="Book Antiqua" w:cs="Book Antiqua"/>
          <w:color w:val="000000"/>
        </w:rPr>
        <w:t>75 years old; and patients admitted to the ICU at the same period owing to diseases other than sepsis, such as multiple injuries and high-risk operations. Of note, we tried to match the age, underlying disease</w:t>
      </w:r>
      <w:r w:rsidR="00B600B5">
        <w:rPr>
          <w:rFonts w:ascii="Book Antiqua" w:eastAsia="Book Antiqua" w:hAnsi="Book Antiqua" w:cs="Book Antiqua"/>
          <w:color w:val="000000"/>
        </w:rPr>
        <w:t>,</w:t>
      </w:r>
      <w:r>
        <w:rPr>
          <w:rFonts w:ascii="Book Antiqua" w:eastAsia="Book Antiqua" w:hAnsi="Book Antiqua" w:cs="Book Antiqua"/>
          <w:color w:val="000000"/>
        </w:rPr>
        <w:t xml:space="preserve"> and surgical site with those in patients in the sepsis group. Because there was no definite infection, </w:t>
      </w:r>
      <w:r w:rsidR="00B600B5">
        <w:rPr>
          <w:rFonts w:ascii="Book Antiqua" w:eastAsia="Book Antiqua" w:hAnsi="Book Antiqua" w:cs="Book Antiqua"/>
          <w:color w:val="000000"/>
        </w:rPr>
        <w:t xml:space="preserve">the </w:t>
      </w:r>
      <w:r>
        <w:rPr>
          <w:rFonts w:ascii="Book Antiqua" w:eastAsia="Book Antiqua" w:hAnsi="Book Antiqua" w:cs="Book Antiqua"/>
          <w:color w:val="000000"/>
        </w:rPr>
        <w:t xml:space="preserve">non-sepsis group </w:t>
      </w:r>
      <w:r w:rsidR="00B600B5">
        <w:rPr>
          <w:rFonts w:ascii="Book Antiqua" w:eastAsia="Book Antiqua" w:hAnsi="Book Antiqua" w:cs="Book Antiqua"/>
          <w:color w:val="000000"/>
        </w:rPr>
        <w:t xml:space="preserve">was </w:t>
      </w:r>
      <w:r>
        <w:rPr>
          <w:rFonts w:ascii="Book Antiqua" w:eastAsia="Book Antiqua" w:hAnsi="Book Antiqua" w:cs="Book Antiqua"/>
          <w:color w:val="000000"/>
        </w:rPr>
        <w:t xml:space="preserve">not given antibiotics before the fecal samples were collected. The exclusion criteria were as follows: Not meeting the inclusion criteria; perianal infection; patients subjected to enterostomy; and patients with chronic gastrointestinal diseases. Additionally, the requirements for the healthy control group were as follows: </w:t>
      </w:r>
      <w:r w:rsidR="00B600B5">
        <w:rPr>
          <w:rFonts w:ascii="Book Antiqua" w:eastAsia="Book Antiqua" w:hAnsi="Book Antiqua" w:cs="Book Antiqua"/>
          <w:color w:val="000000"/>
        </w:rPr>
        <w:t>Matched</w:t>
      </w:r>
      <w:r>
        <w:rPr>
          <w:rFonts w:ascii="Book Antiqua" w:eastAsia="Book Antiqua" w:hAnsi="Book Antiqua" w:cs="Book Antiqua"/>
          <w:color w:val="000000"/>
        </w:rPr>
        <w:t xml:space="preserve"> age</w:t>
      </w:r>
      <w:r w:rsidR="00B600B5">
        <w:rPr>
          <w:rFonts w:ascii="Book Antiqua" w:eastAsia="Book Antiqua" w:hAnsi="Book Antiqua" w:cs="Book Antiqua"/>
          <w:color w:val="000000"/>
        </w:rPr>
        <w:t xml:space="preserve"> with</w:t>
      </w:r>
      <w:r>
        <w:rPr>
          <w:rFonts w:ascii="Book Antiqua" w:eastAsia="Book Antiqua" w:hAnsi="Book Antiqua" w:cs="Book Antiqua"/>
          <w:color w:val="000000"/>
        </w:rPr>
        <w:t xml:space="preserve"> the aforementioned two groups of patients; good health; no history of chronic or metabolic diseases (</w:t>
      </w:r>
      <w:r>
        <w:rPr>
          <w:rFonts w:ascii="Book Antiqua" w:eastAsia="Book Antiqua" w:hAnsi="Book Antiqua" w:cs="Book Antiqua"/>
          <w:i/>
          <w:iCs/>
          <w:color w:val="000000"/>
        </w:rPr>
        <w:t>e.g.</w:t>
      </w:r>
      <w:r>
        <w:rPr>
          <w:rFonts w:ascii="Book Antiqua" w:eastAsia="Book Antiqua" w:hAnsi="Book Antiqua" w:cs="Book Antiqua"/>
          <w:color w:val="000000"/>
        </w:rPr>
        <w:t>, hypertension, coronary heart disease, diabetes, hepatitis, and hyperthyroidism); no history of digestive tract diseases or digestive tract surgery; and not us</w:t>
      </w:r>
      <w:r w:rsidR="00B600B5">
        <w:rPr>
          <w:rFonts w:ascii="Book Antiqua" w:eastAsia="Book Antiqua" w:hAnsi="Book Antiqua" w:cs="Book Antiqua"/>
          <w:color w:val="000000"/>
        </w:rPr>
        <w:t>ing</w:t>
      </w:r>
      <w:r>
        <w:rPr>
          <w:rFonts w:ascii="Book Antiqua" w:eastAsia="Book Antiqua" w:hAnsi="Book Antiqua" w:cs="Book Antiqua"/>
          <w:color w:val="000000"/>
        </w:rPr>
        <w:t xml:space="preserve"> antibiotics, probiotics, enteral nutrients, or other drugs within </w:t>
      </w:r>
      <w:r w:rsidR="00B600B5">
        <w:rPr>
          <w:rFonts w:ascii="Book Antiqua" w:eastAsia="Book Antiqua" w:hAnsi="Book Antiqua" w:cs="Book Antiqua"/>
          <w:color w:val="000000"/>
        </w:rPr>
        <w:t xml:space="preserve">3 mo </w:t>
      </w:r>
      <w:r>
        <w:rPr>
          <w:rFonts w:ascii="Book Antiqua" w:eastAsia="Book Antiqua" w:hAnsi="Book Antiqua" w:cs="Book Antiqua"/>
          <w:color w:val="000000"/>
        </w:rPr>
        <w:t xml:space="preserve">before enrollment. Informed consent was obtained from all patients or their immediate family </w:t>
      </w:r>
      <w:r>
        <w:rPr>
          <w:rFonts w:ascii="Book Antiqua" w:eastAsia="Book Antiqua" w:hAnsi="Book Antiqua" w:cs="Book Antiqua"/>
          <w:color w:val="000000"/>
        </w:rPr>
        <w:lastRenderedPageBreak/>
        <w:t>members, and this study was approved by the hospital ethics committee (ethics approval number: 2016-258).</w:t>
      </w:r>
    </w:p>
    <w:p w14:paraId="105FF962" w14:textId="77777777" w:rsidR="00011DC0" w:rsidRDefault="00011DC0">
      <w:pPr>
        <w:adjustRightInd w:val="0"/>
        <w:snapToGrid w:val="0"/>
        <w:spacing w:line="360" w:lineRule="auto"/>
        <w:jc w:val="both"/>
        <w:rPr>
          <w:rFonts w:ascii="Book Antiqua" w:hAnsi="Book Antiqua"/>
        </w:rPr>
      </w:pPr>
    </w:p>
    <w:p w14:paraId="4CEEDB1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Research methods</w:t>
      </w:r>
    </w:p>
    <w:p w14:paraId="025743C5" w14:textId="384501EE"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The general clinical data of patients in the sepsis and non-sepsis groups were recorded, including</w:t>
      </w:r>
      <w:r w:rsidR="00B600B5">
        <w:rPr>
          <w:rFonts w:ascii="Book Antiqua" w:eastAsia="Book Antiqua" w:hAnsi="Book Antiqua" w:cs="Book Antiqua"/>
          <w:color w:val="000000"/>
        </w:rPr>
        <w:t xml:space="preserve"> </w:t>
      </w:r>
      <w:r>
        <w:rPr>
          <w:rFonts w:ascii="Book Antiqua" w:eastAsia="Book Antiqua" w:hAnsi="Book Antiqua" w:cs="Book Antiqua"/>
          <w:color w:val="000000"/>
        </w:rPr>
        <w:t>age, main diagnosis, operation type (abdominal cavity organ operation and non-abdominal cavity organ operation), clinical infection site, pathogenic bacterial agent (based on qualitative culture), and use of antibiotics (Table</w:t>
      </w:r>
      <w:r w:rsidR="004A1436">
        <w:rPr>
          <w:rFonts w:ascii="Book Antiqua" w:eastAsia="Book Antiqua" w:hAnsi="Book Antiqua" w:cs="Book Antiqua"/>
          <w:color w:val="000000"/>
        </w:rPr>
        <w:t>s</w:t>
      </w:r>
      <w:r>
        <w:rPr>
          <w:rFonts w:ascii="Book Antiqua" w:eastAsia="Book Antiqua" w:hAnsi="Book Antiqua" w:cs="Book Antiqua"/>
          <w:color w:val="000000"/>
        </w:rPr>
        <w:t xml:space="preserve"> 1</w:t>
      </w:r>
      <w:r w:rsidR="004A1436">
        <w:rPr>
          <w:rFonts w:ascii="Book Antiqua" w:eastAsia="Book Antiqua" w:hAnsi="Book Antiqua" w:cs="Book Antiqua"/>
          <w:color w:val="000000"/>
        </w:rPr>
        <w:t>-</w:t>
      </w:r>
      <w:r>
        <w:rPr>
          <w:rFonts w:ascii="Book Antiqua" w:eastAsia="Book Antiqua" w:hAnsi="Book Antiqua" w:cs="Book Antiqua"/>
          <w:color w:val="000000"/>
        </w:rPr>
        <w:t xml:space="preserve">3). The acute physiology and chronic health (APACHE II) score and sequential organ failure assessment (SOFA) score of patients on the day of ICU admission were recorded (Table 1). The primary infection site, surgical site, and use of antibiotics in the sepsis group were also recorded (Table 2), as were the positive results of blood, urine, sputum, and other body fluids collected from patients with sepsis (Table 3). Additionally, venous blood samples were collected from patients with sepsis on days </w:t>
      </w:r>
      <w:r w:rsidR="00B600B5">
        <w:rPr>
          <w:rFonts w:ascii="Book Antiqua" w:eastAsia="Book Antiqua" w:hAnsi="Book Antiqua" w:cs="Book Antiqua"/>
          <w:color w:val="000000"/>
        </w:rPr>
        <w:t>1</w:t>
      </w:r>
      <w:r>
        <w:rPr>
          <w:rFonts w:ascii="Book Antiqua" w:eastAsia="Book Antiqua" w:hAnsi="Book Antiqua" w:cs="Book Antiqua"/>
          <w:color w:val="000000"/>
        </w:rPr>
        <w:t>,</w:t>
      </w:r>
      <w:r w:rsidR="00B600B5">
        <w:rPr>
          <w:rFonts w:ascii="Book Antiqua" w:eastAsia="Book Antiqua" w:hAnsi="Book Antiqua" w:cs="Book Antiqua"/>
          <w:color w:val="000000"/>
        </w:rPr>
        <w:t xml:space="preserve"> 3</w:t>
      </w:r>
      <w:r>
        <w:rPr>
          <w:rFonts w:ascii="Book Antiqua" w:eastAsia="Book Antiqua" w:hAnsi="Book Antiqua" w:cs="Book Antiqua"/>
          <w:color w:val="000000"/>
        </w:rPr>
        <w:t xml:space="preserve">, and </w:t>
      </w:r>
      <w:r w:rsidR="00B600B5">
        <w:rPr>
          <w:rFonts w:ascii="Book Antiqua" w:eastAsia="Book Antiqua" w:hAnsi="Book Antiqua" w:cs="Book Antiqua"/>
          <w:color w:val="000000"/>
        </w:rPr>
        <w:t xml:space="preserve">7 </w:t>
      </w:r>
      <w:r>
        <w:rPr>
          <w:rFonts w:ascii="Book Antiqua" w:eastAsia="Book Antiqua" w:hAnsi="Book Antiqua" w:cs="Book Antiqua"/>
          <w:color w:val="000000"/>
        </w:rPr>
        <w:t xml:space="preserve">after admission to the ICU, and procalcitonin (PCT) was detected by immunochromatography [PCT-Q detection card produced by BRAHMS GmbH in Germany, provided by Thermo Fisher Scientific (China) Co., Ltd.], while the levels of serum </w:t>
      </w:r>
      <w:r>
        <w:rPr>
          <w:rFonts w:ascii="Book Antiqua" w:eastAsia="Book Antiqua" w:hAnsi="Book Antiqua" w:cs="Book Antiqua"/>
          <w:smallCaps/>
          <w:color w:val="000000"/>
        </w:rPr>
        <w:t>D</w:t>
      </w:r>
      <w:r>
        <w:rPr>
          <w:rFonts w:ascii="Book Antiqua" w:eastAsia="Book Antiqua" w:hAnsi="Book Antiqua" w:cs="Book Antiqua"/>
          <w:color w:val="000000"/>
        </w:rPr>
        <w:t>-lactic acid (</w:t>
      </w:r>
      <w:r>
        <w:rPr>
          <w:rFonts w:ascii="Book Antiqua" w:eastAsia="Book Antiqua" w:hAnsi="Book Antiqua" w:cs="Book Antiqua"/>
          <w:smallCaps/>
          <w:color w:val="000000"/>
        </w:rPr>
        <w:t>D</w:t>
      </w:r>
      <w:r>
        <w:rPr>
          <w:rFonts w:ascii="Book Antiqua" w:eastAsia="Book Antiqua" w:hAnsi="Book Antiqua" w:cs="Book Antiqua"/>
          <w:color w:val="000000"/>
        </w:rPr>
        <w:t>-Lac), bacterial endotoxin (endotoxin), and diamine oxidase (DAO) were determined using the JY-DLT intestinal barrier function biochemical index analysis system (Beijing Zhongsheng Jinyu Diagnosis Technology Co., Ltd., China.) within 0.5 h after blood collection.</w:t>
      </w:r>
    </w:p>
    <w:p w14:paraId="68CF8434" w14:textId="77777777" w:rsidR="00011DC0" w:rsidRDefault="00011DC0">
      <w:pPr>
        <w:adjustRightInd w:val="0"/>
        <w:snapToGrid w:val="0"/>
        <w:spacing w:line="360" w:lineRule="auto"/>
        <w:jc w:val="both"/>
        <w:rPr>
          <w:rFonts w:ascii="Book Antiqua" w:hAnsi="Book Antiqua"/>
        </w:rPr>
      </w:pPr>
    </w:p>
    <w:p w14:paraId="7C0F9C1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Collection of stool samples and sequencing</w:t>
      </w:r>
    </w:p>
    <w:p w14:paraId="7DE480C9" w14:textId="0FB9677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Stool samples were collected from sepsis patients on days </w:t>
      </w:r>
      <w:r w:rsidR="00B600B5">
        <w:rPr>
          <w:rFonts w:ascii="Book Antiqua" w:eastAsia="Book Antiqua" w:hAnsi="Book Antiqua" w:cs="Book Antiqua"/>
          <w:color w:val="000000"/>
        </w:rPr>
        <w:t xml:space="preserve">1, 3, and 7 </w:t>
      </w:r>
      <w:r>
        <w:rPr>
          <w:rFonts w:ascii="Book Antiqua" w:eastAsia="Book Antiqua" w:hAnsi="Book Antiqua" w:cs="Book Antiqua"/>
          <w:color w:val="000000"/>
        </w:rPr>
        <w:t xml:space="preserve">after admission to the ICU, from non-sepsis patients on day </w:t>
      </w:r>
      <w:r w:rsidR="00B600B5">
        <w:rPr>
          <w:rFonts w:ascii="Book Antiqua" w:eastAsia="Book Antiqua" w:hAnsi="Book Antiqua" w:cs="Book Antiqua"/>
          <w:color w:val="000000"/>
        </w:rPr>
        <w:t xml:space="preserve">1 </w:t>
      </w:r>
      <w:r>
        <w:rPr>
          <w:rFonts w:ascii="Book Antiqua" w:eastAsia="Book Antiqua" w:hAnsi="Book Antiqua" w:cs="Book Antiqua"/>
          <w:color w:val="000000"/>
        </w:rPr>
        <w:t xml:space="preserve">after admission to the ICU, and from healthy controls. Samples from patients were taken from a deep part of the fresh stool of patients by using a sampling spoon, and the stool samples were quickly placed in a special stool sample box. The stool samples of healthy control subjects were collected in a special stool sample box after normal defecation. Then, the small stool boxes filled </w:t>
      </w:r>
      <w:r>
        <w:rPr>
          <w:rFonts w:ascii="Book Antiqua" w:eastAsia="Book Antiqua" w:hAnsi="Book Antiqua" w:cs="Book Antiqua"/>
          <w:color w:val="000000"/>
        </w:rPr>
        <w:lastRenderedPageBreak/>
        <w:t>with samples were sealed, labeled, placed in a liquid nitrogen tank, and transferred to a -80 °C freezer for storage.</w:t>
      </w:r>
    </w:p>
    <w:p w14:paraId="422D9C3A" w14:textId="12D575CD"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Each stool sample was added to 790 μL</w:t>
      </w:r>
      <w:r w:rsidR="00B600B5">
        <w:rPr>
          <w:rFonts w:ascii="Book Antiqua" w:eastAsia="Book Antiqua" w:hAnsi="Book Antiqua" w:cs="Book Antiqua"/>
          <w:color w:val="000000"/>
        </w:rPr>
        <w:t xml:space="preserve"> of</w:t>
      </w:r>
      <w:r>
        <w:rPr>
          <w:rFonts w:ascii="Book Antiqua" w:eastAsia="Book Antiqua" w:hAnsi="Book Antiqua" w:cs="Book Antiqua"/>
          <w:color w:val="000000"/>
        </w:rPr>
        <w:t xml:space="preserve"> lysis buffer [4 M guanidine thiocyanate, 250 μL; 10% N-lauroyl sarcosine, 40 μL; 5% N-lauroyl sarcosine-0.1 M phosphate buffer (pH 8.0), 500 μL] together with 1 g glass beads (0.1 mm, Biospec Products, Inc., United States). After sufficient vortex-based homogenization, bead beating was performed for 10 min at full speed. The subsequent extraction was carried out according to the instructions of the extraction kit manufacturer (E.Z.N.A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Stool DNA Kit, Omega Bio-tek, Inc., GA). The V3–V4 region of the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was amplified with the primers 341F/805R (341F: 5′-CCTACGGGNGGCWGCAG-3′; 805R: 5′-GACTACHVGGGTATCTAATCC-3′), and the PCR products were sequenced on an Illumina MiSeq 2*300 bp platform. The raw sequencing data and accompanying information are available in the Sequence Read Archive database under the accession number PRJNA691455.</w:t>
      </w:r>
    </w:p>
    <w:p w14:paraId="6ACF24A0" w14:textId="77777777" w:rsidR="00011DC0" w:rsidRDefault="00011DC0">
      <w:pPr>
        <w:adjustRightInd w:val="0"/>
        <w:snapToGrid w:val="0"/>
        <w:spacing w:line="360" w:lineRule="auto"/>
        <w:ind w:firstLine="480"/>
        <w:jc w:val="both"/>
        <w:rPr>
          <w:rFonts w:ascii="Book Antiqua" w:hAnsi="Book Antiqua"/>
        </w:rPr>
      </w:pPr>
    </w:p>
    <w:p w14:paraId="27BCF9E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Bioinformatics and statistical analysis</w:t>
      </w:r>
    </w:p>
    <w:p w14:paraId="17CAC1A5" w14:textId="5572D7D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The clinical data were processed and analyzed using</w:t>
      </w:r>
      <w:r w:rsidR="00B600B5">
        <w:rPr>
          <w:rFonts w:ascii="Book Antiqua" w:eastAsia="Book Antiqua" w:hAnsi="Book Antiqua" w:cs="Book Antiqua"/>
          <w:color w:val="000000"/>
        </w:rPr>
        <w:t xml:space="preserve"> </w:t>
      </w:r>
      <w:r>
        <w:rPr>
          <w:rFonts w:ascii="Book Antiqua" w:eastAsia="Book Antiqua" w:hAnsi="Book Antiqua" w:cs="Book Antiqua"/>
          <w:color w:val="000000"/>
        </w:rPr>
        <w:t xml:space="preserve">SPSS 19.0 software. All data were first tested for normality and homogeneity of variance. Data conforming to a normal distribution and homogeneity of variance </w:t>
      </w:r>
      <w:r w:rsidR="00B600B5">
        <w:rPr>
          <w:rFonts w:ascii="Book Antiqua" w:eastAsia="Book Antiqua" w:hAnsi="Book Antiqua" w:cs="Book Antiqua"/>
          <w:color w:val="000000"/>
        </w:rPr>
        <w:t xml:space="preserve">are </w:t>
      </w:r>
      <w:r>
        <w:rPr>
          <w:rFonts w:ascii="Book Antiqua" w:eastAsia="Book Antiqua" w:hAnsi="Book Antiqua" w:cs="Book Antiqua"/>
          <w:color w:val="000000"/>
        </w:rPr>
        <w:t>expressed as</w:t>
      </w:r>
      <w:r w:rsidR="004A1436">
        <w:rPr>
          <w:rFonts w:ascii="Book Antiqua" w:eastAsia="Book Antiqua" w:hAnsi="Book Antiqua" w:cs="Book Antiqua"/>
          <w:color w:val="000000"/>
        </w:rPr>
        <w:t xml:space="preserve"> </w:t>
      </w:r>
      <w:r w:rsidR="00B600B5">
        <w:rPr>
          <w:rFonts w:ascii="Book Antiqua" w:eastAsia="Book Antiqua" w:hAnsi="Book Antiqua" w:cs="Book Antiqua"/>
          <w:color w:val="000000"/>
        </w:rPr>
        <w:t xml:space="preserve">the </w:t>
      </w:r>
      <w:r w:rsidR="004A1436">
        <w:rPr>
          <w:rFonts w:ascii="Book Antiqua" w:eastAsia="Book Antiqua" w:hAnsi="Book Antiqua" w:cs="Book Antiqua"/>
          <w:color w:val="000000"/>
        </w:rPr>
        <w:t xml:space="preserve">mean </w:t>
      </w:r>
      <w:r w:rsidR="004A1436" w:rsidRPr="004A1436">
        <w:rPr>
          <w:rFonts w:ascii="Book Antiqua" w:eastAsia="Book Antiqua" w:hAnsi="Book Antiqua"/>
          <w:color w:val="000000"/>
        </w:rPr>
        <w:t>±</w:t>
      </w:r>
      <w:r w:rsidR="004A1436" w:rsidRPr="004A1436">
        <w:rPr>
          <w:rFonts w:ascii="Book Antiqua" w:eastAsia="Book Antiqua" w:hAnsi="Book Antiqua" w:cs="Book Antiqua"/>
          <w:color w:val="000000"/>
        </w:rPr>
        <w:t xml:space="preserve"> </w:t>
      </w:r>
      <w:r w:rsidR="004A1436">
        <w:rPr>
          <w:rFonts w:ascii="Book Antiqua" w:eastAsia="Book Antiqua" w:hAnsi="Book Antiqua" w:cs="Book Antiqua"/>
          <w:color w:val="000000"/>
        </w:rPr>
        <w:t>SD</w:t>
      </w:r>
      <w:r>
        <w:rPr>
          <w:rFonts w:ascii="Book Antiqua" w:eastAsia="Book Antiqua" w:hAnsi="Book Antiqua" w:cs="Book Antiqua"/>
          <w:color w:val="000000"/>
        </w:rPr>
        <w:t xml:space="preserve">, and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analysis of variance were used for statistical analysis. Data not conforming to a normal distribution </w:t>
      </w:r>
      <w:r w:rsidR="00B600B5">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w:t>
      </w:r>
      <w:r w:rsidR="00B600B5">
        <w:rPr>
          <w:rFonts w:ascii="Book Antiqua" w:eastAsia="Book Antiqua" w:hAnsi="Book Antiqua" w:cs="Book Antiqua"/>
          <w:color w:val="000000"/>
        </w:rPr>
        <w:t xml:space="preserve">medians </w:t>
      </w:r>
      <w:r>
        <w:rPr>
          <w:rFonts w:ascii="Book Antiqua" w:eastAsia="Book Antiqua" w:hAnsi="Book Antiqua" w:cs="Book Antiqua"/>
          <w:color w:val="000000"/>
        </w:rPr>
        <w:t>(P</w:t>
      </w:r>
      <w:r>
        <w:rPr>
          <w:rFonts w:ascii="Book Antiqua" w:eastAsia="Book Antiqua" w:hAnsi="Book Antiqua" w:cs="Book Antiqua"/>
          <w:color w:val="000000"/>
          <w:vertAlign w:val="subscript"/>
        </w:rPr>
        <w:t>25</w:t>
      </w:r>
      <w:r>
        <w:rPr>
          <w:rFonts w:ascii="Book Antiqua" w:eastAsia="Book Antiqua" w:hAnsi="Book Antiqua" w:cs="Book Antiqua"/>
          <w:color w:val="000000"/>
        </w:rPr>
        <w:t>, P</w:t>
      </w:r>
      <w:r>
        <w:rPr>
          <w:rFonts w:ascii="Book Antiqua" w:eastAsia="Book Antiqua" w:hAnsi="Book Antiqua" w:cs="Book Antiqua"/>
          <w:color w:val="000000"/>
          <w:vertAlign w:val="subscript"/>
        </w:rPr>
        <w:t>75</w:t>
      </w:r>
      <w:r>
        <w:rPr>
          <w:rFonts w:ascii="Book Antiqua" w:eastAsia="Book Antiqua" w:hAnsi="Book Antiqua" w:cs="Book Antiqua"/>
          <w:color w:val="000000"/>
        </w:rPr>
        <w:t xml:space="preserve">), and the rank-sum test was used for statistical analysis. The </w:t>
      </w:r>
      <w:r w:rsidRPr="004A1436">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was used to compare enumeration data,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5873A46B" w14:textId="447DCE0B"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USEARCH 8.0 was used to process the raw sequencing data, and operational taxonomic units (OTUs) were classified according to 97% sequence similarity. The OTU representative sequences were compared against the SILVA database (SSU123</w:t>
      </w:r>
      <w:r w:rsidR="004A1436">
        <w:rPr>
          <w:rFonts w:ascii="Book Antiqua" w:eastAsia="Book Antiqua" w:hAnsi="Book Antiqua" w:cs="Book Antiqua"/>
          <w:color w:val="000000"/>
        </w:rPr>
        <w:t xml:space="preserve">; </w:t>
      </w:r>
      <w:r>
        <w:rPr>
          <w:rFonts w:ascii="Book Antiqua" w:eastAsia="Book Antiqua" w:hAnsi="Book Antiqua" w:cs="Book Antiqua"/>
          <w:color w:val="000000"/>
        </w:rPr>
        <w:t xml:space="preserve">http://www.arb-silva.de) with a 70% confidence threshold, and the taxonomic status of each </w:t>
      </w:r>
      <w:r>
        <w:rPr>
          <w:rFonts w:ascii="Book Antiqua" w:eastAsia="Book Antiqua" w:hAnsi="Book Antiqua" w:cs="Book Antiqua"/>
          <w:i/>
          <w:iCs/>
          <w:color w:val="000000"/>
        </w:rPr>
        <w:t>16S rDNA</w:t>
      </w:r>
      <w:r>
        <w:rPr>
          <w:rFonts w:ascii="Book Antiqua" w:eastAsia="Book Antiqua" w:hAnsi="Book Antiqua" w:cs="Book Antiqua"/>
          <w:color w:val="000000"/>
        </w:rPr>
        <w:t xml:space="preserve"> sequence was obtained. The α-diversity of each sample was evaluated using the Shannon–Wiener and Simpson’s diversity indexes, and the significance of </w:t>
      </w:r>
      <w:r>
        <w:rPr>
          <w:rFonts w:ascii="Book Antiqua" w:eastAsia="Book Antiqua" w:hAnsi="Book Antiqua" w:cs="Book Antiqua"/>
          <w:color w:val="000000"/>
        </w:rPr>
        <w:lastRenderedPageBreak/>
        <w:t xml:space="preserve">differences was tested using either the nonparametric Mann–Whitney </w:t>
      </w:r>
      <w:r w:rsidRPr="004A1436">
        <w:rPr>
          <w:rFonts w:ascii="Book Antiqua" w:eastAsia="Book Antiqua" w:hAnsi="Book Antiqua" w:cs="Book Antiqua"/>
          <w:i/>
          <w:iCs/>
          <w:color w:val="000000"/>
        </w:rPr>
        <w:t>U</w:t>
      </w:r>
      <w:r>
        <w:rPr>
          <w:rFonts w:ascii="Book Antiqua" w:eastAsia="Book Antiqua" w:hAnsi="Book Antiqua" w:cs="Book Antiqua"/>
          <w:color w:val="000000"/>
        </w:rPr>
        <w:t xml:space="preserve"> test or the Kruskal–Wallis rank-sum test. Principal </w:t>
      </w:r>
      <w:proofErr w:type="gramStart"/>
      <w:r>
        <w:rPr>
          <w:rFonts w:ascii="Book Antiqua" w:eastAsia="Book Antiqua" w:hAnsi="Book Antiqua" w:cs="Book Antiqua"/>
          <w:color w:val="000000"/>
        </w:rPr>
        <w:t>coordinates</w:t>
      </w:r>
      <w:proofErr w:type="gramEnd"/>
      <w:r>
        <w:rPr>
          <w:rFonts w:ascii="Book Antiqua" w:eastAsia="Book Antiqua" w:hAnsi="Book Antiqua" w:cs="Book Antiqua"/>
          <w:color w:val="000000"/>
        </w:rPr>
        <w:t xml:space="preserve"> analysis (PCoA) and the calculation of the </w:t>
      </w:r>
      <w:r>
        <w:rPr>
          <w:rStyle w:val="hgkelc"/>
          <w:rFonts w:ascii="Book Antiqua" w:eastAsia="Book Antiqua" w:hAnsi="Book Antiqua" w:cs="Book Antiqua"/>
          <w:color w:val="000000"/>
        </w:rPr>
        <w:t>linear discriminant analysis effect size</w:t>
      </w:r>
      <w:r>
        <w:rPr>
          <w:rFonts w:ascii="Book Antiqua" w:eastAsia="Book Antiqua" w:hAnsi="Book Antiqua" w:cs="Book Antiqua"/>
          <w:color w:val="000000"/>
        </w:rPr>
        <w:t xml:space="preserve"> (LEfSe) were performed using the R software package (</w:t>
      </w:r>
      <w:hyperlink r:id="rId9" w:history="1">
        <w:r>
          <w:rPr>
            <w:rFonts w:ascii="Book Antiqua" w:eastAsia="Book Antiqua" w:hAnsi="Book Antiqua" w:cs="Book Antiqua"/>
            <w:color w:val="000000"/>
          </w:rPr>
          <w:t>http://www.R-project.org/</w:t>
        </w:r>
      </w:hyperlink>
      <w:r>
        <w:rPr>
          <w:rFonts w:ascii="Book Antiqua" w:eastAsia="Book Antiqua" w:hAnsi="Book Antiqua" w:cs="Book Antiqua"/>
          <w:color w:val="000000"/>
        </w:rPr>
        <w:t>); heatmaps were also obtained using the R software. Spearman correlation analysis was also carried out to assess the relationships between relevant parameters.</w:t>
      </w:r>
    </w:p>
    <w:p w14:paraId="67776FAA" w14:textId="77777777" w:rsidR="00011DC0" w:rsidRDefault="00011DC0" w:rsidP="004A1436">
      <w:pPr>
        <w:adjustRightInd w:val="0"/>
        <w:snapToGrid w:val="0"/>
        <w:spacing w:line="360" w:lineRule="auto"/>
        <w:jc w:val="both"/>
        <w:rPr>
          <w:rFonts w:ascii="Book Antiqua" w:hAnsi="Book Antiqua"/>
        </w:rPr>
      </w:pPr>
    </w:p>
    <w:p w14:paraId="6C03C1F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67343E0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Characteristics of the participants</w:t>
      </w:r>
    </w:p>
    <w:p w14:paraId="5A3D4A2B" w14:textId="3D1B4CF4"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 total of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sepsis patients,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non-sepsis patients, and </w:t>
      </w:r>
      <w:r w:rsidR="00B600B5">
        <w:rPr>
          <w:rFonts w:ascii="Book Antiqua" w:eastAsia="Book Antiqua" w:hAnsi="Book Antiqua" w:cs="Book Antiqua"/>
          <w:color w:val="000000"/>
        </w:rPr>
        <w:t xml:space="preserve">ten </w:t>
      </w:r>
      <w:r>
        <w:rPr>
          <w:rFonts w:ascii="Book Antiqua" w:eastAsia="Book Antiqua" w:hAnsi="Book Antiqua" w:cs="Book Antiqua"/>
          <w:color w:val="000000"/>
        </w:rPr>
        <w:t xml:space="preserve">healthy individuals were included in this study. Table 1 </w:t>
      </w:r>
      <w:proofErr w:type="gramStart"/>
      <w:r>
        <w:rPr>
          <w:rFonts w:ascii="Book Antiqua" w:eastAsia="Book Antiqua" w:hAnsi="Book Antiqua" w:cs="Book Antiqua"/>
          <w:color w:val="000000"/>
        </w:rPr>
        <w:t>shows</w:t>
      </w:r>
      <w:proofErr w:type="gramEnd"/>
      <w:r>
        <w:rPr>
          <w:rFonts w:ascii="Book Antiqua" w:eastAsia="Book Antiqua" w:hAnsi="Book Antiqua" w:cs="Book Antiqua"/>
          <w:color w:val="000000"/>
        </w:rPr>
        <w:t xml:space="preserve"> that there were no significant differences with respect to age or body mass index among the groups, as revealed by variance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underlying diseases of the patients in the sepsis and non-sepsis groups were divided into three categories: </w:t>
      </w:r>
      <w:r w:rsidR="00DC0894">
        <w:rPr>
          <w:rFonts w:ascii="Book Antiqua" w:eastAsia="Book Antiqua" w:hAnsi="Book Antiqua" w:cs="Book Antiqua"/>
          <w:color w:val="000000"/>
        </w:rPr>
        <w:t xml:space="preserve">Multiple </w:t>
      </w:r>
      <w:r>
        <w:rPr>
          <w:rFonts w:ascii="Book Antiqua" w:eastAsia="Book Antiqua" w:hAnsi="Book Antiqua" w:cs="Book Antiqua"/>
          <w:color w:val="000000"/>
        </w:rPr>
        <w:t xml:space="preserve">injuries, malignant tumors, and other diseases (including benign tumors and intestinal obstruction). Of note, there were no significant differences in the underlying diseases and operation types between the sepsis and non-sepsis groups as revealed by the </w:t>
      </w:r>
      <w:r w:rsidRPr="004A1436">
        <w:rPr>
          <w:rFonts w:ascii="Book Antiqua" w:eastAsia="Book Antiqua" w:hAnsi="Book Antiqua" w:cs="Book Antiqua"/>
          <w:i/>
          <w:iCs/>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indicating that the groups were matched (and accurate comparisons were possible).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APACHE II and SOFA scores in the sepsis group were significantly higher than those in the non-sepsis group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of ICU admission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suggesting that the patients in the sepsis group had worse pathology (with acute organ dysfunction) compared with those in the non-sepsis group.</w:t>
      </w:r>
    </w:p>
    <w:p w14:paraId="7C533E77" w14:textId="77777777" w:rsidR="00011DC0" w:rsidRDefault="00011DC0">
      <w:pPr>
        <w:adjustRightInd w:val="0"/>
        <w:snapToGrid w:val="0"/>
        <w:spacing w:line="360" w:lineRule="auto"/>
        <w:jc w:val="both"/>
        <w:rPr>
          <w:rFonts w:ascii="Book Antiqua" w:hAnsi="Book Antiqua"/>
        </w:rPr>
      </w:pPr>
    </w:p>
    <w:p w14:paraId="20905C2F" w14:textId="16D856E2"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Comparison of</w:t>
      </w:r>
      <w:r w:rsidR="00DC08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intestinal flora </w:t>
      </w:r>
      <w:r w:rsidR="00DC0894">
        <w:rPr>
          <w:rFonts w:ascii="Book Antiqua" w:eastAsia="Book Antiqua" w:hAnsi="Book Antiqua" w:cs="Book Antiqua"/>
          <w:b/>
          <w:bCs/>
          <w:i/>
          <w:iCs/>
          <w:color w:val="000000"/>
        </w:rPr>
        <w:t xml:space="preserve">structure in </w:t>
      </w:r>
      <w:r>
        <w:rPr>
          <w:rFonts w:ascii="Book Antiqua" w:eastAsia="Book Antiqua" w:hAnsi="Book Antiqua" w:cs="Book Antiqua"/>
          <w:b/>
          <w:bCs/>
          <w:i/>
          <w:iCs/>
          <w:color w:val="000000"/>
        </w:rPr>
        <w:t>healthy individuals and</w:t>
      </w:r>
      <w:r w:rsidR="00DC08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non-sepsis and sepsis patients on day </w:t>
      </w:r>
      <w:r w:rsidR="00DC0894">
        <w:rPr>
          <w:rFonts w:ascii="Book Antiqua" w:eastAsia="Book Antiqua" w:hAnsi="Book Antiqua" w:cs="Book Antiqua"/>
          <w:b/>
          <w:bCs/>
          <w:i/>
          <w:iCs/>
          <w:color w:val="000000"/>
        </w:rPr>
        <w:t xml:space="preserve">1 </w:t>
      </w:r>
      <w:r>
        <w:rPr>
          <w:rFonts w:ascii="Book Antiqua" w:eastAsia="Book Antiqua" w:hAnsi="Book Antiqua" w:cs="Book Antiqua"/>
          <w:b/>
          <w:bCs/>
          <w:i/>
          <w:iCs/>
          <w:color w:val="000000"/>
        </w:rPr>
        <w:t>after ICU admittance</w:t>
      </w:r>
    </w:p>
    <w:p w14:paraId="5D2D41C7" w14:textId="0489C996"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 total of 49 fecal samples were included for analysis. Of note, one stool sample in the sepsis group (patient S3, day </w:t>
      </w:r>
      <w:r w:rsidR="00DC0894">
        <w:rPr>
          <w:rFonts w:ascii="Book Antiqua" w:eastAsia="Book Antiqua" w:hAnsi="Book Antiqua" w:cs="Book Antiqua"/>
          <w:color w:val="000000"/>
        </w:rPr>
        <w:t>3</w:t>
      </w:r>
      <w:r>
        <w:rPr>
          <w:rFonts w:ascii="Book Antiqua" w:eastAsia="Book Antiqua" w:hAnsi="Book Antiqua" w:cs="Book Antiqua"/>
          <w:color w:val="000000"/>
        </w:rPr>
        <w:t xml:space="preserve">) was missing owing to a problem in specimen collection. After quality control procedures, 629665 high-quality sequences were obtained, and the qualified reads were clustered into 440 species-level OTUs using 97% as the similarity </w:t>
      </w:r>
      <w:r>
        <w:rPr>
          <w:rFonts w:ascii="Book Antiqua" w:eastAsia="Book Antiqua" w:hAnsi="Book Antiqua" w:cs="Book Antiqua"/>
          <w:color w:val="000000"/>
        </w:rPr>
        <w:lastRenderedPageBreak/>
        <w:t xml:space="preserve">cutoff. In this study, the number of qualified reads of inpatients in the ICU was generally much lower than that of healthy controls. To understand whether these differences were due to low bacterial numbers, we randomly selected five specimens from each group to quantify the total bacteria in the feces. Regardless of whether bacteria were counted as bacterial copy number per gram fecal samples (mean bacterial copy numbers in sepsis, non-sepsis, and healthy control groups, 5.07E + 11, 1.36E + 12, and 9.27E + 12, respectively) or per nanogram bacterial DNA (9.02E + 06, 3.54E + 07, and 4.90E + 07, respectively), there was a significant overall decreasing trend in both </w:t>
      </w:r>
      <w:r w:rsidR="00DC0894">
        <w:rPr>
          <w:rFonts w:ascii="Book Antiqua" w:eastAsia="Book Antiqua" w:hAnsi="Book Antiqua" w:cs="Book Antiqua"/>
          <w:color w:val="000000"/>
        </w:rPr>
        <w:t xml:space="preserve">the </w:t>
      </w:r>
      <w:r>
        <w:rPr>
          <w:rFonts w:ascii="Book Antiqua" w:eastAsia="Book Antiqua" w:hAnsi="Book Antiqua" w:cs="Book Antiqua"/>
          <w:color w:val="000000"/>
        </w:rPr>
        <w:t>sepsis and non-sepsis groups relative to that in healthy controls. Therefore, altogether, these results suggest that the low number of qualified reads in some samples in the sepsis and non-sepsis group is secondary to the significantly reduced number of intestinal bacteria, probably because of the use of large amounts of antibiotics in the ICU.</w:t>
      </w:r>
    </w:p>
    <w:p w14:paraId="2C414CCE" w14:textId="77777777" w:rsidR="00011DC0" w:rsidRDefault="00011DC0">
      <w:pPr>
        <w:adjustRightInd w:val="0"/>
        <w:snapToGrid w:val="0"/>
        <w:spacing w:line="360" w:lineRule="auto"/>
        <w:jc w:val="both"/>
        <w:rPr>
          <w:rFonts w:ascii="Book Antiqua" w:hAnsi="Book Antiqua"/>
        </w:rPr>
      </w:pPr>
    </w:p>
    <w:p w14:paraId="602C48AF" w14:textId="162CD946"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b/>
          <w:bCs/>
          <w:color w:val="000000"/>
        </w:rPr>
        <w:t>α-</w:t>
      </w:r>
      <w:r w:rsidR="00DC0894">
        <w:rPr>
          <w:rFonts w:ascii="Book Antiqua" w:eastAsia="Book Antiqua" w:hAnsi="Book Antiqua" w:cs="Book Antiqua"/>
          <w:b/>
          <w:bCs/>
          <w:color w:val="000000"/>
        </w:rPr>
        <w:t>diversity</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DC0894">
        <w:rPr>
          <w:rFonts w:ascii="Book Antiqua" w:eastAsia="Book Antiqua" w:hAnsi="Book Antiqua" w:cs="Book Antiqua"/>
          <w:color w:val="000000"/>
        </w:rPr>
        <w:t xml:space="preserve"> </w:t>
      </w:r>
      <w:r>
        <w:rPr>
          <w:rFonts w:ascii="Book Antiqua" w:eastAsia="Book Antiqua" w:hAnsi="Book Antiqua" w:cs="Book Antiqua"/>
          <w:color w:val="000000"/>
        </w:rPr>
        <w:t xml:space="preserve">Mann–Whitney test showed that the α-diversity in the non-sepsis and sepsis groups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after ICU admittance was significantly lower than that in the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Moreover, the diversity of the intestinal flora in sepsis patients was lower than that in non-sepsis patients; however, this difference was not significant (Figure 1 and Table 4).</w:t>
      </w:r>
    </w:p>
    <w:p w14:paraId="1DED5737" w14:textId="77777777" w:rsidR="00011DC0" w:rsidRDefault="00011DC0">
      <w:pPr>
        <w:adjustRightInd w:val="0"/>
        <w:snapToGrid w:val="0"/>
        <w:spacing w:line="360" w:lineRule="auto"/>
        <w:jc w:val="both"/>
        <w:rPr>
          <w:rFonts w:ascii="Book Antiqua" w:hAnsi="Book Antiqua"/>
        </w:rPr>
      </w:pPr>
    </w:p>
    <w:p w14:paraId="35379333" w14:textId="4966D6B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Overall structural comparison of the intestinal flora: </w:t>
      </w:r>
      <w:r>
        <w:rPr>
          <w:rFonts w:ascii="Book Antiqua" w:eastAsia="Book Antiqua" w:hAnsi="Book Antiqua" w:cs="Book Antiqua"/>
          <w:color w:val="000000"/>
        </w:rPr>
        <w:t xml:space="preserve">The PCoA plot based on the Bray–Curtis dissimilarity between samples revealed that the flora composition in sepsis patients was similar to that in non-sepsis patients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 xml:space="preserve">after ICU admittance (Figure 2). In line with these results, Adonis analysis showed no significant difference </w:t>
      </w:r>
      <w:r w:rsidR="00DC0894">
        <w:rPr>
          <w:rFonts w:ascii="Book Antiqua" w:eastAsia="Book Antiqua" w:hAnsi="Book Antiqua" w:cs="Book Antiqua"/>
          <w:color w:val="000000"/>
        </w:rPr>
        <w:t xml:space="preserve">in </w:t>
      </w:r>
      <w:r>
        <w:rPr>
          <w:rFonts w:ascii="Book Antiqua" w:eastAsia="Book Antiqua" w:hAnsi="Book Antiqua" w:cs="Book Antiqua"/>
          <w:color w:val="000000"/>
        </w:rPr>
        <w:t xml:space="preserve">the composition of the intestinal flora </w:t>
      </w:r>
      <w:r w:rsidR="00DC0894">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sepsis and non-sepsis patients on day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after ICU admittance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However, the difference in the flora composition between these groups and normal controls was extremely significant (Adonis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3016EA8A" w14:textId="77777777" w:rsidR="00011DC0" w:rsidRDefault="00011DC0">
      <w:pPr>
        <w:adjustRightInd w:val="0"/>
        <w:snapToGrid w:val="0"/>
        <w:spacing w:line="360" w:lineRule="auto"/>
        <w:jc w:val="both"/>
        <w:rPr>
          <w:rFonts w:ascii="Book Antiqua" w:hAnsi="Book Antiqua"/>
        </w:rPr>
      </w:pPr>
    </w:p>
    <w:p w14:paraId="7A306FE5" w14:textId="094760AE"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Comparison of</w:t>
      </w:r>
      <w:r w:rsidR="00DC089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 flora compositions at the phylum level:</w:t>
      </w:r>
      <w:r>
        <w:rPr>
          <w:rFonts w:ascii="Book Antiqua" w:eastAsia="Book Antiqua" w:hAnsi="Book Antiqua" w:cs="Book Antiqua"/>
          <w:color w:val="000000"/>
        </w:rPr>
        <w:t xml:space="preserve"> The flora composition results revealed that Firmicutes and Bacteroidetes were the dominant phyla in healthy individuals, accounting for more than 70% of the total bacteria. Meanwhile, in sepsis and non-sepsis patients, Firmicutes was the dominant phylum in the intestinal flora (Figure 3A); the proportion of Bacteroidetes decreased significantly compared to that in healthy individuals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the relative abundance of Proteobacteria increased compared to that in normal controls, although the difference was not significant. Of note, the proportion of Fusobacteria in the intestinal tract of non-sepsis patients was significantly higher than that in both healthy controls and sepsis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3B).</w:t>
      </w:r>
    </w:p>
    <w:p w14:paraId="2F419423" w14:textId="77777777" w:rsidR="00011DC0" w:rsidRDefault="00011DC0">
      <w:pPr>
        <w:adjustRightInd w:val="0"/>
        <w:snapToGrid w:val="0"/>
        <w:spacing w:line="360" w:lineRule="auto"/>
        <w:jc w:val="both"/>
        <w:rPr>
          <w:rFonts w:ascii="Book Antiqua" w:hAnsi="Book Antiqua"/>
        </w:rPr>
      </w:pPr>
    </w:p>
    <w:p w14:paraId="01DCC495" w14:textId="1254A9E9"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Comparison of</w:t>
      </w:r>
      <w:r w:rsidR="00DC0894">
        <w:rPr>
          <w:rFonts w:ascii="Book Antiqua" w:eastAsia="Book Antiqua" w:hAnsi="Book Antiqua" w:cs="Book Antiqua"/>
          <w:b/>
          <w:bCs/>
          <w:color w:val="000000"/>
        </w:rPr>
        <w:t xml:space="preserve"> </w:t>
      </w:r>
      <w:r>
        <w:rPr>
          <w:rFonts w:ascii="Book Antiqua" w:eastAsia="Book Antiqua" w:hAnsi="Book Antiqua" w:cs="Book Antiqua"/>
          <w:b/>
          <w:bCs/>
          <w:color w:val="000000"/>
        </w:rPr>
        <w:t>intestinal flora compositions at the genus and OTU levels:</w:t>
      </w:r>
      <w:r>
        <w:rPr>
          <w:rFonts w:ascii="Book Antiqua" w:eastAsia="Book Antiqua" w:hAnsi="Book Antiqua" w:cs="Book Antiqua"/>
          <w:color w:val="000000"/>
        </w:rPr>
        <w:t xml:space="preserve"> The results of the Kruskal–Wallis test showed that the proportions of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w:t>
      </w:r>
      <w:r>
        <w:rPr>
          <w:rFonts w:ascii="Book Antiqua" w:eastAsia="Book Antiqua" w:hAnsi="Book Antiqua" w:cs="Book Antiqua"/>
          <w:i/>
          <w:iCs/>
          <w:color w:val="000000"/>
        </w:rPr>
        <w:t>Subdoligranulum</w:t>
      </w:r>
      <w:r>
        <w:rPr>
          <w:rFonts w:ascii="Book Antiqua" w:eastAsia="Book Antiqua" w:hAnsi="Book Antiqua" w:cs="Book Antiqua"/>
          <w:color w:val="000000"/>
        </w:rPr>
        <w:t xml:space="preserve">, </w:t>
      </w:r>
      <w:r>
        <w:rPr>
          <w:rFonts w:ascii="Book Antiqua" w:eastAsia="Book Antiqua" w:hAnsi="Book Antiqua" w:cs="Book Antiqua"/>
          <w:i/>
          <w:iCs/>
          <w:color w:val="000000"/>
        </w:rPr>
        <w:t>Lachnospira</w:t>
      </w:r>
      <w:r>
        <w:rPr>
          <w:rFonts w:ascii="Book Antiqua" w:eastAsia="Book Antiqua" w:hAnsi="Book Antiqua" w:cs="Book Antiqua"/>
          <w:color w:val="000000"/>
        </w:rPr>
        <w:t xml:space="preserve">, </w:t>
      </w:r>
      <w:r>
        <w:rPr>
          <w:rFonts w:ascii="Book Antiqua" w:eastAsia="Book Antiqua" w:hAnsi="Book Antiqua" w:cs="Book Antiqua"/>
          <w:i/>
          <w:iCs/>
          <w:color w:val="000000"/>
        </w:rPr>
        <w:t>Phascolarctobacterium</w:t>
      </w:r>
      <w:r>
        <w:rPr>
          <w:rFonts w:ascii="Book Antiqua" w:eastAsia="Book Antiqua" w:hAnsi="Book Antiqua" w:cs="Book Antiqua"/>
          <w:color w:val="000000"/>
        </w:rPr>
        <w:t xml:space="preserve">, </w:t>
      </w:r>
      <w:r>
        <w:rPr>
          <w:rFonts w:ascii="Book Antiqua" w:eastAsia="Book Antiqua" w:hAnsi="Book Antiqua" w:cs="Book Antiqua"/>
          <w:i/>
          <w:iCs/>
          <w:color w:val="000000"/>
        </w:rPr>
        <w:t>Alloprevotella</w:t>
      </w:r>
      <w:r>
        <w:rPr>
          <w:rFonts w:ascii="Book Antiqua" w:eastAsia="Book Antiqua" w:hAnsi="Book Antiqua" w:cs="Book Antiqua"/>
          <w:color w:val="000000"/>
        </w:rPr>
        <w:t xml:space="preserve">,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and </w:t>
      </w:r>
      <w:r>
        <w:rPr>
          <w:rFonts w:ascii="Book Antiqua" w:eastAsia="Book Antiqua" w:hAnsi="Book Antiqua" w:cs="Book Antiqua"/>
          <w:i/>
          <w:iCs/>
          <w:color w:val="000000"/>
        </w:rPr>
        <w:t>Parasutterella</w:t>
      </w:r>
      <w:r>
        <w:rPr>
          <w:rFonts w:ascii="Book Antiqua" w:eastAsia="Book Antiqua" w:hAnsi="Book Antiqua" w:cs="Book Antiqua"/>
          <w:color w:val="000000"/>
        </w:rPr>
        <w:t xml:space="preserve"> in the intestinal tract of patients in the non-sepsis and sepsis groups decreased significantly compared to those in the healthy control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Furthermore, the abundance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much higher in the intestinal tract of sepsis patients than </w:t>
      </w:r>
      <w:r w:rsidR="00DC0894">
        <w:rPr>
          <w:rFonts w:ascii="Book Antiqua" w:eastAsia="Book Antiqua" w:hAnsi="Book Antiqua" w:cs="Book Antiqua"/>
          <w:color w:val="000000"/>
        </w:rPr>
        <w:t xml:space="preserve">in </w:t>
      </w:r>
      <w:r>
        <w:rPr>
          <w:rFonts w:ascii="Book Antiqua" w:eastAsia="Book Antiqua" w:hAnsi="Book Antiqua" w:cs="Book Antiqua"/>
          <w:color w:val="000000"/>
        </w:rPr>
        <w:t xml:space="preserve">non-sepsis patients and healthy controls. In contrast, the abundance of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w:t>
      </w:r>
      <w:r>
        <w:rPr>
          <w:rFonts w:ascii="Book Antiqua" w:eastAsia="Book Antiqua" w:hAnsi="Book Antiqua" w:cs="Book Antiqua"/>
          <w:i/>
          <w:iCs/>
          <w:color w:val="000000"/>
        </w:rPr>
        <w:t>Anaerococcus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was significantly higher in the intestinal tract of non-sepsis patients than </w:t>
      </w:r>
      <w:r w:rsidR="00DC0894">
        <w:rPr>
          <w:rFonts w:ascii="Book Antiqua" w:eastAsia="Book Antiqua" w:hAnsi="Book Antiqua" w:cs="Book Antiqua"/>
          <w:color w:val="000000"/>
        </w:rPr>
        <w:t xml:space="preserve">in </w:t>
      </w:r>
      <w:r>
        <w:rPr>
          <w:rFonts w:ascii="Book Antiqua" w:eastAsia="Book Antiqua" w:hAnsi="Book Antiqua" w:cs="Book Antiqua"/>
          <w:color w:val="000000"/>
        </w:rPr>
        <w:t>healthy controls and sepsis patients (Figure 4A).</w:t>
      </w:r>
    </w:p>
    <w:p w14:paraId="0D6E2EA5" w14:textId="77777777"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Additionally, as per the heatmap analysis (random forest-based), 64 key OTUs were different among the three groups (Figure 4B). Among these, the relative abundance of OTUs assigned to the genera </w:t>
      </w:r>
      <w:r>
        <w:rPr>
          <w:rFonts w:ascii="Book Antiqua" w:eastAsia="Book Antiqua" w:hAnsi="Book Antiqua" w:cs="Book Antiqua"/>
          <w:i/>
          <w:iCs/>
          <w:color w:val="000000"/>
        </w:rPr>
        <w:t>Subdoligranulum</w:t>
      </w:r>
      <w:r>
        <w:rPr>
          <w:rFonts w:ascii="Book Antiqua" w:eastAsia="Book Antiqua" w:hAnsi="Book Antiqua" w:cs="Book Antiqua"/>
          <w:color w:val="000000"/>
        </w:rPr>
        <w:t xml:space="preserve">, </w:t>
      </w:r>
      <w:r>
        <w:rPr>
          <w:rFonts w:ascii="Book Antiqua" w:eastAsia="Book Antiqua" w:hAnsi="Book Antiqua" w:cs="Book Antiqua"/>
          <w:i/>
          <w:iCs/>
          <w:color w:val="000000"/>
        </w:rPr>
        <w:t>Alistipes</w:t>
      </w:r>
      <w:r>
        <w:rPr>
          <w:rFonts w:ascii="Book Antiqua" w:eastAsia="Book Antiqua" w:hAnsi="Book Antiqua" w:cs="Book Antiqua"/>
          <w:color w:val="000000"/>
        </w:rPr>
        <w:t xml:space="preserve">, </w:t>
      </w:r>
      <w:r>
        <w:rPr>
          <w:rFonts w:ascii="Book Antiqua" w:eastAsia="Book Antiqua" w:hAnsi="Book Antiqua" w:cs="Book Antiqua"/>
          <w:i/>
          <w:iCs/>
          <w:color w:val="000000"/>
        </w:rPr>
        <w:t>Megamonas</w:t>
      </w:r>
      <w:r>
        <w:rPr>
          <w:rFonts w:ascii="Book Antiqua" w:eastAsia="Book Antiqua" w:hAnsi="Book Antiqua" w:cs="Book Antiqua"/>
          <w:color w:val="000000"/>
        </w:rPr>
        <w:t xml:space="preserve">, </w:t>
      </w:r>
      <w:r>
        <w:rPr>
          <w:rFonts w:ascii="Book Antiqua" w:eastAsia="Book Antiqua" w:hAnsi="Book Antiqua" w:cs="Book Antiqua"/>
          <w:i/>
          <w:iCs/>
          <w:color w:val="000000"/>
        </w:rPr>
        <w:t>Blautia</w:t>
      </w:r>
      <w:r>
        <w:rPr>
          <w:rFonts w:ascii="Book Antiqua" w:eastAsia="Book Antiqua" w:hAnsi="Book Antiqua" w:cs="Book Antiqua"/>
          <w:color w:val="000000"/>
        </w:rPr>
        <w:t xml:space="preserve">,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Dialister</w:t>
      </w:r>
      <w:r>
        <w:rPr>
          <w:rFonts w:ascii="Book Antiqua" w:eastAsia="Book Antiqua" w:hAnsi="Book Antiqua" w:cs="Book Antiqua"/>
          <w:color w:val="000000"/>
        </w:rPr>
        <w:t xml:space="preserve">, </w:t>
      </w:r>
      <w:r>
        <w:rPr>
          <w:rFonts w:ascii="Book Antiqua" w:eastAsia="Book Antiqua" w:hAnsi="Book Antiqua" w:cs="Book Antiqua"/>
          <w:i/>
          <w:iCs/>
          <w:color w:val="000000"/>
        </w:rPr>
        <w:t>Anaerostipes</w:t>
      </w:r>
      <w:r>
        <w:rPr>
          <w:rFonts w:ascii="Book Antiqua" w:eastAsia="Book Antiqua" w:hAnsi="Book Antiqua" w:cs="Book Antiqua"/>
          <w:color w:val="000000"/>
        </w:rPr>
        <w:t xml:space="preserve">, </w:t>
      </w:r>
      <w:r>
        <w:rPr>
          <w:rFonts w:ascii="Book Antiqua" w:eastAsia="Book Antiqua" w:hAnsi="Book Antiqua" w:cs="Book Antiqua"/>
          <w:i/>
          <w:iCs/>
          <w:color w:val="000000"/>
        </w:rPr>
        <w:t>Lachnospira</w:t>
      </w:r>
      <w:r>
        <w:rPr>
          <w:rFonts w:ascii="Book Antiqua" w:eastAsia="Book Antiqua" w:hAnsi="Book Antiqua" w:cs="Book Antiqua"/>
          <w:color w:val="000000"/>
        </w:rPr>
        <w:t xml:space="preserve">,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t>
      </w:r>
      <w:r>
        <w:rPr>
          <w:rFonts w:ascii="Book Antiqua" w:eastAsia="Book Antiqua" w:hAnsi="Book Antiqua" w:cs="Book Antiqua"/>
          <w:i/>
          <w:iCs/>
          <w:color w:val="000000"/>
        </w:rPr>
        <w:t>Pseudobutyrivibrio</w:t>
      </w:r>
      <w:r>
        <w:rPr>
          <w:rFonts w:ascii="Book Antiqua" w:eastAsia="Book Antiqua" w:hAnsi="Book Antiqua" w:cs="Book Antiqua"/>
          <w:color w:val="000000"/>
        </w:rPr>
        <w:t xml:space="preserve">, </w:t>
      </w:r>
      <w:r>
        <w:rPr>
          <w:rFonts w:ascii="Book Antiqua" w:eastAsia="Book Antiqua" w:hAnsi="Book Antiqua" w:cs="Book Antiqua"/>
          <w:i/>
          <w:iCs/>
          <w:color w:val="000000"/>
        </w:rPr>
        <w:t>Parasutterella</w:t>
      </w:r>
      <w:r>
        <w:rPr>
          <w:rFonts w:ascii="Book Antiqua" w:eastAsia="Book Antiqua" w:hAnsi="Book Antiqua" w:cs="Book Antiqua"/>
          <w:color w:val="000000"/>
        </w:rPr>
        <w:t xml:space="preserve">,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w:t>
      </w:r>
      <w:r>
        <w:rPr>
          <w:rFonts w:ascii="Book Antiqua" w:eastAsia="Book Antiqua" w:hAnsi="Book Antiqua" w:cs="Book Antiqua"/>
          <w:i/>
          <w:iCs/>
          <w:color w:val="000000"/>
        </w:rPr>
        <w:t>Coprococcus</w:t>
      </w:r>
      <w:r>
        <w:rPr>
          <w:rFonts w:ascii="Book Antiqua" w:eastAsia="Book Antiqua" w:hAnsi="Book Antiqua" w:cs="Book Antiqua"/>
          <w:color w:val="000000"/>
        </w:rPr>
        <w:t xml:space="preserve">,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Paraprevotella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was lower in the non-sepsis and sepsis groups than in the normal control group, whereas the abundance of OTUs assigned to the genera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t>
      </w:r>
      <w:r>
        <w:rPr>
          <w:rFonts w:ascii="Book Antiqua" w:eastAsia="Book Antiqua" w:hAnsi="Book Antiqua" w:cs="Book Antiqua"/>
          <w:i/>
          <w:iCs/>
          <w:color w:val="000000"/>
        </w:rPr>
        <w:t>Thermoanaerobacterium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Anoxybacillus</w:t>
      </w:r>
      <w:r>
        <w:rPr>
          <w:rFonts w:ascii="Book Antiqua" w:eastAsia="Book Antiqua" w:hAnsi="Book Antiqua" w:cs="Book Antiqua"/>
          <w:color w:val="000000"/>
        </w:rPr>
        <w:t xml:space="preserve"> was decreased in the intestinal microbiota of the normal control group. In addition, the relative abundance of OTUs assigned to the </w:t>
      </w:r>
      <w:r>
        <w:rPr>
          <w:rFonts w:ascii="Book Antiqua" w:eastAsia="Book Antiqua" w:hAnsi="Book Antiqua" w:cs="Book Antiqua"/>
          <w:color w:val="000000"/>
        </w:rPr>
        <w:lastRenderedPageBreak/>
        <w:t xml:space="preserve">genera </w:t>
      </w:r>
      <w:r>
        <w:rPr>
          <w:rFonts w:ascii="Book Antiqua" w:eastAsia="Book Antiqua" w:hAnsi="Book Antiqua" w:cs="Book Antiqua"/>
          <w:i/>
          <w:iCs/>
          <w:color w:val="000000"/>
        </w:rPr>
        <w:t>Granulicatella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was lower in the sepsis group than in the non-sepsis group.</w:t>
      </w:r>
    </w:p>
    <w:p w14:paraId="5700315B" w14:textId="77777777" w:rsidR="00011DC0" w:rsidRDefault="00011DC0" w:rsidP="004A1436">
      <w:pPr>
        <w:adjustRightInd w:val="0"/>
        <w:snapToGrid w:val="0"/>
        <w:spacing w:line="360" w:lineRule="auto"/>
        <w:jc w:val="both"/>
        <w:rPr>
          <w:rFonts w:ascii="Book Antiqua" w:hAnsi="Book Antiqua"/>
        </w:rPr>
      </w:pPr>
    </w:p>
    <w:p w14:paraId="3D72507E" w14:textId="0C7F265D"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Dynamic changes in</w:t>
      </w:r>
      <w:r w:rsidR="00DC0894">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intestinal flora </w:t>
      </w:r>
      <w:r w:rsidR="00DC0894">
        <w:rPr>
          <w:rFonts w:ascii="Book Antiqua" w:eastAsia="Book Antiqua" w:hAnsi="Book Antiqua" w:cs="Book Antiqua"/>
          <w:b/>
          <w:bCs/>
          <w:i/>
          <w:iCs/>
          <w:color w:val="000000"/>
        </w:rPr>
        <w:t xml:space="preserve">structure in </w:t>
      </w:r>
      <w:r>
        <w:rPr>
          <w:rFonts w:ascii="Book Antiqua" w:eastAsia="Book Antiqua" w:hAnsi="Book Antiqua" w:cs="Book Antiqua"/>
          <w:b/>
          <w:bCs/>
          <w:i/>
          <w:iCs/>
          <w:color w:val="000000"/>
        </w:rPr>
        <w:t>sepsis patients undergoing treatment</w:t>
      </w:r>
    </w:p>
    <w:p w14:paraId="6586C2D8" w14:textId="4B33E142"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b/>
          <w:bCs/>
          <w:color w:val="000000"/>
        </w:rPr>
        <w:t>α-diversity</w:t>
      </w:r>
      <w:proofErr w:type="gramEnd"/>
      <w:r>
        <w:rPr>
          <w:rFonts w:ascii="Book Antiqua" w:eastAsia="Book Antiqua" w:hAnsi="Book Antiqua" w:cs="Book Antiqua"/>
          <w:b/>
          <w:bCs/>
          <w:color w:val="000000"/>
        </w:rPr>
        <w:t>:</w:t>
      </w:r>
      <w:r>
        <w:rPr>
          <w:rFonts w:ascii="Book Antiqua" w:eastAsia="Book Antiqua" w:hAnsi="Book Antiqua" w:cs="Book Antiqua"/>
          <w:color w:val="000000"/>
        </w:rPr>
        <w:t xml:space="preserve"> The</w:t>
      </w:r>
      <w:r w:rsidR="00DC0894">
        <w:rPr>
          <w:rFonts w:ascii="Book Antiqua" w:eastAsia="Book Antiqua" w:hAnsi="Book Antiqua" w:cs="Book Antiqua"/>
          <w:color w:val="000000"/>
        </w:rPr>
        <w:t xml:space="preserve"> </w:t>
      </w:r>
      <w:r>
        <w:rPr>
          <w:rFonts w:ascii="Book Antiqua" w:eastAsia="Book Antiqua" w:hAnsi="Book Antiqua" w:cs="Book Antiqua"/>
          <w:color w:val="000000"/>
        </w:rPr>
        <w:t xml:space="preserve">Mann–Whitney test showed that the α-diversity in the sepsis group decreased significantly within 1 wk (from days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DC0894">
        <w:rPr>
          <w:rFonts w:ascii="Book Antiqua" w:eastAsia="Book Antiqua" w:hAnsi="Book Antiqua" w:cs="Book Antiqua"/>
          <w:color w:val="000000"/>
        </w:rPr>
        <w:t xml:space="preserve">7 </w:t>
      </w:r>
      <w:r>
        <w:rPr>
          <w:rFonts w:ascii="Book Antiqua" w:eastAsia="Book Antiqua" w:hAnsi="Book Antiqua" w:cs="Book Antiqua"/>
          <w:color w:val="000000"/>
        </w:rPr>
        <w:t>after the initiation of ICU treatment) compared to that in the control group; importantly, these differences were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Of note, on days</w:t>
      </w:r>
      <w:r w:rsidR="00DC0894">
        <w:rPr>
          <w:rFonts w:ascii="Book Antiqua" w:eastAsia="Book Antiqua" w:hAnsi="Book Antiqua" w:cs="Book Antiqua"/>
          <w:color w:val="000000"/>
        </w:rPr>
        <w:t xml:space="preserve"> 1</w:t>
      </w:r>
      <w:r>
        <w:rPr>
          <w:rFonts w:ascii="Book Antiqua" w:eastAsia="Book Antiqua" w:hAnsi="Book Antiqua" w:cs="Book Antiqua"/>
          <w:color w:val="000000"/>
        </w:rPr>
        <w:t xml:space="preserve">, </w:t>
      </w:r>
      <w:r w:rsidR="00DC0894">
        <w:rPr>
          <w:rFonts w:ascii="Book Antiqua" w:eastAsia="Book Antiqua" w:hAnsi="Book Antiqua" w:cs="Book Antiqua"/>
          <w:color w:val="000000"/>
        </w:rPr>
        <w:t>3</w:t>
      </w:r>
      <w:r>
        <w:rPr>
          <w:rFonts w:ascii="Book Antiqua" w:eastAsia="Book Antiqua" w:hAnsi="Book Antiqua" w:cs="Book Antiqua"/>
          <w:color w:val="000000"/>
        </w:rPr>
        <w:t xml:space="preserve">, and </w:t>
      </w:r>
      <w:r w:rsidR="00DC0894">
        <w:rPr>
          <w:rFonts w:ascii="Book Antiqua" w:eastAsia="Book Antiqua" w:hAnsi="Book Antiqua" w:cs="Book Antiqua"/>
          <w:color w:val="000000"/>
        </w:rPr>
        <w:t xml:space="preserve">7 </w:t>
      </w:r>
      <w:r>
        <w:rPr>
          <w:rFonts w:ascii="Book Antiqua" w:eastAsia="Book Antiqua" w:hAnsi="Book Antiqua" w:cs="Book Antiqua"/>
          <w:color w:val="000000"/>
        </w:rPr>
        <w:t>of treatment, the α-diversity of the intestinal flora decreased gradually, but pairwise comparisons did not show significant differences. This suggests that antibiotics killed many intestinal bacteria, and that the diversity of the intestinal flora not only did not recover but also showed a downward trend when antibiotics were continuously used (Figure 5 and Table 5).</w:t>
      </w:r>
    </w:p>
    <w:p w14:paraId="7DEDC6D6" w14:textId="77777777" w:rsidR="00011DC0" w:rsidRDefault="00011DC0">
      <w:pPr>
        <w:adjustRightInd w:val="0"/>
        <w:snapToGrid w:val="0"/>
        <w:spacing w:line="360" w:lineRule="auto"/>
        <w:jc w:val="both"/>
        <w:rPr>
          <w:rFonts w:ascii="Book Antiqua" w:hAnsi="Book Antiqua"/>
        </w:rPr>
      </w:pPr>
    </w:p>
    <w:p w14:paraId="25F1EEF0" w14:textId="0BA8A65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Overall intestinal flora composition changes in sepsis patients within 1 wk after treatment:</w:t>
      </w:r>
      <w:r>
        <w:rPr>
          <w:rFonts w:ascii="Book Antiqua" w:eastAsia="Book Antiqua" w:hAnsi="Book Antiqua" w:cs="Book Antiqua"/>
          <w:color w:val="000000"/>
        </w:rPr>
        <w:t xml:space="preserve"> The PCoA plot based on Bray–Curtis dissimilarities between samples showed that the intestinal flora composition in sepsis patients within 1 wk of treatment (from days </w:t>
      </w:r>
      <w:r w:rsidR="00DC0894">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DC0894">
        <w:rPr>
          <w:rFonts w:ascii="Book Antiqua" w:eastAsia="Book Antiqua" w:hAnsi="Book Antiqua" w:cs="Book Antiqua"/>
          <w:color w:val="000000"/>
        </w:rPr>
        <w:t xml:space="preserve">7 </w:t>
      </w:r>
      <w:r>
        <w:rPr>
          <w:rFonts w:ascii="Book Antiqua" w:eastAsia="Book Antiqua" w:hAnsi="Book Antiqua" w:cs="Book Antiqua"/>
          <w:color w:val="000000"/>
        </w:rPr>
        <w:t>after ICU admittance) was different from that in normal controls (Figure 6); Adonis analysis showed that the difference between sepsis patients and normal controls was extremely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However, the structure of the intestinal flora of sepsis patients did not differ significantly with respect to the different days after ICU admittance in the sepsis group.</w:t>
      </w:r>
    </w:p>
    <w:p w14:paraId="4D6835F1" w14:textId="77777777" w:rsidR="00011DC0" w:rsidRDefault="00011DC0">
      <w:pPr>
        <w:adjustRightInd w:val="0"/>
        <w:snapToGrid w:val="0"/>
        <w:spacing w:line="360" w:lineRule="auto"/>
        <w:jc w:val="both"/>
        <w:rPr>
          <w:rFonts w:ascii="Book Antiqua" w:hAnsi="Book Antiqua"/>
        </w:rPr>
      </w:pPr>
    </w:p>
    <w:p w14:paraId="31EA46B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Identification of differential bacterial taxa between sepsis patients 1 wk after treatment and normal individuals:</w:t>
      </w:r>
      <w:r>
        <w:rPr>
          <w:rFonts w:ascii="Book Antiqua" w:eastAsia="Book Antiqua" w:hAnsi="Book Antiqua" w:cs="Book Antiqua"/>
          <w:color w:val="000000"/>
        </w:rPr>
        <w:t xml:space="preserve"> To screen for the bacterial genera associated with significant differences in the intestinal flora of sepsis patients within 1 wk of admission to the ICU, we reduced the dimensions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calculation of LEfSe to obtain the linear discriminant analysis scores. Compared to normal controls, in sepsis patients, some harmful bacteria such as </w:t>
      </w:r>
      <w:r>
        <w:rPr>
          <w:rFonts w:ascii="Book Antiqua" w:eastAsia="Book Antiqua" w:hAnsi="Book Antiqua" w:cs="Book Antiqua"/>
          <w:i/>
          <w:iCs/>
          <w:color w:val="000000"/>
        </w:rPr>
        <w:t xml:space="preserve">Coprococcus </w:t>
      </w:r>
      <w:r>
        <w:rPr>
          <w:rFonts w:ascii="Book Antiqua" w:eastAsia="Book Antiqua" w:hAnsi="Book Antiqua" w:cs="Book Antiqua"/>
          <w:color w:val="000000"/>
        </w:rPr>
        <w:t xml:space="preserve">disappeared from the intestinal flora within 1 wk of ICU treatment, indicating the efficacy of drugs against pathogenic bacteria (Figure 7). </w:t>
      </w:r>
      <w:r>
        <w:rPr>
          <w:rFonts w:ascii="Book Antiqua" w:eastAsia="Book Antiqua" w:hAnsi="Book Antiqua" w:cs="Book Antiqua"/>
          <w:color w:val="000000"/>
        </w:rPr>
        <w:lastRenderedPageBreak/>
        <w:t xml:space="preserve">At the same time, the abundance of most of the beneficial bacteria, such as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also decreased, indicating that the effect of drug treatment, especially antibiotics, was not limited to harmful bacteria. However, the abundance of some bacteria, such as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Hemophilus</w:t>
      </w:r>
      <w:r>
        <w:rPr>
          <w:rFonts w:ascii="Book Antiqua" w:eastAsia="Book Antiqua" w:hAnsi="Book Antiqua" w:cs="Book Antiqua"/>
          <w:color w:val="000000"/>
        </w:rPr>
        <w:t>, still increased despite the action of antibiotics, indicating that these bacteria were resistant to the antibiotics used.</w:t>
      </w:r>
    </w:p>
    <w:p w14:paraId="03A72D4D" w14:textId="77777777" w:rsidR="00011DC0" w:rsidRDefault="00011DC0">
      <w:pPr>
        <w:adjustRightInd w:val="0"/>
        <w:snapToGrid w:val="0"/>
        <w:spacing w:line="360" w:lineRule="auto"/>
        <w:jc w:val="both"/>
        <w:rPr>
          <w:rFonts w:ascii="Book Antiqua" w:hAnsi="Book Antiqua"/>
        </w:rPr>
      </w:pPr>
    </w:p>
    <w:p w14:paraId="3F81A882"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Correlation analysis between clinical indicators and abundance of intestinal bacterial genera in patients with sepsis</w:t>
      </w:r>
    </w:p>
    <w:p w14:paraId="6C2A4C47" w14:textId="7CE0FB7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There were </w:t>
      </w:r>
      <w:r w:rsidR="00D93EA8">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in the sepsis group (S1–S10). Venous blood samples were collected on days </w:t>
      </w:r>
      <w:r w:rsidR="00D93EA8">
        <w:rPr>
          <w:rFonts w:ascii="Book Antiqua" w:eastAsia="Book Antiqua" w:hAnsi="Book Antiqua" w:cs="Book Antiqua"/>
          <w:color w:val="000000"/>
        </w:rPr>
        <w:t>1</w:t>
      </w:r>
      <w:r>
        <w:rPr>
          <w:rFonts w:ascii="Book Antiqua" w:eastAsia="Book Antiqua" w:hAnsi="Book Antiqua" w:cs="Book Antiqua"/>
          <w:color w:val="000000"/>
        </w:rPr>
        <w:t xml:space="preserve">, </w:t>
      </w:r>
      <w:r w:rsidR="00D93EA8">
        <w:rPr>
          <w:rFonts w:ascii="Book Antiqua" w:eastAsia="Book Antiqua" w:hAnsi="Book Antiqua" w:cs="Book Antiqua"/>
          <w:color w:val="000000"/>
        </w:rPr>
        <w:t>3</w:t>
      </w:r>
      <w:r>
        <w:rPr>
          <w:rFonts w:ascii="Book Antiqua" w:eastAsia="Book Antiqua" w:hAnsi="Book Antiqua" w:cs="Book Antiqua"/>
          <w:color w:val="000000"/>
        </w:rPr>
        <w:t xml:space="preserve">, and </w:t>
      </w:r>
      <w:r w:rsidR="00D93EA8">
        <w:rPr>
          <w:rFonts w:ascii="Book Antiqua" w:eastAsia="Book Antiqua" w:hAnsi="Book Antiqua" w:cs="Book Antiqua"/>
          <w:color w:val="000000"/>
        </w:rPr>
        <w:t xml:space="preserve">7 </w:t>
      </w:r>
      <w:r>
        <w:rPr>
          <w:rFonts w:ascii="Book Antiqua" w:eastAsia="Book Antiqua" w:hAnsi="Book Antiqua" w:cs="Book Antiqua"/>
          <w:color w:val="000000"/>
        </w:rPr>
        <w:t xml:space="preserve">after admission to the ICU to determine the levels of permeability-related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endotoxin, and DAO and infection-related PCT. In the blood of sepsis patients, the levels of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endotoxin, DAO, and PCT were 20.96 ± 11.90 mg/L, 10.65 ± 7.92 U/L, 19.58 ± 17.61 U/L, and </w:t>
      </w:r>
      <w:proofErr w:type="gramStart"/>
      <w:r>
        <w:rPr>
          <w:rFonts w:ascii="Book Antiqua" w:eastAsia="Book Antiqua" w:hAnsi="Book Antiqua" w:cs="Book Antiqua"/>
          <w:color w:val="000000"/>
        </w:rPr>
        <w:t>7.23 ± 13.92 ng/mL, respectively</w:t>
      </w:r>
      <w:proofErr w:type="gramEnd"/>
      <w:r>
        <w:rPr>
          <w:rFonts w:ascii="Book Antiqua" w:eastAsia="Book Antiqua" w:hAnsi="Book Antiqua" w:cs="Book Antiqua"/>
          <w:color w:val="000000"/>
        </w:rPr>
        <w:t>.</w:t>
      </w:r>
    </w:p>
    <w:p w14:paraId="2DBD43D1" w14:textId="5C93748D"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Based on the Spearman correlation analysis, significant correlations were established between clinical indicators and abundance of intestinal bacterial genera in sepsis patients (Figure 8). The number of days of admission in the ICU negatively correlated with the abundance of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abundance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and </w:t>
      </w:r>
      <w:r>
        <w:rPr>
          <w:rFonts w:ascii="Book Antiqua" w:eastAsia="Book Antiqua" w:hAnsi="Book Antiqua" w:cs="Book Antiqua"/>
          <w:i/>
          <w:iCs/>
          <w:color w:val="000000"/>
        </w:rPr>
        <w:t>Parasutterella</w:t>
      </w:r>
      <w:r>
        <w:rPr>
          <w:rFonts w:ascii="Book Antiqua" w:eastAsia="Book Antiqua" w:hAnsi="Book Antiqua" w:cs="Book Antiqua"/>
          <w:color w:val="000000"/>
        </w:rPr>
        <w:t xml:space="preserve"> was positively correlated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that of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 xml:space="preserve">, and </w:t>
      </w:r>
      <w:r>
        <w:rPr>
          <w:rFonts w:ascii="Book Antiqua" w:eastAsia="Book Antiqua" w:hAnsi="Book Antiqua" w:cs="Book Antiqua"/>
          <w:i/>
          <w:iCs/>
          <w:color w:val="000000"/>
        </w:rPr>
        <w:t>Finegoldia</w:t>
      </w:r>
      <w:r>
        <w:rPr>
          <w:rFonts w:ascii="Book Antiqua" w:eastAsia="Book Antiqua" w:hAnsi="Book Antiqua" w:cs="Book Antiqua"/>
          <w:color w:val="000000"/>
        </w:rPr>
        <w:t xml:space="preserve"> was negatively correlated with the levels of </w:t>
      </w:r>
      <w:r>
        <w:rPr>
          <w:rFonts w:ascii="Book Antiqua" w:eastAsia="Book Antiqua" w:hAnsi="Book Antiqua" w:cs="Book Antiqua"/>
          <w:smallCaps/>
          <w:color w:val="000000"/>
        </w:rPr>
        <w:t>D</w:t>
      </w:r>
      <w:r>
        <w:rPr>
          <w:rFonts w:ascii="Book Antiqua" w:eastAsia="Book Antiqua" w:hAnsi="Book Antiqua" w:cs="Book Antiqua"/>
          <w:color w:val="000000"/>
        </w:rPr>
        <w:t>-Lac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Additionally, the abundance of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t>
      </w:r>
      <w:r>
        <w:rPr>
          <w:rFonts w:ascii="Book Antiqua" w:eastAsia="Book Antiqua" w:hAnsi="Book Antiqua" w:cs="Book Antiqua"/>
          <w:i/>
          <w:iCs/>
          <w:color w:val="000000"/>
        </w:rPr>
        <w:t>Sutterella</w:t>
      </w:r>
      <w:r>
        <w:rPr>
          <w:rFonts w:ascii="Book Antiqua" w:eastAsia="Book Antiqua" w:hAnsi="Book Antiqua" w:cs="Book Antiqua"/>
          <w:color w:val="000000"/>
        </w:rPr>
        <w:t xml:space="preserve">,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Escherichia-Shigella</w:t>
      </w:r>
      <w:r>
        <w:rPr>
          <w:rFonts w:ascii="Book Antiqua" w:eastAsia="Book Antiqua" w:hAnsi="Book Antiqua" w:cs="Book Antiqua"/>
          <w:color w:val="000000"/>
        </w:rPr>
        <w:t xml:space="preserve">, </w:t>
      </w:r>
      <w:r>
        <w:rPr>
          <w:rFonts w:ascii="Book Antiqua" w:eastAsia="Book Antiqua" w:hAnsi="Book Antiqua" w:cs="Book Antiqua"/>
          <w:i/>
          <w:iCs/>
          <w:color w:val="000000"/>
        </w:rPr>
        <w:t>Dorea</w:t>
      </w:r>
      <w:r>
        <w:rPr>
          <w:rFonts w:ascii="Book Antiqua" w:eastAsia="Book Antiqua" w:hAnsi="Book Antiqua" w:cs="Book Antiqua"/>
          <w:color w:val="000000"/>
        </w:rPr>
        <w:t xml:space="preserve">, </w:t>
      </w:r>
      <w:r>
        <w:rPr>
          <w:rFonts w:ascii="Book Antiqua" w:eastAsia="Book Antiqua" w:hAnsi="Book Antiqua" w:cs="Book Antiqua"/>
          <w:i/>
          <w:iCs/>
          <w:color w:val="000000"/>
        </w:rPr>
        <w:t>Bilophila</w:t>
      </w:r>
      <w:r>
        <w:rPr>
          <w:rFonts w:ascii="Book Antiqua" w:eastAsia="Book Antiqua" w:hAnsi="Book Antiqua" w:cs="Book Antiqua"/>
          <w:color w:val="000000"/>
        </w:rPr>
        <w:t xml:space="preserve">, </w:t>
      </w:r>
      <w:r>
        <w:rPr>
          <w:rFonts w:ascii="Book Antiqua" w:eastAsia="Book Antiqua" w:hAnsi="Book Antiqua" w:cs="Book Antiqua"/>
          <w:i/>
          <w:iCs/>
          <w:color w:val="000000"/>
        </w:rPr>
        <w:t>Coprobacter</w:t>
      </w:r>
      <w:r>
        <w:rPr>
          <w:rFonts w:ascii="Book Antiqua" w:eastAsia="Book Antiqua" w:hAnsi="Book Antiqua" w:cs="Book Antiqua"/>
          <w:color w:val="000000"/>
        </w:rPr>
        <w:t xml:space="preserve">, </w:t>
      </w:r>
      <w:r>
        <w:rPr>
          <w:rFonts w:ascii="Book Antiqua" w:eastAsia="Book Antiqua" w:hAnsi="Book Antiqua" w:cs="Book Antiqua"/>
          <w:i/>
          <w:iCs/>
          <w:color w:val="000000"/>
        </w:rPr>
        <w:t>Clostridium_sensu_stricto_1</w:t>
      </w:r>
      <w:r>
        <w:rPr>
          <w:rFonts w:ascii="Book Antiqua" w:eastAsia="Book Antiqua" w:hAnsi="Book Antiqua" w:cs="Book Antiqua"/>
          <w:color w:val="000000"/>
        </w:rPr>
        <w:t xml:space="preserve">, </w:t>
      </w:r>
      <w:r>
        <w:rPr>
          <w:rFonts w:ascii="Book Antiqua" w:eastAsia="Book Antiqua" w:hAnsi="Book Antiqua" w:cs="Book Antiqua"/>
          <w:i/>
          <w:iCs/>
          <w:color w:val="000000"/>
        </w:rPr>
        <w:t>Parabacteroides</w:t>
      </w:r>
      <w:r>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t>
      </w:r>
      <w:r>
        <w:rPr>
          <w:rFonts w:ascii="Book Antiqua" w:eastAsia="Book Antiqua" w:hAnsi="Book Antiqua" w:cs="Book Antiqua"/>
          <w:i/>
          <w:iCs/>
          <w:color w:val="000000"/>
        </w:rPr>
        <w:t>Alistipes</w:t>
      </w:r>
      <w:r>
        <w:rPr>
          <w:rFonts w:ascii="Book Antiqua" w:eastAsia="Book Antiqua" w:hAnsi="Book Antiqua" w:cs="Book Antiqua"/>
          <w:color w:val="000000"/>
        </w:rPr>
        <w:t xml:space="preserve">, and </w:t>
      </w:r>
      <w:r>
        <w:rPr>
          <w:rFonts w:ascii="Book Antiqua" w:eastAsia="Book Antiqua" w:hAnsi="Book Antiqua" w:cs="Book Antiqua"/>
          <w:i/>
          <w:iCs/>
          <w:color w:val="000000"/>
        </w:rPr>
        <w:t>Parasutterella</w:t>
      </w:r>
      <w:r>
        <w:rPr>
          <w:rFonts w:ascii="Book Antiqua" w:eastAsia="Book Antiqua" w:hAnsi="Book Antiqua" w:cs="Book Antiqua"/>
          <w:color w:val="000000"/>
        </w:rPr>
        <w:t>, as well as some genera belonging to Lachnospiraceae, Christensenellaceae, Ruminococcaceae, and Erysipelotrichaceae, was positively correlated with the levels of PCT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Conversely, the abundance of </w:t>
      </w:r>
      <w:r>
        <w:rPr>
          <w:rFonts w:ascii="Book Antiqua" w:eastAsia="Book Antiqua" w:hAnsi="Book Antiqua" w:cs="Book Antiqua"/>
          <w:i/>
          <w:iCs/>
          <w:color w:val="000000"/>
        </w:rPr>
        <w:t>Stenotrophomonas</w:t>
      </w:r>
      <w:r>
        <w:rPr>
          <w:rFonts w:ascii="Book Antiqua" w:eastAsia="Book Antiqua" w:hAnsi="Book Antiqua" w:cs="Book Antiqua"/>
          <w:color w:val="000000"/>
        </w:rPr>
        <w:t xml:space="preserve"> and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negatively correlated with the levels of PCT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abundance of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t>
      </w:r>
      <w:r>
        <w:rPr>
          <w:rFonts w:ascii="Book Antiqua" w:eastAsia="Book Antiqua" w:hAnsi="Book Antiqua" w:cs="Book Antiqua"/>
          <w:i/>
          <w:iCs/>
          <w:color w:val="000000"/>
        </w:rPr>
        <w:t>Collinsella</w:t>
      </w:r>
      <w:r>
        <w:rPr>
          <w:rFonts w:ascii="Book Antiqua" w:eastAsia="Book Antiqua" w:hAnsi="Book Antiqua" w:cs="Book Antiqua"/>
          <w:color w:val="000000"/>
        </w:rPr>
        <w:t xml:space="preserve">, </w:t>
      </w:r>
      <w:r>
        <w:rPr>
          <w:rFonts w:ascii="Book Antiqua" w:eastAsia="Book Antiqua" w:hAnsi="Book Antiqua" w:cs="Book Antiqua"/>
          <w:i/>
          <w:iCs/>
          <w:color w:val="000000"/>
        </w:rPr>
        <w:t>Dorea</w:t>
      </w:r>
      <w:r>
        <w:rPr>
          <w:rFonts w:ascii="Book Antiqua" w:eastAsia="Book Antiqua" w:hAnsi="Book Antiqua" w:cs="Book Antiqua"/>
          <w:color w:val="000000"/>
        </w:rPr>
        <w:t>, and VadinBB60 group norank was also positively correlated with the endotoxin levels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that of </w:t>
      </w:r>
      <w:r>
        <w:rPr>
          <w:rFonts w:ascii="Book Antiqua" w:eastAsia="Book Antiqua" w:hAnsi="Book Antiqua" w:cs="Book Antiqua"/>
          <w:i/>
          <w:iCs/>
          <w:color w:val="000000"/>
        </w:rPr>
        <w:t>Dialister</w:t>
      </w:r>
      <w:r>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Peptostreptococcus</w:t>
      </w:r>
      <w:r>
        <w:rPr>
          <w:rFonts w:ascii="Book Antiqua" w:eastAsia="Book Antiqua" w:hAnsi="Book Antiqua" w:cs="Book Antiqua"/>
          <w:color w:val="000000"/>
        </w:rPr>
        <w:t xml:space="preserve">, </w:t>
      </w:r>
      <w:r>
        <w:rPr>
          <w:rFonts w:ascii="Book Antiqua" w:eastAsia="Book Antiqua" w:hAnsi="Book Antiqua" w:cs="Book Antiqua"/>
          <w:i/>
          <w:iCs/>
          <w:color w:val="000000"/>
        </w:rPr>
        <w:t>Dorea</w:t>
      </w:r>
      <w:r>
        <w:rPr>
          <w:rFonts w:ascii="Book Antiqua" w:eastAsia="Book Antiqua" w:hAnsi="Book Antiqua" w:cs="Book Antiqua"/>
          <w:color w:val="000000"/>
        </w:rPr>
        <w:t xml:space="preserve">, </w:t>
      </w:r>
      <w:r>
        <w:rPr>
          <w:rFonts w:ascii="Book Antiqua" w:eastAsia="Book Antiqua" w:hAnsi="Book Antiqua" w:cs="Book Antiqua"/>
          <w:i/>
          <w:iCs/>
          <w:color w:val="000000"/>
        </w:rPr>
        <w:t>Hemophilus</w:t>
      </w:r>
      <w:r>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t>
      </w:r>
      <w:r>
        <w:rPr>
          <w:rFonts w:ascii="Book Antiqua" w:eastAsia="Book Antiqua" w:hAnsi="Book Antiqua" w:cs="Book Antiqua"/>
          <w:i/>
          <w:iCs/>
          <w:color w:val="000000"/>
        </w:rPr>
        <w:t>Collinsella,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Blautia</w:t>
      </w:r>
      <w:r>
        <w:rPr>
          <w:rFonts w:ascii="Book Antiqua" w:eastAsia="Book Antiqua" w:hAnsi="Book Antiqua" w:cs="Book Antiqua"/>
          <w:color w:val="000000"/>
        </w:rPr>
        <w:t xml:space="preserve"> was positively correlated with the levels of DAO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0DF84DD" w14:textId="77777777" w:rsidR="00011DC0" w:rsidRDefault="00011DC0">
      <w:pPr>
        <w:adjustRightInd w:val="0"/>
        <w:snapToGrid w:val="0"/>
        <w:spacing w:line="360" w:lineRule="auto"/>
        <w:ind w:firstLine="480"/>
        <w:jc w:val="both"/>
        <w:rPr>
          <w:rFonts w:ascii="Book Antiqua" w:hAnsi="Book Antiqua"/>
        </w:rPr>
      </w:pPr>
    </w:p>
    <w:p w14:paraId="29F8E74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4CCC81B4" w14:textId="1B190EB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Characteristics of</w:t>
      </w:r>
      <w:r w:rsidR="00D93EA8">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 xml:space="preserve">intestinal flora </w:t>
      </w:r>
      <w:r w:rsidR="00D93EA8">
        <w:rPr>
          <w:rFonts w:ascii="Book Antiqua" w:eastAsia="Book Antiqua" w:hAnsi="Book Antiqua" w:cs="Book Antiqua"/>
          <w:b/>
          <w:bCs/>
          <w:i/>
          <w:iCs/>
          <w:color w:val="000000"/>
        </w:rPr>
        <w:t xml:space="preserve">structure in </w:t>
      </w:r>
      <w:r>
        <w:rPr>
          <w:rFonts w:ascii="Book Antiqua" w:eastAsia="Book Antiqua" w:hAnsi="Book Antiqua" w:cs="Book Antiqua"/>
          <w:b/>
          <w:bCs/>
          <w:i/>
          <w:iCs/>
          <w:color w:val="000000"/>
        </w:rPr>
        <w:t>sepsis patients</w:t>
      </w:r>
    </w:p>
    <w:p w14:paraId="5C98AF1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Sepsis is associated with high morbidity and mortality worldwide, and its timely identification and treatment are difficult. Therefore, improving the diagnosis and treatment of sepsis is essential from a global health </w:t>
      </w:r>
      <w:proofErr w:type="gramStart"/>
      <w:r>
        <w:rPr>
          <w:rFonts w:ascii="Book Antiqua" w:eastAsia="Book Antiqua" w:hAnsi="Book Antiqua" w:cs="Book Antiqua"/>
          <w:color w:val="000000"/>
        </w:rPr>
        <w:t>perspective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In February 2016, the SCCM and the European Society of Intensive Care Medicine jointly released the definition of sepsis in “Sepsis 3.0” as follows: “Life-threatening organ dysfunction due to a dysregulated host response to infection</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This definition emphasizes the close relationship between sepsis and organ dysfunction; of note, the intestinal tract is recognized as the “engine” of organ dysfunction. The intestinal flora, as an important component of the intestinal tract, plays major physiological roles in the context of biosynthesis and metabolism; however, critical diseases lead to many changes in the diversity of the intestinal flora, causing excessive growth of pathogenic </w:t>
      </w:r>
      <w:proofErr w:type="gramStart"/>
      <w:r>
        <w:rPr>
          <w:rFonts w:ascii="Book Antiqua" w:eastAsia="Book Antiqua" w:hAnsi="Book Antiqua" w:cs="Book Antiqua"/>
          <w:color w:val="000000"/>
        </w:rPr>
        <w:t>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68827B0B" w14:textId="2B56647D"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By comparing the intestinal flora of sepsis patients and healthy controls, we confirmed that there are marked differences in the abundance, distribution, and structure of the intestinal flora in the context of sepsis. In sepsis patients, normal bacteria decreased or disappeared, while the abundance of abnormal bacteria increased sharply. At the phylum level, the abundance of Firmicutes increased significantly, while that of Bacteroidetes decreased significantly in the intestinal flora of sepsis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non-septic critically ill patients; of note, the number of bacteria in the phylum Fusobacterium also decreased significantly. At the genus level, in addition to the decrease in the abundance of beneficial symbiotic bacteria such as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Lachnospira</w:t>
      </w:r>
      <w:r>
        <w:rPr>
          <w:rFonts w:ascii="Book Antiqua" w:eastAsia="Book Antiqua" w:hAnsi="Book Antiqua" w:cs="Book Antiqua"/>
          <w:color w:val="000000"/>
        </w:rPr>
        <w:t xml:space="preserve">, as well as of other genera, including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and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we found that the abundance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increased significantly in the intestinal flora of sepsis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non-septic critically ill patients. Therefore, our results suggest that dysbiosis in sepsis shows three major features. First, as the abundance and </w:t>
      </w:r>
      <w:r>
        <w:rPr>
          <w:rFonts w:ascii="Book Antiqua" w:eastAsia="Book Antiqua" w:hAnsi="Book Antiqua" w:cs="Book Antiqua"/>
          <w:color w:val="000000"/>
        </w:rPr>
        <w:lastRenderedPageBreak/>
        <w:t xml:space="preserve">diversity of the intestinal flora decrease, the structure of the intestinal flora changes, and the differences among individuals are </w:t>
      </w:r>
      <w:proofErr w:type="gramStart"/>
      <w:r>
        <w:rPr>
          <w:rFonts w:ascii="Book Antiqua" w:eastAsia="Book Antiqua" w:hAnsi="Book Antiqua" w:cs="Book Antiqua"/>
          <w:color w:val="000000"/>
        </w:rPr>
        <w:t>greater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Second, the abundance of dominant obligate anaerobes decreases and that of facultative anaerobes </w:t>
      </w:r>
      <w:proofErr w:type="gramStart"/>
      <w:r>
        <w:rPr>
          <w:rFonts w:ascii="Book Antiqua" w:eastAsia="Book Antiqua" w:hAnsi="Book Antiqua" w:cs="Book Antiqua"/>
          <w:color w:val="000000"/>
        </w:rPr>
        <w:t>increases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Third, the abundance of beneficial symbiotic bacteria decreases, while that of pathogenic bacteria increases, possibly becoming </w:t>
      </w:r>
      <w:proofErr w:type="gramStart"/>
      <w:r>
        <w:rPr>
          <w:rFonts w:ascii="Book Antiqua" w:eastAsia="Book Antiqua" w:hAnsi="Book Antiqua" w:cs="Book Antiqua"/>
          <w:color w:val="000000"/>
        </w:rPr>
        <w:t>predominant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11,13]</w:t>
      </w:r>
      <w:r>
        <w:rPr>
          <w:rFonts w:ascii="Book Antiqua" w:eastAsia="Book Antiqua" w:hAnsi="Book Antiqua" w:cs="Book Antiqua"/>
          <w:color w:val="000000"/>
        </w:rPr>
        <w:t>.</w:t>
      </w:r>
    </w:p>
    <w:p w14:paraId="70B745D6" w14:textId="2C59D95E"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The occurrence of intestinal microecological disorders in sepsis patients is not surprising. First, the physiological state of sepsis patients is completely different from that at homeostasis; specifically, intestinal hypoperfusion and reperfusion injury lead to changes in the intestinal environment and blood supply to the intestinal mucosa, resulting in intestinal mucosal inflammation and, consequently, a series of changes in the intestinal environment, such as increased nitrate </w:t>
      </w:r>
      <w:proofErr w:type="gramStart"/>
      <w:r>
        <w:rPr>
          <w:rFonts w:ascii="Book Antiqua" w:eastAsia="Book Antiqua" w:hAnsi="Book Antiqua" w:cs="Book Antiqua"/>
          <w:color w:val="000000"/>
        </w:rPr>
        <w:t>concentrations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altered mucosal oxygen gradient</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These changes are favorable to the growth of Proteobacteria, leading to the expansion of many clinically familiar pathogenic </w:t>
      </w:r>
      <w:r w:rsidR="00E51B68">
        <w:rPr>
          <w:rFonts w:ascii="Book Antiqua" w:eastAsia="Book Antiqua" w:hAnsi="Book Antiqua" w:cs="Book Antiqua"/>
          <w:color w:val="000000"/>
        </w:rPr>
        <w:t>Gram</w:t>
      </w:r>
      <w:r>
        <w:rPr>
          <w:rFonts w:ascii="Book Antiqua" w:eastAsia="Book Antiqua" w:hAnsi="Book Antiqua" w:cs="Book Antiqua"/>
          <w:color w:val="000000"/>
        </w:rPr>
        <w:t xml:space="preserve">-negative bacilli, such as </w:t>
      </w:r>
      <w:r>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Pr>
          <w:rFonts w:ascii="Book Antiqua" w:eastAsia="Book Antiqua" w:hAnsi="Book Antiqua" w:cs="Book Antiqua"/>
          <w:i/>
          <w:iCs/>
          <w:color w:val="000000"/>
        </w:rPr>
        <w:t>aeruginosa</w:t>
      </w:r>
      <w:r>
        <w:rPr>
          <w:rFonts w:ascii="Book Antiqua" w:eastAsia="Book Antiqua" w:hAnsi="Book Antiqua" w:cs="Book Antiqua"/>
          <w:color w:val="000000"/>
        </w:rPr>
        <w:t xml:space="preserve"> and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as well as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Enterococcus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xml:space="preserve">. Second, ICU patients are exposed to various endogenous regulators (such as increased catecholamine production and changes in glucose metabolism) and clinical interventions (such as proton pump inhibitors, opioids, nutritional support, and antibiotics), which affect the living environment of the intestinal flora to varying degrees and, thus, affect the flora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Finally, the intestinal mucosa will be damaged and thinned in critically ill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such mucosal damage leads to the loss of the normal habitat of symbiotic microorganisms, subsequently leading to intestinal microecological disorders.</w:t>
      </w:r>
    </w:p>
    <w:p w14:paraId="41FF11B6" w14:textId="77777777" w:rsidR="00011DC0" w:rsidRDefault="00011DC0">
      <w:pPr>
        <w:adjustRightInd w:val="0"/>
        <w:snapToGrid w:val="0"/>
        <w:spacing w:line="360" w:lineRule="auto"/>
        <w:ind w:firstLine="480"/>
        <w:jc w:val="both"/>
        <w:rPr>
          <w:rFonts w:ascii="Book Antiqua" w:hAnsi="Book Antiqua"/>
        </w:rPr>
      </w:pPr>
    </w:p>
    <w:p w14:paraId="71574D6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Dynamic changes in the structure of the intestinal flora of sepsis patients within 1 wk after treatment initiation</w:t>
      </w:r>
    </w:p>
    <w:p w14:paraId="3D4163E6" w14:textId="77777777" w:rsidR="00011DC0" w:rsidRDefault="00546129" w:rsidP="004A1436">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Our study suggests that the abundance, distribution, and diversity of the intestinal flora in sepsis patients do not change significantly within 1 wk of ICU admittance. However, in relation to the gut microbiome of healthy subjects, the numbers of most beneficial bacteria, such as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were below the detection limit in sepsis </w:t>
      </w:r>
      <w:r>
        <w:rPr>
          <w:rFonts w:ascii="Book Antiqua" w:eastAsia="Book Antiqua" w:hAnsi="Book Antiqua" w:cs="Book Antiqua"/>
          <w:color w:val="000000"/>
        </w:rPr>
        <w:lastRenderedPageBreak/>
        <w:t xml:space="preserve">patients, whereas the abundance of infection-related bacteria, such as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Hemophilus</w:t>
      </w:r>
      <w:r>
        <w:rPr>
          <w:rFonts w:ascii="Book Antiqua" w:eastAsia="Book Antiqua" w:hAnsi="Book Antiqua" w:cs="Book Antiqua"/>
          <w:color w:val="000000"/>
        </w:rPr>
        <w:t xml:space="preserve">, increased despite the action of antibiotics (with the exception of </w:t>
      </w:r>
      <w:r>
        <w:rPr>
          <w:rFonts w:ascii="Book Antiqua" w:eastAsia="Book Antiqua" w:hAnsi="Book Antiqua" w:cs="Book Antiqua"/>
          <w:i/>
          <w:iCs/>
          <w:color w:val="000000"/>
        </w:rPr>
        <w:t>Coprococcus</w:t>
      </w:r>
      <w:r>
        <w:rPr>
          <w:rFonts w:ascii="Book Antiqua" w:eastAsia="Book Antiqua" w:hAnsi="Book Antiqua" w:cs="Book Antiqua"/>
          <w:color w:val="000000"/>
        </w:rPr>
        <w:t xml:space="preserve">, which decreased in abundance to below the detection limit). These results indicate that patients with intestinal flora disorders associated with sepsis could not recover in a short time, and while the drugs were effective against the bacteria causing infection, they also affected bacteria in the intestines. In fact, the effects of drug treatment, especially antibiotics, on bacteria were not limited to harmful bacteria; the proportion of beneficial intestinal bacteria also decreased. Other studies have also shown that the long-term use of antibiotics changes the normally healthy intestinal flora and leads to the emergence of drug resistance; worrisome enough, the long-term use of antibiotics has the potential to generate organism reservoirs with a multi-drug resistance gene </w:t>
      </w:r>
      <w:proofErr w:type="gramStart"/>
      <w:r>
        <w:rPr>
          <w:rFonts w:ascii="Book Antiqua" w:eastAsia="Book Antiqua" w:hAnsi="Book Antiqua" w:cs="Book Antiqua"/>
          <w:color w:val="000000"/>
        </w:rPr>
        <w:t>pool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used rat models with third-degree burns on 30% of the total surface area of the back and quantified/identified the intestinal bacteria after treatment. The results showed that the number of cocci in the gastrointestinal contents of rats increased significantly, and the coccus/bacillus ratio was seriously inverted after treatment with Rocephin. It was considered that broad-spectrum antibiotics destroyed the intestinal microecological balance; of note, the conditional pathogenic intestinal flora showed potential to affect health, disease, and drug action. Our study also revealed that the abundance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increased significantly in sepsis patients, which might be related to the use of broad-spectrum antibiotics.</w:t>
      </w:r>
    </w:p>
    <w:p w14:paraId="10A25596" w14:textId="77777777" w:rsidR="00011DC0" w:rsidRDefault="00011DC0">
      <w:pPr>
        <w:adjustRightInd w:val="0"/>
        <w:snapToGrid w:val="0"/>
        <w:spacing w:line="360" w:lineRule="auto"/>
        <w:ind w:firstLine="495"/>
        <w:jc w:val="both"/>
        <w:rPr>
          <w:rFonts w:ascii="Book Antiqua" w:hAnsi="Book Antiqua"/>
        </w:rPr>
      </w:pPr>
    </w:p>
    <w:p w14:paraId="3EBA059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Correlation between the abundance of intestinal bacterial genera and clinical indicators in patients with sepsis</w:t>
      </w:r>
    </w:p>
    <w:p w14:paraId="0175C1EF" w14:textId="0DF4A95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Our study showed a clear correlation between the abundance of intestinal flora components and clinical indicators in sepsis. The clinical indicators used in this study were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endotoxin, DAO, and PCT. Under normal circumstances,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is produced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methylglyoxal metabolism, and its content in the blood is very small. However, when glycolysis </w:t>
      </w:r>
      <w:r w:rsidR="00E51B68">
        <w:rPr>
          <w:rFonts w:ascii="Book Antiqua" w:eastAsia="Book Antiqua" w:hAnsi="Book Antiqua" w:cs="Book Antiqua"/>
          <w:color w:val="000000"/>
        </w:rPr>
        <w:t xml:space="preserve">results in </w:t>
      </w:r>
      <w:r>
        <w:rPr>
          <w:rFonts w:ascii="Book Antiqua" w:eastAsia="Book Antiqua" w:hAnsi="Book Antiqua" w:cs="Book Antiqua"/>
          <w:color w:val="000000"/>
        </w:rPr>
        <w:t xml:space="preserve">increases in a large number of gastrointestinal bacteria and the intestinal barrier function is impaired, the content of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increases </w:t>
      </w:r>
      <w:r>
        <w:rPr>
          <w:rFonts w:ascii="Book Antiqua" w:eastAsia="Book Antiqua" w:hAnsi="Book Antiqua" w:cs="Book Antiqua"/>
          <w:color w:val="000000"/>
        </w:rPr>
        <w:lastRenderedPageBreak/>
        <w:t xml:space="preserve">sharply. Endotoxins are cell wall components of </w:t>
      </w:r>
      <w:r w:rsidR="00E51B68">
        <w:rPr>
          <w:rFonts w:ascii="Book Antiqua" w:eastAsia="Book Antiqua" w:hAnsi="Book Antiqua" w:cs="Book Antiqua"/>
          <w:color w:val="000000"/>
        </w:rPr>
        <w:t>Gram</w:t>
      </w:r>
      <w:r>
        <w:rPr>
          <w:rFonts w:ascii="Book Antiqua" w:eastAsia="Book Antiqua" w:hAnsi="Book Antiqua" w:cs="Book Antiqua"/>
          <w:color w:val="000000"/>
        </w:rPr>
        <w:t xml:space="preserve">-negative bacteria that are released only when bacteria are lysed and die. DAO is a highly active intracellular enzyme in the upper villi of the intestinal mucosa of mammals, including humans. Its activity is closely associated with nucleic acid and protein synthesis in mucosal cells. Therefore, the above three indicators can reflect the integrity and damage degree of the intestinal mechanical barrier. Additionally, PCT reflects the active level of the systemic inflammatory response, and the factors affecting its levels include the size and type of the infected organ, the type of pathogenic bacteria, the degree of inflammation, and the state of immune responses. Our study showed that serum PCT, endotoxin, DAO,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levels in patients with sepsis were correlated with the abundance of various intestinal bacterial genera. Of note, some of these genera were correlated with multiple clinical indicators at the same time. For example, the abundance of </w:t>
      </w:r>
      <w:r>
        <w:rPr>
          <w:rFonts w:ascii="Book Antiqua" w:eastAsia="Book Antiqua" w:hAnsi="Book Antiqua" w:cs="Book Antiqua"/>
          <w:i/>
          <w:iCs/>
          <w:color w:val="000000"/>
        </w:rPr>
        <w:t>Peptostreptococcus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Dorea</w:t>
      </w:r>
      <w:r>
        <w:rPr>
          <w:rFonts w:ascii="Book Antiqua" w:eastAsia="Book Antiqua" w:hAnsi="Book Antiqua" w:cs="Book Antiqua"/>
          <w:color w:val="000000"/>
        </w:rPr>
        <w:t xml:space="preserve"> was positively correlated with the serum levels of PCT, endotoxin, and DAO; moreover, the abundance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was positively correlated with the serum levels of PCT, endotoxin, and </w:t>
      </w:r>
      <w:r>
        <w:rPr>
          <w:rFonts w:ascii="Book Antiqua" w:eastAsia="Book Antiqua" w:hAnsi="Book Antiqua" w:cs="Book Antiqua"/>
          <w:smallCaps/>
          <w:color w:val="000000"/>
        </w:rPr>
        <w:t>D</w:t>
      </w:r>
      <w:r>
        <w:rPr>
          <w:rFonts w:ascii="Book Antiqua" w:eastAsia="Book Antiqua" w:hAnsi="Book Antiqua" w:cs="Book Antiqua"/>
          <w:color w:val="000000"/>
        </w:rPr>
        <w:t>-Lac.</w:t>
      </w:r>
    </w:p>
    <w:p w14:paraId="1D9DB143" w14:textId="3A8C0BAB"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Among these genera, the abundance of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had the highest positive correlation with PCT.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is an important constituent of the normal intestinal microbiota. A study published in 2017</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using samples from young Han Chinese individuals revealed changes in the intestinal flora of the Chinese population and showed that the genera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Fusobacterium</w:t>
      </w:r>
      <w:r>
        <w:rPr>
          <w:rFonts w:ascii="Book Antiqua" w:eastAsia="Book Antiqua" w:hAnsi="Book Antiqua" w:cs="Book Antiqua"/>
          <w:color w:val="000000"/>
        </w:rPr>
        <w:t xml:space="preserve">, among others, were relatively highly abundant in obese Chinese individuals, whereas the abundance of </w:t>
      </w:r>
      <w:r>
        <w:rPr>
          <w:rFonts w:ascii="Book Antiqua" w:eastAsia="Book Antiqua" w:hAnsi="Book Antiqua" w:cs="Book Antiqua"/>
          <w:i/>
          <w:iCs/>
          <w:color w:val="000000"/>
        </w:rPr>
        <w:t>Bacteroides</w:t>
      </w:r>
      <w:r>
        <w:rPr>
          <w:rFonts w:ascii="Book Antiqua" w:eastAsia="Book Antiqua" w:hAnsi="Book Antiqua" w:cs="Book Antiqua"/>
          <w:color w:val="000000"/>
        </w:rPr>
        <w:t xml:space="preserve"> was greatly reduced. Of note, two </w:t>
      </w:r>
      <w:r>
        <w:rPr>
          <w:rFonts w:ascii="Book Antiqua" w:eastAsia="Book Antiqua" w:hAnsi="Book Antiqua" w:cs="Book Antiqua"/>
          <w:i/>
          <w:iCs/>
          <w:color w:val="000000"/>
        </w:rPr>
        <w:t xml:space="preserve">Ruminococcus </w:t>
      </w:r>
      <w:r>
        <w:rPr>
          <w:rFonts w:ascii="Book Antiqua" w:eastAsia="Book Antiqua" w:hAnsi="Book Antiqua" w:cs="Book Antiqua"/>
          <w:color w:val="000000"/>
        </w:rPr>
        <w:t xml:space="preserve">species, </w:t>
      </w:r>
      <w:r w:rsidR="004A1436">
        <w:rPr>
          <w:rFonts w:ascii="Book Antiqua" w:eastAsia="Book Antiqua" w:hAnsi="Book Antiqua" w:cs="Book Antiqua"/>
          <w:i/>
          <w:iCs/>
          <w:color w:val="000000"/>
        </w:rPr>
        <w:t>Ruminococcus</w:t>
      </w:r>
      <w:r>
        <w:rPr>
          <w:rFonts w:ascii="Book Antiqua" w:eastAsia="Book Antiqua" w:hAnsi="Book Antiqua" w:cs="Book Antiqua"/>
          <w:i/>
          <w:iCs/>
          <w:color w:val="000000"/>
        </w:rPr>
        <w:t xml:space="preserve"> torques</w:t>
      </w:r>
      <w:r>
        <w:rPr>
          <w:rFonts w:ascii="Book Antiqua" w:eastAsia="Book Antiqua" w:hAnsi="Book Antiqua" w:cs="Book Antiqua"/>
          <w:color w:val="000000"/>
        </w:rPr>
        <w:t xml:space="preserve"> and </w:t>
      </w:r>
      <w:r w:rsidR="004A1436">
        <w:rPr>
          <w:rFonts w:ascii="Book Antiqua" w:eastAsia="Book Antiqua" w:hAnsi="Book Antiqua" w:cs="Book Antiqua"/>
          <w:i/>
          <w:iCs/>
          <w:color w:val="000000"/>
        </w:rPr>
        <w:t>Ruminococcus</w:t>
      </w:r>
      <w:r>
        <w:rPr>
          <w:rFonts w:ascii="Book Antiqua" w:eastAsia="Book Antiqua" w:hAnsi="Book Antiqua" w:cs="Book Antiqua"/>
          <w:i/>
          <w:iCs/>
          <w:color w:val="000000"/>
        </w:rPr>
        <w:t xml:space="preserve"> gnavus</w:t>
      </w:r>
      <w:r>
        <w:rPr>
          <w:rFonts w:ascii="Book Antiqua" w:eastAsia="Book Antiqua" w:hAnsi="Book Antiqua" w:cs="Book Antiqua"/>
          <w:color w:val="000000"/>
        </w:rPr>
        <w:t xml:space="preserve">, should be mentioned because they are related to inflammatory bowel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and metabolic disorder</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Importantly, from the significant decrease in the number and abundance of intestinal bacteria, including the decrease in abundance of the phylum Bacteroidetes, the increase in abundance of the phylum Verrucomicrobia, and the increase in abundance of the genus </w:t>
      </w:r>
      <w:r>
        <w:rPr>
          <w:rFonts w:ascii="Book Antiqua" w:eastAsia="Book Antiqua" w:hAnsi="Book Antiqua" w:cs="Book Antiqua"/>
          <w:i/>
          <w:iCs/>
          <w:color w:val="000000"/>
        </w:rPr>
        <w:t>Ruminococcus</w:t>
      </w:r>
      <w:r>
        <w:rPr>
          <w:rFonts w:ascii="Book Antiqua" w:eastAsia="Book Antiqua" w:hAnsi="Book Antiqua" w:cs="Book Antiqua"/>
          <w:color w:val="000000"/>
        </w:rPr>
        <w:t xml:space="preserve"> in sepsis patients, we can establish a parallel with the results of the study of obese Chinese individuals. In clinical practice, it is known that obese individuals have more significant </w:t>
      </w:r>
      <w:r>
        <w:rPr>
          <w:rFonts w:ascii="Book Antiqua" w:eastAsia="Book Antiqua" w:hAnsi="Book Antiqua" w:cs="Book Antiqua"/>
          <w:color w:val="000000"/>
        </w:rPr>
        <w:lastRenderedPageBreak/>
        <w:t xml:space="preserve">characteristics of insulin resistance and dyslipidemia, with a more significant inflammatory phenotype, which are risk factors for cardiovascular diseases, diabetes, osteoporosis, and some cancers among other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Interestingly, patients with sepsis also have clinical manifestations such as insulin resistance, dyslipidemia, and inflammatory responses, which have adverse effects on the severity of illness and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Therefore, we boldly speculate that the intestinal phenotype of obese patients makes them more susceptible to the complications of sepsis, which might be of great significance for the treatment and prevention of sepsis. Of course, the sample size in this study was small, and thus, it is necessary to conduct larger, multicenter studies to support our findings; moreover, the proposed mechanisms require further validation in animal studies for clarification.</w:t>
      </w:r>
    </w:p>
    <w:p w14:paraId="45A61D19" w14:textId="44743481"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There is a correlation between intestinal flora disorders and intestinal barrier dysfunction in sepsis patients. Our research showed that the abundance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in the intestinal tract of sepsis patients was definitely related to the levels of serum markers of intestinal barrier function.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is one of the main bacterial genera producing butyrate in the human intestinal </w:t>
      </w:r>
      <w:proofErr w:type="gramStart"/>
      <w:r>
        <w:rPr>
          <w:rFonts w:ascii="Book Antiqua" w:eastAsia="Book Antiqua" w:hAnsi="Book Antiqua" w:cs="Book Antiqua"/>
          <w:color w:val="000000"/>
        </w:rPr>
        <w:t>flora</w:t>
      </w:r>
      <w:r>
        <w:rPr>
          <w:rFonts w:ascii="Book Antiqua" w:eastAsia="Book Antiqua" w:hAnsi="Book Antiqua" w:cs="Book Antiqua"/>
          <w:color w:val="000000"/>
          <w:vertAlign w:val="superscript"/>
        </w:rPr>
        <w:t>[</w:t>
      </w:r>
      <w:proofErr w:type="gramEnd"/>
      <w:r w:rsidR="0022778E">
        <w:rPr>
          <w:rFonts w:ascii="Book Antiqua" w:eastAsia="Book Antiqua" w:hAnsi="Book Antiqua" w:cs="Book Antiqua"/>
          <w:color w:val="000000"/>
          <w:vertAlign w:val="superscript"/>
        </w:rPr>
        <w:t>26,</w:t>
      </w:r>
      <w:r>
        <w:rPr>
          <w:rFonts w:ascii="Book Antiqua" w:eastAsia="Book Antiqua" w:hAnsi="Book Antiqua" w:cs="Book Antiqua"/>
          <w:color w:val="000000"/>
          <w:vertAlign w:val="superscript"/>
        </w:rPr>
        <w:t>27]</w:t>
      </w:r>
      <w:r>
        <w:rPr>
          <w:rFonts w:ascii="Book Antiqua" w:eastAsia="Book Antiqua" w:hAnsi="Book Antiqua" w:cs="Book Antiqua"/>
          <w:color w:val="000000"/>
        </w:rPr>
        <w:t>. Butyrate is the main energy source of colonic epithelial cells. Research suggests that the abundance of bacteria producing butyrate in the intestinal tract of critically ill patients decreases or disappears, which leads to a decrease in butyrate production and the apoptosis of intestinal epithelial cells due to “starvation”</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Importantly, one study showed that the genus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can improve the intestinal ecosystem, prevent intestinal leakage, and reduce the incidence of </w:t>
      </w:r>
      <w:proofErr w:type="gramStart"/>
      <w:r>
        <w:rPr>
          <w:rFonts w:ascii="Book Antiqua" w:eastAsia="Book Antiqua" w:hAnsi="Book Antiqua" w:cs="Book Antiqua"/>
          <w:color w:val="000000"/>
        </w:rPr>
        <w:t>diabetes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Conversely, other studies have shown that the abundance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is significantly reduced in patients with Crohn’s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and inflammatory bowel disease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Our study showed that the abundance of intestinal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was positively correlated with serum PCT, endotoxin,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 levels in sepsis patients, indicating that the intestinal barrier function is more severely damaged and the systemic inflammatory response is more serious with a higher content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which seems to contradict the results of existing research. We speculate that systemic inflammatory responses in sepsis patients cause intestinal damage and that the </w:t>
      </w:r>
      <w:r>
        <w:rPr>
          <w:rFonts w:ascii="Book Antiqua" w:eastAsia="Book Antiqua" w:hAnsi="Book Antiqua" w:cs="Book Antiqua"/>
          <w:color w:val="000000"/>
        </w:rPr>
        <w:lastRenderedPageBreak/>
        <w:t xml:space="preserve">body has a self-regulatory effect on this damage. In addition, a recently published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showed that immune cells and autoantibodies of patients with antiphospholipid syndrome (an autoimmune disease) could cross-react with the mimic epitopes of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in line with this, </w:t>
      </w:r>
      <w:r>
        <w:rPr>
          <w:rFonts w:ascii="Book Antiqua" w:eastAsia="Book Antiqua" w:hAnsi="Book Antiqua" w:cs="Book Antiqua"/>
          <w:i/>
          <w:iCs/>
          <w:color w:val="000000"/>
        </w:rPr>
        <w:t>Roseburia</w:t>
      </w:r>
      <w:r>
        <w:rPr>
          <w:rFonts w:ascii="Book Antiqua" w:eastAsia="Book Antiqua" w:hAnsi="Book Antiqua" w:cs="Book Antiqua"/>
          <w:color w:val="000000"/>
        </w:rPr>
        <w:t xml:space="preserve"> could also cause autoimmune diseases in susceptible mice. Once again, these results suggest that the positive and negative effects of intestinal bacteria are not invariable. </w:t>
      </w:r>
    </w:p>
    <w:p w14:paraId="10B7318C" w14:textId="77777777" w:rsidR="00011DC0" w:rsidRDefault="00546129">
      <w:pPr>
        <w:adjustRightInd w:val="0"/>
        <w:snapToGrid w:val="0"/>
        <w:spacing w:line="360" w:lineRule="auto"/>
        <w:ind w:firstLine="480"/>
        <w:jc w:val="both"/>
        <w:rPr>
          <w:rFonts w:ascii="Book Antiqua" w:hAnsi="Book Antiqua"/>
        </w:rPr>
      </w:pPr>
      <w:r>
        <w:rPr>
          <w:rFonts w:ascii="Book Antiqua" w:eastAsia="Book Antiqua" w:hAnsi="Book Antiqua" w:cs="Book Antiqua"/>
          <w:color w:val="000000"/>
        </w:rPr>
        <w:t xml:space="preserve">Bacteria can perceive the changes in the host internal environment and then change their own toxic factors to become pathogenic. Under various stimuli such as sepsis, trauma, and burns, a healthy bacterial strain might be transformed into a pathogenic bacterium within a few </w:t>
      </w:r>
      <w:proofErr w:type="gramStart"/>
      <w:r>
        <w:rPr>
          <w:rFonts w:ascii="Book Antiqua" w:eastAsia="Book Antiqua" w:hAnsi="Book Antiqua" w:cs="Book Antiqua"/>
          <w:color w:val="000000"/>
        </w:rPr>
        <w:t>hours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For example, </w:t>
      </w:r>
      <w:r>
        <w:rPr>
          <w:rFonts w:ascii="Book Antiqua" w:eastAsia="Book Antiqua" w:hAnsi="Book Antiqua" w:cs="Book Antiqua"/>
          <w:i/>
          <w:iCs/>
          <w:color w:val="000000"/>
        </w:rPr>
        <w:t>Pseudomonas aeruginosa</w:t>
      </w:r>
      <w:r>
        <w:rPr>
          <w:rFonts w:ascii="Book Antiqua" w:eastAsia="Book Antiqua" w:hAnsi="Book Antiqua" w:cs="Book Antiqua"/>
          <w:color w:val="000000"/>
        </w:rPr>
        <w:t xml:space="preserve"> was injected into the ceca of mice in a sham operation group for culture, and then, the bacteria were collected and implanted into the undamaged abdominal cavity of mice; it was found that no death occurred. However, the same strain was injected into the ceca of mice after 30% hepatectomy for culture, and then were collected and implanted into the undamaged abdominal cavities of mice, which led to their </w:t>
      </w:r>
      <w:proofErr w:type="gramStart"/>
      <w:r>
        <w:rPr>
          <w:rFonts w:ascii="Book Antiqua" w:eastAsia="Book Antiqua" w:hAnsi="Book Antiqua" w:cs="Book Antiqua"/>
          <w:color w:val="000000"/>
        </w:rPr>
        <w:t>deaths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Although the mechanisms underlying such transformations remain inconclusive, these results suggest that the host environment can not only change the diversity of bacterial species but also change their virulence. Therefore, the beneficial or harmful effects of a specific bacterium are not absolute; they can be influenced by many factors.</w:t>
      </w:r>
    </w:p>
    <w:p w14:paraId="5EF48167" w14:textId="77777777" w:rsidR="00011DC0" w:rsidRDefault="00011DC0">
      <w:pPr>
        <w:adjustRightInd w:val="0"/>
        <w:snapToGrid w:val="0"/>
        <w:spacing w:line="360" w:lineRule="auto"/>
        <w:ind w:firstLine="480"/>
        <w:jc w:val="both"/>
        <w:rPr>
          <w:rFonts w:ascii="Book Antiqua" w:hAnsi="Book Antiqua"/>
        </w:rPr>
      </w:pPr>
    </w:p>
    <w:p w14:paraId="6515397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CONCLUSION</w:t>
      </w:r>
    </w:p>
    <w:p w14:paraId="7A49628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In this study, we report that sepsis patients in the ICU showed intestinal microecological disorders, lasting for at least 1 wk. Furthermore, intestinal microecological disorder was correlated with inflammation-related and intestinal barrier-related indexes in sepsis. However, this study is not without limitations. The sample size was small, and thus, it is necessary to carry out larger and multicenter studies to support these findings. Additional animal studies might be needed to clarify the related molecular mechanisms.</w:t>
      </w:r>
    </w:p>
    <w:p w14:paraId="6C5634B4" w14:textId="77777777" w:rsidR="00011DC0" w:rsidRDefault="00011DC0">
      <w:pPr>
        <w:adjustRightInd w:val="0"/>
        <w:snapToGrid w:val="0"/>
        <w:spacing w:line="360" w:lineRule="auto"/>
        <w:jc w:val="both"/>
        <w:rPr>
          <w:rFonts w:ascii="Book Antiqua" w:hAnsi="Book Antiqua"/>
        </w:rPr>
      </w:pPr>
    </w:p>
    <w:p w14:paraId="4230BEDF"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ARTICLE HIGHLIGHTS</w:t>
      </w:r>
    </w:p>
    <w:p w14:paraId="631756F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117109E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Sepsis is a common disease in intensive care units, with high morbidity and mortality. Intestinal microecology plays a vital part in the development and progression of this disease, possibly because sepsis and its treatment cause specific changes to the intestinal flora. However, there are few studies on the sepsis-related intestinal flora and its dynamic changes. An improved understanding of the status and degree of intestinal flora disturbances in sepsis patients is of great significance, to allow for the accurate evaluation of the disease condition and prognosis and to optimize the treatment measures.</w:t>
      </w:r>
    </w:p>
    <w:p w14:paraId="38964653" w14:textId="77777777" w:rsidR="00011DC0" w:rsidRDefault="00011DC0">
      <w:pPr>
        <w:adjustRightInd w:val="0"/>
        <w:snapToGrid w:val="0"/>
        <w:spacing w:line="360" w:lineRule="auto"/>
        <w:jc w:val="both"/>
        <w:rPr>
          <w:rFonts w:ascii="Book Antiqua" w:hAnsi="Book Antiqua"/>
        </w:rPr>
      </w:pPr>
    </w:p>
    <w:p w14:paraId="7814C2B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4F7E6A7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Studies have shown a dose–response relationship between the degree of intestinal microecological disturbance and the incidence of subsequent severe sepsis. Critical illness leading to abnormal changes in the types, quantities, proportions, and locations of microorganisms in the intestinal flora may, thus, increase susceptibility to sepsis. Therefore, an improved understanding of the status and degree of intestinal flora disturbances in sepsis patients is of great clinical significance.</w:t>
      </w:r>
    </w:p>
    <w:p w14:paraId="3FC6AFBE" w14:textId="77777777" w:rsidR="00011DC0" w:rsidRDefault="00011DC0">
      <w:pPr>
        <w:adjustRightInd w:val="0"/>
        <w:snapToGrid w:val="0"/>
        <w:spacing w:line="360" w:lineRule="auto"/>
        <w:jc w:val="both"/>
        <w:rPr>
          <w:rFonts w:ascii="Book Antiqua" w:hAnsi="Book Antiqua"/>
        </w:rPr>
      </w:pPr>
    </w:p>
    <w:p w14:paraId="4450F06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70246EB8" w14:textId="76B65EDC"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main objective of this study was </w:t>
      </w:r>
      <w:r w:rsidR="00E20136">
        <w:rPr>
          <w:rFonts w:ascii="Book Antiqua" w:eastAsia="Book Antiqua" w:hAnsi="Book Antiqua" w:cs="Book Antiqua"/>
          <w:color w:val="000000"/>
        </w:rPr>
        <w:t xml:space="preserve">to </w:t>
      </w:r>
      <w:r>
        <w:rPr>
          <w:rFonts w:ascii="Book Antiqua" w:eastAsia="Book Antiqua" w:hAnsi="Book Antiqua" w:cs="Book Antiqua"/>
          <w:color w:val="000000"/>
        </w:rPr>
        <w:t>investigat</w:t>
      </w:r>
      <w:r w:rsidR="00E20136">
        <w:rPr>
          <w:rFonts w:ascii="Book Antiqua" w:eastAsia="Book Antiqua" w:hAnsi="Book Antiqua" w:cs="Book Antiqua"/>
          <w:color w:val="000000"/>
        </w:rPr>
        <w:t>e</w:t>
      </w:r>
      <w:r>
        <w:rPr>
          <w:rFonts w:ascii="Book Antiqua" w:eastAsia="Book Antiqua" w:hAnsi="Book Antiqua" w:cs="Book Antiqua"/>
          <w:color w:val="000000"/>
        </w:rPr>
        <w:t xml:space="preserve"> the characteristics of intestinal flora disturbance in sepsis patients treated with antibiotics. </w:t>
      </w:r>
    </w:p>
    <w:p w14:paraId="40B882FA" w14:textId="77777777" w:rsidR="00011DC0" w:rsidRDefault="00011DC0">
      <w:pPr>
        <w:adjustRightInd w:val="0"/>
        <w:snapToGrid w:val="0"/>
        <w:spacing w:line="360" w:lineRule="auto"/>
        <w:jc w:val="both"/>
        <w:rPr>
          <w:rFonts w:ascii="Book Antiqua" w:hAnsi="Book Antiqua"/>
        </w:rPr>
      </w:pPr>
    </w:p>
    <w:p w14:paraId="01858DA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7B9841E4" w14:textId="17C579D9"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enrolled </w:t>
      </w:r>
      <w:r w:rsidR="00E20136">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 sepsis admitted to the intensive care unit (ICU), </w:t>
      </w:r>
      <w:r w:rsidR="00E20136">
        <w:rPr>
          <w:rFonts w:ascii="Book Antiqua" w:eastAsia="Book Antiqua" w:hAnsi="Book Antiqua" w:cs="Book Antiqua"/>
          <w:color w:val="000000"/>
        </w:rPr>
        <w:t xml:space="preserve">ten </w:t>
      </w:r>
      <w:r>
        <w:rPr>
          <w:rFonts w:ascii="Book Antiqua" w:eastAsia="Book Antiqua" w:hAnsi="Book Antiqua" w:cs="Book Antiqua"/>
          <w:color w:val="000000"/>
        </w:rPr>
        <w:t xml:space="preserve">patients without sepsis admitted to the ICU in the same period, and </w:t>
      </w:r>
      <w:r w:rsidR="00E20136">
        <w:rPr>
          <w:rFonts w:ascii="Book Antiqua" w:eastAsia="Book Antiqua" w:hAnsi="Book Antiqua" w:cs="Book Antiqua"/>
          <w:color w:val="000000"/>
        </w:rPr>
        <w:t xml:space="preserve">ten </w:t>
      </w:r>
      <w:r>
        <w:rPr>
          <w:rFonts w:ascii="Book Antiqua" w:eastAsia="Book Antiqua" w:hAnsi="Book Antiqua" w:cs="Book Antiqua"/>
          <w:color w:val="000000"/>
        </w:rPr>
        <w:t xml:space="preserve">healthy individuals (sepsis group, non-sepsis group, and control group, respectively). Using </w:t>
      </w:r>
      <w:r>
        <w:rPr>
          <w:rFonts w:ascii="Book Antiqua" w:eastAsia="Book Antiqua" w:hAnsi="Book Antiqua" w:cs="Book Antiqua"/>
          <w:i/>
          <w:iCs/>
          <w:color w:val="000000"/>
        </w:rPr>
        <w:t>16S rRNA</w:t>
      </w:r>
      <w:r>
        <w:rPr>
          <w:rFonts w:ascii="Book Antiqua" w:eastAsia="Book Antiqua" w:hAnsi="Book Antiqua" w:cs="Book Antiqua"/>
          <w:color w:val="000000"/>
        </w:rPr>
        <w:t xml:space="preserve"> gene sequencing technology, the fecal samples of the three groups were analyzed, and the intestinal flora diversity, structure, and composition were compared. The fecal </w:t>
      </w:r>
      <w:r>
        <w:rPr>
          <w:rFonts w:ascii="Book Antiqua" w:eastAsia="Book Antiqua" w:hAnsi="Book Antiqua" w:cs="Book Antiqua"/>
          <w:color w:val="000000"/>
        </w:rPr>
        <w:lastRenderedPageBreak/>
        <w:t xml:space="preserve">samples of sepsis patients on days </w:t>
      </w:r>
      <w:r w:rsidR="00E20136">
        <w:rPr>
          <w:rFonts w:ascii="Book Antiqua" w:eastAsia="Book Antiqua" w:hAnsi="Book Antiqua" w:cs="Book Antiqua"/>
          <w:color w:val="000000"/>
        </w:rPr>
        <w:t>1</w:t>
      </w:r>
      <w:r>
        <w:rPr>
          <w:rFonts w:ascii="Book Antiqua" w:eastAsia="Book Antiqua" w:hAnsi="Book Antiqua" w:cs="Book Antiqua"/>
          <w:color w:val="000000"/>
        </w:rPr>
        <w:t xml:space="preserve">, </w:t>
      </w:r>
      <w:r w:rsidR="00E20136">
        <w:rPr>
          <w:rFonts w:ascii="Book Antiqua" w:eastAsia="Book Antiqua" w:hAnsi="Book Antiqua" w:cs="Book Antiqua"/>
          <w:color w:val="000000"/>
        </w:rPr>
        <w:t>3</w:t>
      </w:r>
      <w:r>
        <w:rPr>
          <w:rFonts w:ascii="Book Antiqua" w:eastAsia="Book Antiqua" w:hAnsi="Book Antiqua" w:cs="Book Antiqua"/>
          <w:color w:val="000000"/>
        </w:rPr>
        <w:t xml:space="preserve">, and </w:t>
      </w:r>
      <w:r w:rsidR="00E20136">
        <w:rPr>
          <w:rFonts w:ascii="Book Antiqua" w:eastAsia="Book Antiqua" w:hAnsi="Book Antiqua" w:cs="Book Antiqua"/>
          <w:color w:val="000000"/>
        </w:rPr>
        <w:t xml:space="preserve">7 </w:t>
      </w:r>
      <w:r>
        <w:rPr>
          <w:rFonts w:ascii="Book Antiqua" w:eastAsia="Book Antiqua" w:hAnsi="Book Antiqua" w:cs="Book Antiqua"/>
          <w:color w:val="000000"/>
        </w:rPr>
        <w:t xml:space="preserve">after ICU admittance were also analyzed, and the dynamics of the diversity, structure, and composition of the intestinal flora of sepsis patients were compared. Lastly,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 xml:space="preserve">-lactic acid were determined in sepsis patients on days </w:t>
      </w:r>
      <w:r w:rsidR="00E20136">
        <w:rPr>
          <w:rFonts w:ascii="Book Antiqua" w:eastAsia="Book Antiqua" w:hAnsi="Book Antiqua" w:cs="Book Antiqua"/>
          <w:color w:val="000000"/>
        </w:rPr>
        <w:t>1</w:t>
      </w:r>
      <w:r>
        <w:rPr>
          <w:rFonts w:ascii="Book Antiqua" w:eastAsia="Book Antiqua" w:hAnsi="Book Antiqua" w:cs="Book Antiqua"/>
          <w:color w:val="000000"/>
        </w:rPr>
        <w:t xml:space="preserve">, </w:t>
      </w:r>
      <w:r w:rsidR="00E20136">
        <w:rPr>
          <w:rFonts w:ascii="Book Antiqua" w:eastAsia="Book Antiqua" w:hAnsi="Book Antiqua" w:cs="Book Antiqua"/>
          <w:color w:val="000000"/>
        </w:rPr>
        <w:t>3</w:t>
      </w:r>
      <w:r>
        <w:rPr>
          <w:rFonts w:ascii="Book Antiqua" w:eastAsia="Book Antiqua" w:hAnsi="Book Antiqua" w:cs="Book Antiqua"/>
          <w:color w:val="000000"/>
        </w:rPr>
        <w:t xml:space="preserve">, and </w:t>
      </w:r>
      <w:r w:rsidR="00E20136">
        <w:rPr>
          <w:rFonts w:ascii="Book Antiqua" w:eastAsia="Book Antiqua" w:hAnsi="Book Antiqua" w:cs="Book Antiqua"/>
          <w:color w:val="000000"/>
        </w:rPr>
        <w:t xml:space="preserve">7 </w:t>
      </w:r>
      <w:r>
        <w:rPr>
          <w:rFonts w:ascii="Book Antiqua" w:eastAsia="Book Antiqua" w:hAnsi="Book Antiqua" w:cs="Book Antiqua"/>
          <w:color w:val="000000"/>
        </w:rPr>
        <w:t>after ICU admittance and correlated with the abundance of intestinal bacteria.</w:t>
      </w:r>
    </w:p>
    <w:p w14:paraId="1B24BC32" w14:textId="77777777" w:rsidR="00011DC0" w:rsidRDefault="00011DC0">
      <w:pPr>
        <w:adjustRightInd w:val="0"/>
        <w:snapToGrid w:val="0"/>
        <w:spacing w:line="360" w:lineRule="auto"/>
        <w:jc w:val="both"/>
        <w:rPr>
          <w:rFonts w:ascii="Book Antiqua" w:hAnsi="Book Antiqua"/>
        </w:rPr>
      </w:pPr>
    </w:p>
    <w:p w14:paraId="6B548CA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25A3B463" w14:textId="6B3CEC9F"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Sepsis patients showed a reduced intestinal flora α-diversity and a different flora structure, with Firmicutes as the dominant bacteria, and significantly decreased proportions of Bacteroidetes, as well as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w:t>
      </w:r>
      <w:r>
        <w:rPr>
          <w:rFonts w:ascii="Book Antiqua" w:eastAsia="Book Antiqua" w:hAnsi="Book Antiqua" w:cs="Book Antiqua"/>
          <w:i/>
          <w:iCs/>
          <w:color w:val="000000"/>
        </w:rPr>
        <w:t>Lachnospira</w:t>
      </w:r>
      <w:r>
        <w:rPr>
          <w:rFonts w:ascii="Book Antiqua" w:eastAsia="Book Antiqua" w:hAnsi="Book Antiqua" w:cs="Book Antiqua"/>
          <w:color w:val="000000"/>
        </w:rPr>
        <w:t xml:space="preserve">, and other genera.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was significantly increased in the intestinal tract of sepsis patients. Additionally, from days </w:t>
      </w:r>
      <w:r w:rsidR="00E20136">
        <w:rPr>
          <w:rFonts w:ascii="Book Antiqua" w:eastAsia="Book Antiqua" w:hAnsi="Book Antiqua" w:cs="Book Antiqua"/>
          <w:color w:val="000000"/>
        </w:rPr>
        <w:t xml:space="preserve">1 </w:t>
      </w:r>
      <w:r>
        <w:rPr>
          <w:rFonts w:ascii="Book Antiqua" w:eastAsia="Book Antiqua" w:hAnsi="Book Antiqua" w:cs="Book Antiqua"/>
          <w:color w:val="000000"/>
        </w:rPr>
        <w:t xml:space="preserve">to </w:t>
      </w:r>
      <w:r w:rsidR="00E20136">
        <w:rPr>
          <w:rFonts w:ascii="Book Antiqua" w:eastAsia="Book Antiqua" w:hAnsi="Book Antiqua" w:cs="Book Antiqua"/>
          <w:color w:val="000000"/>
        </w:rPr>
        <w:t xml:space="preserve">7 </w:t>
      </w:r>
      <w:r>
        <w:rPr>
          <w:rFonts w:ascii="Book Antiqua" w:eastAsia="Book Antiqua" w:hAnsi="Book Antiqua" w:cs="Book Antiqua"/>
          <w:color w:val="000000"/>
        </w:rPr>
        <w:t xml:space="preserve">of treatment, the α-diversity of the intestinal flora in the sepsis group decreased gradually, although without statistical significance. Of note, some harmful bacteria such as </w:t>
      </w:r>
      <w:r>
        <w:rPr>
          <w:rFonts w:ascii="Book Antiqua" w:eastAsia="Book Antiqua" w:hAnsi="Book Antiqua" w:cs="Book Antiqua"/>
          <w:i/>
          <w:iCs/>
          <w:color w:val="000000"/>
        </w:rPr>
        <w:t>Coprococcus</w:t>
      </w:r>
      <w:r>
        <w:rPr>
          <w:rFonts w:ascii="Book Antiqua" w:eastAsia="Book Antiqua" w:hAnsi="Book Antiqua" w:cs="Book Antiqua"/>
          <w:color w:val="000000"/>
        </w:rPr>
        <w:t xml:space="preserve"> disappeared, the abundance of beneficial bacteria such as </w:t>
      </w:r>
      <w:r>
        <w:rPr>
          <w:rFonts w:ascii="Book Antiqua" w:eastAsia="Book Antiqua" w:hAnsi="Book Antiqua" w:cs="Book Antiqua"/>
          <w:i/>
          <w:iCs/>
          <w:color w:val="000000"/>
        </w:rPr>
        <w:t>Prevotella</w:t>
      </w:r>
      <w:r>
        <w:rPr>
          <w:rFonts w:ascii="Book Antiqua" w:eastAsia="Book Antiqua" w:hAnsi="Book Antiqua" w:cs="Book Antiqua"/>
          <w:color w:val="000000"/>
        </w:rPr>
        <w:t xml:space="preserve"> and </w:t>
      </w:r>
      <w:r>
        <w:rPr>
          <w:rFonts w:ascii="Book Antiqua" w:eastAsia="Book Antiqua" w:hAnsi="Book Antiqua" w:cs="Book Antiqua"/>
          <w:i/>
          <w:iCs/>
          <w:color w:val="000000"/>
        </w:rPr>
        <w:t>Bifidobacterium</w:t>
      </w:r>
      <w:r>
        <w:rPr>
          <w:rFonts w:ascii="Book Antiqua" w:eastAsia="Book Antiqua" w:hAnsi="Book Antiqua" w:cs="Book Antiqua"/>
          <w:color w:val="000000"/>
        </w:rPr>
        <w:t xml:space="preserve"> decreased, while that of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and other genera increased. Interestingly, the serum levels of procalcitonin, endotoxin, diamine oxidase, and </w:t>
      </w:r>
      <w:r>
        <w:rPr>
          <w:rFonts w:ascii="Book Antiqua" w:eastAsia="Book Antiqua" w:hAnsi="Book Antiqua" w:cs="Book Antiqua"/>
          <w:smallCaps/>
          <w:color w:val="000000"/>
        </w:rPr>
        <w:t>D</w:t>
      </w:r>
      <w:r>
        <w:rPr>
          <w:rFonts w:ascii="Book Antiqua" w:eastAsia="Book Antiqua" w:hAnsi="Book Antiqua" w:cs="Book Antiqua"/>
          <w:color w:val="000000"/>
        </w:rPr>
        <w:t>-lactic acid in sepsis patients correlated with the abundance of various intestinal bacterial genera.</w:t>
      </w:r>
    </w:p>
    <w:p w14:paraId="144C00ED" w14:textId="77777777" w:rsidR="00011DC0" w:rsidRDefault="00011DC0">
      <w:pPr>
        <w:adjustRightInd w:val="0"/>
        <w:snapToGrid w:val="0"/>
        <w:spacing w:line="360" w:lineRule="auto"/>
        <w:jc w:val="both"/>
        <w:rPr>
          <w:rFonts w:ascii="Book Antiqua" w:hAnsi="Book Antiqua"/>
        </w:rPr>
      </w:pPr>
    </w:p>
    <w:p w14:paraId="42CC381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2F90F32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this study, we report the characteristics of sepsis intestinal flora disturbance and reveal, for the first time, the dynamic characteristics of the intestinal flora in sepsis patients under antibiotic treatment. Altogether, our results suggest that sepsis patients in the ICU show intestinal microecological disorders, lasting for at least 1 wk. </w:t>
      </w:r>
      <w:proofErr w:type="gramStart"/>
      <w:r>
        <w:rPr>
          <w:rFonts w:ascii="Book Antiqua" w:eastAsia="Book Antiqua" w:hAnsi="Book Antiqua" w:cs="Book Antiqua"/>
          <w:color w:val="000000"/>
        </w:rPr>
        <w:t>Importantly</w:t>
      </w:r>
      <w:proofErr w:type="gramEnd"/>
      <w:r>
        <w:rPr>
          <w:rFonts w:ascii="Book Antiqua" w:eastAsia="Book Antiqua" w:hAnsi="Book Antiqua" w:cs="Book Antiqua"/>
          <w:color w:val="000000"/>
        </w:rPr>
        <w:t>, we also show that the intestinal microecological disorder in sepsis patients is correlated with inflammation-related and intestinal barrier-related indexes. Of note, the sample size of this study was small, and thus, it is necessary to conduct larger and multicenter studies to support these findings.</w:t>
      </w:r>
    </w:p>
    <w:p w14:paraId="66CD9B86" w14:textId="77777777" w:rsidR="00011DC0" w:rsidRDefault="00011DC0">
      <w:pPr>
        <w:adjustRightInd w:val="0"/>
        <w:snapToGrid w:val="0"/>
        <w:spacing w:line="360" w:lineRule="auto"/>
        <w:jc w:val="both"/>
        <w:rPr>
          <w:rFonts w:ascii="Book Antiqua" w:hAnsi="Book Antiqua"/>
        </w:rPr>
      </w:pPr>
    </w:p>
    <w:p w14:paraId="78D45AE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i/>
          <w:color w:val="000000"/>
        </w:rPr>
        <w:lastRenderedPageBreak/>
        <w:t>Research perspectives</w:t>
      </w:r>
    </w:p>
    <w:p w14:paraId="05AFB64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We plan to carry out animal studies to clarify the molecular mechanisms of intestinal flora disturbance in sepsis.</w:t>
      </w:r>
    </w:p>
    <w:p w14:paraId="40F13097" w14:textId="77777777" w:rsidR="00011DC0" w:rsidRDefault="00011DC0">
      <w:pPr>
        <w:adjustRightInd w:val="0"/>
        <w:snapToGrid w:val="0"/>
        <w:spacing w:line="360" w:lineRule="auto"/>
        <w:jc w:val="both"/>
        <w:rPr>
          <w:rFonts w:ascii="Book Antiqua" w:hAnsi="Book Antiqua"/>
        </w:rPr>
      </w:pPr>
    </w:p>
    <w:p w14:paraId="7FE1E66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1851A7B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thank all the patients who participated in this study and the physicians in the Department of Critical Care Medicine, General Hospital, Ningxia Medical University. We also thank Shanghai Mobio Biomedical Technology Co. for technical support and to Ren HY for her help in writing the manuscript. </w:t>
      </w:r>
    </w:p>
    <w:p w14:paraId="0F9BA8F1" w14:textId="77777777" w:rsidR="00011DC0" w:rsidRDefault="00011DC0">
      <w:pPr>
        <w:adjustRightInd w:val="0"/>
        <w:snapToGrid w:val="0"/>
        <w:spacing w:line="360" w:lineRule="auto"/>
        <w:jc w:val="both"/>
        <w:rPr>
          <w:rFonts w:ascii="Book Antiqua" w:hAnsi="Book Antiqua"/>
        </w:rPr>
      </w:pPr>
    </w:p>
    <w:p w14:paraId="61ACE56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REFERENCES</w:t>
      </w:r>
    </w:p>
    <w:p w14:paraId="40E8FDE0" w14:textId="77777777" w:rsidR="00011DC0" w:rsidRDefault="00546129">
      <w:pPr>
        <w:adjustRightInd w:val="0"/>
        <w:snapToGrid w:val="0"/>
        <w:spacing w:line="360" w:lineRule="auto"/>
        <w:jc w:val="both"/>
        <w:rPr>
          <w:rFonts w:ascii="Book Antiqua" w:hAnsi="Book Antiqua"/>
        </w:rPr>
      </w:pPr>
      <w:bookmarkStart w:id="3" w:name="OLE_LINK2878"/>
      <w:r>
        <w:rPr>
          <w:rFonts w:ascii="Book Antiqua" w:eastAsia="Book Antiqua" w:hAnsi="Book Antiqua" w:cs="Book Antiqua"/>
          <w:color w:val="000000"/>
        </w:rPr>
        <w:t xml:space="preserve">1 </w:t>
      </w:r>
      <w:r>
        <w:rPr>
          <w:rFonts w:ascii="Book Antiqua" w:eastAsia="Book Antiqua" w:hAnsi="Book Antiqua" w:cs="Book Antiqua"/>
          <w:b/>
          <w:bCs/>
          <w:color w:val="000000"/>
        </w:rPr>
        <w:t>Vincent JL</w:t>
      </w:r>
      <w:r>
        <w:rPr>
          <w:rFonts w:ascii="Book Antiqua" w:eastAsia="Book Antiqua" w:hAnsi="Book Antiqua" w:cs="Book Antiqua"/>
          <w:color w:val="000000"/>
        </w:rPr>
        <w:t xml:space="preserve">, Opal SM, Marshall JC, Tracey KJ. Sepsis definitions: time for change.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381</w:t>
      </w:r>
      <w:r>
        <w:rPr>
          <w:rFonts w:ascii="Book Antiqua" w:eastAsia="Book Antiqua" w:hAnsi="Book Antiqua" w:cs="Book Antiqua"/>
          <w:color w:val="000000"/>
        </w:rPr>
        <w:t>: 774-775 [PMID: 23472921 DOI: 10.1016/S0140-6736(12)61815-7]</w:t>
      </w:r>
    </w:p>
    <w:p w14:paraId="45605E5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O'Hara AM</w:t>
      </w:r>
      <w:r>
        <w:rPr>
          <w:rFonts w:ascii="Book Antiqua" w:eastAsia="Book Antiqua" w:hAnsi="Book Antiqua" w:cs="Book Antiqua"/>
          <w:color w:val="000000"/>
        </w:rPr>
        <w:t xml:space="preserve">, Shanahan F. </w:t>
      </w:r>
      <w:proofErr w:type="gramStart"/>
      <w:r>
        <w:rPr>
          <w:rFonts w:ascii="Book Antiqua" w:eastAsia="Book Antiqua" w:hAnsi="Book Antiqua" w:cs="Book Antiqua"/>
          <w:color w:val="000000"/>
        </w:rPr>
        <w:t>The gut flora as a forgotten organ.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EMBO Rep</w:t>
      </w:r>
      <w:r>
        <w:rPr>
          <w:rFonts w:ascii="Book Antiqua" w:eastAsia="Book Antiqua" w:hAnsi="Book Antiqua" w:cs="Book Antiqua"/>
          <w:color w:val="000000"/>
        </w:rPr>
        <w:t xml:space="preserve"> 2006; </w:t>
      </w:r>
      <w:r>
        <w:rPr>
          <w:rFonts w:ascii="Book Antiqua" w:eastAsia="Book Antiqua" w:hAnsi="Book Antiqua" w:cs="Book Antiqua"/>
          <w:b/>
          <w:bCs/>
          <w:color w:val="000000"/>
        </w:rPr>
        <w:t>7</w:t>
      </w:r>
      <w:r>
        <w:rPr>
          <w:rFonts w:ascii="Book Antiqua" w:eastAsia="Book Antiqua" w:hAnsi="Book Antiqua" w:cs="Book Antiqua"/>
          <w:color w:val="000000"/>
        </w:rPr>
        <w:t>: 688-693 [PMID: 16819463 DOI: 10.1038/sj.embor.7400731]</w:t>
      </w:r>
    </w:p>
    <w:p w14:paraId="1D0FA232" w14:textId="77777777"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Clarke G</w:t>
      </w:r>
      <w:r>
        <w:rPr>
          <w:rFonts w:ascii="Book Antiqua" w:eastAsia="Book Antiqua" w:hAnsi="Book Antiqua" w:cs="Book Antiqua"/>
          <w:color w:val="000000"/>
        </w:rPr>
        <w:t>, Stilling RM, Kennedy PJ, Stanton C, Cryan JF, Dinan TG.</w:t>
      </w:r>
      <w:proofErr w:type="gramEnd"/>
      <w:r>
        <w:rPr>
          <w:rFonts w:ascii="Book Antiqua" w:eastAsia="Book Antiqua" w:hAnsi="Book Antiqua" w:cs="Book Antiqua"/>
          <w:color w:val="000000"/>
        </w:rPr>
        <w:t xml:space="preserve"> Minireview: Gut microbiota: the neglected endocrine organ. </w:t>
      </w:r>
      <w:r>
        <w:rPr>
          <w:rFonts w:ascii="Book Antiqua" w:eastAsia="Book Antiqua" w:hAnsi="Book Antiqua" w:cs="Book Antiqua"/>
          <w:i/>
          <w:iCs/>
          <w:color w:val="000000"/>
        </w:rPr>
        <w:t>Mol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1221-1238 [PMID: 24892638 DOI: 10.1210/me.2014-1108]</w:t>
      </w:r>
    </w:p>
    <w:p w14:paraId="7BCE1E4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McDonald D</w:t>
      </w:r>
      <w:r>
        <w:rPr>
          <w:rFonts w:ascii="Book Antiqua" w:eastAsia="Book Antiqua" w:hAnsi="Book Antiqua" w:cs="Book Antiqua"/>
          <w:color w:val="000000"/>
        </w:rPr>
        <w:t xml:space="preserve">, Ackermann G, Khailova L, Baird C, Heyland D, Kozar R, Lemieux M, Derenski K, King J, Vis-Kampen C, Knight R, Wischmeyer PE. </w:t>
      </w:r>
      <w:proofErr w:type="gramStart"/>
      <w:r>
        <w:rPr>
          <w:rFonts w:ascii="Book Antiqua" w:eastAsia="Book Antiqua" w:hAnsi="Book Antiqua" w:cs="Book Antiqua"/>
          <w:color w:val="000000"/>
        </w:rPr>
        <w:t>Extreme Dysbiosis of the Microbiome in Critical Illness.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mSphere</w:t>
      </w:r>
      <w:proofErr w:type="gramEnd"/>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xml:space="preserve"> [PMID: 27602409 DOI: 10.1128/mSphere.00199-16]</w:t>
      </w:r>
    </w:p>
    <w:p w14:paraId="2D6D240D" w14:textId="77777777"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Prescott HC</w:t>
      </w:r>
      <w:r>
        <w:rPr>
          <w:rFonts w:ascii="Book Antiqua" w:eastAsia="Book Antiqua" w:hAnsi="Book Antiqua" w:cs="Book Antiqua"/>
          <w:color w:val="000000"/>
        </w:rPr>
        <w:t>, Dickson RP, Rogers MA, Langa KM, Iwashyna TJ.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Hospitalization Type and Subsequent Severe Sepsis.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192</w:t>
      </w:r>
      <w:r>
        <w:rPr>
          <w:rFonts w:ascii="Book Antiqua" w:eastAsia="Book Antiqua" w:hAnsi="Book Antiqua" w:cs="Book Antiqua"/>
          <w:color w:val="000000"/>
        </w:rPr>
        <w:t>: 581-588 [PMID: 26016947 DOI: 10.1164/rccm.201503-0483OC]</w:t>
      </w:r>
    </w:p>
    <w:p w14:paraId="4F0CC37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Suau A</w:t>
      </w:r>
      <w:r>
        <w:rPr>
          <w:rFonts w:ascii="Book Antiqua" w:eastAsia="Book Antiqua" w:hAnsi="Book Antiqua" w:cs="Book Antiqua"/>
          <w:color w:val="000000"/>
        </w:rPr>
        <w:t xml:space="preserve">, Bonnet R, Sutren M, Godon JJ, Gibson GR, Collins MD, Doré J. Direct analysis of genes encoding 16S rRNA from complex communities reveals many novel molecular species within the human gut. </w:t>
      </w:r>
      <w:r>
        <w:rPr>
          <w:rFonts w:ascii="Book Antiqua" w:eastAsia="Book Antiqua" w:hAnsi="Book Antiqua" w:cs="Book Antiqua"/>
          <w:i/>
          <w:iCs/>
          <w:color w:val="000000"/>
        </w:rPr>
        <w:t>Appl Environ Microbiol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65</w:t>
      </w:r>
      <w:r>
        <w:rPr>
          <w:rFonts w:ascii="Book Antiqua" w:eastAsia="Book Antiqua" w:hAnsi="Book Antiqua" w:cs="Book Antiqua"/>
          <w:color w:val="000000"/>
        </w:rPr>
        <w:t>: 4799-4807 [PMID: 10543789 DOI: 10.1128/AEM.65.11.4799-4807.1999]</w:t>
      </w:r>
    </w:p>
    <w:p w14:paraId="37B4782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Bassetti M</w:t>
      </w:r>
      <w:r>
        <w:rPr>
          <w:rFonts w:ascii="Book Antiqua" w:eastAsia="Book Antiqua" w:hAnsi="Book Antiqua" w:cs="Book Antiqua"/>
          <w:color w:val="000000"/>
        </w:rPr>
        <w:t xml:space="preserve">, Vena A, Meroi M, Cardozo C, Cuervo G, Giacobbe DR, Salavert M, Merino P, Gioia F, Fernández-Ruiz M, López-Cortés LE, Almirante B, Escolà-Vergé L, Montejo M, Aguilar-Guisado M, Puerta-Alcalde P, Tasias M, Ruiz-Gaitán A, González F, Puig-Asensio M, Marco F, Pemán J, Fortún J, Aguado JM, Soriano A, Carratalá J, Garcia-Vidal C, Valerio M, Sartor A, Bouza E, Muñoz P. Factors associated with the development of septic shock in patients with candidemia: a post hoc analysis from two prospective cohorts.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117 [PMID: 32216822 DOI: 10.1186/s13054-020-2793-y]</w:t>
      </w:r>
    </w:p>
    <w:p w14:paraId="2172B05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Klingensmith NJ</w:t>
      </w:r>
      <w:r>
        <w:rPr>
          <w:rFonts w:ascii="Book Antiqua" w:eastAsia="Book Antiqua" w:hAnsi="Book Antiqua" w:cs="Book Antiqua"/>
          <w:color w:val="000000"/>
        </w:rPr>
        <w:t xml:space="preserve">, Coopersmith CM. The Gut as the Motor of Multiple Organ </w:t>
      </w:r>
      <w:proofErr w:type="gramStart"/>
      <w:r>
        <w:rPr>
          <w:rFonts w:ascii="Book Antiqua" w:eastAsia="Book Antiqua" w:hAnsi="Book Antiqua" w:cs="Book Antiqua"/>
          <w:color w:val="000000"/>
        </w:rPr>
        <w:t>Dysfunction</w:t>
      </w:r>
      <w:proofErr w:type="gramEnd"/>
      <w:r>
        <w:rPr>
          <w:rFonts w:ascii="Book Antiqua" w:eastAsia="Book Antiqua" w:hAnsi="Book Antiqua" w:cs="Book Antiqua"/>
          <w:color w:val="000000"/>
        </w:rPr>
        <w:t xml:space="preserve"> in Critical Illness. </w:t>
      </w:r>
      <w:r>
        <w:rPr>
          <w:rFonts w:ascii="Book Antiqua" w:eastAsia="Book Antiqua" w:hAnsi="Book Antiqua" w:cs="Book Antiqua"/>
          <w:i/>
          <w:iCs/>
          <w:color w:val="000000"/>
        </w:rPr>
        <w:t>Crit Care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203-212 [PMID: 27016162 DOI: 10.1016/j.ccc.2015.11.004]</w:t>
      </w:r>
    </w:p>
    <w:p w14:paraId="47E48FB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Shimizu K</w:t>
      </w:r>
      <w:r>
        <w:rPr>
          <w:rFonts w:ascii="Book Antiqua" w:eastAsia="Book Antiqua" w:hAnsi="Book Antiqua" w:cs="Book Antiqua"/>
          <w:color w:val="000000"/>
        </w:rPr>
        <w:t xml:space="preserve">, Ogura H, Goto M, Asahara T, Nomoto K, Morotomi M, Yoshiya K, Matsushima A, Sumi Y, Kuwagata Y, Tanaka H, Shimazu T, Sugimoto H. Altered gut flora and environment in patients with severe SIRS.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2006; </w:t>
      </w:r>
      <w:r>
        <w:rPr>
          <w:rFonts w:ascii="Book Antiqua" w:eastAsia="Book Antiqua" w:hAnsi="Book Antiqua" w:cs="Book Antiqua"/>
          <w:b/>
          <w:bCs/>
          <w:color w:val="000000"/>
        </w:rPr>
        <w:t>60</w:t>
      </w:r>
      <w:r>
        <w:rPr>
          <w:rFonts w:ascii="Book Antiqua" w:eastAsia="Book Antiqua" w:hAnsi="Book Antiqua" w:cs="Book Antiqua"/>
          <w:color w:val="000000"/>
        </w:rPr>
        <w:t>: 126-133 [PMID: 16456446 DOI: 10.1097/01.ta.0000197374.99755.fe]</w:t>
      </w:r>
    </w:p>
    <w:p w14:paraId="266B291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Lankelma JM</w:t>
      </w:r>
      <w:r>
        <w:rPr>
          <w:rFonts w:ascii="Book Antiqua" w:eastAsia="Book Antiqua" w:hAnsi="Book Antiqua" w:cs="Book Antiqua"/>
          <w:color w:val="000000"/>
        </w:rPr>
        <w:t xml:space="preserve">, van Vught LA, Belzer C, Schultz MJ, van der Poll T, de Vos WM, Wiersinga WJ. Critically ill patients demonstrate large interpersonal variation in intestinal microbiota dysregulation: a pilot study. </w:t>
      </w:r>
      <w:r>
        <w:rPr>
          <w:rFonts w:ascii="Book Antiqua" w:eastAsia="Book Antiqua" w:hAnsi="Book Antiqua" w:cs="Book Antiqua"/>
          <w:i/>
          <w:iCs/>
          <w:color w:val="000000"/>
        </w:rPr>
        <w:t>Intensive Care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43</w:t>
      </w:r>
      <w:r>
        <w:rPr>
          <w:rFonts w:ascii="Book Antiqua" w:eastAsia="Book Antiqua" w:hAnsi="Book Antiqua" w:cs="Book Antiqua"/>
          <w:color w:val="000000"/>
        </w:rPr>
        <w:t>: 59-68 [PMID: 27837233 DOI: 10.1007/s00134-016-4613-z]</w:t>
      </w:r>
    </w:p>
    <w:p w14:paraId="7814329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Winter SE</w:t>
      </w:r>
      <w:r>
        <w:rPr>
          <w:rFonts w:ascii="Book Antiqua" w:eastAsia="Book Antiqua" w:hAnsi="Book Antiqua" w:cs="Book Antiqua"/>
          <w:color w:val="000000"/>
        </w:rPr>
        <w:t xml:space="preserve">, Winter MG, Xavier MN, Thiennimitr P, Poon V, Keestra AM, Laughlin RC, Gomez G, Wu J, Lawhon SD, Popova IE, Parikh SJ, Adams LG, Tsolis RM, Stewart VJ, Bäumler AJ. Host-derived nitrate boosts growth of E. coli in the inflamed gut.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bCs/>
          <w:color w:val="000000"/>
        </w:rPr>
        <w:t>339</w:t>
      </w:r>
      <w:r>
        <w:rPr>
          <w:rFonts w:ascii="Book Antiqua" w:eastAsia="Book Antiqua" w:hAnsi="Book Antiqua" w:cs="Book Antiqua"/>
          <w:color w:val="000000"/>
        </w:rPr>
        <w:t>: 708-711 [PMID: 23393266 DOI: 10.1126/science.1232467]</w:t>
      </w:r>
    </w:p>
    <w:p w14:paraId="39E6BA6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Albenberg L</w:t>
      </w:r>
      <w:r>
        <w:rPr>
          <w:rFonts w:ascii="Book Antiqua" w:eastAsia="Book Antiqua" w:hAnsi="Book Antiqua" w:cs="Book Antiqua"/>
          <w:color w:val="000000"/>
        </w:rPr>
        <w:t xml:space="preserve">, Esipova TV, Judge CP, Bittinger K, Chen J, Laughlin A, Grunberg S, Baldassano RN, Lewis JD, Li H, Thom SR, Bushman FD, Vinogradov SA, Wu GD. Correlation between intraluminal oxygen gradient and radial partitioning of intestinal microbiota.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147</w:t>
      </w:r>
      <w:r>
        <w:rPr>
          <w:rFonts w:ascii="Book Antiqua" w:eastAsia="Book Antiqua" w:hAnsi="Book Antiqua" w:cs="Book Antiqua"/>
          <w:color w:val="000000"/>
        </w:rPr>
        <w:t>: 1055-63.e8 [PMID: 25046162 DOI: 10.1053/j.gastro.2014.07.020]</w:t>
      </w:r>
    </w:p>
    <w:p w14:paraId="6388F32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Lupp C</w:t>
      </w:r>
      <w:r>
        <w:rPr>
          <w:rFonts w:ascii="Book Antiqua" w:eastAsia="Book Antiqua" w:hAnsi="Book Antiqua" w:cs="Book Antiqua"/>
          <w:color w:val="000000"/>
        </w:rPr>
        <w:t xml:space="preserve">, Robertson ML, Wickham ME, Sekirov I, Champion OL, Gaynor EC, Finlay BB. Host-mediated inflammation disrupts the intestinal microbiota and promotes the overgrowth of Enterobacteriaceae.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2007; </w:t>
      </w:r>
      <w:r>
        <w:rPr>
          <w:rFonts w:ascii="Book Antiqua" w:eastAsia="Book Antiqua" w:hAnsi="Book Antiqua" w:cs="Book Antiqua"/>
          <w:b/>
          <w:bCs/>
          <w:color w:val="000000"/>
        </w:rPr>
        <w:t>2</w:t>
      </w:r>
      <w:r>
        <w:rPr>
          <w:rFonts w:ascii="Book Antiqua" w:eastAsia="Book Antiqua" w:hAnsi="Book Antiqua" w:cs="Book Antiqua"/>
          <w:color w:val="000000"/>
        </w:rPr>
        <w:t>: 119-129 [PMID: 18005726 DOI: 10.1016/j.chom.2007.06.010]</w:t>
      </w:r>
    </w:p>
    <w:p w14:paraId="17E4154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Honda K</w:t>
      </w:r>
      <w:r>
        <w:rPr>
          <w:rFonts w:ascii="Book Antiqua" w:eastAsia="Book Antiqua" w:hAnsi="Book Antiqua" w:cs="Book Antiqua"/>
          <w:color w:val="000000"/>
        </w:rPr>
        <w:t xml:space="preserve">, Littman DR. </w:t>
      </w:r>
      <w:proofErr w:type="gramStart"/>
      <w:r>
        <w:rPr>
          <w:rFonts w:ascii="Book Antiqua" w:eastAsia="Book Antiqua" w:hAnsi="Book Antiqua" w:cs="Book Antiqua"/>
          <w:color w:val="000000"/>
        </w:rPr>
        <w:t>The microbiome in infectious disease and inflammation.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Annu Rev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759-795 [PMID: 22224764 DOI: 10.1146/annurev-immunol-020711-074937]</w:t>
      </w:r>
    </w:p>
    <w:p w14:paraId="2411FC6C"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Grootjans J</w:t>
      </w:r>
      <w:r>
        <w:rPr>
          <w:rFonts w:ascii="Book Antiqua" w:eastAsia="Book Antiqua" w:hAnsi="Book Antiqua" w:cs="Book Antiqua"/>
          <w:color w:val="000000"/>
        </w:rPr>
        <w:t xml:space="preserve">, Lenaerts K, Derikx JP, Matthijsen RA, de Bruïne AP, van Bijnen AA, van Dam RM, Dejong CH, Buurman WA. Human intestinal ischemia-reperfusion-induced inflammation characterized: experiences from a new translational model.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176</w:t>
      </w:r>
      <w:r>
        <w:rPr>
          <w:rFonts w:ascii="Book Antiqua" w:eastAsia="Book Antiqua" w:hAnsi="Book Antiqua" w:cs="Book Antiqua"/>
          <w:color w:val="000000"/>
        </w:rPr>
        <w:t>: 2283-2291 [PMID: 20348235 DOI: 10.2353/ajpath.2010.091069]</w:t>
      </w:r>
    </w:p>
    <w:p w14:paraId="610D7FB8" w14:textId="77777777"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Haak BW</w:t>
      </w:r>
      <w:r>
        <w:rPr>
          <w:rFonts w:ascii="Book Antiqua" w:eastAsia="Book Antiqua" w:hAnsi="Book Antiqua" w:cs="Book Antiqua"/>
          <w:color w:val="000000"/>
        </w:rPr>
        <w:t>, Levi M, Wiersinga WJ.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Microbiota-targeted therapies on the intensive care unit.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Curr Opin 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167-174 [PMID: 28092309 DOI: 10.1097/MCC.0000000000000389]</w:t>
      </w:r>
    </w:p>
    <w:p w14:paraId="5DE9906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Lu Q</w:t>
      </w:r>
      <w:r>
        <w:rPr>
          <w:rFonts w:ascii="Book Antiqua" w:eastAsia="Book Antiqua" w:hAnsi="Book Antiqua" w:cs="Book Antiqua"/>
          <w:color w:val="000000"/>
        </w:rPr>
        <w:t xml:space="preserve">, Xu DZ, Sharpe S, Doucet D, Pisarenko V, Lee M, Deitch EA. The anatomic sites of disruption of the mucus layer directly correlate with areas of trauma/hemorrhagic shock-induced gut injury.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630-635 [PMID: 20664373 DOI: 10.1097/TA.0b013e3181e1221b]</w:t>
      </w:r>
    </w:p>
    <w:p w14:paraId="6456BCF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Rupani B</w:t>
      </w:r>
      <w:r>
        <w:rPr>
          <w:rFonts w:ascii="Book Antiqua" w:eastAsia="Book Antiqua" w:hAnsi="Book Antiqua" w:cs="Book Antiqua"/>
          <w:color w:val="000000"/>
        </w:rPr>
        <w:t xml:space="preserve">, Caputo FJ, Watkins AC, Vega D, Magnotti LJ, Lu Q, Xu DZ, Deitch EA. Relationship between disruption of the unstirred mucus layer and intestinal restitution in loss of gut barrier function after trauma hemorrhagic shock.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2007; </w:t>
      </w:r>
      <w:r>
        <w:rPr>
          <w:rFonts w:ascii="Book Antiqua" w:eastAsia="Book Antiqua" w:hAnsi="Book Antiqua" w:cs="Book Antiqua"/>
          <w:b/>
          <w:bCs/>
          <w:color w:val="000000"/>
        </w:rPr>
        <w:t>141</w:t>
      </w:r>
      <w:r>
        <w:rPr>
          <w:rFonts w:ascii="Book Antiqua" w:eastAsia="Book Antiqua" w:hAnsi="Book Antiqua" w:cs="Book Antiqua"/>
          <w:color w:val="000000"/>
        </w:rPr>
        <w:t>: 481-489 [PMID: 17383525 DOI: 10.1016/j.surg.2006.10.008]</w:t>
      </w:r>
    </w:p>
    <w:p w14:paraId="6E9BB32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Jandhyala SM</w:t>
      </w:r>
      <w:r>
        <w:rPr>
          <w:rFonts w:ascii="Book Antiqua" w:eastAsia="Book Antiqua" w:hAnsi="Book Antiqua" w:cs="Book Antiqua"/>
          <w:color w:val="000000"/>
        </w:rPr>
        <w:t xml:space="preserve">, Talukdar R, Subramanyam C, Vuyyuru H, Sasikala M, Nageshwar Reddy D. Role of the normal gut microbiota.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8787-8803 [PMID: 26269668 DOI: 10.3748/wjg.v21.i29.8787]</w:t>
      </w:r>
    </w:p>
    <w:p w14:paraId="6635E40B" w14:textId="5C73FB6B"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M</w:t>
      </w:r>
      <w:r w:rsidR="004A1436">
        <w:rPr>
          <w:rFonts w:ascii="Book Antiqua" w:eastAsia="Book Antiqua" w:hAnsi="Book Antiqua" w:cs="Book Antiqua"/>
          <w:b/>
          <w:bCs/>
          <w:color w:val="000000"/>
        </w:rPr>
        <w:t>a</w:t>
      </w:r>
      <w:r>
        <w:rPr>
          <w:rFonts w:ascii="Book Antiqua" w:eastAsia="Book Antiqua" w:hAnsi="Book Antiqua" w:cs="Book Antiqua"/>
          <w:b/>
          <w:bCs/>
          <w:color w:val="000000"/>
        </w:rPr>
        <w:t xml:space="preserve"> </w:t>
      </w:r>
      <w:r w:rsidR="004A1436">
        <w:rPr>
          <w:rFonts w:ascii="Book Antiqua" w:eastAsia="Book Antiqua" w:hAnsi="Book Antiqua" w:cs="Book Antiqua"/>
          <w:b/>
          <w:bCs/>
          <w:color w:val="000000"/>
        </w:rPr>
        <w:t>LQ</w:t>
      </w:r>
      <w:r w:rsidRPr="004A1436">
        <w:rPr>
          <w:rFonts w:ascii="Book Antiqua" w:eastAsia="Book Antiqua" w:hAnsi="Book Antiqua" w:cs="Book Antiqua"/>
          <w:color w:val="000000"/>
        </w:rPr>
        <w:t>,</w:t>
      </w:r>
      <w:r>
        <w:rPr>
          <w:rFonts w:ascii="Book Antiqua" w:eastAsia="Book Antiqua" w:hAnsi="Book Antiqua" w:cs="Book Antiqua"/>
          <w:color w:val="000000"/>
        </w:rPr>
        <w:t xml:space="preserve"> </w:t>
      </w:r>
      <w:r w:rsidR="004A1436">
        <w:rPr>
          <w:rFonts w:ascii="Book Antiqua" w:eastAsia="Book Antiqua" w:hAnsi="Book Antiqua" w:cs="Book Antiqua"/>
          <w:color w:val="000000"/>
        </w:rPr>
        <w:t>Chen</w:t>
      </w:r>
      <w:r>
        <w:rPr>
          <w:rFonts w:ascii="Book Antiqua" w:eastAsia="Book Antiqua" w:hAnsi="Book Antiqua" w:cs="Book Antiqua"/>
          <w:color w:val="000000"/>
        </w:rPr>
        <w:t xml:space="preserve"> D</w:t>
      </w:r>
      <w:r w:rsidR="004A1436">
        <w:rPr>
          <w:rFonts w:ascii="Book Antiqua" w:eastAsia="Book Antiqua" w:hAnsi="Book Antiqua" w:cs="Book Antiqua"/>
          <w:color w:val="000000"/>
        </w:rPr>
        <w:t>C</w:t>
      </w:r>
      <w:r>
        <w:rPr>
          <w:rFonts w:ascii="Book Antiqua" w:eastAsia="Book Antiqua" w:hAnsi="Book Antiqua" w:cs="Book Antiqua"/>
          <w:color w:val="000000"/>
        </w:rPr>
        <w:t>, L</w:t>
      </w:r>
      <w:r w:rsidR="004A1436">
        <w:rPr>
          <w:rFonts w:ascii="Book Antiqua" w:eastAsia="Book Antiqua" w:hAnsi="Book Antiqua" w:cs="Book Antiqua"/>
          <w:color w:val="000000"/>
        </w:rPr>
        <w:t>iu</w:t>
      </w:r>
      <w:r>
        <w:rPr>
          <w:rFonts w:ascii="Book Antiqua" w:eastAsia="Book Antiqua" w:hAnsi="Book Antiqua" w:cs="Book Antiqua"/>
          <w:color w:val="000000"/>
        </w:rPr>
        <w:t xml:space="preserve"> S. Selective action of broad-spectrum antibiotics on intestinal flora in sepsis in rats.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Zhongguo Weizhongbing Jijiuyixue</w:t>
      </w:r>
      <w:r>
        <w:rPr>
          <w:rFonts w:ascii="Book Antiqua" w:eastAsia="Book Antiqua" w:hAnsi="Book Antiqua" w:cs="Book Antiqua"/>
          <w:color w:val="000000"/>
        </w:rPr>
        <w:t xml:space="preserve"> 2007; </w:t>
      </w:r>
      <w:r>
        <w:rPr>
          <w:rFonts w:ascii="Book Antiqua" w:eastAsia="Book Antiqua" w:hAnsi="Book Antiqua" w:cs="Book Antiqua"/>
          <w:b/>
          <w:bCs/>
          <w:color w:val="000000"/>
        </w:rPr>
        <w:t>19</w:t>
      </w:r>
      <w:r>
        <w:rPr>
          <w:rFonts w:ascii="Book Antiqua" w:eastAsia="Book Antiqua" w:hAnsi="Book Antiqua" w:cs="Book Antiqua"/>
          <w:color w:val="000000"/>
        </w:rPr>
        <w:t>: 456-459 [DOI: 10.3760/j.issn:1003-0603.2007.08.003]</w:t>
      </w:r>
    </w:p>
    <w:p w14:paraId="3C7A6F6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Liu R</w:t>
      </w:r>
      <w:r>
        <w:rPr>
          <w:rFonts w:ascii="Book Antiqua" w:eastAsia="Book Antiqua" w:hAnsi="Book Antiqua" w:cs="Book Antiqua"/>
          <w:color w:val="000000"/>
        </w:rPr>
        <w:t xml:space="preserve">, Hong J, Xu X, Feng Q, Zhang D, Gu Y, Shi J, Zhao S, Liu W, Wang X, Xia H, Liu Z, Cui B, Liang P, Xi L, Jin J, Ying X, Wang X, Zhao X, Li W, Jia H, Lan Z, Li F, Wang R, Sun Y, Yang M, Shen Y, Jie Z, Li J, Chen X, Zhong H, Xie H, Zhang Y, Gu W, Deng X, Shen B, Xu X, Yang H, Xu G, Bi Y, Lai S, Wang J, Qi L, Madsen L, Wang J, Ning G, Kristiansen K, Wang W. Gut microbiome and serum metabolome alterations in obesity and after weight-loss intervention.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859-868 [PMID: 28628112 DOI: 10.1038/nm.4358]</w:t>
      </w:r>
    </w:p>
    <w:p w14:paraId="4010DAD3" w14:textId="77777777"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22 </w:t>
      </w:r>
      <w:r>
        <w:rPr>
          <w:rFonts w:ascii="Book Antiqua" w:eastAsia="Book Antiqua" w:hAnsi="Book Antiqua" w:cs="Book Antiqua"/>
          <w:b/>
          <w:bCs/>
          <w:color w:val="000000"/>
        </w:rPr>
        <w:t>Peterson CT</w:t>
      </w:r>
      <w:r>
        <w:rPr>
          <w:rFonts w:ascii="Book Antiqua" w:eastAsia="Book Antiqua" w:hAnsi="Book Antiqua" w:cs="Book Antiqua"/>
          <w:color w:val="000000"/>
        </w:rPr>
        <w:t>, Sharma V, Elmén L, Peterson SN.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Immune homeostasis, dysbiosis and therapeutic modulation of the gut microbiota.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179</w:t>
      </w:r>
      <w:r>
        <w:rPr>
          <w:rFonts w:ascii="Book Antiqua" w:eastAsia="Book Antiqua" w:hAnsi="Book Antiqua" w:cs="Book Antiqua"/>
          <w:color w:val="000000"/>
        </w:rPr>
        <w:t>: 363-377 [PMID: 25345825 DOI: 10.1111/cei.12474]</w:t>
      </w:r>
    </w:p>
    <w:p w14:paraId="61A795A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Le Chatelier E</w:t>
      </w:r>
      <w:r>
        <w:rPr>
          <w:rFonts w:ascii="Book Antiqua" w:eastAsia="Book Antiqua" w:hAnsi="Book Antiqua" w:cs="Book Antiqua"/>
          <w:color w:val="000000"/>
        </w:rPr>
        <w:t xml:space="preserve">, Nielsen T, Qin J, Prifti E, Hildebrand F, Falony G, Almeida M, Arumugam M, Batto JM, Kennedy S, Leonard P, Li J, Burgdorf K, Grarup N, Jørgensen T, Brandslund I, Nielsen HB, Juncker AS, Bertalan M, Levenez F, Pons N, Rasmussen S, Sunagawa S, Tap J, Tims S, Zoetendal EG, Brunak S, Clément K, Doré J, Kleerebezem M, Kristiansen K, Renault P, Sicheritz-Ponten T, de Vos WM, Zucker JD, Raes J, Hansen T; MetaHIT consortium, Bork P, Wang J, Ehrlich SD, Pedersen O. Richness of human gut microbiome correlates with metabolic markers.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2013; </w:t>
      </w:r>
      <w:r>
        <w:rPr>
          <w:rFonts w:ascii="Book Antiqua" w:eastAsia="Book Antiqua" w:hAnsi="Book Antiqua" w:cs="Book Antiqua"/>
          <w:b/>
          <w:bCs/>
          <w:color w:val="000000"/>
        </w:rPr>
        <w:t>500</w:t>
      </w:r>
      <w:r>
        <w:rPr>
          <w:rFonts w:ascii="Book Antiqua" w:eastAsia="Book Antiqua" w:hAnsi="Book Antiqua" w:cs="Book Antiqua"/>
          <w:color w:val="000000"/>
        </w:rPr>
        <w:t>: 541-546 [PMID: 23985870 DOI: 10.1038/nature12506]</w:t>
      </w:r>
    </w:p>
    <w:p w14:paraId="75255965" w14:textId="77777777" w:rsidR="00011DC0" w:rsidRDefault="00546129">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Yu E</w:t>
      </w:r>
      <w:r>
        <w:rPr>
          <w:rFonts w:ascii="Book Antiqua" w:eastAsia="Book Antiqua" w:hAnsi="Book Antiqua" w:cs="Book Antiqua"/>
          <w:color w:val="000000"/>
        </w:rPr>
        <w:t>, Malik VS, Hu FB.</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Cardiovascular Disease Prevention by Diet Modification.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2018;</w:t>
      </w:r>
      <w:r>
        <w:rPr>
          <w:rFonts w:ascii="Book Antiqua" w:eastAsia="Book Antiqua" w:hAnsi="Book Antiqua" w:cs="Book Antiqua"/>
          <w:b/>
          <w:bCs/>
          <w:color w:val="000000"/>
        </w:rPr>
        <w:t xml:space="preserve"> 72</w:t>
      </w:r>
      <w:r>
        <w:rPr>
          <w:rFonts w:ascii="Book Antiqua" w:eastAsia="Book Antiqua" w:hAnsi="Book Antiqua" w:cs="Book Antiqua"/>
          <w:color w:val="000000"/>
        </w:rPr>
        <w:t>: 914-926 [PMID: 30115231 DOI: 10.1016/j.jacc.2018.02.085]</w:t>
      </w:r>
    </w:p>
    <w:p w14:paraId="34E37233" w14:textId="77777777" w:rsidR="00011DC0" w:rsidRDefault="00546129">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r>
        <w:rPr>
          <w:rFonts w:ascii="Book Antiqua" w:eastAsia="Book Antiqua" w:hAnsi="Book Antiqua" w:cs="Book Antiqua"/>
          <w:b/>
          <w:bCs/>
          <w:color w:val="000000"/>
        </w:rPr>
        <w:t>Golucci APBS</w:t>
      </w:r>
      <w:r>
        <w:rPr>
          <w:rFonts w:ascii="Book Antiqua" w:eastAsia="Book Antiqua" w:hAnsi="Book Antiqua" w:cs="Book Antiqua"/>
          <w:color w:val="000000"/>
        </w:rPr>
        <w:t>, Marson F, Ribeiro AF, Nogueira RJN. Lipid profile associated with the systemic inflammatory response syndrome and sepsis in critically ill patients.</w:t>
      </w:r>
      <w:r>
        <w:rPr>
          <w:rFonts w:ascii="Book Antiqua" w:hAnsi="Book Antiqua"/>
        </w:rPr>
        <w:t xml:space="preserve"> </w:t>
      </w:r>
      <w:r>
        <w:rPr>
          <w:rFonts w:ascii="Book Antiqua" w:eastAsia="Book Antiqua" w:hAnsi="Book Antiqua" w:cs="Book Antiqua"/>
          <w:i/>
          <w:iCs/>
          <w:color w:val="000000"/>
        </w:rPr>
        <w:t>Nutrition</w:t>
      </w:r>
      <w:r>
        <w:rPr>
          <w:rFonts w:ascii="Book Antiqua" w:eastAsia="Book Antiqua" w:hAnsi="Book Antiqua" w:cs="Book Antiqua"/>
          <w:color w:val="000000"/>
        </w:rPr>
        <w:t xml:space="preserve"> 2018; </w:t>
      </w:r>
      <w:r>
        <w:rPr>
          <w:rFonts w:ascii="Book Antiqua" w:eastAsia="Book Antiqua" w:hAnsi="Book Antiqua" w:cs="Book Antiqua"/>
          <w:b/>
          <w:bCs/>
          <w:color w:val="000000"/>
        </w:rPr>
        <w:t>55-56</w:t>
      </w:r>
      <w:r>
        <w:rPr>
          <w:rFonts w:ascii="Book Antiqua" w:eastAsia="Book Antiqua" w:hAnsi="Book Antiqua" w:cs="Book Antiqua"/>
          <w:color w:val="000000"/>
        </w:rPr>
        <w:t>: 7-14 [PMID: 29960160 DOI: 10.1016/j.nut.2018.04.007]</w:t>
      </w:r>
    </w:p>
    <w:p w14:paraId="14A0E7C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Donohoe DR</w:t>
      </w:r>
      <w:r>
        <w:rPr>
          <w:rFonts w:ascii="Book Antiqua" w:eastAsia="Book Antiqua" w:hAnsi="Book Antiqua" w:cs="Book Antiqua"/>
          <w:color w:val="000000"/>
        </w:rPr>
        <w:t xml:space="preserve">, Garge N, Zhang X, Sun W, O'Connell TM, Bunger MK, Bultman SJ. The microbiome and butyrate regulate energy metabolism and autophagy in the mammalian colon.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517-526 [PMID: 21531334 DOI: 10.1016/j.cmet.2011.02.018]</w:t>
      </w:r>
    </w:p>
    <w:p w14:paraId="7BE830DA"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Seo B</w:t>
      </w:r>
      <w:r>
        <w:rPr>
          <w:rFonts w:ascii="Book Antiqua" w:eastAsia="Book Antiqua" w:hAnsi="Book Antiqua" w:cs="Book Antiqua"/>
          <w:color w:val="000000"/>
        </w:rPr>
        <w:t xml:space="preserve">, Jeon K, Moon S, Lee K, Kim WK, Jeong H, Cha KH, Lim MY, Kang W, Kweon MN, Sung J, Kim W, Park JH, Ko G. Roseburia spp. Abundance Associates with Alcohol </w:t>
      </w:r>
      <w:r>
        <w:rPr>
          <w:rFonts w:ascii="Book Antiqua" w:eastAsia="Book Antiqua" w:hAnsi="Book Antiqua" w:cs="Book Antiqua"/>
          <w:color w:val="000000"/>
        </w:rPr>
        <w:lastRenderedPageBreak/>
        <w:t xml:space="preserve">Consumption in Humans and Its Administration Ameliorates Alcoholic Fatty Liver in Mice.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25-40.e6 [PMID: 31866426 DOI: 10.1016/j.chom.2019.11.001]</w:t>
      </w:r>
    </w:p>
    <w:p w14:paraId="15A7158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Quan Y</w:t>
      </w:r>
      <w:r>
        <w:rPr>
          <w:rFonts w:ascii="Book Antiqua" w:eastAsia="Book Antiqua" w:hAnsi="Book Antiqua" w:cs="Book Antiqua"/>
          <w:color w:val="000000"/>
        </w:rPr>
        <w:t xml:space="preserve">, Song K, Zhang Y, Zhu C, Shen Z, Wu S, Luo W, Tan B, Yang Z, Wang X. Roseburia intestinalis-derived flagellin is a negative regulator of intestinal inflammation.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501</w:t>
      </w:r>
      <w:r>
        <w:rPr>
          <w:rFonts w:ascii="Book Antiqua" w:eastAsia="Book Antiqua" w:hAnsi="Book Antiqua" w:cs="Book Antiqua"/>
          <w:color w:val="000000"/>
        </w:rPr>
        <w:t>: 791-799 [PMID: 29772233 DOI: 10.1016/j.bbrc.2018.05.075]</w:t>
      </w:r>
    </w:p>
    <w:p w14:paraId="45F2B3E4"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Ananthakrishnan AN</w:t>
      </w:r>
      <w:r>
        <w:rPr>
          <w:rFonts w:ascii="Book Antiqua" w:eastAsia="Book Antiqua" w:hAnsi="Book Antiqua" w:cs="Book Antiqua"/>
          <w:color w:val="000000"/>
        </w:rPr>
        <w:t xml:space="preserve">, Luo C, Yajnik V, Khalili H, Garber JJ, Stevens BW, Cleland T, Xavier RJ. Gut Microbiome Function Predicts Response to Anti-integrin Biologic Therapy in Inflammatory Bowel Diseases.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603-610.e3 [PMID: 28494241 DOI: 10.1016/j.chom.2017.04.010]</w:t>
      </w:r>
    </w:p>
    <w:p w14:paraId="0AEBFA5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Ruff WE</w:t>
      </w:r>
      <w:r>
        <w:rPr>
          <w:rFonts w:ascii="Book Antiqua" w:eastAsia="Book Antiqua" w:hAnsi="Book Antiqua" w:cs="Book Antiqua"/>
          <w:color w:val="000000"/>
        </w:rPr>
        <w:t xml:space="preserve">, Dehner C, Kim WJ, Pagovich O, Aguiar CL, Yu AT, Roth AS, Vieira SM, Kriegel C, Adeniyi O, Mulla MJ, Abrahams VM, Kwok WW, Nussinov R, Erkan D, Goodman AL, Kriegel MA. </w:t>
      </w:r>
      <w:proofErr w:type="gramStart"/>
      <w:r>
        <w:rPr>
          <w:rFonts w:ascii="Book Antiqua" w:eastAsia="Book Antiqua" w:hAnsi="Book Antiqua" w:cs="Book Antiqua"/>
          <w:color w:val="000000"/>
        </w:rPr>
        <w:t>Pathogenic Autoreactive T and B Cells Cross-React with Mimotopes Expressed by a Common Human Gut Commensal to Trigger Autoimmunity.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100-113.e8 [PMID: 31227334 DOI: 10.1016/j.chom.2019.05.003]</w:t>
      </w:r>
    </w:p>
    <w:p w14:paraId="19F06EA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Hayakawa M</w:t>
      </w:r>
      <w:r>
        <w:rPr>
          <w:rFonts w:ascii="Book Antiqua" w:eastAsia="Book Antiqua" w:hAnsi="Book Antiqua" w:cs="Book Antiqua"/>
          <w:color w:val="000000"/>
        </w:rPr>
        <w:t xml:space="preserve">, Asahara T, Henzan N, Murakami H, Yamamoto H, Mukai N, Minami Y, Sugano M, Kubota N, Uegaki S, Kamoshida H, Sawamura A, Nomoto K, Gando S. Dramatic changes of the gut flora immediately after severe and sudden insults.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56</w:t>
      </w:r>
      <w:r>
        <w:rPr>
          <w:rFonts w:ascii="Book Antiqua" w:eastAsia="Book Antiqua" w:hAnsi="Book Antiqua" w:cs="Book Antiqua"/>
          <w:color w:val="000000"/>
        </w:rPr>
        <w:t>: 2361-2365 [PMID: 21384123 DOI: 10.1007/s10620-011-1649-3]</w:t>
      </w:r>
    </w:p>
    <w:p w14:paraId="37D26865"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Babrowski T</w:t>
      </w:r>
      <w:r>
        <w:rPr>
          <w:rFonts w:ascii="Book Antiqua" w:eastAsia="Book Antiqua" w:hAnsi="Book Antiqua" w:cs="Book Antiqua"/>
          <w:color w:val="000000"/>
        </w:rPr>
        <w:t xml:space="preserve">, Romanowski K, Fink D, Kim M, Gopalakrishnan V, Zaborina O, Alverdy JC. The intestinal environment of surgical injury transforms Pseudomonas aeruginosa into a discrete hypervirulent morphotype capable of causing lethal peritonitis.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2013; </w:t>
      </w:r>
      <w:r>
        <w:rPr>
          <w:rFonts w:ascii="Book Antiqua" w:eastAsia="Book Antiqua" w:hAnsi="Book Antiqua" w:cs="Book Antiqua"/>
          <w:b/>
          <w:bCs/>
          <w:color w:val="000000"/>
        </w:rPr>
        <w:t>153</w:t>
      </w:r>
      <w:r>
        <w:rPr>
          <w:rFonts w:ascii="Book Antiqua" w:eastAsia="Book Antiqua" w:hAnsi="Book Antiqua" w:cs="Book Antiqua"/>
          <w:color w:val="000000"/>
        </w:rPr>
        <w:t>: 36-43 [PMID: 22862900 DOI: 10.1016/j.surg.2012.06.022]</w:t>
      </w:r>
    </w:p>
    <w:bookmarkEnd w:id="3"/>
    <w:p w14:paraId="1DFBAF1A" w14:textId="77777777" w:rsidR="00011DC0" w:rsidRDefault="00011DC0">
      <w:pPr>
        <w:adjustRightInd w:val="0"/>
        <w:snapToGrid w:val="0"/>
        <w:spacing w:line="360" w:lineRule="auto"/>
        <w:jc w:val="both"/>
        <w:rPr>
          <w:rFonts w:ascii="Book Antiqua" w:hAnsi="Book Antiqua"/>
        </w:rPr>
        <w:sectPr w:rsidR="00011DC0">
          <w:pgSz w:w="12240" w:h="15840"/>
          <w:pgMar w:top="1440" w:right="1440" w:bottom="1440" w:left="1440" w:header="720" w:footer="720" w:gutter="0"/>
          <w:cols w:space="720"/>
          <w:docGrid w:linePitch="360"/>
        </w:sectPr>
      </w:pPr>
    </w:p>
    <w:p w14:paraId="5B794C1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767F6ED" w14:textId="68811228"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the General Hospital of Ningxia Medical University (Ethical Approval No. 2016-258).</w:t>
      </w:r>
    </w:p>
    <w:p w14:paraId="4A78B844" w14:textId="77777777" w:rsidR="00011DC0" w:rsidRDefault="00011DC0">
      <w:pPr>
        <w:adjustRightInd w:val="0"/>
        <w:snapToGrid w:val="0"/>
        <w:spacing w:line="360" w:lineRule="auto"/>
        <w:jc w:val="both"/>
        <w:rPr>
          <w:rFonts w:ascii="Book Antiqua" w:hAnsi="Book Antiqua"/>
        </w:rPr>
      </w:pPr>
    </w:p>
    <w:p w14:paraId="1441DE33"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all patients or their immediate family members.</w:t>
      </w:r>
    </w:p>
    <w:p w14:paraId="3DF607AB" w14:textId="77777777" w:rsidR="00011DC0" w:rsidRDefault="00011DC0">
      <w:pPr>
        <w:adjustRightInd w:val="0"/>
        <w:snapToGrid w:val="0"/>
        <w:spacing w:line="360" w:lineRule="auto"/>
        <w:jc w:val="both"/>
        <w:rPr>
          <w:rFonts w:ascii="Book Antiqua" w:hAnsi="Book Antiqua"/>
        </w:rPr>
      </w:pPr>
    </w:p>
    <w:p w14:paraId="22910D5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Yang XJ reports grants from Ministry of Science and Technology of the People's Republic of China, during the conduct of the study. Other authors have nothing to disclose.</w:t>
      </w:r>
    </w:p>
    <w:p w14:paraId="31BA148E" w14:textId="77777777" w:rsidR="00011DC0" w:rsidRDefault="00011DC0">
      <w:pPr>
        <w:adjustRightInd w:val="0"/>
        <w:snapToGrid w:val="0"/>
        <w:spacing w:line="360" w:lineRule="auto"/>
        <w:jc w:val="both"/>
        <w:rPr>
          <w:rFonts w:ascii="Book Antiqua" w:hAnsi="Book Antiqua"/>
        </w:rPr>
      </w:pPr>
    </w:p>
    <w:p w14:paraId="4AB363C7"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5F079B1D" w14:textId="77777777" w:rsidR="00011DC0" w:rsidRDefault="00011DC0">
      <w:pPr>
        <w:adjustRightInd w:val="0"/>
        <w:snapToGrid w:val="0"/>
        <w:spacing w:line="360" w:lineRule="auto"/>
        <w:jc w:val="both"/>
        <w:rPr>
          <w:rFonts w:ascii="Book Antiqua" w:hAnsi="Book Antiqua"/>
        </w:rPr>
      </w:pPr>
    </w:p>
    <w:p w14:paraId="41D68ED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F337A44" w14:textId="77777777" w:rsidR="00011DC0" w:rsidRDefault="00011DC0">
      <w:pPr>
        <w:adjustRightInd w:val="0"/>
        <w:snapToGrid w:val="0"/>
        <w:spacing w:line="360" w:lineRule="auto"/>
        <w:jc w:val="both"/>
        <w:rPr>
          <w:rFonts w:ascii="Book Antiqua" w:hAnsi="Book Antiqua"/>
        </w:rPr>
      </w:pPr>
    </w:p>
    <w:p w14:paraId="54E6759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3926FA" w14:textId="77777777" w:rsidR="00011DC0" w:rsidRDefault="00011DC0">
      <w:pPr>
        <w:adjustRightInd w:val="0"/>
        <w:snapToGrid w:val="0"/>
        <w:spacing w:line="360" w:lineRule="auto"/>
        <w:jc w:val="both"/>
        <w:rPr>
          <w:rFonts w:ascii="Book Antiqua" w:hAnsi="Book Antiqua"/>
        </w:rPr>
      </w:pPr>
    </w:p>
    <w:p w14:paraId="3398FC7E"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F1B460B" w14:textId="77777777" w:rsidR="00011DC0" w:rsidRDefault="00011DC0">
      <w:pPr>
        <w:adjustRightInd w:val="0"/>
        <w:snapToGrid w:val="0"/>
        <w:spacing w:line="360" w:lineRule="auto"/>
        <w:jc w:val="both"/>
        <w:rPr>
          <w:rFonts w:ascii="Book Antiqua" w:hAnsi="Book Antiqua"/>
        </w:rPr>
      </w:pPr>
    </w:p>
    <w:p w14:paraId="245AC66D"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2021</w:t>
      </w:r>
    </w:p>
    <w:p w14:paraId="497B007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February 10, 2021</w:t>
      </w:r>
    </w:p>
    <w:p w14:paraId="0ECCB569" w14:textId="3CCD6863"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1D2823" w:rsidRPr="001D206B">
        <w:rPr>
          <w:rFonts w:ascii="Book Antiqua" w:eastAsia="Book Antiqua" w:hAnsi="Book Antiqua" w:cs="Book Antiqua"/>
          <w:color w:val="000000"/>
        </w:rPr>
        <w:t>April 22, 2021</w:t>
      </w:r>
    </w:p>
    <w:p w14:paraId="5E584620" w14:textId="77777777" w:rsidR="00011DC0" w:rsidRDefault="00011DC0">
      <w:pPr>
        <w:adjustRightInd w:val="0"/>
        <w:snapToGrid w:val="0"/>
        <w:spacing w:line="360" w:lineRule="auto"/>
        <w:jc w:val="both"/>
        <w:rPr>
          <w:rFonts w:ascii="Book Antiqua" w:hAnsi="Book Antiqua"/>
        </w:rPr>
      </w:pPr>
    </w:p>
    <w:p w14:paraId="7B871050"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Infectious diseases</w:t>
      </w:r>
    </w:p>
    <w:p w14:paraId="0789D35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D7D50E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B956C68"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E6CBE5B"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B</w:t>
      </w:r>
    </w:p>
    <w:p w14:paraId="7CCF641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0</w:t>
      </w:r>
    </w:p>
    <w:p w14:paraId="3B401861"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24F42079"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448E96A0" w14:textId="77777777" w:rsidR="00011DC0" w:rsidRDefault="00011DC0">
      <w:pPr>
        <w:adjustRightInd w:val="0"/>
        <w:snapToGrid w:val="0"/>
        <w:spacing w:line="360" w:lineRule="auto"/>
        <w:jc w:val="both"/>
        <w:rPr>
          <w:rFonts w:ascii="Book Antiqua" w:hAnsi="Book Antiqua"/>
        </w:rPr>
      </w:pPr>
    </w:p>
    <w:p w14:paraId="2F2A6FDD" w14:textId="7249169C" w:rsidR="001D2823" w:rsidRPr="001D2823" w:rsidRDefault="00546129">
      <w:pPr>
        <w:adjustRightInd w:val="0"/>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Z</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E20136" w:rsidRPr="002148FE">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1D2823">
        <w:rPr>
          <w:rFonts w:ascii="Book Antiqua" w:hAnsi="Book Antiqua" w:cs="Book Antiqua" w:hint="eastAsia"/>
          <w:b/>
          <w:color w:val="000000"/>
          <w:lang w:eastAsia="zh-CN"/>
        </w:rPr>
        <w:t xml:space="preserve"> </w:t>
      </w:r>
      <w:r w:rsidR="001D2823" w:rsidRPr="001D2823">
        <w:rPr>
          <w:rFonts w:ascii="Book Antiqua" w:hAnsi="Book Antiqua" w:cs="Book Antiqua" w:hint="eastAsia"/>
          <w:color w:val="000000"/>
          <w:lang w:eastAsia="zh-CN"/>
        </w:rPr>
        <w:t>Liu JH</w:t>
      </w:r>
    </w:p>
    <w:p w14:paraId="2D355BB5" w14:textId="0A123938" w:rsidR="00011DC0" w:rsidRDefault="00546129">
      <w:pPr>
        <w:adjustRightInd w:val="0"/>
        <w:snapToGrid w:val="0"/>
        <w:spacing w:line="360" w:lineRule="auto"/>
        <w:jc w:val="both"/>
        <w:rPr>
          <w:rFonts w:ascii="Book Antiqua" w:hAnsi="Book Antiqua"/>
        </w:rPr>
        <w:sectPr w:rsidR="00011DC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730BF196" w14:textId="77777777" w:rsidR="00011DC0" w:rsidRDefault="00546129">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C400898" w14:textId="77777777" w:rsidR="00011DC0" w:rsidRDefault="00546129">
      <w:pPr>
        <w:pStyle w:val="1"/>
        <w:adjustRightInd w:val="0"/>
        <w:snapToGrid w:val="0"/>
        <w:ind w:firstLineChars="0" w:firstLine="0"/>
        <w:rPr>
          <w:rFonts w:ascii="Book Antiqua" w:eastAsia="宋体" w:hAnsi="Book Antiqua" w:cs="Times New Roman"/>
          <w:szCs w:val="24"/>
        </w:rPr>
      </w:pPr>
      <w:r>
        <w:rPr>
          <w:rFonts w:ascii="Book Antiqua" w:eastAsia="宋体" w:hAnsi="Book Antiqua" w:cs="Times New Roman"/>
          <w:noProof/>
          <w:szCs w:val="24"/>
        </w:rPr>
        <w:drawing>
          <wp:inline distT="0" distB="0" distL="0" distR="0" wp14:anchorId="591F0F89" wp14:editId="17A3D8E2">
            <wp:extent cx="5731510" cy="5841365"/>
            <wp:effectExtent l="0" t="0" r="254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841365"/>
                    </a:xfrm>
                    <a:prstGeom prst="rect">
                      <a:avLst/>
                    </a:prstGeom>
                  </pic:spPr>
                </pic:pic>
              </a:graphicData>
            </a:graphic>
          </wp:inline>
        </w:drawing>
      </w:r>
    </w:p>
    <w:p w14:paraId="2F9687DC" w14:textId="77777777" w:rsidR="00011DC0" w:rsidRDefault="00011DC0">
      <w:pPr>
        <w:pStyle w:val="1"/>
        <w:adjustRightInd w:val="0"/>
        <w:snapToGrid w:val="0"/>
        <w:ind w:firstLineChars="0" w:firstLine="0"/>
        <w:rPr>
          <w:rFonts w:ascii="Book Antiqua" w:eastAsia="宋体" w:hAnsi="Book Antiqua" w:cs="Times New Roman"/>
          <w:szCs w:val="24"/>
        </w:rPr>
      </w:pPr>
    </w:p>
    <w:p w14:paraId="3CE6D831" w14:textId="7C2BF78C" w:rsidR="00011DC0" w:rsidRDefault="00546129">
      <w:pPr>
        <w:pStyle w:val="1"/>
        <w:adjustRightInd w:val="0"/>
        <w:snapToGrid w:val="0"/>
        <w:ind w:firstLineChars="0" w:firstLine="0"/>
        <w:rPr>
          <w:rFonts w:ascii="Book Antiqua" w:eastAsia="宋体" w:hAnsi="Book Antiqua" w:cs="Times New Roman"/>
          <w:szCs w:val="24"/>
        </w:rPr>
      </w:pPr>
      <w:r>
        <w:rPr>
          <w:rFonts w:ascii="Book Antiqua" w:eastAsia="宋体" w:hAnsi="Book Antiqua" w:cs="Times New Roman"/>
          <w:b/>
          <w:bCs/>
          <w:szCs w:val="24"/>
        </w:rPr>
        <w:t xml:space="preserve">Figure 1 </w:t>
      </w:r>
      <w:bookmarkStart w:id="4" w:name="_Hlk57037557"/>
      <w:r>
        <w:rPr>
          <w:rFonts w:ascii="Book Antiqua" w:eastAsia="宋体" w:hAnsi="Book Antiqua" w:cs="Times New Roman"/>
          <w:b/>
          <w:bCs/>
          <w:szCs w:val="24"/>
        </w:rPr>
        <w:t>α-</w:t>
      </w:r>
      <w:r w:rsidR="00E20136">
        <w:rPr>
          <w:rFonts w:ascii="Book Antiqua" w:eastAsia="宋体" w:hAnsi="Book Antiqua" w:cs="Times New Roman"/>
          <w:b/>
          <w:bCs/>
          <w:szCs w:val="24"/>
        </w:rPr>
        <w:t xml:space="preserve">diversity </w:t>
      </w:r>
      <w:r>
        <w:rPr>
          <w:rFonts w:ascii="Book Antiqua" w:eastAsia="宋体" w:hAnsi="Book Antiqua" w:cs="Times New Roman"/>
          <w:b/>
          <w:bCs/>
          <w:szCs w:val="24"/>
        </w:rPr>
        <w:t>indexes of fecal microbiota in normal individuals, non-sepsis patients, and sepsis patients.</w:t>
      </w:r>
      <w:r>
        <w:rPr>
          <w:rFonts w:ascii="Book Antiqua" w:eastAsia="宋体" w:hAnsi="Book Antiqua" w:cs="Times New Roman"/>
          <w:szCs w:val="24"/>
        </w:rPr>
        <w:t xml:space="preserve"> A: ACE estimator; B: Chao 1 estimator; C: Shannon index; D: Simpson index.</w:t>
      </w:r>
      <w:bookmarkEnd w:id="4"/>
    </w:p>
    <w:p w14:paraId="7F009E66" w14:textId="77777777" w:rsidR="00011DC0" w:rsidRDefault="00011DC0">
      <w:pPr>
        <w:adjustRightInd w:val="0"/>
        <w:snapToGrid w:val="0"/>
        <w:spacing w:line="360" w:lineRule="auto"/>
        <w:ind w:firstLineChars="200" w:firstLine="482"/>
        <w:jc w:val="both"/>
        <w:rPr>
          <w:rFonts w:ascii="Book Antiqua" w:eastAsia="宋体" w:hAnsi="Book Antiqua"/>
          <w:b/>
          <w:bCs/>
        </w:rPr>
      </w:pPr>
    </w:p>
    <w:p w14:paraId="55C99DA6"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03C40EFA" wp14:editId="137F3B21">
            <wp:extent cx="3905885" cy="43643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6012" cy="4364736"/>
                    </a:xfrm>
                    <a:prstGeom prst="rect">
                      <a:avLst/>
                    </a:prstGeom>
                  </pic:spPr>
                </pic:pic>
              </a:graphicData>
            </a:graphic>
          </wp:inline>
        </w:drawing>
      </w:r>
    </w:p>
    <w:p w14:paraId="32B1C70B" w14:textId="43B65EA1"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Figure 2</w:t>
      </w:r>
      <w:r>
        <w:rPr>
          <w:rFonts w:ascii="Book Antiqua" w:eastAsia="宋体" w:hAnsi="Book Antiqua"/>
        </w:rPr>
        <w:t xml:space="preserve"> </w:t>
      </w:r>
      <w:bookmarkStart w:id="5" w:name="_Hlk57038925"/>
      <w:r>
        <w:rPr>
          <w:rFonts w:ascii="Book Antiqua" w:eastAsia="宋体" w:hAnsi="Book Antiqua"/>
          <w:b/>
          <w:bCs/>
        </w:rPr>
        <w:t xml:space="preserve">Principal </w:t>
      </w:r>
      <w:proofErr w:type="gramStart"/>
      <w:r>
        <w:rPr>
          <w:rFonts w:ascii="Book Antiqua" w:eastAsia="宋体" w:hAnsi="Book Antiqua"/>
          <w:b/>
          <w:bCs/>
        </w:rPr>
        <w:t>coordinate</w:t>
      </w:r>
      <w:proofErr w:type="gramEnd"/>
      <w:r>
        <w:rPr>
          <w:rFonts w:ascii="Book Antiqua" w:eastAsia="宋体" w:hAnsi="Book Antiqua"/>
          <w:b/>
          <w:bCs/>
        </w:rPr>
        <w:t xml:space="preserve"> analysis of intestinal flora among normal individuals, sepsis patients, and non-sepsis patients.</w:t>
      </w:r>
      <w:r>
        <w:rPr>
          <w:rFonts w:ascii="Book Antiqua" w:eastAsia="宋体" w:hAnsi="Book Antiqua"/>
          <w:bCs/>
          <w:lang w:eastAsia="zh-Hans"/>
        </w:rPr>
        <w:t xml:space="preserve"> Principal coordinate analysis </w:t>
      </w:r>
      <w:r>
        <w:rPr>
          <w:rFonts w:ascii="Book Antiqua" w:eastAsia="宋体" w:hAnsi="Book Antiqua"/>
          <w:bCs/>
        </w:rPr>
        <w:t>was</w:t>
      </w:r>
      <w:r>
        <w:rPr>
          <w:rFonts w:ascii="Book Antiqua" w:eastAsia="宋体" w:hAnsi="Book Antiqua"/>
          <w:bCs/>
          <w:lang w:eastAsia="zh-Hans"/>
        </w:rPr>
        <w:t xml:space="preserve"> plot</w:t>
      </w:r>
      <w:r>
        <w:rPr>
          <w:rFonts w:ascii="Book Antiqua" w:eastAsia="宋体" w:hAnsi="Book Antiqua"/>
          <w:bCs/>
        </w:rPr>
        <w:t>ted</w:t>
      </w:r>
      <w:r>
        <w:rPr>
          <w:rFonts w:ascii="Book Antiqua" w:eastAsia="宋体" w:hAnsi="Book Antiqua"/>
          <w:bCs/>
          <w:lang w:eastAsia="zh-Hans"/>
        </w:rPr>
        <w:t xml:space="preserve"> </w:t>
      </w:r>
      <w:r>
        <w:rPr>
          <w:rFonts w:ascii="Book Antiqua" w:eastAsia="宋体" w:hAnsi="Book Antiqua"/>
          <w:bCs/>
        </w:rPr>
        <w:t>based</w:t>
      </w:r>
      <w:r>
        <w:rPr>
          <w:rFonts w:ascii="Book Antiqua" w:eastAsia="宋体" w:hAnsi="Book Antiqua"/>
          <w:bCs/>
          <w:lang w:eastAsia="zh-Hans"/>
        </w:rPr>
        <w:t xml:space="preserve"> </w:t>
      </w:r>
      <w:r>
        <w:rPr>
          <w:rFonts w:ascii="Book Antiqua" w:eastAsia="宋体" w:hAnsi="Book Antiqua"/>
          <w:bCs/>
        </w:rPr>
        <w:t>on the</w:t>
      </w:r>
      <w:r>
        <w:rPr>
          <w:rFonts w:ascii="Book Antiqua" w:eastAsia="宋体" w:hAnsi="Book Antiqua"/>
          <w:bCs/>
          <w:lang w:eastAsia="zh-Hans"/>
        </w:rPr>
        <w:t xml:space="preserve"> </w:t>
      </w:r>
      <w:r>
        <w:rPr>
          <w:rFonts w:ascii="Book Antiqua" w:eastAsia="宋体" w:hAnsi="Book Antiqua"/>
          <w:bCs/>
        </w:rPr>
        <w:t>Bray–Curtis</w:t>
      </w:r>
      <w:r>
        <w:rPr>
          <w:rFonts w:ascii="Book Antiqua" w:eastAsia="宋体" w:hAnsi="Book Antiqua"/>
          <w:bCs/>
          <w:lang w:eastAsia="zh-Hans"/>
        </w:rPr>
        <w:t xml:space="preserve"> dissimilarity between samples. </w:t>
      </w:r>
      <w:r>
        <w:rPr>
          <w:rFonts w:ascii="Book Antiqua" w:eastAsia="宋体" w:hAnsi="Book Antiqua"/>
        </w:rPr>
        <w:t xml:space="preserve">The ellipses </w:t>
      </w:r>
      <w:r>
        <w:rPr>
          <w:rFonts w:ascii="Book Antiqua" w:eastAsia="宋体" w:hAnsi="Book Antiqua"/>
          <w:bCs/>
          <w:lang w:eastAsia="zh-Hans"/>
        </w:rPr>
        <w:t>highlight the clustering of the fecal microbiomes according to groups</w:t>
      </w:r>
      <w:r>
        <w:rPr>
          <w:rFonts w:ascii="Book Antiqua" w:eastAsia="宋体" w:hAnsi="Book Antiqua"/>
        </w:rPr>
        <w:t xml:space="preserve"> (red: </w:t>
      </w:r>
      <w:r w:rsidR="004A1436">
        <w:rPr>
          <w:rFonts w:ascii="Book Antiqua" w:eastAsia="宋体" w:hAnsi="Book Antiqua"/>
        </w:rPr>
        <w:t>H</w:t>
      </w:r>
      <w:r>
        <w:rPr>
          <w:rFonts w:ascii="Book Antiqua" w:eastAsia="宋体" w:hAnsi="Book Antiqua"/>
        </w:rPr>
        <w:t>ealthy control group</w:t>
      </w:r>
      <w:r w:rsidR="004A1436">
        <w:rPr>
          <w:rFonts w:ascii="Book Antiqua" w:eastAsia="宋体" w:hAnsi="Book Antiqua"/>
        </w:rPr>
        <w:t>;</w:t>
      </w:r>
      <w:r>
        <w:rPr>
          <w:rFonts w:ascii="Book Antiqua" w:eastAsia="宋体" w:hAnsi="Book Antiqua"/>
        </w:rPr>
        <w:t xml:space="preserve"> blue: </w:t>
      </w:r>
      <w:r w:rsidR="004A1436">
        <w:rPr>
          <w:rFonts w:ascii="Book Antiqua" w:eastAsia="宋体" w:hAnsi="Book Antiqua"/>
        </w:rPr>
        <w:t>N</w:t>
      </w:r>
      <w:r>
        <w:rPr>
          <w:rFonts w:ascii="Book Antiqua" w:eastAsia="宋体" w:hAnsi="Book Antiqua"/>
        </w:rPr>
        <w:t>on-sepsis group</w:t>
      </w:r>
      <w:r w:rsidR="004A1436">
        <w:rPr>
          <w:rFonts w:ascii="Book Antiqua" w:eastAsia="宋体" w:hAnsi="Book Antiqua"/>
        </w:rPr>
        <w:t>;</w:t>
      </w:r>
      <w:r>
        <w:rPr>
          <w:rFonts w:ascii="Book Antiqua" w:eastAsia="宋体" w:hAnsi="Book Antiqua"/>
        </w:rPr>
        <w:t xml:space="preserve"> green: </w:t>
      </w:r>
      <w:r w:rsidR="004A1436">
        <w:rPr>
          <w:rFonts w:ascii="Book Antiqua" w:eastAsia="宋体" w:hAnsi="Book Antiqua"/>
        </w:rPr>
        <w:t>D</w:t>
      </w:r>
      <w:r>
        <w:rPr>
          <w:rFonts w:ascii="Book Antiqua" w:eastAsia="宋体" w:hAnsi="Book Antiqua"/>
        </w:rPr>
        <w:t>ay 1 of sepsis).</w:t>
      </w:r>
      <w:bookmarkEnd w:id="5"/>
    </w:p>
    <w:p w14:paraId="692DAD6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1861983E" w14:textId="77777777" w:rsidR="00011DC0" w:rsidRDefault="00546129">
      <w:pPr>
        <w:pStyle w:val="1"/>
        <w:adjustRightInd w:val="0"/>
        <w:snapToGrid w:val="0"/>
        <w:ind w:firstLineChars="0" w:firstLine="0"/>
        <w:rPr>
          <w:rFonts w:ascii="Book Antiqua" w:eastAsia="宋体" w:hAnsi="Book Antiqua" w:cs="Times New Roman"/>
          <w:szCs w:val="24"/>
        </w:rPr>
      </w:pPr>
      <w:r>
        <w:rPr>
          <w:rFonts w:ascii="Book Antiqua" w:eastAsia="宋体" w:hAnsi="Book Antiqua" w:cs="Times New Roman"/>
          <w:noProof/>
          <w:szCs w:val="24"/>
        </w:rPr>
        <w:lastRenderedPageBreak/>
        <w:drawing>
          <wp:inline distT="0" distB="0" distL="0" distR="0" wp14:anchorId="130C1E35" wp14:editId="52EF9A17">
            <wp:extent cx="5617210" cy="20789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54483" cy="2093107"/>
                    </a:xfrm>
                    <a:prstGeom prst="rect">
                      <a:avLst/>
                    </a:prstGeom>
                    <a:noFill/>
                  </pic:spPr>
                </pic:pic>
              </a:graphicData>
            </a:graphic>
          </wp:inline>
        </w:drawing>
      </w:r>
    </w:p>
    <w:p w14:paraId="731A3DDD" w14:textId="7996023B" w:rsidR="00011DC0" w:rsidRDefault="00546129">
      <w:pPr>
        <w:adjustRightInd w:val="0"/>
        <w:snapToGrid w:val="0"/>
        <w:spacing w:line="360" w:lineRule="auto"/>
        <w:jc w:val="both"/>
        <w:rPr>
          <w:rFonts w:ascii="Book Antiqua" w:eastAsia="宋体" w:hAnsi="Book Antiqua"/>
          <w:b/>
          <w:bCs/>
          <w:lang w:eastAsia="zh-Hans"/>
        </w:rPr>
      </w:pPr>
      <w:r>
        <w:rPr>
          <w:rFonts w:ascii="Book Antiqua" w:eastAsia="宋体" w:hAnsi="Book Antiqua"/>
          <w:b/>
          <w:bCs/>
          <w:lang w:eastAsia="zh-Hans"/>
        </w:rPr>
        <w:t xml:space="preserve">Figure 3 </w:t>
      </w:r>
      <w:bookmarkStart w:id="6" w:name="_Hlk57043310"/>
      <w:r>
        <w:rPr>
          <w:rFonts w:ascii="Book Antiqua" w:eastAsia="宋体" w:hAnsi="Book Antiqua"/>
          <w:b/>
          <w:bCs/>
          <w:lang w:eastAsia="zh-Hans"/>
        </w:rPr>
        <w:t xml:space="preserve">Composition and comparison of the </w:t>
      </w:r>
      <w:r>
        <w:rPr>
          <w:rFonts w:ascii="Book Antiqua" w:eastAsia="宋体" w:hAnsi="Book Antiqua"/>
          <w:b/>
          <w:bCs/>
        </w:rPr>
        <w:t>fecal</w:t>
      </w:r>
      <w:r>
        <w:rPr>
          <w:rFonts w:ascii="Book Antiqua" w:eastAsia="宋体" w:hAnsi="Book Antiqua"/>
          <w:b/>
          <w:bCs/>
          <w:lang w:eastAsia="zh-Hans"/>
        </w:rPr>
        <w:t xml:space="preserve"> </w:t>
      </w:r>
      <w:r>
        <w:rPr>
          <w:rFonts w:ascii="Book Antiqua" w:eastAsia="宋体" w:hAnsi="Book Antiqua"/>
          <w:b/>
          <w:bCs/>
        </w:rPr>
        <w:t>microbiota</w:t>
      </w:r>
      <w:r>
        <w:rPr>
          <w:rFonts w:ascii="Book Antiqua" w:eastAsia="宋体" w:hAnsi="Book Antiqua"/>
          <w:b/>
          <w:bCs/>
          <w:lang w:eastAsia="zh-Hans"/>
        </w:rPr>
        <w:t xml:space="preserve"> </w:t>
      </w:r>
      <w:bookmarkEnd w:id="6"/>
      <w:r>
        <w:rPr>
          <w:rFonts w:ascii="Book Antiqua" w:eastAsia="宋体" w:hAnsi="Book Antiqua"/>
          <w:b/>
          <w:bCs/>
          <w:lang w:eastAsia="zh-Hans"/>
        </w:rPr>
        <w:t xml:space="preserve">among normal individuals, sepsis patients, and non-sepsis patients at the phylum level. </w:t>
      </w:r>
      <w:r>
        <w:rPr>
          <w:rFonts w:ascii="Book Antiqua" w:eastAsia="宋体" w:hAnsi="Book Antiqua"/>
          <w:lang w:eastAsia="zh-Hans"/>
        </w:rPr>
        <w:t xml:space="preserve">A: Composition of the fecal microbiota at the phylum </w:t>
      </w:r>
      <w:r>
        <w:rPr>
          <w:rFonts w:ascii="Book Antiqua" w:eastAsia="宋体" w:hAnsi="Book Antiqua"/>
        </w:rPr>
        <w:t>level</w:t>
      </w:r>
      <w:r>
        <w:rPr>
          <w:rFonts w:ascii="Book Antiqua" w:eastAsia="宋体" w:hAnsi="Book Antiqua"/>
          <w:lang w:eastAsia="zh-Hans"/>
        </w:rPr>
        <w:t xml:space="preserve"> among three groups; B: </w:t>
      </w:r>
      <w:bookmarkStart w:id="7" w:name="_Hlk57043487"/>
      <w:r>
        <w:rPr>
          <w:rFonts w:ascii="Book Antiqua" w:eastAsia="宋体" w:hAnsi="Book Antiqua"/>
          <w:lang w:eastAsia="zh-Hans"/>
        </w:rPr>
        <w:t xml:space="preserve">Comparison of the fecal microbiota at the phylum level among three groups. The average abundance of each phylum is depicted as </w:t>
      </w:r>
      <w:r w:rsidR="00E20136">
        <w:rPr>
          <w:rFonts w:ascii="Book Antiqua" w:eastAsia="宋体" w:hAnsi="Book Antiqua"/>
          <w:lang w:eastAsia="zh-Hans"/>
        </w:rPr>
        <w:t xml:space="preserve">the </w:t>
      </w:r>
      <w:r>
        <w:rPr>
          <w:rFonts w:ascii="Book Antiqua" w:eastAsia="宋体" w:hAnsi="Book Antiqua"/>
          <w:lang w:eastAsia="zh-Hans"/>
        </w:rPr>
        <w:t xml:space="preserve">mean ± SE. </w:t>
      </w:r>
      <w:r>
        <w:rPr>
          <w:rFonts w:ascii="Book Antiqua" w:eastAsia="宋体" w:hAnsi="Book Antiqua"/>
          <w:i/>
          <w:iCs/>
          <w:lang w:eastAsia="zh-Hans"/>
        </w:rPr>
        <w:t>P</w:t>
      </w:r>
      <w:r>
        <w:rPr>
          <w:rFonts w:ascii="Book Antiqua" w:eastAsia="宋体" w:hAnsi="Book Antiqua"/>
          <w:lang w:eastAsia="zh-Hans"/>
        </w:rPr>
        <w:t xml:space="preserve">-values were calculated using the Kruskal–Wallis rank-sum test: </w:t>
      </w:r>
      <w:proofErr w:type="gramStart"/>
      <w:r>
        <w:rPr>
          <w:rFonts w:ascii="Book Antiqua" w:eastAsia="宋体" w:hAnsi="Book Antiqua"/>
          <w:vertAlign w:val="superscript"/>
          <w:lang w:eastAsia="zh-Hans"/>
        </w:rPr>
        <w:t>a</w:t>
      </w:r>
      <w:r>
        <w:rPr>
          <w:rFonts w:ascii="Book Antiqua" w:eastAsia="宋体" w:hAnsi="Book Antiqua"/>
          <w:i/>
          <w:iCs/>
          <w:lang w:eastAsia="zh-Hans"/>
        </w:rPr>
        <w:t>P</w:t>
      </w:r>
      <w:proofErr w:type="gramEnd"/>
      <w:r>
        <w:rPr>
          <w:rFonts w:ascii="Book Antiqua" w:eastAsia="宋体" w:hAnsi="Book Antiqua"/>
          <w:lang w:eastAsia="zh-Hans"/>
        </w:rPr>
        <w:t xml:space="preserve"> &lt; 0.05, </w:t>
      </w:r>
      <w:r>
        <w:rPr>
          <w:rFonts w:ascii="Book Antiqua" w:eastAsia="宋体" w:hAnsi="Book Antiqua"/>
          <w:vertAlign w:val="superscript"/>
          <w:lang w:eastAsia="zh-Hans"/>
        </w:rPr>
        <w:t>b</w:t>
      </w:r>
      <w:r>
        <w:rPr>
          <w:rFonts w:ascii="Book Antiqua" w:eastAsia="宋体" w:hAnsi="Book Antiqua"/>
          <w:i/>
          <w:iCs/>
          <w:lang w:eastAsia="zh-Hans"/>
        </w:rPr>
        <w:t>P</w:t>
      </w:r>
      <w:r>
        <w:rPr>
          <w:rFonts w:ascii="Book Antiqua" w:eastAsia="宋体" w:hAnsi="Book Antiqua"/>
          <w:lang w:eastAsia="zh-Hans"/>
        </w:rPr>
        <w:t xml:space="preserve"> &lt; 0.01.</w:t>
      </w:r>
      <w:bookmarkEnd w:id="7"/>
    </w:p>
    <w:p w14:paraId="50C44218"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14286179" w14:textId="77777777" w:rsidR="00011DC0" w:rsidRDefault="00546129">
      <w:pPr>
        <w:adjustRightInd w:val="0"/>
        <w:snapToGrid w:val="0"/>
        <w:spacing w:line="360" w:lineRule="auto"/>
        <w:jc w:val="both"/>
        <w:rPr>
          <w:rFonts w:ascii="Book Antiqua" w:eastAsia="宋体" w:hAnsi="Book Antiqua"/>
          <w:b/>
          <w:bCs/>
        </w:rPr>
      </w:pPr>
      <w:r>
        <w:rPr>
          <w:noProof/>
          <w:lang w:eastAsia="zh-CN"/>
        </w:rPr>
        <w:lastRenderedPageBreak/>
        <w:drawing>
          <wp:inline distT="0" distB="0" distL="114300" distR="114300" wp14:anchorId="4CF73F18" wp14:editId="443C5449">
            <wp:extent cx="5934710" cy="2562860"/>
            <wp:effectExtent l="0" t="0" r="8890" b="1270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5934710" cy="2562860"/>
                    </a:xfrm>
                    <a:prstGeom prst="rect">
                      <a:avLst/>
                    </a:prstGeom>
                    <a:noFill/>
                    <a:ln>
                      <a:noFill/>
                    </a:ln>
                  </pic:spPr>
                </pic:pic>
              </a:graphicData>
            </a:graphic>
          </wp:inline>
        </w:drawing>
      </w:r>
    </w:p>
    <w:p w14:paraId="4CC49FB7" w14:textId="47213989" w:rsidR="0022778E" w:rsidRDefault="00546129">
      <w:pPr>
        <w:adjustRightInd w:val="0"/>
        <w:snapToGrid w:val="0"/>
        <w:spacing w:line="360" w:lineRule="auto"/>
        <w:jc w:val="both"/>
        <w:rPr>
          <w:rFonts w:ascii="Book Antiqua" w:eastAsia="宋体" w:hAnsi="Book Antiqua"/>
          <w:lang w:eastAsia="zh-CN"/>
        </w:rPr>
      </w:pPr>
      <w:r>
        <w:rPr>
          <w:rFonts w:ascii="Book Antiqua" w:eastAsia="宋体" w:hAnsi="Book Antiqua"/>
          <w:b/>
          <w:bCs/>
        </w:rPr>
        <w:t xml:space="preserve">Figure 4 Key phylotypes showing significant differences among normal individuals, sepsis patients, and non-sepsis patients. </w:t>
      </w:r>
      <w:r>
        <w:rPr>
          <w:rFonts w:ascii="Book Antiqua" w:eastAsia="宋体" w:hAnsi="Book Antiqua"/>
        </w:rPr>
        <w:t xml:space="preserve">A: Comparison of the fecal microbiota at the genus level among the three groups. The average abundance of each genus is depicted as the mean ± SE. </w:t>
      </w:r>
      <w:r>
        <w:rPr>
          <w:rFonts w:ascii="Book Antiqua" w:eastAsia="宋体" w:hAnsi="Book Antiqua"/>
          <w:i/>
          <w:iCs/>
        </w:rPr>
        <w:t>P</w:t>
      </w:r>
      <w:r>
        <w:rPr>
          <w:rFonts w:ascii="Book Antiqua" w:eastAsia="宋体" w:hAnsi="Book Antiqua"/>
        </w:rPr>
        <w:t xml:space="preserve">-values were calculated using the Kruskal–Wallis rank-sum test: </w:t>
      </w:r>
      <w:proofErr w:type="gramStart"/>
      <w:r>
        <w:rPr>
          <w:rFonts w:ascii="Book Antiqua" w:eastAsia="宋体" w:hAnsi="Book Antiqua"/>
          <w:vertAlign w:val="superscript"/>
        </w:rPr>
        <w:t>a</w:t>
      </w:r>
      <w:r>
        <w:rPr>
          <w:rFonts w:ascii="Book Antiqua" w:eastAsia="宋体" w:hAnsi="Book Antiqua"/>
          <w:i/>
          <w:iCs/>
        </w:rPr>
        <w:t>P</w:t>
      </w:r>
      <w:proofErr w:type="gramEnd"/>
      <w:r>
        <w:rPr>
          <w:rFonts w:ascii="Book Antiqua" w:eastAsia="宋体" w:hAnsi="Book Antiqua"/>
        </w:rPr>
        <w:t xml:space="preserve"> &lt; 0.05; </w:t>
      </w:r>
      <w:r>
        <w:rPr>
          <w:rFonts w:ascii="Book Antiqua" w:eastAsia="宋体" w:hAnsi="Book Antiqua"/>
          <w:vertAlign w:val="superscript"/>
        </w:rPr>
        <w:t>b</w:t>
      </w:r>
      <w:r>
        <w:rPr>
          <w:rFonts w:ascii="Book Antiqua" w:eastAsia="宋体" w:hAnsi="Book Antiqua"/>
          <w:i/>
          <w:iCs/>
        </w:rPr>
        <w:t>P</w:t>
      </w:r>
      <w:r>
        <w:rPr>
          <w:rFonts w:ascii="Book Antiqua" w:eastAsia="宋体" w:hAnsi="Book Antiqua"/>
        </w:rPr>
        <w:t xml:space="preserve"> &lt; 0.01,</w:t>
      </w:r>
      <w:r>
        <w:rPr>
          <w:rFonts w:ascii="Book Antiqua" w:hAnsi="Book Antiqua"/>
        </w:rPr>
        <w:t xml:space="preserve"> </w:t>
      </w:r>
      <w:r>
        <w:rPr>
          <w:rFonts w:ascii="Book Antiqua" w:eastAsia="宋体" w:hAnsi="Book Antiqua"/>
          <w:vertAlign w:val="superscript"/>
        </w:rPr>
        <w:t>c</w:t>
      </w:r>
      <w:r>
        <w:rPr>
          <w:rFonts w:ascii="Book Antiqua" w:eastAsia="宋体" w:hAnsi="Book Antiqua"/>
          <w:i/>
          <w:iCs/>
        </w:rPr>
        <w:t>P</w:t>
      </w:r>
      <w:r>
        <w:rPr>
          <w:rFonts w:ascii="Book Antiqua" w:eastAsia="宋体" w:hAnsi="Book Antiqua"/>
          <w:vertAlign w:val="superscript"/>
        </w:rPr>
        <w:t xml:space="preserve"> </w:t>
      </w:r>
      <w:r>
        <w:rPr>
          <w:rFonts w:ascii="Book Antiqua" w:eastAsia="宋体" w:hAnsi="Book Antiqua"/>
        </w:rPr>
        <w:t xml:space="preserve">&lt; 0.001; </w:t>
      </w:r>
      <w:r>
        <w:rPr>
          <w:rFonts w:ascii="Book Antiqua" w:eastAsia="宋体" w:hAnsi="Book Antiqua"/>
          <w:lang w:eastAsia="zh-Hans"/>
        </w:rPr>
        <w:t>B: Heatmap representing the relative abundance of differential operational taxonomic units (OTUs) among the three groups. The key OTUs whose relative abundance was above 1%,</w:t>
      </w:r>
      <w:bookmarkStart w:id="8" w:name="_Hlk57207643"/>
      <w:r>
        <w:rPr>
          <w:rFonts w:ascii="Book Antiqua" w:eastAsia="宋体" w:hAnsi="Book Antiqua"/>
          <w:lang w:eastAsia="zh-Hans"/>
        </w:rPr>
        <w:t xml:space="preserve"> as per random forest-based models</w:t>
      </w:r>
      <w:bookmarkEnd w:id="8"/>
      <w:r>
        <w:rPr>
          <w:rFonts w:ascii="Book Antiqua" w:eastAsia="宋体" w:hAnsi="Book Antiqua"/>
          <w:lang w:eastAsia="zh-Hans"/>
        </w:rPr>
        <w:t xml:space="preserve"> are displayed in the </w:t>
      </w:r>
      <w:r w:rsidR="007214CE">
        <w:rPr>
          <w:rFonts w:ascii="Book Antiqua" w:eastAsia="宋体" w:hAnsi="Book Antiqua"/>
          <w:lang w:eastAsia="zh-CN"/>
        </w:rPr>
        <w:t>“</w:t>
      </w:r>
      <w:r>
        <w:rPr>
          <w:rFonts w:ascii="Book Antiqua" w:eastAsia="宋体" w:hAnsi="Book Antiqua"/>
          <w:lang w:eastAsia="zh-Hans"/>
        </w:rPr>
        <w:t>figure</w:t>
      </w:r>
      <w:r w:rsidR="007214CE">
        <w:rPr>
          <w:rFonts w:ascii="Book Antiqua" w:eastAsia="宋体" w:hAnsi="Book Antiqua"/>
          <w:lang w:eastAsia="zh-CN"/>
        </w:rPr>
        <w:t>”</w:t>
      </w:r>
      <w:r>
        <w:rPr>
          <w:rFonts w:ascii="Book Antiqua" w:eastAsia="宋体" w:hAnsi="Book Antiqua"/>
          <w:lang w:eastAsia="zh-Hans"/>
        </w:rPr>
        <w:t>.</w:t>
      </w:r>
    </w:p>
    <w:p w14:paraId="6C300EC2" w14:textId="61DBEA9E"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0AB32456"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597A42D2" wp14:editId="42624503">
            <wp:extent cx="5731510" cy="60553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6055360"/>
                    </a:xfrm>
                    <a:prstGeom prst="rect">
                      <a:avLst/>
                    </a:prstGeom>
                  </pic:spPr>
                </pic:pic>
              </a:graphicData>
            </a:graphic>
          </wp:inline>
        </w:drawing>
      </w:r>
    </w:p>
    <w:p w14:paraId="1585B476" w14:textId="747C3B8C"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Figure 5 α-</w:t>
      </w:r>
      <w:r w:rsidR="00E20136">
        <w:rPr>
          <w:rFonts w:ascii="Book Antiqua" w:eastAsia="宋体" w:hAnsi="Book Antiqua"/>
          <w:b/>
          <w:bCs/>
        </w:rPr>
        <w:t xml:space="preserve">diversity </w:t>
      </w:r>
      <w:r>
        <w:rPr>
          <w:rFonts w:ascii="Book Antiqua" w:eastAsia="宋体" w:hAnsi="Book Antiqua"/>
          <w:b/>
          <w:bCs/>
        </w:rPr>
        <w:t xml:space="preserve">indexes of the fecal microbiota in sepsis patients on days 1, 3, and 7 after admission to the intensive care unit </w:t>
      </w:r>
      <w:r w:rsidRPr="002148FE">
        <w:rPr>
          <w:rFonts w:ascii="Book Antiqua" w:eastAsia="宋体" w:hAnsi="Book Antiqua"/>
          <w:b/>
          <w:bCs/>
          <w:i/>
        </w:rPr>
        <w:t>vs</w:t>
      </w:r>
      <w:r>
        <w:rPr>
          <w:rFonts w:ascii="Book Antiqua" w:eastAsia="宋体" w:hAnsi="Book Antiqua"/>
          <w:b/>
          <w:bCs/>
        </w:rPr>
        <w:t xml:space="preserve"> healthy individuals. </w:t>
      </w:r>
      <w:r>
        <w:rPr>
          <w:rFonts w:ascii="Book Antiqua" w:eastAsia="宋体" w:hAnsi="Book Antiqua"/>
        </w:rPr>
        <w:t>A: ACE estimator; B: Chao 1 estimator; C: Shannon index; D: Simpson index.</w:t>
      </w:r>
    </w:p>
    <w:p w14:paraId="4568D5B4" w14:textId="77777777" w:rsidR="00011DC0" w:rsidRDefault="00011DC0">
      <w:pPr>
        <w:adjustRightInd w:val="0"/>
        <w:snapToGrid w:val="0"/>
        <w:spacing w:line="360" w:lineRule="auto"/>
        <w:jc w:val="both"/>
        <w:rPr>
          <w:rFonts w:ascii="Book Antiqua" w:eastAsia="宋体" w:hAnsi="Book Antiqua"/>
        </w:rPr>
      </w:pPr>
    </w:p>
    <w:p w14:paraId="61DB3521"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4EFE4BF2" wp14:editId="0CB4642D">
            <wp:extent cx="5731510" cy="539623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396230"/>
                    </a:xfrm>
                    <a:prstGeom prst="rect">
                      <a:avLst/>
                    </a:prstGeom>
                  </pic:spPr>
                </pic:pic>
              </a:graphicData>
            </a:graphic>
          </wp:inline>
        </w:drawing>
      </w:r>
    </w:p>
    <w:p w14:paraId="31920B8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 xml:space="preserve">Figure 6 Principal coordinate analysis of the intestinal flora in sepsis patients on days 1, 3, and 7 after admission to the intensive care unit versus healthy individuals. </w:t>
      </w:r>
      <w:r>
        <w:rPr>
          <w:rFonts w:ascii="Book Antiqua" w:eastAsia="宋体" w:hAnsi="Book Antiqua"/>
        </w:rPr>
        <w:t>Principal coordinate analysis was plotted based on the Bray–Curtis dissimilarity between samples. The ellipses highlight the clustering of the fecal microbiomes according to the groups (red: Healthy control group; blue: Sepsis patients on day 1; green: Sepsis patients on day 3; yellow: Sepsis patients on day 7).</w:t>
      </w:r>
    </w:p>
    <w:p w14:paraId="4AD214E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br w:type="page"/>
      </w:r>
    </w:p>
    <w:p w14:paraId="78781B2F" w14:textId="77777777" w:rsidR="00011DC0" w:rsidRDefault="00546129">
      <w:pPr>
        <w:tabs>
          <w:tab w:val="left" w:pos="855"/>
        </w:tabs>
        <w:adjustRightInd w:val="0"/>
        <w:snapToGrid w:val="0"/>
        <w:spacing w:line="360" w:lineRule="auto"/>
        <w:jc w:val="both"/>
        <w:rPr>
          <w:rFonts w:ascii="Book Antiqua" w:eastAsia="宋体" w:hAnsi="Book Antiqua"/>
        </w:rPr>
      </w:pPr>
      <w:r>
        <w:rPr>
          <w:rFonts w:ascii="Book Antiqua" w:eastAsia="宋体" w:hAnsi="Book Antiqua"/>
          <w:noProof/>
          <w:lang w:eastAsia="zh-CN"/>
        </w:rPr>
        <w:lastRenderedPageBreak/>
        <w:drawing>
          <wp:inline distT="0" distB="0" distL="0" distR="0" wp14:anchorId="7F73BCFA" wp14:editId="1625D096">
            <wp:extent cx="2371725" cy="2893695"/>
            <wp:effectExtent l="0" t="0" r="952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93632" cy="2919719"/>
                    </a:xfrm>
                    <a:prstGeom prst="rect">
                      <a:avLst/>
                    </a:prstGeom>
                    <a:noFill/>
                  </pic:spPr>
                </pic:pic>
              </a:graphicData>
            </a:graphic>
          </wp:inline>
        </w:drawing>
      </w:r>
    </w:p>
    <w:p w14:paraId="32B7C84B" w14:textId="77777777" w:rsidR="00011DC0" w:rsidRDefault="00546129">
      <w:pPr>
        <w:tabs>
          <w:tab w:val="left" w:pos="855"/>
        </w:tabs>
        <w:adjustRightInd w:val="0"/>
        <w:snapToGrid w:val="0"/>
        <w:spacing w:line="360" w:lineRule="auto"/>
        <w:jc w:val="both"/>
        <w:rPr>
          <w:rFonts w:ascii="Book Antiqua" w:eastAsia="宋体" w:hAnsi="Book Antiqua"/>
          <w:b/>
          <w:bCs/>
        </w:rPr>
      </w:pPr>
      <w:r>
        <w:rPr>
          <w:rFonts w:ascii="Book Antiqua" w:eastAsia="宋体" w:hAnsi="Book Antiqua"/>
          <w:b/>
          <w:bCs/>
        </w:rPr>
        <w:t xml:space="preserve">Figure 7 Linear discriminant analysis scores indicating significant differences in the fecal microbiota between the sepsis patients within 1 wk after admission to the intensive care unit and the normal control group. </w:t>
      </w:r>
      <w:r>
        <w:rPr>
          <w:rFonts w:ascii="Book Antiqua" w:eastAsia="宋体" w:hAnsi="Book Antiqua"/>
        </w:rPr>
        <w:t>Red: Enriched taxa in the healthy control group; blue: Enriched taxa in sepsis patients on day 1; green: Enriched taxa in sepsis patients on day 3; yellow: Enriched taxa in sepsis patients on day 7.</w:t>
      </w:r>
    </w:p>
    <w:p w14:paraId="4F8BC694" w14:textId="77777777" w:rsidR="00011DC0" w:rsidRDefault="00546129">
      <w:pPr>
        <w:adjustRightInd w:val="0"/>
        <w:snapToGrid w:val="0"/>
        <w:spacing w:line="360" w:lineRule="auto"/>
        <w:jc w:val="both"/>
        <w:rPr>
          <w:rFonts w:ascii="Book Antiqua" w:eastAsia="宋体" w:hAnsi="Book Antiqua"/>
          <w:b/>
        </w:rPr>
      </w:pPr>
      <w:r>
        <w:rPr>
          <w:rFonts w:ascii="Book Antiqua" w:eastAsia="宋体" w:hAnsi="Book Antiqua"/>
          <w:b/>
        </w:rPr>
        <w:br w:type="page"/>
      </w:r>
    </w:p>
    <w:p w14:paraId="404DF3BB" w14:textId="77777777" w:rsidR="00011DC0" w:rsidRDefault="00546129">
      <w:pPr>
        <w:pStyle w:val="a6"/>
        <w:adjustRightInd w:val="0"/>
        <w:snapToGrid w:val="0"/>
        <w:rPr>
          <w:rFonts w:ascii="Book Antiqua" w:eastAsia="宋体" w:hAnsi="Book Antiqua" w:cs="Times New Roman"/>
          <w:b/>
          <w:sz w:val="24"/>
          <w:szCs w:val="24"/>
        </w:rPr>
      </w:pPr>
      <w:r>
        <w:rPr>
          <w:rFonts w:ascii="Book Antiqua" w:eastAsia="宋体" w:hAnsi="Book Antiqua" w:cs="Times New Roman"/>
          <w:b/>
          <w:noProof/>
          <w:sz w:val="24"/>
          <w:szCs w:val="24"/>
        </w:rPr>
        <w:lastRenderedPageBreak/>
        <w:drawing>
          <wp:inline distT="0" distB="0" distL="0" distR="0" wp14:anchorId="43BFD772" wp14:editId="31B8F8CC">
            <wp:extent cx="4465320" cy="3720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05122" cy="3753537"/>
                    </a:xfrm>
                    <a:prstGeom prst="rect">
                      <a:avLst/>
                    </a:prstGeom>
                    <a:noFill/>
                  </pic:spPr>
                </pic:pic>
              </a:graphicData>
            </a:graphic>
          </wp:inline>
        </w:drawing>
      </w:r>
    </w:p>
    <w:p w14:paraId="098C3038"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b/>
          <w:bCs/>
        </w:rPr>
        <w:t>Figure 8 Correlation between clinical indicators and abundance of fecal microbiota in sepsis patients.</w:t>
      </w:r>
      <w:r>
        <w:rPr>
          <w:rFonts w:ascii="Book Antiqua" w:eastAsia="宋体" w:hAnsi="Book Antiqua"/>
        </w:rPr>
        <w:t xml:space="preserve"> </w:t>
      </w:r>
      <w:proofErr w:type="gramStart"/>
      <w:r>
        <w:rPr>
          <w:rFonts w:ascii="Book Antiqua" w:eastAsia="宋体" w:hAnsi="Book Antiqua"/>
        </w:rPr>
        <w:t>Heatmap showing partial Spearman’s correlation coefficients among 30 genera and clinical indexes.</w:t>
      </w:r>
      <w:proofErr w:type="gramEnd"/>
      <w:r>
        <w:rPr>
          <w:rFonts w:ascii="Book Antiqua" w:eastAsia="宋体" w:hAnsi="Book Antiqua"/>
        </w:rPr>
        <w:t xml:space="preserve"> Connecting lines represent the correlation coefficient values above 0.4 (red, positive correlation) or below -0.4 (blue, negative correlation). Solid lines represent P ≤ 0.01. Dotted lines represent 0.01 &lt; </w:t>
      </w:r>
      <w:r>
        <w:rPr>
          <w:rFonts w:ascii="Book Antiqua" w:eastAsia="宋体" w:hAnsi="Book Antiqua"/>
          <w:i/>
          <w:iCs/>
        </w:rPr>
        <w:t>P</w:t>
      </w:r>
      <w:r>
        <w:rPr>
          <w:rFonts w:ascii="Book Antiqua" w:eastAsia="宋体" w:hAnsi="Book Antiqua"/>
        </w:rPr>
        <w:t xml:space="preserve"> ≤ 0.05. The intensity of shading in the circles is proportional to the magnitude of the association. In the figure, “day” indicates the collection time of stool samples from sepsis patients after admission to the</w:t>
      </w:r>
      <w:r>
        <w:t xml:space="preserve"> </w:t>
      </w:r>
      <w:r>
        <w:rPr>
          <w:rFonts w:ascii="Book Antiqua" w:eastAsia="宋体" w:hAnsi="Book Antiqua"/>
        </w:rPr>
        <w:t xml:space="preserve">intensive care unit </w:t>
      </w:r>
      <w:r>
        <w:rPr>
          <w:rFonts w:ascii="Book Antiqua" w:eastAsia="宋体" w:hAnsi="Book Antiqua" w:hint="eastAsia"/>
          <w:lang w:eastAsia="zh-CN"/>
        </w:rPr>
        <w:t>(</w:t>
      </w:r>
      <w:r>
        <w:rPr>
          <w:rFonts w:ascii="Book Antiqua" w:eastAsia="宋体" w:hAnsi="Book Antiqua"/>
        </w:rPr>
        <w:t xml:space="preserve">ICU) (days 1, 3, and 7 after </w:t>
      </w:r>
      <w:proofErr w:type="gramStart"/>
      <w:r>
        <w:rPr>
          <w:rFonts w:ascii="Book Antiqua" w:eastAsia="宋体" w:hAnsi="Book Antiqua"/>
        </w:rPr>
        <w:t>admission</w:t>
      </w:r>
      <w:proofErr w:type="gramEnd"/>
      <w:r>
        <w:rPr>
          <w:rFonts w:ascii="Book Antiqua" w:eastAsia="宋体" w:hAnsi="Book Antiqua"/>
        </w:rPr>
        <w:t xml:space="preserve"> to the ICU). </w:t>
      </w:r>
      <w:r>
        <w:rPr>
          <w:rFonts w:ascii="Book Antiqua" w:eastAsia="宋体" w:hAnsi="Book Antiqua"/>
          <w:smallCaps/>
        </w:rPr>
        <w:t>D</w:t>
      </w:r>
      <w:r>
        <w:rPr>
          <w:rFonts w:ascii="Book Antiqua" w:eastAsia="宋体" w:hAnsi="Book Antiqua"/>
        </w:rPr>
        <w:t xml:space="preserve">-Lac: </w:t>
      </w:r>
      <w:r>
        <w:rPr>
          <w:rFonts w:ascii="Book Antiqua" w:eastAsia="宋体" w:hAnsi="Book Antiqua"/>
          <w:smallCaps/>
        </w:rPr>
        <w:t>d</w:t>
      </w:r>
      <w:r>
        <w:rPr>
          <w:rFonts w:ascii="Book Antiqua" w:eastAsia="宋体" w:hAnsi="Book Antiqua"/>
        </w:rPr>
        <w:t>-lactic acid; PCT: Procalcitonin; DAO: Diamine oxidase.</w:t>
      </w:r>
    </w:p>
    <w:p w14:paraId="62227B4E" w14:textId="77777777" w:rsidR="00011DC0" w:rsidRDefault="00546129">
      <w:pPr>
        <w:adjustRightInd w:val="0"/>
        <w:snapToGrid w:val="0"/>
        <w:spacing w:line="360" w:lineRule="auto"/>
        <w:jc w:val="both"/>
        <w:rPr>
          <w:rFonts w:ascii="Book Antiqua" w:eastAsia="宋体" w:hAnsi="Book Antiqua"/>
          <w:bCs/>
          <w:shd w:val="clear" w:color="auto" w:fill="FFFFFF"/>
        </w:rPr>
      </w:pPr>
      <w:r>
        <w:rPr>
          <w:rFonts w:ascii="Book Antiqua" w:eastAsia="宋体" w:hAnsi="Book Antiqua"/>
          <w:bCs/>
          <w:shd w:val="clear" w:color="auto" w:fill="FFFFFF"/>
        </w:rPr>
        <w:br w:type="page"/>
      </w:r>
      <w:r>
        <w:rPr>
          <w:rFonts w:ascii="Book Antiqua" w:eastAsia="宋体" w:hAnsi="Book Antiqua"/>
          <w:b/>
          <w:bCs/>
        </w:rPr>
        <w:lastRenderedPageBreak/>
        <w:t>Table 1 Comparison of the general information among the three groups of individuals</w:t>
      </w:r>
    </w:p>
    <w:tbl>
      <w:tblPr>
        <w:tblpPr w:leftFromText="180" w:rightFromText="180" w:vertAnchor="text" w:horzAnchor="margin" w:tblpXSpec="center" w:tblpY="109"/>
        <w:tblOverlap w:val="never"/>
        <w:tblW w:w="939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93"/>
        <w:gridCol w:w="1703"/>
        <w:gridCol w:w="1807"/>
        <w:gridCol w:w="2140"/>
        <w:gridCol w:w="1380"/>
        <w:gridCol w:w="767"/>
      </w:tblGrid>
      <w:tr w:rsidR="00011DC0" w14:paraId="08C9503E" w14:textId="77777777">
        <w:trPr>
          <w:trHeight w:val="714"/>
        </w:trPr>
        <w:tc>
          <w:tcPr>
            <w:tcW w:w="1593" w:type="dxa"/>
            <w:tcBorders>
              <w:top w:val="single" w:sz="12" w:space="0" w:color="auto"/>
              <w:left w:val="nil"/>
              <w:bottom w:val="single" w:sz="12" w:space="0" w:color="auto"/>
              <w:right w:val="nil"/>
            </w:tcBorders>
            <w:vAlign w:val="center"/>
          </w:tcPr>
          <w:p w14:paraId="5FE14A8F" w14:textId="77777777" w:rsidR="00011DC0" w:rsidRDefault="00546129">
            <w:pPr>
              <w:adjustRightInd w:val="0"/>
              <w:snapToGrid w:val="0"/>
              <w:spacing w:line="360" w:lineRule="auto"/>
              <w:jc w:val="both"/>
              <w:rPr>
                <w:rFonts w:ascii="Book Antiqua" w:hAnsi="Book Antiqua"/>
                <w:b/>
                <w:bCs/>
              </w:rPr>
            </w:pPr>
            <w:r>
              <w:rPr>
                <w:rFonts w:ascii="Book Antiqua" w:hAnsi="Book Antiqua"/>
                <w:b/>
                <w:bCs/>
              </w:rPr>
              <w:t>Indicator</w:t>
            </w:r>
          </w:p>
        </w:tc>
        <w:tc>
          <w:tcPr>
            <w:tcW w:w="1703" w:type="dxa"/>
            <w:tcBorders>
              <w:top w:val="single" w:sz="12" w:space="0" w:color="auto"/>
              <w:left w:val="nil"/>
              <w:bottom w:val="single" w:sz="12" w:space="0" w:color="auto"/>
              <w:right w:val="nil"/>
            </w:tcBorders>
            <w:vAlign w:val="center"/>
          </w:tcPr>
          <w:p w14:paraId="5E43A0D7" w14:textId="555A14E1" w:rsidR="00011DC0" w:rsidRDefault="00546129">
            <w:pPr>
              <w:adjustRightInd w:val="0"/>
              <w:snapToGrid w:val="0"/>
              <w:spacing w:line="360" w:lineRule="auto"/>
              <w:jc w:val="both"/>
              <w:rPr>
                <w:rFonts w:ascii="Book Antiqua" w:hAnsi="Book Antiqua"/>
                <w:b/>
                <w:bCs/>
              </w:rPr>
            </w:pPr>
            <w:r>
              <w:rPr>
                <w:rFonts w:ascii="Book Antiqua" w:hAnsi="Book Antiqua"/>
                <w:b/>
                <w:bCs/>
              </w:rPr>
              <w:t>Control group</w:t>
            </w:r>
            <w:r w:rsidR="006760A6">
              <w:rPr>
                <w:rFonts w:ascii="Book Antiqua" w:hAnsi="Book Antiqua" w:hint="eastAsia"/>
                <w:b/>
                <w:bCs/>
                <w:lang w:eastAsia="zh-CN"/>
              </w:rPr>
              <w:t xml:space="preserve"> </w:t>
            </w:r>
            <w:r>
              <w:rPr>
                <w:rFonts w:ascii="Book Antiqua" w:hAnsi="Book Antiqua"/>
                <w:b/>
                <w:bCs/>
              </w:rPr>
              <w:t>(</w:t>
            </w:r>
            <w:r>
              <w:rPr>
                <w:rFonts w:ascii="Book Antiqua" w:hAnsi="Book Antiqua"/>
                <w:b/>
                <w:bCs/>
                <w:i/>
              </w:rPr>
              <w:t xml:space="preserve">n </w:t>
            </w:r>
            <w:r>
              <w:rPr>
                <w:rFonts w:ascii="Book Antiqua" w:hAnsi="Book Antiqua"/>
                <w:b/>
                <w:bCs/>
              </w:rPr>
              <w:t>= 10)</w:t>
            </w:r>
          </w:p>
        </w:tc>
        <w:tc>
          <w:tcPr>
            <w:tcW w:w="1807" w:type="dxa"/>
            <w:tcBorders>
              <w:top w:val="single" w:sz="12" w:space="0" w:color="auto"/>
              <w:left w:val="nil"/>
              <w:bottom w:val="single" w:sz="12" w:space="0" w:color="auto"/>
              <w:right w:val="nil"/>
            </w:tcBorders>
            <w:vAlign w:val="center"/>
          </w:tcPr>
          <w:p w14:paraId="7B18450A" w14:textId="3ADAC8CF" w:rsidR="00011DC0" w:rsidRDefault="00546129">
            <w:pPr>
              <w:adjustRightInd w:val="0"/>
              <w:snapToGrid w:val="0"/>
              <w:spacing w:line="360" w:lineRule="auto"/>
              <w:jc w:val="both"/>
              <w:rPr>
                <w:rFonts w:ascii="Book Antiqua" w:hAnsi="Book Antiqua"/>
                <w:b/>
                <w:bCs/>
              </w:rPr>
            </w:pPr>
            <w:r>
              <w:rPr>
                <w:rFonts w:ascii="Book Antiqua" w:hAnsi="Book Antiqua"/>
                <w:b/>
                <w:bCs/>
              </w:rPr>
              <w:t>Non-sepsis group</w:t>
            </w:r>
            <w:r w:rsidR="006760A6">
              <w:rPr>
                <w:rFonts w:ascii="Book Antiqua" w:hAnsi="Book Antiqua" w:hint="eastAsia"/>
                <w:b/>
                <w:bCs/>
                <w:lang w:eastAsia="zh-CN"/>
              </w:rPr>
              <w:t xml:space="preserve"> </w:t>
            </w:r>
            <w:r>
              <w:rPr>
                <w:rFonts w:ascii="Book Antiqua" w:hAnsi="Book Antiqua"/>
                <w:b/>
                <w:bCs/>
              </w:rPr>
              <w:t>(</w:t>
            </w:r>
            <w:r>
              <w:rPr>
                <w:rFonts w:ascii="Book Antiqua" w:hAnsi="Book Antiqua"/>
                <w:b/>
                <w:bCs/>
                <w:i/>
              </w:rPr>
              <w:t>n</w:t>
            </w:r>
            <w:r>
              <w:rPr>
                <w:rFonts w:ascii="Book Antiqua" w:hAnsi="Book Antiqua"/>
                <w:b/>
                <w:bCs/>
              </w:rPr>
              <w:t xml:space="preserve"> = 10)</w:t>
            </w:r>
          </w:p>
        </w:tc>
        <w:tc>
          <w:tcPr>
            <w:tcW w:w="2140" w:type="dxa"/>
            <w:tcBorders>
              <w:top w:val="single" w:sz="12" w:space="0" w:color="auto"/>
              <w:left w:val="nil"/>
              <w:bottom w:val="single" w:sz="12" w:space="0" w:color="auto"/>
              <w:right w:val="nil"/>
            </w:tcBorders>
            <w:vAlign w:val="center"/>
          </w:tcPr>
          <w:p w14:paraId="227551A0" w14:textId="6D51414A" w:rsidR="00011DC0" w:rsidRDefault="00546129">
            <w:pPr>
              <w:adjustRightInd w:val="0"/>
              <w:snapToGrid w:val="0"/>
              <w:spacing w:line="360" w:lineRule="auto"/>
              <w:jc w:val="both"/>
              <w:rPr>
                <w:rFonts w:ascii="Book Antiqua" w:hAnsi="Book Antiqua"/>
                <w:b/>
                <w:bCs/>
              </w:rPr>
            </w:pPr>
            <w:r>
              <w:rPr>
                <w:rFonts w:ascii="Book Antiqua" w:hAnsi="Book Antiqua"/>
                <w:b/>
                <w:bCs/>
              </w:rPr>
              <w:t>Sepsis group</w:t>
            </w:r>
            <w:r w:rsidR="006760A6">
              <w:rPr>
                <w:rFonts w:ascii="Book Antiqua" w:hAnsi="Book Antiqua" w:hint="eastAsia"/>
                <w:b/>
                <w:bCs/>
                <w:lang w:eastAsia="zh-CN"/>
              </w:rPr>
              <w:t xml:space="preserve"> </w:t>
            </w:r>
            <w:r>
              <w:rPr>
                <w:rFonts w:ascii="Book Antiqua" w:hAnsi="Book Antiqua"/>
                <w:b/>
                <w:bCs/>
              </w:rPr>
              <w:t>(</w:t>
            </w:r>
            <w:r>
              <w:rPr>
                <w:rFonts w:ascii="Book Antiqua" w:hAnsi="Book Antiqua"/>
                <w:b/>
                <w:bCs/>
                <w:i/>
              </w:rPr>
              <w:t>n</w:t>
            </w:r>
            <w:r>
              <w:rPr>
                <w:rFonts w:ascii="Book Antiqua" w:hAnsi="Book Antiqua"/>
                <w:b/>
                <w:bCs/>
              </w:rPr>
              <w:t xml:space="preserve"> = 10)</w:t>
            </w:r>
          </w:p>
        </w:tc>
        <w:tc>
          <w:tcPr>
            <w:tcW w:w="1380" w:type="dxa"/>
            <w:tcBorders>
              <w:top w:val="single" w:sz="12" w:space="0" w:color="auto"/>
              <w:left w:val="nil"/>
              <w:bottom w:val="single" w:sz="12" w:space="0" w:color="auto"/>
              <w:right w:val="nil"/>
            </w:tcBorders>
            <w:vAlign w:val="center"/>
          </w:tcPr>
          <w:p w14:paraId="09C93714" w14:textId="77777777" w:rsidR="00011DC0" w:rsidRDefault="00546129">
            <w:pPr>
              <w:pStyle w:val="a6"/>
              <w:adjustRightInd w:val="0"/>
              <w:snapToGrid w:val="0"/>
              <w:rPr>
                <w:rFonts w:ascii="Book Antiqua" w:hAnsi="Book Antiqua"/>
                <w:b/>
                <w:bCs/>
                <w:sz w:val="24"/>
                <w:szCs w:val="24"/>
              </w:rPr>
            </w:pPr>
            <w:r>
              <w:rPr>
                <w:rFonts w:ascii="Book Antiqua" w:hAnsi="Book Antiqua"/>
                <w:b/>
                <w:bCs/>
                <w:i/>
                <w:sz w:val="24"/>
                <w:szCs w:val="24"/>
              </w:rPr>
              <w:t>H</w:t>
            </w:r>
            <w:r w:rsidRPr="008A043D">
              <w:rPr>
                <w:rFonts w:ascii="Book Antiqua" w:hAnsi="Book Antiqua"/>
                <w:b/>
                <w:bCs/>
                <w:sz w:val="24"/>
                <w:szCs w:val="24"/>
              </w:rPr>
              <w:t>/</w:t>
            </w:r>
            <w:r>
              <w:rPr>
                <w:rFonts w:ascii="Book Antiqua" w:hAnsi="Book Antiqua"/>
                <w:b/>
                <w:bCs/>
                <w:i/>
                <w:sz w:val="24"/>
                <w:szCs w:val="24"/>
              </w:rPr>
              <w:t>F</w:t>
            </w:r>
            <w:r w:rsidRPr="008A043D">
              <w:rPr>
                <w:rFonts w:ascii="Book Antiqua" w:hAnsi="Book Antiqua"/>
                <w:b/>
                <w:bCs/>
                <w:sz w:val="24"/>
                <w:szCs w:val="24"/>
              </w:rPr>
              <w:t>/</w:t>
            </w:r>
            <w:r>
              <w:rPr>
                <w:rFonts w:ascii="Book Antiqua" w:hAnsi="Book Antiqua"/>
                <w:b/>
                <w:bCs/>
                <w:i/>
                <w:sz w:val="24"/>
                <w:szCs w:val="24"/>
              </w:rPr>
              <w:t>χ</w:t>
            </w:r>
            <w:r w:rsidRPr="008A043D">
              <w:rPr>
                <w:rFonts w:ascii="Book Antiqua" w:hAnsi="Book Antiqua"/>
                <w:b/>
                <w:bCs/>
                <w:sz w:val="24"/>
                <w:szCs w:val="24"/>
                <w:vertAlign w:val="superscript"/>
              </w:rPr>
              <w:t>2</w:t>
            </w:r>
            <w:r w:rsidRPr="008A043D">
              <w:rPr>
                <w:rFonts w:ascii="Book Antiqua" w:hAnsi="Book Antiqua"/>
                <w:b/>
                <w:bCs/>
                <w:sz w:val="24"/>
                <w:szCs w:val="24"/>
              </w:rPr>
              <w:t>/</w:t>
            </w:r>
            <w:r>
              <w:rPr>
                <w:rFonts w:ascii="Book Antiqua" w:hAnsi="Book Antiqua"/>
                <w:b/>
                <w:bCs/>
                <w:i/>
                <w:sz w:val="24"/>
                <w:szCs w:val="24"/>
              </w:rPr>
              <w:t>Z</w:t>
            </w:r>
            <w:r w:rsidRPr="008A043D">
              <w:rPr>
                <w:rFonts w:ascii="Book Antiqua" w:hAnsi="Book Antiqua"/>
                <w:b/>
                <w:bCs/>
                <w:sz w:val="24"/>
                <w:szCs w:val="24"/>
              </w:rPr>
              <w:t>/</w:t>
            </w:r>
            <w:r>
              <w:rPr>
                <w:rFonts w:ascii="Book Antiqua" w:hAnsi="Book Antiqua"/>
                <w:b/>
                <w:bCs/>
                <w:i/>
                <w:sz w:val="24"/>
                <w:szCs w:val="24"/>
              </w:rPr>
              <w:t>t</w:t>
            </w:r>
            <w:r>
              <w:rPr>
                <w:rFonts w:ascii="Book Antiqua" w:hAnsi="Book Antiqua"/>
                <w:b/>
                <w:bCs/>
                <w:sz w:val="24"/>
                <w:szCs w:val="24"/>
              </w:rPr>
              <w:t xml:space="preserve"> value</w:t>
            </w:r>
          </w:p>
        </w:tc>
        <w:tc>
          <w:tcPr>
            <w:tcW w:w="767" w:type="dxa"/>
            <w:tcBorders>
              <w:top w:val="single" w:sz="12" w:space="0" w:color="auto"/>
              <w:left w:val="nil"/>
              <w:bottom w:val="single" w:sz="12" w:space="0" w:color="auto"/>
              <w:right w:val="nil"/>
            </w:tcBorders>
            <w:vAlign w:val="center"/>
          </w:tcPr>
          <w:p w14:paraId="0752A67A" w14:textId="77777777" w:rsidR="00011DC0" w:rsidRDefault="00546129">
            <w:pPr>
              <w:adjustRightInd w:val="0"/>
              <w:snapToGrid w:val="0"/>
              <w:spacing w:line="360" w:lineRule="auto"/>
              <w:jc w:val="both"/>
              <w:rPr>
                <w:rFonts w:ascii="Book Antiqua" w:hAnsi="Book Antiqua"/>
                <w:b/>
                <w:bCs/>
              </w:rPr>
            </w:pPr>
            <w:r>
              <w:rPr>
                <w:rFonts w:ascii="Book Antiqua" w:hAnsi="Book Antiqua"/>
                <w:b/>
                <w:bCs/>
                <w:i/>
              </w:rPr>
              <w:t>P</w:t>
            </w:r>
            <w:r>
              <w:rPr>
                <w:rFonts w:ascii="Book Antiqua" w:hAnsi="Book Antiqua"/>
                <w:b/>
                <w:bCs/>
              </w:rPr>
              <w:t xml:space="preserve"> value</w:t>
            </w:r>
          </w:p>
        </w:tc>
      </w:tr>
      <w:tr w:rsidR="00011DC0" w14:paraId="0015E6F0" w14:textId="77777777">
        <w:trPr>
          <w:trHeight w:val="639"/>
        </w:trPr>
        <w:tc>
          <w:tcPr>
            <w:tcW w:w="1593" w:type="dxa"/>
            <w:tcBorders>
              <w:top w:val="single" w:sz="12" w:space="0" w:color="auto"/>
              <w:left w:val="nil"/>
              <w:bottom w:val="nil"/>
              <w:right w:val="nil"/>
            </w:tcBorders>
            <w:vAlign w:val="center"/>
          </w:tcPr>
          <w:p w14:paraId="2E181DA9" w14:textId="4E8AFAB0" w:rsidR="00011DC0" w:rsidRDefault="00546129">
            <w:pPr>
              <w:adjustRightInd w:val="0"/>
              <w:snapToGrid w:val="0"/>
              <w:spacing w:line="360" w:lineRule="auto"/>
              <w:jc w:val="both"/>
              <w:rPr>
                <w:rFonts w:ascii="Book Antiqua" w:hAnsi="Book Antiqua"/>
              </w:rPr>
            </w:pPr>
            <w:r>
              <w:rPr>
                <w:rFonts w:ascii="Book Antiqua" w:hAnsi="Book Antiqua"/>
              </w:rPr>
              <w:t>Age (yr,</w:t>
            </w:r>
            <w:r w:rsidR="0022778E">
              <w:rPr>
                <w:rFonts w:ascii="Book Antiqua" w:hAnsi="Book Antiqua"/>
              </w:rPr>
              <w:t xml:space="preserve"> mean </w:t>
            </w:r>
            <w:r w:rsidR="0022778E" w:rsidRPr="0022778E">
              <w:rPr>
                <w:rFonts w:ascii="Book Antiqua" w:hAnsi="Book Antiqua"/>
              </w:rPr>
              <w:t>±</w:t>
            </w:r>
            <w:r w:rsidR="0022778E">
              <w:rPr>
                <w:rFonts w:ascii="Book Antiqua" w:hAnsi="Book Antiqua"/>
              </w:rPr>
              <w:t xml:space="preserve"> SD</w:t>
            </w:r>
            <w:r>
              <w:rPr>
                <w:rFonts w:ascii="Book Antiqua" w:hAnsi="Book Antiqua"/>
              </w:rPr>
              <w:t>)</w:t>
            </w:r>
          </w:p>
        </w:tc>
        <w:tc>
          <w:tcPr>
            <w:tcW w:w="1703" w:type="dxa"/>
            <w:tcBorders>
              <w:top w:val="single" w:sz="12" w:space="0" w:color="auto"/>
              <w:left w:val="nil"/>
              <w:bottom w:val="nil"/>
              <w:right w:val="nil"/>
            </w:tcBorders>
            <w:vAlign w:val="center"/>
          </w:tcPr>
          <w:p w14:paraId="6E36ACA4" w14:textId="77777777" w:rsidR="00011DC0" w:rsidRDefault="00546129">
            <w:pPr>
              <w:adjustRightInd w:val="0"/>
              <w:snapToGrid w:val="0"/>
              <w:spacing w:line="360" w:lineRule="auto"/>
              <w:jc w:val="both"/>
              <w:rPr>
                <w:rFonts w:ascii="Book Antiqua" w:hAnsi="Book Antiqua"/>
              </w:rPr>
            </w:pPr>
            <w:r>
              <w:rPr>
                <w:rFonts w:ascii="Book Antiqua" w:hAnsi="Book Antiqua"/>
              </w:rPr>
              <w:t>55 (48.75, 55.25)</w:t>
            </w:r>
          </w:p>
        </w:tc>
        <w:tc>
          <w:tcPr>
            <w:tcW w:w="1807" w:type="dxa"/>
            <w:tcBorders>
              <w:top w:val="single" w:sz="12" w:space="0" w:color="auto"/>
              <w:left w:val="nil"/>
              <w:bottom w:val="nil"/>
              <w:right w:val="nil"/>
            </w:tcBorders>
            <w:vAlign w:val="center"/>
          </w:tcPr>
          <w:p w14:paraId="4289FE06" w14:textId="77777777" w:rsidR="00011DC0" w:rsidRDefault="00546129">
            <w:pPr>
              <w:adjustRightInd w:val="0"/>
              <w:snapToGrid w:val="0"/>
              <w:spacing w:line="360" w:lineRule="auto"/>
              <w:jc w:val="both"/>
              <w:rPr>
                <w:rFonts w:ascii="Book Antiqua" w:hAnsi="Book Antiqua"/>
              </w:rPr>
            </w:pPr>
            <w:r>
              <w:rPr>
                <w:rFonts w:ascii="Book Antiqua" w:hAnsi="Book Antiqua"/>
              </w:rPr>
              <w:t>59 (50.00, 74.00)</w:t>
            </w:r>
            <w:r>
              <w:rPr>
                <w:rFonts w:ascii="Book Antiqua" w:hAnsi="Book Antiqua"/>
                <w:vertAlign w:val="superscript"/>
              </w:rPr>
              <w:t>a</w:t>
            </w:r>
          </w:p>
        </w:tc>
        <w:tc>
          <w:tcPr>
            <w:tcW w:w="2140" w:type="dxa"/>
            <w:tcBorders>
              <w:top w:val="single" w:sz="12" w:space="0" w:color="auto"/>
              <w:left w:val="nil"/>
              <w:bottom w:val="nil"/>
              <w:right w:val="nil"/>
            </w:tcBorders>
            <w:vAlign w:val="center"/>
          </w:tcPr>
          <w:p w14:paraId="42E2FC21" w14:textId="44C00482" w:rsidR="00011DC0" w:rsidRDefault="00546129">
            <w:pPr>
              <w:adjustRightInd w:val="0"/>
              <w:snapToGrid w:val="0"/>
              <w:spacing w:line="360" w:lineRule="auto"/>
              <w:jc w:val="both"/>
              <w:rPr>
                <w:rFonts w:ascii="Book Antiqua" w:hAnsi="Book Antiqua"/>
              </w:rPr>
            </w:pPr>
            <w:r>
              <w:rPr>
                <w:rFonts w:ascii="Book Antiqua" w:hAnsi="Book Antiqua"/>
              </w:rPr>
              <w:t>63.50 (44.75, 76.25)</w:t>
            </w:r>
            <w:r>
              <w:rPr>
                <w:rFonts w:ascii="Book Antiqua" w:hAnsi="Book Antiqua"/>
                <w:vertAlign w:val="superscript"/>
              </w:rPr>
              <w:t>a</w:t>
            </w:r>
            <w:r w:rsidR="0022778E">
              <w:rPr>
                <w:rFonts w:ascii="Book Antiqua" w:hAnsi="Book Antiqua"/>
                <w:vertAlign w:val="superscript"/>
              </w:rPr>
              <w:t>,</w:t>
            </w:r>
            <w:r>
              <w:rPr>
                <w:rFonts w:ascii="Book Antiqua" w:hAnsi="Book Antiqua"/>
                <w:vertAlign w:val="superscript"/>
              </w:rPr>
              <w:t>b</w:t>
            </w:r>
          </w:p>
        </w:tc>
        <w:tc>
          <w:tcPr>
            <w:tcW w:w="1380" w:type="dxa"/>
            <w:tcBorders>
              <w:top w:val="single" w:sz="12" w:space="0" w:color="auto"/>
              <w:left w:val="nil"/>
              <w:bottom w:val="nil"/>
              <w:right w:val="nil"/>
            </w:tcBorders>
            <w:vAlign w:val="center"/>
          </w:tcPr>
          <w:p w14:paraId="18EF5090" w14:textId="77777777" w:rsidR="00011DC0" w:rsidRDefault="00546129">
            <w:pPr>
              <w:adjustRightInd w:val="0"/>
              <w:snapToGrid w:val="0"/>
              <w:spacing w:line="360" w:lineRule="auto"/>
              <w:jc w:val="both"/>
              <w:rPr>
                <w:rFonts w:ascii="Book Antiqua" w:hAnsi="Book Antiqua"/>
              </w:rPr>
            </w:pPr>
            <w:r>
              <w:rPr>
                <w:rFonts w:ascii="Book Antiqua" w:hAnsi="Book Antiqua"/>
              </w:rPr>
              <w:t>2.05</w:t>
            </w:r>
          </w:p>
        </w:tc>
        <w:tc>
          <w:tcPr>
            <w:tcW w:w="767" w:type="dxa"/>
            <w:tcBorders>
              <w:top w:val="single" w:sz="12" w:space="0" w:color="auto"/>
              <w:left w:val="nil"/>
              <w:bottom w:val="nil"/>
              <w:right w:val="nil"/>
            </w:tcBorders>
            <w:vAlign w:val="center"/>
          </w:tcPr>
          <w:p w14:paraId="2FF25E3C" w14:textId="77777777" w:rsidR="00011DC0" w:rsidRDefault="00546129">
            <w:pPr>
              <w:adjustRightInd w:val="0"/>
              <w:snapToGrid w:val="0"/>
              <w:spacing w:line="360" w:lineRule="auto"/>
              <w:jc w:val="both"/>
              <w:rPr>
                <w:rFonts w:ascii="Book Antiqua" w:hAnsi="Book Antiqua"/>
              </w:rPr>
            </w:pPr>
            <w:r>
              <w:rPr>
                <w:rFonts w:ascii="Book Antiqua" w:hAnsi="Book Antiqua"/>
              </w:rPr>
              <w:t>0.36</w:t>
            </w:r>
          </w:p>
        </w:tc>
      </w:tr>
      <w:tr w:rsidR="00011DC0" w14:paraId="704ED13C" w14:textId="77777777">
        <w:trPr>
          <w:trHeight w:val="602"/>
        </w:trPr>
        <w:tc>
          <w:tcPr>
            <w:tcW w:w="1593" w:type="dxa"/>
            <w:tcBorders>
              <w:top w:val="nil"/>
              <w:left w:val="nil"/>
              <w:bottom w:val="nil"/>
              <w:right w:val="nil"/>
            </w:tcBorders>
            <w:vAlign w:val="center"/>
          </w:tcPr>
          <w:p w14:paraId="63492F12" w14:textId="6C7011AA" w:rsidR="00011DC0" w:rsidRDefault="00546129">
            <w:pPr>
              <w:adjustRightInd w:val="0"/>
              <w:snapToGrid w:val="0"/>
              <w:spacing w:line="360" w:lineRule="auto"/>
              <w:jc w:val="both"/>
              <w:rPr>
                <w:rFonts w:ascii="Book Antiqua" w:hAnsi="Book Antiqua"/>
              </w:rPr>
            </w:pPr>
            <w:r>
              <w:rPr>
                <w:rFonts w:ascii="Book Antiqua" w:hAnsi="Book Antiqua"/>
              </w:rPr>
              <w:t>BMI (kg/m</w:t>
            </w:r>
            <w:r>
              <w:rPr>
                <w:rFonts w:ascii="Book Antiqua" w:hAnsi="Book Antiqua"/>
                <w:vertAlign w:val="superscript"/>
              </w:rPr>
              <w:t>2</w:t>
            </w:r>
            <w:r>
              <w:rPr>
                <w:rFonts w:ascii="Book Antiqua" w:hAnsi="Book Antiqua"/>
              </w:rPr>
              <w:t xml:space="preserve">, </w:t>
            </w:r>
            <w:r w:rsidR="0022778E">
              <w:rPr>
                <w:rFonts w:ascii="Book Antiqua" w:hAnsi="Book Antiqua"/>
              </w:rPr>
              <w:t xml:space="preserve">mean </w:t>
            </w:r>
            <w:r w:rsidR="0022778E" w:rsidRPr="0022778E">
              <w:rPr>
                <w:rFonts w:ascii="Book Antiqua" w:hAnsi="Book Antiqua"/>
              </w:rPr>
              <w:t>±</w:t>
            </w:r>
            <w:r w:rsidR="0022778E">
              <w:rPr>
                <w:rFonts w:ascii="Book Antiqua" w:hAnsi="Book Antiqua"/>
              </w:rPr>
              <w:t xml:space="preserve"> S</w:t>
            </w:r>
            <w:r>
              <w:rPr>
                <w:rFonts w:ascii="Book Antiqua" w:hAnsi="Book Antiqua"/>
              </w:rPr>
              <w:t>)</w:t>
            </w:r>
          </w:p>
        </w:tc>
        <w:tc>
          <w:tcPr>
            <w:tcW w:w="1703" w:type="dxa"/>
            <w:tcBorders>
              <w:top w:val="nil"/>
              <w:left w:val="nil"/>
              <w:bottom w:val="nil"/>
              <w:right w:val="nil"/>
            </w:tcBorders>
            <w:vAlign w:val="center"/>
          </w:tcPr>
          <w:p w14:paraId="099FB3FD" w14:textId="77777777" w:rsidR="00011DC0" w:rsidRDefault="00546129">
            <w:pPr>
              <w:adjustRightInd w:val="0"/>
              <w:snapToGrid w:val="0"/>
              <w:spacing w:line="360" w:lineRule="auto"/>
              <w:jc w:val="both"/>
              <w:rPr>
                <w:rFonts w:ascii="Book Antiqua" w:hAnsi="Book Antiqua"/>
              </w:rPr>
            </w:pPr>
            <w:r>
              <w:rPr>
                <w:rFonts w:ascii="Book Antiqua" w:hAnsi="Book Antiqua"/>
              </w:rPr>
              <w:t>23.95 ± 2.04</w:t>
            </w:r>
          </w:p>
        </w:tc>
        <w:tc>
          <w:tcPr>
            <w:tcW w:w="1807" w:type="dxa"/>
            <w:tcBorders>
              <w:top w:val="nil"/>
              <w:left w:val="nil"/>
              <w:bottom w:val="nil"/>
              <w:right w:val="nil"/>
            </w:tcBorders>
            <w:vAlign w:val="center"/>
          </w:tcPr>
          <w:p w14:paraId="4EC8A7FB" w14:textId="77777777" w:rsidR="00011DC0" w:rsidRDefault="00546129">
            <w:pPr>
              <w:adjustRightInd w:val="0"/>
              <w:snapToGrid w:val="0"/>
              <w:spacing w:line="360" w:lineRule="auto"/>
              <w:jc w:val="both"/>
              <w:rPr>
                <w:rFonts w:ascii="Book Antiqua" w:hAnsi="Book Antiqua"/>
              </w:rPr>
            </w:pPr>
            <w:r>
              <w:rPr>
                <w:rFonts w:ascii="Book Antiqua" w:hAnsi="Book Antiqua"/>
              </w:rPr>
              <w:t>27.19 ± 4.40</w:t>
            </w:r>
            <w:r>
              <w:rPr>
                <w:rFonts w:ascii="Book Antiqua" w:hAnsi="Book Antiqua"/>
                <w:vertAlign w:val="superscript"/>
              </w:rPr>
              <w:t>a</w:t>
            </w:r>
          </w:p>
        </w:tc>
        <w:tc>
          <w:tcPr>
            <w:tcW w:w="2140" w:type="dxa"/>
            <w:tcBorders>
              <w:top w:val="nil"/>
              <w:left w:val="nil"/>
              <w:bottom w:val="nil"/>
              <w:right w:val="nil"/>
            </w:tcBorders>
            <w:vAlign w:val="center"/>
          </w:tcPr>
          <w:p w14:paraId="02E1356F" w14:textId="53CE4413" w:rsidR="00011DC0" w:rsidRDefault="00546129">
            <w:pPr>
              <w:adjustRightInd w:val="0"/>
              <w:snapToGrid w:val="0"/>
              <w:spacing w:line="360" w:lineRule="auto"/>
              <w:jc w:val="both"/>
              <w:rPr>
                <w:rFonts w:ascii="Book Antiqua" w:hAnsi="Book Antiqua"/>
              </w:rPr>
            </w:pPr>
            <w:r>
              <w:rPr>
                <w:rFonts w:ascii="Book Antiqua" w:hAnsi="Book Antiqua"/>
              </w:rPr>
              <w:t>23.91 ± 4.09</w:t>
            </w:r>
            <w:r>
              <w:rPr>
                <w:rFonts w:ascii="Book Antiqua" w:hAnsi="Book Antiqua"/>
                <w:vertAlign w:val="superscript"/>
              </w:rPr>
              <w:t>a</w:t>
            </w:r>
            <w:r w:rsidR="0022778E">
              <w:rPr>
                <w:rFonts w:ascii="Book Antiqua" w:hAnsi="Book Antiqua"/>
                <w:vertAlign w:val="superscript"/>
              </w:rPr>
              <w:t>,</w:t>
            </w:r>
            <w:r>
              <w:rPr>
                <w:rFonts w:ascii="Book Antiqua" w:hAnsi="Book Antiqua"/>
                <w:vertAlign w:val="superscript"/>
              </w:rPr>
              <w:t>b</w:t>
            </w:r>
          </w:p>
        </w:tc>
        <w:tc>
          <w:tcPr>
            <w:tcW w:w="1380" w:type="dxa"/>
            <w:tcBorders>
              <w:top w:val="nil"/>
              <w:left w:val="nil"/>
              <w:bottom w:val="nil"/>
              <w:right w:val="nil"/>
            </w:tcBorders>
            <w:vAlign w:val="center"/>
          </w:tcPr>
          <w:p w14:paraId="14CB905C" w14:textId="77777777" w:rsidR="00011DC0" w:rsidRDefault="00546129">
            <w:pPr>
              <w:adjustRightInd w:val="0"/>
              <w:snapToGrid w:val="0"/>
              <w:spacing w:line="360" w:lineRule="auto"/>
              <w:jc w:val="both"/>
              <w:rPr>
                <w:rFonts w:ascii="Book Antiqua" w:hAnsi="Book Antiqua"/>
              </w:rPr>
            </w:pPr>
            <w:r>
              <w:rPr>
                <w:rFonts w:ascii="Book Antiqua" w:hAnsi="Book Antiqua"/>
              </w:rPr>
              <w:t>2.64</w:t>
            </w:r>
          </w:p>
        </w:tc>
        <w:tc>
          <w:tcPr>
            <w:tcW w:w="767" w:type="dxa"/>
            <w:tcBorders>
              <w:top w:val="nil"/>
              <w:left w:val="nil"/>
              <w:bottom w:val="nil"/>
              <w:right w:val="nil"/>
            </w:tcBorders>
            <w:vAlign w:val="center"/>
          </w:tcPr>
          <w:p w14:paraId="606DD344" w14:textId="77777777" w:rsidR="00011DC0" w:rsidRDefault="00546129">
            <w:pPr>
              <w:adjustRightInd w:val="0"/>
              <w:snapToGrid w:val="0"/>
              <w:spacing w:line="360" w:lineRule="auto"/>
              <w:jc w:val="both"/>
              <w:rPr>
                <w:rFonts w:ascii="Book Antiqua" w:hAnsi="Book Antiqua"/>
              </w:rPr>
            </w:pPr>
            <w:r>
              <w:rPr>
                <w:rFonts w:ascii="Book Antiqua" w:hAnsi="Book Antiqua"/>
              </w:rPr>
              <w:t>0.09</w:t>
            </w:r>
          </w:p>
        </w:tc>
      </w:tr>
      <w:tr w:rsidR="00011DC0" w14:paraId="1910E976" w14:textId="77777777">
        <w:trPr>
          <w:trHeight w:val="602"/>
        </w:trPr>
        <w:tc>
          <w:tcPr>
            <w:tcW w:w="1593" w:type="dxa"/>
            <w:tcBorders>
              <w:top w:val="nil"/>
              <w:left w:val="nil"/>
              <w:bottom w:val="nil"/>
              <w:right w:val="nil"/>
            </w:tcBorders>
            <w:vAlign w:val="center"/>
          </w:tcPr>
          <w:p w14:paraId="1ABDDC77" w14:textId="5071C3B6" w:rsidR="00011DC0" w:rsidRDefault="00546129">
            <w:pPr>
              <w:adjustRightInd w:val="0"/>
              <w:snapToGrid w:val="0"/>
              <w:spacing w:line="360" w:lineRule="auto"/>
              <w:jc w:val="both"/>
              <w:rPr>
                <w:rFonts w:ascii="Book Antiqua" w:hAnsi="Book Antiqua"/>
              </w:rPr>
            </w:pPr>
            <w:r>
              <w:rPr>
                <w:rFonts w:ascii="Book Antiqua" w:eastAsia="等线" w:hAnsi="Book Antiqua" w:cs="Tahoma"/>
              </w:rPr>
              <w:t>Underlying disease</w:t>
            </w:r>
            <w:r w:rsidR="00E20136">
              <w:rPr>
                <w:rFonts w:ascii="Book Antiqua" w:eastAsia="等线" w:hAnsi="Book Antiqua" w:cs="Tahoma"/>
              </w:rPr>
              <w:t xml:space="preserve"> </w:t>
            </w:r>
            <w:r>
              <w:rPr>
                <w:rFonts w:ascii="Book Antiqua" w:eastAsia="宋体" w:hAnsi="Book Antiqua"/>
              </w:rPr>
              <w:t>(cases)</w:t>
            </w:r>
          </w:p>
        </w:tc>
        <w:tc>
          <w:tcPr>
            <w:tcW w:w="1703" w:type="dxa"/>
            <w:tcBorders>
              <w:top w:val="nil"/>
              <w:left w:val="nil"/>
              <w:bottom w:val="nil"/>
              <w:right w:val="nil"/>
            </w:tcBorders>
            <w:vAlign w:val="center"/>
          </w:tcPr>
          <w:p w14:paraId="00BF89D7"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4F17B0F5" w14:textId="77777777" w:rsidR="00011DC0" w:rsidRDefault="00011DC0">
            <w:pPr>
              <w:adjustRightInd w:val="0"/>
              <w:snapToGrid w:val="0"/>
              <w:spacing w:line="360" w:lineRule="auto"/>
              <w:jc w:val="both"/>
              <w:rPr>
                <w:rFonts w:ascii="Book Antiqua" w:hAnsi="Book Antiqua"/>
              </w:rPr>
            </w:pPr>
          </w:p>
        </w:tc>
        <w:tc>
          <w:tcPr>
            <w:tcW w:w="2140" w:type="dxa"/>
            <w:tcBorders>
              <w:top w:val="nil"/>
              <w:left w:val="nil"/>
              <w:bottom w:val="nil"/>
              <w:right w:val="nil"/>
            </w:tcBorders>
            <w:vAlign w:val="center"/>
          </w:tcPr>
          <w:p w14:paraId="5AEC7527" w14:textId="77777777" w:rsidR="00011DC0" w:rsidRDefault="00011DC0">
            <w:pPr>
              <w:adjustRightInd w:val="0"/>
              <w:snapToGrid w:val="0"/>
              <w:spacing w:line="360" w:lineRule="auto"/>
              <w:jc w:val="both"/>
              <w:rPr>
                <w:rFonts w:ascii="Book Antiqua" w:hAnsi="Book Antiqua"/>
              </w:rPr>
            </w:pPr>
          </w:p>
        </w:tc>
        <w:tc>
          <w:tcPr>
            <w:tcW w:w="1380" w:type="dxa"/>
            <w:tcBorders>
              <w:top w:val="nil"/>
              <w:left w:val="nil"/>
              <w:bottom w:val="nil"/>
              <w:right w:val="nil"/>
            </w:tcBorders>
            <w:vAlign w:val="center"/>
          </w:tcPr>
          <w:p w14:paraId="3C574FC8" w14:textId="77777777" w:rsidR="00011DC0" w:rsidRDefault="00546129">
            <w:pPr>
              <w:adjustRightInd w:val="0"/>
              <w:snapToGrid w:val="0"/>
              <w:spacing w:line="360" w:lineRule="auto"/>
              <w:jc w:val="both"/>
              <w:rPr>
                <w:rFonts w:ascii="Book Antiqua" w:hAnsi="Book Antiqua"/>
              </w:rPr>
            </w:pPr>
            <w:r>
              <w:rPr>
                <w:rFonts w:ascii="Book Antiqua" w:hAnsi="Book Antiqua"/>
              </w:rPr>
              <w:t>0.84</w:t>
            </w:r>
          </w:p>
        </w:tc>
        <w:tc>
          <w:tcPr>
            <w:tcW w:w="767" w:type="dxa"/>
            <w:tcBorders>
              <w:top w:val="nil"/>
              <w:left w:val="nil"/>
              <w:bottom w:val="nil"/>
              <w:right w:val="nil"/>
            </w:tcBorders>
            <w:vAlign w:val="center"/>
          </w:tcPr>
          <w:p w14:paraId="7C9C73BC" w14:textId="77777777" w:rsidR="00011DC0" w:rsidRDefault="00546129">
            <w:pPr>
              <w:adjustRightInd w:val="0"/>
              <w:snapToGrid w:val="0"/>
              <w:spacing w:line="360" w:lineRule="auto"/>
              <w:jc w:val="both"/>
              <w:rPr>
                <w:rFonts w:ascii="Book Antiqua" w:hAnsi="Book Antiqua"/>
              </w:rPr>
            </w:pPr>
            <w:r>
              <w:rPr>
                <w:rFonts w:ascii="Book Antiqua" w:hAnsi="Book Antiqua"/>
              </w:rPr>
              <w:t>0.65</w:t>
            </w:r>
          </w:p>
        </w:tc>
      </w:tr>
      <w:tr w:rsidR="00011DC0" w14:paraId="05EB9D76" w14:textId="77777777">
        <w:trPr>
          <w:trHeight w:val="602"/>
        </w:trPr>
        <w:tc>
          <w:tcPr>
            <w:tcW w:w="1593" w:type="dxa"/>
            <w:tcBorders>
              <w:top w:val="nil"/>
              <w:left w:val="nil"/>
              <w:bottom w:val="nil"/>
              <w:right w:val="nil"/>
            </w:tcBorders>
            <w:vAlign w:val="center"/>
          </w:tcPr>
          <w:p w14:paraId="38D91894" w14:textId="77777777" w:rsidR="00011DC0" w:rsidRDefault="00546129">
            <w:pPr>
              <w:adjustRightInd w:val="0"/>
              <w:snapToGrid w:val="0"/>
              <w:spacing w:line="360" w:lineRule="auto"/>
              <w:jc w:val="both"/>
              <w:rPr>
                <w:rFonts w:ascii="Book Antiqua" w:hAnsi="Book Antiqua"/>
              </w:rPr>
            </w:pPr>
            <w:r>
              <w:rPr>
                <w:rFonts w:ascii="Book Antiqua" w:eastAsia="等线" w:hAnsi="Book Antiqua" w:cs="Arial"/>
              </w:rPr>
              <w:t>Multiple injuries</w:t>
            </w:r>
          </w:p>
        </w:tc>
        <w:tc>
          <w:tcPr>
            <w:tcW w:w="1703" w:type="dxa"/>
            <w:tcBorders>
              <w:top w:val="nil"/>
              <w:left w:val="nil"/>
              <w:bottom w:val="nil"/>
              <w:right w:val="nil"/>
            </w:tcBorders>
            <w:vAlign w:val="center"/>
          </w:tcPr>
          <w:p w14:paraId="7B90AEE4"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78926BD1" w14:textId="77777777" w:rsidR="00011DC0" w:rsidRDefault="00546129">
            <w:pPr>
              <w:adjustRightInd w:val="0"/>
              <w:snapToGrid w:val="0"/>
              <w:spacing w:line="360" w:lineRule="auto"/>
              <w:jc w:val="both"/>
              <w:rPr>
                <w:rFonts w:ascii="Book Antiqua" w:hAnsi="Book Antiqua"/>
              </w:rPr>
            </w:pPr>
            <w:r>
              <w:rPr>
                <w:rFonts w:ascii="Book Antiqua" w:hAnsi="Book Antiqua"/>
              </w:rPr>
              <w:t>3</w:t>
            </w:r>
          </w:p>
        </w:tc>
        <w:tc>
          <w:tcPr>
            <w:tcW w:w="2140" w:type="dxa"/>
            <w:tcBorders>
              <w:top w:val="nil"/>
              <w:left w:val="nil"/>
              <w:bottom w:val="nil"/>
              <w:right w:val="nil"/>
            </w:tcBorders>
            <w:vAlign w:val="center"/>
          </w:tcPr>
          <w:p w14:paraId="243F2F08" w14:textId="77777777" w:rsidR="00011DC0" w:rsidRDefault="00546129">
            <w:pPr>
              <w:adjustRightInd w:val="0"/>
              <w:snapToGrid w:val="0"/>
              <w:spacing w:line="360" w:lineRule="auto"/>
              <w:jc w:val="both"/>
              <w:rPr>
                <w:rFonts w:ascii="Book Antiqua" w:hAnsi="Book Antiqua"/>
              </w:rPr>
            </w:pPr>
            <w:r>
              <w:rPr>
                <w:rFonts w:ascii="Book Antiqua" w:hAnsi="Book Antiqua"/>
              </w:rPr>
              <w:t>4</w:t>
            </w:r>
          </w:p>
        </w:tc>
        <w:tc>
          <w:tcPr>
            <w:tcW w:w="1380" w:type="dxa"/>
            <w:tcBorders>
              <w:top w:val="nil"/>
              <w:left w:val="nil"/>
              <w:bottom w:val="nil"/>
              <w:right w:val="nil"/>
            </w:tcBorders>
            <w:vAlign w:val="center"/>
          </w:tcPr>
          <w:p w14:paraId="26FC145C"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2FA5C7B8" w14:textId="77777777" w:rsidR="00011DC0" w:rsidRDefault="00011DC0">
            <w:pPr>
              <w:adjustRightInd w:val="0"/>
              <w:snapToGrid w:val="0"/>
              <w:spacing w:line="360" w:lineRule="auto"/>
              <w:jc w:val="both"/>
              <w:rPr>
                <w:rFonts w:ascii="Book Antiqua" w:hAnsi="Book Antiqua"/>
              </w:rPr>
            </w:pPr>
          </w:p>
        </w:tc>
      </w:tr>
      <w:tr w:rsidR="00011DC0" w14:paraId="5306D4AD" w14:textId="77777777">
        <w:trPr>
          <w:trHeight w:val="602"/>
        </w:trPr>
        <w:tc>
          <w:tcPr>
            <w:tcW w:w="1593" w:type="dxa"/>
            <w:tcBorders>
              <w:top w:val="nil"/>
              <w:left w:val="nil"/>
              <w:bottom w:val="nil"/>
              <w:right w:val="nil"/>
            </w:tcBorders>
            <w:vAlign w:val="center"/>
          </w:tcPr>
          <w:p w14:paraId="3B047383" w14:textId="77777777" w:rsidR="00011DC0" w:rsidRDefault="00546129">
            <w:pPr>
              <w:adjustRightInd w:val="0"/>
              <w:snapToGrid w:val="0"/>
              <w:spacing w:line="360" w:lineRule="auto"/>
              <w:jc w:val="both"/>
              <w:rPr>
                <w:rFonts w:ascii="Book Antiqua" w:hAnsi="Book Antiqua"/>
              </w:rPr>
            </w:pPr>
            <w:r>
              <w:rPr>
                <w:rFonts w:ascii="Book Antiqua" w:eastAsia="等线" w:hAnsi="Book Antiqua" w:cs="Arial"/>
              </w:rPr>
              <w:t>Malignant tumor</w:t>
            </w:r>
          </w:p>
        </w:tc>
        <w:tc>
          <w:tcPr>
            <w:tcW w:w="1703" w:type="dxa"/>
            <w:tcBorders>
              <w:top w:val="nil"/>
              <w:left w:val="nil"/>
              <w:bottom w:val="nil"/>
              <w:right w:val="nil"/>
            </w:tcBorders>
            <w:vAlign w:val="center"/>
          </w:tcPr>
          <w:p w14:paraId="34D0328C"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322FE30D"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2140" w:type="dxa"/>
            <w:tcBorders>
              <w:top w:val="nil"/>
              <w:left w:val="nil"/>
              <w:bottom w:val="nil"/>
              <w:right w:val="nil"/>
            </w:tcBorders>
            <w:vAlign w:val="center"/>
          </w:tcPr>
          <w:p w14:paraId="72263A6B" w14:textId="77777777" w:rsidR="00011DC0" w:rsidRDefault="00546129">
            <w:pPr>
              <w:adjustRightInd w:val="0"/>
              <w:snapToGrid w:val="0"/>
              <w:spacing w:line="360" w:lineRule="auto"/>
              <w:jc w:val="both"/>
              <w:rPr>
                <w:rFonts w:ascii="Book Antiqua" w:hAnsi="Book Antiqua"/>
              </w:rPr>
            </w:pPr>
            <w:r>
              <w:rPr>
                <w:rFonts w:ascii="Book Antiqua" w:hAnsi="Book Antiqua"/>
              </w:rPr>
              <w:t>3</w:t>
            </w:r>
          </w:p>
        </w:tc>
        <w:tc>
          <w:tcPr>
            <w:tcW w:w="1380" w:type="dxa"/>
            <w:tcBorders>
              <w:top w:val="nil"/>
              <w:left w:val="nil"/>
              <w:bottom w:val="nil"/>
              <w:right w:val="nil"/>
            </w:tcBorders>
            <w:vAlign w:val="center"/>
          </w:tcPr>
          <w:p w14:paraId="3F9C0CC3"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60A27246" w14:textId="77777777" w:rsidR="00011DC0" w:rsidRDefault="00011DC0">
            <w:pPr>
              <w:adjustRightInd w:val="0"/>
              <w:snapToGrid w:val="0"/>
              <w:spacing w:line="360" w:lineRule="auto"/>
              <w:jc w:val="both"/>
              <w:rPr>
                <w:rFonts w:ascii="Book Antiqua" w:hAnsi="Book Antiqua"/>
              </w:rPr>
            </w:pPr>
          </w:p>
        </w:tc>
      </w:tr>
      <w:tr w:rsidR="00011DC0" w14:paraId="5F7E4626" w14:textId="77777777">
        <w:trPr>
          <w:trHeight w:val="602"/>
        </w:trPr>
        <w:tc>
          <w:tcPr>
            <w:tcW w:w="1593" w:type="dxa"/>
            <w:tcBorders>
              <w:top w:val="nil"/>
              <w:left w:val="nil"/>
              <w:bottom w:val="nil"/>
              <w:right w:val="nil"/>
            </w:tcBorders>
            <w:vAlign w:val="center"/>
          </w:tcPr>
          <w:p w14:paraId="4819C43E" w14:textId="77777777" w:rsidR="00011DC0" w:rsidRDefault="00546129">
            <w:pPr>
              <w:adjustRightInd w:val="0"/>
              <w:snapToGrid w:val="0"/>
              <w:spacing w:line="360" w:lineRule="auto"/>
              <w:jc w:val="both"/>
              <w:rPr>
                <w:rFonts w:ascii="Book Antiqua" w:hAnsi="Book Antiqua"/>
              </w:rPr>
            </w:pPr>
            <w:r>
              <w:rPr>
                <w:rFonts w:ascii="Book Antiqua" w:eastAsia="等线" w:hAnsi="Book Antiqua" w:cs="Arial"/>
              </w:rPr>
              <w:t>Other diseases</w:t>
            </w:r>
          </w:p>
        </w:tc>
        <w:tc>
          <w:tcPr>
            <w:tcW w:w="1703" w:type="dxa"/>
            <w:tcBorders>
              <w:top w:val="nil"/>
              <w:left w:val="nil"/>
              <w:bottom w:val="nil"/>
              <w:right w:val="nil"/>
            </w:tcBorders>
            <w:vAlign w:val="center"/>
          </w:tcPr>
          <w:p w14:paraId="1F8A5EBC"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1A610E78" w14:textId="77777777" w:rsidR="00011DC0" w:rsidRDefault="00546129">
            <w:pPr>
              <w:adjustRightInd w:val="0"/>
              <w:snapToGrid w:val="0"/>
              <w:spacing w:line="360" w:lineRule="auto"/>
              <w:jc w:val="both"/>
              <w:rPr>
                <w:rFonts w:ascii="Book Antiqua" w:hAnsi="Book Antiqua"/>
              </w:rPr>
            </w:pPr>
            <w:r>
              <w:rPr>
                <w:rFonts w:ascii="Book Antiqua" w:hAnsi="Book Antiqua"/>
              </w:rPr>
              <w:t>2</w:t>
            </w:r>
          </w:p>
        </w:tc>
        <w:tc>
          <w:tcPr>
            <w:tcW w:w="2140" w:type="dxa"/>
            <w:tcBorders>
              <w:top w:val="nil"/>
              <w:left w:val="nil"/>
              <w:bottom w:val="nil"/>
              <w:right w:val="nil"/>
            </w:tcBorders>
            <w:vAlign w:val="center"/>
          </w:tcPr>
          <w:p w14:paraId="1874BF9A" w14:textId="77777777" w:rsidR="00011DC0" w:rsidRDefault="00546129">
            <w:pPr>
              <w:adjustRightInd w:val="0"/>
              <w:snapToGrid w:val="0"/>
              <w:spacing w:line="360" w:lineRule="auto"/>
              <w:jc w:val="both"/>
              <w:rPr>
                <w:rFonts w:ascii="Book Antiqua" w:hAnsi="Book Antiqua"/>
              </w:rPr>
            </w:pPr>
            <w:r>
              <w:rPr>
                <w:rFonts w:ascii="Book Antiqua" w:hAnsi="Book Antiqua"/>
              </w:rPr>
              <w:t>3</w:t>
            </w:r>
          </w:p>
        </w:tc>
        <w:tc>
          <w:tcPr>
            <w:tcW w:w="1380" w:type="dxa"/>
            <w:tcBorders>
              <w:top w:val="nil"/>
              <w:left w:val="nil"/>
              <w:bottom w:val="nil"/>
              <w:right w:val="nil"/>
            </w:tcBorders>
            <w:vAlign w:val="center"/>
          </w:tcPr>
          <w:p w14:paraId="51E73EA7"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2F5B5FFD" w14:textId="77777777" w:rsidR="00011DC0" w:rsidRDefault="00011DC0">
            <w:pPr>
              <w:adjustRightInd w:val="0"/>
              <w:snapToGrid w:val="0"/>
              <w:spacing w:line="360" w:lineRule="auto"/>
              <w:jc w:val="both"/>
              <w:rPr>
                <w:rFonts w:ascii="Book Antiqua" w:hAnsi="Book Antiqua"/>
              </w:rPr>
            </w:pPr>
          </w:p>
        </w:tc>
      </w:tr>
      <w:tr w:rsidR="00011DC0" w14:paraId="6EA3D3C5" w14:textId="77777777">
        <w:trPr>
          <w:trHeight w:val="316"/>
        </w:trPr>
        <w:tc>
          <w:tcPr>
            <w:tcW w:w="1593" w:type="dxa"/>
            <w:tcBorders>
              <w:top w:val="nil"/>
              <w:left w:val="nil"/>
              <w:bottom w:val="nil"/>
              <w:right w:val="nil"/>
            </w:tcBorders>
            <w:vAlign w:val="center"/>
          </w:tcPr>
          <w:p w14:paraId="0A560676" w14:textId="77777777" w:rsidR="00011DC0" w:rsidRDefault="00546129">
            <w:pPr>
              <w:pStyle w:val="a6"/>
              <w:adjustRightInd w:val="0"/>
              <w:snapToGrid w:val="0"/>
              <w:rPr>
                <w:rFonts w:ascii="Book Antiqua" w:hAnsi="Book Antiqua"/>
                <w:sz w:val="24"/>
                <w:szCs w:val="24"/>
              </w:rPr>
            </w:pPr>
            <w:r>
              <w:rPr>
                <w:rFonts w:ascii="Book Antiqua" w:hAnsi="Book Antiqua"/>
                <w:sz w:val="24"/>
                <w:szCs w:val="24"/>
              </w:rPr>
              <w:t>Type of operation (cases)</w:t>
            </w:r>
          </w:p>
        </w:tc>
        <w:tc>
          <w:tcPr>
            <w:tcW w:w="1703" w:type="dxa"/>
            <w:tcBorders>
              <w:top w:val="nil"/>
              <w:left w:val="nil"/>
              <w:bottom w:val="nil"/>
              <w:right w:val="nil"/>
            </w:tcBorders>
            <w:vAlign w:val="center"/>
          </w:tcPr>
          <w:p w14:paraId="21428A80" w14:textId="77777777" w:rsidR="00011DC0" w:rsidRDefault="00011DC0">
            <w:pPr>
              <w:adjustRightInd w:val="0"/>
              <w:snapToGrid w:val="0"/>
              <w:spacing w:line="360" w:lineRule="auto"/>
              <w:jc w:val="both"/>
              <w:rPr>
                <w:rFonts w:ascii="Book Antiqua" w:hAnsi="Book Antiqua"/>
              </w:rPr>
            </w:pPr>
          </w:p>
        </w:tc>
        <w:tc>
          <w:tcPr>
            <w:tcW w:w="1807" w:type="dxa"/>
            <w:tcBorders>
              <w:top w:val="nil"/>
              <w:left w:val="nil"/>
              <w:bottom w:val="nil"/>
              <w:right w:val="nil"/>
            </w:tcBorders>
            <w:vAlign w:val="center"/>
          </w:tcPr>
          <w:p w14:paraId="10C81BBB" w14:textId="77777777" w:rsidR="00011DC0" w:rsidRDefault="00011DC0">
            <w:pPr>
              <w:adjustRightInd w:val="0"/>
              <w:snapToGrid w:val="0"/>
              <w:spacing w:line="360" w:lineRule="auto"/>
              <w:jc w:val="both"/>
              <w:rPr>
                <w:rFonts w:ascii="Book Antiqua" w:hAnsi="Book Antiqua"/>
              </w:rPr>
            </w:pPr>
          </w:p>
        </w:tc>
        <w:tc>
          <w:tcPr>
            <w:tcW w:w="2140" w:type="dxa"/>
            <w:tcBorders>
              <w:top w:val="nil"/>
              <w:left w:val="nil"/>
              <w:bottom w:val="nil"/>
              <w:right w:val="nil"/>
            </w:tcBorders>
            <w:vAlign w:val="center"/>
          </w:tcPr>
          <w:p w14:paraId="67DC967E" w14:textId="77777777" w:rsidR="00011DC0" w:rsidRDefault="00011DC0">
            <w:pPr>
              <w:adjustRightInd w:val="0"/>
              <w:snapToGrid w:val="0"/>
              <w:spacing w:line="360" w:lineRule="auto"/>
              <w:jc w:val="both"/>
              <w:rPr>
                <w:rFonts w:ascii="Book Antiqua" w:hAnsi="Book Antiqua"/>
              </w:rPr>
            </w:pPr>
          </w:p>
        </w:tc>
        <w:tc>
          <w:tcPr>
            <w:tcW w:w="1380" w:type="dxa"/>
            <w:tcBorders>
              <w:top w:val="nil"/>
              <w:left w:val="nil"/>
              <w:bottom w:val="nil"/>
              <w:right w:val="nil"/>
            </w:tcBorders>
            <w:vAlign w:val="center"/>
          </w:tcPr>
          <w:p w14:paraId="14865D82" w14:textId="77777777" w:rsidR="00011DC0" w:rsidRDefault="00546129">
            <w:pPr>
              <w:adjustRightInd w:val="0"/>
              <w:snapToGrid w:val="0"/>
              <w:spacing w:line="360" w:lineRule="auto"/>
              <w:jc w:val="both"/>
              <w:rPr>
                <w:rFonts w:ascii="Book Antiqua" w:hAnsi="Book Antiqua"/>
              </w:rPr>
            </w:pPr>
            <w:r>
              <w:rPr>
                <w:rFonts w:ascii="Book Antiqua" w:hAnsi="Book Antiqua"/>
              </w:rPr>
              <w:t>0.00</w:t>
            </w:r>
          </w:p>
        </w:tc>
        <w:tc>
          <w:tcPr>
            <w:tcW w:w="767" w:type="dxa"/>
            <w:tcBorders>
              <w:top w:val="nil"/>
              <w:left w:val="nil"/>
              <w:bottom w:val="nil"/>
              <w:right w:val="nil"/>
            </w:tcBorders>
            <w:vAlign w:val="center"/>
          </w:tcPr>
          <w:p w14:paraId="01BDEFC4" w14:textId="77777777" w:rsidR="00011DC0" w:rsidRDefault="00546129">
            <w:pPr>
              <w:adjustRightInd w:val="0"/>
              <w:snapToGrid w:val="0"/>
              <w:spacing w:line="360" w:lineRule="auto"/>
              <w:jc w:val="both"/>
              <w:rPr>
                <w:rFonts w:ascii="Book Antiqua" w:hAnsi="Book Antiqua"/>
              </w:rPr>
            </w:pPr>
            <w:r>
              <w:rPr>
                <w:rFonts w:ascii="Book Antiqua" w:hAnsi="Book Antiqua"/>
              </w:rPr>
              <w:t>1.00</w:t>
            </w:r>
          </w:p>
        </w:tc>
      </w:tr>
      <w:tr w:rsidR="00011DC0" w14:paraId="6388EC39" w14:textId="77777777">
        <w:trPr>
          <w:trHeight w:val="376"/>
        </w:trPr>
        <w:tc>
          <w:tcPr>
            <w:tcW w:w="1593" w:type="dxa"/>
            <w:tcBorders>
              <w:top w:val="nil"/>
              <w:left w:val="nil"/>
              <w:bottom w:val="nil"/>
              <w:right w:val="nil"/>
            </w:tcBorders>
            <w:vAlign w:val="center"/>
          </w:tcPr>
          <w:p w14:paraId="1E0014CC" w14:textId="77777777" w:rsidR="00011DC0" w:rsidRDefault="00546129">
            <w:pPr>
              <w:pStyle w:val="a6"/>
              <w:adjustRightInd w:val="0"/>
              <w:snapToGrid w:val="0"/>
              <w:rPr>
                <w:rFonts w:ascii="Book Antiqua" w:hAnsi="Book Antiqua"/>
                <w:sz w:val="24"/>
                <w:szCs w:val="24"/>
              </w:rPr>
            </w:pPr>
            <w:r>
              <w:rPr>
                <w:rFonts w:ascii="Book Antiqua" w:hAnsi="Book Antiqua"/>
                <w:sz w:val="24"/>
                <w:szCs w:val="24"/>
              </w:rPr>
              <w:t>Surgery on abdominal hollow viscera</w:t>
            </w:r>
          </w:p>
        </w:tc>
        <w:tc>
          <w:tcPr>
            <w:tcW w:w="1703" w:type="dxa"/>
            <w:tcBorders>
              <w:top w:val="nil"/>
              <w:left w:val="nil"/>
              <w:bottom w:val="nil"/>
              <w:right w:val="nil"/>
            </w:tcBorders>
            <w:vAlign w:val="center"/>
          </w:tcPr>
          <w:p w14:paraId="042A93A1" w14:textId="77777777" w:rsidR="00011DC0" w:rsidRDefault="00546129">
            <w:pPr>
              <w:adjustRightInd w:val="0"/>
              <w:snapToGrid w:val="0"/>
              <w:spacing w:line="360" w:lineRule="auto"/>
              <w:jc w:val="both"/>
              <w:rPr>
                <w:rFonts w:ascii="Book Antiqua" w:hAnsi="Book Antiqua"/>
              </w:rPr>
            </w:pPr>
            <w:r>
              <w:rPr>
                <w:rFonts w:ascii="Book Antiqua" w:hAnsi="Book Antiqua"/>
              </w:rPr>
              <w:t>-</w:t>
            </w:r>
          </w:p>
        </w:tc>
        <w:tc>
          <w:tcPr>
            <w:tcW w:w="1807" w:type="dxa"/>
            <w:tcBorders>
              <w:top w:val="nil"/>
              <w:left w:val="nil"/>
              <w:bottom w:val="nil"/>
              <w:right w:val="nil"/>
            </w:tcBorders>
            <w:vAlign w:val="center"/>
          </w:tcPr>
          <w:p w14:paraId="706E3FD5"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2140" w:type="dxa"/>
            <w:tcBorders>
              <w:top w:val="nil"/>
              <w:left w:val="nil"/>
              <w:bottom w:val="nil"/>
              <w:right w:val="nil"/>
            </w:tcBorders>
            <w:vAlign w:val="center"/>
          </w:tcPr>
          <w:p w14:paraId="5093BEFF"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1380" w:type="dxa"/>
            <w:tcBorders>
              <w:top w:val="nil"/>
              <w:left w:val="nil"/>
              <w:bottom w:val="nil"/>
              <w:right w:val="nil"/>
            </w:tcBorders>
            <w:vAlign w:val="center"/>
          </w:tcPr>
          <w:p w14:paraId="4F1316C6"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2A5D977A" w14:textId="77777777" w:rsidR="00011DC0" w:rsidRDefault="00011DC0">
            <w:pPr>
              <w:adjustRightInd w:val="0"/>
              <w:snapToGrid w:val="0"/>
              <w:spacing w:line="360" w:lineRule="auto"/>
              <w:jc w:val="both"/>
              <w:rPr>
                <w:rFonts w:ascii="Book Antiqua" w:hAnsi="Book Antiqua"/>
              </w:rPr>
            </w:pPr>
          </w:p>
        </w:tc>
      </w:tr>
      <w:tr w:rsidR="00011DC0" w14:paraId="20D4FA72" w14:textId="77777777">
        <w:trPr>
          <w:trHeight w:val="376"/>
        </w:trPr>
        <w:tc>
          <w:tcPr>
            <w:tcW w:w="1593" w:type="dxa"/>
            <w:tcBorders>
              <w:top w:val="nil"/>
              <w:left w:val="nil"/>
              <w:bottom w:val="nil"/>
              <w:right w:val="nil"/>
            </w:tcBorders>
            <w:vAlign w:val="center"/>
          </w:tcPr>
          <w:p w14:paraId="16DB3CCC" w14:textId="77777777" w:rsidR="00011DC0" w:rsidRDefault="00546129">
            <w:pPr>
              <w:pStyle w:val="a6"/>
              <w:adjustRightInd w:val="0"/>
              <w:snapToGrid w:val="0"/>
              <w:rPr>
                <w:rFonts w:ascii="Book Antiqua" w:hAnsi="Book Antiqua"/>
                <w:sz w:val="24"/>
                <w:szCs w:val="24"/>
              </w:rPr>
            </w:pPr>
            <w:r>
              <w:rPr>
                <w:rFonts w:ascii="Book Antiqua" w:hAnsi="Book Antiqua"/>
                <w:sz w:val="24"/>
                <w:szCs w:val="24"/>
              </w:rPr>
              <w:t xml:space="preserve">Surgery on non-abdominal </w:t>
            </w:r>
            <w:r>
              <w:rPr>
                <w:rFonts w:ascii="Book Antiqua" w:hAnsi="Book Antiqua"/>
                <w:sz w:val="24"/>
                <w:szCs w:val="24"/>
              </w:rPr>
              <w:lastRenderedPageBreak/>
              <w:t>hollow viscera</w:t>
            </w:r>
          </w:p>
        </w:tc>
        <w:tc>
          <w:tcPr>
            <w:tcW w:w="1703" w:type="dxa"/>
            <w:tcBorders>
              <w:top w:val="nil"/>
              <w:left w:val="nil"/>
              <w:bottom w:val="nil"/>
              <w:right w:val="nil"/>
            </w:tcBorders>
            <w:vAlign w:val="center"/>
          </w:tcPr>
          <w:p w14:paraId="73B81BC6" w14:textId="77777777" w:rsidR="00011DC0" w:rsidRDefault="00546129">
            <w:pPr>
              <w:adjustRightInd w:val="0"/>
              <w:snapToGrid w:val="0"/>
              <w:spacing w:line="360" w:lineRule="auto"/>
              <w:jc w:val="both"/>
              <w:rPr>
                <w:rFonts w:ascii="Book Antiqua" w:hAnsi="Book Antiqua"/>
              </w:rPr>
            </w:pPr>
            <w:r>
              <w:rPr>
                <w:rFonts w:ascii="Book Antiqua" w:hAnsi="Book Antiqua"/>
              </w:rPr>
              <w:lastRenderedPageBreak/>
              <w:t>-</w:t>
            </w:r>
          </w:p>
        </w:tc>
        <w:tc>
          <w:tcPr>
            <w:tcW w:w="1807" w:type="dxa"/>
            <w:tcBorders>
              <w:top w:val="nil"/>
              <w:left w:val="nil"/>
              <w:bottom w:val="nil"/>
              <w:right w:val="nil"/>
            </w:tcBorders>
            <w:vAlign w:val="center"/>
          </w:tcPr>
          <w:p w14:paraId="790E6793"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2140" w:type="dxa"/>
            <w:tcBorders>
              <w:top w:val="nil"/>
              <w:left w:val="nil"/>
              <w:bottom w:val="nil"/>
              <w:right w:val="nil"/>
            </w:tcBorders>
            <w:vAlign w:val="center"/>
          </w:tcPr>
          <w:p w14:paraId="38A85AEE" w14:textId="77777777" w:rsidR="00011DC0" w:rsidRDefault="00546129">
            <w:pPr>
              <w:adjustRightInd w:val="0"/>
              <w:snapToGrid w:val="0"/>
              <w:spacing w:line="360" w:lineRule="auto"/>
              <w:jc w:val="both"/>
              <w:rPr>
                <w:rFonts w:ascii="Book Antiqua" w:hAnsi="Book Antiqua"/>
              </w:rPr>
            </w:pPr>
            <w:r>
              <w:rPr>
                <w:rFonts w:ascii="Book Antiqua" w:hAnsi="Book Antiqua"/>
              </w:rPr>
              <w:t>5</w:t>
            </w:r>
          </w:p>
        </w:tc>
        <w:tc>
          <w:tcPr>
            <w:tcW w:w="1380" w:type="dxa"/>
            <w:tcBorders>
              <w:top w:val="nil"/>
              <w:left w:val="nil"/>
              <w:bottom w:val="nil"/>
              <w:right w:val="nil"/>
            </w:tcBorders>
            <w:vAlign w:val="center"/>
          </w:tcPr>
          <w:p w14:paraId="2DB51EEC" w14:textId="77777777" w:rsidR="00011DC0" w:rsidRDefault="00011DC0">
            <w:pPr>
              <w:adjustRightInd w:val="0"/>
              <w:snapToGrid w:val="0"/>
              <w:spacing w:line="360" w:lineRule="auto"/>
              <w:jc w:val="both"/>
              <w:rPr>
                <w:rFonts w:ascii="Book Antiqua" w:hAnsi="Book Antiqua"/>
              </w:rPr>
            </w:pPr>
          </w:p>
        </w:tc>
        <w:tc>
          <w:tcPr>
            <w:tcW w:w="767" w:type="dxa"/>
            <w:tcBorders>
              <w:top w:val="nil"/>
              <w:left w:val="nil"/>
              <w:bottom w:val="nil"/>
              <w:right w:val="nil"/>
            </w:tcBorders>
            <w:vAlign w:val="center"/>
          </w:tcPr>
          <w:p w14:paraId="187021FF" w14:textId="77777777" w:rsidR="00011DC0" w:rsidRDefault="00011DC0">
            <w:pPr>
              <w:adjustRightInd w:val="0"/>
              <w:snapToGrid w:val="0"/>
              <w:spacing w:line="360" w:lineRule="auto"/>
              <w:jc w:val="both"/>
              <w:rPr>
                <w:rFonts w:ascii="Book Antiqua" w:hAnsi="Book Antiqua"/>
              </w:rPr>
            </w:pPr>
          </w:p>
        </w:tc>
      </w:tr>
      <w:tr w:rsidR="00011DC0" w14:paraId="0CE7461E" w14:textId="77777777">
        <w:trPr>
          <w:trHeight w:val="629"/>
        </w:trPr>
        <w:tc>
          <w:tcPr>
            <w:tcW w:w="1593" w:type="dxa"/>
            <w:tcBorders>
              <w:top w:val="nil"/>
              <w:left w:val="nil"/>
              <w:bottom w:val="nil"/>
              <w:right w:val="nil"/>
            </w:tcBorders>
            <w:vAlign w:val="center"/>
          </w:tcPr>
          <w:p w14:paraId="2598B3D8" w14:textId="617602AE" w:rsidR="00011DC0" w:rsidRDefault="00546129">
            <w:pPr>
              <w:adjustRightInd w:val="0"/>
              <w:snapToGrid w:val="0"/>
              <w:spacing w:line="360" w:lineRule="auto"/>
              <w:jc w:val="both"/>
              <w:rPr>
                <w:rFonts w:ascii="Book Antiqua" w:hAnsi="Book Antiqua"/>
              </w:rPr>
            </w:pPr>
            <w:r>
              <w:rPr>
                <w:rFonts w:ascii="Book Antiqua" w:hAnsi="Book Antiqua"/>
              </w:rPr>
              <w:lastRenderedPageBreak/>
              <w:t>APACHE II score on day</w:t>
            </w:r>
            <w:r>
              <w:rPr>
                <w:rFonts w:ascii="Book Antiqua" w:eastAsia="宋体" w:hAnsi="Book Antiqua"/>
                <w:bCs/>
              </w:rPr>
              <w:t xml:space="preserve"> </w:t>
            </w:r>
            <w:r>
              <w:rPr>
                <w:rFonts w:ascii="Book Antiqua" w:hAnsi="Book Antiqua"/>
              </w:rPr>
              <w:t xml:space="preserve">1 </w:t>
            </w:r>
            <w:r w:rsidR="0022778E">
              <w:rPr>
                <w:rFonts w:ascii="Book Antiqua" w:hAnsi="Book Antiqua"/>
              </w:rPr>
              <w:t>[</w:t>
            </w:r>
            <w:r>
              <w:rPr>
                <w:rFonts w:ascii="Book Antiqua" w:hAnsi="Book Antiqua"/>
              </w:rPr>
              <w:t xml:space="preserve">points, </w:t>
            </w:r>
            <w:r>
              <w:rPr>
                <w:rFonts w:ascii="Book Antiqua" w:hAnsi="Book Antiqua"/>
                <w:i/>
              </w:rPr>
              <w:t xml:space="preserve">M </w:t>
            </w:r>
            <w:r w:rsidR="0022778E">
              <w:rPr>
                <w:rFonts w:ascii="Book Antiqua" w:hAnsi="Book Antiqua"/>
              </w:rPr>
              <w:t>(</w:t>
            </w:r>
            <w:r>
              <w:rPr>
                <w:rFonts w:ascii="Book Antiqua" w:hAnsi="Book Antiqua"/>
                <w:i/>
              </w:rPr>
              <w:t>P</w:t>
            </w:r>
            <w:r>
              <w:rPr>
                <w:rFonts w:ascii="Book Antiqua" w:hAnsi="Book Antiqua"/>
                <w:vertAlign w:val="subscript"/>
              </w:rPr>
              <w:t>25</w:t>
            </w:r>
            <w:r>
              <w:rPr>
                <w:rFonts w:ascii="Book Antiqua" w:hAnsi="Book Antiqua"/>
              </w:rPr>
              <w:t xml:space="preserve">, </w:t>
            </w:r>
            <w:r>
              <w:rPr>
                <w:rFonts w:ascii="Book Antiqua" w:hAnsi="Book Antiqua"/>
                <w:i/>
              </w:rPr>
              <w:t>P</w:t>
            </w:r>
            <w:r>
              <w:rPr>
                <w:rFonts w:ascii="Book Antiqua" w:hAnsi="Book Antiqua"/>
                <w:vertAlign w:val="subscript"/>
              </w:rPr>
              <w:t>75</w:t>
            </w:r>
            <w:r w:rsidR="0022778E">
              <w:rPr>
                <w:rFonts w:ascii="Book Antiqua" w:hAnsi="Book Antiqua"/>
              </w:rPr>
              <w:t>)]</w:t>
            </w:r>
          </w:p>
        </w:tc>
        <w:tc>
          <w:tcPr>
            <w:tcW w:w="1703" w:type="dxa"/>
            <w:tcBorders>
              <w:top w:val="nil"/>
              <w:left w:val="nil"/>
              <w:bottom w:val="nil"/>
              <w:right w:val="nil"/>
            </w:tcBorders>
            <w:vAlign w:val="center"/>
          </w:tcPr>
          <w:p w14:paraId="6E38236F" w14:textId="77777777" w:rsidR="00011DC0" w:rsidRDefault="00546129">
            <w:pPr>
              <w:adjustRightInd w:val="0"/>
              <w:snapToGrid w:val="0"/>
              <w:spacing w:line="360" w:lineRule="auto"/>
              <w:jc w:val="both"/>
              <w:rPr>
                <w:rFonts w:ascii="Book Antiqua" w:hAnsi="Book Antiqua"/>
              </w:rPr>
            </w:pPr>
            <w:r>
              <w:rPr>
                <w:rFonts w:ascii="Book Antiqua" w:hAnsi="Book Antiqua"/>
              </w:rPr>
              <w:t>-</w:t>
            </w:r>
          </w:p>
        </w:tc>
        <w:tc>
          <w:tcPr>
            <w:tcW w:w="1807" w:type="dxa"/>
            <w:tcBorders>
              <w:top w:val="nil"/>
              <w:left w:val="nil"/>
              <w:bottom w:val="nil"/>
              <w:right w:val="nil"/>
            </w:tcBorders>
            <w:vAlign w:val="center"/>
          </w:tcPr>
          <w:p w14:paraId="7AB43B7A" w14:textId="77777777" w:rsidR="00011DC0" w:rsidRDefault="00546129">
            <w:pPr>
              <w:adjustRightInd w:val="0"/>
              <w:snapToGrid w:val="0"/>
              <w:spacing w:line="360" w:lineRule="auto"/>
              <w:jc w:val="both"/>
              <w:rPr>
                <w:rFonts w:ascii="Book Antiqua" w:hAnsi="Book Antiqua"/>
              </w:rPr>
            </w:pPr>
            <w:r>
              <w:rPr>
                <w:rFonts w:ascii="Book Antiqua" w:hAnsi="Book Antiqua"/>
              </w:rPr>
              <w:t>10.00 (7.00, 17.00)</w:t>
            </w:r>
          </w:p>
        </w:tc>
        <w:tc>
          <w:tcPr>
            <w:tcW w:w="2140" w:type="dxa"/>
            <w:tcBorders>
              <w:top w:val="nil"/>
              <w:left w:val="nil"/>
              <w:bottom w:val="nil"/>
              <w:right w:val="nil"/>
            </w:tcBorders>
            <w:vAlign w:val="center"/>
          </w:tcPr>
          <w:p w14:paraId="6F5AB5B9" w14:textId="77777777" w:rsidR="00011DC0" w:rsidRDefault="00546129">
            <w:pPr>
              <w:adjustRightInd w:val="0"/>
              <w:snapToGrid w:val="0"/>
              <w:spacing w:line="360" w:lineRule="auto"/>
              <w:jc w:val="both"/>
              <w:rPr>
                <w:rFonts w:ascii="Book Antiqua" w:hAnsi="Book Antiqua"/>
              </w:rPr>
            </w:pPr>
            <w:r>
              <w:rPr>
                <w:rFonts w:ascii="Book Antiqua" w:hAnsi="Book Antiqua"/>
              </w:rPr>
              <w:t>19.00 (15.25, 21.50)</w:t>
            </w:r>
          </w:p>
        </w:tc>
        <w:tc>
          <w:tcPr>
            <w:tcW w:w="1380" w:type="dxa"/>
            <w:tcBorders>
              <w:top w:val="nil"/>
              <w:left w:val="nil"/>
              <w:bottom w:val="nil"/>
              <w:right w:val="nil"/>
            </w:tcBorders>
            <w:vAlign w:val="center"/>
          </w:tcPr>
          <w:p w14:paraId="05FA6489" w14:textId="77777777" w:rsidR="00011DC0" w:rsidRDefault="00546129">
            <w:pPr>
              <w:adjustRightInd w:val="0"/>
              <w:snapToGrid w:val="0"/>
              <w:spacing w:line="360" w:lineRule="auto"/>
              <w:jc w:val="both"/>
              <w:rPr>
                <w:rFonts w:ascii="Book Antiqua" w:hAnsi="Book Antiqua"/>
              </w:rPr>
            </w:pPr>
            <w:r>
              <w:rPr>
                <w:rFonts w:ascii="Book Antiqua" w:hAnsi="Book Antiqua"/>
              </w:rPr>
              <w:t>−2.40</w:t>
            </w:r>
          </w:p>
        </w:tc>
        <w:tc>
          <w:tcPr>
            <w:tcW w:w="767" w:type="dxa"/>
            <w:tcBorders>
              <w:top w:val="nil"/>
              <w:left w:val="nil"/>
              <w:bottom w:val="nil"/>
              <w:right w:val="nil"/>
            </w:tcBorders>
            <w:vAlign w:val="center"/>
          </w:tcPr>
          <w:p w14:paraId="71EF85A7" w14:textId="77777777" w:rsidR="00011DC0" w:rsidRDefault="00546129">
            <w:pPr>
              <w:adjustRightInd w:val="0"/>
              <w:snapToGrid w:val="0"/>
              <w:spacing w:line="360" w:lineRule="auto"/>
              <w:jc w:val="both"/>
              <w:rPr>
                <w:rFonts w:ascii="Book Antiqua" w:hAnsi="Book Antiqua"/>
              </w:rPr>
            </w:pPr>
            <w:r>
              <w:rPr>
                <w:rFonts w:ascii="Book Antiqua" w:hAnsi="Book Antiqua"/>
              </w:rPr>
              <w:t>0.02</w:t>
            </w:r>
          </w:p>
        </w:tc>
      </w:tr>
      <w:tr w:rsidR="00011DC0" w14:paraId="6FA11587" w14:textId="77777777">
        <w:trPr>
          <w:cantSplit/>
          <w:trHeight w:val="903"/>
        </w:trPr>
        <w:tc>
          <w:tcPr>
            <w:tcW w:w="1593" w:type="dxa"/>
            <w:tcBorders>
              <w:top w:val="nil"/>
              <w:left w:val="nil"/>
              <w:bottom w:val="single" w:sz="12" w:space="0" w:color="auto"/>
              <w:right w:val="nil"/>
            </w:tcBorders>
            <w:vAlign w:val="center"/>
          </w:tcPr>
          <w:p w14:paraId="1F79967C" w14:textId="12988694" w:rsidR="00011DC0" w:rsidRDefault="00546129">
            <w:pPr>
              <w:adjustRightInd w:val="0"/>
              <w:snapToGrid w:val="0"/>
              <w:spacing w:line="360" w:lineRule="auto"/>
              <w:jc w:val="both"/>
              <w:rPr>
                <w:rFonts w:ascii="Book Antiqua" w:hAnsi="Book Antiqua"/>
              </w:rPr>
            </w:pPr>
            <w:r>
              <w:rPr>
                <w:rFonts w:ascii="Book Antiqua" w:hAnsi="Book Antiqua"/>
              </w:rPr>
              <w:t xml:space="preserve">SOFA score on </w:t>
            </w:r>
            <w:r>
              <w:rPr>
                <w:rFonts w:ascii="Book Antiqua" w:eastAsia="宋体" w:hAnsi="Book Antiqua"/>
                <w:bCs/>
              </w:rPr>
              <w:t xml:space="preserve">day </w:t>
            </w:r>
            <w:r>
              <w:rPr>
                <w:rFonts w:ascii="Book Antiqua" w:hAnsi="Book Antiqua"/>
              </w:rPr>
              <w:t xml:space="preserve">1 </w:t>
            </w:r>
            <w:r>
              <w:rPr>
                <w:rFonts w:ascii="Book Antiqua" w:eastAsia="宋体" w:hAnsi="Book Antiqua"/>
              </w:rPr>
              <w:t>(</w:t>
            </w:r>
            <w:r>
              <w:rPr>
                <w:rFonts w:ascii="Book Antiqua" w:hAnsi="Book Antiqua"/>
              </w:rPr>
              <w:t xml:space="preserve">points, </w:t>
            </w:r>
            <w:r w:rsidR="0022778E">
              <w:rPr>
                <w:rFonts w:ascii="Book Antiqua" w:hAnsi="Book Antiqua"/>
              </w:rPr>
              <w:t xml:space="preserve">mean </w:t>
            </w:r>
            <w:r w:rsidR="0022778E" w:rsidRPr="0022778E">
              <w:rPr>
                <w:rFonts w:ascii="Book Antiqua" w:hAnsi="Book Antiqua"/>
              </w:rPr>
              <w:t>±</w:t>
            </w:r>
            <w:r w:rsidR="0022778E">
              <w:rPr>
                <w:rFonts w:ascii="Book Antiqua" w:hAnsi="Book Antiqua"/>
              </w:rPr>
              <w:t xml:space="preserve"> SD</w:t>
            </w:r>
            <w:r>
              <w:rPr>
                <w:rFonts w:ascii="Book Antiqua" w:eastAsia="宋体" w:hAnsi="Book Antiqua"/>
              </w:rPr>
              <w:t>)</w:t>
            </w:r>
          </w:p>
        </w:tc>
        <w:tc>
          <w:tcPr>
            <w:tcW w:w="1703" w:type="dxa"/>
            <w:tcBorders>
              <w:top w:val="nil"/>
              <w:left w:val="nil"/>
              <w:bottom w:val="single" w:sz="12" w:space="0" w:color="auto"/>
              <w:right w:val="nil"/>
            </w:tcBorders>
            <w:vAlign w:val="center"/>
          </w:tcPr>
          <w:p w14:paraId="168EE59F" w14:textId="77777777" w:rsidR="00011DC0" w:rsidRDefault="00546129">
            <w:pPr>
              <w:adjustRightInd w:val="0"/>
              <w:snapToGrid w:val="0"/>
              <w:spacing w:line="360" w:lineRule="auto"/>
              <w:jc w:val="both"/>
              <w:rPr>
                <w:rFonts w:ascii="Book Antiqua" w:hAnsi="Book Antiqua"/>
              </w:rPr>
            </w:pPr>
            <w:r>
              <w:rPr>
                <w:rFonts w:ascii="Book Antiqua" w:hAnsi="Book Antiqua"/>
              </w:rPr>
              <w:t>-</w:t>
            </w:r>
          </w:p>
        </w:tc>
        <w:tc>
          <w:tcPr>
            <w:tcW w:w="1807" w:type="dxa"/>
            <w:tcBorders>
              <w:top w:val="nil"/>
              <w:left w:val="nil"/>
              <w:bottom w:val="single" w:sz="12" w:space="0" w:color="auto"/>
              <w:right w:val="nil"/>
            </w:tcBorders>
            <w:vAlign w:val="center"/>
          </w:tcPr>
          <w:p w14:paraId="030BBEAF" w14:textId="77777777" w:rsidR="00011DC0" w:rsidRDefault="00546129">
            <w:pPr>
              <w:adjustRightInd w:val="0"/>
              <w:snapToGrid w:val="0"/>
              <w:spacing w:line="360" w:lineRule="auto"/>
              <w:jc w:val="both"/>
              <w:rPr>
                <w:rFonts w:ascii="Book Antiqua" w:hAnsi="Book Antiqua"/>
              </w:rPr>
            </w:pPr>
            <w:r>
              <w:rPr>
                <w:rFonts w:ascii="Book Antiqua" w:hAnsi="Book Antiqua"/>
              </w:rPr>
              <w:t>3.30 ± 1.42</w:t>
            </w:r>
          </w:p>
        </w:tc>
        <w:tc>
          <w:tcPr>
            <w:tcW w:w="2140" w:type="dxa"/>
            <w:tcBorders>
              <w:top w:val="nil"/>
              <w:left w:val="nil"/>
              <w:bottom w:val="single" w:sz="12" w:space="0" w:color="auto"/>
              <w:right w:val="nil"/>
            </w:tcBorders>
            <w:vAlign w:val="center"/>
          </w:tcPr>
          <w:p w14:paraId="749F02B5" w14:textId="77777777" w:rsidR="00011DC0" w:rsidRDefault="00546129">
            <w:pPr>
              <w:adjustRightInd w:val="0"/>
              <w:snapToGrid w:val="0"/>
              <w:spacing w:line="360" w:lineRule="auto"/>
              <w:jc w:val="both"/>
              <w:rPr>
                <w:rFonts w:ascii="Book Antiqua" w:hAnsi="Book Antiqua"/>
              </w:rPr>
            </w:pPr>
            <w:r>
              <w:rPr>
                <w:rFonts w:ascii="Book Antiqua" w:hAnsi="Book Antiqua"/>
              </w:rPr>
              <w:t>10.80 ± 2.97</w:t>
            </w:r>
          </w:p>
        </w:tc>
        <w:tc>
          <w:tcPr>
            <w:tcW w:w="1380" w:type="dxa"/>
            <w:tcBorders>
              <w:top w:val="nil"/>
              <w:left w:val="nil"/>
              <w:bottom w:val="single" w:sz="12" w:space="0" w:color="auto"/>
              <w:right w:val="nil"/>
            </w:tcBorders>
            <w:vAlign w:val="center"/>
          </w:tcPr>
          <w:p w14:paraId="1337D05F" w14:textId="77777777" w:rsidR="00011DC0" w:rsidRDefault="00546129">
            <w:pPr>
              <w:adjustRightInd w:val="0"/>
              <w:snapToGrid w:val="0"/>
              <w:spacing w:line="360" w:lineRule="auto"/>
              <w:jc w:val="both"/>
              <w:rPr>
                <w:rFonts w:ascii="Book Antiqua" w:hAnsi="Book Antiqua"/>
              </w:rPr>
            </w:pPr>
            <w:r>
              <w:rPr>
                <w:rFonts w:ascii="Book Antiqua" w:hAnsi="Book Antiqua"/>
              </w:rPr>
              <w:t>−7.20</w:t>
            </w:r>
          </w:p>
        </w:tc>
        <w:tc>
          <w:tcPr>
            <w:tcW w:w="767" w:type="dxa"/>
            <w:tcBorders>
              <w:top w:val="nil"/>
              <w:left w:val="nil"/>
              <w:bottom w:val="single" w:sz="12" w:space="0" w:color="auto"/>
              <w:right w:val="nil"/>
            </w:tcBorders>
            <w:vAlign w:val="center"/>
          </w:tcPr>
          <w:p w14:paraId="5F41853B" w14:textId="77777777" w:rsidR="00011DC0" w:rsidRDefault="00546129">
            <w:pPr>
              <w:adjustRightInd w:val="0"/>
              <w:snapToGrid w:val="0"/>
              <w:spacing w:line="360" w:lineRule="auto"/>
              <w:jc w:val="both"/>
              <w:rPr>
                <w:rFonts w:ascii="Book Antiqua" w:hAnsi="Book Antiqua"/>
              </w:rPr>
            </w:pPr>
            <w:r>
              <w:rPr>
                <w:rFonts w:ascii="Book Antiqua" w:hAnsi="Book Antiqua"/>
              </w:rPr>
              <w:t>0.00</w:t>
            </w:r>
          </w:p>
        </w:tc>
      </w:tr>
    </w:tbl>
    <w:p w14:paraId="5D02CD49" w14:textId="77777777" w:rsidR="002E64DD" w:rsidRDefault="00546129">
      <w:pPr>
        <w:adjustRightInd w:val="0"/>
        <w:snapToGrid w:val="0"/>
        <w:spacing w:line="360" w:lineRule="auto"/>
        <w:jc w:val="both"/>
        <w:rPr>
          <w:rFonts w:ascii="Book Antiqua" w:eastAsia="宋体" w:hAnsi="Book Antiqua"/>
          <w:bCs/>
          <w:lang w:eastAsia="zh-CN"/>
        </w:rPr>
      </w:pPr>
      <w:r>
        <w:rPr>
          <w:rFonts w:ascii="Book Antiqua" w:eastAsia="宋体" w:hAnsi="Book Antiqua"/>
        </w:rPr>
        <w:t>APACHE II</w:t>
      </w:r>
      <w:r>
        <w:rPr>
          <w:rFonts w:ascii="Book Antiqua" w:eastAsia="宋体" w:hAnsi="Book Antiqua"/>
          <w:bCs/>
        </w:rPr>
        <w:t xml:space="preserve"> score: Acute Physiologic Assessment and Chronic Health Evaluation II Scoring System; SOFA score: Sequential Organ Failure Assessment Score; BMI: Body mass index.</w:t>
      </w:r>
      <w:r w:rsidR="0022778E">
        <w:rPr>
          <w:rFonts w:ascii="Book Antiqua" w:eastAsia="宋体" w:hAnsi="Book Antiqua"/>
          <w:bCs/>
        </w:rPr>
        <w:t xml:space="preserve"> </w:t>
      </w:r>
    </w:p>
    <w:p w14:paraId="6657A3EE" w14:textId="4F8A5A83" w:rsidR="002E64DD" w:rsidRDefault="0022778E">
      <w:pPr>
        <w:adjustRightInd w:val="0"/>
        <w:snapToGrid w:val="0"/>
        <w:spacing w:line="360" w:lineRule="auto"/>
        <w:jc w:val="both"/>
        <w:rPr>
          <w:rFonts w:ascii="Book Antiqua" w:eastAsia="宋体" w:hAnsi="Book Antiqua"/>
          <w:bCs/>
          <w:lang w:eastAsia="zh-CN"/>
        </w:rPr>
      </w:pPr>
      <w:proofErr w:type="gramStart"/>
      <w:r w:rsidRPr="0022778E">
        <w:rPr>
          <w:rFonts w:ascii="Book Antiqua" w:eastAsia="宋体" w:hAnsi="Book Antiqua"/>
          <w:bCs/>
          <w:vertAlign w:val="superscript"/>
        </w:rPr>
        <w:t>a</w:t>
      </w:r>
      <w:r w:rsidRPr="0022778E">
        <w:rPr>
          <w:rFonts w:ascii="Book Antiqua" w:eastAsia="宋体" w:hAnsi="Book Antiqua"/>
          <w:bCs/>
          <w:i/>
          <w:iCs/>
        </w:rPr>
        <w:t>P</w:t>
      </w:r>
      <w:proofErr w:type="gramEnd"/>
      <w:r>
        <w:rPr>
          <w:rFonts w:ascii="Book Antiqua" w:eastAsia="宋体" w:hAnsi="Book Antiqua"/>
          <w:bCs/>
        </w:rPr>
        <w:t xml:space="preserve"> &lt; 0.05</w:t>
      </w:r>
      <w:r w:rsidR="002E64DD">
        <w:rPr>
          <w:rFonts w:ascii="Book Antiqua" w:eastAsia="宋体" w:hAnsi="Book Antiqua" w:hint="eastAsia"/>
          <w:bCs/>
          <w:lang w:eastAsia="zh-CN"/>
        </w:rPr>
        <w:t>.</w:t>
      </w:r>
    </w:p>
    <w:p w14:paraId="14A453BC" w14:textId="4B38CC4F" w:rsidR="009926FE" w:rsidRDefault="0022778E">
      <w:pPr>
        <w:adjustRightInd w:val="0"/>
        <w:snapToGrid w:val="0"/>
        <w:spacing w:line="360" w:lineRule="auto"/>
        <w:jc w:val="both"/>
        <w:rPr>
          <w:rFonts w:ascii="Book Antiqua" w:eastAsia="宋体" w:hAnsi="Book Antiqua"/>
          <w:bCs/>
          <w:lang w:eastAsia="zh-CN"/>
        </w:rPr>
      </w:pPr>
      <w:r>
        <w:rPr>
          <w:rFonts w:ascii="Book Antiqua" w:eastAsia="宋体" w:hAnsi="Book Antiqua"/>
          <w:bCs/>
        </w:rPr>
        <w:t xml:space="preserve"> </w:t>
      </w:r>
      <w:proofErr w:type="gramStart"/>
      <w:r w:rsidRPr="0022778E">
        <w:rPr>
          <w:rFonts w:ascii="Book Antiqua" w:eastAsia="宋体" w:hAnsi="Book Antiqua"/>
          <w:bCs/>
          <w:vertAlign w:val="superscript"/>
        </w:rPr>
        <w:t>b</w:t>
      </w:r>
      <w:r w:rsidRPr="0022778E">
        <w:rPr>
          <w:rFonts w:ascii="Book Antiqua" w:eastAsia="宋体" w:hAnsi="Book Antiqua"/>
          <w:bCs/>
          <w:i/>
          <w:iCs/>
        </w:rPr>
        <w:t>P</w:t>
      </w:r>
      <w:proofErr w:type="gramEnd"/>
      <w:r>
        <w:rPr>
          <w:rFonts w:ascii="Book Antiqua" w:eastAsia="宋体" w:hAnsi="Book Antiqua"/>
          <w:bCs/>
        </w:rPr>
        <w:t xml:space="preserve"> &lt; 0.01.</w:t>
      </w:r>
    </w:p>
    <w:p w14:paraId="11C3C7DE" w14:textId="7F2D09C4" w:rsidR="00011DC0" w:rsidRDefault="0022778E">
      <w:pPr>
        <w:adjustRightInd w:val="0"/>
        <w:snapToGrid w:val="0"/>
        <w:spacing w:line="360" w:lineRule="auto"/>
        <w:jc w:val="both"/>
        <w:rPr>
          <w:rFonts w:ascii="Book Antiqua" w:hAnsi="Book Antiqua"/>
        </w:rPr>
      </w:pPr>
      <w:r>
        <w:rPr>
          <w:rFonts w:ascii="Book Antiqua" w:eastAsia="宋体" w:hAnsi="Book Antiqua"/>
          <w:bCs/>
        </w:rPr>
        <w:t xml:space="preserve"> </w:t>
      </w:r>
      <w:r w:rsidR="00546129">
        <w:rPr>
          <w:rFonts w:ascii="Book Antiqua" w:hAnsi="Book Antiqua"/>
        </w:rPr>
        <w:br w:type="page"/>
      </w:r>
      <w:r w:rsidR="00546129">
        <w:rPr>
          <w:rFonts w:ascii="Book Antiqua" w:eastAsia="宋体" w:hAnsi="Book Antiqua"/>
          <w:b/>
          <w:bCs/>
        </w:rPr>
        <w:lastRenderedPageBreak/>
        <w:t>Table 2 General clinical information of the patients in the sepsis group</w:t>
      </w:r>
    </w:p>
    <w:tbl>
      <w:tblPr>
        <w:tblW w:w="930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74"/>
        <w:gridCol w:w="2142"/>
        <w:gridCol w:w="1989"/>
        <w:gridCol w:w="3695"/>
      </w:tblGrid>
      <w:tr w:rsidR="00011DC0" w14:paraId="7138E025" w14:textId="77777777">
        <w:trPr>
          <w:trHeight w:val="773"/>
        </w:trPr>
        <w:tc>
          <w:tcPr>
            <w:tcW w:w="1474" w:type="dxa"/>
            <w:tcBorders>
              <w:top w:val="single" w:sz="12" w:space="0" w:color="auto"/>
              <w:bottom w:val="single" w:sz="12" w:space="0" w:color="auto"/>
            </w:tcBorders>
            <w:vAlign w:val="center"/>
          </w:tcPr>
          <w:p w14:paraId="1ED751D0"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Patient No.</w:t>
            </w:r>
          </w:p>
        </w:tc>
        <w:tc>
          <w:tcPr>
            <w:tcW w:w="2142" w:type="dxa"/>
            <w:tcBorders>
              <w:top w:val="single" w:sz="12" w:space="0" w:color="auto"/>
              <w:bottom w:val="single" w:sz="12" w:space="0" w:color="auto"/>
            </w:tcBorders>
            <w:vAlign w:val="center"/>
          </w:tcPr>
          <w:p w14:paraId="456A5AF3"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Primary infection site</w:t>
            </w:r>
          </w:p>
        </w:tc>
        <w:tc>
          <w:tcPr>
            <w:tcW w:w="1989" w:type="dxa"/>
            <w:tcBorders>
              <w:top w:val="single" w:sz="12" w:space="0" w:color="auto"/>
              <w:bottom w:val="single" w:sz="12" w:space="0" w:color="auto"/>
            </w:tcBorders>
            <w:vAlign w:val="center"/>
          </w:tcPr>
          <w:p w14:paraId="1C2FF392"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Surgical site</w:t>
            </w:r>
          </w:p>
        </w:tc>
        <w:tc>
          <w:tcPr>
            <w:tcW w:w="3695" w:type="dxa"/>
            <w:tcBorders>
              <w:top w:val="single" w:sz="12" w:space="0" w:color="auto"/>
              <w:bottom w:val="single" w:sz="12" w:space="0" w:color="auto"/>
            </w:tcBorders>
            <w:vAlign w:val="center"/>
          </w:tcPr>
          <w:p w14:paraId="769FF2F7" w14:textId="77777777" w:rsidR="00011DC0" w:rsidRPr="0022778E" w:rsidRDefault="00546129">
            <w:pPr>
              <w:adjustRightInd w:val="0"/>
              <w:snapToGrid w:val="0"/>
              <w:spacing w:line="360" w:lineRule="auto"/>
              <w:jc w:val="both"/>
              <w:rPr>
                <w:rFonts w:ascii="Book Antiqua" w:eastAsia="宋体" w:hAnsi="Book Antiqua"/>
                <w:b/>
              </w:rPr>
            </w:pPr>
            <w:r w:rsidRPr="0022778E">
              <w:rPr>
                <w:rFonts w:ascii="Book Antiqua" w:eastAsia="宋体" w:hAnsi="Book Antiqua"/>
                <w:b/>
              </w:rPr>
              <w:t>Categories of antibiotics used within 7 d after admission to the ICU</w:t>
            </w:r>
          </w:p>
        </w:tc>
      </w:tr>
      <w:tr w:rsidR="00011DC0" w14:paraId="65AAD00D" w14:textId="77777777">
        <w:trPr>
          <w:trHeight w:val="456"/>
        </w:trPr>
        <w:tc>
          <w:tcPr>
            <w:tcW w:w="1474" w:type="dxa"/>
            <w:tcBorders>
              <w:top w:val="single" w:sz="12" w:space="0" w:color="auto"/>
              <w:bottom w:val="nil"/>
            </w:tcBorders>
            <w:vAlign w:val="center"/>
          </w:tcPr>
          <w:p w14:paraId="2DFBD35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S1</w:t>
            </w:r>
          </w:p>
        </w:tc>
        <w:tc>
          <w:tcPr>
            <w:tcW w:w="2142" w:type="dxa"/>
            <w:tcBorders>
              <w:top w:val="single" w:sz="12" w:space="0" w:color="auto"/>
              <w:bottom w:val="nil"/>
            </w:tcBorders>
            <w:vAlign w:val="center"/>
          </w:tcPr>
          <w:p w14:paraId="30E89497"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single" w:sz="12" w:space="0" w:color="auto"/>
              <w:bottom w:val="nil"/>
            </w:tcBorders>
            <w:vAlign w:val="center"/>
          </w:tcPr>
          <w:p w14:paraId="65993DB8"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single" w:sz="12" w:space="0" w:color="auto"/>
              <w:bottom w:val="nil"/>
            </w:tcBorders>
            <w:vAlign w:val="center"/>
          </w:tcPr>
          <w:p w14:paraId="42E1A604"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Broad-spectrum penicillins</w:t>
            </w:r>
          </w:p>
        </w:tc>
      </w:tr>
      <w:tr w:rsidR="00011DC0" w14:paraId="050F7803" w14:textId="77777777">
        <w:trPr>
          <w:trHeight w:val="432"/>
        </w:trPr>
        <w:tc>
          <w:tcPr>
            <w:tcW w:w="1474" w:type="dxa"/>
            <w:tcBorders>
              <w:top w:val="nil"/>
              <w:bottom w:val="nil"/>
            </w:tcBorders>
            <w:vAlign w:val="center"/>
          </w:tcPr>
          <w:p w14:paraId="64FC7270" w14:textId="77777777" w:rsidR="00011DC0" w:rsidRDefault="00546129">
            <w:pPr>
              <w:adjustRightInd w:val="0"/>
              <w:snapToGrid w:val="0"/>
              <w:spacing w:line="360" w:lineRule="auto"/>
              <w:jc w:val="both"/>
              <w:rPr>
                <w:rFonts w:ascii="Book Antiqua" w:eastAsia="宋体" w:hAnsi="Book Antiqua"/>
                <w:bCs/>
              </w:rPr>
            </w:pPr>
            <w:r>
              <w:rPr>
                <w:rFonts w:ascii="Book Antiqua" w:eastAsia="宋体" w:hAnsi="Book Antiqua"/>
              </w:rPr>
              <w:t>S2</w:t>
            </w:r>
          </w:p>
        </w:tc>
        <w:tc>
          <w:tcPr>
            <w:tcW w:w="2142" w:type="dxa"/>
            <w:tcBorders>
              <w:top w:val="nil"/>
              <w:bottom w:val="nil"/>
            </w:tcBorders>
            <w:vAlign w:val="center"/>
          </w:tcPr>
          <w:p w14:paraId="43BF2C39"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nil"/>
            </w:tcBorders>
            <w:vAlign w:val="center"/>
          </w:tcPr>
          <w:p w14:paraId="1810520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4527059F" w14:textId="62FB40F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r w:rsidR="0022778E">
              <w:rPr>
                <w:rFonts w:ascii="Book Antiqua" w:eastAsia="宋体" w:hAnsi="Book Antiqua"/>
              </w:rPr>
              <w:t xml:space="preserve"> </w:t>
            </w:r>
            <w:r>
              <w:rPr>
                <w:rFonts w:ascii="Book Antiqua" w:eastAsia="宋体" w:hAnsi="Book Antiqua"/>
              </w:rPr>
              <w:t>+</w:t>
            </w:r>
            <w:r w:rsidR="0022778E">
              <w:rPr>
                <w:rFonts w:ascii="Book Antiqua" w:eastAsia="宋体" w:hAnsi="Book Antiqua"/>
              </w:rPr>
              <w:t xml:space="preserve"> </w:t>
            </w:r>
            <w:r>
              <w:rPr>
                <w:rFonts w:ascii="Book Antiqua" w:eastAsia="宋体" w:hAnsi="Book Antiqua"/>
              </w:rPr>
              <w:t>glycopeptides</w:t>
            </w:r>
          </w:p>
        </w:tc>
      </w:tr>
      <w:tr w:rsidR="00011DC0" w14:paraId="313241E2" w14:textId="77777777">
        <w:trPr>
          <w:trHeight w:val="432"/>
        </w:trPr>
        <w:tc>
          <w:tcPr>
            <w:tcW w:w="1474" w:type="dxa"/>
            <w:tcBorders>
              <w:top w:val="nil"/>
              <w:bottom w:val="nil"/>
            </w:tcBorders>
            <w:vAlign w:val="center"/>
          </w:tcPr>
          <w:p w14:paraId="3D7BB700"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S3</w:t>
            </w:r>
          </w:p>
        </w:tc>
        <w:tc>
          <w:tcPr>
            <w:tcW w:w="2142" w:type="dxa"/>
            <w:tcBorders>
              <w:top w:val="nil"/>
              <w:bottom w:val="nil"/>
            </w:tcBorders>
            <w:vAlign w:val="center"/>
          </w:tcPr>
          <w:p w14:paraId="4E283F69"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791572C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46E097F4" w14:textId="59F4CBCD"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r w:rsidR="0022778E">
              <w:rPr>
                <w:rFonts w:ascii="Book Antiqua" w:eastAsia="宋体" w:hAnsi="Book Antiqua"/>
              </w:rPr>
              <w:t xml:space="preserve"> </w:t>
            </w:r>
            <w:r>
              <w:rPr>
                <w:rFonts w:ascii="Book Antiqua" w:eastAsia="宋体" w:hAnsi="Book Antiqua"/>
              </w:rPr>
              <w:t>+</w:t>
            </w:r>
            <w:r w:rsidR="0022778E">
              <w:rPr>
                <w:rFonts w:ascii="Book Antiqua" w:eastAsia="宋体" w:hAnsi="Book Antiqua"/>
              </w:rPr>
              <w:t xml:space="preserve"> </w:t>
            </w:r>
            <w:r>
              <w:rPr>
                <w:rFonts w:ascii="Book Antiqua" w:eastAsia="宋体" w:hAnsi="Book Antiqua"/>
              </w:rPr>
              <w:t>oxazolidinones</w:t>
            </w:r>
          </w:p>
        </w:tc>
      </w:tr>
      <w:tr w:rsidR="00011DC0" w14:paraId="23A07A42" w14:textId="77777777">
        <w:trPr>
          <w:cantSplit/>
          <w:trHeight w:val="432"/>
        </w:trPr>
        <w:tc>
          <w:tcPr>
            <w:tcW w:w="1474" w:type="dxa"/>
            <w:tcBorders>
              <w:top w:val="nil"/>
              <w:bottom w:val="nil"/>
            </w:tcBorders>
            <w:vAlign w:val="center"/>
          </w:tcPr>
          <w:p w14:paraId="7016578F"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S4</w:t>
            </w:r>
          </w:p>
        </w:tc>
        <w:tc>
          <w:tcPr>
            <w:tcW w:w="2142" w:type="dxa"/>
            <w:tcBorders>
              <w:top w:val="nil"/>
              <w:bottom w:val="nil"/>
            </w:tcBorders>
            <w:vAlign w:val="center"/>
          </w:tcPr>
          <w:p w14:paraId="242A0EB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7C82A557"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Joint</w:t>
            </w:r>
          </w:p>
        </w:tc>
        <w:tc>
          <w:tcPr>
            <w:tcW w:w="3695" w:type="dxa"/>
            <w:tcBorders>
              <w:top w:val="nil"/>
              <w:bottom w:val="nil"/>
            </w:tcBorders>
            <w:vAlign w:val="center"/>
          </w:tcPr>
          <w:p w14:paraId="3B0E0346" w14:textId="1F3B6F0F"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Broad-spectrum penicillins</w:t>
            </w:r>
            <w:r w:rsidR="0022778E">
              <w:rPr>
                <w:rFonts w:ascii="Book Antiqua" w:eastAsia="宋体" w:hAnsi="Book Antiqua"/>
              </w:rPr>
              <w:t xml:space="preserve"> </w:t>
            </w:r>
            <w:r>
              <w:rPr>
                <w:rFonts w:ascii="Book Antiqua" w:eastAsia="宋体" w:hAnsi="Book Antiqua"/>
              </w:rPr>
              <w:t>+</w:t>
            </w:r>
            <w:r>
              <w:rPr>
                <w:rFonts w:ascii="Book Antiqua" w:hAnsi="Book Antiqua"/>
              </w:rPr>
              <w:t xml:space="preserve"> </w:t>
            </w:r>
            <w:r>
              <w:rPr>
                <w:rFonts w:ascii="Book Antiqua" w:eastAsia="宋体" w:hAnsi="Book Antiqua"/>
              </w:rPr>
              <w:t>carbapenems</w:t>
            </w:r>
          </w:p>
        </w:tc>
      </w:tr>
      <w:tr w:rsidR="00011DC0" w14:paraId="61AC87EA" w14:textId="77777777">
        <w:trPr>
          <w:cantSplit/>
          <w:trHeight w:val="432"/>
        </w:trPr>
        <w:tc>
          <w:tcPr>
            <w:tcW w:w="1474" w:type="dxa"/>
            <w:tcBorders>
              <w:top w:val="nil"/>
              <w:bottom w:val="nil"/>
            </w:tcBorders>
            <w:vAlign w:val="center"/>
          </w:tcPr>
          <w:p w14:paraId="5E7F0A0B"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S5</w:t>
            </w:r>
          </w:p>
        </w:tc>
        <w:tc>
          <w:tcPr>
            <w:tcW w:w="2142" w:type="dxa"/>
            <w:tcBorders>
              <w:top w:val="nil"/>
              <w:bottom w:val="nil"/>
            </w:tcBorders>
            <w:vAlign w:val="center"/>
          </w:tcPr>
          <w:p w14:paraId="4AB1408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Abdomen</w:t>
            </w:r>
          </w:p>
        </w:tc>
        <w:tc>
          <w:tcPr>
            <w:tcW w:w="1989" w:type="dxa"/>
            <w:tcBorders>
              <w:top w:val="nil"/>
              <w:bottom w:val="nil"/>
            </w:tcBorders>
            <w:vAlign w:val="center"/>
          </w:tcPr>
          <w:p w14:paraId="0D066B65"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4A52B312" w14:textId="46206864"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Broad-spectrum penicillins</w:t>
            </w:r>
            <w:r w:rsidR="0022778E">
              <w:rPr>
                <w:rFonts w:ascii="Book Antiqua" w:eastAsia="宋体" w:hAnsi="Book Antiqua"/>
              </w:rPr>
              <w:t xml:space="preserve"> </w:t>
            </w:r>
            <w:r>
              <w:rPr>
                <w:rFonts w:ascii="Book Antiqua" w:eastAsia="宋体" w:hAnsi="Book Antiqua"/>
              </w:rPr>
              <w:t>+ glycopeptides</w:t>
            </w:r>
          </w:p>
        </w:tc>
      </w:tr>
      <w:tr w:rsidR="00011DC0" w14:paraId="0E2BA520" w14:textId="77777777">
        <w:trPr>
          <w:cantSplit/>
          <w:trHeight w:val="432"/>
        </w:trPr>
        <w:tc>
          <w:tcPr>
            <w:tcW w:w="1474" w:type="dxa"/>
            <w:tcBorders>
              <w:top w:val="nil"/>
              <w:bottom w:val="nil"/>
            </w:tcBorders>
            <w:vAlign w:val="center"/>
          </w:tcPr>
          <w:p w14:paraId="32E6F5B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S6</w:t>
            </w:r>
          </w:p>
        </w:tc>
        <w:tc>
          <w:tcPr>
            <w:tcW w:w="2142" w:type="dxa"/>
            <w:tcBorders>
              <w:top w:val="nil"/>
              <w:bottom w:val="nil"/>
            </w:tcBorders>
            <w:vAlign w:val="center"/>
          </w:tcPr>
          <w:p w14:paraId="616C97C3"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1E06F579"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nil"/>
              <w:bottom w:val="nil"/>
            </w:tcBorders>
            <w:vAlign w:val="center"/>
          </w:tcPr>
          <w:p w14:paraId="0C03F070" w14:textId="6451AB4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Broad-spectrum penicillins</w:t>
            </w:r>
            <w:r w:rsidR="0022778E">
              <w:rPr>
                <w:rFonts w:ascii="Book Antiqua" w:eastAsia="宋体" w:hAnsi="Book Antiqua"/>
              </w:rPr>
              <w:t xml:space="preserve"> </w:t>
            </w:r>
            <w:r>
              <w:rPr>
                <w:rFonts w:ascii="Book Antiqua" w:eastAsia="宋体" w:hAnsi="Book Antiqua"/>
              </w:rPr>
              <w:t>+</w:t>
            </w:r>
            <w:r>
              <w:rPr>
                <w:rFonts w:ascii="Book Antiqua" w:hAnsi="Book Antiqua"/>
              </w:rPr>
              <w:t xml:space="preserve"> </w:t>
            </w:r>
            <w:r>
              <w:rPr>
                <w:rFonts w:ascii="Book Antiqua" w:eastAsia="宋体" w:hAnsi="Book Antiqua"/>
              </w:rPr>
              <w:t>tetracyclines</w:t>
            </w:r>
          </w:p>
        </w:tc>
      </w:tr>
      <w:tr w:rsidR="00011DC0" w14:paraId="273E5E6D" w14:textId="77777777">
        <w:trPr>
          <w:cantSplit/>
          <w:trHeight w:val="432"/>
        </w:trPr>
        <w:tc>
          <w:tcPr>
            <w:tcW w:w="1474" w:type="dxa"/>
            <w:tcBorders>
              <w:top w:val="nil"/>
              <w:bottom w:val="nil"/>
            </w:tcBorders>
            <w:vAlign w:val="center"/>
          </w:tcPr>
          <w:p w14:paraId="3B6A6516"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S7</w:t>
            </w:r>
          </w:p>
        </w:tc>
        <w:tc>
          <w:tcPr>
            <w:tcW w:w="2142" w:type="dxa"/>
            <w:tcBorders>
              <w:top w:val="nil"/>
              <w:bottom w:val="nil"/>
            </w:tcBorders>
            <w:vAlign w:val="center"/>
          </w:tcPr>
          <w:p w14:paraId="7BB4DA20"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Lungs</w:t>
            </w:r>
          </w:p>
        </w:tc>
        <w:tc>
          <w:tcPr>
            <w:tcW w:w="1989" w:type="dxa"/>
            <w:tcBorders>
              <w:top w:val="nil"/>
              <w:bottom w:val="nil"/>
            </w:tcBorders>
            <w:vAlign w:val="center"/>
          </w:tcPr>
          <w:p w14:paraId="6420F55C"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nil"/>
              <w:bottom w:val="nil"/>
            </w:tcBorders>
            <w:vAlign w:val="center"/>
          </w:tcPr>
          <w:p w14:paraId="5F71AE73" w14:textId="16E6DE81"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r w:rsidR="0022778E">
              <w:rPr>
                <w:rFonts w:ascii="Book Antiqua" w:eastAsia="宋体" w:hAnsi="Book Antiqua"/>
              </w:rPr>
              <w:t xml:space="preserve"> </w:t>
            </w:r>
            <w:r>
              <w:rPr>
                <w:rFonts w:ascii="Book Antiqua" w:eastAsia="宋体" w:hAnsi="Book Antiqua"/>
              </w:rPr>
              <w:t>+</w:t>
            </w:r>
            <w:r w:rsidR="0022778E">
              <w:rPr>
                <w:rFonts w:ascii="Book Antiqua" w:eastAsia="宋体" w:hAnsi="Book Antiqua"/>
              </w:rPr>
              <w:t xml:space="preserve"> </w:t>
            </w:r>
            <w:r>
              <w:rPr>
                <w:rFonts w:ascii="Book Antiqua" w:eastAsia="宋体" w:hAnsi="Book Antiqua"/>
              </w:rPr>
              <w:t>broad-spectrum penicillins</w:t>
            </w:r>
          </w:p>
        </w:tc>
      </w:tr>
      <w:tr w:rsidR="00011DC0" w14:paraId="713797CB" w14:textId="77777777">
        <w:trPr>
          <w:cantSplit/>
          <w:trHeight w:val="432"/>
        </w:trPr>
        <w:tc>
          <w:tcPr>
            <w:tcW w:w="1474" w:type="dxa"/>
            <w:tcBorders>
              <w:top w:val="nil"/>
              <w:bottom w:val="nil"/>
            </w:tcBorders>
            <w:vAlign w:val="center"/>
          </w:tcPr>
          <w:p w14:paraId="1EB93D9D"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S8</w:t>
            </w:r>
          </w:p>
        </w:tc>
        <w:tc>
          <w:tcPr>
            <w:tcW w:w="2142" w:type="dxa"/>
            <w:tcBorders>
              <w:top w:val="nil"/>
              <w:bottom w:val="nil"/>
            </w:tcBorders>
            <w:vAlign w:val="center"/>
          </w:tcPr>
          <w:p w14:paraId="437D647C"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nil"/>
            </w:tcBorders>
            <w:vAlign w:val="center"/>
          </w:tcPr>
          <w:p w14:paraId="3C84C895"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w:t>
            </w:r>
          </w:p>
        </w:tc>
        <w:tc>
          <w:tcPr>
            <w:tcW w:w="3695" w:type="dxa"/>
            <w:tcBorders>
              <w:top w:val="nil"/>
              <w:bottom w:val="nil"/>
            </w:tcBorders>
            <w:vAlign w:val="center"/>
          </w:tcPr>
          <w:p w14:paraId="4D0FC64F"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p>
        </w:tc>
      </w:tr>
      <w:tr w:rsidR="00011DC0" w14:paraId="4C66029D" w14:textId="77777777">
        <w:trPr>
          <w:cantSplit/>
          <w:trHeight w:val="432"/>
        </w:trPr>
        <w:tc>
          <w:tcPr>
            <w:tcW w:w="1474" w:type="dxa"/>
            <w:tcBorders>
              <w:top w:val="nil"/>
              <w:bottom w:val="nil"/>
            </w:tcBorders>
            <w:vAlign w:val="center"/>
          </w:tcPr>
          <w:p w14:paraId="7CC73171"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S9</w:t>
            </w:r>
          </w:p>
        </w:tc>
        <w:tc>
          <w:tcPr>
            <w:tcW w:w="2142" w:type="dxa"/>
            <w:tcBorders>
              <w:top w:val="nil"/>
              <w:bottom w:val="nil"/>
            </w:tcBorders>
            <w:vAlign w:val="center"/>
          </w:tcPr>
          <w:p w14:paraId="00C0AF12"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nil"/>
            </w:tcBorders>
            <w:vAlign w:val="center"/>
          </w:tcPr>
          <w:p w14:paraId="7B08F21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nil"/>
            </w:tcBorders>
            <w:vAlign w:val="center"/>
          </w:tcPr>
          <w:p w14:paraId="213D6C07"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w:t>
            </w:r>
          </w:p>
        </w:tc>
      </w:tr>
      <w:tr w:rsidR="00011DC0" w14:paraId="72202D8C" w14:textId="77777777">
        <w:trPr>
          <w:cantSplit/>
          <w:trHeight w:val="432"/>
        </w:trPr>
        <w:tc>
          <w:tcPr>
            <w:tcW w:w="1474" w:type="dxa"/>
            <w:tcBorders>
              <w:top w:val="nil"/>
              <w:bottom w:val="single" w:sz="12" w:space="0" w:color="auto"/>
            </w:tcBorders>
            <w:vAlign w:val="center"/>
          </w:tcPr>
          <w:p w14:paraId="007F121D"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S10</w:t>
            </w:r>
          </w:p>
        </w:tc>
        <w:tc>
          <w:tcPr>
            <w:tcW w:w="2142" w:type="dxa"/>
            <w:tcBorders>
              <w:top w:val="nil"/>
              <w:bottom w:val="single" w:sz="12" w:space="0" w:color="auto"/>
            </w:tcBorders>
            <w:vAlign w:val="center"/>
          </w:tcPr>
          <w:p w14:paraId="25E6842E"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Abdominal cavity</w:t>
            </w:r>
          </w:p>
        </w:tc>
        <w:tc>
          <w:tcPr>
            <w:tcW w:w="1989" w:type="dxa"/>
            <w:tcBorders>
              <w:top w:val="nil"/>
              <w:bottom w:val="single" w:sz="12" w:space="0" w:color="auto"/>
            </w:tcBorders>
            <w:vAlign w:val="center"/>
          </w:tcPr>
          <w:p w14:paraId="1769A18C"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Hollow viscera</w:t>
            </w:r>
          </w:p>
        </w:tc>
        <w:tc>
          <w:tcPr>
            <w:tcW w:w="3695" w:type="dxa"/>
            <w:tcBorders>
              <w:top w:val="nil"/>
              <w:bottom w:val="single" w:sz="12" w:space="0" w:color="auto"/>
            </w:tcBorders>
            <w:vAlign w:val="center"/>
          </w:tcPr>
          <w:p w14:paraId="4A6725C1" w14:textId="77777777" w:rsidR="00011DC0" w:rsidRDefault="00546129">
            <w:pPr>
              <w:adjustRightInd w:val="0"/>
              <w:snapToGrid w:val="0"/>
              <w:spacing w:line="360" w:lineRule="auto"/>
              <w:jc w:val="both"/>
              <w:rPr>
                <w:rFonts w:ascii="Book Antiqua" w:eastAsia="宋体" w:hAnsi="Book Antiqua"/>
              </w:rPr>
            </w:pPr>
            <w:r>
              <w:rPr>
                <w:rFonts w:ascii="Book Antiqua" w:eastAsia="宋体" w:hAnsi="Book Antiqua"/>
              </w:rPr>
              <w:t>Carbapenems + glycopeptides</w:t>
            </w:r>
          </w:p>
        </w:tc>
      </w:tr>
    </w:tbl>
    <w:p w14:paraId="4FB96895" w14:textId="77777777" w:rsidR="001372FB" w:rsidRDefault="00546129">
      <w:pPr>
        <w:adjustRightInd w:val="0"/>
        <w:snapToGrid w:val="0"/>
        <w:spacing w:line="360" w:lineRule="auto"/>
        <w:jc w:val="both"/>
        <w:rPr>
          <w:rFonts w:ascii="Book Antiqua" w:eastAsia="宋体" w:hAnsi="Book Antiqua"/>
          <w:lang w:eastAsia="zh-CN" w:bidi="ar"/>
        </w:rPr>
      </w:pPr>
      <w:r>
        <w:rPr>
          <w:rFonts w:ascii="Book Antiqua" w:eastAsia="宋体" w:hAnsi="Book Antiqua"/>
          <w:lang w:bidi="ar"/>
        </w:rPr>
        <w:t>Note: S</w:t>
      </w:r>
      <w:r>
        <w:rPr>
          <w:rFonts w:ascii="Book Antiqua" w:eastAsia="宋体" w:hAnsi="Book Antiqua"/>
          <w:i/>
          <w:iCs/>
          <w:lang w:bidi="ar"/>
        </w:rPr>
        <w:t>n</w:t>
      </w:r>
      <w:r>
        <w:rPr>
          <w:rFonts w:ascii="Book Antiqua" w:eastAsia="宋体" w:hAnsi="Book Antiqua"/>
          <w:lang w:bidi="ar"/>
        </w:rPr>
        <w:t xml:space="preserve"> represents the sepsis patient number </w:t>
      </w:r>
      <w:r>
        <w:rPr>
          <w:rFonts w:ascii="Book Antiqua" w:eastAsia="宋体" w:hAnsi="Book Antiqua"/>
          <w:i/>
          <w:iCs/>
          <w:lang w:bidi="ar"/>
        </w:rPr>
        <w:t>n</w:t>
      </w:r>
      <w:r>
        <w:rPr>
          <w:rFonts w:ascii="Book Antiqua" w:eastAsia="宋体" w:hAnsi="Book Antiqua"/>
          <w:lang w:bidi="ar"/>
        </w:rPr>
        <w:t xml:space="preserve"> in the sepsis group; </w:t>
      </w:r>
      <w:r>
        <w:rPr>
          <w:rFonts w:ascii="Book Antiqua" w:eastAsia="宋体" w:hAnsi="Book Antiqua"/>
          <w:i/>
          <w:iCs/>
          <w:lang w:bidi="ar"/>
        </w:rPr>
        <w:t>e.g.</w:t>
      </w:r>
      <w:r>
        <w:rPr>
          <w:rFonts w:ascii="Book Antiqua" w:eastAsia="宋体" w:hAnsi="Book Antiqua"/>
          <w:lang w:bidi="ar"/>
        </w:rPr>
        <w:t>, S1 represents sepsis patient No. 1.</w:t>
      </w:r>
      <w:r w:rsidR="0022778E">
        <w:rPr>
          <w:rFonts w:ascii="Book Antiqua" w:eastAsia="宋体" w:hAnsi="Book Antiqua"/>
          <w:lang w:bidi="ar"/>
        </w:rPr>
        <w:t xml:space="preserve"> ICU: Intensive care unit.</w:t>
      </w:r>
    </w:p>
    <w:p w14:paraId="57804081" w14:textId="16EE021C" w:rsidR="00011DC0" w:rsidRDefault="0022778E">
      <w:pPr>
        <w:adjustRightInd w:val="0"/>
        <w:snapToGrid w:val="0"/>
        <w:spacing w:line="360" w:lineRule="auto"/>
        <w:jc w:val="both"/>
      </w:pPr>
      <w:r>
        <w:rPr>
          <w:rFonts w:ascii="Book Antiqua" w:eastAsia="宋体" w:hAnsi="Book Antiqua"/>
          <w:lang w:bidi="ar"/>
        </w:rPr>
        <w:t xml:space="preserve"> </w:t>
      </w:r>
      <w:r w:rsidR="00546129">
        <w:br w:type="page"/>
      </w:r>
      <w:r w:rsidR="00546129">
        <w:rPr>
          <w:rFonts w:ascii="Book Antiqua" w:eastAsia="宋体" w:hAnsi="Book Antiqua"/>
          <w:b/>
          <w:lang w:bidi="ar"/>
        </w:rPr>
        <w:lastRenderedPageBreak/>
        <w:t>Table 3 Pathogenic bacteria isolated in the sepsis group</w:t>
      </w:r>
    </w:p>
    <w:tbl>
      <w:tblPr>
        <w:tblStyle w:val="a8"/>
        <w:tblW w:w="920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1"/>
        <w:gridCol w:w="1819"/>
        <w:gridCol w:w="2405"/>
        <w:gridCol w:w="2285"/>
      </w:tblGrid>
      <w:tr w:rsidR="00011DC0" w14:paraId="6951D3C1" w14:textId="77777777">
        <w:trPr>
          <w:trHeight w:val="778"/>
          <w:jc w:val="center"/>
        </w:trPr>
        <w:tc>
          <w:tcPr>
            <w:tcW w:w="2691" w:type="dxa"/>
            <w:tcBorders>
              <w:top w:val="single" w:sz="12" w:space="0" w:color="auto"/>
              <w:bottom w:val="single" w:sz="12" w:space="0" w:color="auto"/>
              <w:right w:val="nil"/>
            </w:tcBorders>
            <w:vAlign w:val="center"/>
          </w:tcPr>
          <w:p w14:paraId="6E377D63" w14:textId="77777777" w:rsidR="00011DC0" w:rsidRDefault="00546129">
            <w:pPr>
              <w:adjustRightInd w:val="0"/>
              <w:snapToGrid w:val="0"/>
              <w:spacing w:line="360" w:lineRule="auto"/>
              <w:rPr>
                <w:rFonts w:ascii="Book Antiqua" w:hAnsi="Book Antiqua"/>
                <w:b/>
                <w:lang w:eastAsia="zh-CN" w:bidi="ar"/>
              </w:rPr>
            </w:pPr>
            <w:bookmarkStart w:id="9" w:name="OLE_LINK50"/>
            <w:r>
              <w:rPr>
                <w:rFonts w:ascii="Book Antiqua" w:hAnsi="Book Antiqua"/>
                <w:b/>
                <w:lang w:eastAsia="zh-CN" w:bidi="ar"/>
              </w:rPr>
              <w:t>Pathogenic bacteria</w:t>
            </w:r>
          </w:p>
        </w:tc>
        <w:tc>
          <w:tcPr>
            <w:tcW w:w="1819" w:type="dxa"/>
            <w:tcBorders>
              <w:top w:val="single" w:sz="12" w:space="0" w:color="auto"/>
              <w:left w:val="nil"/>
              <w:bottom w:val="single" w:sz="12" w:space="0" w:color="auto"/>
              <w:right w:val="nil"/>
            </w:tcBorders>
            <w:vAlign w:val="center"/>
          </w:tcPr>
          <w:p w14:paraId="61D227B6" w14:textId="77777777" w:rsidR="00011DC0" w:rsidRDefault="00546129">
            <w:pPr>
              <w:adjustRightInd w:val="0"/>
              <w:snapToGrid w:val="0"/>
              <w:spacing w:line="360" w:lineRule="auto"/>
              <w:rPr>
                <w:rFonts w:ascii="Book Antiqua" w:hAnsi="Book Antiqua"/>
                <w:b/>
                <w:lang w:eastAsia="zh-CN" w:bidi="ar"/>
              </w:rPr>
            </w:pPr>
            <w:r>
              <w:rPr>
                <w:rFonts w:ascii="Book Antiqua" w:hAnsi="Book Antiqua"/>
                <w:b/>
                <w:lang w:eastAsia="zh-CN" w:bidi="ar"/>
              </w:rPr>
              <w:t>Cultured sample</w:t>
            </w:r>
          </w:p>
        </w:tc>
        <w:tc>
          <w:tcPr>
            <w:tcW w:w="2405" w:type="dxa"/>
            <w:tcBorders>
              <w:top w:val="single" w:sz="12" w:space="0" w:color="auto"/>
              <w:left w:val="nil"/>
              <w:bottom w:val="single" w:sz="12" w:space="0" w:color="auto"/>
              <w:right w:val="nil"/>
            </w:tcBorders>
            <w:vAlign w:val="center"/>
          </w:tcPr>
          <w:p w14:paraId="564A6EEC" w14:textId="77777777" w:rsidR="00011DC0" w:rsidRDefault="00546129">
            <w:pPr>
              <w:adjustRightInd w:val="0"/>
              <w:snapToGrid w:val="0"/>
              <w:spacing w:line="360" w:lineRule="auto"/>
              <w:rPr>
                <w:rFonts w:ascii="Book Antiqua" w:hAnsi="Book Antiqua"/>
                <w:b/>
                <w:lang w:eastAsia="zh-CN" w:bidi="ar"/>
              </w:rPr>
            </w:pPr>
            <w:r>
              <w:rPr>
                <w:rFonts w:ascii="Book Antiqua" w:hAnsi="Book Antiqua"/>
                <w:b/>
                <w:lang w:eastAsia="zh-CN" w:bidi="ar"/>
              </w:rPr>
              <w:t>Patient No.</w:t>
            </w:r>
          </w:p>
        </w:tc>
        <w:tc>
          <w:tcPr>
            <w:tcW w:w="2285" w:type="dxa"/>
            <w:tcBorders>
              <w:top w:val="single" w:sz="12" w:space="0" w:color="auto"/>
              <w:left w:val="nil"/>
              <w:bottom w:val="single" w:sz="12" w:space="0" w:color="auto"/>
            </w:tcBorders>
            <w:vAlign w:val="center"/>
          </w:tcPr>
          <w:p w14:paraId="008E2C9B" w14:textId="77777777" w:rsidR="00011DC0" w:rsidRDefault="00546129">
            <w:pPr>
              <w:adjustRightInd w:val="0"/>
              <w:snapToGrid w:val="0"/>
              <w:spacing w:line="360" w:lineRule="auto"/>
              <w:rPr>
                <w:rFonts w:ascii="Book Antiqua" w:hAnsi="Book Antiqua"/>
                <w:b/>
                <w:lang w:eastAsia="zh-CN" w:bidi="ar"/>
              </w:rPr>
            </w:pPr>
            <w:r>
              <w:rPr>
                <w:rFonts w:ascii="Book Antiqua" w:hAnsi="Book Antiqua"/>
                <w:b/>
                <w:lang w:eastAsia="zh-CN" w:bidi="ar"/>
              </w:rPr>
              <w:t xml:space="preserve">Corresponding sample collection time (day </w:t>
            </w:r>
            <w:r>
              <w:rPr>
                <w:rFonts w:ascii="Book Antiqua" w:hAnsi="Book Antiqua"/>
                <w:b/>
                <w:i/>
                <w:iCs/>
                <w:lang w:eastAsia="zh-CN" w:bidi="ar"/>
              </w:rPr>
              <w:t>n</w:t>
            </w:r>
            <w:r>
              <w:rPr>
                <w:rFonts w:ascii="Book Antiqua" w:hAnsi="Book Antiqua"/>
                <w:b/>
                <w:lang w:eastAsia="zh-CN" w:bidi="ar"/>
              </w:rPr>
              <w:t xml:space="preserve"> after admission to the ICU)</w:t>
            </w:r>
          </w:p>
        </w:tc>
      </w:tr>
      <w:tr w:rsidR="00011DC0" w14:paraId="4C1C90EA" w14:textId="77777777">
        <w:trPr>
          <w:trHeight w:val="435"/>
          <w:jc w:val="center"/>
        </w:trPr>
        <w:tc>
          <w:tcPr>
            <w:tcW w:w="2691" w:type="dxa"/>
            <w:tcBorders>
              <w:top w:val="single" w:sz="12" w:space="0" w:color="auto"/>
              <w:bottom w:val="nil"/>
            </w:tcBorders>
            <w:vAlign w:val="center"/>
          </w:tcPr>
          <w:p w14:paraId="03357BB8" w14:textId="77777777" w:rsidR="00011DC0" w:rsidRDefault="00546129">
            <w:pPr>
              <w:adjustRightInd w:val="0"/>
              <w:snapToGrid w:val="0"/>
              <w:spacing w:line="360" w:lineRule="auto"/>
              <w:rPr>
                <w:rFonts w:ascii="Book Antiqua" w:hAnsi="Book Antiqua"/>
                <w:bCs/>
                <w:i/>
                <w:iCs/>
                <w:lang w:eastAsia="zh-CN" w:bidi="ar"/>
              </w:rPr>
            </w:pPr>
            <w:r>
              <w:rPr>
                <w:rFonts w:ascii="Book Antiqua" w:hAnsi="Book Antiqua"/>
                <w:bCs/>
                <w:i/>
                <w:iCs/>
                <w:lang w:eastAsia="zh-CN" w:bidi="ar"/>
              </w:rPr>
              <w:t>Acinetobacter baumannii</w:t>
            </w:r>
          </w:p>
        </w:tc>
        <w:tc>
          <w:tcPr>
            <w:tcW w:w="1819" w:type="dxa"/>
            <w:tcBorders>
              <w:top w:val="single" w:sz="12" w:space="0" w:color="auto"/>
              <w:bottom w:val="nil"/>
            </w:tcBorders>
            <w:vAlign w:val="center"/>
          </w:tcPr>
          <w:p w14:paraId="35D7F04D"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Sputum</w:t>
            </w:r>
          </w:p>
        </w:tc>
        <w:tc>
          <w:tcPr>
            <w:tcW w:w="2405" w:type="dxa"/>
            <w:tcBorders>
              <w:top w:val="single" w:sz="12" w:space="0" w:color="auto"/>
              <w:bottom w:val="nil"/>
              <w:right w:val="nil"/>
            </w:tcBorders>
            <w:vAlign w:val="center"/>
          </w:tcPr>
          <w:p w14:paraId="382A8521"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S5, S6, S8</w:t>
            </w:r>
          </w:p>
        </w:tc>
        <w:tc>
          <w:tcPr>
            <w:tcW w:w="2285" w:type="dxa"/>
            <w:tcBorders>
              <w:top w:val="single" w:sz="12" w:space="0" w:color="auto"/>
              <w:left w:val="nil"/>
              <w:bottom w:val="nil"/>
            </w:tcBorders>
            <w:vAlign w:val="center"/>
          </w:tcPr>
          <w:p w14:paraId="52421496"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4, 13, 23</w:t>
            </w:r>
          </w:p>
        </w:tc>
      </w:tr>
      <w:tr w:rsidR="00011DC0" w14:paraId="4F7A5BE4" w14:textId="77777777">
        <w:trPr>
          <w:trHeight w:val="411"/>
          <w:jc w:val="center"/>
        </w:trPr>
        <w:tc>
          <w:tcPr>
            <w:tcW w:w="2691" w:type="dxa"/>
            <w:tcBorders>
              <w:top w:val="nil"/>
              <w:bottom w:val="nil"/>
            </w:tcBorders>
            <w:vAlign w:val="center"/>
          </w:tcPr>
          <w:p w14:paraId="7EF0335A" w14:textId="77777777" w:rsidR="00011DC0" w:rsidRDefault="00546129">
            <w:pPr>
              <w:adjustRightInd w:val="0"/>
              <w:snapToGrid w:val="0"/>
              <w:spacing w:line="360" w:lineRule="auto"/>
              <w:rPr>
                <w:rFonts w:ascii="Book Antiqua" w:hAnsi="Book Antiqua"/>
                <w:bCs/>
                <w:i/>
                <w:iCs/>
                <w:lang w:eastAsia="zh-CN" w:bidi="ar"/>
              </w:rPr>
            </w:pPr>
            <w:r>
              <w:rPr>
                <w:rFonts w:ascii="Book Antiqua" w:hAnsi="Book Antiqua"/>
                <w:bCs/>
                <w:i/>
                <w:iCs/>
                <w:lang w:eastAsia="zh-CN" w:bidi="ar"/>
              </w:rPr>
              <w:t>Stenotrophomonas maltophilia</w:t>
            </w:r>
          </w:p>
        </w:tc>
        <w:tc>
          <w:tcPr>
            <w:tcW w:w="1819" w:type="dxa"/>
            <w:tcBorders>
              <w:top w:val="nil"/>
              <w:bottom w:val="nil"/>
            </w:tcBorders>
            <w:vAlign w:val="center"/>
          </w:tcPr>
          <w:p w14:paraId="5FEEF56F"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Sputum</w:t>
            </w:r>
          </w:p>
        </w:tc>
        <w:tc>
          <w:tcPr>
            <w:tcW w:w="2405" w:type="dxa"/>
            <w:tcBorders>
              <w:top w:val="nil"/>
              <w:bottom w:val="nil"/>
              <w:right w:val="nil"/>
            </w:tcBorders>
            <w:vAlign w:val="center"/>
          </w:tcPr>
          <w:p w14:paraId="6D4A9955"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S6, S7</w:t>
            </w:r>
          </w:p>
        </w:tc>
        <w:tc>
          <w:tcPr>
            <w:tcW w:w="2285" w:type="dxa"/>
            <w:tcBorders>
              <w:top w:val="nil"/>
              <w:left w:val="nil"/>
              <w:bottom w:val="nil"/>
            </w:tcBorders>
            <w:vAlign w:val="center"/>
          </w:tcPr>
          <w:p w14:paraId="61E9554D"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1, 8</w:t>
            </w:r>
          </w:p>
        </w:tc>
      </w:tr>
      <w:tr w:rsidR="00011DC0" w14:paraId="6C7EE8C0" w14:textId="77777777">
        <w:trPr>
          <w:trHeight w:val="411"/>
          <w:jc w:val="center"/>
        </w:trPr>
        <w:tc>
          <w:tcPr>
            <w:tcW w:w="2691" w:type="dxa"/>
            <w:tcBorders>
              <w:top w:val="nil"/>
              <w:bottom w:val="nil"/>
            </w:tcBorders>
            <w:vAlign w:val="center"/>
          </w:tcPr>
          <w:p w14:paraId="24240967"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i/>
                <w:iCs/>
                <w:lang w:eastAsia="zh-CN" w:bidi="ar"/>
              </w:rPr>
              <w:t>Enterococcus</w:t>
            </w:r>
          </w:p>
        </w:tc>
        <w:tc>
          <w:tcPr>
            <w:tcW w:w="1819" w:type="dxa"/>
            <w:tcBorders>
              <w:top w:val="nil"/>
              <w:bottom w:val="nil"/>
            </w:tcBorders>
            <w:vAlign w:val="center"/>
          </w:tcPr>
          <w:p w14:paraId="15898A83"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Sputum</w:t>
            </w:r>
          </w:p>
        </w:tc>
        <w:tc>
          <w:tcPr>
            <w:tcW w:w="2405" w:type="dxa"/>
            <w:tcBorders>
              <w:top w:val="nil"/>
              <w:bottom w:val="nil"/>
              <w:right w:val="nil"/>
            </w:tcBorders>
            <w:vAlign w:val="center"/>
          </w:tcPr>
          <w:p w14:paraId="5893921D"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S7</w:t>
            </w:r>
          </w:p>
        </w:tc>
        <w:tc>
          <w:tcPr>
            <w:tcW w:w="2285" w:type="dxa"/>
            <w:tcBorders>
              <w:top w:val="nil"/>
              <w:left w:val="nil"/>
              <w:bottom w:val="nil"/>
            </w:tcBorders>
            <w:vAlign w:val="center"/>
          </w:tcPr>
          <w:p w14:paraId="30594A2A"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23</w:t>
            </w:r>
          </w:p>
        </w:tc>
      </w:tr>
      <w:tr w:rsidR="00011DC0" w14:paraId="3DAE5A3F" w14:textId="77777777">
        <w:trPr>
          <w:trHeight w:val="411"/>
          <w:jc w:val="center"/>
        </w:trPr>
        <w:tc>
          <w:tcPr>
            <w:tcW w:w="2691" w:type="dxa"/>
            <w:tcBorders>
              <w:top w:val="nil"/>
              <w:bottom w:val="single" w:sz="12" w:space="0" w:color="auto"/>
              <w:right w:val="nil"/>
            </w:tcBorders>
            <w:vAlign w:val="center"/>
          </w:tcPr>
          <w:p w14:paraId="5BB3F021" w14:textId="77777777" w:rsidR="00011DC0" w:rsidRDefault="00546129">
            <w:pPr>
              <w:adjustRightInd w:val="0"/>
              <w:snapToGrid w:val="0"/>
              <w:spacing w:line="360" w:lineRule="auto"/>
              <w:rPr>
                <w:rFonts w:ascii="Book Antiqua" w:hAnsi="Book Antiqua"/>
                <w:bCs/>
                <w:i/>
                <w:iCs/>
                <w:lang w:eastAsia="zh-CN" w:bidi="ar"/>
              </w:rPr>
            </w:pPr>
            <w:r>
              <w:rPr>
                <w:rFonts w:ascii="Book Antiqua" w:hAnsi="Book Antiqua"/>
                <w:bCs/>
                <w:i/>
                <w:iCs/>
                <w:lang w:eastAsia="zh-CN" w:bidi="ar"/>
              </w:rPr>
              <w:t>Escherichia coli</w:t>
            </w:r>
          </w:p>
        </w:tc>
        <w:tc>
          <w:tcPr>
            <w:tcW w:w="1819" w:type="dxa"/>
            <w:tcBorders>
              <w:top w:val="nil"/>
              <w:left w:val="nil"/>
              <w:bottom w:val="single" w:sz="12" w:space="0" w:color="auto"/>
              <w:right w:val="nil"/>
            </w:tcBorders>
            <w:vAlign w:val="center"/>
          </w:tcPr>
          <w:p w14:paraId="21100EDC" w14:textId="77777777" w:rsidR="00011DC0" w:rsidRDefault="00546129">
            <w:pPr>
              <w:adjustRightInd w:val="0"/>
              <w:snapToGrid w:val="0"/>
              <w:spacing w:line="360" w:lineRule="auto"/>
              <w:rPr>
                <w:rFonts w:ascii="Book Antiqua" w:hAnsi="Book Antiqua"/>
                <w:lang w:eastAsia="zh-CN" w:bidi="ar"/>
              </w:rPr>
            </w:pPr>
            <w:r>
              <w:rPr>
                <w:rFonts w:ascii="Book Antiqua" w:hAnsi="Book Antiqua"/>
                <w:bCs/>
                <w:lang w:eastAsia="zh-CN" w:bidi="ar"/>
              </w:rPr>
              <w:t>Blood</w:t>
            </w:r>
          </w:p>
        </w:tc>
        <w:tc>
          <w:tcPr>
            <w:tcW w:w="2405" w:type="dxa"/>
            <w:tcBorders>
              <w:top w:val="nil"/>
              <w:left w:val="nil"/>
              <w:bottom w:val="single" w:sz="12" w:space="0" w:color="auto"/>
              <w:right w:val="nil"/>
            </w:tcBorders>
            <w:vAlign w:val="center"/>
          </w:tcPr>
          <w:p w14:paraId="0016E4D8"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S7</w:t>
            </w:r>
          </w:p>
        </w:tc>
        <w:tc>
          <w:tcPr>
            <w:tcW w:w="2285" w:type="dxa"/>
            <w:tcBorders>
              <w:top w:val="nil"/>
              <w:left w:val="nil"/>
              <w:bottom w:val="single" w:sz="12" w:space="0" w:color="auto"/>
            </w:tcBorders>
            <w:vAlign w:val="center"/>
          </w:tcPr>
          <w:p w14:paraId="0955DA8F" w14:textId="77777777" w:rsidR="00011DC0" w:rsidRDefault="00546129">
            <w:pPr>
              <w:adjustRightInd w:val="0"/>
              <w:snapToGrid w:val="0"/>
              <w:spacing w:line="360" w:lineRule="auto"/>
              <w:rPr>
                <w:rFonts w:ascii="Book Antiqua" w:hAnsi="Book Antiqua"/>
                <w:bCs/>
                <w:lang w:eastAsia="zh-CN" w:bidi="ar"/>
              </w:rPr>
            </w:pPr>
            <w:r>
              <w:rPr>
                <w:rFonts w:ascii="Book Antiqua" w:hAnsi="Book Antiqua"/>
                <w:bCs/>
                <w:lang w:eastAsia="zh-CN" w:bidi="ar"/>
              </w:rPr>
              <w:t>1</w:t>
            </w:r>
          </w:p>
        </w:tc>
      </w:tr>
    </w:tbl>
    <w:bookmarkEnd w:id="9"/>
    <w:p w14:paraId="6C4F3C4D" w14:textId="77777777" w:rsidR="008C3B54" w:rsidRDefault="00546129">
      <w:pPr>
        <w:adjustRightInd w:val="0"/>
        <w:snapToGrid w:val="0"/>
        <w:spacing w:line="360" w:lineRule="auto"/>
        <w:jc w:val="both"/>
        <w:rPr>
          <w:rFonts w:ascii="Book Antiqua" w:hAnsi="Book Antiqua" w:cs="Book Antiqua"/>
          <w:color w:val="000000"/>
          <w:lang w:eastAsia="zh-CN"/>
        </w:rPr>
      </w:pPr>
      <w:r>
        <w:rPr>
          <w:rFonts w:ascii="Book Antiqua" w:hAnsi="Book Antiqua"/>
          <w:lang w:bidi="ar"/>
        </w:rPr>
        <w:t>S</w:t>
      </w:r>
      <w:r>
        <w:rPr>
          <w:rFonts w:ascii="Book Antiqua" w:hAnsi="Book Antiqua"/>
          <w:i/>
          <w:iCs/>
          <w:lang w:bidi="ar"/>
        </w:rPr>
        <w:t>n</w:t>
      </w:r>
      <w:r>
        <w:rPr>
          <w:rFonts w:ascii="Book Antiqua" w:hAnsi="Book Antiqua"/>
          <w:lang w:bidi="ar"/>
        </w:rPr>
        <w:t xml:space="preserve"> represents the sepsis patient number </w:t>
      </w:r>
      <w:r>
        <w:rPr>
          <w:rFonts w:ascii="Book Antiqua" w:hAnsi="Book Antiqua"/>
          <w:i/>
          <w:iCs/>
          <w:lang w:bidi="ar"/>
        </w:rPr>
        <w:t>n</w:t>
      </w:r>
      <w:r>
        <w:rPr>
          <w:rFonts w:ascii="Book Antiqua" w:hAnsi="Book Antiqua"/>
          <w:lang w:bidi="ar"/>
        </w:rPr>
        <w:t xml:space="preserve"> in the sepsis group; </w:t>
      </w:r>
      <w:r>
        <w:rPr>
          <w:rFonts w:ascii="Book Antiqua" w:hAnsi="Book Antiqua"/>
          <w:i/>
          <w:iCs/>
          <w:lang w:bidi="ar"/>
        </w:rPr>
        <w:t>e.g.</w:t>
      </w:r>
      <w:r>
        <w:rPr>
          <w:rFonts w:ascii="Book Antiqua" w:hAnsi="Book Antiqua"/>
          <w:lang w:bidi="ar"/>
        </w:rPr>
        <w:t>, S5 represents sepsis patient No. 5.</w:t>
      </w:r>
      <w:r>
        <w:rPr>
          <w:rFonts w:ascii="Book Antiqua" w:hAnsi="Book Antiqua"/>
          <w:bCs/>
          <w:lang w:bidi="ar"/>
        </w:rPr>
        <w:t xml:space="preserve"> In the table, sputum and blood samples from patients </w:t>
      </w:r>
      <w:r>
        <w:rPr>
          <w:rFonts w:ascii="Book Antiqua" w:hAnsi="Book Antiqua"/>
          <w:lang w:bidi="ar"/>
        </w:rPr>
        <w:t>in the sepsis group</w:t>
      </w:r>
      <w:r>
        <w:rPr>
          <w:rFonts w:ascii="Book Antiqua" w:hAnsi="Book Antiqua"/>
          <w:bCs/>
          <w:lang w:bidi="ar"/>
        </w:rPr>
        <w:t xml:space="preserve"> were subjected to qualitative cultures, and bacterial colonization and contamination were ruled out. </w:t>
      </w:r>
      <w:r>
        <w:rPr>
          <w:rFonts w:ascii="Book Antiqua" w:eastAsia="Book Antiqua" w:hAnsi="Book Antiqua" w:cs="Book Antiqua"/>
          <w:color w:val="000000"/>
        </w:rPr>
        <w:t>ICU: Intensive care unit.</w:t>
      </w:r>
    </w:p>
    <w:p w14:paraId="64C8F028" w14:textId="36C934AF" w:rsidR="00011DC0" w:rsidRDefault="00546129">
      <w:pPr>
        <w:adjustRightInd w:val="0"/>
        <w:snapToGrid w:val="0"/>
        <w:spacing w:line="360" w:lineRule="auto"/>
        <w:jc w:val="both"/>
        <w:rPr>
          <w:rFonts w:ascii="Book Antiqua" w:eastAsia="宋体" w:hAnsi="Book Antiqua"/>
          <w:b/>
          <w:bCs/>
        </w:rPr>
      </w:pPr>
      <w:r>
        <w:rPr>
          <w:rFonts w:ascii="Book Antiqua" w:eastAsia="宋体" w:hAnsi="Book Antiqua"/>
          <w:b/>
          <w:bCs/>
        </w:rPr>
        <w:br w:type="page"/>
      </w:r>
      <w:bookmarkStart w:id="10" w:name="OLE_LINK12"/>
      <w:bookmarkStart w:id="11" w:name="OLE_LINK13"/>
      <w:r>
        <w:rPr>
          <w:rFonts w:ascii="Book Antiqua" w:eastAsia="宋体" w:hAnsi="Book Antiqua"/>
          <w:b/>
          <w:bCs/>
        </w:rPr>
        <w:lastRenderedPageBreak/>
        <w:t>Table 4 Statistical comparison of the α-diversity indexes of the intestinal flora in the three groups of individuals</w:t>
      </w:r>
    </w:p>
    <w:tbl>
      <w:tblPr>
        <w:tblStyle w:val="61"/>
        <w:tblW w:w="9390" w:type="dxa"/>
        <w:tblLook w:val="04A0" w:firstRow="1" w:lastRow="0" w:firstColumn="1" w:lastColumn="0" w:noHBand="0" w:noVBand="1"/>
      </w:tblPr>
      <w:tblGrid>
        <w:gridCol w:w="2619"/>
        <w:gridCol w:w="2321"/>
        <w:gridCol w:w="2321"/>
        <w:gridCol w:w="2129"/>
      </w:tblGrid>
      <w:tr w:rsidR="00011DC0" w14:paraId="340652BF" w14:textId="77777777" w:rsidTr="002277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0" w:type="dxa"/>
            <w:vMerge w:val="restart"/>
            <w:noWrap/>
            <w:vAlign w:val="center"/>
          </w:tcPr>
          <w:bookmarkEnd w:id="10"/>
          <w:bookmarkEnd w:id="11"/>
          <w:p w14:paraId="0BB20AEC" w14:textId="5D055ADA" w:rsidR="00011DC0" w:rsidRDefault="00546129" w:rsidP="004F34A0">
            <w:pPr>
              <w:adjustRightInd w:val="0"/>
              <w:snapToGrid w:val="0"/>
              <w:spacing w:line="360" w:lineRule="auto"/>
              <w:jc w:val="both"/>
              <w:rPr>
                <w:rFonts w:ascii="Book Antiqua" w:hAnsi="Book Antiqua"/>
                <w:b w:val="0"/>
                <w:bCs w:val="0"/>
                <w:color w:val="auto"/>
                <w:lang w:eastAsia="zh-CN"/>
              </w:rPr>
            </w:pPr>
            <w:r>
              <w:rPr>
                <w:rFonts w:ascii="Book Antiqua" w:hAnsi="Book Antiqua"/>
                <w:color w:val="auto"/>
                <w:lang w:eastAsia="zh-CN"/>
              </w:rPr>
              <w:t>α-</w:t>
            </w:r>
            <w:r w:rsidR="004F34A0">
              <w:rPr>
                <w:rFonts w:ascii="Book Antiqua" w:hAnsi="Book Antiqua"/>
                <w:color w:val="auto"/>
                <w:lang w:eastAsia="zh-CN"/>
              </w:rPr>
              <w:t xml:space="preserve">diversity </w:t>
            </w:r>
            <w:r>
              <w:rPr>
                <w:rFonts w:ascii="Book Antiqua" w:hAnsi="Book Antiqua"/>
                <w:color w:val="auto"/>
                <w:lang w:eastAsia="zh-CN"/>
              </w:rPr>
              <w:t>index</w:t>
            </w:r>
          </w:p>
        </w:tc>
        <w:tc>
          <w:tcPr>
            <w:tcW w:w="0" w:type="dxa"/>
            <w:gridSpan w:val="3"/>
            <w:tcBorders>
              <w:bottom w:val="single" w:sz="4" w:space="0" w:color="auto"/>
            </w:tcBorders>
            <w:noWrap/>
            <w:vAlign w:val="center"/>
          </w:tcPr>
          <w:p w14:paraId="4859B1C9" w14:textId="727F7615" w:rsidR="00011DC0" w:rsidRDefault="0054612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22778E">
              <w:rPr>
                <w:rFonts w:ascii="Book Antiqua" w:hAnsi="Book Antiqua"/>
                <w:i/>
                <w:iCs/>
                <w:color w:val="auto"/>
                <w:lang w:eastAsia="zh-CN"/>
              </w:rPr>
              <w:t>P</w:t>
            </w:r>
            <w:r w:rsidR="0022778E" w:rsidRPr="0022778E">
              <w:rPr>
                <w:rFonts w:ascii="Book Antiqua" w:hAnsi="Book Antiqua"/>
                <w:i/>
                <w:iCs/>
                <w:color w:val="auto"/>
                <w:lang w:eastAsia="zh-CN"/>
              </w:rPr>
              <w:t xml:space="preserve"> </w:t>
            </w:r>
            <w:r>
              <w:rPr>
                <w:rFonts w:ascii="Book Antiqua" w:hAnsi="Book Antiqua"/>
                <w:color w:val="auto"/>
                <w:lang w:eastAsia="zh-CN"/>
              </w:rPr>
              <w:t>value</w:t>
            </w:r>
          </w:p>
        </w:tc>
      </w:tr>
      <w:tr w:rsidR="00011DC0" w14:paraId="0CFB8F7A" w14:textId="77777777" w:rsidTr="0022778E">
        <w:trPr>
          <w:trHeight w:val="540"/>
        </w:trPr>
        <w:tc>
          <w:tcPr>
            <w:cnfStyle w:val="001000000000" w:firstRow="0" w:lastRow="0" w:firstColumn="1" w:lastColumn="0" w:oddVBand="0" w:evenVBand="0" w:oddHBand="0" w:evenHBand="0" w:firstRowFirstColumn="0" w:firstRowLastColumn="0" w:lastRowFirstColumn="0" w:lastRowLastColumn="0"/>
            <w:tcW w:w="0" w:type="dxa"/>
            <w:vMerge/>
            <w:tcBorders>
              <w:bottom w:val="single" w:sz="4" w:space="0" w:color="auto"/>
            </w:tcBorders>
            <w:shd w:val="clear" w:color="auto" w:fill="auto"/>
            <w:noWrap/>
            <w:vAlign w:val="center"/>
          </w:tcPr>
          <w:p w14:paraId="71A14459" w14:textId="77777777" w:rsidR="00011DC0" w:rsidRDefault="00011DC0">
            <w:pPr>
              <w:adjustRightInd w:val="0"/>
              <w:snapToGrid w:val="0"/>
              <w:spacing w:line="360" w:lineRule="auto"/>
              <w:jc w:val="both"/>
              <w:rPr>
                <w:rFonts w:ascii="Book Antiqua" w:hAnsi="Book Antiqua"/>
                <w:color w:val="auto"/>
                <w:lang w:eastAsia="zh-CN"/>
              </w:rPr>
            </w:pPr>
          </w:p>
        </w:tc>
        <w:tc>
          <w:tcPr>
            <w:tcW w:w="0" w:type="dxa"/>
            <w:tcBorders>
              <w:top w:val="single" w:sz="4" w:space="0" w:color="auto"/>
              <w:bottom w:val="single" w:sz="4" w:space="0" w:color="auto"/>
            </w:tcBorders>
            <w:shd w:val="clear" w:color="auto" w:fill="auto"/>
            <w:vAlign w:val="center"/>
          </w:tcPr>
          <w:p w14:paraId="52C7F7CD" w14:textId="77777777" w:rsidR="00011DC0" w:rsidRPr="0022778E"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color w:val="auto"/>
                <w:lang w:eastAsia="zh-CN"/>
              </w:rPr>
              <w:t xml:space="preserve">Control-median </w:t>
            </w:r>
            <w:r w:rsidRPr="0022778E">
              <w:rPr>
                <w:rFonts w:ascii="Book Antiqua" w:hAnsi="Book Antiqua"/>
                <w:b/>
                <w:bCs/>
                <w:i/>
                <w:iCs/>
                <w:color w:val="auto"/>
                <w:lang w:eastAsia="zh-CN"/>
              </w:rPr>
              <w:t>vs</w:t>
            </w:r>
            <w:r w:rsidRPr="0022778E">
              <w:rPr>
                <w:rFonts w:ascii="Book Antiqua" w:hAnsi="Book Antiqua"/>
                <w:b/>
                <w:bCs/>
                <w:color w:val="auto"/>
                <w:lang w:eastAsia="zh-CN"/>
              </w:rPr>
              <w:t xml:space="preserve"> non-sepsis-median</w:t>
            </w:r>
          </w:p>
        </w:tc>
        <w:tc>
          <w:tcPr>
            <w:tcW w:w="0" w:type="dxa"/>
            <w:tcBorders>
              <w:top w:val="single" w:sz="4" w:space="0" w:color="auto"/>
              <w:bottom w:val="single" w:sz="4" w:space="0" w:color="auto"/>
            </w:tcBorders>
            <w:shd w:val="clear" w:color="auto" w:fill="auto"/>
            <w:vAlign w:val="center"/>
          </w:tcPr>
          <w:p w14:paraId="5C7A5BD9" w14:textId="77777777" w:rsidR="00011DC0" w:rsidRPr="0022778E"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color w:val="auto"/>
                <w:lang w:eastAsia="zh-CN"/>
              </w:rPr>
              <w:t xml:space="preserve">Control-median </w:t>
            </w:r>
            <w:r w:rsidRPr="0022778E">
              <w:rPr>
                <w:rFonts w:ascii="Book Antiqua" w:hAnsi="Book Antiqua"/>
                <w:b/>
                <w:bCs/>
                <w:i/>
                <w:iCs/>
                <w:color w:val="auto"/>
                <w:lang w:eastAsia="zh-CN"/>
              </w:rPr>
              <w:t>vs</w:t>
            </w:r>
            <w:r w:rsidRPr="0022778E">
              <w:rPr>
                <w:rFonts w:ascii="Book Antiqua" w:hAnsi="Book Antiqua"/>
                <w:b/>
                <w:bCs/>
                <w:color w:val="auto"/>
                <w:lang w:eastAsia="zh-CN"/>
              </w:rPr>
              <w:t xml:space="preserve"> sepsis-median</w:t>
            </w:r>
          </w:p>
        </w:tc>
        <w:tc>
          <w:tcPr>
            <w:tcW w:w="0" w:type="dxa"/>
            <w:tcBorders>
              <w:top w:val="single" w:sz="4" w:space="0" w:color="auto"/>
              <w:bottom w:val="single" w:sz="4" w:space="0" w:color="auto"/>
            </w:tcBorders>
            <w:shd w:val="clear" w:color="auto" w:fill="auto"/>
            <w:vAlign w:val="center"/>
          </w:tcPr>
          <w:p w14:paraId="5D226EA5" w14:textId="77777777" w:rsidR="00011DC0" w:rsidRPr="0022778E"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color w:val="auto"/>
                <w:lang w:eastAsia="zh-CN"/>
              </w:rPr>
              <w:t xml:space="preserve">Non-sepsis-median </w:t>
            </w:r>
            <w:r w:rsidRPr="0022778E">
              <w:rPr>
                <w:rFonts w:ascii="Book Antiqua" w:hAnsi="Book Antiqua"/>
                <w:b/>
                <w:bCs/>
                <w:i/>
                <w:iCs/>
                <w:color w:val="auto"/>
                <w:lang w:eastAsia="zh-CN"/>
              </w:rPr>
              <w:t xml:space="preserve">vs </w:t>
            </w:r>
            <w:r w:rsidRPr="0022778E">
              <w:rPr>
                <w:rFonts w:ascii="Book Antiqua" w:hAnsi="Book Antiqua"/>
                <w:b/>
                <w:bCs/>
                <w:color w:val="auto"/>
                <w:lang w:eastAsia="zh-CN"/>
              </w:rPr>
              <w:t>sepsis-median</w:t>
            </w:r>
          </w:p>
        </w:tc>
      </w:tr>
      <w:tr w:rsidR="00011DC0" w14:paraId="07B5400E"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shd w:val="clear" w:color="auto" w:fill="auto"/>
            <w:noWrap/>
            <w:vAlign w:val="center"/>
          </w:tcPr>
          <w:p w14:paraId="29BC0580"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Ace</w:t>
            </w:r>
          </w:p>
        </w:tc>
        <w:tc>
          <w:tcPr>
            <w:tcW w:w="0" w:type="dxa"/>
            <w:tcBorders>
              <w:top w:val="single" w:sz="4" w:space="0" w:color="auto"/>
            </w:tcBorders>
            <w:shd w:val="clear" w:color="auto" w:fill="auto"/>
            <w:noWrap/>
            <w:vAlign w:val="center"/>
          </w:tcPr>
          <w:p w14:paraId="2D2BD299"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0.003</w:t>
            </w:r>
          </w:p>
        </w:tc>
        <w:tc>
          <w:tcPr>
            <w:tcW w:w="0" w:type="dxa"/>
            <w:tcBorders>
              <w:top w:val="single" w:sz="4" w:space="0" w:color="auto"/>
            </w:tcBorders>
            <w:shd w:val="clear" w:color="auto" w:fill="auto"/>
            <w:noWrap/>
            <w:vAlign w:val="center"/>
          </w:tcPr>
          <w:p w14:paraId="053AFBEC"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0.002</w:t>
            </w:r>
          </w:p>
        </w:tc>
        <w:tc>
          <w:tcPr>
            <w:tcW w:w="0" w:type="dxa"/>
            <w:tcBorders>
              <w:top w:val="single" w:sz="4" w:space="0" w:color="auto"/>
            </w:tcBorders>
            <w:shd w:val="clear" w:color="auto" w:fill="auto"/>
            <w:noWrap/>
            <w:vAlign w:val="center"/>
          </w:tcPr>
          <w:p w14:paraId="42DF330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0.247</w:t>
            </w:r>
          </w:p>
        </w:tc>
      </w:tr>
      <w:tr w:rsidR="00011DC0" w14:paraId="5D961255"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4F670884"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Chao</w:t>
            </w:r>
          </w:p>
        </w:tc>
        <w:tc>
          <w:tcPr>
            <w:tcW w:w="0" w:type="dxa"/>
            <w:shd w:val="clear" w:color="auto" w:fill="auto"/>
            <w:noWrap/>
            <w:vAlign w:val="center"/>
          </w:tcPr>
          <w:p w14:paraId="3EBE88F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0.002</w:t>
            </w:r>
          </w:p>
        </w:tc>
        <w:tc>
          <w:tcPr>
            <w:tcW w:w="0" w:type="dxa"/>
            <w:shd w:val="clear" w:color="auto" w:fill="auto"/>
            <w:noWrap/>
            <w:vAlign w:val="center"/>
          </w:tcPr>
          <w:p w14:paraId="2E9963D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0.003</w:t>
            </w:r>
          </w:p>
        </w:tc>
        <w:tc>
          <w:tcPr>
            <w:tcW w:w="0" w:type="dxa"/>
            <w:shd w:val="clear" w:color="auto" w:fill="auto"/>
            <w:noWrap/>
            <w:vAlign w:val="center"/>
          </w:tcPr>
          <w:p w14:paraId="4D980F7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0.393</w:t>
            </w:r>
          </w:p>
        </w:tc>
      </w:tr>
      <w:tr w:rsidR="00011DC0" w14:paraId="18BD950F"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614A395E"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Shannon</w:t>
            </w:r>
          </w:p>
        </w:tc>
        <w:tc>
          <w:tcPr>
            <w:tcW w:w="0" w:type="dxa"/>
            <w:shd w:val="clear" w:color="auto" w:fill="auto"/>
            <w:noWrap/>
            <w:vAlign w:val="center"/>
          </w:tcPr>
          <w:p w14:paraId="7787B9F7"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0.023</w:t>
            </w:r>
          </w:p>
        </w:tc>
        <w:tc>
          <w:tcPr>
            <w:tcW w:w="0" w:type="dxa"/>
            <w:shd w:val="clear" w:color="auto" w:fill="auto"/>
            <w:noWrap/>
            <w:vAlign w:val="center"/>
          </w:tcPr>
          <w:p w14:paraId="2CF62B5F"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0.035</w:t>
            </w:r>
          </w:p>
        </w:tc>
        <w:tc>
          <w:tcPr>
            <w:tcW w:w="0" w:type="dxa"/>
            <w:shd w:val="clear" w:color="auto" w:fill="auto"/>
            <w:noWrap/>
            <w:vAlign w:val="center"/>
          </w:tcPr>
          <w:p w14:paraId="7AEAB20D"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0.795</w:t>
            </w:r>
          </w:p>
        </w:tc>
      </w:tr>
      <w:tr w:rsidR="00011DC0" w14:paraId="358A85FA"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3C0C2F80"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Simpson</w:t>
            </w:r>
          </w:p>
        </w:tc>
        <w:tc>
          <w:tcPr>
            <w:tcW w:w="0" w:type="dxa"/>
            <w:shd w:val="clear" w:color="auto" w:fill="auto"/>
            <w:noWrap/>
            <w:vAlign w:val="center"/>
          </w:tcPr>
          <w:p w14:paraId="3A870D2E"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0.035</w:t>
            </w:r>
          </w:p>
        </w:tc>
        <w:tc>
          <w:tcPr>
            <w:tcW w:w="0" w:type="dxa"/>
            <w:shd w:val="clear" w:color="auto" w:fill="auto"/>
            <w:noWrap/>
            <w:vAlign w:val="center"/>
          </w:tcPr>
          <w:p w14:paraId="6A1162B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0.023</w:t>
            </w:r>
          </w:p>
        </w:tc>
        <w:tc>
          <w:tcPr>
            <w:tcW w:w="0" w:type="dxa"/>
            <w:shd w:val="clear" w:color="auto" w:fill="auto"/>
            <w:noWrap/>
            <w:vAlign w:val="center"/>
          </w:tcPr>
          <w:p w14:paraId="380511D9"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0.739</w:t>
            </w:r>
          </w:p>
        </w:tc>
      </w:tr>
      <w:tr w:rsidR="00011DC0" w14:paraId="49BDB659"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vAlign w:val="center"/>
          </w:tcPr>
          <w:p w14:paraId="1E42A0FD"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Observed OTUs</w:t>
            </w:r>
          </w:p>
        </w:tc>
        <w:tc>
          <w:tcPr>
            <w:tcW w:w="0" w:type="dxa"/>
            <w:shd w:val="clear" w:color="auto" w:fill="auto"/>
            <w:noWrap/>
            <w:vAlign w:val="center"/>
          </w:tcPr>
          <w:p w14:paraId="7D26C33A"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0.001</w:t>
            </w:r>
          </w:p>
        </w:tc>
        <w:tc>
          <w:tcPr>
            <w:tcW w:w="0" w:type="dxa"/>
            <w:shd w:val="clear" w:color="auto" w:fill="auto"/>
            <w:noWrap/>
            <w:vAlign w:val="center"/>
          </w:tcPr>
          <w:p w14:paraId="531C868C"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0.002</w:t>
            </w:r>
          </w:p>
        </w:tc>
        <w:tc>
          <w:tcPr>
            <w:tcW w:w="0" w:type="dxa"/>
            <w:shd w:val="clear" w:color="auto" w:fill="auto"/>
            <w:noWrap/>
            <w:vAlign w:val="center"/>
          </w:tcPr>
          <w:p w14:paraId="08629A14"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0.623</w:t>
            </w:r>
          </w:p>
        </w:tc>
      </w:tr>
    </w:tbl>
    <w:p w14:paraId="0E09604F" w14:textId="77777777" w:rsidR="00011DC0" w:rsidRDefault="00546129">
      <w:pPr>
        <w:pStyle w:val="a6"/>
        <w:adjustRightInd w:val="0"/>
        <w:snapToGrid w:val="0"/>
        <w:rPr>
          <w:rFonts w:ascii="Book Antiqua" w:eastAsia="宋体" w:hAnsi="Book Antiqua" w:cs="Times New Roman"/>
          <w:bCs/>
          <w:sz w:val="24"/>
          <w:szCs w:val="24"/>
        </w:rPr>
      </w:pPr>
      <w:r>
        <w:rPr>
          <w:rFonts w:ascii="Book Antiqua" w:eastAsia="宋体" w:hAnsi="Book Antiqua" w:cs="Times New Roman"/>
          <w:bCs/>
          <w:sz w:val="24"/>
          <w:szCs w:val="24"/>
        </w:rPr>
        <w:t xml:space="preserve">The Ace and Chao indexes reflect the microbial abundances in samples. Larger values indicate higher microbial abundance. The Shannon and Simpson indexes reflect the microbial diversity of samples. A larger Shannon index indicates a higher diversity, whereas a larger Simpson index indicates a lower diversity. </w:t>
      </w:r>
      <w:r>
        <w:rPr>
          <w:rFonts w:ascii="Book Antiqua" w:eastAsia="宋体" w:hAnsi="Book Antiqua" w:cs="Times New Roman"/>
          <w:bCs/>
          <w:i/>
          <w:iCs/>
          <w:sz w:val="24"/>
          <w:szCs w:val="24"/>
        </w:rPr>
        <w:t>P</w:t>
      </w:r>
      <w:r>
        <w:rPr>
          <w:rFonts w:ascii="Book Antiqua" w:eastAsia="宋体" w:hAnsi="Book Antiqua" w:cs="Times New Roman"/>
          <w:bCs/>
          <w:sz w:val="24"/>
          <w:szCs w:val="24"/>
        </w:rPr>
        <w:t xml:space="preserve"> &lt; 0.05 was considered statistically significant. OTUs: Operational taxonomic units.</w:t>
      </w:r>
    </w:p>
    <w:p w14:paraId="18C0605D" w14:textId="77777777" w:rsidR="00011DC0" w:rsidRDefault="00546129">
      <w:pPr>
        <w:adjustRightInd w:val="0"/>
        <w:snapToGrid w:val="0"/>
        <w:spacing w:line="360" w:lineRule="auto"/>
        <w:jc w:val="both"/>
        <w:rPr>
          <w:rFonts w:ascii="Book Antiqua" w:eastAsia="宋体" w:hAnsi="Book Antiqua"/>
          <w:b/>
          <w:bCs/>
          <w:lang w:eastAsia="zh-Hans"/>
        </w:rPr>
      </w:pPr>
      <w:r>
        <w:rPr>
          <w:rFonts w:ascii="Book Antiqua" w:eastAsia="宋体" w:hAnsi="Book Antiqua"/>
          <w:b/>
          <w:bCs/>
          <w:lang w:eastAsia="zh-Hans"/>
        </w:rPr>
        <w:br w:type="page"/>
      </w:r>
    </w:p>
    <w:p w14:paraId="273D82F7" w14:textId="317B33BD" w:rsidR="00011DC0" w:rsidRDefault="00546129">
      <w:pPr>
        <w:adjustRightInd w:val="0"/>
        <w:snapToGrid w:val="0"/>
        <w:spacing w:line="360" w:lineRule="auto"/>
        <w:jc w:val="both"/>
        <w:rPr>
          <w:rFonts w:ascii="Book Antiqua" w:eastAsia="宋体" w:hAnsi="Book Antiqua"/>
          <w:b/>
          <w:bCs/>
        </w:rPr>
      </w:pPr>
      <w:r>
        <w:rPr>
          <w:rFonts w:ascii="Book Antiqua" w:eastAsia="宋体" w:hAnsi="Book Antiqua"/>
          <w:b/>
          <w:bCs/>
          <w:lang w:eastAsia="zh-Hans"/>
        </w:rPr>
        <w:lastRenderedPageBreak/>
        <w:t>Table 5 Variation in the α-diversity indexes of the intestinal flora in patients with sepsis within 1 wk of treatment (days 1, 3, and 7 after intensive care unit admittance)</w:t>
      </w:r>
    </w:p>
    <w:tbl>
      <w:tblPr>
        <w:tblStyle w:val="61"/>
        <w:tblW w:w="9390" w:type="dxa"/>
        <w:tblLook w:val="04A0" w:firstRow="1" w:lastRow="0" w:firstColumn="1" w:lastColumn="0" w:noHBand="0" w:noVBand="1"/>
      </w:tblPr>
      <w:tblGrid>
        <w:gridCol w:w="3356"/>
        <w:gridCol w:w="2108"/>
        <w:gridCol w:w="1963"/>
        <w:gridCol w:w="1963"/>
      </w:tblGrid>
      <w:tr w:rsidR="00011DC0" w14:paraId="6FF4E32C" w14:textId="77777777" w:rsidTr="0022778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356" w:type="dxa"/>
            <w:vMerge w:val="restart"/>
            <w:shd w:val="clear" w:color="auto" w:fill="auto"/>
            <w:noWrap/>
            <w:vAlign w:val="center"/>
          </w:tcPr>
          <w:p w14:paraId="7DD5F387" w14:textId="5E7CABA1" w:rsidR="00011DC0" w:rsidRDefault="00546129" w:rsidP="004F34A0">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α-</w:t>
            </w:r>
            <w:r w:rsidR="004F34A0">
              <w:rPr>
                <w:rFonts w:ascii="Book Antiqua" w:hAnsi="Book Antiqua"/>
                <w:color w:val="auto"/>
                <w:lang w:eastAsia="zh-CN"/>
              </w:rPr>
              <w:t xml:space="preserve">diversity </w:t>
            </w:r>
            <w:r>
              <w:rPr>
                <w:rFonts w:ascii="Book Antiqua" w:hAnsi="Book Antiqua"/>
                <w:color w:val="auto"/>
                <w:lang w:eastAsia="zh-CN"/>
              </w:rPr>
              <w:t>index</w:t>
            </w:r>
          </w:p>
        </w:tc>
        <w:tc>
          <w:tcPr>
            <w:tcW w:w="6034" w:type="dxa"/>
            <w:gridSpan w:val="3"/>
            <w:tcBorders>
              <w:bottom w:val="single" w:sz="4" w:space="0" w:color="auto"/>
            </w:tcBorders>
            <w:shd w:val="clear" w:color="auto" w:fill="auto"/>
            <w:noWrap/>
            <w:vAlign w:val="center"/>
          </w:tcPr>
          <w:p w14:paraId="13EC6BEB" w14:textId="5D752E3F" w:rsidR="00011DC0" w:rsidRDefault="0054612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i/>
                <w:iCs/>
                <w:color w:val="auto"/>
                <w:lang w:eastAsia="zh-CN"/>
              </w:rPr>
              <w:t>P</w:t>
            </w:r>
            <w:r w:rsidR="0022778E">
              <w:rPr>
                <w:rFonts w:ascii="Book Antiqua" w:hAnsi="Book Antiqua"/>
                <w:i/>
                <w:iCs/>
                <w:color w:val="auto"/>
                <w:lang w:eastAsia="zh-CN"/>
              </w:rPr>
              <w:t xml:space="preserve"> </w:t>
            </w:r>
            <w:r>
              <w:rPr>
                <w:rFonts w:ascii="Book Antiqua" w:hAnsi="Book Antiqua"/>
                <w:color w:val="auto"/>
                <w:lang w:eastAsia="zh-CN"/>
              </w:rPr>
              <w:t>value</w:t>
            </w:r>
          </w:p>
        </w:tc>
      </w:tr>
      <w:tr w:rsidR="00011DC0" w14:paraId="28B88547" w14:textId="77777777" w:rsidTr="0022778E">
        <w:trPr>
          <w:trHeight w:val="540"/>
        </w:trPr>
        <w:tc>
          <w:tcPr>
            <w:cnfStyle w:val="001000000000" w:firstRow="0" w:lastRow="0" w:firstColumn="1" w:lastColumn="0" w:oddVBand="0" w:evenVBand="0" w:oddHBand="0" w:evenHBand="0" w:firstRowFirstColumn="0" w:firstRowLastColumn="0" w:lastRowFirstColumn="0" w:lastRowLastColumn="0"/>
            <w:tcW w:w="3356" w:type="dxa"/>
            <w:vMerge/>
            <w:tcBorders>
              <w:bottom w:val="single" w:sz="4" w:space="0" w:color="auto"/>
            </w:tcBorders>
            <w:shd w:val="clear" w:color="auto" w:fill="auto"/>
            <w:noWrap/>
            <w:vAlign w:val="center"/>
          </w:tcPr>
          <w:p w14:paraId="20BBEFCB" w14:textId="77777777" w:rsidR="00011DC0" w:rsidRDefault="00011DC0">
            <w:pPr>
              <w:adjustRightInd w:val="0"/>
              <w:snapToGrid w:val="0"/>
              <w:spacing w:line="360" w:lineRule="auto"/>
              <w:jc w:val="both"/>
              <w:rPr>
                <w:rFonts w:ascii="Book Antiqua" w:hAnsi="Book Antiqua"/>
                <w:color w:val="auto"/>
                <w:lang w:eastAsia="zh-CN"/>
              </w:rPr>
            </w:pPr>
          </w:p>
        </w:tc>
        <w:tc>
          <w:tcPr>
            <w:tcW w:w="2108" w:type="dxa"/>
            <w:tcBorders>
              <w:top w:val="single" w:sz="4" w:space="0" w:color="auto"/>
              <w:bottom w:val="single" w:sz="4" w:space="0" w:color="auto"/>
            </w:tcBorders>
            <w:shd w:val="clear" w:color="auto" w:fill="auto"/>
            <w:vAlign w:val="center"/>
          </w:tcPr>
          <w:p w14:paraId="64EB0C4C" w14:textId="432B3325" w:rsidR="00011DC0" w:rsidRPr="0022778E" w:rsidRDefault="0022778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lang w:eastAsia="zh-CN"/>
              </w:rPr>
              <w:t>D</w:t>
            </w:r>
            <w:r w:rsidR="00546129" w:rsidRPr="0022778E">
              <w:rPr>
                <w:rFonts w:ascii="Book Antiqua" w:hAnsi="Book Antiqua"/>
                <w:b/>
                <w:bCs/>
                <w:lang w:eastAsia="zh-CN"/>
              </w:rPr>
              <w:t>ay 1</w:t>
            </w:r>
            <w:r w:rsidR="00546129" w:rsidRPr="0022778E">
              <w:rPr>
                <w:rFonts w:ascii="Book Antiqua" w:hAnsi="Book Antiqua"/>
                <w:b/>
                <w:bCs/>
                <w:color w:val="auto"/>
                <w:lang w:eastAsia="zh-CN"/>
              </w:rPr>
              <w:t xml:space="preserve"> </w:t>
            </w:r>
            <w:r w:rsidR="00546129" w:rsidRPr="0022778E">
              <w:rPr>
                <w:rFonts w:ascii="Book Antiqua" w:hAnsi="Book Antiqua"/>
                <w:b/>
                <w:bCs/>
                <w:i/>
                <w:iCs/>
                <w:color w:val="auto"/>
                <w:lang w:eastAsia="zh-CN"/>
              </w:rPr>
              <w:t>vs</w:t>
            </w:r>
            <w:r w:rsidR="00546129" w:rsidRPr="0022778E">
              <w:rPr>
                <w:rFonts w:ascii="Book Antiqua" w:hAnsi="Book Antiqua"/>
                <w:b/>
                <w:bCs/>
                <w:color w:val="auto"/>
                <w:lang w:eastAsia="zh-CN"/>
              </w:rPr>
              <w:t xml:space="preserve"> </w:t>
            </w:r>
            <w:r w:rsidR="00546129" w:rsidRPr="0022778E">
              <w:rPr>
                <w:rFonts w:ascii="Book Antiqua" w:hAnsi="Book Antiqua"/>
                <w:b/>
                <w:bCs/>
                <w:lang w:eastAsia="zh-Hans"/>
              </w:rPr>
              <w:t>day 3</w:t>
            </w:r>
          </w:p>
        </w:tc>
        <w:tc>
          <w:tcPr>
            <w:tcW w:w="1963" w:type="dxa"/>
            <w:tcBorders>
              <w:top w:val="single" w:sz="4" w:space="0" w:color="auto"/>
              <w:bottom w:val="single" w:sz="4" w:space="0" w:color="auto"/>
            </w:tcBorders>
            <w:shd w:val="clear" w:color="auto" w:fill="auto"/>
            <w:vAlign w:val="center"/>
          </w:tcPr>
          <w:p w14:paraId="28439960" w14:textId="581771B1" w:rsidR="00011DC0" w:rsidRPr="0022778E" w:rsidRDefault="0022778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lang w:eastAsia="zh-CN"/>
              </w:rPr>
              <w:t>Day 1</w:t>
            </w:r>
            <w:r w:rsidR="00546129" w:rsidRPr="0022778E">
              <w:rPr>
                <w:rFonts w:ascii="Book Antiqua" w:hAnsi="Book Antiqua"/>
                <w:b/>
                <w:bCs/>
                <w:color w:val="auto"/>
                <w:lang w:eastAsia="zh-CN"/>
              </w:rPr>
              <w:t xml:space="preserve"> </w:t>
            </w:r>
            <w:r w:rsidR="00546129" w:rsidRPr="0022778E">
              <w:rPr>
                <w:rFonts w:ascii="Book Antiqua" w:hAnsi="Book Antiqua"/>
                <w:b/>
                <w:bCs/>
                <w:i/>
                <w:iCs/>
                <w:color w:val="auto"/>
                <w:lang w:eastAsia="zh-CN"/>
              </w:rPr>
              <w:t xml:space="preserve">vs </w:t>
            </w:r>
            <w:r w:rsidR="00546129" w:rsidRPr="0022778E">
              <w:rPr>
                <w:rFonts w:ascii="Book Antiqua" w:hAnsi="Book Antiqua"/>
                <w:b/>
                <w:bCs/>
                <w:lang w:eastAsia="zh-Hans"/>
              </w:rPr>
              <w:t>day 7</w:t>
            </w:r>
          </w:p>
        </w:tc>
        <w:tc>
          <w:tcPr>
            <w:tcW w:w="1963" w:type="dxa"/>
            <w:tcBorders>
              <w:top w:val="single" w:sz="4" w:space="0" w:color="auto"/>
              <w:bottom w:val="single" w:sz="4" w:space="0" w:color="auto"/>
            </w:tcBorders>
            <w:shd w:val="clear" w:color="auto" w:fill="auto"/>
            <w:vAlign w:val="center"/>
          </w:tcPr>
          <w:p w14:paraId="445FC294" w14:textId="1B323032" w:rsidR="00011DC0" w:rsidRPr="0022778E" w:rsidRDefault="0022778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bCs/>
                <w:color w:val="auto"/>
                <w:lang w:eastAsia="zh-CN"/>
              </w:rPr>
            </w:pPr>
            <w:r w:rsidRPr="0022778E">
              <w:rPr>
                <w:rFonts w:ascii="Book Antiqua" w:hAnsi="Book Antiqua"/>
                <w:b/>
                <w:bCs/>
                <w:lang w:eastAsia="zh-Hans"/>
              </w:rPr>
              <w:t>Day 3</w:t>
            </w:r>
            <w:r w:rsidR="00546129" w:rsidRPr="0022778E">
              <w:rPr>
                <w:rFonts w:ascii="Book Antiqua" w:hAnsi="Book Antiqua"/>
                <w:b/>
                <w:bCs/>
                <w:color w:val="auto"/>
                <w:lang w:eastAsia="zh-CN"/>
              </w:rPr>
              <w:t xml:space="preserve"> </w:t>
            </w:r>
            <w:r w:rsidR="00546129" w:rsidRPr="0022778E">
              <w:rPr>
                <w:rFonts w:ascii="Book Antiqua" w:hAnsi="Book Antiqua"/>
                <w:b/>
                <w:bCs/>
                <w:i/>
                <w:iCs/>
                <w:color w:val="auto"/>
                <w:lang w:eastAsia="zh-CN"/>
              </w:rPr>
              <w:t>vs</w:t>
            </w:r>
            <w:r w:rsidR="00546129" w:rsidRPr="0022778E">
              <w:rPr>
                <w:rFonts w:ascii="Book Antiqua" w:hAnsi="Book Antiqua"/>
                <w:b/>
                <w:bCs/>
                <w:color w:val="auto"/>
                <w:lang w:eastAsia="zh-CN"/>
              </w:rPr>
              <w:t xml:space="preserve"> </w:t>
            </w:r>
            <w:r w:rsidR="00546129" w:rsidRPr="0022778E">
              <w:rPr>
                <w:rFonts w:ascii="Book Antiqua" w:hAnsi="Book Antiqua"/>
                <w:b/>
                <w:bCs/>
                <w:lang w:eastAsia="zh-Hans"/>
              </w:rPr>
              <w:t>day 7</w:t>
            </w:r>
          </w:p>
        </w:tc>
      </w:tr>
      <w:tr w:rsidR="00011DC0" w14:paraId="5D4693EA"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tcBorders>
              <w:top w:val="single" w:sz="4" w:space="0" w:color="auto"/>
            </w:tcBorders>
            <w:shd w:val="clear" w:color="auto" w:fill="auto"/>
            <w:noWrap/>
            <w:vAlign w:val="center"/>
          </w:tcPr>
          <w:p w14:paraId="49DDC2A5"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Ace</w:t>
            </w:r>
          </w:p>
        </w:tc>
        <w:tc>
          <w:tcPr>
            <w:tcW w:w="2108" w:type="dxa"/>
            <w:tcBorders>
              <w:top w:val="single" w:sz="4" w:space="0" w:color="auto"/>
            </w:tcBorders>
            <w:shd w:val="clear" w:color="auto" w:fill="auto"/>
            <w:noWrap/>
            <w:vAlign w:val="center"/>
          </w:tcPr>
          <w:p w14:paraId="5B810337"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0.066</w:t>
            </w:r>
          </w:p>
        </w:tc>
        <w:tc>
          <w:tcPr>
            <w:tcW w:w="1963" w:type="dxa"/>
            <w:tcBorders>
              <w:top w:val="single" w:sz="4" w:space="0" w:color="auto"/>
            </w:tcBorders>
            <w:shd w:val="clear" w:color="auto" w:fill="auto"/>
            <w:noWrap/>
            <w:vAlign w:val="center"/>
          </w:tcPr>
          <w:p w14:paraId="7F65358F"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0.121</w:t>
            </w:r>
          </w:p>
        </w:tc>
        <w:tc>
          <w:tcPr>
            <w:tcW w:w="1963" w:type="dxa"/>
            <w:tcBorders>
              <w:top w:val="single" w:sz="4" w:space="0" w:color="auto"/>
            </w:tcBorders>
            <w:shd w:val="clear" w:color="auto" w:fill="auto"/>
            <w:noWrap/>
            <w:vAlign w:val="center"/>
          </w:tcPr>
          <w:p w14:paraId="68C4B452"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0.347</w:t>
            </w:r>
          </w:p>
        </w:tc>
      </w:tr>
      <w:tr w:rsidR="00011DC0" w14:paraId="6379079A"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77A567F3"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Chao</w:t>
            </w:r>
          </w:p>
        </w:tc>
        <w:tc>
          <w:tcPr>
            <w:tcW w:w="2108" w:type="dxa"/>
            <w:shd w:val="clear" w:color="auto" w:fill="auto"/>
            <w:noWrap/>
            <w:vAlign w:val="center"/>
          </w:tcPr>
          <w:p w14:paraId="1F91BD5B"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0.205</w:t>
            </w:r>
          </w:p>
        </w:tc>
        <w:tc>
          <w:tcPr>
            <w:tcW w:w="1963" w:type="dxa"/>
            <w:shd w:val="clear" w:color="auto" w:fill="auto"/>
            <w:noWrap/>
            <w:vAlign w:val="center"/>
          </w:tcPr>
          <w:p w14:paraId="351A0B13"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0.384</w:t>
            </w:r>
          </w:p>
        </w:tc>
        <w:tc>
          <w:tcPr>
            <w:tcW w:w="1963" w:type="dxa"/>
            <w:shd w:val="clear" w:color="auto" w:fill="auto"/>
            <w:noWrap/>
            <w:vAlign w:val="center"/>
          </w:tcPr>
          <w:p w14:paraId="4327A88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0.595</w:t>
            </w:r>
          </w:p>
        </w:tc>
      </w:tr>
      <w:tr w:rsidR="00011DC0" w14:paraId="17DB70CE"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35258081"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Shannon</w:t>
            </w:r>
          </w:p>
        </w:tc>
        <w:tc>
          <w:tcPr>
            <w:tcW w:w="2108" w:type="dxa"/>
            <w:shd w:val="clear" w:color="auto" w:fill="auto"/>
            <w:noWrap/>
            <w:vAlign w:val="center"/>
          </w:tcPr>
          <w:p w14:paraId="7ABF9B5E"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0.653</w:t>
            </w:r>
          </w:p>
        </w:tc>
        <w:tc>
          <w:tcPr>
            <w:tcW w:w="1963" w:type="dxa"/>
            <w:shd w:val="clear" w:color="auto" w:fill="auto"/>
            <w:noWrap/>
            <w:vAlign w:val="center"/>
          </w:tcPr>
          <w:p w14:paraId="23B8626E"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0.307</w:t>
            </w:r>
          </w:p>
        </w:tc>
        <w:tc>
          <w:tcPr>
            <w:tcW w:w="1963" w:type="dxa"/>
            <w:shd w:val="clear" w:color="auto" w:fill="auto"/>
            <w:noWrap/>
            <w:vAlign w:val="center"/>
          </w:tcPr>
          <w:p w14:paraId="73A4E468"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0.487</w:t>
            </w:r>
          </w:p>
        </w:tc>
      </w:tr>
      <w:tr w:rsidR="00011DC0" w14:paraId="64359A86"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58834E99"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Simpson</w:t>
            </w:r>
          </w:p>
        </w:tc>
        <w:tc>
          <w:tcPr>
            <w:tcW w:w="2108" w:type="dxa"/>
            <w:shd w:val="clear" w:color="auto" w:fill="auto"/>
            <w:noWrap/>
            <w:vAlign w:val="center"/>
          </w:tcPr>
          <w:p w14:paraId="406B3386"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0.595</w:t>
            </w:r>
          </w:p>
        </w:tc>
        <w:tc>
          <w:tcPr>
            <w:tcW w:w="1963" w:type="dxa"/>
            <w:shd w:val="clear" w:color="auto" w:fill="auto"/>
            <w:noWrap/>
            <w:vAlign w:val="center"/>
          </w:tcPr>
          <w:p w14:paraId="6BA483C1"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0.241</w:t>
            </w:r>
          </w:p>
        </w:tc>
        <w:tc>
          <w:tcPr>
            <w:tcW w:w="1963" w:type="dxa"/>
            <w:shd w:val="clear" w:color="auto" w:fill="auto"/>
            <w:noWrap/>
            <w:vAlign w:val="center"/>
          </w:tcPr>
          <w:p w14:paraId="215F686B"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0.347</w:t>
            </w:r>
          </w:p>
        </w:tc>
      </w:tr>
      <w:tr w:rsidR="00011DC0" w14:paraId="221A9D99" w14:textId="77777777" w:rsidTr="00011DC0">
        <w:trPr>
          <w:trHeight w:val="270"/>
        </w:trPr>
        <w:tc>
          <w:tcPr>
            <w:cnfStyle w:val="001000000000" w:firstRow="0" w:lastRow="0" w:firstColumn="1" w:lastColumn="0" w:oddVBand="0" w:evenVBand="0" w:oddHBand="0" w:evenHBand="0" w:firstRowFirstColumn="0" w:firstRowLastColumn="0" w:lastRowFirstColumn="0" w:lastRowLastColumn="0"/>
            <w:tcW w:w="3356" w:type="dxa"/>
            <w:shd w:val="clear" w:color="auto" w:fill="auto"/>
            <w:noWrap/>
            <w:vAlign w:val="center"/>
          </w:tcPr>
          <w:p w14:paraId="7775F5B8" w14:textId="77777777" w:rsidR="00011DC0" w:rsidRDefault="00546129">
            <w:pPr>
              <w:adjustRightInd w:val="0"/>
              <w:snapToGrid w:val="0"/>
              <w:spacing w:line="360" w:lineRule="auto"/>
              <w:jc w:val="both"/>
              <w:rPr>
                <w:rFonts w:ascii="Book Antiqua" w:hAnsi="Book Antiqua"/>
                <w:color w:val="auto"/>
                <w:lang w:eastAsia="zh-CN"/>
              </w:rPr>
            </w:pPr>
            <w:r>
              <w:rPr>
                <w:rFonts w:ascii="Book Antiqua" w:hAnsi="Book Antiqua"/>
                <w:color w:val="auto"/>
                <w:lang w:eastAsia="zh-CN"/>
              </w:rPr>
              <w:t>Observed OTUs</w:t>
            </w:r>
          </w:p>
        </w:tc>
        <w:tc>
          <w:tcPr>
            <w:tcW w:w="2108" w:type="dxa"/>
            <w:shd w:val="clear" w:color="auto" w:fill="auto"/>
            <w:noWrap/>
            <w:vAlign w:val="center"/>
          </w:tcPr>
          <w:p w14:paraId="03609B65"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0.177</w:t>
            </w:r>
          </w:p>
        </w:tc>
        <w:tc>
          <w:tcPr>
            <w:tcW w:w="1963" w:type="dxa"/>
            <w:shd w:val="clear" w:color="auto" w:fill="auto"/>
            <w:noWrap/>
            <w:vAlign w:val="center"/>
          </w:tcPr>
          <w:p w14:paraId="2C36156F"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0.384</w:t>
            </w:r>
          </w:p>
        </w:tc>
        <w:tc>
          <w:tcPr>
            <w:tcW w:w="1963" w:type="dxa"/>
            <w:shd w:val="clear" w:color="auto" w:fill="auto"/>
            <w:noWrap/>
            <w:vAlign w:val="center"/>
          </w:tcPr>
          <w:p w14:paraId="31E10F74" w14:textId="77777777" w:rsidR="00011DC0" w:rsidRDefault="0054612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eastAsia="zh-CN"/>
              </w:rPr>
            </w:pPr>
            <w:r>
              <w:rPr>
                <w:rFonts w:ascii="Book Antiqua" w:hAnsi="Book Antiqua"/>
                <w:color w:val="auto"/>
                <w:lang w:eastAsia="zh-CN"/>
              </w:rPr>
              <w:t>0.623</w:t>
            </w:r>
          </w:p>
        </w:tc>
      </w:tr>
    </w:tbl>
    <w:p w14:paraId="721CC2DB" w14:textId="4218E214" w:rsidR="00011DC0" w:rsidRDefault="00546129">
      <w:pPr>
        <w:adjustRightInd w:val="0"/>
        <w:snapToGrid w:val="0"/>
        <w:spacing w:line="360" w:lineRule="auto"/>
        <w:jc w:val="both"/>
        <w:rPr>
          <w:rFonts w:ascii="Book Antiqua" w:eastAsia="宋体" w:hAnsi="Book Antiqua"/>
          <w:b/>
          <w:shd w:val="clear" w:color="auto" w:fill="FFFFFF"/>
          <w:lang w:eastAsia="zh-CN"/>
        </w:rPr>
      </w:pPr>
      <w:r>
        <w:rPr>
          <w:rFonts w:ascii="Book Antiqua" w:eastAsia="宋体" w:hAnsi="Book Antiqua"/>
          <w:bCs/>
        </w:rPr>
        <w:t>OTUs: Operational taxonomic units</w:t>
      </w:r>
      <w:r w:rsidR="006D4FDD">
        <w:rPr>
          <w:rFonts w:ascii="Book Antiqua" w:eastAsia="宋体" w:hAnsi="Book Antiqua" w:hint="eastAsia"/>
          <w:bCs/>
          <w:lang w:eastAsia="zh-CN"/>
        </w:rPr>
        <w:t>.</w:t>
      </w:r>
    </w:p>
    <w:p w14:paraId="546C4850" w14:textId="049EB741" w:rsidR="002451BA" w:rsidRDefault="002451BA">
      <w:pPr>
        <w:rPr>
          <w:rFonts w:ascii="Book Antiqua" w:hAnsi="Book Antiqua"/>
        </w:rPr>
      </w:pPr>
      <w:r>
        <w:rPr>
          <w:rFonts w:ascii="Book Antiqua" w:hAnsi="Book Antiqua"/>
        </w:rPr>
        <w:br w:type="page"/>
      </w:r>
    </w:p>
    <w:p w14:paraId="719B2137" w14:textId="77777777" w:rsidR="002451BA" w:rsidRDefault="002451BA" w:rsidP="002451BA">
      <w:pPr>
        <w:ind w:leftChars="100" w:left="240"/>
        <w:jc w:val="center"/>
        <w:rPr>
          <w:rFonts w:ascii="Book Antiqua" w:hAnsi="Book Antiqua"/>
          <w:lang w:eastAsia="zh-CN"/>
        </w:rPr>
      </w:pPr>
    </w:p>
    <w:p w14:paraId="6756254D" w14:textId="77777777" w:rsidR="002451BA" w:rsidRDefault="002451BA" w:rsidP="002451BA">
      <w:pPr>
        <w:ind w:leftChars="100" w:left="240"/>
        <w:jc w:val="center"/>
        <w:rPr>
          <w:rFonts w:ascii="Book Antiqua" w:hAnsi="Book Antiqua"/>
          <w:lang w:eastAsia="zh-CN"/>
        </w:rPr>
      </w:pPr>
    </w:p>
    <w:p w14:paraId="6EE1F195" w14:textId="77777777" w:rsidR="002451BA" w:rsidRDefault="002451BA" w:rsidP="002451BA">
      <w:pPr>
        <w:ind w:leftChars="100" w:left="240"/>
        <w:jc w:val="center"/>
        <w:rPr>
          <w:rFonts w:ascii="Book Antiqua" w:hAnsi="Book Antiqua"/>
          <w:lang w:eastAsia="zh-CN"/>
        </w:rPr>
      </w:pPr>
    </w:p>
    <w:p w14:paraId="6CFDCF92" w14:textId="77777777" w:rsidR="002451BA" w:rsidRDefault="002451BA" w:rsidP="002451BA">
      <w:pPr>
        <w:ind w:leftChars="100" w:left="240"/>
        <w:jc w:val="center"/>
        <w:rPr>
          <w:rFonts w:ascii="Book Antiqua" w:hAnsi="Book Antiqua"/>
          <w:lang w:eastAsia="zh-CN"/>
        </w:rPr>
      </w:pPr>
    </w:p>
    <w:p w14:paraId="60110A59" w14:textId="77777777" w:rsidR="002451BA" w:rsidRDefault="002451BA" w:rsidP="002451BA">
      <w:pPr>
        <w:ind w:leftChars="100" w:left="240"/>
        <w:jc w:val="center"/>
        <w:rPr>
          <w:rFonts w:ascii="Book Antiqua" w:hAnsi="Book Antiqua"/>
          <w:lang w:eastAsia="zh-CN"/>
        </w:rPr>
      </w:pPr>
      <w:r>
        <w:rPr>
          <w:rFonts w:ascii="Book Antiqua" w:hAnsi="Book Antiqua"/>
          <w:noProof/>
          <w:lang w:eastAsia="zh-CN"/>
        </w:rPr>
        <w:drawing>
          <wp:inline distT="0" distB="0" distL="0" distR="0" wp14:anchorId="39F68C3F" wp14:editId="426F1EE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8C6F158" w14:textId="77777777" w:rsidR="002451BA" w:rsidRDefault="002451BA" w:rsidP="002451BA">
      <w:pPr>
        <w:ind w:leftChars="100" w:left="240"/>
        <w:jc w:val="center"/>
        <w:rPr>
          <w:rFonts w:ascii="Book Antiqua" w:hAnsi="Book Antiqua"/>
          <w:lang w:eastAsia="zh-CN"/>
        </w:rPr>
      </w:pPr>
    </w:p>
    <w:p w14:paraId="53257DDB" w14:textId="77777777" w:rsidR="002451BA" w:rsidRPr="00763D22" w:rsidRDefault="002451BA" w:rsidP="002451BA">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05A1FEF" w14:textId="77777777" w:rsidR="002451BA" w:rsidRPr="00763D22" w:rsidRDefault="002451BA" w:rsidP="002451B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C880ACF" w14:textId="77777777" w:rsidR="002451BA" w:rsidRPr="00763D22" w:rsidRDefault="002451BA" w:rsidP="002451BA">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139220" w14:textId="77777777" w:rsidR="002451BA" w:rsidRPr="00763D22" w:rsidRDefault="002451BA" w:rsidP="002451B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BD990E5" w14:textId="77777777" w:rsidR="002451BA" w:rsidRPr="00763D22" w:rsidRDefault="002451BA" w:rsidP="002451BA">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986EAB" w14:textId="77777777" w:rsidR="002451BA" w:rsidRPr="00763D22" w:rsidRDefault="002451BA" w:rsidP="002451BA">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6DA68EA" w14:textId="77777777" w:rsidR="002451BA" w:rsidRDefault="002451BA" w:rsidP="002451BA">
      <w:pPr>
        <w:ind w:leftChars="100" w:left="240"/>
        <w:jc w:val="center"/>
        <w:rPr>
          <w:rFonts w:ascii="Book Antiqua" w:hAnsi="Book Antiqua"/>
          <w:lang w:eastAsia="zh-CN"/>
        </w:rPr>
      </w:pPr>
    </w:p>
    <w:p w14:paraId="33F7CE32" w14:textId="77777777" w:rsidR="002451BA" w:rsidRDefault="002451BA" w:rsidP="002451BA">
      <w:pPr>
        <w:ind w:leftChars="100" w:left="240"/>
        <w:jc w:val="center"/>
        <w:rPr>
          <w:rFonts w:ascii="Book Antiqua" w:hAnsi="Book Antiqua"/>
          <w:lang w:eastAsia="zh-CN"/>
        </w:rPr>
      </w:pPr>
    </w:p>
    <w:p w14:paraId="44AE314D" w14:textId="77777777" w:rsidR="002451BA" w:rsidRDefault="002451BA" w:rsidP="002451BA">
      <w:pPr>
        <w:ind w:leftChars="100" w:left="240"/>
        <w:jc w:val="center"/>
        <w:rPr>
          <w:rFonts w:ascii="Book Antiqua" w:hAnsi="Book Antiqua"/>
          <w:lang w:eastAsia="zh-CN"/>
        </w:rPr>
      </w:pPr>
    </w:p>
    <w:p w14:paraId="69A62858" w14:textId="77777777" w:rsidR="002451BA" w:rsidRDefault="002451BA" w:rsidP="002451BA">
      <w:pPr>
        <w:ind w:leftChars="100" w:left="240"/>
        <w:jc w:val="center"/>
        <w:rPr>
          <w:rFonts w:ascii="Book Antiqua" w:hAnsi="Book Antiqua"/>
          <w:lang w:eastAsia="zh-CN"/>
        </w:rPr>
      </w:pPr>
      <w:r>
        <w:rPr>
          <w:rFonts w:ascii="Book Antiqua" w:hAnsi="Book Antiqua"/>
          <w:noProof/>
          <w:lang w:eastAsia="zh-CN"/>
        </w:rPr>
        <w:drawing>
          <wp:inline distT="0" distB="0" distL="0" distR="0" wp14:anchorId="3C028CB1" wp14:editId="48DC4249">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669BDA" w14:textId="77777777" w:rsidR="002451BA" w:rsidRDefault="002451BA" w:rsidP="002451BA">
      <w:pPr>
        <w:ind w:leftChars="100" w:left="240"/>
        <w:jc w:val="center"/>
        <w:rPr>
          <w:rFonts w:ascii="Book Antiqua" w:hAnsi="Book Antiqua"/>
          <w:lang w:eastAsia="zh-CN"/>
        </w:rPr>
      </w:pPr>
    </w:p>
    <w:p w14:paraId="4975B28B" w14:textId="77777777" w:rsidR="002451BA" w:rsidRDefault="002451BA" w:rsidP="002451BA">
      <w:pPr>
        <w:ind w:leftChars="100" w:left="240"/>
        <w:jc w:val="center"/>
        <w:rPr>
          <w:rFonts w:ascii="Book Antiqua" w:hAnsi="Book Antiqua"/>
          <w:lang w:eastAsia="zh-CN"/>
        </w:rPr>
      </w:pPr>
    </w:p>
    <w:p w14:paraId="434F48C0" w14:textId="77777777" w:rsidR="002451BA" w:rsidRDefault="002451BA" w:rsidP="002451BA">
      <w:pPr>
        <w:ind w:leftChars="100" w:left="240"/>
        <w:jc w:val="center"/>
        <w:rPr>
          <w:rFonts w:ascii="Book Antiqua" w:hAnsi="Book Antiqua"/>
          <w:lang w:eastAsia="zh-CN"/>
        </w:rPr>
      </w:pPr>
    </w:p>
    <w:p w14:paraId="53A6C7D0" w14:textId="77777777" w:rsidR="002451BA" w:rsidRDefault="002451BA" w:rsidP="002451BA">
      <w:pPr>
        <w:ind w:leftChars="100" w:left="240"/>
        <w:jc w:val="center"/>
        <w:rPr>
          <w:rFonts w:ascii="Book Antiqua" w:hAnsi="Book Antiqua"/>
          <w:lang w:eastAsia="zh-CN"/>
        </w:rPr>
      </w:pPr>
    </w:p>
    <w:p w14:paraId="404C5D24" w14:textId="77777777" w:rsidR="002451BA" w:rsidRDefault="002451BA" w:rsidP="002451BA">
      <w:pPr>
        <w:ind w:leftChars="100" w:left="240"/>
        <w:jc w:val="center"/>
        <w:rPr>
          <w:rFonts w:ascii="Book Antiqua" w:hAnsi="Book Antiqua"/>
          <w:lang w:eastAsia="zh-CN"/>
        </w:rPr>
      </w:pPr>
    </w:p>
    <w:p w14:paraId="4C9DFB1B" w14:textId="77777777" w:rsidR="002451BA" w:rsidRDefault="002451BA" w:rsidP="002451BA">
      <w:pPr>
        <w:ind w:leftChars="100" w:left="240"/>
        <w:jc w:val="center"/>
        <w:rPr>
          <w:rFonts w:ascii="Book Antiqua" w:hAnsi="Book Antiqua"/>
          <w:lang w:eastAsia="zh-CN"/>
        </w:rPr>
      </w:pPr>
    </w:p>
    <w:p w14:paraId="63B70A28" w14:textId="77777777" w:rsidR="002451BA" w:rsidRDefault="002451BA" w:rsidP="002451BA">
      <w:pPr>
        <w:ind w:leftChars="100" w:left="240"/>
        <w:jc w:val="center"/>
        <w:rPr>
          <w:rFonts w:ascii="Book Antiqua" w:hAnsi="Book Antiqua"/>
          <w:lang w:eastAsia="zh-CN"/>
        </w:rPr>
      </w:pPr>
    </w:p>
    <w:p w14:paraId="000D8816" w14:textId="77777777" w:rsidR="002451BA" w:rsidRDefault="002451BA" w:rsidP="002451BA">
      <w:pPr>
        <w:ind w:leftChars="100" w:left="240"/>
        <w:jc w:val="center"/>
        <w:rPr>
          <w:rFonts w:ascii="Book Antiqua" w:hAnsi="Book Antiqua"/>
          <w:lang w:eastAsia="zh-CN"/>
        </w:rPr>
      </w:pPr>
    </w:p>
    <w:p w14:paraId="222A6885" w14:textId="77777777" w:rsidR="002451BA" w:rsidRDefault="002451BA" w:rsidP="002451BA">
      <w:pPr>
        <w:ind w:leftChars="100" w:left="240"/>
        <w:jc w:val="center"/>
        <w:rPr>
          <w:rFonts w:ascii="Book Antiqua" w:hAnsi="Book Antiqua"/>
          <w:lang w:eastAsia="zh-CN"/>
        </w:rPr>
      </w:pPr>
    </w:p>
    <w:p w14:paraId="4FF87675" w14:textId="77777777" w:rsidR="002451BA" w:rsidRPr="00763D22" w:rsidRDefault="002451BA" w:rsidP="002451BA">
      <w:pPr>
        <w:ind w:leftChars="100" w:left="240"/>
        <w:jc w:val="right"/>
        <w:rPr>
          <w:rFonts w:ascii="Book Antiqua" w:hAnsi="Book Antiqua"/>
          <w:color w:val="000000" w:themeColor="text1"/>
          <w:lang w:eastAsia="zh-CN"/>
        </w:rPr>
      </w:pPr>
    </w:p>
    <w:p w14:paraId="09E53A34" w14:textId="77777777" w:rsidR="002451BA" w:rsidRPr="00763D22" w:rsidRDefault="002451BA" w:rsidP="002451BA">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7E8F9E0" w14:textId="77777777" w:rsidR="00011DC0" w:rsidRDefault="00011DC0">
      <w:pPr>
        <w:adjustRightInd w:val="0"/>
        <w:snapToGrid w:val="0"/>
        <w:spacing w:line="360" w:lineRule="auto"/>
        <w:jc w:val="both"/>
        <w:rPr>
          <w:rFonts w:ascii="Book Antiqua" w:hAnsi="Book Antiqua"/>
        </w:rPr>
      </w:pPr>
    </w:p>
    <w:sectPr w:rsidR="00011D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EB127" w14:textId="77777777" w:rsidR="00422982" w:rsidRDefault="00422982">
      <w:r>
        <w:separator/>
      </w:r>
    </w:p>
  </w:endnote>
  <w:endnote w:type="continuationSeparator" w:id="0">
    <w:p w14:paraId="20D8F427" w14:textId="77777777" w:rsidR="00422982" w:rsidRDefault="00422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011368"/>
      <w:docPartObj>
        <w:docPartGallery w:val="AutoText"/>
      </w:docPartObj>
    </w:sdtPr>
    <w:sdtEndPr/>
    <w:sdtContent>
      <w:sdt>
        <w:sdtPr>
          <w:id w:val="-1705238520"/>
          <w:docPartObj>
            <w:docPartGallery w:val="AutoText"/>
          </w:docPartObj>
        </w:sdtPr>
        <w:sdtEndPr/>
        <w:sdtContent>
          <w:p w14:paraId="4B0FB384" w14:textId="77777777" w:rsidR="00B600B5" w:rsidRDefault="00B600B5">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9F4BC2">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9F4BC2">
              <w:rPr>
                <w:rFonts w:ascii="Book Antiqua" w:hAnsi="Book Antiqua"/>
                <w:b/>
                <w:bCs/>
                <w:noProof/>
                <w:sz w:val="24"/>
                <w:szCs w:val="24"/>
              </w:rPr>
              <w:t>43</w:t>
            </w:r>
            <w:r>
              <w:rPr>
                <w:rFonts w:ascii="Book Antiqua" w:hAnsi="Book Antiqua"/>
                <w:b/>
                <w:bCs/>
                <w:sz w:val="24"/>
                <w:szCs w:val="24"/>
              </w:rPr>
              <w:fldChar w:fldCharType="end"/>
            </w:r>
          </w:p>
        </w:sdtContent>
      </w:sdt>
    </w:sdtContent>
  </w:sdt>
  <w:p w14:paraId="346699F5" w14:textId="77777777" w:rsidR="00B600B5" w:rsidRDefault="00B600B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43CE8C" w14:textId="77777777" w:rsidR="00422982" w:rsidRDefault="00422982">
      <w:r>
        <w:separator/>
      </w:r>
    </w:p>
  </w:footnote>
  <w:footnote w:type="continuationSeparator" w:id="0">
    <w:p w14:paraId="5B06202D" w14:textId="77777777" w:rsidR="00422982" w:rsidRDefault="004229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DC0"/>
    <w:rsid w:val="0006718C"/>
    <w:rsid w:val="000840D6"/>
    <w:rsid w:val="00084B22"/>
    <w:rsid w:val="000D65D9"/>
    <w:rsid w:val="001009BE"/>
    <w:rsid w:val="001053A5"/>
    <w:rsid w:val="00116C6A"/>
    <w:rsid w:val="001372FB"/>
    <w:rsid w:val="00137909"/>
    <w:rsid w:val="001D206B"/>
    <w:rsid w:val="001D2823"/>
    <w:rsid w:val="001D4A7B"/>
    <w:rsid w:val="002148FE"/>
    <w:rsid w:val="00217B50"/>
    <w:rsid w:val="0022778E"/>
    <w:rsid w:val="002451BA"/>
    <w:rsid w:val="002E64DD"/>
    <w:rsid w:val="00323F2C"/>
    <w:rsid w:val="003B5E9E"/>
    <w:rsid w:val="003E6827"/>
    <w:rsid w:val="0041528C"/>
    <w:rsid w:val="00422982"/>
    <w:rsid w:val="004A1436"/>
    <w:rsid w:val="004F34A0"/>
    <w:rsid w:val="00501743"/>
    <w:rsid w:val="00546129"/>
    <w:rsid w:val="00576EFC"/>
    <w:rsid w:val="00627D50"/>
    <w:rsid w:val="006760A6"/>
    <w:rsid w:val="006D4FDD"/>
    <w:rsid w:val="007214CE"/>
    <w:rsid w:val="00764001"/>
    <w:rsid w:val="00765FA8"/>
    <w:rsid w:val="00806C22"/>
    <w:rsid w:val="008A043D"/>
    <w:rsid w:val="008C3B54"/>
    <w:rsid w:val="008D77E3"/>
    <w:rsid w:val="008E51E9"/>
    <w:rsid w:val="00900ACD"/>
    <w:rsid w:val="00913C04"/>
    <w:rsid w:val="009926FE"/>
    <w:rsid w:val="009F4BC2"/>
    <w:rsid w:val="00A2158B"/>
    <w:rsid w:val="00A43FE9"/>
    <w:rsid w:val="00A77B3E"/>
    <w:rsid w:val="00B600B5"/>
    <w:rsid w:val="00B85CBF"/>
    <w:rsid w:val="00B958C3"/>
    <w:rsid w:val="00BA414E"/>
    <w:rsid w:val="00CA2A55"/>
    <w:rsid w:val="00D80893"/>
    <w:rsid w:val="00D83821"/>
    <w:rsid w:val="00D93EA8"/>
    <w:rsid w:val="00DC0894"/>
    <w:rsid w:val="00E20136"/>
    <w:rsid w:val="00E20B02"/>
    <w:rsid w:val="00E40EB6"/>
    <w:rsid w:val="00E51B68"/>
    <w:rsid w:val="00EB3241"/>
    <w:rsid w:val="10DB4B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873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spacing w:line="360" w:lineRule="auto"/>
      <w:jc w:val="both"/>
    </w:pPr>
    <w:rPr>
      <w:rFonts w:ascii="Palatino Linotype" w:hAnsi="Palatino Linotype" w:cstheme="minorBidi"/>
      <w:kern w:val="2"/>
      <w:sz w:val="18"/>
      <w:szCs w:val="18"/>
      <w:lang w:eastAsia="zh-CN"/>
    </w:rPr>
  </w:style>
  <w:style w:type="paragraph" w:styleId="a7">
    <w:name w:val="annotation subject"/>
    <w:basedOn w:val="a3"/>
    <w:next w:val="a3"/>
    <w:link w:val="Char2"/>
    <w:semiHidden/>
    <w:unhideWhenUsed/>
    <w:qFormat/>
    <w:rPr>
      <w:b/>
      <w:bCs/>
    </w:rPr>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hgkelc">
    <w:name w:val="hgkelc"/>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7"/>
    <w:semiHidden/>
    <w:qFormat/>
    <w:rPr>
      <w:b/>
      <w:bCs/>
      <w:sz w:val="24"/>
      <w:szCs w:val="24"/>
    </w:rPr>
  </w:style>
  <w:style w:type="paragraph" w:customStyle="1" w:styleId="1">
    <w:name w:val="列出段落1"/>
    <w:basedOn w:val="a"/>
    <w:uiPriority w:val="34"/>
    <w:qFormat/>
    <w:pPr>
      <w:widowControl w:val="0"/>
      <w:spacing w:line="360" w:lineRule="auto"/>
      <w:ind w:firstLineChars="200" w:firstLine="420"/>
      <w:jc w:val="both"/>
    </w:pPr>
    <w:rPr>
      <w:rFonts w:ascii="Palatino Linotype" w:hAnsi="Palatino Linotype" w:cstheme="minorBidi"/>
      <w:kern w:val="2"/>
      <w:szCs w:val="22"/>
      <w:lang w:eastAsia="zh-CN"/>
    </w:rPr>
  </w:style>
  <w:style w:type="table" w:customStyle="1" w:styleId="61">
    <w:name w:val="清单表 6 彩色1"/>
    <w:basedOn w:val="a1"/>
    <w:uiPriority w:val="51"/>
    <w:qFormat/>
    <w:rPr>
      <w:rFonts w:eastAsia="宋体"/>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Char3"/>
    <w:semiHidden/>
    <w:unhideWhenUsed/>
    <w:rsid w:val="00E20136"/>
    <w:rPr>
      <w:sz w:val="18"/>
      <w:szCs w:val="18"/>
    </w:rPr>
  </w:style>
  <w:style w:type="character" w:customStyle="1" w:styleId="Char3">
    <w:name w:val="批注框文本 Char"/>
    <w:basedOn w:val="a0"/>
    <w:link w:val="aa"/>
    <w:semiHidden/>
    <w:rsid w:val="00E20136"/>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widowControl w:val="0"/>
      <w:spacing w:line="360" w:lineRule="auto"/>
      <w:jc w:val="both"/>
    </w:pPr>
    <w:rPr>
      <w:rFonts w:ascii="Palatino Linotype" w:hAnsi="Palatino Linotype" w:cstheme="minorBidi"/>
      <w:kern w:val="2"/>
      <w:sz w:val="18"/>
      <w:szCs w:val="18"/>
      <w:lang w:eastAsia="zh-CN"/>
    </w:rPr>
  </w:style>
  <w:style w:type="paragraph" w:styleId="a7">
    <w:name w:val="annotation subject"/>
    <w:basedOn w:val="a3"/>
    <w:next w:val="a3"/>
    <w:link w:val="Char2"/>
    <w:semiHidden/>
    <w:unhideWhenUsed/>
    <w:qFormat/>
    <w:rPr>
      <w:b/>
      <w:bCs/>
    </w:rPr>
  </w:style>
  <w:style w:type="table" w:styleId="a8">
    <w:name w:val="Table Grid"/>
    <w:basedOn w:val="a1"/>
    <w:qFormat/>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hgkelc">
    <w:name w:val="hgkelc"/>
    <w:basedOn w:val="a0"/>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7"/>
    <w:semiHidden/>
    <w:qFormat/>
    <w:rPr>
      <w:b/>
      <w:bCs/>
      <w:sz w:val="24"/>
      <w:szCs w:val="24"/>
    </w:rPr>
  </w:style>
  <w:style w:type="paragraph" w:customStyle="1" w:styleId="1">
    <w:name w:val="列出段落1"/>
    <w:basedOn w:val="a"/>
    <w:uiPriority w:val="34"/>
    <w:qFormat/>
    <w:pPr>
      <w:widowControl w:val="0"/>
      <w:spacing w:line="360" w:lineRule="auto"/>
      <w:ind w:firstLineChars="200" w:firstLine="420"/>
      <w:jc w:val="both"/>
    </w:pPr>
    <w:rPr>
      <w:rFonts w:ascii="Palatino Linotype" w:hAnsi="Palatino Linotype" w:cstheme="minorBidi"/>
      <w:kern w:val="2"/>
      <w:szCs w:val="22"/>
      <w:lang w:eastAsia="zh-CN"/>
    </w:rPr>
  </w:style>
  <w:style w:type="table" w:customStyle="1" w:styleId="61">
    <w:name w:val="清单表 6 彩色1"/>
    <w:basedOn w:val="a1"/>
    <w:uiPriority w:val="51"/>
    <w:qFormat/>
    <w:rPr>
      <w:rFonts w:eastAsia="宋体"/>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a">
    <w:name w:val="Balloon Text"/>
    <w:basedOn w:val="a"/>
    <w:link w:val="Char3"/>
    <w:semiHidden/>
    <w:unhideWhenUsed/>
    <w:rsid w:val="00E20136"/>
    <w:rPr>
      <w:sz w:val="18"/>
      <w:szCs w:val="18"/>
    </w:rPr>
  </w:style>
  <w:style w:type="character" w:customStyle="1" w:styleId="Char3">
    <w:name w:val="批注框文本 Char"/>
    <w:basedOn w:val="a0"/>
    <w:link w:val="aa"/>
    <w:semiHidden/>
    <w:rsid w:val="00E20136"/>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project.org/"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43</Pages>
  <Words>9096</Words>
  <Characters>51850</Characters>
  <Application>Microsoft Office Word</Application>
  <DocSecurity>0</DocSecurity>
  <Lines>432</Lines>
  <Paragraphs>121</Paragraphs>
  <ScaleCrop>false</ScaleCrop>
  <Company/>
  <LinksUpToDate>false</LinksUpToDate>
  <CharactersWithSpaces>60825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Lenovo</cp:lastModifiedBy>
  <cp:revision>19</cp:revision>
  <dcterms:created xsi:type="dcterms:W3CDTF">2021-05-03T14:00:00Z</dcterms:created>
  <dcterms:modified xsi:type="dcterms:W3CDTF">2021-05-12T03:30:00Z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3EDA0FCF9BCF4DDDB445DB1559AEB6D9</vt:lpwstr>
  </property>
</Properties>
</file>