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BADEB"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Name of Journal: </w:t>
      </w:r>
      <w:r w:rsidRPr="00010012">
        <w:rPr>
          <w:rFonts w:ascii="Book Antiqua" w:eastAsia="Book Antiqua" w:hAnsi="Book Antiqua" w:cs="Book Antiqua"/>
          <w:i/>
          <w:color w:val="000000"/>
        </w:rPr>
        <w:t>World Journal of Clinical Cases</w:t>
      </w:r>
    </w:p>
    <w:p w14:paraId="5A9BB9F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Manuscript NO: </w:t>
      </w:r>
      <w:r w:rsidRPr="00010012">
        <w:rPr>
          <w:rFonts w:ascii="Book Antiqua" w:eastAsia="Book Antiqua" w:hAnsi="Book Antiqua" w:cs="Book Antiqua"/>
          <w:color w:val="000000"/>
        </w:rPr>
        <w:t>62540</w:t>
      </w:r>
    </w:p>
    <w:p w14:paraId="2339BE9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Manuscript Type: </w:t>
      </w:r>
      <w:r w:rsidRPr="00010012">
        <w:rPr>
          <w:rFonts w:ascii="Book Antiqua" w:eastAsia="Book Antiqua" w:hAnsi="Book Antiqua" w:cs="Book Antiqua"/>
          <w:color w:val="000000"/>
        </w:rPr>
        <w:t>CASE REPORT</w:t>
      </w:r>
    </w:p>
    <w:p w14:paraId="7950EDAF" w14:textId="77777777" w:rsidR="00A77B3E" w:rsidRPr="00010012" w:rsidRDefault="00A77B3E" w:rsidP="00010012">
      <w:pPr>
        <w:adjustRightInd w:val="0"/>
        <w:snapToGrid w:val="0"/>
        <w:spacing w:line="360" w:lineRule="auto"/>
        <w:jc w:val="both"/>
        <w:rPr>
          <w:rFonts w:ascii="Book Antiqua" w:hAnsi="Book Antiqua"/>
        </w:rPr>
      </w:pPr>
    </w:p>
    <w:p w14:paraId="30BB3C13" w14:textId="3A733459"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Therapeutic effect of autologous concentrated growth f</w:t>
      </w:r>
      <w:r w:rsidRPr="00010012">
        <w:rPr>
          <w:rFonts w:ascii="Book Antiqua" w:eastAsia="Book Antiqua" w:hAnsi="Book Antiqua" w:cs="Book Antiqua"/>
          <w:b/>
          <w:color w:val="000000"/>
        </w:rPr>
        <w:t xml:space="preserve">actor </w:t>
      </w:r>
      <w:r w:rsidRPr="00010012">
        <w:rPr>
          <w:rFonts w:ascii="Book Antiqua" w:eastAsia="Book Antiqua" w:hAnsi="Book Antiqua" w:cs="Book Antiqua"/>
          <w:b/>
          <w:color w:val="000000"/>
        </w:rPr>
        <w:t>on lower-extremity chronic refractory wounds: A case report</w:t>
      </w:r>
    </w:p>
    <w:p w14:paraId="19FC7527" w14:textId="77777777" w:rsidR="00A77B3E" w:rsidRPr="00010012" w:rsidRDefault="00A77B3E" w:rsidP="00010012">
      <w:pPr>
        <w:adjustRightInd w:val="0"/>
        <w:snapToGrid w:val="0"/>
        <w:spacing w:line="360" w:lineRule="auto"/>
        <w:jc w:val="both"/>
        <w:rPr>
          <w:rFonts w:ascii="Book Antiqua" w:hAnsi="Book Antiqua"/>
        </w:rPr>
      </w:pPr>
    </w:p>
    <w:p w14:paraId="05272141"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Liu </w:t>
      </w:r>
      <w:r w:rsidR="00D20C4F" w:rsidRPr="00010012">
        <w:rPr>
          <w:rFonts w:ascii="Book Antiqua" w:eastAsia="Book Antiqua" w:hAnsi="Book Antiqua" w:cs="Book Antiqua"/>
          <w:color w:val="000000"/>
        </w:rPr>
        <w:t xml:space="preserve">P </w:t>
      </w:r>
      <w:r w:rsidRPr="00010012">
        <w:rPr>
          <w:rFonts w:ascii="Book Antiqua" w:eastAsia="Book Antiqua" w:hAnsi="Book Antiqua" w:cs="Book Antiqua"/>
          <w:i/>
          <w:iCs/>
          <w:color w:val="000000"/>
        </w:rPr>
        <w:t>et al</w:t>
      </w:r>
      <w:r w:rsidRPr="00010012">
        <w:rPr>
          <w:rFonts w:ascii="Book Antiqua" w:eastAsia="Book Antiqua" w:hAnsi="Book Antiqua" w:cs="Book Antiqua"/>
          <w:color w:val="000000"/>
        </w:rPr>
        <w:t>. CGF on chronic refractory wounds</w:t>
      </w:r>
    </w:p>
    <w:p w14:paraId="4933640C" w14:textId="77777777" w:rsidR="00A77B3E" w:rsidRPr="00010012" w:rsidRDefault="00A77B3E" w:rsidP="00010012">
      <w:pPr>
        <w:adjustRightInd w:val="0"/>
        <w:snapToGrid w:val="0"/>
        <w:spacing w:line="360" w:lineRule="auto"/>
        <w:jc w:val="both"/>
        <w:rPr>
          <w:rFonts w:ascii="Book Antiqua" w:hAnsi="Book Antiqua"/>
        </w:rPr>
      </w:pPr>
    </w:p>
    <w:p w14:paraId="53920B5B"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Po Liu, Yang Liu, Chang-</w:t>
      </w:r>
      <w:proofErr w:type="spellStart"/>
      <w:r w:rsidRPr="00010012">
        <w:rPr>
          <w:rFonts w:ascii="Book Antiqua" w:eastAsia="Book Antiqua" w:hAnsi="Book Antiqua" w:cs="Book Antiqua"/>
          <w:color w:val="000000"/>
        </w:rPr>
        <w:t>NengKe</w:t>
      </w:r>
      <w:proofErr w:type="spellEnd"/>
      <w:r w:rsidRPr="00010012">
        <w:rPr>
          <w:rFonts w:ascii="Book Antiqua" w:eastAsia="Book Antiqua" w:hAnsi="Book Antiqua" w:cs="Book Antiqua"/>
          <w:color w:val="000000"/>
        </w:rPr>
        <w:t>, Wei-Shan Li, Yue-Ming Liu, Shi Xu</w:t>
      </w:r>
    </w:p>
    <w:p w14:paraId="24CA8A96" w14:textId="77777777" w:rsidR="00A77B3E" w:rsidRPr="00010012" w:rsidRDefault="00A77B3E" w:rsidP="00010012">
      <w:pPr>
        <w:adjustRightInd w:val="0"/>
        <w:snapToGrid w:val="0"/>
        <w:spacing w:line="360" w:lineRule="auto"/>
        <w:jc w:val="both"/>
        <w:rPr>
          <w:rFonts w:ascii="Book Antiqua" w:hAnsi="Book Antiqua"/>
        </w:rPr>
      </w:pPr>
    </w:p>
    <w:p w14:paraId="09335EE2"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Po Liu, Yang Liu, Chang-</w:t>
      </w:r>
      <w:proofErr w:type="spellStart"/>
      <w:r w:rsidRPr="00010012">
        <w:rPr>
          <w:rFonts w:ascii="Book Antiqua" w:eastAsia="Book Antiqua" w:hAnsi="Book Antiqua" w:cs="Book Antiqua"/>
          <w:b/>
          <w:bCs/>
          <w:color w:val="000000"/>
        </w:rPr>
        <w:t>Neng</w:t>
      </w:r>
      <w:proofErr w:type="spellEnd"/>
      <w:r w:rsidR="00A96D24" w:rsidRPr="00010012">
        <w:rPr>
          <w:rFonts w:ascii="Book Antiqua" w:hAnsi="Book Antiqua" w:cs="Book Antiqua"/>
          <w:b/>
          <w:bCs/>
          <w:color w:val="000000"/>
          <w:lang w:eastAsia="zh-CN"/>
        </w:rPr>
        <w:t xml:space="preserve"> </w:t>
      </w:r>
      <w:proofErr w:type="spellStart"/>
      <w:r w:rsidRPr="00010012">
        <w:rPr>
          <w:rFonts w:ascii="Book Antiqua" w:eastAsia="Book Antiqua" w:hAnsi="Book Antiqua" w:cs="Book Antiqua"/>
          <w:b/>
          <w:bCs/>
          <w:color w:val="000000"/>
        </w:rPr>
        <w:t>Ke</w:t>
      </w:r>
      <w:proofErr w:type="spellEnd"/>
      <w:r w:rsidRPr="00010012">
        <w:rPr>
          <w:rFonts w:ascii="Book Antiqua" w:eastAsia="Book Antiqua" w:hAnsi="Book Antiqua" w:cs="Book Antiqua"/>
          <w:b/>
          <w:bCs/>
          <w:color w:val="000000"/>
        </w:rPr>
        <w:t xml:space="preserve">, Wei-Shan Li, Yue-Ming Liu, Shi Xu, </w:t>
      </w:r>
      <w:r w:rsidRPr="00010012">
        <w:rPr>
          <w:rFonts w:ascii="Book Antiqua" w:eastAsia="Book Antiqua" w:hAnsi="Book Antiqua" w:cs="Book Antiqua"/>
          <w:color w:val="000000"/>
        </w:rPr>
        <w:t xml:space="preserve">Department of Burn and Plastic Surgery, Shenzhen </w:t>
      </w:r>
      <w:proofErr w:type="spellStart"/>
      <w:r w:rsidRPr="00010012">
        <w:rPr>
          <w:rFonts w:ascii="Book Antiqua" w:eastAsia="Book Antiqua" w:hAnsi="Book Antiqua" w:cs="Book Antiqua"/>
          <w:color w:val="000000"/>
        </w:rPr>
        <w:t>Longhua</w:t>
      </w:r>
      <w:proofErr w:type="spellEnd"/>
      <w:r w:rsidRPr="00010012">
        <w:rPr>
          <w:rFonts w:ascii="Book Antiqua" w:eastAsia="Book Antiqua" w:hAnsi="Book Antiqua" w:cs="Book Antiqua"/>
          <w:color w:val="000000"/>
        </w:rPr>
        <w:t xml:space="preserve"> District Central Hospital, Shenzhen 518110,</w:t>
      </w:r>
      <w:r w:rsidR="00D20C4F" w:rsidRPr="00010012">
        <w:rPr>
          <w:rFonts w:ascii="Book Antiqua" w:eastAsia="Book Antiqua" w:hAnsi="Book Antiqua" w:cs="Book Antiqua"/>
          <w:color w:val="000000"/>
        </w:rPr>
        <w:t xml:space="preserve"> Guangdong Province,</w:t>
      </w:r>
      <w:r w:rsidRPr="00010012">
        <w:rPr>
          <w:rFonts w:ascii="Book Antiqua" w:eastAsia="Book Antiqua" w:hAnsi="Book Antiqua" w:cs="Book Antiqua"/>
          <w:color w:val="000000"/>
        </w:rPr>
        <w:t xml:space="preserve"> China</w:t>
      </w:r>
    </w:p>
    <w:p w14:paraId="12CBB508" w14:textId="77777777" w:rsidR="00A77B3E" w:rsidRPr="00010012" w:rsidRDefault="00A77B3E" w:rsidP="00010012">
      <w:pPr>
        <w:adjustRightInd w:val="0"/>
        <w:snapToGrid w:val="0"/>
        <w:spacing w:line="360" w:lineRule="auto"/>
        <w:jc w:val="both"/>
        <w:rPr>
          <w:rFonts w:ascii="Book Antiqua" w:hAnsi="Book Antiqua"/>
        </w:rPr>
      </w:pPr>
    </w:p>
    <w:p w14:paraId="2BECBED6" w14:textId="119D8F8B"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Author contributions: </w:t>
      </w:r>
      <w:r w:rsidRPr="00010012">
        <w:rPr>
          <w:rFonts w:ascii="Book Antiqua" w:eastAsia="Book Antiqua" w:hAnsi="Book Antiqua" w:cs="Book Antiqua"/>
          <w:color w:val="000000"/>
        </w:rPr>
        <w:t>Liu</w:t>
      </w:r>
      <w:r w:rsidR="00D20C4F" w:rsidRPr="00010012">
        <w:rPr>
          <w:rFonts w:ascii="Book Antiqua" w:eastAsia="Book Antiqua" w:hAnsi="Book Antiqua" w:cs="Book Antiqua"/>
          <w:color w:val="000000"/>
        </w:rPr>
        <w:t xml:space="preserve"> P</w:t>
      </w:r>
      <w:r w:rsidRPr="00010012">
        <w:rPr>
          <w:rFonts w:ascii="Book Antiqua" w:eastAsia="Book Antiqua" w:hAnsi="Book Antiqua" w:cs="Book Antiqua"/>
          <w:color w:val="000000"/>
        </w:rPr>
        <w:t xml:space="preserve"> and Liu </w:t>
      </w:r>
      <w:r w:rsidR="00D20C4F" w:rsidRPr="00010012">
        <w:rPr>
          <w:rFonts w:ascii="Book Antiqua" w:eastAsia="Book Antiqua" w:hAnsi="Book Antiqua" w:cs="Book Antiqua"/>
          <w:color w:val="000000"/>
        </w:rPr>
        <w:t xml:space="preserve">Y </w:t>
      </w:r>
      <w:r w:rsidRPr="00010012">
        <w:rPr>
          <w:rFonts w:ascii="Book Antiqua" w:eastAsia="Book Antiqua" w:hAnsi="Book Antiqua" w:cs="Book Antiqua"/>
          <w:color w:val="000000"/>
        </w:rPr>
        <w:t>collecte</w:t>
      </w:r>
      <w:r w:rsidRPr="00010012">
        <w:rPr>
          <w:rFonts w:ascii="Book Antiqua" w:eastAsia="Book Antiqua" w:hAnsi="Book Antiqua" w:cs="Book Antiqua"/>
          <w:color w:val="000000"/>
        </w:rPr>
        <w:t>d the clinical data, reviewed the literature</w:t>
      </w:r>
      <w:r w:rsidR="005527AF">
        <w:rPr>
          <w:rFonts w:ascii="Book Antiqua" w:eastAsia="Book Antiqua" w:hAnsi="Book Antiqua" w:cs="Book Antiqua"/>
          <w:color w:val="000000"/>
        </w:rPr>
        <w:t>,</w:t>
      </w:r>
      <w:r w:rsidRPr="00010012">
        <w:rPr>
          <w:rFonts w:ascii="Book Antiqua" w:eastAsia="Book Antiqua" w:hAnsi="Book Antiqua" w:cs="Book Antiqua"/>
          <w:color w:val="000000"/>
        </w:rPr>
        <w:t xml:space="preserve"> and contributed to manuscript drafting; </w:t>
      </w:r>
      <w:proofErr w:type="spellStart"/>
      <w:r w:rsidRPr="00010012">
        <w:rPr>
          <w:rFonts w:ascii="Book Antiqua" w:eastAsia="Book Antiqua" w:hAnsi="Book Antiqua" w:cs="Book Antiqua"/>
          <w:color w:val="000000"/>
        </w:rPr>
        <w:t>Ke</w:t>
      </w:r>
      <w:proofErr w:type="spellEnd"/>
      <w:r w:rsidR="00A96D24" w:rsidRPr="00010012">
        <w:rPr>
          <w:rFonts w:ascii="Book Antiqua" w:hAnsi="Book Antiqua" w:cs="Book Antiqua"/>
          <w:color w:val="000000"/>
          <w:lang w:eastAsia="zh-CN"/>
        </w:rPr>
        <w:t xml:space="preserve"> </w:t>
      </w:r>
      <w:r w:rsidR="00D20C4F" w:rsidRPr="00010012">
        <w:rPr>
          <w:rFonts w:ascii="Book Antiqua" w:eastAsia="Book Antiqua" w:hAnsi="Book Antiqua" w:cs="Book Antiqua"/>
          <w:color w:val="000000"/>
        </w:rPr>
        <w:t xml:space="preserve">CN </w:t>
      </w:r>
      <w:r w:rsidRPr="00010012">
        <w:rPr>
          <w:rFonts w:ascii="Book Antiqua" w:eastAsia="Book Antiqua" w:hAnsi="Book Antiqua" w:cs="Book Antiqua"/>
          <w:color w:val="000000"/>
        </w:rPr>
        <w:t xml:space="preserve">and Li </w:t>
      </w:r>
      <w:r w:rsidR="00D20C4F" w:rsidRPr="00010012">
        <w:rPr>
          <w:rFonts w:ascii="Book Antiqua" w:eastAsia="Book Antiqua" w:hAnsi="Book Antiqua" w:cs="Book Antiqua"/>
          <w:color w:val="000000"/>
        </w:rPr>
        <w:t xml:space="preserve">WS </w:t>
      </w:r>
      <w:r w:rsidRPr="00010012">
        <w:rPr>
          <w:rFonts w:ascii="Book Antiqua" w:eastAsia="Book Antiqua" w:hAnsi="Book Antiqua" w:cs="Book Antiqua"/>
          <w:color w:val="000000"/>
        </w:rPr>
        <w:t xml:space="preserve">collected the clinical data; Liu </w:t>
      </w:r>
      <w:r w:rsidR="00D20C4F" w:rsidRPr="00010012">
        <w:rPr>
          <w:rFonts w:ascii="Book Antiqua" w:eastAsia="Book Antiqua" w:hAnsi="Book Antiqua" w:cs="Book Antiqua"/>
          <w:color w:val="000000"/>
        </w:rPr>
        <w:t xml:space="preserve">YM </w:t>
      </w:r>
      <w:r w:rsidRPr="00010012">
        <w:rPr>
          <w:rFonts w:ascii="Book Antiqua" w:eastAsia="Book Antiqua" w:hAnsi="Book Antiqua" w:cs="Book Antiqua"/>
          <w:color w:val="000000"/>
        </w:rPr>
        <w:t xml:space="preserve">and Xu </w:t>
      </w:r>
      <w:r w:rsidR="00D20C4F" w:rsidRPr="00010012">
        <w:rPr>
          <w:rFonts w:ascii="Book Antiqua" w:eastAsia="Book Antiqua" w:hAnsi="Book Antiqua" w:cs="Book Antiqua"/>
          <w:color w:val="000000"/>
        </w:rPr>
        <w:t xml:space="preserve">S </w:t>
      </w:r>
      <w:r w:rsidRPr="00010012">
        <w:rPr>
          <w:rFonts w:ascii="Book Antiqua" w:eastAsia="Book Antiqua" w:hAnsi="Book Antiqua" w:cs="Book Antiqua"/>
          <w:color w:val="000000"/>
        </w:rPr>
        <w:t>directed and corrected the study</w:t>
      </w:r>
      <w:r w:rsidR="005527AF">
        <w:rPr>
          <w:rFonts w:ascii="Book Antiqua" w:eastAsia="Book Antiqua" w:hAnsi="Book Antiqua" w:cs="Book Antiqua"/>
          <w:color w:val="000000"/>
        </w:rPr>
        <w:t>;</w:t>
      </w:r>
      <w:r w:rsidR="005527AF"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Liu </w:t>
      </w:r>
      <w:r w:rsidR="00D20C4F" w:rsidRPr="00010012">
        <w:rPr>
          <w:rFonts w:ascii="Book Antiqua" w:eastAsia="Book Antiqua" w:hAnsi="Book Antiqua" w:cs="Book Antiqua"/>
          <w:color w:val="000000"/>
        </w:rPr>
        <w:t xml:space="preserve">P </w:t>
      </w:r>
      <w:r w:rsidRPr="00010012">
        <w:rPr>
          <w:rFonts w:ascii="Book Antiqua" w:eastAsia="Book Antiqua" w:hAnsi="Book Antiqua" w:cs="Book Antiqua"/>
          <w:color w:val="000000"/>
        </w:rPr>
        <w:t>and</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Liu</w:t>
      </w:r>
      <w:r w:rsidR="00D20C4F" w:rsidRPr="00010012">
        <w:rPr>
          <w:rFonts w:ascii="Book Antiqua" w:eastAsia="Book Antiqua" w:hAnsi="Book Antiqua" w:cs="Book Antiqua"/>
          <w:color w:val="000000"/>
        </w:rPr>
        <w:t xml:space="preserve"> Y</w:t>
      </w:r>
      <w:r w:rsidRPr="00010012">
        <w:rPr>
          <w:rFonts w:ascii="Book Antiqua" w:eastAsia="Book Antiqua" w:hAnsi="Book Antiqua" w:cs="Book Antiqua"/>
          <w:color w:val="000000"/>
        </w:rPr>
        <w:t xml:space="preserve"> contributed equally to this work</w:t>
      </w:r>
      <w:r w:rsidR="00D20C4F" w:rsidRPr="00010012">
        <w:rPr>
          <w:rFonts w:ascii="Book Antiqua" w:eastAsia="Book Antiqua" w:hAnsi="Book Antiqua" w:cs="Book Antiqua"/>
          <w:color w:val="000000"/>
        </w:rPr>
        <w:t>;</w:t>
      </w:r>
      <w:r w:rsidRPr="00010012">
        <w:rPr>
          <w:rFonts w:ascii="Book Antiqua" w:eastAsia="Book Antiqua" w:hAnsi="Book Antiqua" w:cs="Book Antiqua"/>
          <w:color w:val="000000"/>
        </w:rPr>
        <w:t xml:space="preserve"> </w:t>
      </w:r>
      <w:r w:rsidR="005527AF">
        <w:rPr>
          <w:rFonts w:ascii="Book Antiqua" w:eastAsia="Book Antiqua" w:hAnsi="Book Antiqua" w:cs="Book Antiqua"/>
          <w:color w:val="000000"/>
        </w:rPr>
        <w:t>a</w:t>
      </w:r>
      <w:r w:rsidR="005527AF" w:rsidRPr="00010012">
        <w:rPr>
          <w:rFonts w:ascii="Book Antiqua" w:eastAsia="Book Antiqua" w:hAnsi="Book Antiqua" w:cs="Book Antiqua"/>
          <w:color w:val="000000"/>
        </w:rPr>
        <w:t xml:space="preserve">ll </w:t>
      </w:r>
      <w:r w:rsidRPr="00010012">
        <w:rPr>
          <w:rFonts w:ascii="Book Antiqua" w:eastAsia="Book Antiqua" w:hAnsi="Book Antiqua" w:cs="Book Antiqua"/>
          <w:color w:val="000000"/>
        </w:rPr>
        <w:t>the authors read and approved the manuscript for p</w:t>
      </w:r>
      <w:r w:rsidRPr="00010012">
        <w:rPr>
          <w:rFonts w:ascii="Book Antiqua" w:eastAsia="Book Antiqua" w:hAnsi="Book Antiqua" w:cs="Book Antiqua"/>
          <w:color w:val="000000"/>
        </w:rPr>
        <w:t xml:space="preserve">ublication. </w:t>
      </w:r>
    </w:p>
    <w:p w14:paraId="3461E3CC" w14:textId="77777777" w:rsidR="00A77B3E" w:rsidRPr="00010012" w:rsidRDefault="00A77B3E" w:rsidP="00010012">
      <w:pPr>
        <w:adjustRightInd w:val="0"/>
        <w:snapToGrid w:val="0"/>
        <w:spacing w:line="360" w:lineRule="auto"/>
        <w:jc w:val="both"/>
        <w:rPr>
          <w:rFonts w:ascii="Book Antiqua" w:hAnsi="Book Antiqua"/>
        </w:rPr>
      </w:pPr>
    </w:p>
    <w:p w14:paraId="2A6CCA99"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Supported by </w:t>
      </w:r>
      <w:r w:rsidRPr="00010012">
        <w:rPr>
          <w:rFonts w:ascii="Book Antiqua" w:eastAsia="Book Antiqua" w:hAnsi="Book Antiqua" w:cs="Book Antiqua"/>
          <w:color w:val="000000"/>
        </w:rPr>
        <w:t xml:space="preserve">Shenzhen </w:t>
      </w:r>
      <w:proofErr w:type="spellStart"/>
      <w:r w:rsidRPr="00010012">
        <w:rPr>
          <w:rFonts w:ascii="Book Antiqua" w:eastAsia="Book Antiqua" w:hAnsi="Book Antiqua" w:cs="Book Antiqua"/>
          <w:color w:val="000000"/>
        </w:rPr>
        <w:t>Longhua</w:t>
      </w:r>
      <w:proofErr w:type="spellEnd"/>
      <w:r w:rsidRPr="00010012">
        <w:rPr>
          <w:rFonts w:ascii="Book Antiqua" w:eastAsia="Book Antiqua" w:hAnsi="Book Antiqua" w:cs="Book Antiqua"/>
          <w:color w:val="000000"/>
        </w:rPr>
        <w:t xml:space="preserve"> District Science and Innovation Bureau for Key Laboratory Construction</w:t>
      </w:r>
      <w:r w:rsidR="00D20C4F" w:rsidRPr="00010012">
        <w:rPr>
          <w:rFonts w:ascii="Book Antiqua" w:eastAsia="Book Antiqua" w:hAnsi="Book Antiqua" w:cs="Book Antiqua"/>
          <w:color w:val="000000"/>
        </w:rPr>
        <w:t>,</w:t>
      </w:r>
      <w:r w:rsidRPr="00010012">
        <w:rPr>
          <w:rFonts w:ascii="Book Antiqua" w:eastAsia="Book Antiqua" w:hAnsi="Book Antiqua" w:cs="Book Antiqua"/>
          <w:color w:val="000000"/>
        </w:rPr>
        <w:t xml:space="preserve"> No. 20160919A0410022</w:t>
      </w:r>
      <w:r w:rsidR="00D20C4F" w:rsidRPr="00010012">
        <w:rPr>
          <w:rFonts w:ascii="Book Antiqua" w:eastAsia="Book Antiqua" w:hAnsi="Book Antiqua" w:cs="Book Antiqua"/>
          <w:color w:val="000000"/>
        </w:rPr>
        <w:t>;</w:t>
      </w:r>
      <w:r w:rsidRPr="00010012">
        <w:rPr>
          <w:rFonts w:ascii="Book Antiqua" w:eastAsia="Book Antiqua" w:hAnsi="Book Antiqua" w:cs="Book Antiqua"/>
          <w:color w:val="000000"/>
        </w:rPr>
        <w:t xml:space="preserve"> and Shenzhen </w:t>
      </w:r>
      <w:proofErr w:type="spellStart"/>
      <w:r w:rsidRPr="00010012">
        <w:rPr>
          <w:rFonts w:ascii="Book Antiqua" w:eastAsia="Book Antiqua" w:hAnsi="Book Antiqua" w:cs="Book Antiqua"/>
          <w:color w:val="000000"/>
        </w:rPr>
        <w:t>Longhua</w:t>
      </w:r>
      <w:proofErr w:type="spellEnd"/>
      <w:r w:rsidRPr="00010012">
        <w:rPr>
          <w:rFonts w:ascii="Book Antiqua" w:eastAsia="Book Antiqua" w:hAnsi="Book Antiqua" w:cs="Book Antiqua"/>
          <w:color w:val="000000"/>
        </w:rPr>
        <w:t xml:space="preserve"> District Science and Innovation Bureau Fund for Medical Institutions</w:t>
      </w:r>
      <w:r w:rsidR="00D20C4F"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No. 2020038</w:t>
      </w:r>
      <w:r w:rsidR="00A96D24" w:rsidRPr="00010012">
        <w:rPr>
          <w:rFonts w:ascii="Book Antiqua" w:hAnsi="Book Antiqua" w:cs="Book Antiqua"/>
          <w:color w:val="000000"/>
          <w:lang w:eastAsia="zh-CN"/>
        </w:rPr>
        <w:t xml:space="preserve"> </w:t>
      </w:r>
      <w:r w:rsidR="00D20C4F" w:rsidRPr="00010012">
        <w:rPr>
          <w:rFonts w:ascii="Book Antiqua" w:hAnsi="Book Antiqua" w:cs="Book Antiqua"/>
          <w:color w:val="000000"/>
          <w:lang w:eastAsia="zh-CN"/>
        </w:rPr>
        <w:t>and No.</w:t>
      </w:r>
      <w:r w:rsidRPr="00010012">
        <w:rPr>
          <w:rFonts w:ascii="Book Antiqua" w:eastAsia="Book Antiqua" w:hAnsi="Book Antiqua" w:cs="Book Antiqua"/>
          <w:color w:val="000000"/>
        </w:rPr>
        <w:t xml:space="preserve"> 2017136</w:t>
      </w:r>
      <w:r w:rsidR="00D20C4F" w:rsidRPr="00010012">
        <w:rPr>
          <w:rFonts w:ascii="Book Antiqua" w:eastAsia="Book Antiqua" w:hAnsi="Book Antiqua" w:cs="Book Antiqua"/>
          <w:color w:val="000000"/>
        </w:rPr>
        <w:t>.</w:t>
      </w:r>
    </w:p>
    <w:p w14:paraId="2AA51FFB" w14:textId="77777777" w:rsidR="00A77B3E" w:rsidRPr="00010012" w:rsidRDefault="00A77B3E" w:rsidP="00010012">
      <w:pPr>
        <w:adjustRightInd w:val="0"/>
        <w:snapToGrid w:val="0"/>
        <w:spacing w:line="360" w:lineRule="auto"/>
        <w:jc w:val="both"/>
        <w:rPr>
          <w:rFonts w:ascii="Book Antiqua" w:hAnsi="Book Antiqua"/>
        </w:rPr>
      </w:pPr>
    </w:p>
    <w:p w14:paraId="1BC8B634" w14:textId="4966AC23"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Corresponding author: Shi Xu, PhD, Associate Professor, </w:t>
      </w:r>
      <w:r w:rsidRPr="00010012">
        <w:rPr>
          <w:rFonts w:ascii="Book Antiqua" w:eastAsia="Book Antiqua" w:hAnsi="Book Antiqua" w:cs="Book Antiqua"/>
          <w:color w:val="000000"/>
        </w:rPr>
        <w:t xml:space="preserve">Department of Burn and Plastic Surgery, Shenzhen </w:t>
      </w:r>
      <w:proofErr w:type="spellStart"/>
      <w:r w:rsidRPr="00010012">
        <w:rPr>
          <w:rFonts w:ascii="Book Antiqua" w:eastAsia="Book Antiqua" w:hAnsi="Book Antiqua" w:cs="Book Antiqua"/>
          <w:color w:val="000000"/>
        </w:rPr>
        <w:t>Longhua</w:t>
      </w:r>
      <w:proofErr w:type="spellEnd"/>
      <w:r w:rsidRPr="00010012">
        <w:rPr>
          <w:rFonts w:ascii="Book Antiqua" w:eastAsia="Book Antiqua" w:hAnsi="Book Antiqua" w:cs="Book Antiqua"/>
          <w:color w:val="000000"/>
        </w:rPr>
        <w:t xml:space="preserve"> District Central Hospital, </w:t>
      </w:r>
      <w:r w:rsidR="00D20C4F" w:rsidRPr="00010012">
        <w:rPr>
          <w:rFonts w:ascii="Book Antiqua" w:eastAsia="Book Antiqua" w:hAnsi="Book Antiqua" w:cs="Book Antiqua"/>
          <w:color w:val="000000"/>
        </w:rPr>
        <w:t xml:space="preserve">No. </w:t>
      </w:r>
      <w:r w:rsidRPr="00010012">
        <w:rPr>
          <w:rFonts w:ascii="Book Antiqua" w:eastAsia="Book Antiqua" w:hAnsi="Book Antiqua" w:cs="Book Antiqua"/>
          <w:color w:val="000000"/>
        </w:rPr>
        <w:t xml:space="preserve">187 </w:t>
      </w:r>
      <w:proofErr w:type="spellStart"/>
      <w:r w:rsidRPr="00010012">
        <w:rPr>
          <w:rFonts w:ascii="Book Antiqua" w:eastAsia="Book Antiqua" w:hAnsi="Book Antiqua" w:cs="Book Antiqua"/>
          <w:color w:val="000000"/>
        </w:rPr>
        <w:t>Guanlan</w:t>
      </w:r>
      <w:proofErr w:type="spellEnd"/>
      <w:r w:rsidRPr="00010012">
        <w:rPr>
          <w:rFonts w:ascii="Book Antiqua" w:eastAsia="Book Antiqua" w:hAnsi="Book Antiqua" w:cs="Book Antiqua"/>
          <w:color w:val="000000"/>
        </w:rPr>
        <w:t xml:space="preserve"> Avenue, </w:t>
      </w:r>
      <w:proofErr w:type="spellStart"/>
      <w:r w:rsidRPr="00010012">
        <w:rPr>
          <w:rFonts w:ascii="Book Antiqua" w:eastAsia="Book Antiqua" w:hAnsi="Book Antiqua" w:cs="Book Antiqua"/>
          <w:color w:val="000000"/>
        </w:rPr>
        <w:t>Longhua</w:t>
      </w:r>
      <w:proofErr w:type="spellEnd"/>
      <w:r w:rsidRPr="00010012">
        <w:rPr>
          <w:rFonts w:ascii="Book Antiqua" w:eastAsia="Book Antiqua" w:hAnsi="Book Antiqua" w:cs="Book Antiqua"/>
          <w:color w:val="000000"/>
        </w:rPr>
        <w:t xml:space="preserve"> District, Shenzhen 518110, </w:t>
      </w:r>
      <w:r w:rsidR="00D20C4F" w:rsidRPr="00010012">
        <w:rPr>
          <w:rFonts w:ascii="Book Antiqua" w:eastAsia="Book Antiqua" w:hAnsi="Book Antiqua" w:cs="Book Antiqua"/>
          <w:color w:val="000000"/>
        </w:rPr>
        <w:t>Guangdong Province,</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China. xushi_cn@163.com</w:t>
      </w:r>
    </w:p>
    <w:p w14:paraId="7E02B072" w14:textId="77777777" w:rsidR="00A77B3E" w:rsidRPr="00010012" w:rsidRDefault="00A77B3E" w:rsidP="00010012">
      <w:pPr>
        <w:adjustRightInd w:val="0"/>
        <w:snapToGrid w:val="0"/>
        <w:spacing w:line="360" w:lineRule="auto"/>
        <w:jc w:val="both"/>
        <w:rPr>
          <w:rFonts w:ascii="Book Antiqua" w:hAnsi="Book Antiqua"/>
        </w:rPr>
      </w:pPr>
    </w:p>
    <w:p w14:paraId="4837F129"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lastRenderedPageBreak/>
        <w:t xml:space="preserve">Received: </w:t>
      </w:r>
      <w:r w:rsidRPr="00010012">
        <w:rPr>
          <w:rFonts w:ascii="Book Antiqua" w:eastAsia="Book Antiqua" w:hAnsi="Book Antiqua" w:cs="Book Antiqua"/>
          <w:color w:val="000000"/>
        </w:rPr>
        <w:t>January 20, 2021</w:t>
      </w:r>
    </w:p>
    <w:p w14:paraId="252B9387" w14:textId="4DB397F2"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Revised: </w:t>
      </w:r>
      <w:r w:rsidR="008261E5" w:rsidRPr="00010012">
        <w:rPr>
          <w:rFonts w:ascii="Book Antiqua" w:eastAsia="Book Antiqua" w:hAnsi="Book Antiqua" w:cs="Book Antiqua"/>
          <w:color w:val="000000"/>
        </w:rPr>
        <w:t xml:space="preserve">March 29, 2021 </w:t>
      </w:r>
    </w:p>
    <w:p w14:paraId="13C76F86" w14:textId="01CC4401"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Accepted: </w:t>
      </w:r>
      <w:r w:rsidR="009E5F70" w:rsidRPr="009E5F70">
        <w:rPr>
          <w:rFonts w:ascii="Book Antiqua" w:eastAsia="Book Antiqua" w:hAnsi="Book Antiqua" w:cs="Book Antiqua"/>
          <w:color w:val="000000"/>
        </w:rPr>
        <w:t>April 20, 2021</w:t>
      </w:r>
    </w:p>
    <w:p w14:paraId="650E141C"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Published online: </w:t>
      </w:r>
    </w:p>
    <w:p w14:paraId="68266B5C" w14:textId="77777777" w:rsidR="00A77B3E" w:rsidRPr="00010012" w:rsidRDefault="00A77B3E" w:rsidP="00010012">
      <w:pPr>
        <w:adjustRightInd w:val="0"/>
        <w:snapToGrid w:val="0"/>
        <w:spacing w:line="360" w:lineRule="auto"/>
        <w:jc w:val="both"/>
        <w:rPr>
          <w:rFonts w:ascii="Book Antiqua" w:hAnsi="Book Antiqua"/>
        </w:rPr>
        <w:sectPr w:rsidR="00A77B3E" w:rsidRPr="00010012">
          <w:footerReference w:type="default" r:id="rId6"/>
          <w:pgSz w:w="12240" w:h="15840"/>
          <w:pgMar w:top="1440" w:right="1440" w:bottom="1440" w:left="1440" w:header="720" w:footer="720" w:gutter="0"/>
          <w:cols w:space="720"/>
          <w:docGrid w:linePitch="360"/>
        </w:sectPr>
      </w:pPr>
    </w:p>
    <w:p w14:paraId="24F1858F"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lastRenderedPageBreak/>
        <w:t>Abstract</w:t>
      </w:r>
    </w:p>
    <w:p w14:paraId="609D9052"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BACKGROUND</w:t>
      </w:r>
    </w:p>
    <w:p w14:paraId="17B67DAC" w14:textId="64988011"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Management of chronic refractory wounds is one of the toughest clinical challenges for surgeons. Because of poor blood supply, less tissu</w:t>
      </w:r>
      <w:r w:rsidRPr="00010012">
        <w:rPr>
          <w:rFonts w:ascii="Book Antiqua" w:eastAsia="Book Antiqua" w:hAnsi="Book Antiqua" w:cs="Book Antiqua"/>
          <w:color w:val="000000"/>
        </w:rPr>
        <w:t>e coverage</w:t>
      </w:r>
      <w:r w:rsidR="005527AF">
        <w:rPr>
          <w:rFonts w:ascii="Book Antiqua" w:eastAsia="Book Antiqua" w:hAnsi="Book Antiqua" w:cs="Book Antiqua"/>
          <w:color w:val="000000"/>
        </w:rPr>
        <w:t>,</w:t>
      </w:r>
      <w:r w:rsidRPr="00010012">
        <w:rPr>
          <w:rFonts w:ascii="Book Antiqua" w:eastAsia="Book Antiqua" w:hAnsi="Book Antiqua" w:cs="Book Antiqua"/>
          <w:color w:val="000000"/>
        </w:rPr>
        <w:t xml:space="preserve"> and easy exposure, the lower leg is a common site for chronic refractory wounds. The current therapeutic regimens often lead to prolonged hospital stay and higher healthcare costs. Concentrated growth factor (CGF) is a novel blood extract that contains various growth factors, platelets</w:t>
      </w:r>
      <w:r w:rsidR="005527AF">
        <w:rPr>
          <w:rFonts w:ascii="Book Antiqua" w:eastAsia="Book Antiqua" w:hAnsi="Book Antiqua" w:cs="Book Antiqua"/>
          <w:color w:val="000000"/>
        </w:rPr>
        <w:t>,</w:t>
      </w:r>
      <w:r w:rsidRPr="00010012">
        <w:rPr>
          <w:rFonts w:ascii="Book Antiqua" w:eastAsia="Book Antiqua" w:hAnsi="Book Antiqua" w:cs="Book Antiqua"/>
          <w:color w:val="000000"/>
        </w:rPr>
        <w:t xml:space="preserve"> and fibrins to promote wound healing process. However, there has been little research reported on the treatment of lower extremity wounds </w:t>
      </w:r>
      <w:r w:rsidR="005527AF">
        <w:rPr>
          <w:rFonts w:ascii="Book Antiqua" w:eastAsia="Book Antiqua" w:hAnsi="Book Antiqua" w:cs="Book Antiqua"/>
          <w:color w:val="000000"/>
        </w:rPr>
        <w:t>with</w:t>
      </w:r>
      <w:r w:rsidR="005527AF"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CGF.</w:t>
      </w:r>
    </w:p>
    <w:p w14:paraId="4EFFE7D4" w14:textId="77777777" w:rsidR="00A77B3E" w:rsidRPr="00010012" w:rsidRDefault="00A77B3E" w:rsidP="00010012">
      <w:pPr>
        <w:adjustRightInd w:val="0"/>
        <w:snapToGrid w:val="0"/>
        <w:spacing w:line="360" w:lineRule="auto"/>
        <w:jc w:val="both"/>
        <w:rPr>
          <w:rFonts w:ascii="Book Antiqua" w:hAnsi="Book Antiqua"/>
        </w:rPr>
      </w:pPr>
    </w:p>
    <w:p w14:paraId="4A6DA0A2"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CASE SUMMARY</w:t>
      </w:r>
    </w:p>
    <w:p w14:paraId="6AB840EA" w14:textId="251F45B2"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A 37-year-old man, without any past medical history, presented an ulcerated chronic wound on his right lower leg. The skin defect exhibited clear boundaries, with a size of 2.0 cm</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3.5 cm. The depth of wound was up to the layer of deep fascia. </w:t>
      </w:r>
      <w:r w:rsidRPr="00010012">
        <w:rPr>
          <w:rFonts w:ascii="Book Antiqua" w:eastAsia="Book Antiqua" w:hAnsi="Book Antiqua" w:cs="Book Antiqua"/>
          <w:i/>
          <w:iCs/>
          <w:color w:val="000000"/>
        </w:rPr>
        <w:t>Staphylococcus aureus</w:t>
      </w:r>
      <w:r w:rsidRPr="00010012">
        <w:rPr>
          <w:rFonts w:ascii="Book Antiqua" w:eastAsia="Book Antiqua" w:hAnsi="Book Antiqua" w:cs="Book Antiqua"/>
          <w:color w:val="000000"/>
        </w:rPr>
        <w:t xml:space="preserve"> was detected by bacterial culture. The final diagnosis was right lower extremity ulcers with infection. </w:t>
      </w:r>
      <w:proofErr w:type="spellStart"/>
      <w:r w:rsidRPr="00010012">
        <w:rPr>
          <w:rFonts w:ascii="Book Antiqua" w:eastAsia="Book Antiqua" w:hAnsi="Book Antiqua" w:cs="Book Antiqua"/>
          <w:color w:val="000000"/>
        </w:rPr>
        <w:t>Cefathiamidine</w:t>
      </w:r>
      <w:proofErr w:type="spellEnd"/>
      <w:r w:rsidRPr="00010012">
        <w:rPr>
          <w:rFonts w:ascii="Book Antiqua" w:eastAsia="Book Antiqua" w:hAnsi="Book Antiqua" w:cs="Book Antiqua"/>
          <w:color w:val="000000"/>
        </w:rPr>
        <w:t>, silver sulfad</w:t>
      </w:r>
      <w:r w:rsidRPr="00010012">
        <w:rPr>
          <w:rFonts w:ascii="Book Antiqua" w:eastAsia="Book Antiqua" w:hAnsi="Book Antiqua" w:cs="Book Antiqua"/>
          <w:color w:val="000000"/>
        </w:rPr>
        <w:t>iazine</w:t>
      </w:r>
      <w:r w:rsidR="005527AF">
        <w:rPr>
          <w:rFonts w:ascii="Book Antiqua" w:eastAsia="Book Antiqua" w:hAnsi="Book Antiqua" w:cs="Book Antiqua"/>
          <w:color w:val="000000"/>
        </w:rPr>
        <w:t>,</w:t>
      </w:r>
      <w:r w:rsidRPr="00010012">
        <w:rPr>
          <w:rFonts w:ascii="Book Antiqua" w:eastAsia="Book Antiqua" w:hAnsi="Book Antiqua" w:cs="Book Antiqua"/>
          <w:color w:val="000000"/>
        </w:rPr>
        <w:t xml:space="preserve"> and mupirocin cream were applied to control the infection. CGF gel was prepared from the patient’s blood sample, and was used to cover the wound after thorough debridement. The skin wound was successfully healed after three times of CGF treatment.</w:t>
      </w:r>
    </w:p>
    <w:p w14:paraId="399F3796" w14:textId="77777777" w:rsidR="00A77B3E" w:rsidRPr="00010012" w:rsidRDefault="00A77B3E" w:rsidP="00010012">
      <w:pPr>
        <w:adjustRightInd w:val="0"/>
        <w:snapToGrid w:val="0"/>
        <w:spacing w:line="360" w:lineRule="auto"/>
        <w:jc w:val="both"/>
        <w:rPr>
          <w:rFonts w:ascii="Book Antiqua" w:hAnsi="Book Antiqua"/>
        </w:rPr>
      </w:pPr>
    </w:p>
    <w:p w14:paraId="2C244285"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CONCLUSION</w:t>
      </w:r>
    </w:p>
    <w:p w14:paraId="0618B7AB" w14:textId="10A41814"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CGF displays an excellent wound</w:t>
      </w:r>
      <w:r w:rsidR="005527AF">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healing promoting effect </w:t>
      </w:r>
      <w:r w:rsidR="005527AF">
        <w:rPr>
          <w:rFonts w:ascii="Book Antiqua" w:eastAsia="Book Antiqua" w:hAnsi="Book Antiqua" w:cs="Book Antiqua"/>
          <w:color w:val="000000"/>
        </w:rPr>
        <w:t>i</w:t>
      </w:r>
      <w:r w:rsidR="005527AF" w:rsidRPr="00010012">
        <w:rPr>
          <w:rFonts w:ascii="Book Antiqua" w:eastAsia="Book Antiqua" w:hAnsi="Book Antiqua" w:cs="Book Antiqua"/>
          <w:color w:val="000000"/>
        </w:rPr>
        <w:t xml:space="preserve">n </w:t>
      </w:r>
      <w:r w:rsidRPr="00010012">
        <w:rPr>
          <w:rFonts w:ascii="Book Antiqua" w:eastAsia="Book Antiqua" w:hAnsi="Book Antiqua" w:cs="Book Antiqua"/>
          <w:color w:val="000000"/>
        </w:rPr>
        <w:t>patient</w:t>
      </w:r>
      <w:r w:rsidR="005527AF">
        <w:rPr>
          <w:rFonts w:ascii="Book Antiqua" w:eastAsia="Book Antiqua" w:hAnsi="Book Antiqua" w:cs="Book Antiqua"/>
          <w:color w:val="000000"/>
        </w:rPr>
        <w:t>s</w:t>
      </w:r>
      <w:r w:rsidRPr="00010012">
        <w:rPr>
          <w:rFonts w:ascii="Book Antiqua" w:eastAsia="Book Antiqua" w:hAnsi="Book Antiqua" w:cs="Book Antiqua"/>
          <w:color w:val="000000"/>
        </w:rPr>
        <w:t xml:space="preserve"> with lower-extremity chronic refractory wounds.</w:t>
      </w:r>
    </w:p>
    <w:p w14:paraId="7D4ADC4E" w14:textId="77777777" w:rsidR="00A77B3E" w:rsidRPr="00010012" w:rsidRDefault="00A77B3E" w:rsidP="00010012">
      <w:pPr>
        <w:adjustRightInd w:val="0"/>
        <w:snapToGrid w:val="0"/>
        <w:spacing w:line="360" w:lineRule="auto"/>
        <w:jc w:val="both"/>
        <w:rPr>
          <w:rFonts w:ascii="Book Antiqua" w:hAnsi="Book Antiqua"/>
        </w:rPr>
      </w:pPr>
    </w:p>
    <w:p w14:paraId="3BF29D96"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Key Words: </w:t>
      </w:r>
      <w:r w:rsidRPr="00010012">
        <w:rPr>
          <w:rFonts w:ascii="Book Antiqua" w:eastAsia="Book Antiqua" w:hAnsi="Book Antiqua" w:cs="Book Antiqua"/>
          <w:color w:val="000000"/>
        </w:rPr>
        <w:t>Concentrated growth factors; Chronic refractory wounds; Lower extremity; Ulcer; Wound healing; Case report</w:t>
      </w:r>
    </w:p>
    <w:p w14:paraId="65946A11" w14:textId="77777777" w:rsidR="00A77B3E" w:rsidRPr="00010012" w:rsidRDefault="00A77B3E" w:rsidP="00010012">
      <w:pPr>
        <w:adjustRightInd w:val="0"/>
        <w:snapToGrid w:val="0"/>
        <w:spacing w:line="360" w:lineRule="auto"/>
        <w:jc w:val="both"/>
        <w:rPr>
          <w:rFonts w:ascii="Book Antiqua" w:hAnsi="Book Antiqua"/>
        </w:rPr>
      </w:pPr>
    </w:p>
    <w:p w14:paraId="09B60192" w14:textId="023C6F2B"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lastRenderedPageBreak/>
        <w:t xml:space="preserve">Liu P, Liu Y, </w:t>
      </w:r>
      <w:proofErr w:type="spellStart"/>
      <w:r w:rsidRPr="00010012">
        <w:rPr>
          <w:rFonts w:ascii="Book Antiqua" w:eastAsia="Book Antiqua" w:hAnsi="Book Antiqua" w:cs="Book Antiqua"/>
          <w:color w:val="000000"/>
        </w:rPr>
        <w:t>Ke</w:t>
      </w:r>
      <w:proofErr w:type="spellEnd"/>
      <w:r w:rsidRPr="00010012">
        <w:rPr>
          <w:rFonts w:ascii="Book Antiqua" w:eastAsia="Book Antiqua" w:hAnsi="Book Antiqua" w:cs="Book Antiqua"/>
          <w:color w:val="000000"/>
        </w:rPr>
        <w:t xml:space="preserve"> CN, Li WS, Liu YM, Xu S. Therapeu</w:t>
      </w:r>
      <w:r w:rsidRPr="00010012">
        <w:rPr>
          <w:rFonts w:ascii="Book Antiqua" w:eastAsia="Book Antiqua" w:hAnsi="Book Antiqua" w:cs="Book Antiqua"/>
          <w:color w:val="000000"/>
        </w:rPr>
        <w:t>tic effect of autologous concentrated growth factor on lower-extremity chronic refractory w</w:t>
      </w:r>
      <w:r w:rsidRPr="00010012">
        <w:rPr>
          <w:rFonts w:ascii="Book Antiqua" w:eastAsia="Book Antiqua" w:hAnsi="Book Antiqua" w:cs="Book Antiqua"/>
          <w:color w:val="000000"/>
        </w:rPr>
        <w:t xml:space="preserve">ounds: A case report. </w:t>
      </w:r>
      <w:r w:rsidRPr="00010012">
        <w:rPr>
          <w:rFonts w:ascii="Book Antiqua" w:eastAsia="Book Antiqua" w:hAnsi="Book Antiqua" w:cs="Book Antiqua"/>
          <w:i/>
          <w:iCs/>
          <w:color w:val="000000"/>
        </w:rPr>
        <w:t>World J Clin Cases</w:t>
      </w:r>
      <w:r w:rsidRPr="00010012">
        <w:rPr>
          <w:rFonts w:ascii="Book Antiqua" w:eastAsia="Book Antiqua" w:hAnsi="Book Antiqua" w:cs="Book Antiqua"/>
          <w:color w:val="000000"/>
        </w:rPr>
        <w:t xml:space="preserve"> 2021; In press</w:t>
      </w:r>
    </w:p>
    <w:p w14:paraId="2666E707" w14:textId="77777777" w:rsidR="00A77B3E" w:rsidRPr="00010012" w:rsidRDefault="00A77B3E" w:rsidP="00010012">
      <w:pPr>
        <w:adjustRightInd w:val="0"/>
        <w:snapToGrid w:val="0"/>
        <w:spacing w:line="360" w:lineRule="auto"/>
        <w:jc w:val="both"/>
        <w:rPr>
          <w:rFonts w:ascii="Book Antiqua" w:hAnsi="Book Antiqua"/>
        </w:rPr>
      </w:pPr>
    </w:p>
    <w:p w14:paraId="54B9B8BB" w14:textId="66C28511"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Core Tip: </w:t>
      </w:r>
      <w:r w:rsidRPr="00010012">
        <w:rPr>
          <w:rFonts w:ascii="Book Antiqua" w:eastAsia="Book Antiqua" w:hAnsi="Book Antiqua" w:cs="Book Antiqua"/>
          <w:color w:val="000000"/>
        </w:rPr>
        <w:t>The effects of the current interventions,</w:t>
      </w:r>
      <w:r w:rsidRPr="00010012">
        <w:rPr>
          <w:rFonts w:ascii="Book Antiqua" w:eastAsia="Book Antiqua" w:hAnsi="Book Antiqua" w:cs="Book Antiqua"/>
          <w:color w:val="000000"/>
        </w:rPr>
        <w:t xml:space="preserve"> such as flap reconstruction, artificial dermis grafting</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negative pressure wound therapy, on chronic refractory wounds may vary among different patients. Concentrated growth factor (CGF) is obtained from </w:t>
      </w:r>
      <w:r w:rsidR="00B936D0">
        <w:rPr>
          <w:rFonts w:ascii="Book Antiqua" w:eastAsia="Book Antiqua" w:hAnsi="Book Antiqua" w:cs="Book Antiqua"/>
          <w:color w:val="000000"/>
        </w:rPr>
        <w:t xml:space="preserve">the </w:t>
      </w:r>
      <w:r w:rsidRPr="00010012">
        <w:rPr>
          <w:rFonts w:ascii="Book Antiqua" w:eastAsia="Book Antiqua" w:hAnsi="Book Antiqua" w:cs="Book Antiqua"/>
          <w:color w:val="000000"/>
        </w:rPr>
        <w:t>patient’s blood sample, and has a significant amount of growt</w:t>
      </w:r>
      <w:r w:rsidRPr="00010012">
        <w:rPr>
          <w:rFonts w:ascii="Book Antiqua" w:eastAsia="Book Antiqua" w:hAnsi="Book Antiqua" w:cs="Book Antiqua"/>
          <w:color w:val="000000"/>
        </w:rPr>
        <w:t>h factors. Here, we report a male patient with lower-extremity wound defects who received CGF treatment. The patient recovered well after three times of CGF treatment. This case highlights the beneficial effect of CGF on chronic wound and provides a novel therapeutic option for lower-extremity refractory wound repair.</w:t>
      </w:r>
    </w:p>
    <w:p w14:paraId="73F0B8D2" w14:textId="77777777" w:rsidR="00A77B3E" w:rsidRPr="00010012" w:rsidRDefault="00A77B3E" w:rsidP="00010012">
      <w:pPr>
        <w:adjustRightInd w:val="0"/>
        <w:snapToGrid w:val="0"/>
        <w:spacing w:line="360" w:lineRule="auto"/>
        <w:jc w:val="both"/>
        <w:rPr>
          <w:rFonts w:ascii="Book Antiqua" w:hAnsi="Book Antiqua"/>
        </w:rPr>
      </w:pPr>
    </w:p>
    <w:p w14:paraId="74EF36CA"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INTRODUCTION</w:t>
      </w:r>
    </w:p>
    <w:p w14:paraId="1815CFCF" w14:textId="760F099A"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Chronic refractory wounds are termed as the wounds that do not proceed through an orderly and timely repair to form anatomic and functional integrity within 3 mo. The main causes of refractory wounds include vascular insufficiency,</w:t>
      </w:r>
      <w:r w:rsidRPr="00010012">
        <w:rPr>
          <w:rFonts w:ascii="Book Antiqua" w:eastAsia="Book Antiqua" w:hAnsi="Book Antiqua" w:cs="Book Antiqua"/>
          <w:color w:val="000000"/>
        </w:rPr>
        <w:t xml:space="preserve"> diabetes mellitus</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local pressure effects. Besides, systemic factors such as poor nutritional condition, infection</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altered immunological status also delay the wound healing </w:t>
      </w:r>
      <w:proofErr w:type="gramStart"/>
      <w:r w:rsidRPr="00010012">
        <w:rPr>
          <w:rFonts w:ascii="Book Antiqua" w:eastAsia="Book Antiqua" w:hAnsi="Book Antiqua" w:cs="Book Antiqua"/>
          <w:color w:val="000000"/>
        </w:rPr>
        <w:t>process</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1]</w:t>
      </w:r>
      <w:r w:rsidRPr="00010012">
        <w:rPr>
          <w:rFonts w:ascii="Book Antiqua" w:eastAsia="Book Antiqua" w:hAnsi="Book Antiqua" w:cs="Book Antiqua"/>
          <w:color w:val="000000"/>
        </w:rPr>
        <w:t xml:space="preserve">. Currently, the management strategies </w:t>
      </w:r>
      <w:r w:rsidR="00B936D0">
        <w:rPr>
          <w:rFonts w:ascii="Book Antiqua" w:eastAsia="Book Antiqua" w:hAnsi="Book Antiqua" w:cs="Book Antiqua"/>
          <w:color w:val="000000"/>
        </w:rPr>
        <w:t>for</w:t>
      </w:r>
      <w:r w:rsidR="00B936D0"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skin defects, including flap reconstruction, artificial dermis grafting</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negative pressure wound </w:t>
      </w:r>
      <w:proofErr w:type="gramStart"/>
      <w:r w:rsidRPr="00010012">
        <w:rPr>
          <w:rFonts w:ascii="Book Antiqua" w:eastAsia="Book Antiqua" w:hAnsi="Book Antiqua" w:cs="Book Antiqua"/>
          <w:color w:val="000000"/>
        </w:rPr>
        <w:t>therapy</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2,3]</w:t>
      </w:r>
      <w:r w:rsidRPr="00010012">
        <w:rPr>
          <w:rFonts w:ascii="Book Antiqua" w:eastAsia="Book Antiqua" w:hAnsi="Book Antiqua" w:cs="Book Antiqua"/>
          <w:color w:val="000000"/>
        </w:rPr>
        <w:t xml:space="preserve">, still need further optimization. Therefore, </w:t>
      </w:r>
      <w:r w:rsidR="00B936D0">
        <w:rPr>
          <w:rFonts w:ascii="Book Antiqua" w:eastAsia="Book Antiqua" w:hAnsi="Book Antiqua" w:cs="Book Antiqua"/>
          <w:color w:val="000000"/>
        </w:rPr>
        <w:t>it</w:t>
      </w:r>
      <w:r w:rsidR="00B936D0"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is of utmost urgency to develop new therapeutic options for achieving better clinical outcomes. </w:t>
      </w:r>
    </w:p>
    <w:p w14:paraId="17D1E562" w14:textId="39F05447" w:rsidR="00A77B3E" w:rsidRPr="00010012" w:rsidRDefault="006B3974" w:rsidP="00010012">
      <w:pPr>
        <w:adjustRightInd w:val="0"/>
        <w:snapToGrid w:val="0"/>
        <w:spacing w:line="360" w:lineRule="auto"/>
        <w:ind w:firstLine="240"/>
        <w:jc w:val="both"/>
        <w:rPr>
          <w:rFonts w:ascii="Book Antiqua" w:hAnsi="Book Antiqua"/>
        </w:rPr>
      </w:pPr>
      <w:r w:rsidRPr="00010012">
        <w:rPr>
          <w:rFonts w:ascii="Book Antiqua" w:eastAsia="Book Antiqua" w:hAnsi="Book Antiqua" w:cs="Book Antiqua"/>
          <w:color w:val="000000"/>
        </w:rPr>
        <w:t xml:space="preserve">As a new-generation biomaterial, concentrated growth factor (CGF) is derived from autologous fresh whole blood by differential </w:t>
      </w:r>
      <w:proofErr w:type="gramStart"/>
      <w:r w:rsidRPr="00010012">
        <w:rPr>
          <w:rFonts w:ascii="Book Antiqua" w:eastAsia="Book Antiqua" w:hAnsi="Book Antiqua" w:cs="Book Antiqua"/>
          <w:color w:val="000000"/>
        </w:rPr>
        <w:t>centrifugation</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4]</w:t>
      </w:r>
      <w:r w:rsidRPr="00010012">
        <w:rPr>
          <w:rFonts w:ascii="Book Antiqua" w:eastAsia="Book Antiqua" w:hAnsi="Book Antiqua" w:cs="Book Antiqua"/>
          <w:color w:val="000000"/>
        </w:rPr>
        <w:t>. CGF is known to contain abundant platelets, fibrins</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growth factors, such as epidermal growth factor, fibroblast growth factor (FGF), insulin-like growth factor, platelet-derived growth factor, transforming growth factor beta 1</w:t>
      </w:r>
      <w:r w:rsidR="00B936D0">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and vascular endothelial growth </w:t>
      </w:r>
      <w:proofErr w:type="gramStart"/>
      <w:r w:rsidRPr="00010012">
        <w:rPr>
          <w:rFonts w:ascii="Book Antiqua" w:eastAsia="Book Antiqua" w:hAnsi="Book Antiqua" w:cs="Book Antiqua"/>
          <w:color w:val="000000"/>
        </w:rPr>
        <w:t>factor</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5]</w:t>
      </w:r>
      <w:r w:rsidRPr="00010012">
        <w:rPr>
          <w:rFonts w:ascii="Book Antiqua" w:eastAsia="Book Antiqua" w:hAnsi="Book Antiqua" w:cs="Book Antiqua"/>
          <w:color w:val="000000"/>
        </w:rPr>
        <w:t>. Increasing evidence has demonstrated the multiple effects of CGF on cell growth, migrati</w:t>
      </w:r>
      <w:r w:rsidRPr="00010012">
        <w:rPr>
          <w:rFonts w:ascii="Book Antiqua" w:eastAsia="Book Antiqua" w:hAnsi="Book Antiqua" w:cs="Book Antiqua"/>
          <w:color w:val="000000"/>
        </w:rPr>
        <w:t xml:space="preserve">on, </w:t>
      </w:r>
      <w:r w:rsidRPr="00010012">
        <w:rPr>
          <w:rFonts w:ascii="Book Antiqua" w:eastAsia="Book Antiqua" w:hAnsi="Book Antiqua" w:cs="Book Antiqua"/>
          <w:color w:val="000000"/>
        </w:rPr>
        <w:lastRenderedPageBreak/>
        <w:t>vascularizatio</w:t>
      </w:r>
      <w:r w:rsidRPr="00010012">
        <w:rPr>
          <w:rFonts w:ascii="Book Antiqua" w:eastAsia="Book Antiqua" w:hAnsi="Book Antiqua" w:cs="Book Antiqua"/>
          <w:color w:val="000000"/>
        </w:rPr>
        <w:t>n</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tissue transplantation. Previous studies have reported that CGF exhibits the potential for Schwann cell proliferation, dental pulp stem cell regeneration</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and bone </w:t>
      </w:r>
      <w:proofErr w:type="gramStart"/>
      <w:r w:rsidRPr="00010012">
        <w:rPr>
          <w:rFonts w:ascii="Book Antiqua" w:eastAsia="Book Antiqua" w:hAnsi="Book Antiqua" w:cs="Book Antiqua"/>
          <w:color w:val="000000"/>
        </w:rPr>
        <w:t>reconstruction</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6-8]</w:t>
      </w:r>
      <w:r w:rsidRPr="00010012">
        <w:rPr>
          <w:rFonts w:ascii="Book Antiqua" w:eastAsia="Book Antiqua" w:hAnsi="Book Antiqua" w:cs="Book Antiqua"/>
          <w:color w:val="000000"/>
        </w:rPr>
        <w:t xml:space="preserve">. Besides, CGF could increase the success rate of fat grafting by improving the vascularization of the transplanted fat </w:t>
      </w:r>
      <w:proofErr w:type="gramStart"/>
      <w:r w:rsidRPr="00010012">
        <w:rPr>
          <w:rFonts w:ascii="Book Antiqua" w:eastAsia="Book Antiqua" w:hAnsi="Book Antiqua" w:cs="Book Antiqua"/>
          <w:color w:val="000000"/>
        </w:rPr>
        <w:t>tissue</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5]</w:t>
      </w:r>
      <w:r w:rsidRPr="00010012">
        <w:rPr>
          <w:rFonts w:ascii="Book Antiqua" w:eastAsia="Book Antiqua" w:hAnsi="Book Antiqua" w:cs="Book Antiqua"/>
          <w:color w:val="000000"/>
        </w:rPr>
        <w:t xml:space="preserve">. Therefore, CGF is a promising agent for promoting the growth and regeneration of skin tissue, but very few adequate studies have been conducted to determine its effects on lower-extremity chronic refractory wounds. </w:t>
      </w:r>
    </w:p>
    <w:p w14:paraId="6A59A861" w14:textId="77777777" w:rsidR="00A77B3E" w:rsidRPr="00010012" w:rsidRDefault="00A77B3E" w:rsidP="00010012">
      <w:pPr>
        <w:adjustRightInd w:val="0"/>
        <w:snapToGrid w:val="0"/>
        <w:spacing w:line="360" w:lineRule="auto"/>
        <w:ind w:firstLine="240"/>
        <w:jc w:val="both"/>
        <w:rPr>
          <w:rFonts w:ascii="Book Antiqua" w:hAnsi="Book Antiqua"/>
        </w:rPr>
      </w:pPr>
    </w:p>
    <w:p w14:paraId="0C9D91E5"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CASE PRESENTATION</w:t>
      </w:r>
    </w:p>
    <w:p w14:paraId="13F2ACF3"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Chief complaints</w:t>
      </w:r>
    </w:p>
    <w:p w14:paraId="5FE1A6F0" w14:textId="53DE0108"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A 37-year-old ma</w:t>
      </w:r>
      <w:r w:rsidRPr="00010012">
        <w:rPr>
          <w:rFonts w:ascii="Book Antiqua" w:eastAsia="Book Antiqua" w:hAnsi="Book Antiqua" w:cs="Book Antiqua"/>
          <w:color w:val="000000"/>
        </w:rPr>
        <w:t xml:space="preserve">n, who </w:t>
      </w:r>
      <w:r w:rsidR="00B936D0">
        <w:rPr>
          <w:rFonts w:ascii="Book Antiqua" w:eastAsia="Book Antiqua" w:hAnsi="Book Antiqua" w:cs="Book Antiqua"/>
          <w:color w:val="000000"/>
        </w:rPr>
        <w:t xml:space="preserve">was </w:t>
      </w:r>
      <w:r w:rsidRPr="00010012">
        <w:rPr>
          <w:rFonts w:ascii="Book Antiqua" w:eastAsia="Book Antiqua" w:hAnsi="Book Antiqua" w:cs="Book Antiqua"/>
          <w:color w:val="000000"/>
        </w:rPr>
        <w:t>admitted t</w:t>
      </w:r>
      <w:r w:rsidRPr="00010012">
        <w:rPr>
          <w:rFonts w:ascii="Book Antiqua" w:eastAsia="Book Antiqua" w:hAnsi="Book Antiqua" w:cs="Book Antiqua"/>
          <w:color w:val="000000"/>
        </w:rPr>
        <w:t xml:space="preserve">o our hospital on July 2, 2017, presented an ulcerated wound on his right lower leg. </w:t>
      </w:r>
    </w:p>
    <w:p w14:paraId="6ECE3C05" w14:textId="77777777" w:rsidR="00A77B3E" w:rsidRPr="00010012" w:rsidRDefault="00A77B3E" w:rsidP="00010012">
      <w:pPr>
        <w:adjustRightInd w:val="0"/>
        <w:snapToGrid w:val="0"/>
        <w:spacing w:line="360" w:lineRule="auto"/>
        <w:jc w:val="both"/>
        <w:rPr>
          <w:rFonts w:ascii="Book Antiqua" w:hAnsi="Book Antiqua"/>
        </w:rPr>
      </w:pPr>
    </w:p>
    <w:p w14:paraId="78E18F2A"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History of present illness</w:t>
      </w:r>
    </w:p>
    <w:p w14:paraId="003E2823"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Two weeks before admission, the patient was exposed to trauma by accident. The improper treatment led to an ulcerated wound on his right lower leg. </w:t>
      </w:r>
    </w:p>
    <w:p w14:paraId="6B966D27" w14:textId="77777777" w:rsidR="00A77B3E" w:rsidRPr="00010012" w:rsidRDefault="00A77B3E" w:rsidP="00010012">
      <w:pPr>
        <w:adjustRightInd w:val="0"/>
        <w:snapToGrid w:val="0"/>
        <w:spacing w:line="360" w:lineRule="auto"/>
        <w:jc w:val="both"/>
        <w:rPr>
          <w:rFonts w:ascii="Book Antiqua" w:hAnsi="Book Antiqua"/>
        </w:rPr>
      </w:pPr>
    </w:p>
    <w:p w14:paraId="04E651FB"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History of past illness</w:t>
      </w:r>
    </w:p>
    <w:p w14:paraId="12E3BFC3"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The patient was free from other illnesses.</w:t>
      </w:r>
    </w:p>
    <w:p w14:paraId="46404A72" w14:textId="77777777" w:rsidR="00A77B3E" w:rsidRPr="00010012" w:rsidRDefault="00A77B3E" w:rsidP="00010012">
      <w:pPr>
        <w:adjustRightInd w:val="0"/>
        <w:snapToGrid w:val="0"/>
        <w:spacing w:line="360" w:lineRule="auto"/>
        <w:jc w:val="both"/>
        <w:rPr>
          <w:rFonts w:ascii="Book Antiqua" w:hAnsi="Book Antiqua"/>
        </w:rPr>
      </w:pPr>
    </w:p>
    <w:p w14:paraId="2B74D081"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Personal and family history</w:t>
      </w:r>
    </w:p>
    <w:p w14:paraId="3B6FBD9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The patient had no special personal and family history.</w:t>
      </w:r>
    </w:p>
    <w:p w14:paraId="48C8B301" w14:textId="77777777" w:rsidR="00A77B3E" w:rsidRPr="00010012" w:rsidRDefault="00A77B3E" w:rsidP="00010012">
      <w:pPr>
        <w:adjustRightInd w:val="0"/>
        <w:snapToGrid w:val="0"/>
        <w:spacing w:line="360" w:lineRule="auto"/>
        <w:jc w:val="both"/>
        <w:rPr>
          <w:rFonts w:ascii="Book Antiqua" w:hAnsi="Book Antiqua"/>
        </w:rPr>
      </w:pPr>
    </w:p>
    <w:p w14:paraId="5687F7D7"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Physical examination</w:t>
      </w:r>
    </w:p>
    <w:p w14:paraId="393BE213" w14:textId="2B91924C"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Physical examination showed no significant abnormalities. His blood pressure was 125/74 mmHg, pulse was 93 beats per minute, and temperature was 36.3</w:t>
      </w:r>
      <w:r w:rsidR="008261E5" w:rsidRPr="00010012">
        <w:rPr>
          <w:rFonts w:ascii="Book Antiqua" w:eastAsia="Book Antiqua" w:hAnsi="Book Antiqua" w:cs="Book Antiqua"/>
          <w:color w:val="000000"/>
        </w:rPr>
        <w:t xml:space="preserve"> </w:t>
      </w:r>
      <w:r w:rsidR="00D20C4F" w:rsidRPr="00010012">
        <w:rPr>
          <w:rFonts w:ascii="Book Antiqua" w:hAnsi="Book Antiqua"/>
          <w:color w:val="000000"/>
        </w:rPr>
        <w:t>°C</w:t>
      </w:r>
      <w:r w:rsidRPr="00010012">
        <w:rPr>
          <w:rFonts w:ascii="Book Antiqua" w:eastAsia="Book Antiqua" w:hAnsi="Book Antiqua" w:cs="Book Antiqua"/>
          <w:color w:val="000000"/>
        </w:rPr>
        <w:t>.</w:t>
      </w:r>
    </w:p>
    <w:p w14:paraId="495CCD1E" w14:textId="77777777" w:rsidR="00A77B3E" w:rsidRPr="00010012" w:rsidRDefault="00A77B3E" w:rsidP="00010012">
      <w:pPr>
        <w:adjustRightInd w:val="0"/>
        <w:snapToGrid w:val="0"/>
        <w:spacing w:line="360" w:lineRule="auto"/>
        <w:jc w:val="both"/>
        <w:rPr>
          <w:rFonts w:ascii="Book Antiqua" w:hAnsi="Book Antiqua"/>
        </w:rPr>
      </w:pPr>
    </w:p>
    <w:p w14:paraId="0835C60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Laboratory examinations</w:t>
      </w:r>
    </w:p>
    <w:p w14:paraId="11FBA583" w14:textId="06DA7690"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lastRenderedPageBreak/>
        <w:t xml:space="preserve">Upon admission, a routine blood test revealed the following values: </w:t>
      </w:r>
      <w:r w:rsidR="00B936D0">
        <w:rPr>
          <w:rFonts w:ascii="Book Antiqua" w:eastAsia="Book Antiqua" w:hAnsi="Book Antiqua" w:cs="Book Antiqua"/>
          <w:color w:val="000000"/>
        </w:rPr>
        <w:t>H</w:t>
      </w:r>
      <w:r w:rsidR="00B936D0" w:rsidRPr="00010012">
        <w:rPr>
          <w:rFonts w:ascii="Book Antiqua" w:eastAsia="Book Antiqua" w:hAnsi="Book Antiqua" w:cs="Book Antiqua"/>
          <w:color w:val="000000"/>
        </w:rPr>
        <w:t>emoglobin</w:t>
      </w:r>
      <w:r w:rsidRPr="00010012">
        <w:rPr>
          <w:rFonts w:ascii="Book Antiqua" w:eastAsia="Book Antiqua" w:hAnsi="Book Antiqua" w:cs="Book Antiqua"/>
          <w:color w:val="000000"/>
        </w:rPr>
        <w:t xml:space="preserve">, 167 g/L; </w:t>
      </w:r>
      <w:r w:rsidRPr="00010012">
        <w:rPr>
          <w:rFonts w:ascii="Book Antiqua" w:eastAsia="Book Antiqua" w:hAnsi="Book Antiqua" w:cs="Book Antiqua"/>
          <w:color w:val="000000"/>
        </w:rPr>
        <w:t>white blood cell count, 8.69 × 10</w:t>
      </w:r>
      <w:r w:rsidRPr="00010012">
        <w:rPr>
          <w:rFonts w:ascii="Book Antiqua" w:eastAsia="Book Antiqua" w:hAnsi="Book Antiqua" w:cs="Book Antiqua"/>
          <w:color w:val="000000"/>
          <w:vertAlign w:val="superscript"/>
        </w:rPr>
        <w:t>9</w:t>
      </w:r>
      <w:r w:rsidRPr="00010012">
        <w:rPr>
          <w:rFonts w:ascii="Book Antiqua" w:eastAsia="Book Antiqua" w:hAnsi="Book Antiqua" w:cs="Book Antiqua"/>
          <w:color w:val="000000"/>
        </w:rPr>
        <w:t>/L; red blood cell count, 5.30 × 10</w:t>
      </w:r>
      <w:r w:rsidRPr="00010012">
        <w:rPr>
          <w:rFonts w:ascii="Book Antiqua" w:eastAsia="Book Antiqua" w:hAnsi="Book Antiqua" w:cs="Book Antiqua"/>
          <w:color w:val="000000"/>
          <w:vertAlign w:val="superscript"/>
        </w:rPr>
        <w:t>12</w:t>
      </w:r>
      <w:r w:rsidRPr="00010012">
        <w:rPr>
          <w:rFonts w:ascii="Book Antiqua" w:eastAsia="Book Antiqua" w:hAnsi="Book Antiqua" w:cs="Book Antiqua"/>
          <w:color w:val="000000"/>
        </w:rPr>
        <w:t>/L; and thrombocytes, 185 × 10</w:t>
      </w:r>
      <w:r w:rsidRPr="00010012">
        <w:rPr>
          <w:rFonts w:ascii="Book Antiqua" w:eastAsia="Book Antiqua" w:hAnsi="Book Antiqua" w:cs="Book Antiqua"/>
          <w:color w:val="000000"/>
          <w:vertAlign w:val="superscript"/>
        </w:rPr>
        <w:t>9</w:t>
      </w:r>
      <w:r w:rsidRPr="00010012">
        <w:rPr>
          <w:rFonts w:ascii="Book Antiqua" w:eastAsia="Book Antiqua" w:hAnsi="Book Antiqua" w:cs="Book Antiqua"/>
          <w:color w:val="000000"/>
        </w:rPr>
        <w:t xml:space="preserve">/L. Drug susceptibility testing showed that the wound was infected with </w:t>
      </w:r>
      <w:r w:rsidRPr="00010012">
        <w:rPr>
          <w:rFonts w:ascii="Book Antiqua" w:eastAsia="Book Antiqua" w:hAnsi="Book Antiqua" w:cs="Book Antiqua"/>
          <w:i/>
          <w:iCs/>
          <w:color w:val="000000"/>
        </w:rPr>
        <w:t>Staphylococcus aureus</w:t>
      </w:r>
      <w:r w:rsidRPr="00010012">
        <w:rPr>
          <w:rFonts w:ascii="Book Antiqua" w:eastAsia="Book Antiqua" w:hAnsi="Book Antiqua" w:cs="Book Antiqua"/>
          <w:color w:val="000000"/>
        </w:rPr>
        <w:t>.</w:t>
      </w:r>
    </w:p>
    <w:p w14:paraId="7E093C52" w14:textId="77777777" w:rsidR="00A77B3E" w:rsidRPr="00010012" w:rsidRDefault="00A77B3E" w:rsidP="00010012">
      <w:pPr>
        <w:adjustRightInd w:val="0"/>
        <w:snapToGrid w:val="0"/>
        <w:spacing w:line="360" w:lineRule="auto"/>
        <w:jc w:val="both"/>
        <w:rPr>
          <w:rFonts w:ascii="Book Antiqua" w:hAnsi="Book Antiqua"/>
        </w:rPr>
      </w:pPr>
    </w:p>
    <w:p w14:paraId="435C1CA9"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Imaging examinations</w:t>
      </w:r>
    </w:p>
    <w:p w14:paraId="3FC45770"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No imaging examinations were performed as the patient displayed good conditions except the wound on his lower leg.</w:t>
      </w:r>
    </w:p>
    <w:p w14:paraId="6A5B2792" w14:textId="77777777" w:rsidR="00A77B3E" w:rsidRPr="00010012" w:rsidRDefault="00A77B3E" w:rsidP="00010012">
      <w:pPr>
        <w:adjustRightInd w:val="0"/>
        <w:snapToGrid w:val="0"/>
        <w:spacing w:line="360" w:lineRule="auto"/>
        <w:jc w:val="both"/>
        <w:rPr>
          <w:rFonts w:ascii="Book Antiqua" w:hAnsi="Book Antiqua"/>
        </w:rPr>
      </w:pPr>
    </w:p>
    <w:p w14:paraId="4609FB9B"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FINAL DIAGNOSIS</w:t>
      </w:r>
    </w:p>
    <w:p w14:paraId="080654E9"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The patient was diagnosed as having a right lower-extremity chronic refractory wound, along with </w:t>
      </w:r>
      <w:r w:rsidRPr="00010012">
        <w:rPr>
          <w:rFonts w:ascii="Book Antiqua" w:eastAsia="Book Antiqua" w:hAnsi="Book Antiqua" w:cs="Book Antiqua"/>
          <w:i/>
          <w:iCs/>
          <w:color w:val="000000"/>
        </w:rPr>
        <w:t xml:space="preserve">Staphylococcus aureus </w:t>
      </w:r>
      <w:r w:rsidRPr="00010012">
        <w:rPr>
          <w:rFonts w:ascii="Book Antiqua" w:eastAsia="Book Antiqua" w:hAnsi="Book Antiqua" w:cs="Book Antiqua"/>
          <w:color w:val="000000"/>
        </w:rPr>
        <w:t>infection.</w:t>
      </w:r>
    </w:p>
    <w:p w14:paraId="75F41BD3" w14:textId="77777777" w:rsidR="00A77B3E" w:rsidRPr="00010012" w:rsidRDefault="00A77B3E" w:rsidP="00010012">
      <w:pPr>
        <w:adjustRightInd w:val="0"/>
        <w:snapToGrid w:val="0"/>
        <w:spacing w:line="360" w:lineRule="auto"/>
        <w:jc w:val="both"/>
        <w:rPr>
          <w:rFonts w:ascii="Book Antiqua" w:hAnsi="Book Antiqua"/>
        </w:rPr>
      </w:pPr>
    </w:p>
    <w:p w14:paraId="30DC5BCC"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TREATMENT</w:t>
      </w:r>
    </w:p>
    <w:p w14:paraId="10BA7B8D" w14:textId="0D4B7231"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Wound secretion culture and drug sensitivity test were carried out after admission. Transparent graph paper was employed to measure the wound size. Vessel forceps was used to assess the depth of the wound. A thorough mechanical debridement accompanying with Moist Exposed Burn Ointment (MEBO) was performed to remove necrotic tissue. All surgical procedures were conducted under aseptic conditions according to the local policy. Povidone iodine (0.5%) or H</w:t>
      </w:r>
      <w:r w:rsidRPr="00010012">
        <w:rPr>
          <w:rFonts w:ascii="Book Antiqua" w:eastAsia="Book Antiqua" w:hAnsi="Book Antiqua" w:cs="Book Antiqua"/>
          <w:color w:val="000000"/>
          <w:vertAlign w:val="subscript"/>
        </w:rPr>
        <w:t>2</w:t>
      </w:r>
      <w:r w:rsidRPr="00010012">
        <w:rPr>
          <w:rFonts w:ascii="Book Antiqua" w:eastAsia="Book Antiqua" w:hAnsi="Book Antiqua" w:cs="Book Antiqua"/>
          <w:color w:val="000000"/>
        </w:rPr>
        <w:t>O</w:t>
      </w:r>
      <w:r w:rsidRPr="00010012">
        <w:rPr>
          <w:rFonts w:ascii="Book Antiqua" w:eastAsia="Book Antiqua" w:hAnsi="Book Antiqua" w:cs="Book Antiqua"/>
          <w:color w:val="000000"/>
          <w:vertAlign w:val="subscript"/>
        </w:rPr>
        <w:t>2</w:t>
      </w:r>
      <w:r w:rsidRPr="00010012">
        <w:rPr>
          <w:rFonts w:ascii="Book Antiqua" w:eastAsia="Book Antiqua" w:hAnsi="Book Antiqua" w:cs="Book Antiqua"/>
          <w:color w:val="000000"/>
        </w:rPr>
        <w:t xml:space="preserve"> (3%) solution was used to rinse the wound once a day, while mupirocin or silver sulfadiazine ointment was employed after wound dressing until the necrotic tissue and wound exudate were decreased significantly, which were essential for the following procedures. The dressing materials, su</w:t>
      </w:r>
      <w:r w:rsidRPr="00010012">
        <w:rPr>
          <w:rFonts w:ascii="Book Antiqua" w:eastAsia="Book Antiqua" w:hAnsi="Book Antiqua" w:cs="Book Antiqua"/>
          <w:color w:val="000000"/>
        </w:rPr>
        <w:t>ch as</w:t>
      </w:r>
      <w:r w:rsidR="00B936D0">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gauze with or without </w:t>
      </w:r>
      <w:proofErr w:type="spellStart"/>
      <w:proofErr w:type="gramStart"/>
      <w:r w:rsidRPr="00010012">
        <w:rPr>
          <w:rFonts w:ascii="Book Antiqua" w:eastAsia="Book Antiqua" w:hAnsi="Book Antiqua" w:cs="Book Antiqua"/>
          <w:color w:val="000000"/>
        </w:rPr>
        <w:t>vaseline</w:t>
      </w:r>
      <w:proofErr w:type="spellEnd"/>
      <w:proofErr w:type="gramEnd"/>
      <w:r w:rsidRPr="00010012">
        <w:rPr>
          <w:rFonts w:ascii="Book Antiqua" w:eastAsia="Book Antiqua" w:hAnsi="Book Antiqua" w:cs="Book Antiqua"/>
          <w:color w:val="000000"/>
        </w:rPr>
        <w:t xml:space="preserve">, were replaced once a day. The interval of wound refilling was dependent on CGF dissolution, typically ranging from 5 </w:t>
      </w:r>
      <w:r w:rsidR="00997BB3" w:rsidRPr="00010012">
        <w:rPr>
          <w:rFonts w:ascii="Book Antiqua" w:eastAsia="Book Antiqua" w:hAnsi="Book Antiqua" w:cs="Book Antiqua"/>
          <w:color w:val="000000"/>
        </w:rPr>
        <w:t xml:space="preserve">d </w:t>
      </w:r>
      <w:r w:rsidRPr="00010012">
        <w:rPr>
          <w:rFonts w:ascii="Book Antiqua" w:eastAsia="Book Antiqua" w:hAnsi="Book Antiqua" w:cs="Book Antiqua"/>
          <w:color w:val="000000"/>
        </w:rPr>
        <w:t xml:space="preserve">to 7 d. </w:t>
      </w:r>
    </w:p>
    <w:p w14:paraId="5D228CEA" w14:textId="06031FF3" w:rsidR="00A77B3E" w:rsidRPr="00010012" w:rsidRDefault="006B3974" w:rsidP="00010012">
      <w:pPr>
        <w:adjustRightInd w:val="0"/>
        <w:snapToGrid w:val="0"/>
        <w:spacing w:line="360" w:lineRule="auto"/>
        <w:ind w:firstLine="240"/>
        <w:jc w:val="both"/>
        <w:rPr>
          <w:rFonts w:ascii="Book Antiqua" w:hAnsi="Book Antiqua"/>
        </w:rPr>
      </w:pPr>
      <w:r w:rsidRPr="00010012">
        <w:rPr>
          <w:rFonts w:ascii="Book Antiqua" w:eastAsia="Book Antiqua" w:hAnsi="Book Antiqua" w:cs="Book Antiqua"/>
          <w:color w:val="000000"/>
        </w:rPr>
        <w:t xml:space="preserve">Autologous venous blood (9 mL) was collected into a sterile </w:t>
      </w:r>
      <w:proofErr w:type="spellStart"/>
      <w:r w:rsidRPr="00010012">
        <w:rPr>
          <w:rFonts w:ascii="Book Antiqua" w:eastAsia="Book Antiqua" w:hAnsi="Book Antiqua" w:cs="Book Antiqua"/>
          <w:color w:val="000000"/>
        </w:rPr>
        <w:t>Vacuette</w:t>
      </w:r>
      <w:proofErr w:type="spellEnd"/>
      <w:r w:rsidRPr="00010012">
        <w:rPr>
          <w:rFonts w:ascii="Book Antiqua" w:eastAsia="Book Antiqua" w:hAnsi="Book Antiqua" w:cs="Book Antiqua"/>
          <w:color w:val="000000"/>
        </w:rPr>
        <w:t xml:space="preserve"> tube with no additives, and immediately centrifuged using a fixed-program device (</w:t>
      </w:r>
      <w:proofErr w:type="spellStart"/>
      <w:r w:rsidRPr="00010012">
        <w:rPr>
          <w:rFonts w:ascii="Book Antiqua" w:eastAsia="Book Antiqua" w:hAnsi="Book Antiqua" w:cs="Book Antiqua"/>
          <w:color w:val="000000"/>
        </w:rPr>
        <w:t>Silfradent</w:t>
      </w:r>
      <w:proofErr w:type="spellEnd"/>
      <w:r w:rsidRPr="00010012">
        <w:rPr>
          <w:rFonts w:ascii="Book Antiqua" w:eastAsia="Book Antiqua" w:hAnsi="Book Antiqua" w:cs="Book Antiqua"/>
          <w:color w:val="000000"/>
        </w:rPr>
        <w:t xml:space="preserve">, Italy). The detailed centrifugation settings are as follows: </w:t>
      </w:r>
      <w:r w:rsidR="00B936D0">
        <w:rPr>
          <w:rFonts w:ascii="Book Antiqua" w:eastAsia="Book Antiqua" w:hAnsi="Book Antiqua" w:cs="Book Antiqua"/>
          <w:color w:val="000000"/>
        </w:rPr>
        <w:t>A</w:t>
      </w:r>
      <w:r w:rsidR="00B936D0" w:rsidRPr="00010012">
        <w:rPr>
          <w:rFonts w:ascii="Book Antiqua" w:eastAsia="Book Antiqua" w:hAnsi="Book Antiqua" w:cs="Book Antiqua"/>
          <w:color w:val="000000"/>
        </w:rPr>
        <w:t xml:space="preserve">cceleration </w:t>
      </w:r>
      <w:r w:rsidRPr="00010012">
        <w:rPr>
          <w:rFonts w:ascii="Book Antiqua" w:eastAsia="Book Antiqua" w:hAnsi="Book Antiqua" w:cs="Book Antiqua"/>
          <w:color w:val="000000"/>
        </w:rPr>
        <w:t>(30 s),</w:t>
      </w:r>
      <w:r w:rsidRPr="00010012">
        <w:rPr>
          <w:rFonts w:ascii="Book Antiqua" w:eastAsia="Book Antiqua" w:hAnsi="Book Antiqua" w:cs="Book Antiqua"/>
          <w:color w:val="000000"/>
        </w:rPr>
        <w:t xml:space="preserve"> 2700 rpm for 2 min, 2400 rpm for 4 min, 2700 rpm for 2 min, and deceleration (30 s). CGF gel was suspended </w:t>
      </w:r>
      <w:r w:rsidRPr="00010012">
        <w:rPr>
          <w:rFonts w:ascii="Book Antiqua" w:eastAsia="Book Antiqua" w:hAnsi="Book Antiqua" w:cs="Book Antiqua"/>
          <w:color w:val="000000"/>
        </w:rPr>
        <w:lastRenderedPageBreak/>
        <w:t xml:space="preserve">in the middle layer in the </w:t>
      </w:r>
      <w:proofErr w:type="spellStart"/>
      <w:r w:rsidRPr="00010012">
        <w:rPr>
          <w:rFonts w:ascii="Book Antiqua" w:eastAsia="Book Antiqua" w:hAnsi="Book Antiqua" w:cs="Book Antiqua"/>
          <w:color w:val="000000"/>
        </w:rPr>
        <w:t>Vacuette</w:t>
      </w:r>
      <w:proofErr w:type="spellEnd"/>
      <w:r w:rsidRPr="00010012">
        <w:rPr>
          <w:rFonts w:ascii="Book Antiqua" w:eastAsia="Book Antiqua" w:hAnsi="Book Antiqua" w:cs="Book Antiqua"/>
          <w:color w:val="000000"/>
        </w:rPr>
        <w:t xml:space="preserve"> tube and placed on gauze by forceps. The gel was applied onto the wound, and the dressing was replaced daily. The CGF clots were pressed gently in order to fill the wound space and prevent wound fluid effusion.</w:t>
      </w:r>
    </w:p>
    <w:p w14:paraId="1184CBCC" w14:textId="371AF7ED"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The ulcerated wound exhibited clear boundaries, with a size of 2.0 cm</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3.5 cm. The depth of wound was up to the layer of deep fascia. A sinus tract, around 2 cm in length, was extended to the periost</w:t>
      </w:r>
      <w:r w:rsidRPr="00010012">
        <w:rPr>
          <w:rFonts w:ascii="Book Antiqua" w:eastAsia="Book Antiqua" w:hAnsi="Book Antiqua" w:cs="Book Antiqua"/>
          <w:color w:val="000000"/>
        </w:rPr>
        <w:t xml:space="preserve">eum of </w:t>
      </w:r>
      <w:r w:rsidR="00B936D0">
        <w:rPr>
          <w:rFonts w:ascii="Book Antiqua" w:eastAsia="Book Antiqua" w:hAnsi="Book Antiqua" w:cs="Book Antiqua"/>
          <w:color w:val="000000"/>
        </w:rPr>
        <w:t xml:space="preserve">the </w:t>
      </w:r>
      <w:r w:rsidRPr="00010012">
        <w:rPr>
          <w:rFonts w:ascii="Book Antiqua" w:eastAsia="Book Antiqua" w:hAnsi="Book Antiqua" w:cs="Book Antiqua"/>
          <w:color w:val="000000"/>
        </w:rPr>
        <w:t>tibia. Besides, necrotic tissues and light yellow liquid effusions were observed inside the wound bed during admission (Figure 1A). Moreover, the condition of the wound bed was poor, and a small amount of granulation tissue was found. Symptoms such as slight redness, swelling</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pain were also present near the wound site. </w:t>
      </w:r>
      <w:proofErr w:type="spellStart"/>
      <w:r w:rsidRPr="00010012">
        <w:rPr>
          <w:rFonts w:ascii="Book Antiqua" w:eastAsia="Book Antiqua" w:hAnsi="Book Antiqua" w:cs="Book Antiqua"/>
          <w:color w:val="000000"/>
        </w:rPr>
        <w:t>Cefathiamidine</w:t>
      </w:r>
      <w:proofErr w:type="spellEnd"/>
      <w:r w:rsidRPr="00010012">
        <w:rPr>
          <w:rFonts w:ascii="Book Antiqua" w:eastAsia="Book Antiqua" w:hAnsi="Book Antiqua" w:cs="Book Antiqua"/>
          <w:color w:val="000000"/>
        </w:rPr>
        <w:t>, silver sulfadiazine</w:t>
      </w:r>
      <w:r w:rsidR="00B936D0">
        <w:rPr>
          <w:rFonts w:ascii="Book Antiqua" w:eastAsia="Book Antiqua" w:hAnsi="Book Antiqua" w:cs="Book Antiqua"/>
          <w:color w:val="000000"/>
        </w:rPr>
        <w:t xml:space="preserve">, </w:t>
      </w:r>
      <w:r w:rsidRPr="00010012">
        <w:rPr>
          <w:rFonts w:ascii="Book Antiqua" w:eastAsia="Book Antiqua" w:hAnsi="Book Antiqua" w:cs="Book Antiqua"/>
          <w:color w:val="000000"/>
        </w:rPr>
        <w:t>and mupiro</w:t>
      </w:r>
      <w:r w:rsidRPr="00010012">
        <w:rPr>
          <w:rFonts w:ascii="Book Antiqua" w:eastAsia="Book Antiqua" w:hAnsi="Book Antiqua" w:cs="Book Antiqua"/>
          <w:color w:val="000000"/>
        </w:rPr>
        <w:t xml:space="preserve">cin cream were applied to control infection, as </w:t>
      </w:r>
      <w:r w:rsidRPr="00010012">
        <w:rPr>
          <w:rFonts w:ascii="Book Antiqua" w:eastAsia="Book Antiqua" w:hAnsi="Book Antiqua" w:cs="Book Antiqua"/>
          <w:i/>
          <w:iCs/>
          <w:color w:val="000000"/>
        </w:rPr>
        <w:t>Staphylococcus aureus</w:t>
      </w:r>
      <w:r w:rsidRPr="00010012">
        <w:rPr>
          <w:rFonts w:ascii="Book Antiqua" w:eastAsia="Book Antiqua" w:hAnsi="Book Antiqua" w:cs="Book Antiqua"/>
          <w:color w:val="000000"/>
        </w:rPr>
        <w:t xml:space="preserve"> was detected by bacterial culture. The periosteum was exposed after thorough debridement and MEBO application (Figure 1B). The formation of granulation tissue was enhanced by recombinant bovine basic </w:t>
      </w:r>
      <w:r w:rsidR="00D20C4F" w:rsidRPr="00010012">
        <w:rPr>
          <w:rFonts w:ascii="Book Antiqua" w:eastAsia="Book Antiqua" w:hAnsi="Book Antiqua" w:cs="Book Antiqua"/>
          <w:color w:val="000000"/>
        </w:rPr>
        <w:t>FGF</w:t>
      </w:r>
      <w:r w:rsidRPr="00010012">
        <w:rPr>
          <w:rFonts w:ascii="Book Antiqua" w:eastAsia="Book Antiqua" w:hAnsi="Book Antiqua" w:cs="Book Antiqua"/>
          <w:color w:val="000000"/>
        </w:rPr>
        <w:t>. The ulcerated wound was successfully covered by CGF gel (Figure 1C), and the wound closure showed an encouraging trend after CGF treatment. The wound cavity was thinner and wound bed was smaller on postoperative days 11 and 17 after CGF treatment, respectively (Figure 1D</w:t>
      </w:r>
      <w:r w:rsidR="00997BB3" w:rsidRPr="00010012">
        <w:rPr>
          <w:rFonts w:ascii="Book Antiqua" w:eastAsia="Book Antiqua" w:hAnsi="Book Antiqua" w:cs="Book Antiqua"/>
          <w:color w:val="000000"/>
        </w:rPr>
        <w:t xml:space="preserve"> and</w:t>
      </w:r>
      <w:r w:rsidR="002E58FB" w:rsidRPr="00010012">
        <w:rPr>
          <w:rFonts w:ascii="Book Antiqua" w:hAnsi="Book Antiqua" w:cs="Book Antiqua"/>
          <w:color w:val="000000"/>
          <w:lang w:eastAsia="zh-CN"/>
        </w:rPr>
        <w:t xml:space="preserve"> </w:t>
      </w:r>
      <w:r w:rsidRPr="00010012">
        <w:rPr>
          <w:rFonts w:ascii="Book Antiqua" w:eastAsia="Book Antiqua" w:hAnsi="Book Antiqua" w:cs="Book Antiqua"/>
          <w:color w:val="000000"/>
        </w:rPr>
        <w:t>E). The wound site was refilled once the CGF gel was degraded. After three times of CGF treatment, the skin wound was healed (Figure 1F).</w:t>
      </w:r>
    </w:p>
    <w:p w14:paraId="2E8AFBF8" w14:textId="77777777" w:rsidR="00A77B3E" w:rsidRPr="00010012" w:rsidRDefault="00A77B3E" w:rsidP="00010012">
      <w:pPr>
        <w:adjustRightInd w:val="0"/>
        <w:snapToGrid w:val="0"/>
        <w:spacing w:line="360" w:lineRule="auto"/>
        <w:jc w:val="both"/>
        <w:rPr>
          <w:rFonts w:ascii="Book Antiqua" w:hAnsi="Book Antiqua"/>
        </w:rPr>
      </w:pPr>
    </w:p>
    <w:p w14:paraId="24F12F0A"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OUTCOME AND FOLLOW-UP</w:t>
      </w:r>
    </w:p>
    <w:p w14:paraId="53A65338"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Encouraging results were obtained by CGF intervention, even in the infected wound. As mentioned above, the skin defect was successfully healed after three times of CGF treatment. The patient was discharged on Aug</w:t>
      </w:r>
      <w:r w:rsidR="00997BB3" w:rsidRPr="00010012">
        <w:rPr>
          <w:rFonts w:ascii="Book Antiqua" w:eastAsia="Book Antiqua" w:hAnsi="Book Antiqua" w:cs="Book Antiqua"/>
          <w:color w:val="000000"/>
        </w:rPr>
        <w:t>ust</w:t>
      </w:r>
      <w:r w:rsidRPr="00010012">
        <w:rPr>
          <w:rFonts w:ascii="Book Antiqua" w:eastAsia="Book Antiqua" w:hAnsi="Book Antiqua" w:cs="Book Antiqua"/>
          <w:color w:val="000000"/>
        </w:rPr>
        <w:t xml:space="preserve"> 1 and no medication was needed throughout the whole follow-up period. </w:t>
      </w:r>
    </w:p>
    <w:p w14:paraId="2ED37B37" w14:textId="77777777" w:rsidR="00A77B3E" w:rsidRPr="00010012" w:rsidRDefault="00A77B3E" w:rsidP="00010012">
      <w:pPr>
        <w:adjustRightInd w:val="0"/>
        <w:snapToGrid w:val="0"/>
        <w:spacing w:line="360" w:lineRule="auto"/>
        <w:jc w:val="both"/>
        <w:rPr>
          <w:rFonts w:ascii="Book Antiqua" w:hAnsi="Book Antiqua"/>
        </w:rPr>
      </w:pPr>
    </w:p>
    <w:p w14:paraId="022AA7BA"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DISCUSSION</w:t>
      </w:r>
    </w:p>
    <w:p w14:paraId="39714DA2" w14:textId="1DE6CE92"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Wound healing is a complex process involving the interactions among cells, extracellular mat</w:t>
      </w:r>
      <w:bookmarkStart w:id="0" w:name="_GoBack"/>
      <w:r w:rsidRPr="00010012">
        <w:rPr>
          <w:rFonts w:ascii="Book Antiqua" w:eastAsia="Book Antiqua" w:hAnsi="Book Antiqua" w:cs="Book Antiqua"/>
          <w:color w:val="000000"/>
        </w:rPr>
        <w:t>rix</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c</w:t>
      </w:r>
      <w:bookmarkEnd w:id="0"/>
      <w:r w:rsidRPr="00010012">
        <w:rPr>
          <w:rFonts w:ascii="Book Antiqua" w:eastAsia="Book Antiqua" w:hAnsi="Book Antiqua" w:cs="Book Antiqua"/>
          <w:color w:val="000000"/>
        </w:rPr>
        <w:t>ytokines. The normal skin repair process is characterized by inflammatory responses, granulation tissue formation, re-epithelialization, stromal c</w:t>
      </w:r>
      <w:r w:rsidRPr="00010012">
        <w:rPr>
          <w:rFonts w:ascii="Book Antiqua" w:eastAsia="Book Antiqua" w:hAnsi="Book Antiqua" w:cs="Book Antiqua"/>
          <w:color w:val="000000"/>
        </w:rPr>
        <w:t>ell production</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w:t>
      </w:r>
      <w:r w:rsidRPr="00010012">
        <w:rPr>
          <w:rFonts w:ascii="Book Antiqua" w:eastAsia="Book Antiqua" w:hAnsi="Book Antiqua" w:cs="Book Antiqua"/>
          <w:color w:val="000000"/>
        </w:rPr>
        <w:t xml:space="preserve">d </w:t>
      </w:r>
      <w:r w:rsidRPr="00010012">
        <w:rPr>
          <w:rFonts w:ascii="Book Antiqua" w:eastAsia="Book Antiqua" w:hAnsi="Book Antiqua" w:cs="Book Antiqua"/>
          <w:color w:val="000000"/>
        </w:rPr>
        <w:lastRenderedPageBreak/>
        <w:t xml:space="preserve">tissue </w:t>
      </w:r>
      <w:proofErr w:type="gramStart"/>
      <w:r w:rsidRPr="00010012">
        <w:rPr>
          <w:rFonts w:ascii="Book Antiqua" w:eastAsia="Book Antiqua" w:hAnsi="Book Antiqua" w:cs="Book Antiqua"/>
          <w:color w:val="000000"/>
        </w:rPr>
        <w:t>remodeling</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9]</w:t>
      </w:r>
      <w:r w:rsidRPr="00010012">
        <w:rPr>
          <w:rFonts w:ascii="Book Antiqua" w:eastAsia="Book Antiqua" w:hAnsi="Book Antiqua" w:cs="Book Antiqua"/>
          <w:color w:val="000000"/>
        </w:rPr>
        <w:t xml:space="preserve">. Currently, there are no well-established and widely accepted guidelines for the clinical management for chronic wound due to its complicated pathogenesis and no satisfactory treatment strategies in the clinical settings. Several factors have been identified to affect the healing process of a chronic wound. Insufficient growth factors generally retard cell proliferation, thereby leading to chronic or non-healing </w:t>
      </w:r>
      <w:proofErr w:type="gramStart"/>
      <w:r w:rsidRPr="00010012">
        <w:rPr>
          <w:rFonts w:ascii="Book Antiqua" w:eastAsia="Book Antiqua" w:hAnsi="Book Antiqua" w:cs="Book Antiqua"/>
          <w:color w:val="000000"/>
        </w:rPr>
        <w:t>wounds</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10]</w:t>
      </w:r>
      <w:r w:rsidRPr="00010012">
        <w:rPr>
          <w:rFonts w:ascii="Book Antiqua" w:eastAsia="Book Antiqua" w:hAnsi="Book Antiqua" w:cs="Book Antiqua"/>
          <w:color w:val="000000"/>
        </w:rPr>
        <w:t xml:space="preserve">. Therefore, improving the growth factor content may be a promising approach for chronic wound management. </w:t>
      </w:r>
    </w:p>
    <w:p w14:paraId="4ABC0922" w14:textId="6B751700" w:rsidR="00A77B3E" w:rsidRPr="00010012" w:rsidRDefault="006B3974" w:rsidP="00010012">
      <w:pPr>
        <w:adjustRightInd w:val="0"/>
        <w:snapToGrid w:val="0"/>
        <w:spacing w:line="360" w:lineRule="auto"/>
        <w:ind w:firstLine="240"/>
        <w:jc w:val="both"/>
        <w:rPr>
          <w:rFonts w:ascii="Book Antiqua" w:hAnsi="Book Antiqua"/>
        </w:rPr>
      </w:pPr>
      <w:r w:rsidRPr="00010012">
        <w:rPr>
          <w:rFonts w:ascii="Book Antiqua" w:eastAsia="Book Antiqua" w:hAnsi="Book Antiqua" w:cs="Book Antiqua"/>
          <w:color w:val="000000"/>
        </w:rPr>
        <w:t xml:space="preserve">CGF is a new-generation whole blood extraction following the platelet-rich plasma and platelet-rich </w:t>
      </w:r>
      <w:proofErr w:type="gramStart"/>
      <w:r w:rsidRPr="00010012">
        <w:rPr>
          <w:rFonts w:ascii="Book Antiqua" w:eastAsia="Book Antiqua" w:hAnsi="Book Antiqua" w:cs="Book Antiqua"/>
          <w:color w:val="000000"/>
        </w:rPr>
        <w:t>fibrin</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11]</w:t>
      </w:r>
      <w:r w:rsidRPr="00010012">
        <w:rPr>
          <w:rFonts w:ascii="Book Antiqua" w:eastAsia="Book Antiqua" w:hAnsi="Book Antiqua" w:cs="Book Antiqua"/>
          <w:color w:val="000000"/>
        </w:rPr>
        <w:t xml:space="preserve">. As a bio-scaffold and reservoir of growth factors, CGF has been applied in bone regeneration and dental </w:t>
      </w:r>
      <w:proofErr w:type="gramStart"/>
      <w:r w:rsidRPr="00010012">
        <w:rPr>
          <w:rFonts w:ascii="Book Antiqua" w:eastAsia="Book Antiqua" w:hAnsi="Book Antiqua" w:cs="Book Antiqua"/>
          <w:color w:val="000000"/>
        </w:rPr>
        <w:t>implantation</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12]</w:t>
      </w:r>
      <w:r w:rsidRPr="00010012">
        <w:rPr>
          <w:rFonts w:ascii="Book Antiqua" w:eastAsia="Book Antiqua" w:hAnsi="Book Antiqua" w:cs="Book Antiqua"/>
          <w:color w:val="000000"/>
        </w:rPr>
        <w:t>. The abundance of growth factors is beneficial for cell proliferation, va</w:t>
      </w:r>
      <w:r w:rsidRPr="00010012">
        <w:rPr>
          <w:rFonts w:ascii="Book Antiqua" w:eastAsia="Book Antiqua" w:hAnsi="Book Antiqua" w:cs="Book Antiqua"/>
          <w:color w:val="000000"/>
        </w:rPr>
        <w:t>scularization</w:t>
      </w:r>
      <w:r w:rsidR="00EC16F1">
        <w:rPr>
          <w:rFonts w:ascii="Book Antiqua" w:eastAsia="Book Antiqua" w:hAnsi="Book Antiqua" w:cs="Book Antiqua"/>
          <w:color w:val="000000"/>
        </w:rPr>
        <w:t>,</w:t>
      </w:r>
      <w:r w:rsidRPr="00010012">
        <w:rPr>
          <w:rFonts w:ascii="Book Antiqua" w:eastAsia="Book Antiqua" w:hAnsi="Book Antiqua" w:cs="Book Antiqua"/>
          <w:color w:val="000000"/>
        </w:rPr>
        <w:t xml:space="preserve"> and tissue remodeling. It has been reported that CD34 positive cell</w:t>
      </w:r>
      <w:r w:rsidR="00EC16F1">
        <w:rPr>
          <w:rFonts w:ascii="Book Antiqua" w:eastAsia="Book Antiqua" w:hAnsi="Book Antiqua" w:cs="Book Antiqua"/>
          <w:color w:val="000000"/>
        </w:rPr>
        <w:t>s</w:t>
      </w:r>
      <w:r w:rsidRPr="00010012">
        <w:rPr>
          <w:rFonts w:ascii="Book Antiqua" w:eastAsia="Book Antiqua" w:hAnsi="Book Antiqua" w:cs="Book Antiqua"/>
          <w:color w:val="000000"/>
        </w:rPr>
        <w:t xml:space="preserve">, which play essential roles in mediating inflammation and revascularization, </w:t>
      </w:r>
      <w:r w:rsidR="00EC16F1" w:rsidRPr="00010012">
        <w:rPr>
          <w:rFonts w:ascii="Book Antiqua" w:eastAsia="Book Antiqua" w:hAnsi="Book Antiqua" w:cs="Book Antiqua"/>
          <w:color w:val="000000"/>
        </w:rPr>
        <w:t>w</w:t>
      </w:r>
      <w:r w:rsidR="00EC16F1">
        <w:rPr>
          <w:rFonts w:ascii="Book Antiqua" w:eastAsia="Book Antiqua" w:hAnsi="Book Antiqua" w:cs="Book Antiqua"/>
          <w:color w:val="000000"/>
        </w:rPr>
        <w:t>ere</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enriched in CGF </w:t>
      </w:r>
      <w:proofErr w:type="gramStart"/>
      <w:r w:rsidRPr="00010012">
        <w:rPr>
          <w:rFonts w:ascii="Book Antiqua" w:eastAsia="Book Antiqua" w:hAnsi="Book Antiqua" w:cs="Book Antiqua"/>
          <w:color w:val="000000"/>
        </w:rPr>
        <w:t>gel</w:t>
      </w:r>
      <w:r w:rsidRPr="00010012">
        <w:rPr>
          <w:rFonts w:ascii="Book Antiqua" w:eastAsia="Book Antiqua" w:hAnsi="Book Antiqua" w:cs="Book Antiqua"/>
          <w:color w:val="000000"/>
          <w:vertAlign w:val="superscript"/>
        </w:rPr>
        <w:t>[</w:t>
      </w:r>
      <w:proofErr w:type="gramEnd"/>
      <w:r w:rsidRPr="00010012">
        <w:rPr>
          <w:rFonts w:ascii="Book Antiqua" w:eastAsia="Book Antiqua" w:hAnsi="Book Antiqua" w:cs="Book Antiqua"/>
          <w:color w:val="000000"/>
          <w:vertAlign w:val="superscript"/>
        </w:rPr>
        <w:t>13]</w:t>
      </w:r>
      <w:r w:rsidRPr="00010012">
        <w:rPr>
          <w:rFonts w:ascii="Book Antiqua" w:eastAsia="Book Antiqua" w:hAnsi="Book Antiqua" w:cs="Book Antiqua"/>
          <w:color w:val="000000"/>
        </w:rPr>
        <w:t xml:space="preserve">. Besides, the unique three-dimensional structure of fibrin network provides excellent conditions for the slow release of growth factors and cell proliferation. The characteristics of soft texture and elastic shape are the distinguishing features for CGF application. </w:t>
      </w:r>
    </w:p>
    <w:p w14:paraId="2AB7408F" w14:textId="282FA60E" w:rsidR="00A77B3E" w:rsidRPr="00010012" w:rsidRDefault="006B3974" w:rsidP="00010012">
      <w:pPr>
        <w:adjustRightInd w:val="0"/>
        <w:snapToGrid w:val="0"/>
        <w:spacing w:line="360" w:lineRule="auto"/>
        <w:ind w:firstLine="240"/>
        <w:jc w:val="both"/>
        <w:rPr>
          <w:rFonts w:ascii="Book Antiqua" w:hAnsi="Book Antiqua"/>
        </w:rPr>
      </w:pPr>
      <w:r w:rsidRPr="00010012">
        <w:rPr>
          <w:rFonts w:ascii="Book Antiqua" w:eastAsia="Book Antiqua" w:hAnsi="Book Antiqua" w:cs="Book Antiqua"/>
          <w:color w:val="000000"/>
        </w:rPr>
        <w:t xml:space="preserve">Chronic refractory wound on the lower leg is a common physical trauma </w:t>
      </w:r>
      <w:r w:rsidR="00EC16F1">
        <w:rPr>
          <w:rFonts w:ascii="Book Antiqua" w:eastAsia="Book Antiqua" w:hAnsi="Book Antiqua" w:cs="Book Antiqua"/>
          <w:color w:val="000000"/>
        </w:rPr>
        <w:t xml:space="preserve">that </w:t>
      </w:r>
      <w:r w:rsidRPr="00010012">
        <w:rPr>
          <w:rFonts w:ascii="Book Antiqua" w:eastAsia="Book Antiqua" w:hAnsi="Book Antiqua" w:cs="Book Antiqua"/>
          <w:color w:val="000000"/>
        </w:rPr>
        <w:t>occurs</w:t>
      </w:r>
      <w:r w:rsidRPr="00010012">
        <w:rPr>
          <w:rFonts w:ascii="Book Antiqua" w:eastAsia="Book Antiqua" w:hAnsi="Book Antiqua" w:cs="Book Antiqua"/>
          <w:color w:val="000000"/>
        </w:rPr>
        <w:t xml:space="preserve"> after surgical procedures. Although only one representative case was reported in this study, we collected the data of 56 cases with non-healing wounds on their lower extremity and good outcomes were achieved after CGF treatment. Several clinical experiences with respect to the management of wound care are warran</w:t>
      </w:r>
      <w:r w:rsidRPr="00010012">
        <w:rPr>
          <w:rFonts w:ascii="Book Antiqua" w:eastAsia="Book Antiqua" w:hAnsi="Book Antiqua" w:cs="Book Antiqua"/>
          <w:color w:val="000000"/>
        </w:rPr>
        <w:t xml:space="preserve">ted. First, aggressive treatment is essential for primary disease. For example, nutritional support therapy is favorable for those patients with poor physical health, while patients with lower extremity varicose veins should pay more attention to venous stasis. Patients with nodular vasculitis need to receive hormone systemic therapy in order to reduce autoimmune response. For patients with limited physical mobility, suspended bed is helpful to relieve the compression in order to reduce local tissue damage. Second, </w:t>
      </w:r>
      <w:r w:rsidRPr="00010012">
        <w:rPr>
          <w:rFonts w:ascii="Book Antiqua" w:eastAsia="Book Antiqua" w:hAnsi="Book Antiqua" w:cs="Book Antiqua"/>
          <w:color w:val="000000"/>
        </w:rPr>
        <w:t xml:space="preserve">preparing the wound bed is the foundation of treatment. Most of the wounds showed local infection, therefore, antibiotics should be used cautiously during CGF treatment. </w:t>
      </w:r>
      <w:r w:rsidRPr="00010012">
        <w:rPr>
          <w:rFonts w:ascii="Book Antiqua" w:eastAsia="Book Antiqua" w:hAnsi="Book Antiqua" w:cs="Book Antiqua"/>
          <w:color w:val="000000"/>
        </w:rPr>
        <w:lastRenderedPageBreak/>
        <w:t xml:space="preserve">Topical ointment was sufficient to control the disease progression if there are no symptoms and signs of systemic infection. Mupirocin ointment is preferred for </w:t>
      </w:r>
      <w:r w:rsidRPr="00010012">
        <w:rPr>
          <w:rFonts w:ascii="Book Antiqua" w:eastAsia="Book Antiqua" w:hAnsi="Book Antiqua" w:cs="Book Antiqua"/>
          <w:i/>
          <w:iCs/>
          <w:color w:val="000000"/>
        </w:rPr>
        <w:t xml:space="preserve">Staphylococcus aureus </w:t>
      </w:r>
      <w:r w:rsidRPr="00010012">
        <w:rPr>
          <w:rFonts w:ascii="Book Antiqua" w:eastAsia="Book Antiqua" w:hAnsi="Book Antiqua" w:cs="Book Antiqua"/>
          <w:color w:val="000000"/>
        </w:rPr>
        <w:t xml:space="preserve">infection, while silver sulfadiazine ointment is preferred for </w:t>
      </w:r>
      <w:r w:rsidRPr="00010012">
        <w:rPr>
          <w:rFonts w:ascii="Book Antiqua" w:eastAsia="Book Antiqua" w:hAnsi="Book Antiqua" w:cs="Book Antiqua"/>
          <w:i/>
          <w:iCs/>
          <w:color w:val="000000"/>
        </w:rPr>
        <w:t>Pseudomonas aeruginosa</w:t>
      </w:r>
      <w:r w:rsidRPr="00010012">
        <w:rPr>
          <w:rFonts w:ascii="Book Antiqua" w:eastAsia="Book Antiqua" w:hAnsi="Book Antiqua" w:cs="Book Antiqua"/>
          <w:color w:val="000000"/>
        </w:rPr>
        <w:t xml:space="preserve"> infection. Due to the thin subcutaneous tissue on lower extremity, excessive debridement should be avoided otherwise it may lead to wound bed deterioration and bone exposure. Therefore, proper wound treatment including debridement and antibiotics indeed facilitated wo</w:t>
      </w:r>
      <w:r w:rsidRPr="00010012">
        <w:rPr>
          <w:rFonts w:ascii="Book Antiqua" w:eastAsia="Book Antiqua" w:hAnsi="Book Antiqua" w:cs="Book Antiqua"/>
          <w:color w:val="000000"/>
        </w:rPr>
        <w:t xml:space="preserve">und healing in clinical practice. Third, the appropriate dose of CGF gel is the key of treatment. For patients with bone or periosteum exposure, the CGF gel should be thick enough to maintain a moist wound environment and prevent tissue necrosis. For patients with </w:t>
      </w:r>
      <w:r w:rsidR="00EC16F1">
        <w:rPr>
          <w:rFonts w:ascii="Book Antiqua" w:eastAsia="Book Antiqua" w:hAnsi="Book Antiqua" w:cs="Book Antiqua"/>
          <w:color w:val="000000"/>
        </w:rPr>
        <w:t xml:space="preserve">a </w:t>
      </w:r>
      <w:r w:rsidRPr="00010012">
        <w:rPr>
          <w:rFonts w:ascii="Book Antiqua" w:eastAsia="Book Antiqua" w:hAnsi="Book Antiqua" w:cs="Book Antiqua"/>
          <w:color w:val="000000"/>
        </w:rPr>
        <w:t xml:space="preserve">sinus tract, CGF gel should be firmly filled in the cavity to minimize the risk of infection. Dressing is also an important factor in successful CGF application. Vaseline gauze can serve as the outer layer of dressing to prevent CGF shifting. During the dressing change, removal of wound exudate may help promote the wound healing process. </w:t>
      </w:r>
    </w:p>
    <w:p w14:paraId="5334744E" w14:textId="470220B5" w:rsidR="00A77B3E" w:rsidRPr="00010012" w:rsidRDefault="006B3974" w:rsidP="00010012">
      <w:pPr>
        <w:adjustRightInd w:val="0"/>
        <w:snapToGrid w:val="0"/>
        <w:spacing w:line="360" w:lineRule="auto"/>
        <w:ind w:firstLine="240"/>
        <w:jc w:val="both"/>
        <w:rPr>
          <w:rFonts w:ascii="Book Antiqua" w:hAnsi="Book Antiqua"/>
        </w:rPr>
      </w:pPr>
      <w:r w:rsidRPr="00010012">
        <w:rPr>
          <w:rFonts w:ascii="Book Antiqua" w:eastAsia="Book Antiqua" w:hAnsi="Book Antiqua" w:cs="Book Antiqua"/>
          <w:color w:val="000000"/>
        </w:rPr>
        <w:t>CGF is a novel biomaterial that holds great promise for</w:t>
      </w:r>
      <w:r w:rsidR="00EC16F1">
        <w:rPr>
          <w:rFonts w:ascii="Book Antiqua" w:eastAsia="Book Antiqua" w:hAnsi="Book Antiqua" w:cs="Book Antiqua"/>
          <w:color w:val="000000"/>
        </w:rPr>
        <w:t xml:space="preserve"> </w:t>
      </w:r>
      <w:r w:rsidRPr="00010012">
        <w:rPr>
          <w:rFonts w:ascii="Book Antiqua" w:eastAsia="Book Antiqua" w:hAnsi="Book Antiqua" w:cs="Book Antiqua"/>
          <w:color w:val="000000"/>
        </w:rPr>
        <w:t>applications in tissue repair and regeneration, but several shortcomings exist as well. Lack of negative control, proper wound treatment might play an important role in CGF therapy on lower-extremity chronic refractory wounds. Moreover, the high demand for blood sample is the main limitation of CGF application in clinical</w:t>
      </w:r>
      <w:r w:rsidR="00EC16F1">
        <w:rPr>
          <w:rFonts w:ascii="Book Antiqua" w:eastAsia="Book Antiqua" w:hAnsi="Book Antiqua" w:cs="Book Antiqua"/>
          <w:color w:val="000000"/>
        </w:rPr>
        <w:t xml:space="preserve"> practice</w:t>
      </w:r>
      <w:r w:rsidRPr="00010012">
        <w:rPr>
          <w:rFonts w:ascii="Book Antiqua" w:eastAsia="Book Antiqua" w:hAnsi="Book Antiqua" w:cs="Book Antiqua"/>
          <w:color w:val="000000"/>
        </w:rPr>
        <w:t>, especially for skin defect pat</w:t>
      </w:r>
      <w:r w:rsidRPr="00010012">
        <w:rPr>
          <w:rFonts w:ascii="Book Antiqua" w:eastAsia="Book Antiqua" w:hAnsi="Book Antiqua" w:cs="Book Antiqua"/>
          <w:color w:val="000000"/>
        </w:rPr>
        <w:t xml:space="preserve">ients with poor physical health. Besides, the storage of CGF is another challenging issue for its application, as a specific device is needed and CGF has to be used freshly to ensure its biological activity. Therefore, it is necessary to develop CGF-related products for overcoming these problems. </w:t>
      </w:r>
    </w:p>
    <w:p w14:paraId="1E5EC3AF" w14:textId="77777777" w:rsidR="00A77B3E" w:rsidRPr="00010012" w:rsidRDefault="00A77B3E" w:rsidP="00010012">
      <w:pPr>
        <w:adjustRightInd w:val="0"/>
        <w:snapToGrid w:val="0"/>
        <w:spacing w:line="360" w:lineRule="auto"/>
        <w:ind w:firstLine="240"/>
        <w:jc w:val="both"/>
        <w:rPr>
          <w:rFonts w:ascii="Book Antiqua" w:hAnsi="Book Antiqua"/>
        </w:rPr>
      </w:pPr>
    </w:p>
    <w:p w14:paraId="3485C0E7"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CONCLUSION</w:t>
      </w:r>
    </w:p>
    <w:p w14:paraId="0A463DD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In conclusion, our study reveals that CGF has an excellent curative effect on lower-extremity chronic refractory wounds. Thus, CGF treatment is worthy of clinical promotion and popularization. </w:t>
      </w:r>
    </w:p>
    <w:p w14:paraId="43BEB4AC" w14:textId="77777777" w:rsidR="00A77B3E" w:rsidRPr="00010012" w:rsidRDefault="00A77B3E" w:rsidP="00010012">
      <w:pPr>
        <w:adjustRightInd w:val="0"/>
        <w:snapToGrid w:val="0"/>
        <w:spacing w:line="360" w:lineRule="auto"/>
        <w:jc w:val="both"/>
        <w:rPr>
          <w:rFonts w:ascii="Book Antiqua" w:hAnsi="Book Antiqua"/>
        </w:rPr>
      </w:pPr>
    </w:p>
    <w:p w14:paraId="06260F57"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lastRenderedPageBreak/>
        <w:t>REFERENCES</w:t>
      </w:r>
    </w:p>
    <w:p w14:paraId="7D2742CF"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1 </w:t>
      </w:r>
      <w:proofErr w:type="spellStart"/>
      <w:r w:rsidRPr="00010012">
        <w:rPr>
          <w:rFonts w:ascii="Book Antiqua" w:eastAsia="Book Antiqua" w:hAnsi="Book Antiqua" w:cs="Book Antiqua"/>
          <w:b/>
          <w:bCs/>
          <w:color w:val="000000"/>
        </w:rPr>
        <w:t>Werdin</w:t>
      </w:r>
      <w:proofErr w:type="spellEnd"/>
      <w:r w:rsidRPr="00010012">
        <w:rPr>
          <w:rFonts w:ascii="Book Antiqua" w:eastAsia="Book Antiqua" w:hAnsi="Book Antiqua" w:cs="Book Antiqua"/>
          <w:b/>
          <w:bCs/>
          <w:color w:val="000000"/>
        </w:rPr>
        <w:t xml:space="preserve"> F</w:t>
      </w:r>
      <w:r w:rsidRPr="00010012">
        <w:rPr>
          <w:rFonts w:ascii="Book Antiqua" w:eastAsia="Book Antiqua" w:hAnsi="Book Antiqua" w:cs="Book Antiqua"/>
          <w:color w:val="000000"/>
        </w:rPr>
        <w:t xml:space="preserve">, </w:t>
      </w:r>
      <w:proofErr w:type="spellStart"/>
      <w:r w:rsidRPr="00010012">
        <w:rPr>
          <w:rFonts w:ascii="Book Antiqua" w:eastAsia="Book Antiqua" w:hAnsi="Book Antiqua" w:cs="Book Antiqua"/>
          <w:color w:val="000000"/>
        </w:rPr>
        <w:t>Tenenhaus</w:t>
      </w:r>
      <w:proofErr w:type="spellEnd"/>
      <w:r w:rsidRPr="00010012">
        <w:rPr>
          <w:rFonts w:ascii="Book Antiqua" w:eastAsia="Book Antiqua" w:hAnsi="Book Antiqua" w:cs="Book Antiqua"/>
          <w:color w:val="000000"/>
        </w:rPr>
        <w:t xml:space="preserve"> M, </w:t>
      </w:r>
      <w:proofErr w:type="spellStart"/>
      <w:r w:rsidRPr="00010012">
        <w:rPr>
          <w:rFonts w:ascii="Book Antiqua" w:eastAsia="Book Antiqua" w:hAnsi="Book Antiqua" w:cs="Book Antiqua"/>
          <w:color w:val="000000"/>
        </w:rPr>
        <w:t>Rennekampff</w:t>
      </w:r>
      <w:proofErr w:type="spellEnd"/>
      <w:r w:rsidRPr="00010012">
        <w:rPr>
          <w:rFonts w:ascii="Book Antiqua" w:eastAsia="Book Antiqua" w:hAnsi="Book Antiqua" w:cs="Book Antiqua"/>
          <w:color w:val="000000"/>
        </w:rPr>
        <w:t xml:space="preserve"> HO. Chronic wound care. </w:t>
      </w:r>
      <w:r w:rsidRPr="00010012">
        <w:rPr>
          <w:rFonts w:ascii="Book Antiqua" w:eastAsia="Book Antiqua" w:hAnsi="Book Antiqua" w:cs="Book Antiqua"/>
          <w:i/>
          <w:iCs/>
          <w:color w:val="000000"/>
        </w:rPr>
        <w:t>Lancet</w:t>
      </w:r>
      <w:r w:rsidRPr="00010012">
        <w:rPr>
          <w:rFonts w:ascii="Book Antiqua" w:eastAsia="Book Antiqua" w:hAnsi="Book Antiqua" w:cs="Book Antiqua"/>
          <w:color w:val="000000"/>
        </w:rPr>
        <w:t xml:space="preserve"> 2008; </w:t>
      </w:r>
      <w:r w:rsidRPr="00010012">
        <w:rPr>
          <w:rFonts w:ascii="Book Antiqua" w:eastAsia="Book Antiqua" w:hAnsi="Book Antiqua" w:cs="Book Antiqua"/>
          <w:b/>
          <w:bCs/>
          <w:color w:val="000000"/>
        </w:rPr>
        <w:t>372</w:t>
      </w:r>
      <w:r w:rsidRPr="00010012">
        <w:rPr>
          <w:rFonts w:ascii="Book Antiqua" w:eastAsia="Book Antiqua" w:hAnsi="Book Antiqua" w:cs="Book Antiqua"/>
          <w:color w:val="000000"/>
        </w:rPr>
        <w:t>: 1860-1862 [PMID: 19041788 DOI: 10.1016/S0140-6736(08)61793-6]</w:t>
      </w:r>
    </w:p>
    <w:p w14:paraId="663B06F8"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2 </w:t>
      </w:r>
      <w:proofErr w:type="spellStart"/>
      <w:r w:rsidRPr="00010012">
        <w:rPr>
          <w:rFonts w:ascii="Book Antiqua" w:eastAsia="Book Antiqua" w:hAnsi="Book Antiqua" w:cs="Book Antiqua"/>
          <w:b/>
          <w:bCs/>
          <w:color w:val="000000"/>
        </w:rPr>
        <w:t>Attia</w:t>
      </w:r>
      <w:proofErr w:type="spellEnd"/>
      <w:r w:rsidRPr="00010012">
        <w:rPr>
          <w:rFonts w:ascii="Book Antiqua" w:eastAsia="Book Antiqua" w:hAnsi="Book Antiqua" w:cs="Book Antiqua"/>
          <w:b/>
          <w:bCs/>
          <w:color w:val="000000"/>
        </w:rPr>
        <w:t xml:space="preserve"> A</w:t>
      </w:r>
      <w:r w:rsidRPr="00010012">
        <w:rPr>
          <w:rFonts w:ascii="Book Antiqua" w:eastAsia="Book Antiqua" w:hAnsi="Book Antiqua" w:cs="Book Antiqua"/>
          <w:color w:val="000000"/>
        </w:rPr>
        <w:t xml:space="preserve">, </w:t>
      </w:r>
      <w:proofErr w:type="spellStart"/>
      <w:r w:rsidRPr="00010012">
        <w:rPr>
          <w:rFonts w:ascii="Book Antiqua" w:eastAsia="Book Antiqua" w:hAnsi="Book Antiqua" w:cs="Book Antiqua"/>
          <w:color w:val="000000"/>
        </w:rPr>
        <w:t>Elmenoufy</w:t>
      </w:r>
      <w:proofErr w:type="spellEnd"/>
      <w:r w:rsidRPr="00010012">
        <w:rPr>
          <w:rFonts w:ascii="Book Antiqua" w:eastAsia="Book Antiqua" w:hAnsi="Book Antiqua" w:cs="Book Antiqua"/>
          <w:color w:val="000000"/>
        </w:rPr>
        <w:t xml:space="preserve"> T, Atta T, </w:t>
      </w:r>
      <w:proofErr w:type="spellStart"/>
      <w:r w:rsidRPr="00010012">
        <w:rPr>
          <w:rFonts w:ascii="Book Antiqua" w:eastAsia="Book Antiqua" w:hAnsi="Book Antiqua" w:cs="Book Antiqua"/>
          <w:color w:val="000000"/>
        </w:rPr>
        <w:t>Harfoush</w:t>
      </w:r>
      <w:proofErr w:type="spellEnd"/>
      <w:r w:rsidRPr="00010012">
        <w:rPr>
          <w:rFonts w:ascii="Book Antiqua" w:eastAsia="Book Antiqua" w:hAnsi="Book Antiqua" w:cs="Book Antiqua"/>
          <w:color w:val="000000"/>
        </w:rPr>
        <w:t xml:space="preserve"> A, Tarek S. Combination of negative pressure wound therapy (NPWT) and integra dermal regeneration template (IDRT) in the lower extremity wound; Our experience with 4 cases. </w:t>
      </w:r>
      <w:r w:rsidRPr="00010012">
        <w:rPr>
          <w:rFonts w:ascii="Book Antiqua" w:eastAsia="Book Antiqua" w:hAnsi="Book Antiqua" w:cs="Book Antiqua"/>
          <w:i/>
          <w:iCs/>
          <w:color w:val="000000"/>
        </w:rPr>
        <w:t>JPRAS Open</w:t>
      </w:r>
      <w:r w:rsidRPr="00010012">
        <w:rPr>
          <w:rFonts w:ascii="Book Antiqua" w:eastAsia="Book Antiqua" w:hAnsi="Book Antiqua" w:cs="Book Antiqua"/>
          <w:color w:val="000000"/>
        </w:rPr>
        <w:t xml:space="preserve"> 2020; </w:t>
      </w:r>
      <w:r w:rsidRPr="00010012">
        <w:rPr>
          <w:rFonts w:ascii="Book Antiqua" w:eastAsia="Book Antiqua" w:hAnsi="Book Antiqua" w:cs="Book Antiqua"/>
          <w:b/>
          <w:bCs/>
          <w:color w:val="000000"/>
        </w:rPr>
        <w:t>24</w:t>
      </w:r>
      <w:r w:rsidRPr="00010012">
        <w:rPr>
          <w:rFonts w:ascii="Book Antiqua" w:eastAsia="Book Antiqua" w:hAnsi="Book Antiqua" w:cs="Book Antiqua"/>
          <w:color w:val="000000"/>
        </w:rPr>
        <w:t>: 32-39 [PMID: 32322648 DOI: 10.1016/j.jpra.2020.03.004]</w:t>
      </w:r>
    </w:p>
    <w:p w14:paraId="01873708"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3 </w:t>
      </w:r>
      <w:r w:rsidRPr="00010012">
        <w:rPr>
          <w:rFonts w:ascii="Book Antiqua" w:eastAsia="Book Antiqua" w:hAnsi="Book Antiqua" w:cs="Book Antiqua"/>
          <w:b/>
          <w:bCs/>
          <w:color w:val="000000"/>
        </w:rPr>
        <w:t>Seth AK</w:t>
      </w:r>
      <w:r w:rsidRPr="00010012">
        <w:rPr>
          <w:rFonts w:ascii="Book Antiqua" w:eastAsia="Book Antiqua" w:hAnsi="Book Antiqua" w:cs="Book Antiqua"/>
          <w:color w:val="000000"/>
        </w:rPr>
        <w:t xml:space="preserve">, </w:t>
      </w:r>
      <w:proofErr w:type="spellStart"/>
      <w:r w:rsidRPr="00010012">
        <w:rPr>
          <w:rFonts w:ascii="Book Antiqua" w:eastAsia="Book Antiqua" w:hAnsi="Book Antiqua" w:cs="Book Antiqua"/>
          <w:color w:val="000000"/>
        </w:rPr>
        <w:t>Friedstat</w:t>
      </w:r>
      <w:proofErr w:type="spellEnd"/>
      <w:r w:rsidRPr="00010012">
        <w:rPr>
          <w:rFonts w:ascii="Book Antiqua" w:eastAsia="Book Antiqua" w:hAnsi="Book Antiqua" w:cs="Book Antiqua"/>
          <w:color w:val="000000"/>
        </w:rPr>
        <w:t xml:space="preserve"> JS, </w:t>
      </w:r>
      <w:proofErr w:type="spellStart"/>
      <w:r w:rsidRPr="00010012">
        <w:rPr>
          <w:rFonts w:ascii="Book Antiqua" w:eastAsia="Book Antiqua" w:hAnsi="Book Antiqua" w:cs="Book Antiqua"/>
          <w:color w:val="000000"/>
        </w:rPr>
        <w:t>Orgill</w:t>
      </w:r>
      <w:proofErr w:type="spellEnd"/>
      <w:r w:rsidRPr="00010012">
        <w:rPr>
          <w:rFonts w:ascii="Book Antiqua" w:eastAsia="Book Antiqua" w:hAnsi="Book Antiqua" w:cs="Book Antiqua"/>
          <w:color w:val="000000"/>
        </w:rPr>
        <w:t xml:space="preserve"> DP, </w:t>
      </w:r>
      <w:proofErr w:type="spellStart"/>
      <w:r w:rsidRPr="00010012">
        <w:rPr>
          <w:rFonts w:ascii="Book Antiqua" w:eastAsia="Book Antiqua" w:hAnsi="Book Antiqua" w:cs="Book Antiqua"/>
          <w:color w:val="000000"/>
        </w:rPr>
        <w:t>Pribaz</w:t>
      </w:r>
      <w:proofErr w:type="spellEnd"/>
      <w:r w:rsidRPr="00010012">
        <w:rPr>
          <w:rFonts w:ascii="Book Antiqua" w:eastAsia="Book Antiqua" w:hAnsi="Book Antiqua" w:cs="Book Antiqua"/>
          <w:color w:val="000000"/>
        </w:rPr>
        <w:t xml:space="preserve"> JJ, Halvorson EG. Microsurgical Burn Reconstruction. </w:t>
      </w:r>
      <w:proofErr w:type="spellStart"/>
      <w:r w:rsidRPr="00010012">
        <w:rPr>
          <w:rFonts w:ascii="Book Antiqua" w:eastAsia="Book Antiqua" w:hAnsi="Book Antiqua" w:cs="Book Antiqua"/>
          <w:i/>
          <w:iCs/>
          <w:color w:val="000000"/>
        </w:rPr>
        <w:t>Clin</w:t>
      </w:r>
      <w:proofErr w:type="spellEnd"/>
      <w:r w:rsidRPr="00010012">
        <w:rPr>
          <w:rFonts w:ascii="Book Antiqua" w:eastAsia="Book Antiqua" w:hAnsi="Book Antiqua" w:cs="Book Antiqua"/>
          <w:i/>
          <w:iCs/>
          <w:color w:val="000000"/>
        </w:rPr>
        <w:t xml:space="preserve"> </w:t>
      </w:r>
      <w:proofErr w:type="spellStart"/>
      <w:r w:rsidRPr="00010012">
        <w:rPr>
          <w:rFonts w:ascii="Book Antiqua" w:eastAsia="Book Antiqua" w:hAnsi="Book Antiqua" w:cs="Book Antiqua"/>
          <w:i/>
          <w:iCs/>
          <w:color w:val="000000"/>
        </w:rPr>
        <w:t>Plast</w:t>
      </w:r>
      <w:proofErr w:type="spellEnd"/>
      <w:r w:rsidRPr="00010012">
        <w:rPr>
          <w:rFonts w:ascii="Book Antiqua" w:eastAsia="Book Antiqua" w:hAnsi="Book Antiqua" w:cs="Book Antiqua"/>
          <w:i/>
          <w:iCs/>
          <w:color w:val="000000"/>
        </w:rPr>
        <w:t xml:space="preserve"> </w:t>
      </w:r>
      <w:proofErr w:type="spellStart"/>
      <w:r w:rsidRPr="00010012">
        <w:rPr>
          <w:rFonts w:ascii="Book Antiqua" w:eastAsia="Book Antiqua" w:hAnsi="Book Antiqua" w:cs="Book Antiqua"/>
          <w:i/>
          <w:iCs/>
          <w:color w:val="000000"/>
        </w:rPr>
        <w:t>Surg</w:t>
      </w:r>
      <w:proofErr w:type="spellEnd"/>
      <w:r w:rsidRPr="00010012">
        <w:rPr>
          <w:rFonts w:ascii="Book Antiqua" w:eastAsia="Book Antiqua" w:hAnsi="Book Antiqua" w:cs="Book Antiqua"/>
          <w:color w:val="000000"/>
        </w:rPr>
        <w:t xml:space="preserve"> 2017; </w:t>
      </w:r>
      <w:r w:rsidRPr="00010012">
        <w:rPr>
          <w:rFonts w:ascii="Book Antiqua" w:eastAsia="Book Antiqua" w:hAnsi="Book Antiqua" w:cs="Book Antiqua"/>
          <w:b/>
          <w:bCs/>
          <w:color w:val="000000"/>
        </w:rPr>
        <w:t>44</w:t>
      </w:r>
      <w:r w:rsidRPr="00010012">
        <w:rPr>
          <w:rFonts w:ascii="Book Antiqua" w:eastAsia="Book Antiqua" w:hAnsi="Book Antiqua" w:cs="Book Antiqua"/>
          <w:color w:val="000000"/>
        </w:rPr>
        <w:t>: 823-832 [PMID: 28888307 DOI: 10.1016/j.cps.2017.05.014]</w:t>
      </w:r>
    </w:p>
    <w:p w14:paraId="3B56E6B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4 </w:t>
      </w:r>
      <w:proofErr w:type="spellStart"/>
      <w:r w:rsidRPr="00010012">
        <w:rPr>
          <w:rFonts w:ascii="Book Antiqua" w:eastAsia="Book Antiqua" w:hAnsi="Book Antiqua" w:cs="Book Antiqua"/>
          <w:b/>
          <w:bCs/>
          <w:color w:val="000000"/>
        </w:rPr>
        <w:t>Topkara</w:t>
      </w:r>
      <w:proofErr w:type="spellEnd"/>
      <w:r w:rsidRPr="00010012">
        <w:rPr>
          <w:rFonts w:ascii="Book Antiqua" w:eastAsia="Book Antiqua" w:hAnsi="Book Antiqua" w:cs="Book Antiqua"/>
          <w:b/>
          <w:bCs/>
          <w:color w:val="000000"/>
        </w:rPr>
        <w:t xml:space="preserve"> A</w:t>
      </w:r>
      <w:r w:rsidRPr="00010012">
        <w:rPr>
          <w:rFonts w:ascii="Book Antiqua" w:eastAsia="Book Antiqua" w:hAnsi="Book Antiqua" w:cs="Book Antiqua"/>
          <w:color w:val="000000"/>
        </w:rPr>
        <w:t xml:space="preserve">, </w:t>
      </w:r>
      <w:proofErr w:type="spellStart"/>
      <w:r w:rsidRPr="00010012">
        <w:rPr>
          <w:rFonts w:ascii="Book Antiqua" w:eastAsia="Book Antiqua" w:hAnsi="Book Antiqua" w:cs="Book Antiqua"/>
          <w:color w:val="000000"/>
        </w:rPr>
        <w:t>Özkan</w:t>
      </w:r>
      <w:proofErr w:type="spellEnd"/>
      <w:r w:rsidRPr="00010012">
        <w:rPr>
          <w:rFonts w:ascii="Book Antiqua" w:eastAsia="Book Antiqua" w:hAnsi="Book Antiqua" w:cs="Book Antiqua"/>
          <w:color w:val="000000"/>
        </w:rPr>
        <w:t xml:space="preserve"> A, </w:t>
      </w:r>
      <w:proofErr w:type="spellStart"/>
      <w:r w:rsidRPr="00010012">
        <w:rPr>
          <w:rFonts w:ascii="Book Antiqua" w:eastAsia="Book Antiqua" w:hAnsi="Book Antiqua" w:cs="Book Antiqua"/>
          <w:color w:val="000000"/>
        </w:rPr>
        <w:t>Özcan</w:t>
      </w:r>
      <w:proofErr w:type="spellEnd"/>
      <w:r w:rsidRPr="00010012">
        <w:rPr>
          <w:rFonts w:ascii="Book Antiqua" w:eastAsia="Book Antiqua" w:hAnsi="Book Antiqua" w:cs="Book Antiqua"/>
          <w:color w:val="000000"/>
        </w:rPr>
        <w:t xml:space="preserve"> RH, </w:t>
      </w:r>
      <w:proofErr w:type="spellStart"/>
      <w:r w:rsidRPr="00010012">
        <w:rPr>
          <w:rFonts w:ascii="Book Antiqua" w:eastAsia="Book Antiqua" w:hAnsi="Book Antiqua" w:cs="Book Antiqua"/>
          <w:color w:val="000000"/>
        </w:rPr>
        <w:t>Öksüz</w:t>
      </w:r>
      <w:proofErr w:type="spellEnd"/>
      <w:r w:rsidRPr="00010012">
        <w:rPr>
          <w:rFonts w:ascii="Book Antiqua" w:eastAsia="Book Antiqua" w:hAnsi="Book Antiqua" w:cs="Book Antiqua"/>
          <w:color w:val="000000"/>
        </w:rPr>
        <w:t xml:space="preserve"> M, </w:t>
      </w:r>
      <w:proofErr w:type="spellStart"/>
      <w:r w:rsidRPr="00010012">
        <w:rPr>
          <w:rFonts w:ascii="Book Antiqua" w:eastAsia="Book Antiqua" w:hAnsi="Book Antiqua" w:cs="Book Antiqua"/>
          <w:color w:val="000000"/>
        </w:rPr>
        <w:t>Akbulut</w:t>
      </w:r>
      <w:proofErr w:type="spellEnd"/>
      <w:r w:rsidRPr="00010012">
        <w:rPr>
          <w:rFonts w:ascii="Book Antiqua" w:eastAsia="Book Antiqua" w:hAnsi="Book Antiqua" w:cs="Book Antiqua"/>
          <w:color w:val="000000"/>
        </w:rPr>
        <w:t xml:space="preserve"> M. Effect of Concentrated Growth Factor on Survival of Diced Cartilage Graft. </w:t>
      </w:r>
      <w:proofErr w:type="spellStart"/>
      <w:r w:rsidRPr="00010012">
        <w:rPr>
          <w:rFonts w:ascii="Book Antiqua" w:eastAsia="Book Antiqua" w:hAnsi="Book Antiqua" w:cs="Book Antiqua"/>
          <w:i/>
          <w:iCs/>
          <w:color w:val="000000"/>
        </w:rPr>
        <w:t>Aesthet</w:t>
      </w:r>
      <w:proofErr w:type="spellEnd"/>
      <w:r w:rsidRPr="00010012">
        <w:rPr>
          <w:rFonts w:ascii="Book Antiqua" w:eastAsia="Book Antiqua" w:hAnsi="Book Antiqua" w:cs="Book Antiqua"/>
          <w:i/>
          <w:iCs/>
          <w:color w:val="000000"/>
        </w:rPr>
        <w:t xml:space="preserve"> </w:t>
      </w:r>
      <w:proofErr w:type="spellStart"/>
      <w:r w:rsidRPr="00010012">
        <w:rPr>
          <w:rFonts w:ascii="Book Antiqua" w:eastAsia="Book Antiqua" w:hAnsi="Book Antiqua" w:cs="Book Antiqua"/>
          <w:i/>
          <w:iCs/>
          <w:color w:val="000000"/>
        </w:rPr>
        <w:t>Surg</w:t>
      </w:r>
      <w:proofErr w:type="spellEnd"/>
      <w:r w:rsidRPr="00010012">
        <w:rPr>
          <w:rFonts w:ascii="Book Antiqua" w:eastAsia="Book Antiqua" w:hAnsi="Book Antiqua" w:cs="Book Antiqua"/>
          <w:i/>
          <w:iCs/>
          <w:color w:val="000000"/>
        </w:rPr>
        <w:t xml:space="preserve"> J</w:t>
      </w:r>
      <w:r w:rsidRPr="00010012">
        <w:rPr>
          <w:rFonts w:ascii="Book Antiqua" w:eastAsia="Book Antiqua" w:hAnsi="Book Antiqua" w:cs="Book Antiqua"/>
          <w:color w:val="000000"/>
        </w:rPr>
        <w:t xml:space="preserve"> 2016; </w:t>
      </w:r>
      <w:r w:rsidRPr="00010012">
        <w:rPr>
          <w:rFonts w:ascii="Book Antiqua" w:eastAsia="Book Antiqua" w:hAnsi="Book Antiqua" w:cs="Book Antiqua"/>
          <w:b/>
          <w:bCs/>
          <w:color w:val="000000"/>
        </w:rPr>
        <w:t>36</w:t>
      </w:r>
      <w:r w:rsidRPr="00010012">
        <w:rPr>
          <w:rFonts w:ascii="Book Antiqua" w:eastAsia="Book Antiqua" w:hAnsi="Book Antiqua" w:cs="Book Antiqua"/>
          <w:color w:val="000000"/>
        </w:rPr>
        <w:t>: 1176-1187 [PMID: 27590866 DOI: 10.1093/</w:t>
      </w:r>
      <w:proofErr w:type="spellStart"/>
      <w:r w:rsidRPr="00010012">
        <w:rPr>
          <w:rFonts w:ascii="Book Antiqua" w:eastAsia="Book Antiqua" w:hAnsi="Book Antiqua" w:cs="Book Antiqua"/>
          <w:color w:val="000000"/>
        </w:rPr>
        <w:t>asj</w:t>
      </w:r>
      <w:proofErr w:type="spellEnd"/>
      <w:r w:rsidRPr="00010012">
        <w:rPr>
          <w:rFonts w:ascii="Book Antiqua" w:eastAsia="Book Antiqua" w:hAnsi="Book Antiqua" w:cs="Book Antiqua"/>
          <w:color w:val="000000"/>
        </w:rPr>
        <w:t>/sjw137]</w:t>
      </w:r>
    </w:p>
    <w:p w14:paraId="0FDD5518"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5 </w:t>
      </w:r>
      <w:r w:rsidRPr="00010012">
        <w:rPr>
          <w:rFonts w:ascii="Book Antiqua" w:eastAsia="Book Antiqua" w:hAnsi="Book Antiqua" w:cs="Book Antiqua"/>
          <w:b/>
          <w:bCs/>
          <w:color w:val="000000"/>
        </w:rPr>
        <w:t>Hu Y</w:t>
      </w:r>
      <w:r w:rsidRPr="00010012">
        <w:rPr>
          <w:rFonts w:ascii="Book Antiqua" w:eastAsia="Book Antiqua" w:hAnsi="Book Antiqua" w:cs="Book Antiqua"/>
          <w:color w:val="000000"/>
        </w:rPr>
        <w:t xml:space="preserve">, Jiang Y, Wang M, Tian W, Wang H. Concentrated Growth Factor Enhanced Fat Graft Survival: A Comparative Study. </w:t>
      </w:r>
      <w:r w:rsidRPr="00010012">
        <w:rPr>
          <w:rFonts w:ascii="Book Antiqua" w:eastAsia="Book Antiqua" w:hAnsi="Book Antiqua" w:cs="Book Antiqua"/>
          <w:i/>
          <w:iCs/>
          <w:color w:val="000000"/>
        </w:rPr>
        <w:t>Dermatol Surg</w:t>
      </w:r>
      <w:r w:rsidRPr="00010012">
        <w:rPr>
          <w:rFonts w:ascii="Book Antiqua" w:eastAsia="Book Antiqua" w:hAnsi="Book Antiqua" w:cs="Book Antiqua"/>
          <w:color w:val="000000"/>
        </w:rPr>
        <w:t xml:space="preserve"> 2018; </w:t>
      </w:r>
      <w:r w:rsidRPr="00010012">
        <w:rPr>
          <w:rFonts w:ascii="Book Antiqua" w:eastAsia="Book Antiqua" w:hAnsi="Book Antiqua" w:cs="Book Antiqua"/>
          <w:b/>
          <w:bCs/>
          <w:color w:val="000000"/>
        </w:rPr>
        <w:t>44</w:t>
      </w:r>
      <w:r w:rsidRPr="00010012">
        <w:rPr>
          <w:rFonts w:ascii="Book Antiqua" w:eastAsia="Book Antiqua" w:hAnsi="Book Antiqua" w:cs="Book Antiqua"/>
          <w:color w:val="000000"/>
        </w:rPr>
        <w:t>: 976-984 [PMID: 29894435 DOI: 10.1097/DSS.0000000000001337]</w:t>
      </w:r>
    </w:p>
    <w:p w14:paraId="39164685"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6 </w:t>
      </w:r>
      <w:r w:rsidRPr="00010012">
        <w:rPr>
          <w:rFonts w:ascii="Book Antiqua" w:eastAsia="Book Antiqua" w:hAnsi="Book Antiqua" w:cs="Book Antiqua"/>
          <w:b/>
          <w:bCs/>
          <w:color w:val="000000"/>
        </w:rPr>
        <w:t>Qin J</w:t>
      </w:r>
      <w:r w:rsidRPr="00010012">
        <w:rPr>
          <w:rFonts w:ascii="Book Antiqua" w:eastAsia="Book Antiqua" w:hAnsi="Book Antiqua" w:cs="Book Antiqua"/>
          <w:color w:val="000000"/>
        </w:rPr>
        <w:t xml:space="preserve">, Wang L, Sun Y, Sun X, Wen C, </w:t>
      </w:r>
      <w:proofErr w:type="spellStart"/>
      <w:r w:rsidRPr="00010012">
        <w:rPr>
          <w:rFonts w:ascii="Book Antiqua" w:eastAsia="Book Antiqua" w:hAnsi="Book Antiqua" w:cs="Book Antiqua"/>
          <w:color w:val="000000"/>
        </w:rPr>
        <w:t>Shahmoradi</w:t>
      </w:r>
      <w:proofErr w:type="spellEnd"/>
      <w:r w:rsidRPr="00010012">
        <w:rPr>
          <w:rFonts w:ascii="Book Antiqua" w:eastAsia="Book Antiqua" w:hAnsi="Book Antiqua" w:cs="Book Antiqua"/>
          <w:color w:val="000000"/>
        </w:rPr>
        <w:t xml:space="preserve"> M, Zhou Y. Concentrated growth factor increases Schwann cell proliferation and neurotrophic factor secretion and promotes functional nerve recovery in vivo. </w:t>
      </w:r>
      <w:r w:rsidRPr="00010012">
        <w:rPr>
          <w:rFonts w:ascii="Book Antiqua" w:eastAsia="Book Antiqua" w:hAnsi="Book Antiqua" w:cs="Book Antiqua"/>
          <w:i/>
          <w:iCs/>
          <w:color w:val="000000"/>
        </w:rPr>
        <w:t>Int J Mol Med</w:t>
      </w:r>
      <w:r w:rsidRPr="00010012">
        <w:rPr>
          <w:rFonts w:ascii="Book Antiqua" w:eastAsia="Book Antiqua" w:hAnsi="Book Antiqua" w:cs="Book Antiqua"/>
          <w:color w:val="000000"/>
        </w:rPr>
        <w:t xml:space="preserve"> 2016; </w:t>
      </w:r>
      <w:r w:rsidRPr="00010012">
        <w:rPr>
          <w:rFonts w:ascii="Book Antiqua" w:eastAsia="Book Antiqua" w:hAnsi="Book Antiqua" w:cs="Book Antiqua"/>
          <w:b/>
          <w:bCs/>
          <w:color w:val="000000"/>
        </w:rPr>
        <w:t>37</w:t>
      </w:r>
      <w:r w:rsidRPr="00010012">
        <w:rPr>
          <w:rFonts w:ascii="Book Antiqua" w:eastAsia="Book Antiqua" w:hAnsi="Book Antiqua" w:cs="Book Antiqua"/>
          <w:color w:val="000000"/>
        </w:rPr>
        <w:t>: 493-500 [PMID: 26709397 DOI: 10.3892/ijmm.2015.2438]</w:t>
      </w:r>
    </w:p>
    <w:p w14:paraId="269C3D20"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7 </w:t>
      </w:r>
      <w:r w:rsidRPr="00010012">
        <w:rPr>
          <w:rFonts w:ascii="Book Antiqua" w:eastAsia="Book Antiqua" w:hAnsi="Book Antiqua" w:cs="Book Antiqua"/>
          <w:b/>
          <w:bCs/>
          <w:color w:val="000000"/>
        </w:rPr>
        <w:t>Xu F</w:t>
      </w:r>
      <w:r w:rsidRPr="00010012">
        <w:rPr>
          <w:rFonts w:ascii="Book Antiqua" w:eastAsia="Book Antiqua" w:hAnsi="Book Antiqua" w:cs="Book Antiqua"/>
          <w:color w:val="000000"/>
        </w:rPr>
        <w:t xml:space="preserve">, </w:t>
      </w:r>
      <w:proofErr w:type="spellStart"/>
      <w:r w:rsidRPr="00010012">
        <w:rPr>
          <w:rFonts w:ascii="Book Antiqua" w:eastAsia="Book Antiqua" w:hAnsi="Book Antiqua" w:cs="Book Antiqua"/>
          <w:color w:val="000000"/>
        </w:rPr>
        <w:t>Qiao</w:t>
      </w:r>
      <w:proofErr w:type="spellEnd"/>
      <w:r w:rsidRPr="00010012">
        <w:rPr>
          <w:rFonts w:ascii="Book Antiqua" w:eastAsia="Book Antiqua" w:hAnsi="Book Antiqua" w:cs="Book Antiqua"/>
          <w:color w:val="000000"/>
        </w:rPr>
        <w:t xml:space="preserve"> L, Zhao Y, Chen W, Hong S, Pan J, Jiang B. The potential application of concentrated growth factor in pulp regeneration: an </w:t>
      </w:r>
      <w:r w:rsidRPr="00010012">
        <w:rPr>
          <w:rFonts w:ascii="Book Antiqua" w:eastAsia="Book Antiqua" w:hAnsi="Book Antiqua" w:cs="Book Antiqua"/>
          <w:i/>
          <w:iCs/>
          <w:color w:val="000000"/>
        </w:rPr>
        <w:t>in vitro</w:t>
      </w:r>
      <w:r w:rsidRPr="00010012">
        <w:rPr>
          <w:rFonts w:ascii="Book Antiqua" w:eastAsia="Book Antiqua" w:hAnsi="Book Antiqua" w:cs="Book Antiqua"/>
          <w:color w:val="000000"/>
        </w:rPr>
        <w:t xml:space="preserve"> and </w:t>
      </w:r>
      <w:r w:rsidRPr="00010012">
        <w:rPr>
          <w:rFonts w:ascii="Book Antiqua" w:eastAsia="Book Antiqua" w:hAnsi="Book Antiqua" w:cs="Book Antiqua"/>
          <w:i/>
          <w:iCs/>
          <w:color w:val="000000"/>
        </w:rPr>
        <w:t>in vivo</w:t>
      </w:r>
      <w:r w:rsidRPr="00010012">
        <w:rPr>
          <w:rFonts w:ascii="Book Antiqua" w:eastAsia="Book Antiqua" w:hAnsi="Book Antiqua" w:cs="Book Antiqua"/>
          <w:color w:val="000000"/>
        </w:rPr>
        <w:t xml:space="preserve"> study. </w:t>
      </w:r>
      <w:r w:rsidRPr="00010012">
        <w:rPr>
          <w:rFonts w:ascii="Book Antiqua" w:eastAsia="Book Antiqua" w:hAnsi="Book Antiqua" w:cs="Book Antiqua"/>
          <w:i/>
          <w:iCs/>
          <w:color w:val="000000"/>
        </w:rPr>
        <w:t xml:space="preserve">Stem Cell Res </w:t>
      </w:r>
      <w:proofErr w:type="spellStart"/>
      <w:r w:rsidRPr="00010012">
        <w:rPr>
          <w:rFonts w:ascii="Book Antiqua" w:eastAsia="Book Antiqua" w:hAnsi="Book Antiqua" w:cs="Book Antiqua"/>
          <w:i/>
          <w:iCs/>
          <w:color w:val="000000"/>
        </w:rPr>
        <w:t>Ther</w:t>
      </w:r>
      <w:proofErr w:type="spellEnd"/>
      <w:r w:rsidRPr="00010012">
        <w:rPr>
          <w:rFonts w:ascii="Book Antiqua" w:eastAsia="Book Antiqua" w:hAnsi="Book Antiqua" w:cs="Book Antiqua"/>
          <w:color w:val="000000"/>
        </w:rPr>
        <w:t xml:space="preserve"> 2019; </w:t>
      </w:r>
      <w:r w:rsidRPr="00010012">
        <w:rPr>
          <w:rFonts w:ascii="Book Antiqua" w:eastAsia="Book Antiqua" w:hAnsi="Book Antiqua" w:cs="Book Antiqua"/>
          <w:b/>
          <w:bCs/>
          <w:color w:val="000000"/>
        </w:rPr>
        <w:t>10</w:t>
      </w:r>
      <w:r w:rsidRPr="00010012">
        <w:rPr>
          <w:rFonts w:ascii="Book Antiqua" w:eastAsia="Book Antiqua" w:hAnsi="Book Antiqua" w:cs="Book Antiqua"/>
          <w:color w:val="000000"/>
        </w:rPr>
        <w:t>: 134 [PMID: 31109358 DOI: 10.1186/s13287-019-1247-4]</w:t>
      </w:r>
    </w:p>
    <w:p w14:paraId="52E1C22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8 </w:t>
      </w:r>
      <w:proofErr w:type="spellStart"/>
      <w:r w:rsidRPr="00010012">
        <w:rPr>
          <w:rFonts w:ascii="Book Antiqua" w:eastAsia="Book Antiqua" w:hAnsi="Book Antiqua" w:cs="Book Antiqua"/>
          <w:b/>
          <w:bCs/>
          <w:color w:val="000000"/>
        </w:rPr>
        <w:t>Mirković</w:t>
      </w:r>
      <w:proofErr w:type="spellEnd"/>
      <w:r w:rsidRPr="00010012">
        <w:rPr>
          <w:rFonts w:ascii="Book Antiqua" w:eastAsia="Book Antiqua" w:hAnsi="Book Antiqua" w:cs="Book Antiqua"/>
          <w:b/>
          <w:bCs/>
          <w:color w:val="000000"/>
        </w:rPr>
        <w:t xml:space="preserve"> S</w:t>
      </w:r>
      <w:r w:rsidRPr="00010012">
        <w:rPr>
          <w:rFonts w:ascii="Book Antiqua" w:eastAsia="Book Antiqua" w:hAnsi="Book Antiqua" w:cs="Book Antiqua"/>
          <w:color w:val="000000"/>
        </w:rPr>
        <w:t xml:space="preserve">, </w:t>
      </w:r>
      <w:proofErr w:type="spellStart"/>
      <w:r w:rsidRPr="00010012">
        <w:rPr>
          <w:rFonts w:ascii="Book Antiqua" w:eastAsia="Book Antiqua" w:hAnsi="Book Antiqua" w:cs="Book Antiqua"/>
          <w:color w:val="000000"/>
        </w:rPr>
        <w:t>Djurdjević-Mirković</w:t>
      </w:r>
      <w:proofErr w:type="spellEnd"/>
      <w:r w:rsidRPr="00010012">
        <w:rPr>
          <w:rFonts w:ascii="Book Antiqua" w:eastAsia="Book Antiqua" w:hAnsi="Book Antiqua" w:cs="Book Antiqua"/>
          <w:color w:val="000000"/>
        </w:rPr>
        <w:t xml:space="preserve"> T, </w:t>
      </w:r>
      <w:proofErr w:type="spellStart"/>
      <w:r w:rsidRPr="00010012">
        <w:rPr>
          <w:rFonts w:ascii="Book Antiqua" w:eastAsia="Book Antiqua" w:hAnsi="Book Antiqua" w:cs="Book Antiqua"/>
          <w:color w:val="000000"/>
        </w:rPr>
        <w:t>Pugkar</w:t>
      </w:r>
      <w:proofErr w:type="spellEnd"/>
      <w:r w:rsidRPr="00010012">
        <w:rPr>
          <w:rFonts w:ascii="Book Antiqua" w:eastAsia="Book Antiqua" w:hAnsi="Book Antiqua" w:cs="Book Antiqua"/>
          <w:color w:val="000000"/>
        </w:rPr>
        <w:t xml:space="preserve"> T. Application of concentrated growth factors in reconstruction of bone defects after removal of large jaw cysts--the two cases report. </w:t>
      </w:r>
      <w:proofErr w:type="spellStart"/>
      <w:r w:rsidRPr="00010012">
        <w:rPr>
          <w:rFonts w:ascii="Book Antiqua" w:eastAsia="Book Antiqua" w:hAnsi="Book Antiqua" w:cs="Book Antiqua"/>
          <w:i/>
          <w:iCs/>
          <w:color w:val="000000"/>
        </w:rPr>
        <w:t>Vojnosanit</w:t>
      </w:r>
      <w:proofErr w:type="spellEnd"/>
      <w:r w:rsidRPr="00010012">
        <w:rPr>
          <w:rFonts w:ascii="Book Antiqua" w:eastAsia="Book Antiqua" w:hAnsi="Book Antiqua" w:cs="Book Antiqua"/>
          <w:i/>
          <w:iCs/>
          <w:color w:val="000000"/>
        </w:rPr>
        <w:t xml:space="preserve"> Pregl</w:t>
      </w:r>
      <w:r w:rsidRPr="00010012">
        <w:rPr>
          <w:rFonts w:ascii="Book Antiqua" w:eastAsia="Book Antiqua" w:hAnsi="Book Antiqua" w:cs="Book Antiqua"/>
          <w:color w:val="000000"/>
        </w:rPr>
        <w:t xml:space="preserve"> 2015; </w:t>
      </w:r>
      <w:r w:rsidRPr="00010012">
        <w:rPr>
          <w:rFonts w:ascii="Book Antiqua" w:eastAsia="Book Antiqua" w:hAnsi="Book Antiqua" w:cs="Book Antiqua"/>
          <w:b/>
          <w:bCs/>
          <w:color w:val="000000"/>
        </w:rPr>
        <w:t>72</w:t>
      </w:r>
      <w:r w:rsidRPr="00010012">
        <w:rPr>
          <w:rFonts w:ascii="Book Antiqua" w:eastAsia="Book Antiqua" w:hAnsi="Book Antiqua" w:cs="Book Antiqua"/>
          <w:color w:val="000000"/>
        </w:rPr>
        <w:t>: 368-371 [PMID: 26040184 DOI: 10.2298/vsp1504368m]</w:t>
      </w:r>
    </w:p>
    <w:p w14:paraId="39E3121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9 </w:t>
      </w:r>
      <w:r w:rsidRPr="00010012">
        <w:rPr>
          <w:rFonts w:ascii="Book Antiqua" w:eastAsia="Book Antiqua" w:hAnsi="Book Antiqua" w:cs="Book Antiqua"/>
          <w:b/>
          <w:bCs/>
          <w:color w:val="000000"/>
        </w:rPr>
        <w:t>Wang PH</w:t>
      </w:r>
      <w:r w:rsidRPr="00010012">
        <w:rPr>
          <w:rFonts w:ascii="Book Antiqua" w:eastAsia="Book Antiqua" w:hAnsi="Book Antiqua" w:cs="Book Antiqua"/>
          <w:color w:val="000000"/>
        </w:rPr>
        <w:t xml:space="preserve">, Huang BS, </w:t>
      </w:r>
      <w:proofErr w:type="spellStart"/>
      <w:r w:rsidRPr="00010012">
        <w:rPr>
          <w:rFonts w:ascii="Book Antiqua" w:eastAsia="Book Antiqua" w:hAnsi="Book Antiqua" w:cs="Book Antiqua"/>
          <w:color w:val="000000"/>
        </w:rPr>
        <w:t>Horng</w:t>
      </w:r>
      <w:proofErr w:type="spellEnd"/>
      <w:r w:rsidRPr="00010012">
        <w:rPr>
          <w:rFonts w:ascii="Book Antiqua" w:eastAsia="Book Antiqua" w:hAnsi="Book Antiqua" w:cs="Book Antiqua"/>
          <w:color w:val="000000"/>
        </w:rPr>
        <w:t xml:space="preserve"> HC, </w:t>
      </w:r>
      <w:proofErr w:type="spellStart"/>
      <w:r w:rsidRPr="00010012">
        <w:rPr>
          <w:rFonts w:ascii="Book Antiqua" w:eastAsia="Book Antiqua" w:hAnsi="Book Antiqua" w:cs="Book Antiqua"/>
          <w:color w:val="000000"/>
        </w:rPr>
        <w:t>Yeh</w:t>
      </w:r>
      <w:proofErr w:type="spellEnd"/>
      <w:r w:rsidRPr="00010012">
        <w:rPr>
          <w:rFonts w:ascii="Book Antiqua" w:eastAsia="Book Antiqua" w:hAnsi="Book Antiqua" w:cs="Book Antiqua"/>
          <w:color w:val="000000"/>
        </w:rPr>
        <w:t xml:space="preserve"> CC, Chen YJ. Wound healing. </w:t>
      </w:r>
      <w:r w:rsidRPr="00010012">
        <w:rPr>
          <w:rFonts w:ascii="Book Antiqua" w:eastAsia="Book Antiqua" w:hAnsi="Book Antiqua" w:cs="Book Antiqua"/>
          <w:i/>
          <w:iCs/>
          <w:color w:val="000000"/>
        </w:rPr>
        <w:t>J Chin Med Assoc</w:t>
      </w:r>
      <w:r w:rsidRPr="00010012">
        <w:rPr>
          <w:rFonts w:ascii="Book Antiqua" w:eastAsia="Book Antiqua" w:hAnsi="Book Antiqua" w:cs="Book Antiqua"/>
          <w:color w:val="000000"/>
        </w:rPr>
        <w:t xml:space="preserve"> 2018; </w:t>
      </w:r>
      <w:r w:rsidRPr="00010012">
        <w:rPr>
          <w:rFonts w:ascii="Book Antiqua" w:eastAsia="Book Antiqua" w:hAnsi="Book Antiqua" w:cs="Book Antiqua"/>
          <w:b/>
          <w:bCs/>
          <w:color w:val="000000"/>
        </w:rPr>
        <w:t>81</w:t>
      </w:r>
      <w:r w:rsidRPr="00010012">
        <w:rPr>
          <w:rFonts w:ascii="Book Antiqua" w:eastAsia="Book Antiqua" w:hAnsi="Book Antiqua" w:cs="Book Antiqua"/>
          <w:color w:val="000000"/>
        </w:rPr>
        <w:t>: 94-101 [PMID: 29169897 DOI: 10.1016/j.jcma.2017.11.002]</w:t>
      </w:r>
    </w:p>
    <w:p w14:paraId="573AAD3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lastRenderedPageBreak/>
        <w:t xml:space="preserve">10 </w:t>
      </w:r>
      <w:r w:rsidRPr="00010012">
        <w:rPr>
          <w:rFonts w:ascii="Book Antiqua" w:eastAsia="Book Antiqua" w:hAnsi="Book Antiqua" w:cs="Book Antiqua"/>
          <w:b/>
          <w:bCs/>
          <w:color w:val="000000"/>
        </w:rPr>
        <w:t>Qing C</w:t>
      </w:r>
      <w:r w:rsidRPr="00010012">
        <w:rPr>
          <w:rFonts w:ascii="Book Antiqua" w:eastAsia="Book Antiqua" w:hAnsi="Book Antiqua" w:cs="Book Antiqua"/>
          <w:color w:val="000000"/>
        </w:rPr>
        <w:t xml:space="preserve">. The molecular biology in wound healing &amp; non-healing wound. </w:t>
      </w:r>
      <w:r w:rsidRPr="00010012">
        <w:rPr>
          <w:rFonts w:ascii="Book Antiqua" w:eastAsia="Book Antiqua" w:hAnsi="Book Antiqua" w:cs="Book Antiqua"/>
          <w:i/>
          <w:iCs/>
          <w:color w:val="000000"/>
        </w:rPr>
        <w:t xml:space="preserve">Chin J </w:t>
      </w:r>
      <w:proofErr w:type="spellStart"/>
      <w:r w:rsidRPr="00010012">
        <w:rPr>
          <w:rFonts w:ascii="Book Antiqua" w:eastAsia="Book Antiqua" w:hAnsi="Book Antiqua" w:cs="Book Antiqua"/>
          <w:i/>
          <w:iCs/>
          <w:color w:val="000000"/>
        </w:rPr>
        <w:t>Traumatol</w:t>
      </w:r>
      <w:proofErr w:type="spellEnd"/>
      <w:r w:rsidRPr="00010012">
        <w:rPr>
          <w:rFonts w:ascii="Book Antiqua" w:eastAsia="Book Antiqua" w:hAnsi="Book Antiqua" w:cs="Book Antiqua"/>
          <w:color w:val="000000"/>
        </w:rPr>
        <w:t xml:space="preserve"> 2017; </w:t>
      </w:r>
      <w:r w:rsidRPr="00010012">
        <w:rPr>
          <w:rFonts w:ascii="Book Antiqua" w:eastAsia="Book Antiqua" w:hAnsi="Book Antiqua" w:cs="Book Antiqua"/>
          <w:b/>
          <w:bCs/>
          <w:color w:val="000000"/>
        </w:rPr>
        <w:t>20</w:t>
      </w:r>
      <w:r w:rsidRPr="00010012">
        <w:rPr>
          <w:rFonts w:ascii="Book Antiqua" w:eastAsia="Book Antiqua" w:hAnsi="Book Antiqua" w:cs="Book Antiqua"/>
          <w:color w:val="000000"/>
        </w:rPr>
        <w:t>: 189-193 [PMID: 28712679 DOI: 10.1016/j.cjtee.2017.06.001]</w:t>
      </w:r>
    </w:p>
    <w:p w14:paraId="0114DAA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11 </w:t>
      </w:r>
      <w:r w:rsidRPr="00010012">
        <w:rPr>
          <w:rFonts w:ascii="Book Antiqua" w:eastAsia="Book Antiqua" w:hAnsi="Book Antiqua" w:cs="Book Antiqua"/>
          <w:b/>
          <w:bCs/>
          <w:color w:val="000000"/>
        </w:rPr>
        <w:t>Kim TH</w:t>
      </w:r>
      <w:r w:rsidRPr="00010012">
        <w:rPr>
          <w:rFonts w:ascii="Book Antiqua" w:eastAsia="Book Antiqua" w:hAnsi="Book Antiqua" w:cs="Book Antiqua"/>
          <w:color w:val="000000"/>
        </w:rPr>
        <w:t xml:space="preserve">, Kim SH, </w:t>
      </w:r>
      <w:proofErr w:type="spellStart"/>
      <w:r w:rsidRPr="00010012">
        <w:rPr>
          <w:rFonts w:ascii="Book Antiqua" w:eastAsia="Book Antiqua" w:hAnsi="Book Antiqua" w:cs="Book Antiqua"/>
          <w:color w:val="000000"/>
        </w:rPr>
        <w:t>Sándor</w:t>
      </w:r>
      <w:proofErr w:type="spellEnd"/>
      <w:r w:rsidRPr="00010012">
        <w:rPr>
          <w:rFonts w:ascii="Book Antiqua" w:eastAsia="Book Antiqua" w:hAnsi="Book Antiqua" w:cs="Book Antiqua"/>
          <w:color w:val="000000"/>
        </w:rPr>
        <w:t xml:space="preserve"> GK, Kim YD. Comparison of platelet-rich plasma (PRP), platelet-rich fibrin (PRF), and concentrated growth factor (CGF) in rabbit-skull defect healing. </w:t>
      </w:r>
      <w:r w:rsidRPr="00010012">
        <w:rPr>
          <w:rFonts w:ascii="Book Antiqua" w:eastAsia="Book Antiqua" w:hAnsi="Book Antiqua" w:cs="Book Antiqua"/>
          <w:i/>
          <w:iCs/>
          <w:color w:val="000000"/>
        </w:rPr>
        <w:t>Arch Oral Biol</w:t>
      </w:r>
      <w:r w:rsidRPr="00010012">
        <w:rPr>
          <w:rFonts w:ascii="Book Antiqua" w:eastAsia="Book Antiqua" w:hAnsi="Book Antiqua" w:cs="Book Antiqua"/>
          <w:color w:val="000000"/>
        </w:rPr>
        <w:t xml:space="preserve"> 2014; </w:t>
      </w:r>
      <w:r w:rsidRPr="00010012">
        <w:rPr>
          <w:rFonts w:ascii="Book Antiqua" w:eastAsia="Book Antiqua" w:hAnsi="Book Antiqua" w:cs="Book Antiqua"/>
          <w:b/>
          <w:bCs/>
          <w:color w:val="000000"/>
        </w:rPr>
        <w:t>59</w:t>
      </w:r>
      <w:r w:rsidRPr="00010012">
        <w:rPr>
          <w:rFonts w:ascii="Book Antiqua" w:eastAsia="Book Antiqua" w:hAnsi="Book Antiqua" w:cs="Book Antiqua"/>
          <w:color w:val="000000"/>
        </w:rPr>
        <w:t>: 550-558 [PMID: 24667430 DOI: 10.1016/j.archoralbio.2014.02.004]</w:t>
      </w:r>
    </w:p>
    <w:p w14:paraId="1815C656"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12 </w:t>
      </w:r>
      <w:proofErr w:type="spellStart"/>
      <w:r w:rsidRPr="00010012">
        <w:rPr>
          <w:rFonts w:ascii="Book Antiqua" w:eastAsia="Book Antiqua" w:hAnsi="Book Antiqua" w:cs="Book Antiqua"/>
          <w:b/>
          <w:bCs/>
          <w:color w:val="000000"/>
        </w:rPr>
        <w:t>Pirpir</w:t>
      </w:r>
      <w:proofErr w:type="spellEnd"/>
      <w:r w:rsidRPr="00010012">
        <w:rPr>
          <w:rFonts w:ascii="Book Antiqua" w:eastAsia="Book Antiqua" w:hAnsi="Book Antiqua" w:cs="Book Antiqua"/>
          <w:b/>
          <w:bCs/>
          <w:color w:val="000000"/>
        </w:rPr>
        <w:t xml:space="preserve"> C</w:t>
      </w:r>
      <w:r w:rsidRPr="00010012">
        <w:rPr>
          <w:rFonts w:ascii="Book Antiqua" w:eastAsia="Book Antiqua" w:hAnsi="Book Antiqua" w:cs="Book Antiqua"/>
          <w:color w:val="000000"/>
        </w:rPr>
        <w:t xml:space="preserve">, Yilmaz O, </w:t>
      </w:r>
      <w:proofErr w:type="spellStart"/>
      <w:r w:rsidRPr="00010012">
        <w:rPr>
          <w:rFonts w:ascii="Book Antiqua" w:eastAsia="Book Antiqua" w:hAnsi="Book Antiqua" w:cs="Book Antiqua"/>
          <w:color w:val="000000"/>
        </w:rPr>
        <w:t>Candirli</w:t>
      </w:r>
      <w:proofErr w:type="spellEnd"/>
      <w:r w:rsidRPr="00010012">
        <w:rPr>
          <w:rFonts w:ascii="Book Antiqua" w:eastAsia="Book Antiqua" w:hAnsi="Book Antiqua" w:cs="Book Antiqua"/>
          <w:color w:val="000000"/>
        </w:rPr>
        <w:t xml:space="preserve"> C, </w:t>
      </w:r>
      <w:proofErr w:type="spellStart"/>
      <w:r w:rsidRPr="00010012">
        <w:rPr>
          <w:rFonts w:ascii="Book Antiqua" w:eastAsia="Book Antiqua" w:hAnsi="Book Antiqua" w:cs="Book Antiqua"/>
          <w:color w:val="000000"/>
        </w:rPr>
        <w:t>Balaban</w:t>
      </w:r>
      <w:proofErr w:type="spellEnd"/>
      <w:r w:rsidRPr="00010012">
        <w:rPr>
          <w:rFonts w:ascii="Book Antiqua" w:eastAsia="Book Antiqua" w:hAnsi="Book Antiqua" w:cs="Book Antiqua"/>
          <w:color w:val="000000"/>
        </w:rPr>
        <w:t xml:space="preserve"> E. Evaluation of effectiveness of concentrated growth factor on osseointegration. </w:t>
      </w:r>
      <w:r w:rsidRPr="00010012">
        <w:rPr>
          <w:rFonts w:ascii="Book Antiqua" w:eastAsia="Book Antiqua" w:hAnsi="Book Antiqua" w:cs="Book Antiqua"/>
          <w:i/>
          <w:iCs/>
          <w:color w:val="000000"/>
        </w:rPr>
        <w:t>Int J Implant Dent</w:t>
      </w:r>
      <w:r w:rsidRPr="00010012">
        <w:rPr>
          <w:rFonts w:ascii="Book Antiqua" w:eastAsia="Book Antiqua" w:hAnsi="Book Antiqua" w:cs="Book Antiqua"/>
          <w:color w:val="000000"/>
        </w:rPr>
        <w:t xml:space="preserve"> 2017; </w:t>
      </w:r>
      <w:r w:rsidRPr="00010012">
        <w:rPr>
          <w:rFonts w:ascii="Book Antiqua" w:eastAsia="Book Antiqua" w:hAnsi="Book Antiqua" w:cs="Book Antiqua"/>
          <w:b/>
          <w:bCs/>
          <w:color w:val="000000"/>
        </w:rPr>
        <w:t>3</w:t>
      </w:r>
      <w:r w:rsidRPr="00010012">
        <w:rPr>
          <w:rFonts w:ascii="Book Antiqua" w:eastAsia="Book Antiqua" w:hAnsi="Book Antiqua" w:cs="Book Antiqua"/>
          <w:color w:val="000000"/>
        </w:rPr>
        <w:t>: 7 [PMID: 28258471 DOI: 10.1186/s40729-017-0069-3]</w:t>
      </w:r>
    </w:p>
    <w:p w14:paraId="1666A085"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13 </w:t>
      </w:r>
      <w:r w:rsidRPr="00010012">
        <w:rPr>
          <w:rFonts w:ascii="Book Antiqua" w:eastAsia="Book Antiqua" w:hAnsi="Book Antiqua" w:cs="Book Antiqua"/>
          <w:b/>
          <w:bCs/>
          <w:color w:val="000000"/>
        </w:rPr>
        <w:t>Rodella LF</w:t>
      </w:r>
      <w:r w:rsidRPr="00010012">
        <w:rPr>
          <w:rFonts w:ascii="Book Antiqua" w:eastAsia="Book Antiqua" w:hAnsi="Book Antiqua" w:cs="Book Antiqua"/>
          <w:color w:val="000000"/>
        </w:rPr>
        <w:t xml:space="preserve">, </w:t>
      </w:r>
      <w:proofErr w:type="spellStart"/>
      <w:r w:rsidRPr="00010012">
        <w:rPr>
          <w:rFonts w:ascii="Book Antiqua" w:eastAsia="Book Antiqua" w:hAnsi="Book Antiqua" w:cs="Book Antiqua"/>
          <w:color w:val="000000"/>
        </w:rPr>
        <w:t>Favero</w:t>
      </w:r>
      <w:proofErr w:type="spellEnd"/>
      <w:r w:rsidRPr="00010012">
        <w:rPr>
          <w:rFonts w:ascii="Book Antiqua" w:eastAsia="Book Antiqua" w:hAnsi="Book Antiqua" w:cs="Book Antiqua"/>
          <w:color w:val="000000"/>
        </w:rPr>
        <w:t xml:space="preserve"> G, </w:t>
      </w:r>
      <w:proofErr w:type="spellStart"/>
      <w:r w:rsidRPr="00010012">
        <w:rPr>
          <w:rFonts w:ascii="Book Antiqua" w:eastAsia="Book Antiqua" w:hAnsi="Book Antiqua" w:cs="Book Antiqua"/>
          <w:color w:val="000000"/>
        </w:rPr>
        <w:t>Boninsegna</w:t>
      </w:r>
      <w:proofErr w:type="spellEnd"/>
      <w:r w:rsidRPr="00010012">
        <w:rPr>
          <w:rFonts w:ascii="Book Antiqua" w:eastAsia="Book Antiqua" w:hAnsi="Book Antiqua" w:cs="Book Antiqua"/>
          <w:color w:val="000000"/>
        </w:rPr>
        <w:t xml:space="preserve"> R, </w:t>
      </w:r>
      <w:proofErr w:type="spellStart"/>
      <w:r w:rsidRPr="00010012">
        <w:rPr>
          <w:rFonts w:ascii="Book Antiqua" w:eastAsia="Book Antiqua" w:hAnsi="Book Antiqua" w:cs="Book Antiqua"/>
          <w:color w:val="000000"/>
        </w:rPr>
        <w:t>Buffoli</w:t>
      </w:r>
      <w:proofErr w:type="spellEnd"/>
      <w:r w:rsidRPr="00010012">
        <w:rPr>
          <w:rFonts w:ascii="Book Antiqua" w:eastAsia="Book Antiqua" w:hAnsi="Book Antiqua" w:cs="Book Antiqua"/>
          <w:color w:val="000000"/>
        </w:rPr>
        <w:t xml:space="preserve"> B, </w:t>
      </w:r>
      <w:proofErr w:type="spellStart"/>
      <w:r w:rsidRPr="00010012">
        <w:rPr>
          <w:rFonts w:ascii="Book Antiqua" w:eastAsia="Book Antiqua" w:hAnsi="Book Antiqua" w:cs="Book Antiqua"/>
          <w:color w:val="000000"/>
        </w:rPr>
        <w:t>Labanca</w:t>
      </w:r>
      <w:proofErr w:type="spellEnd"/>
      <w:r w:rsidRPr="00010012">
        <w:rPr>
          <w:rFonts w:ascii="Book Antiqua" w:eastAsia="Book Antiqua" w:hAnsi="Book Antiqua" w:cs="Book Antiqua"/>
          <w:color w:val="000000"/>
        </w:rPr>
        <w:t xml:space="preserve"> M, </w:t>
      </w:r>
      <w:proofErr w:type="spellStart"/>
      <w:r w:rsidRPr="00010012">
        <w:rPr>
          <w:rFonts w:ascii="Book Antiqua" w:eastAsia="Book Antiqua" w:hAnsi="Book Antiqua" w:cs="Book Antiqua"/>
          <w:color w:val="000000"/>
        </w:rPr>
        <w:t>Scarì</w:t>
      </w:r>
      <w:proofErr w:type="spellEnd"/>
      <w:r w:rsidRPr="00010012">
        <w:rPr>
          <w:rFonts w:ascii="Book Antiqua" w:eastAsia="Book Antiqua" w:hAnsi="Book Antiqua" w:cs="Book Antiqua"/>
          <w:color w:val="000000"/>
        </w:rPr>
        <w:t xml:space="preserve"> G, Sacco L, </w:t>
      </w:r>
      <w:proofErr w:type="spellStart"/>
      <w:r w:rsidRPr="00010012">
        <w:rPr>
          <w:rFonts w:ascii="Book Antiqua" w:eastAsia="Book Antiqua" w:hAnsi="Book Antiqua" w:cs="Book Antiqua"/>
          <w:color w:val="000000"/>
        </w:rPr>
        <w:t>Batani</w:t>
      </w:r>
      <w:proofErr w:type="spellEnd"/>
      <w:r w:rsidRPr="00010012">
        <w:rPr>
          <w:rFonts w:ascii="Book Antiqua" w:eastAsia="Book Antiqua" w:hAnsi="Book Antiqua" w:cs="Book Antiqua"/>
          <w:color w:val="000000"/>
        </w:rPr>
        <w:t xml:space="preserve"> T, </w:t>
      </w:r>
      <w:proofErr w:type="spellStart"/>
      <w:r w:rsidRPr="00010012">
        <w:rPr>
          <w:rFonts w:ascii="Book Antiqua" w:eastAsia="Book Antiqua" w:hAnsi="Book Antiqua" w:cs="Book Antiqua"/>
          <w:color w:val="000000"/>
        </w:rPr>
        <w:t>Rezzani</w:t>
      </w:r>
      <w:proofErr w:type="spellEnd"/>
      <w:r w:rsidRPr="00010012">
        <w:rPr>
          <w:rFonts w:ascii="Book Antiqua" w:eastAsia="Book Antiqua" w:hAnsi="Book Antiqua" w:cs="Book Antiqua"/>
          <w:color w:val="000000"/>
        </w:rPr>
        <w:t xml:space="preserve"> R. Growth factors, CD34 positive cells, and fibrin network analysis in concentrated growth factors fraction. </w:t>
      </w:r>
      <w:proofErr w:type="spellStart"/>
      <w:r w:rsidRPr="00010012">
        <w:rPr>
          <w:rFonts w:ascii="Book Antiqua" w:eastAsia="Book Antiqua" w:hAnsi="Book Antiqua" w:cs="Book Antiqua"/>
          <w:i/>
          <w:iCs/>
          <w:color w:val="000000"/>
        </w:rPr>
        <w:t>Microsc</w:t>
      </w:r>
      <w:proofErr w:type="spellEnd"/>
      <w:r w:rsidRPr="00010012">
        <w:rPr>
          <w:rFonts w:ascii="Book Antiqua" w:eastAsia="Book Antiqua" w:hAnsi="Book Antiqua" w:cs="Book Antiqua"/>
          <w:i/>
          <w:iCs/>
          <w:color w:val="000000"/>
        </w:rPr>
        <w:t xml:space="preserve"> Res Tech</w:t>
      </w:r>
      <w:r w:rsidRPr="00010012">
        <w:rPr>
          <w:rFonts w:ascii="Book Antiqua" w:eastAsia="Book Antiqua" w:hAnsi="Book Antiqua" w:cs="Book Antiqua"/>
          <w:color w:val="000000"/>
        </w:rPr>
        <w:t xml:space="preserve"> 2011; </w:t>
      </w:r>
      <w:r w:rsidRPr="00010012">
        <w:rPr>
          <w:rFonts w:ascii="Book Antiqua" w:eastAsia="Book Antiqua" w:hAnsi="Book Antiqua" w:cs="Book Antiqua"/>
          <w:b/>
          <w:bCs/>
          <w:color w:val="000000"/>
        </w:rPr>
        <w:t>74</w:t>
      </w:r>
      <w:r w:rsidRPr="00010012">
        <w:rPr>
          <w:rFonts w:ascii="Book Antiqua" w:eastAsia="Book Antiqua" w:hAnsi="Book Antiqua" w:cs="Book Antiqua"/>
          <w:color w:val="000000"/>
        </w:rPr>
        <w:t>: 772-777 [PMID: 21780251 DOI: 10.1002/jemt.20968]</w:t>
      </w:r>
    </w:p>
    <w:p w14:paraId="7A28D409" w14:textId="77777777" w:rsidR="00A77B3E" w:rsidRPr="00010012" w:rsidRDefault="00A77B3E" w:rsidP="00010012">
      <w:pPr>
        <w:adjustRightInd w:val="0"/>
        <w:snapToGrid w:val="0"/>
        <w:spacing w:line="360" w:lineRule="auto"/>
        <w:jc w:val="both"/>
        <w:rPr>
          <w:rFonts w:ascii="Book Antiqua" w:hAnsi="Book Antiqua"/>
        </w:rPr>
        <w:sectPr w:rsidR="00A77B3E" w:rsidRPr="00010012">
          <w:pgSz w:w="12240" w:h="15840"/>
          <w:pgMar w:top="1440" w:right="1440" w:bottom="1440" w:left="1440" w:header="720" w:footer="720" w:gutter="0"/>
          <w:cols w:space="720"/>
          <w:docGrid w:linePitch="360"/>
        </w:sectPr>
      </w:pPr>
    </w:p>
    <w:p w14:paraId="0B5B4AEE"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lastRenderedPageBreak/>
        <w:t>Footnotes</w:t>
      </w:r>
    </w:p>
    <w:p w14:paraId="48564CA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Informed consent statement: </w:t>
      </w:r>
      <w:r w:rsidRPr="00010012">
        <w:rPr>
          <w:rFonts w:ascii="Book Antiqua" w:eastAsia="Book Antiqua" w:hAnsi="Book Antiqua" w:cs="Book Antiqua"/>
          <w:color w:val="000000"/>
        </w:rPr>
        <w:t>Written informed consent was obtained from the patient for publication of this report and any accompanying images.</w:t>
      </w:r>
    </w:p>
    <w:p w14:paraId="31C855E0" w14:textId="77777777" w:rsidR="00A77B3E" w:rsidRPr="00010012" w:rsidRDefault="00A77B3E" w:rsidP="00010012">
      <w:pPr>
        <w:adjustRightInd w:val="0"/>
        <w:snapToGrid w:val="0"/>
        <w:spacing w:line="360" w:lineRule="auto"/>
        <w:jc w:val="both"/>
        <w:rPr>
          <w:rFonts w:ascii="Book Antiqua" w:hAnsi="Book Antiqua"/>
        </w:rPr>
      </w:pPr>
    </w:p>
    <w:p w14:paraId="6D9341B9" w14:textId="4A5F5FD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Conflict-of-interest statement: </w:t>
      </w:r>
      <w:r w:rsidRPr="00010012">
        <w:rPr>
          <w:rFonts w:ascii="Book Antiqua" w:eastAsia="Book Antiqua" w:hAnsi="Book Antiqua" w:cs="Book Antiqua"/>
          <w:color w:val="000000"/>
        </w:rPr>
        <w:t xml:space="preserve">The authors declare that they </w:t>
      </w:r>
      <w:r w:rsidRPr="00010012">
        <w:rPr>
          <w:rFonts w:ascii="Book Antiqua" w:eastAsia="Book Antiqua" w:hAnsi="Book Antiqua" w:cs="Book Antiqua"/>
          <w:color w:val="000000"/>
        </w:rPr>
        <w:t>have no conflict of interest</w:t>
      </w:r>
      <w:r w:rsidR="00EC16F1">
        <w:rPr>
          <w:rFonts w:ascii="Book Antiqua" w:eastAsia="Book Antiqua" w:hAnsi="Book Antiqua" w:cs="Book Antiqua"/>
          <w:color w:val="000000"/>
        </w:rPr>
        <w:t xml:space="preserve"> to report</w:t>
      </w:r>
      <w:r w:rsidRPr="00010012">
        <w:rPr>
          <w:rFonts w:ascii="Book Antiqua" w:eastAsia="Book Antiqua" w:hAnsi="Book Antiqua" w:cs="Book Antiqua"/>
          <w:color w:val="000000"/>
        </w:rPr>
        <w:t xml:space="preserve">. </w:t>
      </w:r>
    </w:p>
    <w:p w14:paraId="454D3DC2" w14:textId="77777777" w:rsidR="00A77B3E" w:rsidRPr="00010012" w:rsidRDefault="00A77B3E" w:rsidP="00010012">
      <w:pPr>
        <w:adjustRightInd w:val="0"/>
        <w:snapToGrid w:val="0"/>
        <w:spacing w:line="360" w:lineRule="auto"/>
        <w:jc w:val="both"/>
        <w:rPr>
          <w:rFonts w:ascii="Book Antiqua" w:hAnsi="Book Antiqua"/>
        </w:rPr>
      </w:pPr>
    </w:p>
    <w:p w14:paraId="3F47168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CARE Checklist (2016) statement: </w:t>
      </w:r>
      <w:r w:rsidRPr="00010012">
        <w:rPr>
          <w:rFonts w:ascii="Book Antiqua" w:eastAsia="Book Antiqua" w:hAnsi="Book Antiqua" w:cs="Book Antiqua"/>
          <w:color w:val="000000"/>
        </w:rPr>
        <w:t>The authors have read the CARE Checklist (2016), and the manuscript was prepared and revised according to the CARE Checklist (2016).</w:t>
      </w:r>
    </w:p>
    <w:p w14:paraId="25379408" w14:textId="77777777" w:rsidR="00A77B3E" w:rsidRPr="00010012" w:rsidRDefault="00A77B3E" w:rsidP="00010012">
      <w:pPr>
        <w:adjustRightInd w:val="0"/>
        <w:snapToGrid w:val="0"/>
        <w:spacing w:line="360" w:lineRule="auto"/>
        <w:jc w:val="both"/>
        <w:rPr>
          <w:rFonts w:ascii="Book Antiqua" w:hAnsi="Book Antiqua"/>
        </w:rPr>
      </w:pPr>
    </w:p>
    <w:p w14:paraId="6036B4B8"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Open-Access: </w:t>
      </w:r>
      <w:r w:rsidRPr="0001001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10012">
        <w:rPr>
          <w:rFonts w:ascii="Book Antiqua" w:eastAsia="Book Antiqua" w:hAnsi="Book Antiqua" w:cs="Book Antiqua"/>
          <w:color w:val="000000"/>
        </w:rPr>
        <w:t>NonCommercial</w:t>
      </w:r>
      <w:proofErr w:type="spellEnd"/>
      <w:r w:rsidRPr="0001001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BFF16E" w14:textId="77777777" w:rsidR="00A77B3E" w:rsidRPr="00010012" w:rsidRDefault="00A77B3E" w:rsidP="00010012">
      <w:pPr>
        <w:adjustRightInd w:val="0"/>
        <w:snapToGrid w:val="0"/>
        <w:spacing w:line="360" w:lineRule="auto"/>
        <w:jc w:val="both"/>
        <w:rPr>
          <w:rFonts w:ascii="Book Antiqua" w:hAnsi="Book Antiqua"/>
        </w:rPr>
      </w:pPr>
    </w:p>
    <w:p w14:paraId="379DC2BB" w14:textId="447E1142"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Manuscript source: </w:t>
      </w:r>
      <w:r w:rsidRPr="00010012">
        <w:rPr>
          <w:rFonts w:ascii="Book Antiqua" w:eastAsia="Book Antiqua" w:hAnsi="Book Antiqua" w:cs="Book Antiqua"/>
          <w:color w:val="000000"/>
        </w:rPr>
        <w:t xml:space="preserve">Unsolicited </w:t>
      </w:r>
      <w:r w:rsidR="008261E5" w:rsidRPr="00010012">
        <w:rPr>
          <w:rFonts w:ascii="Book Antiqua" w:eastAsia="Book Antiqua" w:hAnsi="Book Antiqua" w:cs="Book Antiqua"/>
          <w:color w:val="000000"/>
        </w:rPr>
        <w:t>m</w:t>
      </w:r>
      <w:r w:rsidRPr="00010012">
        <w:rPr>
          <w:rFonts w:ascii="Book Antiqua" w:eastAsia="Book Antiqua" w:hAnsi="Book Antiqua" w:cs="Book Antiqua"/>
          <w:color w:val="000000"/>
        </w:rPr>
        <w:t>anuscript</w:t>
      </w:r>
    </w:p>
    <w:p w14:paraId="6B76EFA0" w14:textId="77777777" w:rsidR="00A77B3E" w:rsidRPr="00010012" w:rsidRDefault="00A77B3E" w:rsidP="00010012">
      <w:pPr>
        <w:adjustRightInd w:val="0"/>
        <w:snapToGrid w:val="0"/>
        <w:spacing w:line="360" w:lineRule="auto"/>
        <w:jc w:val="both"/>
        <w:rPr>
          <w:rFonts w:ascii="Book Antiqua" w:hAnsi="Book Antiqua"/>
        </w:rPr>
      </w:pPr>
    </w:p>
    <w:p w14:paraId="4CD3BAD2"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Peer-review started: </w:t>
      </w:r>
      <w:r w:rsidRPr="00010012">
        <w:rPr>
          <w:rFonts w:ascii="Book Antiqua" w:eastAsia="Book Antiqua" w:hAnsi="Book Antiqua" w:cs="Book Antiqua"/>
          <w:color w:val="000000"/>
        </w:rPr>
        <w:t>January 20, 2021</w:t>
      </w:r>
    </w:p>
    <w:p w14:paraId="71B2E121"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First decision: </w:t>
      </w:r>
      <w:r w:rsidRPr="00010012">
        <w:rPr>
          <w:rFonts w:ascii="Book Antiqua" w:eastAsia="Book Antiqua" w:hAnsi="Book Antiqua" w:cs="Book Antiqua"/>
          <w:color w:val="000000"/>
        </w:rPr>
        <w:t>March 25, 2021</w:t>
      </w:r>
    </w:p>
    <w:p w14:paraId="76739CD5"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Article in press: </w:t>
      </w:r>
    </w:p>
    <w:p w14:paraId="4C547C4F" w14:textId="77777777" w:rsidR="00A77B3E" w:rsidRPr="00010012" w:rsidRDefault="00A77B3E" w:rsidP="00010012">
      <w:pPr>
        <w:adjustRightInd w:val="0"/>
        <w:snapToGrid w:val="0"/>
        <w:spacing w:line="360" w:lineRule="auto"/>
        <w:jc w:val="both"/>
        <w:rPr>
          <w:rFonts w:ascii="Book Antiqua" w:hAnsi="Book Antiqua"/>
        </w:rPr>
      </w:pPr>
    </w:p>
    <w:p w14:paraId="6031AFF3"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Specialty type: </w:t>
      </w:r>
      <w:r w:rsidRPr="00010012">
        <w:rPr>
          <w:rFonts w:ascii="Book Antiqua" w:eastAsia="Book Antiqua" w:hAnsi="Book Antiqua" w:cs="Book Antiqua"/>
          <w:color w:val="000000"/>
        </w:rPr>
        <w:t>Dermatology</w:t>
      </w:r>
    </w:p>
    <w:p w14:paraId="6D37E187"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Country/Territory of origin: </w:t>
      </w:r>
      <w:r w:rsidRPr="00010012">
        <w:rPr>
          <w:rFonts w:ascii="Book Antiqua" w:eastAsia="Book Antiqua" w:hAnsi="Book Antiqua" w:cs="Book Antiqua"/>
          <w:color w:val="000000"/>
        </w:rPr>
        <w:t>China</w:t>
      </w:r>
    </w:p>
    <w:p w14:paraId="13D3F999"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Peer-review report’s scientific quality classification</w:t>
      </w:r>
    </w:p>
    <w:p w14:paraId="461B184E"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Grade A (Excellent): 0</w:t>
      </w:r>
    </w:p>
    <w:p w14:paraId="18804B3E" w14:textId="7DA76D73"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Grade B (Very good): </w:t>
      </w:r>
      <w:r w:rsidR="00010012" w:rsidRPr="00010012">
        <w:rPr>
          <w:rFonts w:ascii="Book Antiqua" w:eastAsia="Book Antiqua" w:hAnsi="Book Antiqua" w:cs="Book Antiqua"/>
          <w:color w:val="000000"/>
        </w:rPr>
        <w:t>B</w:t>
      </w:r>
    </w:p>
    <w:p w14:paraId="0CD35A60"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Grade C (Good): C</w:t>
      </w:r>
    </w:p>
    <w:p w14:paraId="233EC7FA"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lastRenderedPageBreak/>
        <w:t>Grade D (Fair): 0</w:t>
      </w:r>
    </w:p>
    <w:p w14:paraId="3A8A970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Grade E (Poor): 0</w:t>
      </w:r>
    </w:p>
    <w:p w14:paraId="71D03C15" w14:textId="77777777" w:rsidR="00A77B3E" w:rsidRPr="00010012" w:rsidRDefault="00A77B3E" w:rsidP="00010012">
      <w:pPr>
        <w:adjustRightInd w:val="0"/>
        <w:snapToGrid w:val="0"/>
        <w:spacing w:line="360" w:lineRule="auto"/>
        <w:jc w:val="both"/>
        <w:rPr>
          <w:rFonts w:ascii="Book Antiqua" w:hAnsi="Book Antiqua"/>
        </w:rPr>
      </w:pPr>
    </w:p>
    <w:p w14:paraId="5C9DE458" w14:textId="47EC9DF0" w:rsidR="00A77B3E" w:rsidRDefault="006B3974" w:rsidP="00010012">
      <w:pPr>
        <w:adjustRightInd w:val="0"/>
        <w:snapToGrid w:val="0"/>
        <w:spacing w:line="360" w:lineRule="auto"/>
        <w:jc w:val="both"/>
        <w:rPr>
          <w:rFonts w:ascii="Book Antiqua" w:eastAsia="Book Antiqua" w:hAnsi="Book Antiqua" w:cs="Book Antiqua"/>
          <w:b/>
          <w:color w:val="000000"/>
        </w:rPr>
      </w:pPr>
      <w:r w:rsidRPr="00010012">
        <w:rPr>
          <w:rFonts w:ascii="Book Antiqua" w:eastAsia="Book Antiqua" w:hAnsi="Book Antiqua" w:cs="Book Antiqua"/>
          <w:b/>
          <w:color w:val="000000"/>
        </w:rPr>
        <w:t xml:space="preserve">P-Reviewer: </w:t>
      </w:r>
      <w:r w:rsidRPr="00010012">
        <w:rPr>
          <w:rFonts w:ascii="Book Antiqua" w:eastAsia="Book Antiqua" w:hAnsi="Book Antiqua" w:cs="Book Antiqua"/>
          <w:color w:val="000000"/>
        </w:rPr>
        <w:t>Jun YM</w:t>
      </w:r>
      <w:r w:rsidRPr="00010012">
        <w:rPr>
          <w:rFonts w:ascii="Book Antiqua" w:eastAsia="Book Antiqua" w:hAnsi="Book Antiqua" w:cs="Book Antiqua"/>
          <w:b/>
          <w:color w:val="000000"/>
        </w:rPr>
        <w:t xml:space="preserve"> S-Editor: </w:t>
      </w:r>
      <w:r w:rsidRPr="00010012">
        <w:rPr>
          <w:rFonts w:ascii="Book Antiqua" w:eastAsia="Book Antiqua" w:hAnsi="Book Antiqua" w:cs="Book Antiqua"/>
          <w:color w:val="000000"/>
        </w:rPr>
        <w:t>Liu M</w:t>
      </w:r>
      <w:r w:rsidRPr="00010012">
        <w:rPr>
          <w:rFonts w:ascii="Book Antiqua" w:eastAsia="Book Antiqua" w:hAnsi="Book Antiqua" w:cs="Book Antiqua"/>
          <w:b/>
          <w:color w:val="000000"/>
        </w:rPr>
        <w:t xml:space="preserve"> L-Edit</w:t>
      </w:r>
      <w:r w:rsidRPr="00010012">
        <w:rPr>
          <w:rFonts w:ascii="Book Antiqua" w:eastAsia="Book Antiqua" w:hAnsi="Book Antiqua" w:cs="Book Antiqua"/>
          <w:b/>
          <w:color w:val="000000"/>
        </w:rPr>
        <w:t xml:space="preserve">or: </w:t>
      </w:r>
      <w:r w:rsidR="00EC16F1" w:rsidRPr="0024404F">
        <w:rPr>
          <w:rFonts w:ascii="Book Antiqua" w:eastAsia="Book Antiqua" w:hAnsi="Book Antiqua" w:cs="Book Antiqua"/>
          <w:color w:val="000000"/>
        </w:rPr>
        <w:t>Wang TQ</w:t>
      </w:r>
      <w:r w:rsidRPr="00010012">
        <w:rPr>
          <w:rFonts w:ascii="Book Antiqua" w:eastAsia="Book Antiqua" w:hAnsi="Book Antiqua" w:cs="Book Antiqua"/>
          <w:b/>
          <w:color w:val="000000"/>
        </w:rPr>
        <w:t xml:space="preserve"> P-Edi</w:t>
      </w:r>
      <w:r w:rsidRPr="00010012">
        <w:rPr>
          <w:rFonts w:ascii="Book Antiqua" w:eastAsia="Book Antiqua" w:hAnsi="Book Antiqua" w:cs="Book Antiqua"/>
          <w:b/>
          <w:color w:val="000000"/>
        </w:rPr>
        <w:t xml:space="preserve">tor: </w:t>
      </w:r>
    </w:p>
    <w:p w14:paraId="186DA268" w14:textId="77777777" w:rsidR="00674954" w:rsidRPr="00010012" w:rsidRDefault="00674954" w:rsidP="00010012">
      <w:pPr>
        <w:adjustRightInd w:val="0"/>
        <w:snapToGrid w:val="0"/>
        <w:spacing w:line="360" w:lineRule="auto"/>
        <w:jc w:val="both"/>
        <w:rPr>
          <w:rFonts w:ascii="Book Antiqua" w:hAnsi="Book Antiqua"/>
        </w:rPr>
        <w:sectPr w:rsidR="00674954" w:rsidRPr="00010012">
          <w:pgSz w:w="12240" w:h="15840"/>
          <w:pgMar w:top="1440" w:right="1440" w:bottom="1440" w:left="1440" w:header="720" w:footer="720" w:gutter="0"/>
          <w:cols w:space="720"/>
          <w:docGrid w:linePitch="360"/>
        </w:sectPr>
      </w:pPr>
    </w:p>
    <w:p w14:paraId="304DE168" w14:textId="77777777" w:rsidR="00A77B3E" w:rsidRPr="00010012" w:rsidRDefault="006B3974" w:rsidP="00010012">
      <w:pPr>
        <w:adjustRightInd w:val="0"/>
        <w:snapToGrid w:val="0"/>
        <w:spacing w:line="360" w:lineRule="auto"/>
        <w:jc w:val="both"/>
        <w:rPr>
          <w:rFonts w:ascii="Book Antiqua" w:eastAsia="Book Antiqua" w:hAnsi="Book Antiqua" w:cs="Book Antiqua"/>
          <w:b/>
          <w:color w:val="000000"/>
        </w:rPr>
      </w:pPr>
      <w:r w:rsidRPr="00010012">
        <w:rPr>
          <w:rFonts w:ascii="Book Antiqua" w:eastAsia="Book Antiqua" w:hAnsi="Book Antiqua" w:cs="Book Antiqua"/>
          <w:b/>
          <w:color w:val="000000"/>
        </w:rPr>
        <w:lastRenderedPageBreak/>
        <w:t>Figure Legends</w:t>
      </w:r>
    </w:p>
    <w:p w14:paraId="36CD19AA" w14:textId="77777777" w:rsidR="00A85F61" w:rsidRPr="00010012" w:rsidRDefault="00A85F61" w:rsidP="00010012">
      <w:pPr>
        <w:adjustRightInd w:val="0"/>
        <w:snapToGrid w:val="0"/>
        <w:spacing w:line="360" w:lineRule="auto"/>
        <w:jc w:val="both"/>
        <w:rPr>
          <w:rFonts w:ascii="Book Antiqua" w:hAnsi="Book Antiqua"/>
        </w:rPr>
      </w:pPr>
      <w:r w:rsidRPr="00010012">
        <w:rPr>
          <w:rFonts w:ascii="Book Antiqua" w:hAnsi="Book Antiqua"/>
          <w:noProof/>
          <w:lang w:eastAsia="zh-CN"/>
        </w:rPr>
        <w:drawing>
          <wp:inline distT="0" distB="0" distL="0" distR="0" wp14:anchorId="40E85260" wp14:editId="5D9E04A6">
            <wp:extent cx="5926130" cy="28942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025" cy="2916200"/>
                    </a:xfrm>
                    <a:prstGeom prst="rect">
                      <a:avLst/>
                    </a:prstGeom>
                    <a:noFill/>
                  </pic:spPr>
                </pic:pic>
              </a:graphicData>
            </a:graphic>
          </wp:inline>
        </w:drawing>
      </w:r>
    </w:p>
    <w:p w14:paraId="755E6226" w14:textId="4A122CF9"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Figure 1 A 37-year-old man suffered from traumatic inju</w:t>
      </w:r>
      <w:r w:rsidRPr="00010012">
        <w:rPr>
          <w:rFonts w:ascii="Book Antiqua" w:eastAsia="Book Antiqua" w:hAnsi="Book Antiqua" w:cs="Book Antiqua"/>
          <w:b/>
          <w:bCs/>
          <w:color w:val="000000"/>
        </w:rPr>
        <w:t xml:space="preserve">ry, and presented an ulcerated wound on his right lower leg. </w:t>
      </w:r>
      <w:r w:rsidRPr="00010012">
        <w:rPr>
          <w:rFonts w:ascii="Book Antiqua" w:eastAsia="Book Antiqua" w:hAnsi="Book Antiqua" w:cs="Book Antiqua"/>
          <w:color w:val="000000"/>
        </w:rPr>
        <w:t>A: The condition of the wound bed during admission</w:t>
      </w:r>
      <w:r w:rsidR="00EC16F1">
        <w:rPr>
          <w:rFonts w:ascii="Book Antiqua" w:eastAsia="Book Antiqua" w:hAnsi="Book Antiqua" w:cs="Book Antiqua"/>
          <w:color w:val="000000"/>
        </w:rPr>
        <w:t>;</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B: </w:t>
      </w:r>
      <w:r w:rsidR="00EC16F1">
        <w:rPr>
          <w:rFonts w:ascii="Book Antiqua" w:eastAsia="Book Antiqua" w:hAnsi="Book Antiqua" w:cs="Book Antiqua"/>
          <w:color w:val="000000"/>
        </w:rPr>
        <w:t>The p</w:t>
      </w:r>
      <w:r w:rsidR="00EC16F1" w:rsidRPr="00010012">
        <w:rPr>
          <w:rFonts w:ascii="Book Antiqua" w:eastAsia="Book Antiqua" w:hAnsi="Book Antiqua" w:cs="Book Antiqua"/>
          <w:color w:val="000000"/>
        </w:rPr>
        <w:t xml:space="preserve">eriosteum </w:t>
      </w:r>
      <w:r w:rsidRPr="00010012">
        <w:rPr>
          <w:rFonts w:ascii="Book Antiqua" w:eastAsia="Book Antiqua" w:hAnsi="Book Antiqua" w:cs="Book Antiqua"/>
          <w:color w:val="000000"/>
        </w:rPr>
        <w:t>was exposed after thorough debridement</w:t>
      </w:r>
      <w:r w:rsidR="00EC16F1">
        <w:rPr>
          <w:rFonts w:ascii="Book Antiqua" w:eastAsia="Book Antiqua" w:hAnsi="Book Antiqua" w:cs="Book Antiqua"/>
          <w:color w:val="000000"/>
        </w:rPr>
        <w:t>;</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C: </w:t>
      </w:r>
      <w:r w:rsidR="00340A3D" w:rsidRPr="00340A3D">
        <w:rPr>
          <w:rFonts w:ascii="Book Antiqua" w:eastAsia="Book Antiqua" w:hAnsi="Book Antiqua" w:cs="Book Antiqua"/>
          <w:color w:val="000000"/>
        </w:rPr>
        <w:t>Concentrated growth factor (CGF)</w:t>
      </w:r>
      <w:r w:rsidRPr="00010012">
        <w:rPr>
          <w:rFonts w:ascii="Book Antiqua" w:eastAsia="Book Antiqua" w:hAnsi="Book Antiqua" w:cs="Book Antiqua"/>
          <w:color w:val="000000"/>
        </w:rPr>
        <w:t xml:space="preserve"> gel was used to cover the wound</w:t>
      </w:r>
      <w:r w:rsidR="00EC16F1">
        <w:rPr>
          <w:rFonts w:ascii="Book Antiqua" w:eastAsia="Book Antiqua" w:hAnsi="Book Antiqua" w:cs="Book Antiqua"/>
          <w:color w:val="000000"/>
        </w:rPr>
        <w:t>;</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D: The appearance of wound on postoperative day 11 after CGF treatment</w:t>
      </w:r>
      <w:r w:rsidR="00EC16F1">
        <w:rPr>
          <w:rFonts w:ascii="Book Antiqua" w:eastAsia="Book Antiqua" w:hAnsi="Book Antiqua" w:cs="Book Antiqua"/>
          <w:color w:val="000000"/>
        </w:rPr>
        <w:t>;</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E: The skin defect showed a healing trend on postoperative day 17 after CGF treatment</w:t>
      </w:r>
      <w:r w:rsidR="00EC16F1">
        <w:rPr>
          <w:rFonts w:ascii="Book Antiqua" w:eastAsia="Book Antiqua" w:hAnsi="Book Antiqua" w:cs="Book Antiqua"/>
          <w:color w:val="000000"/>
        </w:rPr>
        <w:t>;</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F: The wound was well healed afte</w:t>
      </w:r>
      <w:r w:rsidRPr="00010012">
        <w:rPr>
          <w:rFonts w:ascii="Book Antiqua" w:eastAsia="Book Antiqua" w:hAnsi="Book Antiqua" w:cs="Book Antiqua"/>
          <w:color w:val="000000"/>
        </w:rPr>
        <w:t>r 21 d</w:t>
      </w:r>
      <w:r w:rsidR="00674954">
        <w:rPr>
          <w:rFonts w:ascii="Book Antiqua" w:eastAsia="Book Antiqua" w:hAnsi="Book Antiqua" w:cs="Book Antiqua"/>
          <w:color w:val="000000"/>
        </w:rPr>
        <w:t xml:space="preserve"> </w:t>
      </w:r>
      <w:r w:rsidRPr="00010012">
        <w:rPr>
          <w:rFonts w:ascii="Book Antiqua" w:eastAsia="Book Antiqua" w:hAnsi="Book Antiqua" w:cs="Book Antiqua"/>
          <w:color w:val="000000"/>
        </w:rPr>
        <w:t>of CGF treatment.</w:t>
      </w:r>
    </w:p>
    <w:sectPr w:rsidR="00A77B3E" w:rsidRPr="00010012" w:rsidSect="00694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78B8" w14:textId="77777777" w:rsidR="00D01761" w:rsidRDefault="00D01761" w:rsidP="00AC4722">
      <w:r>
        <w:separator/>
      </w:r>
    </w:p>
  </w:endnote>
  <w:endnote w:type="continuationSeparator" w:id="0">
    <w:p w14:paraId="02B23BF2" w14:textId="77777777" w:rsidR="00D01761" w:rsidRDefault="00D01761" w:rsidP="00AC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4166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2C853C9" w14:textId="6827F1C4" w:rsidR="006E2E01" w:rsidRPr="006E2E01" w:rsidRDefault="006E2E01" w:rsidP="006E2E01">
            <w:pPr>
              <w:pStyle w:val="a4"/>
              <w:jc w:val="right"/>
              <w:rPr>
                <w:rFonts w:ascii="Book Antiqua" w:hAnsi="Book Antiqua"/>
                <w:sz w:val="24"/>
                <w:szCs w:val="24"/>
              </w:rPr>
            </w:pPr>
            <w:r w:rsidRPr="006E2E01">
              <w:rPr>
                <w:rFonts w:ascii="Book Antiqua" w:hAnsi="Book Antiqua"/>
                <w:sz w:val="24"/>
                <w:szCs w:val="24"/>
                <w:lang w:val="zh-CN" w:eastAsia="zh-CN"/>
              </w:rPr>
              <w:t xml:space="preserve"> </w:t>
            </w:r>
            <w:r w:rsidRPr="006E2E01">
              <w:rPr>
                <w:rFonts w:ascii="Book Antiqua" w:hAnsi="Book Antiqua"/>
                <w:b/>
                <w:bCs/>
                <w:sz w:val="24"/>
                <w:szCs w:val="24"/>
              </w:rPr>
              <w:fldChar w:fldCharType="begin"/>
            </w:r>
            <w:r w:rsidRPr="006E2E01">
              <w:rPr>
                <w:rFonts w:ascii="Book Antiqua" w:hAnsi="Book Antiqua"/>
                <w:b/>
                <w:bCs/>
                <w:sz w:val="24"/>
                <w:szCs w:val="24"/>
              </w:rPr>
              <w:instrText>PAGE</w:instrText>
            </w:r>
            <w:r w:rsidRPr="006E2E01">
              <w:rPr>
                <w:rFonts w:ascii="Book Antiqua" w:hAnsi="Book Antiqua"/>
                <w:b/>
                <w:bCs/>
                <w:sz w:val="24"/>
                <w:szCs w:val="24"/>
              </w:rPr>
              <w:fldChar w:fldCharType="separate"/>
            </w:r>
            <w:r w:rsidR="0024404F">
              <w:rPr>
                <w:rFonts w:ascii="Book Antiqua" w:hAnsi="Book Antiqua"/>
                <w:b/>
                <w:bCs/>
                <w:noProof/>
                <w:sz w:val="24"/>
                <w:szCs w:val="24"/>
              </w:rPr>
              <w:t>14</w:t>
            </w:r>
            <w:r w:rsidRPr="006E2E01">
              <w:rPr>
                <w:rFonts w:ascii="Book Antiqua" w:hAnsi="Book Antiqua"/>
                <w:b/>
                <w:bCs/>
                <w:sz w:val="24"/>
                <w:szCs w:val="24"/>
              </w:rPr>
              <w:fldChar w:fldCharType="end"/>
            </w:r>
            <w:r w:rsidRPr="006E2E01">
              <w:rPr>
                <w:rFonts w:ascii="Book Antiqua" w:hAnsi="Book Antiqua"/>
                <w:sz w:val="24"/>
                <w:szCs w:val="24"/>
                <w:lang w:val="zh-CN" w:eastAsia="zh-CN"/>
              </w:rPr>
              <w:t xml:space="preserve"> / </w:t>
            </w:r>
            <w:r w:rsidRPr="006E2E01">
              <w:rPr>
                <w:rFonts w:ascii="Book Antiqua" w:hAnsi="Book Antiqua"/>
                <w:b/>
                <w:bCs/>
                <w:sz w:val="24"/>
                <w:szCs w:val="24"/>
              </w:rPr>
              <w:fldChar w:fldCharType="begin"/>
            </w:r>
            <w:r w:rsidRPr="006E2E01">
              <w:rPr>
                <w:rFonts w:ascii="Book Antiqua" w:hAnsi="Book Antiqua"/>
                <w:b/>
                <w:bCs/>
                <w:sz w:val="24"/>
                <w:szCs w:val="24"/>
              </w:rPr>
              <w:instrText>NUMPAGES</w:instrText>
            </w:r>
            <w:r w:rsidRPr="006E2E01">
              <w:rPr>
                <w:rFonts w:ascii="Book Antiqua" w:hAnsi="Book Antiqua"/>
                <w:b/>
                <w:bCs/>
                <w:sz w:val="24"/>
                <w:szCs w:val="24"/>
              </w:rPr>
              <w:fldChar w:fldCharType="separate"/>
            </w:r>
            <w:r w:rsidR="0024404F">
              <w:rPr>
                <w:rFonts w:ascii="Book Antiqua" w:hAnsi="Book Antiqua"/>
                <w:b/>
                <w:bCs/>
                <w:noProof/>
                <w:sz w:val="24"/>
                <w:szCs w:val="24"/>
              </w:rPr>
              <w:t>14</w:t>
            </w:r>
            <w:r w:rsidRPr="006E2E01">
              <w:rPr>
                <w:rFonts w:ascii="Book Antiqua" w:hAnsi="Book Antiqua"/>
                <w:b/>
                <w:bCs/>
                <w:sz w:val="24"/>
                <w:szCs w:val="24"/>
              </w:rPr>
              <w:fldChar w:fldCharType="end"/>
            </w:r>
          </w:p>
        </w:sdtContent>
      </w:sdt>
    </w:sdtContent>
  </w:sdt>
  <w:p w14:paraId="493E5BBC" w14:textId="77777777" w:rsidR="006E2E01" w:rsidRDefault="006E2E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B9796" w14:textId="77777777" w:rsidR="00D01761" w:rsidRDefault="00D01761" w:rsidP="00AC4722">
      <w:r>
        <w:separator/>
      </w:r>
    </w:p>
  </w:footnote>
  <w:footnote w:type="continuationSeparator" w:id="0">
    <w:p w14:paraId="27CB1AC5" w14:textId="77777777" w:rsidR="00D01761" w:rsidRDefault="00D01761" w:rsidP="00AC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012"/>
    <w:rsid w:val="00067701"/>
    <w:rsid w:val="0024404F"/>
    <w:rsid w:val="002E58FB"/>
    <w:rsid w:val="00340A3D"/>
    <w:rsid w:val="0044089A"/>
    <w:rsid w:val="005527AF"/>
    <w:rsid w:val="00674954"/>
    <w:rsid w:val="006819A5"/>
    <w:rsid w:val="006941FD"/>
    <w:rsid w:val="006B3974"/>
    <w:rsid w:val="006E2E01"/>
    <w:rsid w:val="008261E5"/>
    <w:rsid w:val="00997BB3"/>
    <w:rsid w:val="009A2D8C"/>
    <w:rsid w:val="009E5F70"/>
    <w:rsid w:val="00A77B3E"/>
    <w:rsid w:val="00A85F61"/>
    <w:rsid w:val="00A96D24"/>
    <w:rsid w:val="00AC4722"/>
    <w:rsid w:val="00B936D0"/>
    <w:rsid w:val="00CA2A55"/>
    <w:rsid w:val="00D01761"/>
    <w:rsid w:val="00D20C4F"/>
    <w:rsid w:val="00D376EB"/>
    <w:rsid w:val="00E74C4D"/>
    <w:rsid w:val="00EC16F1"/>
    <w:rsid w:val="00F85F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C69A0"/>
  <w15:docId w15:val="{1013C7E4-6408-4E26-94EE-29EABC94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1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C4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4722"/>
    <w:rPr>
      <w:sz w:val="18"/>
      <w:szCs w:val="18"/>
    </w:rPr>
  </w:style>
  <w:style w:type="paragraph" w:styleId="a4">
    <w:name w:val="footer"/>
    <w:basedOn w:val="a"/>
    <w:link w:val="Char0"/>
    <w:uiPriority w:val="99"/>
    <w:unhideWhenUsed/>
    <w:rsid w:val="00AC4722"/>
    <w:pPr>
      <w:tabs>
        <w:tab w:val="center" w:pos="4153"/>
        <w:tab w:val="right" w:pos="8306"/>
      </w:tabs>
      <w:snapToGrid w:val="0"/>
    </w:pPr>
    <w:rPr>
      <w:sz w:val="18"/>
      <w:szCs w:val="18"/>
    </w:rPr>
  </w:style>
  <w:style w:type="character" w:customStyle="1" w:styleId="Char0">
    <w:name w:val="页脚 Char"/>
    <w:basedOn w:val="a0"/>
    <w:link w:val="a4"/>
    <w:uiPriority w:val="99"/>
    <w:rsid w:val="00AC4722"/>
    <w:rPr>
      <w:sz w:val="18"/>
      <w:szCs w:val="18"/>
    </w:rPr>
  </w:style>
  <w:style w:type="paragraph" w:styleId="a5">
    <w:name w:val="Balloon Text"/>
    <w:basedOn w:val="a"/>
    <w:link w:val="Char1"/>
    <w:rsid w:val="002E58FB"/>
    <w:rPr>
      <w:sz w:val="18"/>
      <w:szCs w:val="18"/>
    </w:rPr>
  </w:style>
  <w:style w:type="character" w:customStyle="1" w:styleId="Char1">
    <w:name w:val="批注框文本 Char"/>
    <w:basedOn w:val="a0"/>
    <w:link w:val="a5"/>
    <w:rsid w:val="002E58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1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4</cp:revision>
  <dcterms:created xsi:type="dcterms:W3CDTF">2021-04-23T03:01:00Z</dcterms:created>
  <dcterms:modified xsi:type="dcterms:W3CDTF">2021-04-28T06:18:00Z</dcterms:modified>
</cp:coreProperties>
</file>