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97DF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Name of Journal: </w:t>
      </w:r>
      <w:r w:rsidRPr="0021268C">
        <w:rPr>
          <w:rFonts w:ascii="Book Antiqua" w:eastAsia="Book Antiqua" w:hAnsi="Book Antiqua" w:cs="Book Antiqua"/>
          <w:i/>
          <w:color w:val="000000"/>
        </w:rPr>
        <w:t>World Journal of Gastroenterology</w:t>
      </w:r>
    </w:p>
    <w:p w14:paraId="5CD1547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Manuscript NO: </w:t>
      </w:r>
      <w:r w:rsidRPr="0021268C">
        <w:rPr>
          <w:rFonts w:ascii="Book Antiqua" w:eastAsia="Book Antiqua" w:hAnsi="Book Antiqua" w:cs="Book Antiqua"/>
          <w:color w:val="000000"/>
        </w:rPr>
        <w:t>62595</w:t>
      </w:r>
    </w:p>
    <w:p w14:paraId="65A2B99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Manuscript Type: </w:t>
      </w:r>
      <w:r w:rsidRPr="0021268C">
        <w:rPr>
          <w:rFonts w:ascii="Book Antiqua" w:eastAsia="Book Antiqua" w:hAnsi="Book Antiqua" w:cs="Book Antiqua"/>
          <w:color w:val="000000"/>
        </w:rPr>
        <w:t>ORIGINAL ARTICLE</w:t>
      </w:r>
    </w:p>
    <w:p w14:paraId="2EB5C313" w14:textId="77777777" w:rsidR="00B07060" w:rsidRPr="0021268C" w:rsidRDefault="00B07060">
      <w:pPr>
        <w:spacing w:line="360" w:lineRule="auto"/>
        <w:jc w:val="both"/>
        <w:rPr>
          <w:rFonts w:ascii="Book Antiqua" w:hAnsi="Book Antiqua"/>
        </w:rPr>
      </w:pPr>
    </w:p>
    <w:p w14:paraId="0E0969C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Observational Study</w:t>
      </w:r>
    </w:p>
    <w:p w14:paraId="1A2AA6EC"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Prognostic </w:t>
      </w:r>
      <w:r w:rsidRPr="0021268C">
        <w:rPr>
          <w:rFonts w:ascii="Book Antiqua" w:hAnsi="Book Antiqua" w:cs="Book Antiqua" w:hint="eastAsia"/>
          <w:b/>
          <w:color w:val="000000"/>
          <w:lang w:eastAsia="zh-CN"/>
        </w:rPr>
        <w:t>r</w:t>
      </w:r>
      <w:r w:rsidRPr="0021268C">
        <w:rPr>
          <w:rFonts w:ascii="Book Antiqua" w:eastAsia="Book Antiqua" w:hAnsi="Book Antiqua" w:cs="Book Antiqua"/>
          <w:b/>
          <w:color w:val="000000"/>
        </w:rPr>
        <w:t xml:space="preserve">ole of </w:t>
      </w:r>
      <w:r w:rsidRPr="0021268C">
        <w:rPr>
          <w:rFonts w:ascii="Book Antiqua" w:hAnsi="Book Antiqua" w:cs="Book Antiqua" w:hint="eastAsia"/>
          <w:b/>
          <w:color w:val="000000"/>
          <w:lang w:eastAsia="zh-CN"/>
        </w:rPr>
        <w:t>p</w:t>
      </w:r>
      <w:r w:rsidRPr="0021268C">
        <w:rPr>
          <w:rFonts w:ascii="Book Antiqua" w:eastAsia="Book Antiqua" w:hAnsi="Book Antiqua" w:cs="Book Antiqua"/>
          <w:b/>
          <w:color w:val="000000"/>
        </w:rPr>
        <w:t xml:space="preserve">lasma </w:t>
      </w:r>
      <w:r w:rsidRPr="0021268C">
        <w:rPr>
          <w:rFonts w:ascii="Book Antiqua" w:hAnsi="Book Antiqua" w:cs="Book Antiqua" w:hint="eastAsia"/>
          <w:b/>
          <w:color w:val="000000"/>
          <w:lang w:eastAsia="zh-CN"/>
        </w:rPr>
        <w:t>l</w:t>
      </w:r>
      <w:r w:rsidRPr="0021268C">
        <w:rPr>
          <w:rFonts w:ascii="Book Antiqua" w:eastAsia="Book Antiqua" w:hAnsi="Book Antiqua" w:cs="Book Antiqua"/>
          <w:b/>
          <w:color w:val="000000"/>
        </w:rPr>
        <w:t xml:space="preserve">evel of </w:t>
      </w:r>
      <w:r w:rsidRPr="0021268C">
        <w:rPr>
          <w:rFonts w:ascii="Book Antiqua" w:hAnsi="Book Antiqua" w:cs="Book Antiqua" w:hint="eastAsia"/>
          <w:b/>
          <w:color w:val="000000"/>
          <w:lang w:eastAsia="zh-CN"/>
        </w:rPr>
        <w:t>a</w:t>
      </w:r>
      <w:r w:rsidRPr="0021268C">
        <w:rPr>
          <w:rFonts w:ascii="Book Antiqua" w:eastAsia="Book Antiqua" w:hAnsi="Book Antiqua" w:cs="Book Antiqua"/>
          <w:b/>
          <w:color w:val="000000"/>
        </w:rPr>
        <w:t xml:space="preserve">ngiopoietin-1, </w:t>
      </w:r>
      <w:r w:rsidRPr="0021268C">
        <w:rPr>
          <w:rFonts w:ascii="Book Antiqua" w:hAnsi="Book Antiqua" w:cs="Book Antiqua" w:hint="eastAsia"/>
          <w:b/>
          <w:color w:val="000000"/>
          <w:lang w:eastAsia="zh-CN"/>
        </w:rPr>
        <w:t>a</w:t>
      </w:r>
      <w:r w:rsidRPr="0021268C">
        <w:rPr>
          <w:rFonts w:ascii="Book Antiqua" w:eastAsia="Book Antiqua" w:hAnsi="Book Antiqua" w:cs="Book Antiqua"/>
          <w:b/>
          <w:color w:val="000000"/>
        </w:rPr>
        <w:t xml:space="preserve">ngiopoitin-2, and </w:t>
      </w:r>
      <w:r w:rsidRPr="0021268C">
        <w:rPr>
          <w:rFonts w:ascii="Book Antiqua" w:hAnsi="Book Antiqua" w:cs="Book Antiqua" w:hint="eastAsia"/>
          <w:b/>
          <w:color w:val="000000"/>
          <w:lang w:eastAsia="zh-CN"/>
        </w:rPr>
        <w:t>v</w:t>
      </w:r>
      <w:r w:rsidRPr="0021268C">
        <w:rPr>
          <w:rFonts w:ascii="Book Antiqua" w:eastAsia="Book Antiqua" w:hAnsi="Book Antiqua" w:cs="Book Antiqua"/>
          <w:b/>
          <w:color w:val="000000"/>
        </w:rPr>
        <w:t xml:space="preserve">ascular </w:t>
      </w:r>
      <w:r w:rsidRPr="0021268C">
        <w:rPr>
          <w:rFonts w:ascii="Book Antiqua" w:hAnsi="Book Antiqua" w:cs="Book Antiqua" w:hint="eastAsia"/>
          <w:b/>
          <w:color w:val="000000"/>
          <w:lang w:eastAsia="zh-CN"/>
        </w:rPr>
        <w:t>e</w:t>
      </w:r>
      <w:r w:rsidRPr="0021268C">
        <w:rPr>
          <w:rFonts w:ascii="Book Antiqua" w:eastAsia="Book Antiqua" w:hAnsi="Book Antiqua" w:cs="Book Antiqua"/>
          <w:b/>
          <w:color w:val="000000"/>
        </w:rPr>
        <w:t xml:space="preserve">ndothelial </w:t>
      </w:r>
      <w:r w:rsidRPr="0021268C">
        <w:rPr>
          <w:rFonts w:ascii="Book Antiqua" w:hAnsi="Book Antiqua" w:cs="Book Antiqua" w:hint="eastAsia"/>
          <w:b/>
          <w:color w:val="000000"/>
          <w:lang w:eastAsia="zh-CN"/>
        </w:rPr>
        <w:t>g</w:t>
      </w:r>
      <w:r w:rsidRPr="0021268C">
        <w:rPr>
          <w:rFonts w:ascii="Book Antiqua" w:eastAsia="Book Antiqua" w:hAnsi="Book Antiqua" w:cs="Book Antiqua"/>
          <w:b/>
          <w:color w:val="000000"/>
        </w:rPr>
        <w:t xml:space="preserve">rowth </w:t>
      </w:r>
      <w:r w:rsidRPr="0021268C">
        <w:rPr>
          <w:rFonts w:ascii="Book Antiqua" w:hAnsi="Book Antiqua" w:cs="Book Antiqua" w:hint="eastAsia"/>
          <w:b/>
          <w:color w:val="000000"/>
          <w:lang w:eastAsia="zh-CN"/>
        </w:rPr>
        <w:t>f</w:t>
      </w:r>
      <w:r w:rsidRPr="0021268C">
        <w:rPr>
          <w:rFonts w:ascii="Book Antiqua" w:eastAsia="Book Antiqua" w:hAnsi="Book Antiqua" w:cs="Book Antiqua"/>
          <w:b/>
          <w:color w:val="000000"/>
        </w:rPr>
        <w:t xml:space="preserve">actor in </w:t>
      </w:r>
      <w:r w:rsidRPr="0021268C">
        <w:rPr>
          <w:rFonts w:ascii="Book Antiqua" w:hAnsi="Book Antiqua" w:cs="Book Antiqua" w:hint="eastAsia"/>
          <w:b/>
          <w:color w:val="000000"/>
          <w:lang w:eastAsia="zh-CN"/>
        </w:rPr>
        <w:t>h</w:t>
      </w:r>
      <w:r w:rsidRPr="0021268C">
        <w:rPr>
          <w:rFonts w:ascii="Book Antiqua" w:eastAsia="Book Antiqua" w:hAnsi="Book Antiqua" w:cs="Book Antiqua"/>
          <w:b/>
          <w:color w:val="000000"/>
        </w:rPr>
        <w:t xml:space="preserve">epatocellular </w:t>
      </w:r>
      <w:r w:rsidRPr="0021268C">
        <w:rPr>
          <w:rFonts w:ascii="Book Antiqua" w:hAnsi="Book Antiqua" w:cs="Book Antiqua" w:hint="eastAsia"/>
          <w:b/>
          <w:color w:val="000000"/>
          <w:lang w:eastAsia="zh-CN"/>
        </w:rPr>
        <w:t>c</w:t>
      </w:r>
      <w:r w:rsidRPr="0021268C">
        <w:rPr>
          <w:rFonts w:ascii="Book Antiqua" w:eastAsia="Book Antiqua" w:hAnsi="Book Antiqua" w:cs="Book Antiqua"/>
          <w:b/>
          <w:color w:val="000000"/>
        </w:rPr>
        <w:t>arcinoma</w:t>
      </w:r>
    </w:p>
    <w:p w14:paraId="715259BD" w14:textId="77777777" w:rsidR="00B07060" w:rsidRPr="0021268C" w:rsidRDefault="00B07060">
      <w:pPr>
        <w:spacing w:line="360" w:lineRule="auto"/>
        <w:jc w:val="both"/>
        <w:rPr>
          <w:rFonts w:ascii="Book Antiqua" w:hAnsi="Book Antiqua"/>
        </w:rPr>
      </w:pPr>
    </w:p>
    <w:p w14:paraId="7F4995B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Choi </w:t>
      </w:r>
      <w:r w:rsidRPr="0021268C">
        <w:rPr>
          <w:rFonts w:ascii="Book Antiqua" w:hAnsi="Book Antiqua" w:cs="Book Antiqua" w:hint="eastAsia"/>
          <w:color w:val="000000"/>
          <w:lang w:eastAsia="zh-CN"/>
        </w:rPr>
        <w:t xml:space="preserve">GH </w:t>
      </w:r>
      <w:r w:rsidRPr="0021268C">
        <w:rPr>
          <w:rFonts w:ascii="Book Antiqua" w:hAnsi="Book Antiqua" w:cs="Book Antiqua" w:hint="eastAsia"/>
          <w:i/>
          <w:color w:val="000000"/>
          <w:lang w:eastAsia="zh-CN"/>
        </w:rPr>
        <w:t>et al</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Plasma </w:t>
      </w:r>
      <w:r w:rsidRPr="0021268C">
        <w:rPr>
          <w:rFonts w:ascii="Book Antiqua" w:hAnsi="Book Antiqua" w:cs="Book Antiqua" w:hint="eastAsia"/>
          <w:color w:val="000000"/>
          <w:lang w:eastAsia="zh-CN"/>
        </w:rPr>
        <w:t>a</w:t>
      </w:r>
      <w:r w:rsidRPr="0021268C">
        <w:rPr>
          <w:rFonts w:ascii="Book Antiqua" w:eastAsia="Book Antiqua" w:hAnsi="Book Antiqua" w:cs="Book Antiqua"/>
          <w:color w:val="000000"/>
        </w:rPr>
        <w:t xml:space="preserve">ngiogenesis </w:t>
      </w:r>
      <w:r w:rsidRPr="0021268C">
        <w:rPr>
          <w:rFonts w:ascii="Book Antiqua" w:hAnsi="Book Antiqua" w:cs="Book Antiqua" w:hint="eastAsia"/>
          <w:color w:val="000000"/>
          <w:lang w:eastAsia="zh-CN"/>
        </w:rPr>
        <w:t>m</w:t>
      </w:r>
      <w:r w:rsidRPr="0021268C">
        <w:rPr>
          <w:rFonts w:ascii="Book Antiqua" w:eastAsia="Book Antiqua" w:hAnsi="Book Antiqua" w:cs="Book Antiqua"/>
          <w:color w:val="000000"/>
        </w:rPr>
        <w:t xml:space="preserve">arkers in </w:t>
      </w:r>
      <w:r w:rsidRPr="0021268C">
        <w:rPr>
          <w:rFonts w:ascii="Book Antiqua" w:hAnsi="Book Antiqua" w:cs="Book Antiqua" w:hint="eastAsia"/>
          <w:color w:val="000000"/>
          <w:lang w:eastAsia="zh-CN"/>
        </w:rPr>
        <w:t>HCC</w:t>
      </w:r>
    </w:p>
    <w:p w14:paraId="4501FA54" w14:textId="77777777" w:rsidR="00B07060" w:rsidRPr="0021268C" w:rsidRDefault="00B07060">
      <w:pPr>
        <w:spacing w:line="360" w:lineRule="auto"/>
        <w:jc w:val="both"/>
        <w:rPr>
          <w:rFonts w:ascii="Book Antiqua" w:hAnsi="Book Antiqua"/>
        </w:rPr>
      </w:pPr>
    </w:p>
    <w:p w14:paraId="77ED48CC"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Gwang Hyeon Choi, Eun Sun Jang, Jin-Wook Kim, Sook</w:t>
      </w:r>
      <w:r w:rsidRPr="0021268C">
        <w:rPr>
          <w:rFonts w:ascii="宋体" w:eastAsia="宋体" w:hAnsi="宋体" w:cs="宋体" w:hint="eastAsia"/>
          <w:color w:val="000000"/>
          <w:lang w:eastAsia="zh-CN"/>
        </w:rPr>
        <w:t>-</w:t>
      </w:r>
      <w:r w:rsidRPr="0021268C">
        <w:rPr>
          <w:rFonts w:ascii="Book Antiqua" w:eastAsia="Book Antiqua" w:hAnsi="Book Antiqua" w:cs="Book Antiqua"/>
          <w:color w:val="000000"/>
        </w:rPr>
        <w:t>Hyang Jeong</w:t>
      </w:r>
    </w:p>
    <w:p w14:paraId="650EA39B" w14:textId="77777777" w:rsidR="00B07060" w:rsidRPr="0021268C" w:rsidRDefault="00B07060">
      <w:pPr>
        <w:spacing w:line="360" w:lineRule="auto"/>
        <w:jc w:val="both"/>
        <w:rPr>
          <w:rFonts w:ascii="Book Antiqua" w:hAnsi="Book Antiqua"/>
        </w:rPr>
      </w:pPr>
    </w:p>
    <w:p w14:paraId="7DA767E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Gwang Hyeon Choi, Eun Sun Jang, Jin-Wook Kim, Sook</w:t>
      </w:r>
      <w:r w:rsidRPr="0021268C">
        <w:rPr>
          <w:rFonts w:ascii="宋体" w:eastAsia="宋体" w:hAnsi="宋体" w:cs="宋体" w:hint="eastAsia"/>
          <w:b/>
          <w:bCs/>
          <w:color w:val="000000"/>
          <w:lang w:eastAsia="zh-CN"/>
        </w:rPr>
        <w:t>-</w:t>
      </w:r>
      <w:r w:rsidRPr="0021268C">
        <w:rPr>
          <w:rFonts w:ascii="Book Antiqua" w:eastAsia="Book Antiqua" w:hAnsi="Book Antiqua" w:cs="Book Antiqua"/>
          <w:b/>
          <w:bCs/>
          <w:color w:val="000000"/>
        </w:rPr>
        <w:t xml:space="preserve">Hyang Jeong, </w:t>
      </w:r>
      <w:r w:rsidRPr="0021268C">
        <w:rPr>
          <w:rFonts w:ascii="Book Antiqua" w:eastAsia="Book Antiqua" w:hAnsi="Book Antiqua" w:cs="Book Antiqua"/>
          <w:color w:val="000000"/>
        </w:rPr>
        <w:t>Department of Internal Medicine, Seoul National University Bundang Hospital, Seoul National University College of Medicine, Seongnam 13620, South Korea</w:t>
      </w:r>
    </w:p>
    <w:p w14:paraId="1A4A90D1" w14:textId="77777777" w:rsidR="00B07060" w:rsidRPr="0021268C" w:rsidRDefault="00B07060">
      <w:pPr>
        <w:spacing w:line="360" w:lineRule="auto"/>
        <w:jc w:val="both"/>
        <w:rPr>
          <w:rFonts w:ascii="Book Antiqua" w:hAnsi="Book Antiqua"/>
        </w:rPr>
      </w:pPr>
    </w:p>
    <w:p w14:paraId="39A271E0" w14:textId="77777777" w:rsidR="00B07060" w:rsidRPr="0021268C" w:rsidRDefault="005635E1">
      <w:pPr>
        <w:spacing w:line="360" w:lineRule="auto"/>
        <w:jc w:val="both"/>
        <w:rPr>
          <w:rFonts w:ascii="Book Antiqua" w:eastAsia="Book Antiqua" w:hAnsi="Book Antiqua" w:cs="Book Antiqua"/>
          <w:color w:val="000000"/>
        </w:rPr>
      </w:pPr>
      <w:r w:rsidRPr="0021268C">
        <w:rPr>
          <w:rFonts w:ascii="Book Antiqua" w:eastAsia="Book Antiqua" w:hAnsi="Book Antiqua" w:cs="Book Antiqua"/>
          <w:b/>
          <w:bCs/>
          <w:color w:val="000000"/>
        </w:rPr>
        <w:t xml:space="preserve">Author contributions: </w:t>
      </w:r>
      <w:r w:rsidRPr="0021268C">
        <w:rPr>
          <w:rFonts w:ascii="Book Antiqua" w:eastAsia="Book Antiqua" w:hAnsi="Book Antiqua" w:cs="Book Antiqua"/>
          <w:color w:val="000000"/>
        </w:rPr>
        <w:t>Choi GH, and Jeong SH were responsible for the study concept and design, data acquisition, analysis, and interpretation, statistical analysis, and manuscript drafting</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Jang ES and Kim J</w:t>
      </w:r>
      <w:r w:rsidRPr="0021268C">
        <w:rPr>
          <w:rFonts w:ascii="Book Antiqua" w:hAnsi="Book Antiqua" w:cs="Book Antiqua" w:hint="eastAsia"/>
          <w:color w:val="000000"/>
          <w:lang w:eastAsia="zh-CN"/>
        </w:rPr>
        <w:t>W</w:t>
      </w:r>
      <w:r w:rsidRPr="0021268C">
        <w:rPr>
          <w:rFonts w:ascii="Book Antiqua" w:eastAsia="Book Antiqua" w:hAnsi="Book Antiqua" w:cs="Book Antiqua"/>
          <w:color w:val="000000"/>
        </w:rPr>
        <w:t xml:space="preserve"> assisted in data acquisition, analysis, and interpretation. </w:t>
      </w:r>
    </w:p>
    <w:p w14:paraId="27F770F3" w14:textId="77777777" w:rsidR="00B07060" w:rsidRPr="0021268C" w:rsidRDefault="00B07060">
      <w:pPr>
        <w:spacing w:line="360" w:lineRule="auto"/>
        <w:jc w:val="both"/>
        <w:rPr>
          <w:rFonts w:ascii="Book Antiqua" w:eastAsia="Book Antiqua" w:hAnsi="Book Antiqua" w:cs="Book Antiqua"/>
          <w:color w:val="000000"/>
        </w:rPr>
      </w:pPr>
    </w:p>
    <w:p w14:paraId="5AB4D432" w14:textId="77777777" w:rsidR="00B07060" w:rsidRPr="0021268C" w:rsidRDefault="005635E1">
      <w:pPr>
        <w:pStyle w:val="a6"/>
        <w:spacing w:before="0" w:beforeAutospacing="0" w:after="0" w:afterAutospacing="0" w:line="360" w:lineRule="auto"/>
        <w:jc w:val="both"/>
      </w:pPr>
      <w:r w:rsidRPr="0021268C">
        <w:rPr>
          <w:rFonts w:ascii="Book Antiqua" w:eastAsia="Book Antiqua" w:hAnsi="Book Antiqua" w:cs="Book Antiqua"/>
          <w:b/>
          <w:bCs/>
        </w:rPr>
        <w:t xml:space="preserve">Supported by </w:t>
      </w:r>
      <w:r w:rsidRPr="0021268C">
        <w:rPr>
          <w:rFonts w:ascii="Book Antiqua" w:eastAsia="Book Antiqua" w:hAnsi="Book Antiqua" w:cs="Book Antiqua"/>
        </w:rPr>
        <w:t>Seoul National University Bundang Hospital Research Fund, No. 02-2019-037.</w:t>
      </w:r>
    </w:p>
    <w:p w14:paraId="663D6BA9" w14:textId="77777777" w:rsidR="00B07060" w:rsidRPr="0021268C" w:rsidRDefault="00B07060">
      <w:pPr>
        <w:spacing w:line="360" w:lineRule="auto"/>
        <w:jc w:val="both"/>
        <w:rPr>
          <w:rFonts w:ascii="Book Antiqua" w:hAnsi="Book Antiqua"/>
        </w:rPr>
      </w:pPr>
    </w:p>
    <w:p w14:paraId="5D58290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Corresponding author: Sook</w:t>
      </w:r>
      <w:r w:rsidRPr="0021268C">
        <w:rPr>
          <w:rFonts w:ascii="宋体" w:eastAsia="宋体" w:hAnsi="宋体" w:cs="宋体" w:hint="eastAsia"/>
          <w:b/>
          <w:bCs/>
          <w:color w:val="000000"/>
          <w:lang w:eastAsia="zh-CN"/>
        </w:rPr>
        <w:t>-</w:t>
      </w:r>
      <w:r w:rsidRPr="0021268C">
        <w:rPr>
          <w:rFonts w:ascii="Book Antiqua" w:eastAsia="Book Antiqua" w:hAnsi="Book Antiqua" w:cs="Book Antiqua"/>
          <w:b/>
          <w:bCs/>
          <w:color w:val="000000"/>
        </w:rPr>
        <w:t xml:space="preserve">Hyang Jeong, PhD, Professor, </w:t>
      </w:r>
      <w:r w:rsidRPr="0021268C">
        <w:rPr>
          <w:rFonts w:ascii="Book Antiqua" w:eastAsia="Book Antiqua" w:hAnsi="Book Antiqua" w:cs="Book Antiqua"/>
          <w:color w:val="000000"/>
        </w:rPr>
        <w:t>Department of Internal Medicine, Seoul National University Bundang Hospital, Seoul National University College of Medicine, 82 Gumi-ro 173 beon-gil, Bundang-gu, Seongnam-si, Gyeonggi-do, Seongnam 13620, South Korea. jsh@snubh.org</w:t>
      </w:r>
    </w:p>
    <w:p w14:paraId="1A29F9CF" w14:textId="77777777" w:rsidR="00B07060" w:rsidRPr="0021268C" w:rsidRDefault="00B07060">
      <w:pPr>
        <w:spacing w:line="360" w:lineRule="auto"/>
        <w:jc w:val="both"/>
        <w:rPr>
          <w:rFonts w:ascii="Book Antiqua" w:hAnsi="Book Antiqua"/>
        </w:rPr>
      </w:pPr>
    </w:p>
    <w:p w14:paraId="576149F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lastRenderedPageBreak/>
        <w:t xml:space="preserve">Received: </w:t>
      </w:r>
      <w:r w:rsidRPr="0021268C">
        <w:rPr>
          <w:rFonts w:ascii="Book Antiqua" w:eastAsia="Book Antiqua" w:hAnsi="Book Antiqua" w:cs="Book Antiqua"/>
          <w:color w:val="000000"/>
        </w:rPr>
        <w:t>February 21, 2021</w:t>
      </w:r>
    </w:p>
    <w:p w14:paraId="4A60A6A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Revised: </w:t>
      </w:r>
      <w:r w:rsidRPr="0021268C">
        <w:rPr>
          <w:rFonts w:ascii="Book Antiqua" w:hAnsi="Book Antiqua"/>
        </w:rPr>
        <w:t>May 16, 2021</w:t>
      </w:r>
    </w:p>
    <w:p w14:paraId="78E57D6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Accepted: </w:t>
      </w:r>
      <w:r w:rsidR="00F76581" w:rsidRPr="0021268C">
        <w:rPr>
          <w:rFonts w:ascii="Book Antiqua" w:eastAsia="Book Antiqua" w:hAnsi="Book Antiqua" w:cs="Book Antiqua"/>
          <w:bCs/>
          <w:color w:val="000000"/>
        </w:rPr>
        <w:t>July 7, 2021</w:t>
      </w:r>
    </w:p>
    <w:p w14:paraId="1707B4A1" w14:textId="71AB51BE"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Published online: </w:t>
      </w:r>
      <w:r w:rsidR="001C7D8B" w:rsidRPr="0021268C">
        <w:rPr>
          <w:rFonts w:ascii="Book Antiqua" w:eastAsia="Book Antiqua" w:hAnsi="Book Antiqua" w:cs="Book Antiqua"/>
          <w:bCs/>
          <w:color w:val="000000"/>
        </w:rPr>
        <w:t>July 21, 2021</w:t>
      </w:r>
    </w:p>
    <w:p w14:paraId="1DA93592" w14:textId="77777777" w:rsidR="00B07060" w:rsidRPr="0021268C" w:rsidRDefault="00B07060">
      <w:pPr>
        <w:spacing w:line="360" w:lineRule="auto"/>
        <w:jc w:val="both"/>
        <w:rPr>
          <w:rFonts w:ascii="Book Antiqua" w:hAnsi="Book Antiqua"/>
        </w:rPr>
        <w:sectPr w:rsidR="00B07060" w:rsidRPr="0021268C">
          <w:footerReference w:type="default" r:id="rId8"/>
          <w:pgSz w:w="12240" w:h="15840"/>
          <w:pgMar w:top="1440" w:right="1440" w:bottom="1440" w:left="1440" w:header="720" w:footer="720" w:gutter="0"/>
          <w:cols w:space="720"/>
          <w:docGrid w:linePitch="360"/>
        </w:sectPr>
      </w:pPr>
    </w:p>
    <w:p w14:paraId="7F78D48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lastRenderedPageBreak/>
        <w:t>Abstract</w:t>
      </w:r>
    </w:p>
    <w:p w14:paraId="597E9C4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BACKGROUND</w:t>
      </w:r>
    </w:p>
    <w:p w14:paraId="693F450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Most hepatocellular carcinomas (HCCs) are hypervascular, with characteristic features of hepatic arterial supply to the tumor. The factors involved in tumor angiogenesis include angiopoietin-1 (Ang-1), angiopoietin-2 (Ang-2), and vascular endothelial growth factor (VEGF).</w:t>
      </w:r>
    </w:p>
    <w:p w14:paraId="3B47546A" w14:textId="77777777" w:rsidR="00B07060" w:rsidRPr="0021268C" w:rsidRDefault="00B07060">
      <w:pPr>
        <w:spacing w:line="360" w:lineRule="auto"/>
        <w:jc w:val="both"/>
        <w:rPr>
          <w:rFonts w:ascii="Book Antiqua" w:hAnsi="Book Antiqua"/>
        </w:rPr>
      </w:pPr>
    </w:p>
    <w:p w14:paraId="3A7E358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AIM</w:t>
      </w:r>
    </w:p>
    <w:p w14:paraId="16D97AA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To investigate the profiles of plasma levels of angiogenesis markers in patients with HCC and evaluate their roles in predicting overall survival (OS) and progression-free survival (PFS).</w:t>
      </w:r>
    </w:p>
    <w:p w14:paraId="30423780" w14:textId="77777777" w:rsidR="00B07060" w:rsidRPr="0021268C" w:rsidRDefault="00B07060">
      <w:pPr>
        <w:spacing w:line="360" w:lineRule="auto"/>
        <w:jc w:val="both"/>
        <w:rPr>
          <w:rFonts w:ascii="Book Antiqua" w:hAnsi="Book Antiqua"/>
        </w:rPr>
      </w:pPr>
    </w:p>
    <w:p w14:paraId="7757E823"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METHODS</w:t>
      </w:r>
    </w:p>
    <w:p w14:paraId="0271813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Plasma samples from 240 prospectively enrolled HCC patients in the very early to advanced stages were used to measure the levels of Ang-1, Ang-2, and VEGF. Their associations with clinical characteristics, OS, and PFS were analyzed.</w:t>
      </w:r>
    </w:p>
    <w:p w14:paraId="577740F2" w14:textId="77777777" w:rsidR="00B07060" w:rsidRPr="0021268C" w:rsidRDefault="00B07060">
      <w:pPr>
        <w:spacing w:line="360" w:lineRule="auto"/>
        <w:jc w:val="both"/>
        <w:rPr>
          <w:rFonts w:ascii="Book Antiqua" w:hAnsi="Book Antiqua"/>
        </w:rPr>
      </w:pPr>
    </w:p>
    <w:p w14:paraId="15036A9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RESULTS</w:t>
      </w:r>
    </w:p>
    <w:p w14:paraId="3F1C27AC"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The median plasma levels of Ang-1, Ang-2, and VEGF were 3216 pg/mL, 1684 pg/mL, and 26.5 pg/mL, respectively. The plasma level of Ang-2 showed a significant increase from early stage </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Barcelona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 xml:space="preserve">linic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iver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ancer (BCLC)</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A</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to intermediate (BCLC B) and advanced stage HCC (BCLC C/D), whereas Ang-1, VEGF, and alpha-fetoprotein (AFP) levels in the plasma did not show any such changes. Multivariable analysis, propensity score-matched analysis, and time-dependent receiver operating curve analysis revealed that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had the highest predictive power for OS and PFS. Neither Ang-1 nor VEGF was significantly associated with OS or PFS. The neutrophil-to-lymphocyte ratio was an independent factor for OS and PFS. </w:t>
      </w:r>
    </w:p>
    <w:p w14:paraId="362ADA03" w14:textId="77777777" w:rsidR="00B07060" w:rsidRPr="0021268C" w:rsidRDefault="00B07060">
      <w:pPr>
        <w:spacing w:line="360" w:lineRule="auto"/>
        <w:jc w:val="both"/>
        <w:rPr>
          <w:rFonts w:ascii="Book Antiqua" w:hAnsi="Book Antiqua"/>
        </w:rPr>
      </w:pPr>
    </w:p>
    <w:p w14:paraId="24FA677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CONCLUSION</w:t>
      </w:r>
    </w:p>
    <w:p w14:paraId="35608A9D"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lastRenderedPageBreak/>
        <w:t>The plasma levels of Ang-2 correlated with liver function, tumor stage, and tumor invasiveness, showing better performance in predicting OS and PFS than AFP, Ang-1, or VEGF.</w:t>
      </w:r>
    </w:p>
    <w:p w14:paraId="53B273F6" w14:textId="77777777" w:rsidR="00B07060" w:rsidRPr="0021268C" w:rsidRDefault="00B07060">
      <w:pPr>
        <w:spacing w:line="360" w:lineRule="auto"/>
        <w:jc w:val="both"/>
        <w:rPr>
          <w:rFonts w:ascii="Book Antiqua" w:hAnsi="Book Antiqua"/>
        </w:rPr>
      </w:pPr>
    </w:p>
    <w:p w14:paraId="001796C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Key Words: </w:t>
      </w:r>
      <w:r w:rsidRPr="0021268C">
        <w:rPr>
          <w:rFonts w:ascii="Book Antiqua" w:eastAsia="Book Antiqua" w:hAnsi="Book Antiqua" w:cs="Book Antiqua"/>
          <w:color w:val="000000"/>
        </w:rPr>
        <w:t>Hepatocellular carcinoma; Angiogenesis; Biomarker; Prognosis; Survival</w:t>
      </w:r>
    </w:p>
    <w:p w14:paraId="4ECE807C" w14:textId="77777777" w:rsidR="008D14FB" w:rsidRPr="0021268C" w:rsidRDefault="008D14FB" w:rsidP="008D14FB">
      <w:pPr>
        <w:spacing w:line="360" w:lineRule="auto"/>
        <w:rPr>
          <w:rFonts w:ascii="Book Antiqua" w:hAnsi="Book Antiqua" w:cs="Book Antiqua"/>
          <w:b/>
          <w:color w:val="000000"/>
        </w:rPr>
      </w:pPr>
    </w:p>
    <w:p w14:paraId="6323F94D" w14:textId="77777777" w:rsidR="008D14FB" w:rsidRPr="0021268C" w:rsidRDefault="008D14FB" w:rsidP="008D14FB">
      <w:pPr>
        <w:spacing w:line="360" w:lineRule="auto"/>
        <w:rPr>
          <w:rFonts w:ascii="Book Antiqua" w:eastAsia="Book Antiqua" w:hAnsi="Book Antiqua" w:cs="Book Antiqua"/>
          <w:color w:val="000000"/>
        </w:rPr>
      </w:pPr>
      <w:r w:rsidRPr="0021268C">
        <w:rPr>
          <w:rFonts w:ascii="Book Antiqua" w:eastAsia="Book Antiqua" w:hAnsi="Book Antiqua" w:cs="Book Antiqua"/>
          <w:b/>
          <w:color w:val="000000"/>
        </w:rPr>
        <w:t>©The</w:t>
      </w:r>
      <w:r w:rsidRPr="0021268C">
        <w:rPr>
          <w:rFonts w:ascii="Book Antiqua" w:eastAsia="Book Antiqua" w:hAnsi="Book Antiqua" w:cs="Book Antiqua"/>
          <w:color w:val="000000"/>
        </w:rPr>
        <w:t xml:space="preserve"> </w:t>
      </w:r>
      <w:r w:rsidRPr="0021268C">
        <w:rPr>
          <w:rFonts w:ascii="Book Antiqua" w:eastAsia="Book Antiqua" w:hAnsi="Book Antiqua" w:cs="Book Antiqua"/>
          <w:b/>
          <w:color w:val="000000"/>
        </w:rPr>
        <w:t xml:space="preserve">Author(s) 2021. </w:t>
      </w:r>
      <w:r w:rsidRPr="0021268C">
        <w:rPr>
          <w:rFonts w:ascii="Book Antiqua" w:eastAsia="Book Antiqua" w:hAnsi="Book Antiqua" w:cs="Book Antiqua"/>
          <w:color w:val="000000"/>
        </w:rPr>
        <w:t xml:space="preserve">Published by Baishideng Publishing Group Inc. All rights reserved. </w:t>
      </w:r>
    </w:p>
    <w:p w14:paraId="24005E82" w14:textId="77777777" w:rsidR="00B07060" w:rsidRPr="0021268C" w:rsidRDefault="00B07060">
      <w:pPr>
        <w:spacing w:line="360" w:lineRule="auto"/>
        <w:jc w:val="both"/>
        <w:rPr>
          <w:rFonts w:ascii="Book Antiqua" w:hAnsi="Book Antiqua"/>
        </w:rPr>
      </w:pPr>
    </w:p>
    <w:p w14:paraId="3D3671A0" w14:textId="749C8BCD" w:rsidR="00B07060" w:rsidRPr="0021268C" w:rsidRDefault="005635E1">
      <w:pPr>
        <w:spacing w:line="360" w:lineRule="auto"/>
        <w:jc w:val="both"/>
        <w:rPr>
          <w:rFonts w:ascii="Book Antiqua" w:hAnsi="Book Antiqua"/>
          <w:lang w:eastAsia="zh-CN"/>
        </w:rPr>
      </w:pPr>
      <w:r w:rsidRPr="0021268C">
        <w:rPr>
          <w:rFonts w:ascii="Book Antiqua" w:eastAsia="Book Antiqua" w:hAnsi="Book Antiqua" w:cs="Book Antiqua"/>
          <w:color w:val="000000"/>
        </w:rPr>
        <w:t>Choi GH, Jang ES, Kim JW, Jeong S</w:t>
      </w:r>
      <w:r w:rsidRPr="0021268C">
        <w:rPr>
          <w:rFonts w:ascii="Book Antiqua" w:hAnsi="Book Antiqua" w:cs="Book Antiqua" w:hint="eastAsia"/>
          <w:color w:val="000000"/>
          <w:lang w:eastAsia="zh-CN"/>
        </w:rPr>
        <w:t>H</w:t>
      </w:r>
      <w:r w:rsidRPr="0021268C">
        <w:rPr>
          <w:rFonts w:ascii="Book Antiqua" w:eastAsia="Book Antiqua" w:hAnsi="Book Antiqua" w:cs="Book Antiqua"/>
          <w:color w:val="000000"/>
        </w:rPr>
        <w:t xml:space="preserve">. Prognostic </w:t>
      </w:r>
      <w:r w:rsidRPr="0021268C">
        <w:rPr>
          <w:rFonts w:ascii="Book Antiqua" w:hAnsi="Book Antiqua" w:cs="Book Antiqua" w:hint="eastAsia"/>
          <w:color w:val="000000"/>
          <w:lang w:eastAsia="zh-CN"/>
        </w:rPr>
        <w:t>r</w:t>
      </w:r>
      <w:r w:rsidRPr="0021268C">
        <w:rPr>
          <w:rFonts w:ascii="Book Antiqua" w:eastAsia="Book Antiqua" w:hAnsi="Book Antiqua" w:cs="Book Antiqua"/>
          <w:color w:val="000000"/>
        </w:rPr>
        <w:t xml:space="preserve">ole of </w:t>
      </w:r>
      <w:r w:rsidRPr="0021268C">
        <w:rPr>
          <w:rFonts w:ascii="Book Antiqua" w:hAnsi="Book Antiqua" w:cs="Book Antiqua" w:hint="eastAsia"/>
          <w:color w:val="000000"/>
          <w:lang w:eastAsia="zh-CN"/>
        </w:rPr>
        <w:t>p</w:t>
      </w:r>
      <w:r w:rsidRPr="0021268C">
        <w:rPr>
          <w:rFonts w:ascii="Book Antiqua" w:eastAsia="Book Antiqua" w:hAnsi="Book Antiqua" w:cs="Book Antiqua"/>
          <w:color w:val="000000"/>
        </w:rPr>
        <w:t xml:space="preserve">lasma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 of </w:t>
      </w:r>
      <w:r w:rsidRPr="0021268C">
        <w:rPr>
          <w:rFonts w:ascii="Book Antiqua" w:hAnsi="Book Antiqua" w:cs="Book Antiqua" w:hint="eastAsia"/>
          <w:color w:val="000000"/>
          <w:lang w:eastAsia="zh-CN"/>
        </w:rPr>
        <w:t>a</w:t>
      </w:r>
      <w:r w:rsidRPr="0021268C">
        <w:rPr>
          <w:rFonts w:ascii="Book Antiqua" w:eastAsia="Book Antiqua" w:hAnsi="Book Antiqua" w:cs="Book Antiqua"/>
          <w:color w:val="000000"/>
        </w:rPr>
        <w:t xml:space="preserve">ngiopoietin-1, </w:t>
      </w:r>
      <w:r w:rsidRPr="0021268C">
        <w:rPr>
          <w:rFonts w:ascii="Book Antiqua" w:hAnsi="Book Antiqua" w:cs="Book Antiqua" w:hint="eastAsia"/>
          <w:color w:val="000000"/>
          <w:lang w:eastAsia="zh-CN"/>
        </w:rPr>
        <w:t>a</w:t>
      </w:r>
      <w:r w:rsidRPr="0021268C">
        <w:rPr>
          <w:rFonts w:ascii="Book Antiqua" w:eastAsia="Book Antiqua" w:hAnsi="Book Antiqua" w:cs="Book Antiqua"/>
          <w:color w:val="000000"/>
        </w:rPr>
        <w:t xml:space="preserve">ngiopoitin-2, and </w:t>
      </w:r>
      <w:r w:rsidRPr="0021268C">
        <w:rPr>
          <w:rFonts w:ascii="Book Antiqua" w:hAnsi="Book Antiqua" w:cs="Book Antiqua" w:hint="eastAsia"/>
          <w:color w:val="000000"/>
          <w:lang w:eastAsia="zh-CN"/>
        </w:rPr>
        <w:t>v</w:t>
      </w:r>
      <w:r w:rsidRPr="0021268C">
        <w:rPr>
          <w:rFonts w:ascii="Book Antiqua" w:eastAsia="Book Antiqua" w:hAnsi="Book Antiqua" w:cs="Book Antiqua"/>
          <w:color w:val="000000"/>
        </w:rPr>
        <w:t xml:space="preserve">ascular </w:t>
      </w:r>
      <w:r w:rsidRPr="0021268C">
        <w:rPr>
          <w:rFonts w:ascii="Book Antiqua" w:hAnsi="Book Antiqua" w:cs="Book Antiqua" w:hint="eastAsia"/>
          <w:color w:val="000000"/>
          <w:lang w:eastAsia="zh-CN"/>
        </w:rPr>
        <w:t>e</w:t>
      </w:r>
      <w:r w:rsidRPr="0021268C">
        <w:rPr>
          <w:rFonts w:ascii="Book Antiqua" w:eastAsia="Book Antiqua" w:hAnsi="Book Antiqua" w:cs="Book Antiqua"/>
          <w:color w:val="000000"/>
        </w:rPr>
        <w:t xml:space="preserve">ndothelial </w:t>
      </w:r>
      <w:r w:rsidRPr="0021268C">
        <w:rPr>
          <w:rFonts w:ascii="Book Antiqua" w:hAnsi="Book Antiqua" w:cs="Book Antiqua" w:hint="eastAsia"/>
          <w:color w:val="000000"/>
          <w:lang w:eastAsia="zh-CN"/>
        </w:rPr>
        <w:t>g</w:t>
      </w:r>
      <w:r w:rsidRPr="0021268C">
        <w:rPr>
          <w:rFonts w:ascii="Book Antiqua" w:eastAsia="Book Antiqua" w:hAnsi="Book Antiqua" w:cs="Book Antiqua"/>
          <w:color w:val="000000"/>
        </w:rPr>
        <w:t xml:space="preserve">rowth </w:t>
      </w:r>
      <w:r w:rsidRPr="0021268C">
        <w:rPr>
          <w:rFonts w:ascii="Book Antiqua" w:hAnsi="Book Antiqua" w:cs="Book Antiqua" w:hint="eastAsia"/>
          <w:color w:val="000000"/>
          <w:lang w:eastAsia="zh-CN"/>
        </w:rPr>
        <w:t>f</w:t>
      </w:r>
      <w:r w:rsidRPr="0021268C">
        <w:rPr>
          <w:rFonts w:ascii="Book Antiqua" w:eastAsia="Book Antiqua" w:hAnsi="Book Antiqua" w:cs="Book Antiqua"/>
          <w:color w:val="000000"/>
        </w:rPr>
        <w:t xml:space="preserve">actor in </w:t>
      </w:r>
      <w:r w:rsidRPr="0021268C">
        <w:rPr>
          <w:rFonts w:ascii="Book Antiqua" w:hAnsi="Book Antiqua" w:cs="Book Antiqua" w:hint="eastAsia"/>
          <w:color w:val="000000"/>
          <w:lang w:eastAsia="zh-CN"/>
        </w:rPr>
        <w:t>h</w:t>
      </w:r>
      <w:r w:rsidRPr="0021268C">
        <w:rPr>
          <w:rFonts w:ascii="Book Antiqua" w:eastAsia="Book Antiqua" w:hAnsi="Book Antiqua" w:cs="Book Antiqua"/>
          <w:color w:val="000000"/>
        </w:rPr>
        <w:t xml:space="preserve">epatocellular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 xml:space="preserve">arcinoma. </w:t>
      </w:r>
      <w:r w:rsidRPr="0021268C">
        <w:rPr>
          <w:rFonts w:ascii="Book Antiqua" w:eastAsia="Book Antiqua" w:hAnsi="Book Antiqua" w:cs="Book Antiqua"/>
          <w:i/>
          <w:iCs/>
          <w:color w:val="000000"/>
        </w:rPr>
        <w:t>World J Gastroenterol</w:t>
      </w:r>
      <w:r w:rsidRPr="0021268C">
        <w:rPr>
          <w:rFonts w:ascii="Book Antiqua" w:eastAsia="Book Antiqua" w:hAnsi="Book Antiqua" w:cs="Book Antiqua"/>
          <w:color w:val="000000"/>
        </w:rPr>
        <w:t xml:space="preserve"> 2021; </w:t>
      </w:r>
      <w:r w:rsidR="00E175D9" w:rsidRPr="0021268C">
        <w:rPr>
          <w:rFonts w:ascii="Book Antiqua" w:eastAsia="Book Antiqua" w:hAnsi="Book Antiqua" w:cs="Book Antiqua"/>
          <w:color w:val="000000"/>
        </w:rPr>
        <w:t xml:space="preserve">27(27): </w:t>
      </w:r>
      <w:r w:rsidR="00EC538C" w:rsidRPr="0021268C">
        <w:rPr>
          <w:rFonts w:ascii="Book Antiqua" w:hAnsi="Book Antiqua" w:cs="Book Antiqua" w:hint="eastAsia"/>
          <w:color w:val="000000"/>
          <w:lang w:eastAsia="zh-CN"/>
        </w:rPr>
        <w:t>4453-</w:t>
      </w:r>
      <w:r w:rsidR="008D14FB" w:rsidRPr="0021268C">
        <w:rPr>
          <w:rFonts w:ascii="Book Antiqua" w:hAnsi="Book Antiqua" w:cs="Book Antiqua" w:hint="eastAsia"/>
          <w:color w:val="000000"/>
          <w:lang w:eastAsia="zh-CN"/>
        </w:rPr>
        <w:t>4467</w:t>
      </w:r>
      <w:r w:rsidR="00E175D9" w:rsidRPr="0021268C">
        <w:rPr>
          <w:rFonts w:ascii="Book Antiqua" w:eastAsia="Book Antiqua" w:hAnsi="Book Antiqua" w:cs="Book Antiqua"/>
          <w:color w:val="000000"/>
        </w:rPr>
        <w:t xml:space="preserve">  URL: https://www.wjgnet.com/1007-9327/full/v27/i27/</w:t>
      </w:r>
      <w:r w:rsidR="008D14FB" w:rsidRPr="0021268C">
        <w:rPr>
          <w:rFonts w:ascii="Book Antiqua" w:hAnsi="Book Antiqua" w:cs="Book Antiqua" w:hint="eastAsia"/>
          <w:color w:val="000000"/>
          <w:lang w:eastAsia="zh-CN"/>
        </w:rPr>
        <w:t>4453</w:t>
      </w:r>
      <w:r w:rsidR="00E175D9" w:rsidRPr="0021268C">
        <w:rPr>
          <w:rFonts w:ascii="Book Antiqua" w:eastAsia="Book Antiqua" w:hAnsi="Book Antiqua" w:cs="Book Antiqua"/>
          <w:color w:val="000000"/>
        </w:rPr>
        <w:t>.htm  DOI: https://dx.doi.org/10.3748/wjg.v27.i27.</w:t>
      </w:r>
      <w:r w:rsidR="008D14FB" w:rsidRPr="0021268C">
        <w:rPr>
          <w:rFonts w:ascii="Book Antiqua" w:hAnsi="Book Antiqua" w:cs="Book Antiqua" w:hint="eastAsia"/>
          <w:color w:val="000000"/>
          <w:lang w:eastAsia="zh-CN"/>
        </w:rPr>
        <w:t>4453</w:t>
      </w:r>
    </w:p>
    <w:p w14:paraId="6CB1EAC7" w14:textId="77777777" w:rsidR="00B07060" w:rsidRPr="0021268C" w:rsidRDefault="00B07060">
      <w:pPr>
        <w:spacing w:line="360" w:lineRule="auto"/>
        <w:jc w:val="both"/>
        <w:rPr>
          <w:rFonts w:ascii="Book Antiqua" w:hAnsi="Book Antiqua"/>
        </w:rPr>
      </w:pPr>
    </w:p>
    <w:p w14:paraId="0088C477"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Core Tip: </w:t>
      </w:r>
      <w:r w:rsidRPr="0021268C">
        <w:rPr>
          <w:rFonts w:ascii="Book Antiqua" w:eastAsia="Book Antiqua" w:hAnsi="Book Antiqua" w:cs="Book Antiqua"/>
          <w:color w:val="000000"/>
        </w:rPr>
        <w:t>Most hepatocellular carcinoma</w:t>
      </w:r>
      <w:r w:rsidRPr="0021268C">
        <w:rPr>
          <w:rFonts w:ascii="Book Antiqua" w:hAnsi="Book Antiqua" w:cs="Book Antiqua" w:hint="eastAsia"/>
          <w:color w:val="000000"/>
          <w:lang w:eastAsia="zh-CN"/>
        </w:rPr>
        <w:t>s</w:t>
      </w:r>
      <w:r w:rsidRPr="0021268C">
        <w:rPr>
          <w:rFonts w:ascii="Book Antiqua" w:eastAsia="Book Antiqua" w:hAnsi="Book Antiqua" w:cs="Book Antiqua"/>
          <w:color w:val="000000"/>
        </w:rPr>
        <w:t xml:space="preserve"> (HCC</w:t>
      </w:r>
      <w:r w:rsidRPr="0021268C">
        <w:rPr>
          <w:rFonts w:ascii="Book Antiqua" w:hAnsi="Book Antiqua" w:cs="Book Antiqua" w:hint="eastAsia"/>
          <w:color w:val="000000"/>
          <w:lang w:eastAsia="zh-CN"/>
        </w:rPr>
        <w:t>s</w:t>
      </w:r>
      <w:r w:rsidRPr="0021268C">
        <w:rPr>
          <w:rFonts w:ascii="Book Antiqua" w:eastAsia="Book Antiqua" w:hAnsi="Book Antiqua" w:cs="Book Antiqua"/>
          <w:color w:val="000000"/>
        </w:rPr>
        <w:t xml:space="preserve">) are hypervascular tumor, thus angiogenesis markers can be a potential biomarker. This study explored the potential of each plasma level of angiopoietin </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Ang</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-1, Ang-2, and vascular endothelial growth factor as a prognostic biomarker for very early to advanced stages of HCC </w:t>
      </w:r>
      <w:r w:rsidRPr="0021268C">
        <w:rPr>
          <w:rFonts w:ascii="Book Antiqua" w:eastAsia="Book Antiqua" w:hAnsi="Book Antiqua" w:cs="Book Antiqua"/>
          <w:i/>
          <w:iCs/>
          <w:color w:val="000000"/>
        </w:rPr>
        <w:t>via</w:t>
      </w:r>
      <w:r w:rsidRPr="0021268C">
        <w:rPr>
          <w:rFonts w:ascii="Book Antiqua" w:eastAsia="Book Antiqua" w:hAnsi="Book Antiqua" w:cs="Book Antiqua"/>
          <w:color w:val="000000"/>
        </w:rPr>
        <w:t xml:space="preserve"> detailed analysis in comparison with alpha-fetoprotein. The plasma level of Ang-2 correlated with liver function, tumor stage, and tumor invasiveness. Multivariable and propensity score-matched analyses revealed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with the highest predictive power for overall survival in patients with HCC. </w:t>
      </w:r>
    </w:p>
    <w:p w14:paraId="19E5B990" w14:textId="77777777" w:rsidR="00B07060" w:rsidRPr="0021268C" w:rsidRDefault="00B07060">
      <w:pPr>
        <w:spacing w:line="360" w:lineRule="auto"/>
        <w:jc w:val="both"/>
        <w:rPr>
          <w:rFonts w:ascii="Book Antiqua" w:hAnsi="Book Antiqua" w:cs="Book Antiqua"/>
          <w:color w:val="000000"/>
          <w:lang w:eastAsia="zh-CN"/>
        </w:rPr>
      </w:pPr>
    </w:p>
    <w:p w14:paraId="1D0C82DC" w14:textId="77777777" w:rsidR="00B07060" w:rsidRPr="0021268C" w:rsidRDefault="005635E1">
      <w:pPr>
        <w:spacing w:line="360" w:lineRule="auto"/>
        <w:jc w:val="both"/>
        <w:rPr>
          <w:rFonts w:ascii="Book Antiqua" w:hAnsi="Book Antiqua"/>
        </w:rPr>
      </w:pPr>
      <w:r w:rsidRPr="0021268C">
        <w:rPr>
          <w:rFonts w:ascii="Book Antiqua" w:hAnsi="Book Antiqua" w:cs="Book Antiqua"/>
          <w:color w:val="000000"/>
          <w:lang w:eastAsia="zh-CN"/>
        </w:rPr>
        <w:br w:type="page"/>
      </w:r>
      <w:r w:rsidRPr="0021268C">
        <w:rPr>
          <w:rFonts w:ascii="Book Antiqua" w:eastAsia="Book Antiqua" w:hAnsi="Book Antiqua" w:cs="Book Antiqua"/>
          <w:b/>
          <w:caps/>
          <w:color w:val="000000"/>
          <w:u w:val="single"/>
        </w:rPr>
        <w:lastRenderedPageBreak/>
        <w:t>INTRODUCTION</w:t>
      </w:r>
    </w:p>
    <w:p w14:paraId="0405041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Hepatocellular carcinoma (HCC) is the third most common malignancy in men seventh in women, and the second leading cause of cancer-related deaths worldwide</w:t>
      </w:r>
      <w:r w:rsidRPr="0021268C">
        <w:rPr>
          <w:rFonts w:ascii="Book Antiqua" w:hAnsi="Book Antiqua" w:cs="Book Antiqua" w:hint="eastAsia"/>
          <w:color w:val="000000"/>
          <w:vertAlign w:val="superscript"/>
          <w:lang w:eastAsia="zh-CN"/>
        </w:rPr>
        <w:t>[</w:t>
      </w:r>
      <w:hyperlink w:anchor="_ENREF_1" w:tooltip="Fitzmaurice, 2015 #1" w:history="1">
        <w:r w:rsidRPr="0021268C">
          <w:rPr>
            <w:rFonts w:ascii="Book Antiqua" w:eastAsia="Book Antiqua" w:hAnsi="Book Antiqua" w:cs="Book Antiqua"/>
            <w:color w:val="000000"/>
            <w:u w:val="single" w:color="0000EE"/>
            <w:vertAlign w:val="superscript"/>
          </w:rPr>
          <w:t>1</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 xml:space="preserve">Most HCCs are hypervascular with characteristic features of hepatic arterial supply to the tumor, frequent portal vein invasion, and intrahepatic metastasis. Based on these characteristics, the diagnosis of HCC based on radiological criteria was established to minimize the bleeding and seeding complications of tumor biopsy in most cases. </w:t>
      </w:r>
    </w:p>
    <w:p w14:paraId="4F7A66C4" w14:textId="77777777" w:rsidR="00B07060" w:rsidRPr="0021268C" w:rsidRDefault="005635E1">
      <w:pPr>
        <w:spacing w:line="360" w:lineRule="auto"/>
        <w:ind w:firstLine="338"/>
        <w:jc w:val="both"/>
        <w:rPr>
          <w:rFonts w:ascii="Book Antiqua" w:hAnsi="Book Antiqua"/>
        </w:rPr>
      </w:pPr>
      <w:r w:rsidRPr="0021268C">
        <w:rPr>
          <w:rFonts w:ascii="Book Antiqua" w:eastAsia="Book Antiqua" w:hAnsi="Book Antiqua" w:cs="Book Antiqua"/>
          <w:color w:val="000000"/>
        </w:rPr>
        <w:t>Therapeutically, transarterial chemoembolization (TACE), a standard treatment modality for the intermediate stage of HCC, uses the characteristic tumor blood supply for the selective arterial delivery of chemotherapeutic agents and the blockade of tumor-supplying vessels with embolic material. In advanced-stage HCC, several targeted therapeutics, including sorafenib, regorafenib, lenvatinib, ramucirumab, and cabozantinib, inhibit the angiogenic pathway along with other signaling pathways</w:t>
      </w:r>
      <w:r w:rsidRPr="0021268C">
        <w:rPr>
          <w:rFonts w:ascii="Book Antiqua" w:hAnsi="Book Antiqua" w:cs="Book Antiqua" w:hint="eastAsia"/>
          <w:color w:val="000000"/>
          <w:vertAlign w:val="superscript"/>
          <w:lang w:eastAsia="zh-CN"/>
        </w:rPr>
        <w:t>[</w:t>
      </w:r>
      <w:hyperlink w:anchor="_ENREF_2" w:tooltip=", 2018 #4" w:history="1">
        <w:r w:rsidRPr="0021268C">
          <w:rPr>
            <w:rFonts w:ascii="Book Antiqua" w:eastAsia="Book Antiqua" w:hAnsi="Book Antiqua" w:cs="Book Antiqua"/>
            <w:color w:val="000000"/>
            <w:u w:val="single" w:color="0000EE"/>
            <w:vertAlign w:val="superscript"/>
          </w:rPr>
          <w:t>2-4</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Recently, the combination of an anti-angiogenic agent and an immune checkpoint inhibitor showed a superior effect to sorafenib in the treatment of advanced HCC</w:t>
      </w:r>
      <w:r w:rsidRPr="0021268C">
        <w:rPr>
          <w:rFonts w:ascii="Book Antiqua" w:hAnsi="Book Antiqua" w:cs="Book Antiqua" w:hint="eastAsia"/>
          <w:color w:val="000000"/>
          <w:vertAlign w:val="superscript"/>
          <w:lang w:eastAsia="zh-CN"/>
        </w:rPr>
        <w:t>[</w:t>
      </w:r>
      <w:hyperlink w:anchor="_ENREF_5" w:tooltip="Finn, 2020 #6" w:history="1">
        <w:r w:rsidRPr="0021268C">
          <w:rPr>
            <w:rFonts w:ascii="Book Antiqua" w:eastAsia="Book Antiqua" w:hAnsi="Book Antiqua" w:cs="Book Antiqua"/>
            <w:color w:val="000000"/>
            <w:u w:val="single" w:color="0000EE"/>
            <w:vertAlign w:val="superscript"/>
          </w:rPr>
          <w:t>5</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 xml:space="preserve">Therefore, the development of biomarkers for angiogenesis to assess treatment response and prognosis for HCC is becoming important. </w:t>
      </w:r>
    </w:p>
    <w:p w14:paraId="25C55A30"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Angiogenesis, the formation of new blood vessels from pre-existing ones, is a fundamental process in HCC development, progression, and metastasis</w:t>
      </w:r>
      <w:r w:rsidRPr="0021268C">
        <w:rPr>
          <w:rFonts w:ascii="Book Antiqua" w:hAnsi="Book Antiqua" w:cs="Book Antiqua" w:hint="eastAsia"/>
          <w:color w:val="000000"/>
          <w:vertAlign w:val="superscript"/>
          <w:lang w:eastAsia="zh-CN"/>
        </w:rPr>
        <w:t>[</w:t>
      </w:r>
      <w:hyperlink w:anchor="_ENREF_6" w:tooltip="Pestana, 2018 #2" w:history="1">
        <w:r w:rsidRPr="0021268C">
          <w:rPr>
            <w:rFonts w:ascii="Book Antiqua" w:eastAsia="Book Antiqua" w:hAnsi="Book Antiqua" w:cs="Book Antiqua"/>
            <w:color w:val="000000"/>
            <w:u w:val="single" w:color="0000EE"/>
            <w:vertAlign w:val="superscript"/>
          </w:rPr>
          <w:t>6</w:t>
        </w:r>
      </w:hyperlink>
      <w:r w:rsidRPr="0021268C">
        <w:rPr>
          <w:rFonts w:ascii="Book Antiqua" w:eastAsia="Book Antiqua" w:hAnsi="Book Antiqua" w:cs="Book Antiqua"/>
          <w:color w:val="000000"/>
          <w:vertAlign w:val="superscript"/>
        </w:rPr>
        <w:t>,</w:t>
      </w:r>
      <w:hyperlink w:anchor="_ENREF_7" w:tooltip="Torimura, 2004 #7" w:history="1">
        <w:r w:rsidRPr="0021268C">
          <w:rPr>
            <w:rFonts w:ascii="Book Antiqua" w:eastAsia="Book Antiqua" w:hAnsi="Book Antiqua" w:cs="Book Antiqua"/>
            <w:color w:val="000000"/>
            <w:u w:val="single" w:color="0000EE"/>
            <w:vertAlign w:val="superscript"/>
          </w:rPr>
          <w:t>7</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In contrast to normal vessels, tumor vessels have highly proliferative endothelial cells with a leaky vasculature, which is unable to provide oxygen and nutrient supply to the tumor, leading to aberrant tumor microenvironments. The factors involved in tumor angiogenesis include vascular endothelial growth factor (VEGF), angiopoietin (Ang), fibroblast growth factor, epidermal growth factor, insulin-like growth factor, and platelet-derived growth factor. This makes the tumor angiogenesis system highly complex</w:t>
      </w:r>
      <w:r w:rsidRPr="0021268C">
        <w:rPr>
          <w:rFonts w:ascii="Book Antiqua" w:hAnsi="Book Antiqua" w:cs="Book Antiqua" w:hint="eastAsia"/>
          <w:color w:val="000000"/>
          <w:vertAlign w:val="superscript"/>
          <w:lang w:eastAsia="zh-CN"/>
        </w:rPr>
        <w:t>[</w:t>
      </w:r>
      <w:hyperlink w:anchor="_ENREF_8" w:tooltip="Biel, 2016 #38" w:history="1">
        <w:r w:rsidRPr="0021268C">
          <w:rPr>
            <w:rFonts w:ascii="Book Antiqua" w:eastAsia="Book Antiqua" w:hAnsi="Book Antiqua" w:cs="Book Antiqua"/>
            <w:color w:val="000000"/>
            <w:u w:val="single" w:color="0000EE"/>
            <w:vertAlign w:val="superscript"/>
          </w:rPr>
          <w:t>8</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Among these, VEGF</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and Ang-tyrosine kinase with Ig and EGF homology domains-2 (Tie2) pathways, including Ang-1</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and Ang-2</w:t>
      </w:r>
      <w:r w:rsidRPr="0021268C">
        <w:rPr>
          <w:rFonts w:ascii="Book Antiqua" w:hAnsi="Book Antiqua" w:cs="Book Antiqua" w:hint="eastAsia"/>
          <w:color w:val="000000"/>
          <w:vertAlign w:val="superscript"/>
          <w:lang w:eastAsia="zh-CN"/>
        </w:rPr>
        <w:t>[</w:t>
      </w:r>
      <w:hyperlink w:anchor="_ENREF_7" w:tooltip="Torimura, 2004 #7" w:history="1">
        <w:r w:rsidRPr="0021268C">
          <w:rPr>
            <w:rFonts w:ascii="Book Antiqua" w:eastAsia="Book Antiqua" w:hAnsi="Book Antiqua" w:cs="Book Antiqua"/>
            <w:color w:val="000000"/>
            <w:u w:val="single" w:color="0000EE"/>
            <w:vertAlign w:val="superscript"/>
          </w:rPr>
          <w:t>7</w:t>
        </w:r>
      </w:hyperlink>
      <w:r w:rsidRPr="0021268C">
        <w:rPr>
          <w:rFonts w:ascii="Book Antiqua" w:eastAsia="Book Antiqua" w:hAnsi="Book Antiqua" w:cs="Book Antiqua"/>
          <w:color w:val="000000"/>
          <w:vertAlign w:val="superscript"/>
        </w:rPr>
        <w:t>,</w:t>
      </w:r>
      <w:hyperlink w:anchor="_ENREF_9" w:tooltip="Morse, 2019 #9" w:history="1">
        <w:r w:rsidRPr="0021268C">
          <w:rPr>
            <w:rFonts w:ascii="Book Antiqua" w:eastAsia="Book Antiqua" w:hAnsi="Book Antiqua" w:cs="Book Antiqua"/>
            <w:color w:val="000000"/>
            <w:u w:val="single" w:color="0000EE"/>
            <w:vertAlign w:val="superscript"/>
          </w:rPr>
          <w:t>9</w:t>
        </w:r>
      </w:hyperlink>
      <w:r w:rsidRPr="0021268C">
        <w:rPr>
          <w:rFonts w:ascii="Book Antiqua" w:eastAsia="Book Antiqua" w:hAnsi="Book Antiqua" w:cs="Book Antiqua"/>
          <w:color w:val="000000"/>
          <w:vertAlign w:val="superscript"/>
        </w:rPr>
        <w:t>,</w:t>
      </w:r>
      <w:hyperlink w:anchor="_ENREF_10" w:tooltip="Akwii, 2019 #8" w:history="1">
        <w:r w:rsidRPr="0021268C">
          <w:rPr>
            <w:rFonts w:ascii="Book Antiqua" w:eastAsia="Book Antiqua" w:hAnsi="Book Antiqua" w:cs="Book Antiqua"/>
            <w:color w:val="000000"/>
            <w:u w:val="single" w:color="0000EE"/>
            <w:vertAlign w:val="superscript"/>
          </w:rPr>
          <w:t>10</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are the two dominant therapeutic targets of anti-angiogenesis in HCC. </w:t>
      </w:r>
    </w:p>
    <w:p w14:paraId="1F21B1AA"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lastRenderedPageBreak/>
        <w:t>However, investigations on the prognostic value of blood angiogenesis biomarkers across all HCC stages till date are limited. Therefore, this study aimed to investigate the plasma levels of Ang-1, Ang-2, and VEGF, and to evaluate their roles in predicting the overall survival (OS) and progression-free survival (PFS) in patients with very early to advanced stages of HCC.</w:t>
      </w:r>
    </w:p>
    <w:p w14:paraId="6AA99282" w14:textId="77777777" w:rsidR="00B07060" w:rsidRPr="0021268C" w:rsidRDefault="00B07060">
      <w:pPr>
        <w:spacing w:line="360" w:lineRule="auto"/>
        <w:ind w:firstLine="480"/>
        <w:jc w:val="both"/>
        <w:rPr>
          <w:rFonts w:ascii="Book Antiqua" w:hAnsi="Book Antiqua"/>
        </w:rPr>
      </w:pPr>
    </w:p>
    <w:p w14:paraId="0666779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MATERIALS AND METHODS</w:t>
      </w:r>
    </w:p>
    <w:p w14:paraId="2405D68F"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Study subjects</w:t>
      </w:r>
    </w:p>
    <w:p w14:paraId="0F050079" w14:textId="77777777" w:rsidR="00B07060" w:rsidRPr="0021268C" w:rsidRDefault="005635E1">
      <w:pPr>
        <w:spacing w:line="360" w:lineRule="auto"/>
        <w:jc w:val="both"/>
        <w:rPr>
          <w:rFonts w:ascii="Book Antiqua" w:hAnsi="Book Antiqua" w:cs="Book Antiqua"/>
          <w:color w:val="000000"/>
          <w:lang w:eastAsia="zh-CN"/>
        </w:rPr>
      </w:pPr>
      <w:r w:rsidRPr="0021268C">
        <w:rPr>
          <w:rFonts w:ascii="Book Antiqua" w:eastAsia="Book Antiqua" w:hAnsi="Book Antiqua" w:cs="Book Antiqua"/>
          <w:color w:val="000000"/>
        </w:rPr>
        <w:t>A total of 251 newly diagnosed HCC patients who agreed to the collection of their information and blood samples at the time of diagnosis were prospectively enrolled in the Hepatology unit of the Seoul National University Bundang Hospital (SNUBH) between March 2012 and April 2016 (Supplementary Figure</w:t>
      </w:r>
      <w:r w:rsidRPr="0021268C">
        <w:rPr>
          <w:rFonts w:ascii="Book Antiqua" w:hAnsi="Book Antiqua" w:cs="Book Antiqua" w:hint="eastAsia"/>
          <w:color w:val="000000"/>
          <w:lang w:eastAsia="zh-CN"/>
        </w:rPr>
        <w:t xml:space="preserve"> 1</w:t>
      </w:r>
      <w:r w:rsidRPr="0021268C">
        <w:rPr>
          <w:rFonts w:ascii="Book Antiqua" w:eastAsia="Book Antiqua" w:hAnsi="Book Antiqua" w:cs="Book Antiqua"/>
          <w:color w:val="000000"/>
        </w:rPr>
        <w:t>). Patients with extrahepatic malignancies that might affect survival (</w:t>
      </w:r>
      <w:r w:rsidRPr="0021268C">
        <w:rPr>
          <w:rFonts w:ascii="Book Antiqua" w:eastAsia="Book Antiqua" w:hAnsi="Book Antiqua" w:cs="Book Antiqua"/>
          <w:i/>
          <w:iCs/>
          <w:color w:val="000000"/>
        </w:rPr>
        <w:t>n</w:t>
      </w:r>
      <w:r w:rsidRPr="0021268C">
        <w:rPr>
          <w:rFonts w:ascii="Book Antiqua" w:eastAsia="Book Antiqua" w:hAnsi="Book Antiqua" w:cs="Book Antiqua"/>
          <w:color w:val="000000"/>
        </w:rPr>
        <w:t xml:space="preserve"> = 9) and those with combined hepatocellular cholangiocarcinoma (</w:t>
      </w:r>
      <w:r w:rsidRPr="0021268C">
        <w:rPr>
          <w:rFonts w:ascii="Book Antiqua" w:eastAsia="Book Antiqua" w:hAnsi="Book Antiqua" w:cs="Book Antiqua"/>
          <w:i/>
          <w:iCs/>
          <w:color w:val="000000"/>
        </w:rPr>
        <w:t>n</w:t>
      </w:r>
      <w:r w:rsidRPr="0021268C">
        <w:rPr>
          <w:rFonts w:ascii="Book Antiqua" w:eastAsia="Book Antiqua" w:hAnsi="Book Antiqua" w:cs="Book Antiqua"/>
          <w:color w:val="000000"/>
        </w:rPr>
        <w:t xml:space="preserve"> = 2) were excluded accordingly. The final HCC group hence, included 240 patients. HCC diagnosis was based on histologic examination and/or typical features (nodules ≥ 1 cm with arterial hypervascularity and portal or delayed washout) on dynamic computed tomography and/or magnetic resonance imaging</w:t>
      </w:r>
      <w:r w:rsidRPr="0021268C">
        <w:rPr>
          <w:rFonts w:ascii="Book Antiqua" w:hAnsi="Book Antiqua" w:cs="Book Antiqua" w:hint="eastAsia"/>
          <w:color w:val="000000"/>
          <w:vertAlign w:val="superscript"/>
          <w:lang w:eastAsia="zh-CN"/>
        </w:rPr>
        <w:t>[</w:t>
      </w:r>
      <w:hyperlink w:anchor="_ENREF_11" w:tooltip="Bruix, 2011 #14" w:history="1">
        <w:r w:rsidRPr="0021268C">
          <w:rPr>
            <w:rFonts w:ascii="Book Antiqua" w:eastAsia="Book Antiqua" w:hAnsi="Book Antiqua" w:cs="Book Antiqua"/>
            <w:color w:val="000000"/>
            <w:u w:val="single" w:color="0000EE"/>
            <w:vertAlign w:val="superscript"/>
          </w:rPr>
          <w:t>11</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Written informed consent was obtained from each HCC patient after approval by the Institutional Review Board (IRB) of the SNUBH. (IRB No. B-1201/143-002)</w:t>
      </w:r>
    </w:p>
    <w:p w14:paraId="4DEFD13C" w14:textId="77777777" w:rsidR="00B07060" w:rsidRPr="0021268C" w:rsidRDefault="00B07060">
      <w:pPr>
        <w:spacing w:line="360" w:lineRule="auto"/>
        <w:jc w:val="both"/>
        <w:rPr>
          <w:rFonts w:ascii="Book Antiqua" w:hAnsi="Book Antiqua"/>
          <w:lang w:eastAsia="zh-CN"/>
        </w:rPr>
      </w:pPr>
    </w:p>
    <w:p w14:paraId="043ADC3E"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Data collection and follow-up of patients with HCC</w:t>
      </w:r>
    </w:p>
    <w:p w14:paraId="611FEA2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Clinical and pathological data of the HCC group were collected from electronic medical records. Data included age, sex, height, weight, etiology of HCC, comorbidities, complete blood cell count, neutrophil-to-lymphocyte ratio (NLR), platelet-to-lymphocyte ratio (PLR), blood levels of alpha-fetoprotein (AFP), serum aspartate aminotransferase, alanine aminotransferase, albumin, total bilirubin, prothrombin time expressed as the international normalized ratio, creatinine, Child-Pugh score and class, model for end-stage liver disease (MELD) score, tumor size, tumor number, tumor </w:t>
      </w:r>
      <w:r w:rsidRPr="0021268C">
        <w:rPr>
          <w:rFonts w:ascii="Book Antiqua" w:eastAsia="Book Antiqua" w:hAnsi="Book Antiqua" w:cs="Book Antiqua"/>
          <w:color w:val="000000"/>
        </w:rPr>
        <w:lastRenderedPageBreak/>
        <w:t xml:space="preserve">distribution, presence of macrovascular invasion and/or distant metastasis, tumor-node metastasis </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TNM) stage based on the American Joint Committee on Cancer, 8</w:t>
      </w:r>
      <w:r w:rsidRPr="0021268C">
        <w:rPr>
          <w:rFonts w:ascii="Book Antiqua" w:eastAsia="Book Antiqua" w:hAnsi="Book Antiqua" w:cs="Book Antiqua"/>
          <w:color w:val="000000"/>
          <w:vertAlign w:val="superscript"/>
        </w:rPr>
        <w:t>th</w:t>
      </w:r>
      <w:r w:rsidRPr="0021268C">
        <w:rPr>
          <w:rFonts w:ascii="Book Antiqua" w:eastAsia="Book Antiqua" w:hAnsi="Book Antiqua" w:cs="Book Antiqua"/>
          <w:color w:val="000000"/>
        </w:rPr>
        <w:t xml:space="preserve"> edition</w:t>
      </w:r>
      <w:r w:rsidRPr="0021268C">
        <w:rPr>
          <w:rFonts w:ascii="Book Antiqua" w:hAnsi="Book Antiqua" w:cs="Book Antiqua" w:hint="eastAsia"/>
          <w:color w:val="000000"/>
          <w:vertAlign w:val="superscript"/>
          <w:lang w:eastAsia="zh-CN"/>
        </w:rPr>
        <w:t>[</w:t>
      </w:r>
      <w:hyperlink w:anchor="_ENREF_12" w:tooltip="Mahul B. Amin, 2017 #16" w:history="1">
        <w:r w:rsidRPr="0021268C">
          <w:rPr>
            <w:rFonts w:ascii="Book Antiqua" w:eastAsia="Book Antiqua" w:hAnsi="Book Antiqua" w:cs="Book Antiqua"/>
            <w:color w:val="000000"/>
            <w:u w:val="single" w:color="0000EE"/>
            <w:vertAlign w:val="superscript"/>
          </w:rPr>
          <w:t>12</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r w:rsidRPr="0021268C">
        <w:rPr>
          <w:rFonts w:ascii="Book Antiqua" w:eastAsia="Book Antiqua" w:hAnsi="Book Antiqua" w:cs="Book Antiqua"/>
          <w:color w:val="000000"/>
          <w:vertAlign w:val="superscript"/>
        </w:rPr>
        <w:t xml:space="preserve"> </w:t>
      </w:r>
      <w:r w:rsidRPr="0021268C">
        <w:rPr>
          <w:rFonts w:ascii="Book Antiqua" w:eastAsia="Book Antiqua" w:hAnsi="Book Antiqua" w:cs="Book Antiqua"/>
          <w:color w:val="000000"/>
        </w:rPr>
        <w:t xml:space="preserve">and Barcelona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 xml:space="preserve">linic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iver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ancer (BCLC) stage</w:t>
      </w:r>
      <w:r w:rsidRPr="0021268C">
        <w:rPr>
          <w:rFonts w:ascii="Book Antiqua" w:hAnsi="Book Antiqua" w:cs="Book Antiqua" w:hint="eastAsia"/>
          <w:color w:val="000000"/>
          <w:vertAlign w:val="superscript"/>
          <w:lang w:eastAsia="zh-CN"/>
        </w:rPr>
        <w:t>[</w:t>
      </w:r>
      <w:hyperlink w:anchor="_ENREF_2" w:tooltip=", 2018 #4" w:history="1">
        <w:r w:rsidRPr="0021268C">
          <w:rPr>
            <w:rFonts w:ascii="Book Antiqua" w:eastAsia="Book Antiqua" w:hAnsi="Book Antiqua" w:cs="Book Antiqua"/>
            <w:color w:val="000000"/>
            <w:u w:val="single" w:color="0000EE"/>
            <w:vertAlign w:val="superscript"/>
          </w:rPr>
          <w:t>2</w:t>
        </w:r>
      </w:hyperlink>
      <w:r w:rsidRPr="0021268C">
        <w:rPr>
          <w:rFonts w:ascii="Book Antiqua" w:eastAsia="Book Antiqua" w:hAnsi="Book Antiqua" w:cs="Book Antiqua"/>
          <w:color w:val="000000"/>
          <w:vertAlign w:val="superscript"/>
        </w:rPr>
        <w:t>,</w:t>
      </w:r>
      <w:hyperlink w:anchor="_ENREF_3" w:tooltip="Heimbach, 2018 #3" w:history="1">
        <w:r w:rsidRPr="0021268C">
          <w:rPr>
            <w:rFonts w:ascii="Book Antiqua" w:eastAsia="Book Antiqua" w:hAnsi="Book Antiqua" w:cs="Book Antiqua"/>
            <w:color w:val="000000"/>
            <w:u w:val="single" w:color="0000EE"/>
            <w:vertAlign w:val="superscript"/>
          </w:rPr>
          <w:t>3</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p>
    <w:p w14:paraId="2066936A" w14:textId="77777777" w:rsidR="00B07060" w:rsidRPr="0021268C" w:rsidRDefault="005635E1">
      <w:pPr>
        <w:spacing w:line="360" w:lineRule="auto"/>
        <w:ind w:firstLine="480"/>
        <w:jc w:val="both"/>
        <w:rPr>
          <w:rFonts w:ascii="Book Antiqua" w:hAnsi="Book Antiqua" w:cs="Book Antiqua"/>
          <w:color w:val="000000"/>
          <w:lang w:eastAsia="zh-CN"/>
        </w:rPr>
      </w:pPr>
      <w:r w:rsidRPr="0021268C">
        <w:rPr>
          <w:rFonts w:ascii="Book Antiqua" w:eastAsia="Book Antiqua" w:hAnsi="Book Antiqua" w:cs="Book Antiqua"/>
          <w:color w:val="000000"/>
        </w:rPr>
        <w:t xml:space="preserve">The primary outcome was OS, and the secondary outcome was the PFS. The index date was defined as the date when patients were diagnosed with HCC on their first liver protocol computed tomography or magnetic resonance imaging. The HCC patients were followed up until December 2019 for a median duration of 3.6 years. The mortality of each patient was confirmed by the requested data from Statistics Korea, and the cause of death was checked with the help of their medical records. PFS was estimated as the interval between the date of diagnosis and the date of progression confirmed on imaging study, death, or the end of follow-up. </w:t>
      </w:r>
    </w:p>
    <w:p w14:paraId="1A321AA8" w14:textId="77777777" w:rsidR="00B07060" w:rsidRPr="0021268C" w:rsidRDefault="00B07060">
      <w:pPr>
        <w:spacing w:line="360" w:lineRule="auto"/>
        <w:ind w:firstLine="480"/>
        <w:jc w:val="both"/>
        <w:rPr>
          <w:rFonts w:ascii="Book Antiqua" w:hAnsi="Book Antiqua"/>
          <w:lang w:eastAsia="zh-CN"/>
        </w:rPr>
      </w:pPr>
    </w:p>
    <w:p w14:paraId="0F356E02"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 xml:space="preserve">Measurement of plasma levels of Ang-1, Ang-2, and VEGF in HCC patients </w:t>
      </w:r>
    </w:p>
    <w:p w14:paraId="0FCA0770" w14:textId="77777777" w:rsidR="00B07060" w:rsidRPr="0021268C" w:rsidRDefault="005635E1">
      <w:pPr>
        <w:spacing w:line="360" w:lineRule="auto"/>
        <w:jc w:val="both"/>
        <w:rPr>
          <w:rFonts w:ascii="Book Antiqua" w:hAnsi="Book Antiqua" w:cs="Book Antiqua"/>
          <w:color w:val="000000"/>
          <w:lang w:eastAsia="zh-CN"/>
        </w:rPr>
      </w:pPr>
      <w:r w:rsidRPr="0021268C">
        <w:rPr>
          <w:rFonts w:ascii="Book Antiqua" w:eastAsia="Book Antiqua" w:hAnsi="Book Antiqua" w:cs="Book Antiqua"/>
          <w:color w:val="000000"/>
        </w:rPr>
        <w:t>Blood samples were collected from patients with HCC before treatment. The collected samples were centrifuged at 4000 × g for 10 min to obtain plasma and stored at −70</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°C until use. Plasma levels of Ang-1, Ang-2, and VEGF were measured using a commercial enzyme-linked immunoassay (Luminex</w:t>
      </w:r>
      <w:r w:rsidRPr="0021268C">
        <w:rPr>
          <w:rFonts w:ascii="Book Antiqua" w:eastAsia="Book Antiqua" w:hAnsi="Book Antiqua" w:cs="Book Antiqua"/>
          <w:color w:val="000000"/>
          <w:vertAlign w:val="superscript"/>
        </w:rPr>
        <w:t>®</w:t>
      </w:r>
      <w:r w:rsidRPr="0021268C">
        <w:rPr>
          <w:rFonts w:ascii="Book Antiqua" w:eastAsia="Book Antiqua" w:hAnsi="Book Antiqua" w:cs="Book Antiqua"/>
          <w:color w:val="000000"/>
        </w:rPr>
        <w:t xml:space="preserve"> screening and performance assays, R&amp;D systems, Minneapolis, MN, U</w:t>
      </w:r>
      <w:r w:rsidRPr="0021268C">
        <w:rPr>
          <w:rFonts w:ascii="Book Antiqua" w:hAnsi="Book Antiqua" w:cs="Book Antiqua" w:hint="eastAsia"/>
          <w:color w:val="000000"/>
          <w:lang w:eastAsia="zh-CN"/>
        </w:rPr>
        <w:t>nited States</w:t>
      </w:r>
      <w:r w:rsidRPr="0021268C">
        <w:rPr>
          <w:rFonts w:ascii="Book Antiqua" w:eastAsia="Book Antiqua" w:hAnsi="Book Antiqua" w:cs="Book Antiqua"/>
          <w:color w:val="000000"/>
        </w:rPr>
        <w:t>) according to the manufacturer’s instructions. All samples were analyzed at least twice.</w:t>
      </w:r>
    </w:p>
    <w:p w14:paraId="548C1CD1" w14:textId="77777777" w:rsidR="00B07060" w:rsidRPr="0021268C" w:rsidRDefault="00B07060">
      <w:pPr>
        <w:spacing w:line="360" w:lineRule="auto"/>
        <w:jc w:val="both"/>
        <w:rPr>
          <w:rFonts w:ascii="Book Antiqua" w:hAnsi="Book Antiqua"/>
          <w:lang w:eastAsia="zh-CN"/>
        </w:rPr>
      </w:pPr>
    </w:p>
    <w:p w14:paraId="1E3A628F"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Statistical analysis</w:t>
      </w:r>
    </w:p>
    <w:p w14:paraId="40E3B94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The baseline characteristics of the patients were compared using the chi-square test for categorical variables, and a </w:t>
      </w:r>
      <w:r w:rsidRPr="0021268C">
        <w:rPr>
          <w:rFonts w:ascii="Book Antiqua" w:eastAsia="Book Antiqua" w:hAnsi="Book Antiqua" w:cs="Book Antiqua"/>
          <w:i/>
          <w:iCs/>
          <w:color w:val="000000"/>
        </w:rPr>
        <w:t>t</w:t>
      </w:r>
      <w:r w:rsidRPr="0021268C">
        <w:rPr>
          <w:rFonts w:ascii="Book Antiqua" w:eastAsia="Book Antiqua" w:hAnsi="Book Antiqua" w:cs="Book Antiqua"/>
          <w:color w:val="000000"/>
        </w:rPr>
        <w:t xml:space="preserve">-test was used to compare continuous variables. Spearman rank correlation was used to calculate the correlation coefficient between the ranked variables. OS and PFS were estimated using the Kaplan–Meier method and compared using the log-rank test. The Cox proportional hazards model was employed to determine the hazard ratio (HR) of OS and PFS in the univariate and subsequent multivariate analyses. </w:t>
      </w:r>
    </w:p>
    <w:p w14:paraId="7B46BA04"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lastRenderedPageBreak/>
        <w:t xml:space="preserve">The prognostic values of the plasma biomarkers were determined by time-dependent receiver operating characteristic (ROC) curve analysis from censored survival data using the nearest-neighbor estimation method. All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-values were two-sided, and values &lt; 0.05, were considered significant. SPSS (version 21; SPSS, Inc., Chicago, IL, U</w:t>
      </w:r>
      <w:r w:rsidRPr="0021268C">
        <w:rPr>
          <w:rFonts w:ascii="Book Antiqua" w:hAnsi="Book Antiqua" w:cs="Book Antiqua" w:hint="eastAsia"/>
          <w:color w:val="000000"/>
          <w:lang w:eastAsia="zh-CN"/>
        </w:rPr>
        <w:t>nited States</w:t>
      </w:r>
      <w:r w:rsidRPr="0021268C">
        <w:rPr>
          <w:rFonts w:ascii="Book Antiqua" w:eastAsia="Book Antiqua" w:hAnsi="Book Antiqua" w:cs="Book Antiqua"/>
          <w:color w:val="000000"/>
        </w:rPr>
        <w:t xml:space="preserve">) and R (version 3.6.3., http://cran.r-project.org/) software was used for the statistical analyses. </w:t>
      </w:r>
    </w:p>
    <w:p w14:paraId="635B2FA0" w14:textId="77777777" w:rsidR="00B07060" w:rsidRPr="0021268C" w:rsidRDefault="005635E1">
      <w:pPr>
        <w:spacing w:line="360" w:lineRule="auto"/>
        <w:ind w:firstLineChars="200" w:firstLine="480"/>
        <w:jc w:val="both"/>
        <w:rPr>
          <w:rFonts w:ascii="Book Antiqua" w:hAnsi="Book Antiqua"/>
        </w:rPr>
      </w:pPr>
      <w:r w:rsidRPr="0021268C">
        <w:rPr>
          <w:rFonts w:ascii="Book Antiqua" w:eastAsia="Book Antiqua" w:hAnsi="Book Antiqua" w:cs="Book Antiqua"/>
          <w:color w:val="000000"/>
        </w:rPr>
        <w:t>To confirm the prognostic value of Ang-2 by reducing the impact of potential confounding effects, significant differences in baseline characteristics between the high and low Ang-2 groups were adjusted by propensity score (PS)</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matching. We used nearest-neighbor matching with a caliper size of 0.1, and matched the patients in a 1:1 ratio. </w:t>
      </w:r>
    </w:p>
    <w:p w14:paraId="3C3EF6D9" w14:textId="77777777" w:rsidR="00B07060" w:rsidRPr="0021268C" w:rsidRDefault="00B07060">
      <w:pPr>
        <w:spacing w:line="360" w:lineRule="auto"/>
        <w:jc w:val="both"/>
        <w:rPr>
          <w:rFonts w:ascii="Book Antiqua" w:hAnsi="Book Antiqua"/>
        </w:rPr>
      </w:pPr>
    </w:p>
    <w:p w14:paraId="5690C7FC"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RESULTS</w:t>
      </w:r>
    </w:p>
    <w:p w14:paraId="0B54F0A2"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Baseline characteristics and plasma levels of Ang-1, Ang-2, VEGF, and AFP in patients</w:t>
      </w:r>
      <w:r w:rsidRPr="0021268C">
        <w:rPr>
          <w:rFonts w:ascii="Book Antiqua" w:eastAsia="Book Antiqua" w:hAnsi="Book Antiqua" w:cs="Book Antiqua"/>
          <w:i/>
          <w:color w:val="000000"/>
        </w:rPr>
        <w:t xml:space="preserve"> </w:t>
      </w:r>
      <w:r w:rsidRPr="0021268C">
        <w:rPr>
          <w:rFonts w:ascii="Book Antiqua" w:eastAsia="Book Antiqua" w:hAnsi="Book Antiqua" w:cs="Book Antiqua"/>
          <w:b/>
          <w:bCs/>
          <w:i/>
          <w:color w:val="000000"/>
        </w:rPr>
        <w:t>with HCC</w:t>
      </w:r>
      <w:r w:rsidRPr="0021268C">
        <w:rPr>
          <w:rFonts w:ascii="Book Antiqua" w:eastAsia="Book Antiqua" w:hAnsi="Book Antiqua" w:cs="Book Antiqua"/>
          <w:i/>
          <w:color w:val="000000"/>
        </w:rPr>
        <w:t xml:space="preserve"> </w:t>
      </w:r>
    </w:p>
    <w:p w14:paraId="54A0216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Baseline characteristics of the subjects are presented in Table 1. The 240 HCC patients had a mean age of 60.9 years, and there was a male proportion of 80.4%. The etiologies of HCC were as follows: Hepatitis B </w:t>
      </w:r>
      <w:r w:rsidRPr="0021268C">
        <w:rPr>
          <w:rFonts w:ascii="Book Antiqua" w:eastAsia="Book Antiqua" w:hAnsi="Book Antiqua" w:cs="Book Antiqua" w:hint="eastAsia"/>
          <w:color w:val="000000"/>
        </w:rPr>
        <w:t>v</w:t>
      </w:r>
      <w:r w:rsidRPr="0021268C">
        <w:rPr>
          <w:rFonts w:ascii="Book Antiqua" w:eastAsia="Book Antiqua" w:hAnsi="Book Antiqua" w:cs="Book Antiqua"/>
          <w:color w:val="000000"/>
        </w:rPr>
        <w:t xml:space="preserve">irus </w:t>
      </w:r>
      <w:r w:rsidRPr="0021268C">
        <w:rPr>
          <w:rFonts w:ascii="Book Antiqua" w:eastAsia="Book Antiqua" w:hAnsi="Book Antiqua" w:cs="Book Antiqua" w:hint="eastAsia"/>
          <w:color w:val="000000"/>
        </w:rPr>
        <w:t>(</w:t>
      </w:r>
      <w:r w:rsidRPr="0021268C">
        <w:rPr>
          <w:rFonts w:ascii="Book Antiqua" w:eastAsia="Book Antiqua" w:hAnsi="Book Antiqua" w:cs="Book Antiqua"/>
          <w:color w:val="000000"/>
        </w:rPr>
        <w:t>HBV</w:t>
      </w:r>
      <w:r w:rsidRPr="0021268C">
        <w:rPr>
          <w:rFonts w:ascii="Book Antiqua" w:eastAsia="Book Antiqua" w:hAnsi="Book Antiqua" w:cs="Book Antiqua" w:hint="eastAsia"/>
          <w:color w:val="000000"/>
        </w:rPr>
        <w:t>)</w:t>
      </w:r>
      <w:r w:rsidRPr="0021268C">
        <w:rPr>
          <w:rFonts w:ascii="Book Antiqua" w:eastAsia="Book Antiqua" w:hAnsi="Book Antiqua" w:cs="Book Antiqua"/>
          <w:color w:val="000000"/>
        </w:rPr>
        <w:t xml:space="preserve"> (69.6%), </w:t>
      </w:r>
      <w:r w:rsidRPr="0021268C">
        <w:rPr>
          <w:rFonts w:ascii="Book Antiqua" w:hAnsi="Book Antiqua" w:cs="Book Antiqua" w:hint="eastAsia"/>
          <w:color w:val="000000"/>
          <w:lang w:eastAsia="zh-CN"/>
        </w:rPr>
        <w:t>h</w:t>
      </w:r>
      <w:r w:rsidRPr="0021268C">
        <w:rPr>
          <w:rFonts w:ascii="Book Antiqua" w:eastAsia="Book Antiqua" w:hAnsi="Book Antiqua" w:cs="Book Antiqua"/>
          <w:color w:val="000000"/>
        </w:rPr>
        <w:t xml:space="preserve">epatitis </w:t>
      </w:r>
      <w:r w:rsidRPr="0021268C">
        <w:rPr>
          <w:rFonts w:ascii="Book Antiqua" w:hAnsi="Book Antiqua" w:cs="Book Antiqua" w:hint="eastAsia"/>
          <w:color w:val="000000"/>
          <w:lang w:eastAsia="zh-CN"/>
        </w:rPr>
        <w:t>C</w:t>
      </w:r>
      <w:r w:rsidRPr="0021268C">
        <w:rPr>
          <w:rFonts w:ascii="Book Antiqua" w:eastAsia="Book Antiqua" w:hAnsi="Book Antiqua" w:cs="Book Antiqua"/>
          <w:color w:val="000000"/>
        </w:rPr>
        <w:t xml:space="preserve"> </w:t>
      </w:r>
      <w:r w:rsidRPr="0021268C">
        <w:rPr>
          <w:rFonts w:ascii="Book Antiqua" w:eastAsia="Book Antiqua" w:hAnsi="Book Antiqua" w:cs="Book Antiqua" w:hint="eastAsia"/>
          <w:color w:val="000000"/>
        </w:rPr>
        <w:t>v</w:t>
      </w:r>
      <w:r w:rsidRPr="0021268C">
        <w:rPr>
          <w:rFonts w:ascii="Book Antiqua" w:eastAsia="Book Antiqua" w:hAnsi="Book Antiqua" w:cs="Book Antiqua"/>
          <w:color w:val="000000"/>
        </w:rPr>
        <w:t>irus (10.0%), alcohol (11.7%), and others (7.9%). The HCC group included patients with Child-Pugh class B or C (14.9%), TNM stage I or II (65.5%), and BCLC stage 0 or A (55.5%) (Table 1). There were no missing values for the variables.</w:t>
      </w:r>
    </w:p>
    <w:p w14:paraId="1E2E9994" w14:textId="77777777" w:rsidR="00B07060" w:rsidRPr="0021268C" w:rsidRDefault="005635E1">
      <w:pPr>
        <w:spacing w:line="360" w:lineRule="auto"/>
        <w:ind w:firstLine="480"/>
        <w:jc w:val="both"/>
        <w:rPr>
          <w:rFonts w:ascii="Book Antiqua" w:hAnsi="Book Antiqua" w:cs="Book Antiqua"/>
          <w:color w:val="000000"/>
          <w:lang w:eastAsia="zh-CN"/>
        </w:rPr>
      </w:pPr>
      <w:r w:rsidRPr="0021268C">
        <w:rPr>
          <w:rFonts w:ascii="Book Antiqua" w:eastAsia="Book Antiqua" w:hAnsi="Book Antiqua" w:cs="Book Antiqua"/>
          <w:color w:val="000000"/>
        </w:rPr>
        <w:t xml:space="preserve">The median plasma levels of Ang-1, Ang-2, VEGF, and AFP were 3216 pg/mL, 1684 pg/mL, 26.5 pg/mL, and 17.9 ng/mL, respectively. All biomarkers showed an increasing trend as the BCLC stage progressed (Figure 1). However, only the median plasma level of Ang-2 showed a significant increase from the early stage HCC (BCLC A: 1289 pg/mL) to intermediate (BCLC B; 1808 pg/mL) and advanced stage HCC (BCLC C/D; 3653 pg/mL), whereas Ang-1, VEGF, and AFP levels did not show any changes. Ang-2 and AFP levels showed an increasing trend as the TNM stage progressed, while </w:t>
      </w:r>
      <w:r w:rsidRPr="0021268C">
        <w:rPr>
          <w:rFonts w:ascii="Book Antiqua" w:eastAsia="Book Antiqua" w:hAnsi="Book Antiqua" w:cs="Book Antiqua"/>
          <w:color w:val="000000"/>
        </w:rPr>
        <w:lastRenderedPageBreak/>
        <w:t>Ang-1 and VEGF levels did not (Supplementary Figure</w:t>
      </w:r>
      <w:r w:rsidRPr="0021268C">
        <w:rPr>
          <w:rFonts w:ascii="Book Antiqua" w:hAnsi="Book Antiqua" w:cs="Book Antiqua" w:hint="eastAsia"/>
          <w:color w:val="000000"/>
          <w:lang w:eastAsia="zh-CN"/>
        </w:rPr>
        <w:t xml:space="preserve"> 2</w:t>
      </w:r>
      <w:r w:rsidRPr="0021268C">
        <w:rPr>
          <w:rFonts w:ascii="Book Antiqua" w:eastAsia="Book Antiqua" w:hAnsi="Book Antiqua" w:cs="Book Antiqua"/>
          <w:color w:val="000000"/>
        </w:rPr>
        <w:t>). NLR and PLR showed an increasing trend as the BCLC stage progressed (Supplementary Figure</w:t>
      </w:r>
      <w:r w:rsidRPr="0021268C">
        <w:rPr>
          <w:rFonts w:ascii="Book Antiqua" w:hAnsi="Book Antiqua" w:cs="Book Antiqua" w:hint="eastAsia"/>
          <w:color w:val="000000"/>
          <w:lang w:eastAsia="zh-CN"/>
        </w:rPr>
        <w:t xml:space="preserve"> 3</w:t>
      </w:r>
      <w:r w:rsidRPr="0021268C">
        <w:rPr>
          <w:rFonts w:ascii="Book Antiqua" w:eastAsia="Book Antiqua" w:hAnsi="Book Antiqua" w:cs="Book Antiqua"/>
          <w:color w:val="000000"/>
        </w:rPr>
        <w:t>).</w:t>
      </w:r>
    </w:p>
    <w:p w14:paraId="7CC693D6" w14:textId="77777777" w:rsidR="00B07060" w:rsidRPr="0021268C" w:rsidRDefault="00B07060">
      <w:pPr>
        <w:spacing w:line="360" w:lineRule="auto"/>
        <w:ind w:firstLine="480"/>
        <w:jc w:val="both"/>
        <w:rPr>
          <w:rFonts w:ascii="Book Antiqua" w:hAnsi="Book Antiqua"/>
          <w:lang w:eastAsia="zh-CN"/>
        </w:rPr>
      </w:pPr>
    </w:p>
    <w:p w14:paraId="6922671C"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Factors correlated with plasma levels of Ang-1, Ang-2, and VEGF in HCC patients with their interrelationship</w:t>
      </w:r>
      <w:r w:rsidRPr="0021268C">
        <w:rPr>
          <w:rFonts w:ascii="Book Antiqua" w:eastAsia="Book Antiqua" w:hAnsi="Book Antiqua" w:cs="Book Antiqua"/>
          <w:i/>
          <w:color w:val="000000"/>
        </w:rPr>
        <w:t xml:space="preserve"> </w:t>
      </w:r>
    </w:p>
    <w:p w14:paraId="67DA8C7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The correlation plot between each plasma level of the three biomarkers and clinical factors is shown in Figure 2.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were significantly correlated with tumor extent and poor liver function, while VEGF levels were correlated with tumor extent. Meanwhile, the rho value between Ang-1 or VEGF levels and liver function or tumor extent was not significant. Ang-2 was significantly correlated with both NLR and PLR, while Ang-1 and VEGF were correlated with PLR only.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were not correlated with VEGF, but negatively correlated with Ang-1 levels. Meanwhile, Ang-1 was positively correlated with VEGF levels in the HCC group (Figure 2).</w:t>
      </w:r>
    </w:p>
    <w:p w14:paraId="464A9AC6"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The median plasma levels of Ang-2 and VEGF did not differ according to the etiology of HCC (Supplementary Figure </w:t>
      </w:r>
      <w:r w:rsidRPr="0021268C">
        <w:rPr>
          <w:rFonts w:ascii="Book Antiqua" w:hAnsi="Book Antiqua" w:cs="Book Antiqua" w:hint="eastAsia"/>
          <w:color w:val="000000"/>
          <w:lang w:eastAsia="zh-CN"/>
        </w:rPr>
        <w:t>4</w:t>
      </w:r>
      <w:r w:rsidRPr="0021268C">
        <w:rPr>
          <w:rFonts w:ascii="Book Antiqua" w:eastAsia="Book Antiqua" w:hAnsi="Book Antiqua" w:cs="Book Antiqua"/>
          <w:color w:val="000000"/>
        </w:rPr>
        <w:t xml:space="preserve">A and B). The correlation plot between each plasma level of the biomarkers and etiology is shown in Supplementary Figure </w:t>
      </w:r>
      <w:r w:rsidRPr="0021268C">
        <w:rPr>
          <w:rFonts w:ascii="Book Antiqua" w:hAnsi="Book Antiqua" w:cs="Book Antiqua" w:hint="eastAsia"/>
          <w:color w:val="000000"/>
          <w:lang w:eastAsia="zh-CN"/>
        </w:rPr>
        <w:t>4</w:t>
      </w:r>
      <w:r w:rsidRPr="0021268C">
        <w:rPr>
          <w:rFonts w:ascii="Book Antiqua" w:eastAsia="Book Antiqua" w:hAnsi="Book Antiqua" w:cs="Book Antiqua"/>
          <w:color w:val="000000"/>
        </w:rPr>
        <w:t>C and D among CHB patients (</w:t>
      </w:r>
      <w:r w:rsidRPr="0021268C">
        <w:rPr>
          <w:rFonts w:ascii="Book Antiqua" w:eastAsia="Book Antiqua" w:hAnsi="Book Antiqua" w:cs="Book Antiqua"/>
          <w:i/>
          <w:iCs/>
          <w:color w:val="000000"/>
        </w:rPr>
        <w:t>n</w:t>
      </w:r>
      <w:r w:rsidRPr="0021268C">
        <w:rPr>
          <w:rFonts w:ascii="Book Antiqua" w:eastAsia="Book Antiqua" w:hAnsi="Book Antiqua" w:cs="Book Antiqua"/>
          <w:color w:val="000000"/>
        </w:rPr>
        <w:t xml:space="preserve"> = 156). HBV DNA levels were not significantly correlated with either Ang-2 or VEGF levels. </w:t>
      </w:r>
    </w:p>
    <w:p w14:paraId="372081F6"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The comparison of the clinical factors between high- and low-level groups of Ang-2 or VEGF using the median level as a cutoff is shown in Supplementary Table</w:t>
      </w:r>
      <w:r w:rsidRPr="0021268C">
        <w:rPr>
          <w:rFonts w:ascii="Book Antiqua" w:hAnsi="Book Antiqua" w:cs="Book Antiqua" w:hint="eastAsia"/>
          <w:color w:val="000000"/>
          <w:lang w:eastAsia="zh-CN"/>
        </w:rPr>
        <w:t xml:space="preserve"> 1</w:t>
      </w:r>
      <w:r w:rsidRPr="0021268C">
        <w:rPr>
          <w:rFonts w:ascii="Book Antiqua" w:eastAsia="Book Antiqua" w:hAnsi="Book Antiqua" w:cs="Book Antiqua"/>
          <w:color w:val="000000"/>
        </w:rPr>
        <w:t xml:space="preserve">. The high Ang-2 and high VEGF groups showed more advanced tumor stages than the low Ang-2 and low VEGF groups. The high Ang-2 group had a significantly higher proportion of Child-Pugh class B or C than the low Ang-2 group (26.1% </w:t>
      </w:r>
      <w:r w:rsidRPr="0021268C">
        <w:rPr>
          <w:rFonts w:ascii="Book Antiqua" w:eastAsia="Book Antiqua" w:hAnsi="Book Antiqua" w:cs="Book Antiqua"/>
          <w:i/>
          <w:color w:val="000000"/>
        </w:rPr>
        <w:t>vs</w:t>
      </w:r>
      <w:r w:rsidRPr="0021268C">
        <w:rPr>
          <w:rFonts w:ascii="Book Antiqua" w:eastAsia="Book Antiqua" w:hAnsi="Book Antiqua" w:cs="Book Antiqua"/>
          <w:color w:val="000000"/>
        </w:rPr>
        <w:t xml:space="preserve"> 4.1%, </w:t>
      </w:r>
      <w:r w:rsidRPr="0021268C">
        <w:rPr>
          <w:rFonts w:ascii="Book Antiqua" w:hAnsi="Book Antiqua" w:cs="Book Antiqua" w:hint="eastAsia"/>
          <w:i/>
          <w:color w:val="000000"/>
          <w:lang w:eastAsia="zh-CN"/>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0.001). On the contrary, the high VEGF group showed a significantly lower MELD score than the low VEGF group (3.8 </w:t>
      </w:r>
      <w:r w:rsidRPr="0021268C">
        <w:rPr>
          <w:rFonts w:ascii="Book Antiqua" w:eastAsia="Book Antiqua" w:hAnsi="Book Antiqua" w:cs="Book Antiqua"/>
          <w:i/>
          <w:color w:val="000000"/>
        </w:rPr>
        <w:t>vs</w:t>
      </w:r>
      <w:r w:rsidRPr="0021268C">
        <w:rPr>
          <w:rFonts w:ascii="Book Antiqua" w:eastAsia="Book Antiqua" w:hAnsi="Book Antiqua" w:cs="Book Antiqua"/>
          <w:color w:val="000000"/>
        </w:rPr>
        <w:t xml:space="preserve"> 5.6%,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0.01). The NLR and PLR of the high Ang-2 group were significantly higher than those of the low Ang-2 group (3.5 </w:t>
      </w:r>
      <w:r w:rsidRPr="0021268C">
        <w:rPr>
          <w:rFonts w:ascii="Book Antiqua" w:eastAsia="Book Antiqua" w:hAnsi="Book Antiqua" w:cs="Book Antiqua"/>
          <w:i/>
          <w:color w:val="000000"/>
        </w:rPr>
        <w:t>vs</w:t>
      </w:r>
      <w:r w:rsidRPr="0021268C">
        <w:rPr>
          <w:rFonts w:ascii="Book Antiqua" w:eastAsia="Book Antiqua" w:hAnsi="Book Antiqua" w:cs="Book Antiqua"/>
          <w:color w:val="000000"/>
        </w:rPr>
        <w:t xml:space="preserve"> 2.2%,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0.007; 138.3 98.5.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0.01). However, there was no difference in the NLR and PLR between the high and low VEGF groups.</w:t>
      </w:r>
    </w:p>
    <w:p w14:paraId="752680A6"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lastRenderedPageBreak/>
        <w:t>Potential of the plasma levels of Ang-1, Ang-2, or VEGF as prognostic markers for HCC compared to AFP level in the aspect of OS</w:t>
      </w:r>
    </w:p>
    <w:p w14:paraId="612248A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During a median follow-up of 3.6 years, 118 deaths were observed in the HCC group. The OS curves between the low and high levels of Ang-1, Ang-2, VEGF, and AFP using the median level as a cutoff are shown in Figure 3. The OS was significantly shorter in the high Ang-2 group </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HR 4.76, 95%</w:t>
      </w:r>
      <w:r w:rsidRPr="0021268C">
        <w:rPr>
          <w:rFonts w:ascii="Book Antiqua" w:hAnsi="Book Antiqua"/>
          <w:lang w:eastAsia="zh-CN"/>
        </w:rPr>
        <w:t xml:space="preserve"> </w:t>
      </w:r>
      <w:r w:rsidRPr="0021268C">
        <w:rPr>
          <w:rFonts w:ascii="Book Antiqua" w:hAnsi="Book Antiqua" w:hint="eastAsia"/>
          <w:lang w:eastAsia="zh-CN"/>
        </w:rPr>
        <w:t>c</w:t>
      </w:r>
      <w:r w:rsidRPr="0021268C">
        <w:rPr>
          <w:rFonts w:ascii="Book Antiqua" w:hAnsi="Book Antiqua"/>
        </w:rPr>
        <w:t>onfidence interval</w:t>
      </w:r>
      <w:r w:rsidRPr="0021268C">
        <w:rPr>
          <w:rFonts w:ascii="Book Antiqua" w:eastAsia="Book Antiqua" w:hAnsi="Book Antiqua" w:cs="Book Antiqua"/>
          <w:color w:val="000000"/>
        </w:rPr>
        <w:t xml:space="preserve"> </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3.15–7.19, </w:t>
      </w:r>
      <w:r w:rsidRPr="0021268C">
        <w:rPr>
          <w:rFonts w:ascii="Book Antiqua" w:hAnsi="Book Antiqua" w:cs="Book Antiqua" w:hint="eastAsia"/>
          <w:i/>
          <w:color w:val="000000"/>
          <w:lang w:eastAsia="zh-CN"/>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Figure 3B</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and high AFP group (≥20 ng/mL) (HR 2.97,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2.02–4.37, </w:t>
      </w:r>
      <w:r w:rsidRPr="0021268C">
        <w:rPr>
          <w:rFonts w:ascii="Book Antiqua" w:hAnsi="Book Antiqua" w:cs="Book Antiqua" w:hint="eastAsia"/>
          <w:i/>
          <w:color w:val="000000"/>
          <w:lang w:eastAsia="zh-CN"/>
        </w:rPr>
        <w:t>P</w:t>
      </w:r>
      <w:r w:rsidRPr="0021268C">
        <w:rPr>
          <w:rFonts w:ascii="Book Antiqua" w:eastAsia="Book Antiqua" w:hAnsi="Book Antiqua" w:cs="Book Antiqua"/>
          <w:color w:val="000000"/>
        </w:rPr>
        <w:t xml:space="preserve"> &lt;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Figure 3D) than in the low Ang-2 and low AFP groups, respectively. However, the OS rate was not significantly different between the high and low Ang-1 groups (HR 1.02,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0.71</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1.56,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0.82; Figure 3A) and between the high and low VEGF groups (HR 1.39,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0.97–2.00,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0.07; Figure 3C). </w:t>
      </w:r>
    </w:p>
    <w:p w14:paraId="7B4B1618"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The results of the univariate and multivariate analyses for the factors associated with OS are shown in Table 2. The high Ang-2 group was an independent factor (HR 5.96,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1.58–22.43, </w:t>
      </w:r>
      <w:r w:rsidRPr="0021268C">
        <w:rPr>
          <w:rFonts w:ascii="Book Antiqua" w:hAnsi="Book Antiqua" w:cs="Book Antiqua" w:hint="eastAsia"/>
          <w:i/>
          <w:color w:val="000000"/>
          <w:lang w:eastAsia="zh-CN"/>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associated with OS, along with NLR (HR 4.45,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1.77–11.23,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0.002), Child-Pugh class B or C, and TNM stage. Meanwhile, VEGF and AFP levels were not associated with OS (Table 2).</w:t>
      </w:r>
    </w:p>
    <w:p w14:paraId="0A9BA396"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To analyze the survival prediction power of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time-dependent area under the </w:t>
      </w:r>
      <w:r w:rsidRPr="0021268C">
        <w:rPr>
          <w:rFonts w:ascii="Book Antiqua" w:hAnsi="Book Antiqua" w:cs="Book Antiqua" w:hint="eastAsia"/>
          <w:color w:val="000000"/>
          <w:lang w:eastAsia="zh-CN"/>
        </w:rPr>
        <w:t>ROC</w:t>
      </w:r>
      <w:r w:rsidRPr="0021268C">
        <w:rPr>
          <w:rFonts w:ascii="Book Antiqua" w:eastAsia="Book Antiqua" w:hAnsi="Book Antiqua" w:cs="Book Antiqua"/>
          <w:color w:val="000000"/>
        </w:rPr>
        <w:t xml:space="preserve"> (AUROC) analysis for survival prediction showed that the AUROC of baseline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(0.909) for the 1-year survival prediction was significantly higher than that of AFP (AUROC 0.817,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0.03), Ang-1 (AUROC 0.535, </w:t>
      </w:r>
      <w:r w:rsidRPr="0021268C">
        <w:rPr>
          <w:rFonts w:ascii="Book Antiqua" w:eastAsia="Book Antiqua" w:hAnsi="Book Antiqua" w:cs="Book Antiqua"/>
          <w:i/>
          <w:iCs/>
          <w:color w:val="000000"/>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and VEGF (AUROC 0.577,</w:t>
      </w:r>
      <w:r w:rsidRPr="0021268C">
        <w:rPr>
          <w:rFonts w:ascii="Book Antiqua" w:eastAsia="Book Antiqua" w:hAnsi="Book Antiqua" w:cs="Book Antiqua"/>
          <w:i/>
          <w:iCs/>
          <w:color w:val="000000"/>
        </w:rPr>
        <w:t xml:space="preserve"> 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0.001; Figure 4). The AUROC of Ang-2 (0.873) for the two-year survival prediction was also significantly higher than that of AFP (AUROC 0.767,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0.01), Ang-1 (AUROC 0.541, </w:t>
      </w:r>
      <w:r w:rsidRPr="0021268C">
        <w:rPr>
          <w:rFonts w:ascii="Book Antiqua" w:eastAsia="Book Antiqua" w:hAnsi="Book Antiqua" w:cs="Book Antiqua"/>
          <w:i/>
          <w:iCs/>
          <w:color w:val="000000"/>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0.001), and VEGF (AUROC 0.581,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 xml:space="preserve">0.001). Moreover, baseline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showed better survival predictive power than the other plasma biomarkers throughout the 5 years (Figure 4).</w:t>
      </w:r>
    </w:p>
    <w:p w14:paraId="0FDF778E" w14:textId="77777777" w:rsidR="00B07060" w:rsidRPr="0021268C" w:rsidRDefault="005635E1">
      <w:pPr>
        <w:spacing w:line="360" w:lineRule="auto"/>
        <w:ind w:firstLine="480"/>
        <w:jc w:val="both"/>
        <w:rPr>
          <w:rFonts w:ascii="Book Antiqua" w:hAnsi="Book Antiqua" w:cs="Book Antiqua"/>
          <w:color w:val="000000"/>
          <w:lang w:eastAsia="zh-CN"/>
        </w:rPr>
      </w:pPr>
      <w:r w:rsidRPr="0021268C">
        <w:rPr>
          <w:rFonts w:ascii="Book Antiqua" w:eastAsia="Book Antiqua" w:hAnsi="Book Antiqua" w:cs="Book Antiqua"/>
          <w:color w:val="000000"/>
        </w:rPr>
        <w:t>PS-matching yielded 37 matched pairs of patients from the high Ang-2 and low Ang-2 groups (Supplementary Table</w:t>
      </w:r>
      <w:r w:rsidRPr="0021268C">
        <w:rPr>
          <w:rFonts w:ascii="Book Antiqua" w:hAnsi="Book Antiqua" w:cs="Book Antiqua" w:hint="eastAsia"/>
          <w:color w:val="000000"/>
          <w:lang w:eastAsia="zh-CN"/>
        </w:rPr>
        <w:t xml:space="preserve"> 2</w:t>
      </w:r>
      <w:r w:rsidRPr="0021268C">
        <w:rPr>
          <w:rFonts w:ascii="Book Antiqua" w:eastAsia="Book Antiqua" w:hAnsi="Book Antiqua" w:cs="Book Antiqua"/>
          <w:color w:val="000000"/>
        </w:rPr>
        <w:t xml:space="preserve">). Within this matched cohort, there were no significant between-group differences in most baseline characteristics, except for the proportion of male patients (75.8% </w:t>
      </w:r>
      <w:r w:rsidRPr="0021268C">
        <w:rPr>
          <w:rFonts w:ascii="Book Antiqua" w:eastAsia="Book Antiqua" w:hAnsi="Book Antiqua" w:cs="Book Antiqua"/>
          <w:i/>
          <w:color w:val="000000"/>
        </w:rPr>
        <w:t>vs</w:t>
      </w:r>
      <w:r w:rsidRPr="0021268C">
        <w:rPr>
          <w:rFonts w:ascii="Book Antiqua" w:eastAsia="Book Antiqua" w:hAnsi="Book Antiqua" w:cs="Book Antiqua"/>
          <w:color w:val="000000"/>
        </w:rPr>
        <w:t xml:space="preserve"> 83.8%). The high Ang-2 group showed a </w:t>
      </w:r>
      <w:r w:rsidRPr="0021268C">
        <w:rPr>
          <w:rFonts w:ascii="Book Antiqua" w:eastAsia="Book Antiqua" w:hAnsi="Book Antiqua" w:cs="Book Antiqua"/>
          <w:color w:val="000000"/>
        </w:rPr>
        <w:lastRenderedPageBreak/>
        <w:t>significantly higher risk of death (HR 2.29</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1.10–4.76</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0.03) than the low Ang-2 group (Supplementary Figure </w:t>
      </w:r>
      <w:r w:rsidRPr="0021268C">
        <w:rPr>
          <w:rFonts w:ascii="Book Antiqua" w:hAnsi="Book Antiqua" w:cs="Book Antiqua" w:hint="eastAsia"/>
          <w:color w:val="000000"/>
          <w:lang w:eastAsia="zh-CN"/>
        </w:rPr>
        <w:t>5</w:t>
      </w:r>
      <w:r w:rsidRPr="0021268C">
        <w:rPr>
          <w:rFonts w:ascii="Book Antiqua" w:eastAsia="Book Antiqua" w:hAnsi="Book Antiqua" w:cs="Book Antiqua"/>
          <w:color w:val="000000"/>
        </w:rPr>
        <w:t>A).</w:t>
      </w:r>
    </w:p>
    <w:p w14:paraId="0AFA2FB2" w14:textId="77777777" w:rsidR="00B07060" w:rsidRPr="0021268C" w:rsidRDefault="00B07060">
      <w:pPr>
        <w:spacing w:line="360" w:lineRule="auto"/>
        <w:jc w:val="both"/>
        <w:rPr>
          <w:rFonts w:ascii="Book Antiqua" w:hAnsi="Book Antiqua"/>
          <w:lang w:eastAsia="zh-CN"/>
        </w:rPr>
      </w:pPr>
    </w:p>
    <w:p w14:paraId="3B04807A" w14:textId="77777777" w:rsidR="00B07060" w:rsidRPr="0021268C" w:rsidRDefault="005635E1">
      <w:pPr>
        <w:spacing w:line="360" w:lineRule="auto"/>
        <w:jc w:val="both"/>
        <w:rPr>
          <w:rFonts w:ascii="Book Antiqua" w:hAnsi="Book Antiqua"/>
          <w:i/>
        </w:rPr>
      </w:pPr>
      <w:r w:rsidRPr="0021268C">
        <w:rPr>
          <w:rFonts w:ascii="Book Antiqua" w:eastAsia="Book Antiqua" w:hAnsi="Book Antiqua" w:cs="Book Antiqua"/>
          <w:b/>
          <w:bCs/>
          <w:i/>
          <w:color w:val="000000"/>
        </w:rPr>
        <w:t>Potential of the plasma levels of Ang-1, Ang-2, or VEGF as prognostic markers for HCC compared to AFP level in terms of PFS</w:t>
      </w:r>
    </w:p>
    <w:p w14:paraId="36C1A6B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During the median follow-up period, 171 progressions and 18 deaths were observed in the HCC group. The PFS curve between low and high levels of Ang-1, Ang-2, VEGF, and AFP using the median level as a cutoff are shown in Figure 5. The PFS was significantly shorter in the high Ang-2 group (HR 2.53,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1.89–3.39,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Figure 5B) and high AFP group (≥</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20 ng/mL) (HR 2.27,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1.71–3.04, </w:t>
      </w:r>
      <w:r w:rsidRPr="0021268C">
        <w:rPr>
          <w:rFonts w:ascii="Book Antiqua" w:eastAsia="Book Antiqua" w:hAnsi="Book Antiqua" w:cs="Book Antiqua"/>
          <w:i/>
          <w:iCs/>
          <w:color w:val="000000"/>
        </w:rPr>
        <w:t>P</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&lt;</w:t>
      </w:r>
      <w:r w:rsidRPr="0021268C">
        <w:rPr>
          <w:rFonts w:ascii="Book Antiqua" w:hAnsi="Book Antiqua" w:cs="Book Antiqua" w:hint="eastAsia"/>
          <w:color w:val="000000"/>
          <w:lang w:eastAsia="zh-CN"/>
        </w:rPr>
        <w:t xml:space="preserve"> </w:t>
      </w:r>
      <w:r w:rsidRPr="0021268C">
        <w:rPr>
          <w:rFonts w:ascii="Book Antiqua" w:eastAsia="Book Antiqua" w:hAnsi="Book Antiqua" w:cs="Book Antiqua"/>
          <w:color w:val="000000"/>
        </w:rPr>
        <w:t>0.001; Figure 5D) than in the low Ang-2 and low AFP groups, respectively. However, the PFS rate was not significantly different between the high and low Ang-1 groups (HR 1.31,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0.99–1.74</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0.06; Figure 5A) or between the high and low VEGF groups (HR 1.29,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0.97–1.71,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0.08; Figure 5C). </w:t>
      </w:r>
    </w:p>
    <w:p w14:paraId="3E2628AE"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The results of univariate and multivariate analyses for the factors associated with PFS are shown in Table 3. The high Ang-2 group was an independent factor (HR 1.55,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1.10–2.20;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0.01) associated with PFS, along with NLR (HR 1.95,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1.23–3.08,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0.004), AFP (HR 1.54,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1.13–2.11,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0.007), Child-Pugh class B or C, BMI, and TNM stage. However, VEGF and PLR were not (Table 3). </w:t>
      </w:r>
    </w:p>
    <w:p w14:paraId="58F35F65" w14:textId="77777777" w:rsidR="00B07060" w:rsidRPr="0021268C" w:rsidRDefault="005635E1">
      <w:pPr>
        <w:spacing w:line="360" w:lineRule="auto"/>
        <w:ind w:firstLineChars="200" w:firstLine="480"/>
        <w:jc w:val="both"/>
        <w:rPr>
          <w:rFonts w:ascii="Book Antiqua" w:hAnsi="Book Antiqua"/>
        </w:rPr>
      </w:pPr>
      <w:r w:rsidRPr="0021268C">
        <w:rPr>
          <w:rFonts w:ascii="Book Antiqua" w:eastAsia="Book Antiqua" w:hAnsi="Book Antiqua" w:cs="Book Antiqua"/>
          <w:color w:val="000000"/>
        </w:rPr>
        <w:t>Within 37 pairs of PS-matched cohorts, PFS was not significantly different between the high and low Ang-2 groups (HR 1.19, 95%CI</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0.72–1.96</w:t>
      </w:r>
      <w:r w:rsidRPr="0021268C">
        <w:rPr>
          <w:rFonts w:ascii="Book Antiqua" w:hAnsi="Book Antiqua" w:cs="Book Antiqua" w:hint="eastAsia"/>
          <w:color w:val="000000"/>
          <w:lang w:eastAsia="zh-CN"/>
        </w:rPr>
        <w:t>,</w:t>
      </w:r>
      <w:r w:rsidRPr="0021268C">
        <w:rPr>
          <w:rFonts w:ascii="Book Antiqua" w:eastAsia="Book Antiqua" w:hAnsi="Book Antiqua" w:cs="Book Antiqua"/>
          <w:color w:val="000000"/>
        </w:rPr>
        <w:t xml:space="preserve"> </w:t>
      </w:r>
      <w:r w:rsidRPr="0021268C">
        <w:rPr>
          <w:rFonts w:ascii="Book Antiqua" w:eastAsia="Book Antiqua" w:hAnsi="Book Antiqua" w:cs="Book Antiqua"/>
          <w:i/>
          <w:iCs/>
          <w:color w:val="000000"/>
        </w:rPr>
        <w:t>P</w:t>
      </w:r>
      <w:r w:rsidRPr="0021268C">
        <w:rPr>
          <w:rFonts w:ascii="Book Antiqua" w:eastAsia="Book Antiqua" w:hAnsi="Book Antiqua" w:cs="Book Antiqua"/>
          <w:color w:val="000000"/>
        </w:rPr>
        <w:t xml:space="preserve"> = 0.51; Supplementary Figure </w:t>
      </w:r>
      <w:r w:rsidRPr="0021268C">
        <w:rPr>
          <w:rFonts w:ascii="Book Antiqua" w:hAnsi="Book Antiqua" w:cs="Book Antiqua" w:hint="eastAsia"/>
          <w:color w:val="000000"/>
          <w:lang w:eastAsia="zh-CN"/>
        </w:rPr>
        <w:t>5</w:t>
      </w:r>
      <w:r w:rsidRPr="0021268C">
        <w:rPr>
          <w:rFonts w:ascii="Book Antiqua" w:eastAsia="Book Antiqua" w:hAnsi="Book Antiqua" w:cs="Book Antiqua"/>
          <w:color w:val="000000"/>
        </w:rPr>
        <w:t xml:space="preserve">B). This is probably due to the small sample size of PFS during follow-up. </w:t>
      </w:r>
    </w:p>
    <w:p w14:paraId="0B9F8AC6" w14:textId="77777777" w:rsidR="00B07060" w:rsidRPr="0021268C" w:rsidRDefault="00B07060">
      <w:pPr>
        <w:spacing w:line="360" w:lineRule="auto"/>
        <w:jc w:val="both"/>
        <w:rPr>
          <w:rFonts w:ascii="Book Antiqua" w:hAnsi="Book Antiqua"/>
        </w:rPr>
      </w:pPr>
    </w:p>
    <w:p w14:paraId="029B82A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DISCUSSION</w:t>
      </w:r>
    </w:p>
    <w:p w14:paraId="22F1224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This study explored the potential of each plasma level of Ang-1, Ang-2, and VEGF as a prognostic biomarker for very early to advanced stages of HCC </w:t>
      </w:r>
      <w:r w:rsidRPr="0021268C">
        <w:rPr>
          <w:rFonts w:ascii="Book Antiqua" w:eastAsia="Book Antiqua" w:hAnsi="Book Antiqua" w:cs="Book Antiqua"/>
          <w:i/>
          <w:iCs/>
          <w:color w:val="000000"/>
        </w:rPr>
        <w:t>via</w:t>
      </w:r>
      <w:r w:rsidRPr="0021268C">
        <w:rPr>
          <w:rFonts w:ascii="Book Antiqua" w:eastAsia="Book Antiqua" w:hAnsi="Book Antiqua" w:cs="Book Antiqua"/>
          <w:color w:val="000000"/>
        </w:rPr>
        <w:t xml:space="preserve"> detailed analysis in comparison with AFP. Multivariable and PS-matched analyses revealed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with the highest predictive power for OS in patients with HCC. Moreover, Ang-2 and AFP levels were independent factors for PFS. In contrast, neither Ang-1 nor VEGF was </w:t>
      </w:r>
      <w:r w:rsidRPr="0021268C">
        <w:rPr>
          <w:rFonts w:ascii="Book Antiqua" w:eastAsia="Book Antiqua" w:hAnsi="Book Antiqua" w:cs="Book Antiqua"/>
          <w:color w:val="000000"/>
        </w:rPr>
        <w:lastRenderedPageBreak/>
        <w:t>significantly associated with OS or PFS. NLR was an independent factor for both OS and PFS.</w:t>
      </w:r>
    </w:p>
    <w:p w14:paraId="17BBF7AD"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In this study, the median levels of Ang-1, Ang-2, and VEGF were lower than those in previous reports that included only patients with advanced-stage HCC, mostly treated with sorafenib. This may be due to the relatively low proportion of advanced-stage HCC cases included in this study (27%).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were higher in patients with advanced HCC than in those with early HCC. Moreover, the majority of our patients underwent locoregional therapy (radiofrequency ablation, 11.3%; TACE, 69.2%). Ang-2 Levels showed a positive correlation with liver function indicators, such as MELD score and Child-Pugh score, and tumor extent or aggressiveness, which are the two major axes of HCC prognosis. Similarly, a recent study reported that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were associated with 90-d mortality, acute kidney injury stage, and risk of renal replacement therapy in a cohort of patients with decompensated cirrhosis</w:t>
      </w:r>
      <w:r w:rsidRPr="0021268C">
        <w:rPr>
          <w:rFonts w:ascii="Book Antiqua" w:hAnsi="Book Antiqua" w:cs="Book Antiqua" w:hint="eastAsia"/>
          <w:color w:val="000000"/>
          <w:vertAlign w:val="superscript"/>
          <w:lang w:eastAsia="zh-CN"/>
        </w:rPr>
        <w:t>[</w:t>
      </w:r>
      <w:hyperlink w:anchor="_ENREF_13" w:tooltip="Allegretti, 2019 #18" w:history="1">
        <w:r w:rsidRPr="0021268C">
          <w:rPr>
            <w:rFonts w:ascii="Book Antiqua" w:eastAsia="Book Antiqua" w:hAnsi="Book Antiqua" w:cs="Book Antiqua"/>
            <w:color w:val="000000"/>
            <w:u w:val="single" w:color="0000EE"/>
            <w:vertAlign w:val="superscript"/>
          </w:rPr>
          <w:t>13</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Meanwhile, Ang-1 and VEGF levels were generally associated with tumor extent rather than liver function. Therefore, this study suggests that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evels are better prognostic biomarkers for HCC than Ang-1 or VEGF levels, especially after locoregional treatment. </w:t>
      </w:r>
    </w:p>
    <w:p w14:paraId="21196D15"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The potential of Ang-2 as a prognostic marker was confirmed by survival analysis. Our multivariable analysis showed that the plasma level of Ang-2 (median 1684 pg/mL), but not of VEGF (median 26.5 pg/mL), was an independent predictor of OS. In addition, time-dependent ROC curve analysis also demonstrated that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 is a better predictor of OS than AFP, Ang-1, and VEGF levels, which was supported by PS-matched analysis. </w:t>
      </w:r>
    </w:p>
    <w:p w14:paraId="677A922C"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Several studies have investigated the prognostic role of Ang-2 in patients with advanced HCC. In 2013, Miyahara </w:t>
      </w:r>
      <w:r w:rsidRPr="0021268C">
        <w:rPr>
          <w:rFonts w:ascii="Book Antiqua" w:eastAsia="Book Antiqua" w:hAnsi="Book Antiqua" w:cs="Book Antiqua"/>
          <w:i/>
          <w:iCs/>
          <w:color w:val="000000"/>
        </w:rPr>
        <w:t>et al</w:t>
      </w:r>
      <w:r w:rsidRPr="0021268C">
        <w:rPr>
          <w:rFonts w:ascii="Book Antiqua" w:hAnsi="Book Antiqua" w:cs="Book Antiqua" w:hint="eastAsia"/>
          <w:color w:val="000000"/>
          <w:vertAlign w:val="superscript"/>
          <w:lang w:eastAsia="zh-CN"/>
        </w:rPr>
        <w:t>[</w:t>
      </w:r>
      <w:hyperlink w:anchor="_ENREF_14" w:tooltip="Miyahara, 2013 #12" w:history="1">
        <w:r w:rsidRPr="0021268C">
          <w:rPr>
            <w:rFonts w:ascii="Book Antiqua" w:eastAsia="Book Antiqua" w:hAnsi="Book Antiqua" w:cs="Book Antiqua"/>
            <w:color w:val="000000"/>
            <w:u w:val="single" w:color="0000EE"/>
            <w:vertAlign w:val="superscript"/>
          </w:rPr>
          <w:t>14</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investigated eight cytokine levels in 120 patients with advanced HCC who were treated with sorafenib. The results showed that the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 (median, 721.3 pg/mL) was associated with OS and PFS, but VEGF (median 68.6 pg/mL) was not</w:t>
      </w:r>
      <w:r w:rsidRPr="0021268C">
        <w:rPr>
          <w:rFonts w:ascii="Book Antiqua" w:hAnsi="Book Antiqua" w:cs="Book Antiqua" w:hint="eastAsia"/>
          <w:color w:val="000000"/>
          <w:vertAlign w:val="superscript"/>
          <w:lang w:eastAsia="zh-CN"/>
        </w:rPr>
        <w:t>[</w:t>
      </w:r>
      <w:hyperlink w:anchor="_ENREF_14" w:tooltip="Miyahara, 2013 #12" w:history="1">
        <w:r w:rsidRPr="0021268C">
          <w:rPr>
            <w:rFonts w:ascii="Book Antiqua" w:eastAsia="Book Antiqua" w:hAnsi="Book Antiqua" w:cs="Book Antiqua"/>
            <w:color w:val="000000"/>
            <w:u w:val="single" w:color="0000EE"/>
            <w:vertAlign w:val="superscript"/>
          </w:rPr>
          <w:t>14</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This result is consistent with that of our study. However, in our study, the median levels of Ang-2 (1684 pg/mL) and VEGF (26.5 pg/mL) were different. Llovet </w:t>
      </w:r>
      <w:r w:rsidRPr="0021268C">
        <w:rPr>
          <w:rFonts w:ascii="Book Antiqua" w:eastAsia="Book Antiqua" w:hAnsi="Book Antiqua" w:cs="Book Antiqua"/>
          <w:i/>
          <w:iCs/>
          <w:color w:val="000000"/>
        </w:rPr>
        <w:t>et al</w:t>
      </w:r>
      <w:r w:rsidRPr="0021268C">
        <w:rPr>
          <w:rFonts w:ascii="Book Antiqua" w:hAnsi="Book Antiqua" w:cs="Book Antiqua" w:hint="eastAsia"/>
          <w:color w:val="000000"/>
          <w:vertAlign w:val="superscript"/>
          <w:lang w:eastAsia="zh-CN"/>
        </w:rPr>
        <w:t>[</w:t>
      </w:r>
      <w:hyperlink w:anchor="_ENREF_15" w:tooltip="Llovet, 2012 #10" w:history="1">
        <w:r w:rsidRPr="0021268C">
          <w:rPr>
            <w:rFonts w:ascii="Book Antiqua" w:eastAsia="Book Antiqua" w:hAnsi="Book Antiqua" w:cs="Book Antiqua"/>
            <w:color w:val="000000"/>
            <w:u w:val="single" w:color="0000EE"/>
            <w:vertAlign w:val="superscript"/>
          </w:rPr>
          <w:t>15</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reported that the plasma levels of Ang-2 (median, </w:t>
      </w:r>
      <w:r w:rsidRPr="0021268C">
        <w:rPr>
          <w:rFonts w:ascii="Book Antiqua" w:eastAsia="Book Antiqua" w:hAnsi="Book Antiqua" w:cs="Book Antiqua"/>
          <w:color w:val="000000"/>
        </w:rPr>
        <w:lastRenderedPageBreak/>
        <w:t>6043.5 pg/mL) and VEGF (median, 1019 pg/mL) were independent predictors of OS in 602 advanced HCC enrolled in the phase 3, randomized controlled sorafenib HCC assessment randomized protocol (SHARP) trial, both of which were not significant response-prediction biomarkers in the sorafenib-treated cohort</w:t>
      </w:r>
      <w:r w:rsidRPr="0021268C">
        <w:rPr>
          <w:rFonts w:ascii="Book Antiqua" w:hAnsi="Book Antiqua" w:cs="Book Antiqua" w:hint="eastAsia"/>
          <w:color w:val="000000"/>
          <w:vertAlign w:val="superscript"/>
          <w:lang w:eastAsia="zh-CN"/>
        </w:rPr>
        <w:t>[</w:t>
      </w:r>
      <w:hyperlink w:anchor="_ENREF_15" w:tooltip="Llovet, 2012 #10" w:history="1">
        <w:r w:rsidRPr="0021268C">
          <w:rPr>
            <w:rFonts w:ascii="Book Antiqua" w:eastAsia="Book Antiqua" w:hAnsi="Book Antiqua" w:cs="Book Antiqua"/>
            <w:color w:val="000000"/>
            <w:u w:val="single" w:color="0000EE"/>
            <w:vertAlign w:val="superscript"/>
          </w:rPr>
          <w:t>15</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w:t>
      </w:r>
    </w:p>
    <w:p w14:paraId="64469021"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 xml:space="preserve">In a Chinese study of 173 HCC patients,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 (mean, 18000 pg/mL) was an independent prognostic factor with a cutoff level of 6433 pg/mL</w:t>
      </w:r>
      <w:r w:rsidRPr="0021268C">
        <w:rPr>
          <w:rFonts w:ascii="Book Antiqua" w:hAnsi="Book Antiqua" w:cs="Book Antiqua" w:hint="eastAsia"/>
          <w:color w:val="000000"/>
          <w:vertAlign w:val="superscript"/>
          <w:lang w:eastAsia="zh-CN"/>
        </w:rPr>
        <w:t>[</w:t>
      </w:r>
      <w:hyperlink w:anchor="_ENREF_16" w:tooltip="Chen, 2018 #27" w:history="1">
        <w:r w:rsidRPr="0021268C">
          <w:rPr>
            <w:rFonts w:ascii="Book Antiqua" w:eastAsia="Book Antiqua" w:hAnsi="Book Antiqua" w:cs="Book Antiqua"/>
            <w:color w:val="000000"/>
            <w:u w:val="single" w:color="0000EE"/>
            <w:vertAlign w:val="superscript"/>
          </w:rPr>
          <w:t>16</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Pestana </w:t>
      </w:r>
      <w:r w:rsidRPr="0021268C">
        <w:rPr>
          <w:rFonts w:ascii="Book Antiqua" w:eastAsia="Book Antiqua" w:hAnsi="Book Antiqua" w:cs="Book Antiqua"/>
          <w:i/>
          <w:iCs/>
          <w:color w:val="000000"/>
        </w:rPr>
        <w:t>et al</w:t>
      </w:r>
      <w:r w:rsidRPr="0021268C">
        <w:rPr>
          <w:rFonts w:ascii="Book Antiqua" w:hAnsi="Book Antiqua" w:cs="Book Antiqua" w:hint="eastAsia"/>
          <w:color w:val="000000"/>
          <w:vertAlign w:val="superscript"/>
          <w:lang w:eastAsia="zh-CN"/>
        </w:rPr>
        <w:t>[</w:t>
      </w:r>
      <w:hyperlink w:anchor="_ENREF_6" w:tooltip="Pestana, 2018 #2" w:history="1">
        <w:r w:rsidRPr="0021268C">
          <w:rPr>
            <w:rFonts w:ascii="Book Antiqua" w:eastAsia="Book Antiqua" w:hAnsi="Book Antiqua" w:cs="Book Antiqua"/>
            <w:color w:val="000000"/>
            <w:u w:val="single" w:color="0000EE"/>
            <w:vertAlign w:val="superscript"/>
          </w:rPr>
          <w:t>6</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reported that a high plasma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 xml:space="preserve">evel (above mean value of 15300 pg/mL) was associated with lower OS, but a high Ang-1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 (above mean value of 16000 pg/mL) was associated with longer OS in 767 HCC patients treated at MD Anderson Cancer Center (77% in advanced stage)</w:t>
      </w:r>
      <w:r w:rsidRPr="0021268C">
        <w:rPr>
          <w:rFonts w:ascii="Book Antiqua" w:hAnsi="Book Antiqua" w:cs="Book Antiqua" w:hint="eastAsia"/>
          <w:color w:val="000000"/>
          <w:vertAlign w:val="superscript"/>
          <w:lang w:eastAsia="zh-CN"/>
        </w:rPr>
        <w:t>[</w:t>
      </w:r>
      <w:hyperlink w:anchor="_ENREF_6" w:tooltip="Pestana, 2018 #2" w:history="1">
        <w:r w:rsidRPr="0021268C">
          <w:rPr>
            <w:rFonts w:ascii="Book Antiqua" w:eastAsia="Book Antiqua" w:hAnsi="Book Antiqua" w:cs="Book Antiqua"/>
            <w:color w:val="000000"/>
            <w:u w:val="single" w:color="0000EE"/>
            <w:vertAlign w:val="superscript"/>
          </w:rPr>
          <w:t>6</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In this study, the Ang-1 and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were markedly higher than that of ours and of previous studies because they showed mean rather than median values and used a different ELISA kit. A small-scale study in Spain (</w:t>
      </w:r>
      <w:r w:rsidRPr="0021268C">
        <w:rPr>
          <w:rFonts w:ascii="Book Antiqua" w:eastAsia="Book Antiqua" w:hAnsi="Book Antiqua" w:cs="Book Antiqua"/>
          <w:i/>
          <w:iCs/>
          <w:color w:val="000000"/>
        </w:rPr>
        <w:t>n</w:t>
      </w:r>
      <w:r w:rsidRPr="0021268C">
        <w:rPr>
          <w:rFonts w:ascii="Book Antiqua" w:eastAsia="Book Antiqua" w:hAnsi="Book Antiqua" w:cs="Book Antiqua"/>
          <w:color w:val="000000"/>
        </w:rPr>
        <w:t xml:space="preserve"> = 33) showed that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in peripheral blood and hepatic veins were well correlated (</w:t>
      </w:r>
      <w:r w:rsidRPr="0021268C">
        <w:rPr>
          <w:rFonts w:ascii="Book Antiqua" w:eastAsia="Book Antiqua" w:hAnsi="Book Antiqua" w:cs="Book Antiqua"/>
          <w:i/>
          <w:iCs/>
          <w:color w:val="000000"/>
        </w:rPr>
        <w:t>r</w:t>
      </w:r>
      <w:r w:rsidRPr="0021268C">
        <w:rPr>
          <w:rFonts w:ascii="Book Antiqua" w:eastAsia="Book Antiqua" w:hAnsi="Book Antiqua" w:cs="Book Antiqua"/>
          <w:color w:val="000000"/>
        </w:rPr>
        <w:t xml:space="preserve"> = 0.95), and serum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were significantly associated with tumor extent and aggressiveness. However, it was not related to treatment response.</w:t>
      </w:r>
    </w:p>
    <w:p w14:paraId="02141C48"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VEGF is secreted by HCC cells and enhances endothelial cell survival, proliferation, invasion, and migration in response to tumor hypoxia</w:t>
      </w:r>
      <w:r w:rsidRPr="0021268C">
        <w:rPr>
          <w:rFonts w:ascii="Book Antiqua" w:hAnsi="Book Antiqua" w:cs="Book Antiqua" w:hint="eastAsia"/>
          <w:color w:val="000000"/>
          <w:vertAlign w:val="superscript"/>
          <w:lang w:eastAsia="zh-CN"/>
        </w:rPr>
        <w:t>[</w:t>
      </w:r>
      <w:hyperlink w:anchor="_ENREF_9" w:tooltip="Morse, 2019 #9" w:history="1">
        <w:r w:rsidRPr="0021268C">
          <w:rPr>
            <w:rFonts w:ascii="Book Antiqua" w:eastAsia="Book Antiqua" w:hAnsi="Book Antiqua" w:cs="Book Antiqua"/>
            <w:color w:val="000000"/>
            <w:u w:val="single" w:color="0000EE"/>
            <w:vertAlign w:val="superscript"/>
          </w:rPr>
          <w:t>9</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Ang-1 and Ang-2 are both secreted proteins with 60% amino acid sequence homology, and they interact with Tie2, the endothelial cell-specific tyrosine kinase receptor</w:t>
      </w:r>
      <w:r w:rsidRPr="0021268C">
        <w:rPr>
          <w:rFonts w:ascii="Book Antiqua" w:hAnsi="Book Antiqua" w:cs="Book Antiqua" w:hint="eastAsia"/>
          <w:color w:val="000000"/>
          <w:vertAlign w:val="superscript"/>
          <w:lang w:eastAsia="zh-CN"/>
        </w:rPr>
        <w:t>[</w:t>
      </w:r>
      <w:hyperlink w:anchor="_ENREF_10" w:tooltip="Akwii, 2019 #8" w:history="1">
        <w:r w:rsidRPr="0021268C">
          <w:rPr>
            <w:rFonts w:ascii="Book Antiqua" w:eastAsia="Book Antiqua" w:hAnsi="Book Antiqua" w:cs="Book Antiqua"/>
            <w:color w:val="000000"/>
            <w:u w:val="single" w:color="0000EE"/>
            <w:vertAlign w:val="superscript"/>
          </w:rPr>
          <w:t>10</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While Ang-1 binds Tie2 to promote vessel stability and quiescence, Ang-2 binds to Tie2 to promote vessel permeability, instability, and eventual tissue hypoxia. This antagonistic relationship was consistent with the negative correlation between the plasma levels of Ang-1 and Ang-2 in our study. Angiogenic switch by Ang-2 promotes VEGF expression and promotes tumor angiogenesis.</w:t>
      </w:r>
    </w:p>
    <w:p w14:paraId="588DA4E9"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On the other hand, Ang-2 acts as a chemoattractant by promoting recruitment of proangiogenic myeloid cells, especially Tie2 expressing macrophages (TEMs)</w:t>
      </w:r>
      <w:r w:rsidRPr="0021268C">
        <w:rPr>
          <w:rFonts w:ascii="Book Antiqua" w:hAnsi="Book Antiqua" w:cs="Book Antiqua" w:hint="eastAsia"/>
          <w:color w:val="000000"/>
          <w:vertAlign w:val="superscript"/>
          <w:lang w:eastAsia="zh-CN"/>
        </w:rPr>
        <w:t>[</w:t>
      </w:r>
      <w:hyperlink w:anchor="_ENREF_17" w:tooltip="Coffelt, 2010 #47" w:history="1">
        <w:r w:rsidRPr="0021268C">
          <w:rPr>
            <w:rFonts w:ascii="Book Antiqua" w:eastAsia="Book Antiqua" w:hAnsi="Book Antiqua" w:cs="Book Antiqua"/>
            <w:color w:val="000000"/>
            <w:u w:val="single" w:color="0000EE"/>
            <w:vertAlign w:val="superscript"/>
          </w:rPr>
          <w:t>17</w:t>
        </w:r>
      </w:hyperlink>
      <w:r w:rsidRPr="0021268C">
        <w:rPr>
          <w:rFonts w:ascii="Book Antiqua" w:eastAsia="Book Antiqua" w:hAnsi="Book Antiqua" w:cs="Book Antiqua"/>
          <w:color w:val="000000"/>
          <w:vertAlign w:val="superscript"/>
        </w:rPr>
        <w:t>,</w:t>
      </w:r>
      <w:hyperlink w:anchor="_ENREF_18" w:tooltip="Matsubara, 2013 #48" w:history="1">
        <w:r w:rsidRPr="0021268C">
          <w:rPr>
            <w:rFonts w:ascii="Book Antiqua" w:eastAsia="Book Antiqua" w:hAnsi="Book Antiqua" w:cs="Book Antiqua"/>
            <w:color w:val="000000"/>
            <w:u w:val="single" w:color="0000EE"/>
            <w:vertAlign w:val="superscript"/>
          </w:rPr>
          <w:t>18</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TEMs become more proangiogenic and immunosuppressive in the tumor microenvironment. This is a potential mechanism for resistance to antiangiogenic therapy and poor survival in patients with high Ang-2 expression in HCC</w:t>
      </w:r>
      <w:r w:rsidRPr="0021268C">
        <w:rPr>
          <w:rFonts w:ascii="Book Antiqua" w:hAnsi="Book Antiqua" w:cs="Book Antiqua" w:hint="eastAsia"/>
          <w:color w:val="000000"/>
          <w:vertAlign w:val="superscript"/>
          <w:lang w:eastAsia="zh-CN"/>
        </w:rPr>
        <w:t>[</w:t>
      </w:r>
      <w:hyperlink w:anchor="_ENREF_19" w:tooltip="Gillen, 2019 #39" w:history="1">
        <w:r w:rsidRPr="0021268C">
          <w:rPr>
            <w:rFonts w:ascii="Book Antiqua" w:eastAsia="Book Antiqua" w:hAnsi="Book Antiqua" w:cs="Book Antiqua"/>
            <w:color w:val="000000"/>
            <w:u w:val="single" w:color="0000EE"/>
            <w:vertAlign w:val="superscript"/>
          </w:rPr>
          <w:t>19</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w:t>
      </w:r>
      <w:r w:rsidRPr="0021268C">
        <w:rPr>
          <w:rFonts w:ascii="Book Antiqua" w:eastAsia="Book Antiqua" w:hAnsi="Book Antiqua" w:cs="Book Antiqua"/>
          <w:color w:val="000000"/>
        </w:rPr>
        <w:lastRenderedPageBreak/>
        <w:t xml:space="preserve">Interestingly, NLR and PLR, both inflammatory biomarkers, were significantly correlated with Ang-2 </w:t>
      </w:r>
      <w:r w:rsidRPr="0021268C">
        <w:rPr>
          <w:rFonts w:ascii="Book Antiqua" w:hAnsi="Book Antiqua" w:cs="Book Antiqua" w:hint="eastAsia"/>
          <w:color w:val="000000"/>
          <w:lang w:eastAsia="zh-CN"/>
        </w:rPr>
        <w:t>l</w:t>
      </w:r>
      <w:r w:rsidRPr="0021268C">
        <w:rPr>
          <w:rFonts w:ascii="Book Antiqua" w:eastAsia="Book Antiqua" w:hAnsi="Book Antiqua" w:cs="Book Antiqua"/>
          <w:color w:val="000000"/>
        </w:rPr>
        <w:t>evels in this study. A recent meta-analysis showed that preoperative NLR was positively correlated with the risk of microvascular invasion in HCC</w:t>
      </w:r>
      <w:r w:rsidRPr="0021268C">
        <w:rPr>
          <w:rFonts w:ascii="Book Antiqua" w:hAnsi="Book Antiqua" w:cs="Book Antiqua" w:hint="eastAsia"/>
          <w:color w:val="000000"/>
          <w:vertAlign w:val="superscript"/>
          <w:lang w:eastAsia="zh-CN"/>
        </w:rPr>
        <w:t>[</w:t>
      </w:r>
      <w:hyperlink w:anchor="_ENREF_20" w:tooltip="Zeng, 2019 #43" w:history="1">
        <w:r w:rsidRPr="0021268C">
          <w:rPr>
            <w:rFonts w:ascii="Book Antiqua" w:eastAsia="Book Antiqua" w:hAnsi="Book Antiqua" w:cs="Book Antiqua"/>
            <w:color w:val="000000"/>
            <w:u w:val="single" w:color="0000EE"/>
            <w:vertAlign w:val="superscript"/>
          </w:rPr>
          <w:t>20</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Moreover, many studies have confirmed that a high baseline NLR is an independent factor for OS and PFS</w:t>
      </w:r>
      <w:r w:rsidRPr="0021268C">
        <w:rPr>
          <w:rFonts w:ascii="Book Antiqua" w:hAnsi="Book Antiqua" w:cs="Book Antiqua" w:hint="eastAsia"/>
          <w:color w:val="000000"/>
          <w:vertAlign w:val="superscript"/>
          <w:lang w:eastAsia="zh-CN"/>
        </w:rPr>
        <w:t>[</w:t>
      </w:r>
      <w:hyperlink w:anchor="_ENREF_21" w:tooltip="Qi, 2016 #40" w:history="1">
        <w:r w:rsidRPr="0021268C">
          <w:rPr>
            <w:rFonts w:ascii="Book Antiqua" w:eastAsia="Book Antiqua" w:hAnsi="Book Antiqua" w:cs="Book Antiqua"/>
            <w:color w:val="000000"/>
            <w:u w:val="single" w:color="0000EE"/>
            <w:vertAlign w:val="superscript"/>
          </w:rPr>
          <w:t>21-23</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This is consistent with the results of our study.</w:t>
      </w:r>
    </w:p>
    <w:p w14:paraId="4CFC65AC"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Angiogenesis inhibitors have become an important therapeutic approach for the treatment of solid cancers. First-generation anti-angiogenic agents, including bevacizumab, sorafenib, pazopanib, vandeltanib, cabozantinib, axitinib, VEGF-trap ziv-aflibercept, and ramucirumab, target VEGF signaling</w:t>
      </w:r>
      <w:r w:rsidRPr="0021268C">
        <w:rPr>
          <w:rFonts w:ascii="Book Antiqua" w:hAnsi="Book Antiqua" w:cs="Book Antiqua" w:hint="eastAsia"/>
          <w:color w:val="000000"/>
          <w:vertAlign w:val="superscript"/>
          <w:lang w:eastAsia="zh-CN"/>
        </w:rPr>
        <w:t>[</w:t>
      </w:r>
      <w:hyperlink w:anchor="_ENREF_8" w:tooltip="Biel, 2016 #38" w:history="1">
        <w:r w:rsidRPr="0021268C">
          <w:rPr>
            <w:rFonts w:ascii="Book Antiqua" w:eastAsia="Book Antiqua" w:hAnsi="Book Antiqua" w:cs="Book Antiqua"/>
            <w:color w:val="000000"/>
            <w:u w:val="single" w:color="0000EE"/>
            <w:vertAlign w:val="superscript"/>
          </w:rPr>
          <w:t>8</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Second-generation antiangiogenic agents, including trebananib, nesvacumab, rebastinib, and MEDI3617, target Ang/Tie2 signaling in clinical development</w:t>
      </w:r>
      <w:r w:rsidRPr="0021268C">
        <w:rPr>
          <w:rFonts w:ascii="Book Antiqua" w:hAnsi="Book Antiqua" w:cs="Book Antiqua" w:hint="eastAsia"/>
          <w:color w:val="000000"/>
          <w:vertAlign w:val="superscript"/>
          <w:lang w:eastAsia="zh-CN"/>
        </w:rPr>
        <w:t>[</w:t>
      </w:r>
      <w:hyperlink w:anchor="_ENREF_8" w:tooltip="Biel, 2016 #38" w:history="1">
        <w:r w:rsidRPr="0021268C">
          <w:rPr>
            <w:rFonts w:ascii="Book Antiqua" w:eastAsia="Book Antiqua" w:hAnsi="Book Antiqua" w:cs="Book Antiqua"/>
            <w:color w:val="000000"/>
            <w:u w:val="single" w:color="0000EE"/>
            <w:vertAlign w:val="superscript"/>
          </w:rPr>
          <w:t>8</w:t>
        </w:r>
      </w:hyperlink>
      <w:r w:rsidRPr="0021268C">
        <w:rPr>
          <w:rFonts w:ascii="Book Antiqua" w:eastAsia="Book Antiqua" w:hAnsi="Book Antiqua" w:cs="Book Antiqua"/>
          <w:color w:val="000000"/>
          <w:vertAlign w:val="superscript"/>
        </w:rPr>
        <w:t>,</w:t>
      </w:r>
      <w:hyperlink w:anchor="_ENREF_19" w:tooltip="Gillen, 2019 #39" w:history="1">
        <w:r w:rsidRPr="0021268C">
          <w:rPr>
            <w:rFonts w:ascii="Book Antiqua" w:eastAsia="Book Antiqua" w:hAnsi="Book Antiqua" w:cs="Book Antiqua"/>
            <w:color w:val="000000"/>
            <w:u w:val="single" w:color="0000EE"/>
            <w:vertAlign w:val="superscript"/>
          </w:rPr>
          <w:t>19</w:t>
        </w:r>
      </w:hyperlink>
      <w:r w:rsidRPr="0021268C">
        <w:rPr>
          <w:rFonts w:ascii="Book Antiqua" w:eastAsia="Book Antiqua" w:hAnsi="Book Antiqua" w:cs="Book Antiqua"/>
          <w:color w:val="000000"/>
          <w:vertAlign w:val="superscript"/>
        </w:rPr>
        <w:t>,</w:t>
      </w:r>
      <w:hyperlink w:anchor="_ENREF_24" w:tooltip="Llovet, 2018 #20" w:history="1">
        <w:r w:rsidRPr="0021268C">
          <w:rPr>
            <w:rFonts w:ascii="Book Antiqua" w:eastAsia="Book Antiqua" w:hAnsi="Book Antiqua" w:cs="Book Antiqua"/>
            <w:color w:val="000000"/>
            <w:u w:val="single" w:color="0000EE"/>
            <w:vertAlign w:val="superscript"/>
          </w:rPr>
          <w:t>24</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However, resistance to these agents, lack of improvement of OS, and common adverse events, including hypertension and bleeding, are challenges faced by current anti-angiogenic therapies. Therefore, combination therapy of VEGF and Ang-2 targeted agents as well as a combination of anti-angiogenic and chemotherapeutic agents, radiation, or immune modulators are being developed accordingly. Recent studies suggested that predicting OS was made possible by periodically measuring serum angiogenic cytokines, especially Ang-2 or VEGF, in patients with HCC treated with sorafenib or lenvatinib</w:t>
      </w:r>
      <w:r w:rsidRPr="0021268C">
        <w:rPr>
          <w:rFonts w:ascii="Book Antiqua" w:hAnsi="Book Antiqua" w:cs="Book Antiqua" w:hint="eastAsia"/>
          <w:color w:val="000000"/>
          <w:vertAlign w:val="superscript"/>
          <w:lang w:eastAsia="zh-CN"/>
        </w:rPr>
        <w:t>[</w:t>
      </w:r>
      <w:hyperlink w:anchor="_ENREF_14" w:tooltip="Miyahara, 2013 #12" w:history="1">
        <w:r w:rsidRPr="0021268C">
          <w:rPr>
            <w:rFonts w:ascii="Book Antiqua" w:eastAsia="Book Antiqua" w:hAnsi="Book Antiqua" w:cs="Book Antiqua"/>
            <w:color w:val="000000"/>
            <w:u w:val="single" w:color="0000EE"/>
            <w:vertAlign w:val="superscript"/>
          </w:rPr>
          <w:t>14</w:t>
        </w:r>
      </w:hyperlink>
      <w:r w:rsidRPr="0021268C">
        <w:rPr>
          <w:rFonts w:ascii="Book Antiqua" w:eastAsia="Book Antiqua" w:hAnsi="Book Antiqua" w:cs="Book Antiqua"/>
          <w:color w:val="000000"/>
          <w:vertAlign w:val="superscript"/>
        </w:rPr>
        <w:t>,</w:t>
      </w:r>
      <w:hyperlink w:anchor="_ENREF_25" w:tooltip="Chuma, 2020 #31" w:history="1">
        <w:r w:rsidRPr="0021268C">
          <w:rPr>
            <w:rFonts w:ascii="Book Antiqua" w:eastAsia="Book Antiqua" w:hAnsi="Book Antiqua" w:cs="Book Antiqua"/>
            <w:color w:val="000000"/>
            <w:u w:val="single" w:color="0000EE"/>
            <w:vertAlign w:val="superscript"/>
          </w:rPr>
          <w:t>25</w:t>
        </w:r>
      </w:hyperlink>
      <w:r w:rsidRPr="0021268C">
        <w:rPr>
          <w:rFonts w:ascii="Book Antiqua" w:eastAsia="Book Antiqua" w:hAnsi="Book Antiqua" w:cs="Book Antiqua"/>
          <w:color w:val="000000"/>
          <w:vertAlign w:val="superscript"/>
        </w:rPr>
        <w:t>,</w:t>
      </w:r>
      <w:hyperlink w:anchor="_ENREF_26" w:tooltip="Kim, 2018 #30" w:history="1">
        <w:r w:rsidRPr="0021268C">
          <w:rPr>
            <w:rFonts w:ascii="Book Antiqua" w:eastAsia="Book Antiqua" w:hAnsi="Book Antiqua" w:cs="Book Antiqua"/>
            <w:color w:val="000000"/>
            <w:u w:val="single" w:color="0000EE"/>
            <w:vertAlign w:val="superscript"/>
          </w:rPr>
          <w:t>26</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Moreover, a single-nucleotide polymorphism of Ang-2 is an independent prognostic factor for sorafenib-treated advanced HCC</w:t>
      </w:r>
      <w:r w:rsidRPr="0021268C">
        <w:rPr>
          <w:rFonts w:ascii="Book Antiqua" w:hAnsi="Book Antiqua" w:cs="Book Antiqua" w:hint="eastAsia"/>
          <w:color w:val="000000"/>
          <w:vertAlign w:val="superscript"/>
          <w:lang w:eastAsia="zh-CN"/>
        </w:rPr>
        <w:t>[</w:t>
      </w:r>
      <w:hyperlink w:anchor="_ENREF_27" w:tooltip="Marisi, 2019 #32" w:history="1">
        <w:r w:rsidRPr="0021268C">
          <w:rPr>
            <w:rFonts w:ascii="Book Antiqua" w:eastAsia="Book Antiqua" w:hAnsi="Book Antiqua" w:cs="Book Antiqua"/>
            <w:color w:val="000000"/>
            <w:u w:val="single" w:color="0000EE"/>
            <w:vertAlign w:val="superscript"/>
          </w:rPr>
          <w:t>27</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A high increase in the serum VEGF level after TACE among patients with HCC was associated with distant metastasis and unfavorable outcomes</w:t>
      </w:r>
      <w:r w:rsidRPr="0021268C">
        <w:rPr>
          <w:rFonts w:ascii="Book Antiqua" w:hAnsi="Book Antiqua" w:cs="Book Antiqua" w:hint="eastAsia"/>
          <w:color w:val="000000"/>
          <w:vertAlign w:val="superscript"/>
          <w:lang w:eastAsia="zh-CN"/>
        </w:rPr>
        <w:t>[</w:t>
      </w:r>
      <w:hyperlink w:anchor="_ENREF_28" w:tooltip="Poon, 2004 #35" w:history="1">
        <w:r w:rsidRPr="0021268C">
          <w:rPr>
            <w:rFonts w:ascii="Book Antiqua" w:eastAsia="Book Antiqua" w:hAnsi="Book Antiqua" w:cs="Book Antiqua"/>
            <w:color w:val="000000"/>
            <w:u w:val="single" w:color="0000EE"/>
            <w:vertAlign w:val="superscript"/>
          </w:rPr>
          <w:t>28</w:t>
        </w:r>
      </w:hyperlink>
      <w:r w:rsidRPr="0021268C">
        <w:rPr>
          <w:rFonts w:ascii="Book Antiqua" w:eastAsia="Book Antiqua" w:hAnsi="Book Antiqua" w:cs="Book Antiqua"/>
          <w:color w:val="000000"/>
          <w:vertAlign w:val="superscript"/>
        </w:rPr>
        <w:t>,</w:t>
      </w:r>
      <w:hyperlink w:anchor="_ENREF_29" w:tooltip="Shim, 2008 #33" w:history="1">
        <w:r w:rsidRPr="0021268C">
          <w:rPr>
            <w:rFonts w:ascii="Book Antiqua" w:eastAsia="Book Antiqua" w:hAnsi="Book Antiqua" w:cs="Book Antiqua"/>
            <w:color w:val="000000"/>
            <w:u w:val="single" w:color="0000EE"/>
            <w:vertAlign w:val="superscript"/>
          </w:rPr>
          <w:t>29</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Therefore, identifying tumors using circulating biomarkers that are sensitive to antiangiogenic therapy and predictive of OS and PFS could improve therapeutic approaches.</w:t>
      </w:r>
    </w:p>
    <w:p w14:paraId="09D55EF7" w14:textId="77777777" w:rsidR="00B07060" w:rsidRPr="0021268C" w:rsidRDefault="005635E1">
      <w:pPr>
        <w:spacing w:line="360" w:lineRule="auto"/>
        <w:ind w:firstLine="480"/>
        <w:jc w:val="both"/>
        <w:rPr>
          <w:rFonts w:ascii="Book Antiqua" w:hAnsi="Book Antiqua"/>
        </w:rPr>
      </w:pPr>
      <w:r w:rsidRPr="0021268C">
        <w:rPr>
          <w:rFonts w:ascii="Book Antiqua" w:eastAsia="Book Antiqua" w:hAnsi="Book Antiqua" w:cs="Book Antiqua"/>
          <w:color w:val="000000"/>
        </w:rPr>
        <w:t>This study had several limitations. First, this was a single-center study in an HBV-endemic area</w:t>
      </w:r>
      <w:r w:rsidRPr="0021268C">
        <w:rPr>
          <w:rFonts w:ascii="Book Antiqua" w:hAnsi="Book Antiqua" w:cs="Book Antiqua" w:hint="eastAsia"/>
          <w:color w:val="000000"/>
          <w:vertAlign w:val="superscript"/>
          <w:lang w:eastAsia="zh-CN"/>
        </w:rPr>
        <w:t>[</w:t>
      </w:r>
      <w:hyperlink w:anchor="_ENREF_30" w:tooltip=", 2015 #49" w:history="1">
        <w:r w:rsidRPr="0021268C">
          <w:rPr>
            <w:rFonts w:ascii="Book Antiqua" w:eastAsia="Book Antiqua" w:hAnsi="Book Antiqua" w:cs="Book Antiqua"/>
            <w:color w:val="000000"/>
            <w:u w:val="single" w:color="0000EE"/>
            <w:vertAlign w:val="superscript"/>
          </w:rPr>
          <w:t>30</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Although there was no difference in Ang-2 and VEGF levels according to the etiology of HCC in this study, the results need external validation. Second, the angiogenic biomarkers were measured only once at the time of HCC diagnosis, so the longitudinal profile according to tumor progression or treatment response could not be </w:t>
      </w:r>
      <w:r w:rsidRPr="0021268C">
        <w:rPr>
          <w:rFonts w:ascii="Book Antiqua" w:eastAsia="Book Antiqua" w:hAnsi="Book Antiqua" w:cs="Book Antiqua"/>
          <w:color w:val="000000"/>
        </w:rPr>
        <w:lastRenderedPageBreak/>
        <w:t>analyzed. Third, this study did not evaluate the plasma levels of these three angiogenesis factors in normal control subjects or cirrhotic patients because we focused on the role of Ang-1, Ang-2, and VEGF as prognostic rather than diagnostic markers. Fourth, this study did not evaluate other valuable angiogenesis markers, such as microvessel density, PDGF/PDGFR, FGF/FGFR, and endoglin (CD105)</w:t>
      </w:r>
      <w:r w:rsidRPr="0021268C">
        <w:rPr>
          <w:rFonts w:ascii="Book Antiqua" w:hAnsi="Book Antiqua" w:cs="Book Antiqua" w:hint="eastAsia"/>
          <w:color w:val="000000"/>
          <w:vertAlign w:val="superscript"/>
          <w:lang w:eastAsia="zh-CN"/>
        </w:rPr>
        <w:t>[</w:t>
      </w:r>
      <w:hyperlink w:anchor="_ENREF_9" w:tooltip="Morse, 2019 #9" w:history="1">
        <w:r w:rsidRPr="0021268C">
          <w:rPr>
            <w:rFonts w:ascii="Book Antiqua" w:eastAsia="Book Antiqua" w:hAnsi="Book Antiqua" w:cs="Book Antiqua"/>
            <w:color w:val="000000"/>
            <w:u w:val="single" w:color="0000EE"/>
            <w:vertAlign w:val="superscript"/>
          </w:rPr>
          <w:t>9</w:t>
        </w:r>
      </w:hyperlink>
      <w:r w:rsidRPr="0021268C">
        <w:rPr>
          <w:rFonts w:ascii="Book Antiqua" w:eastAsia="Book Antiqua" w:hAnsi="Book Antiqua" w:cs="Book Antiqua"/>
          <w:color w:val="000000"/>
          <w:vertAlign w:val="superscript"/>
        </w:rPr>
        <w:t>,</w:t>
      </w:r>
      <w:hyperlink w:anchor="_ENREF_31" w:tooltip="Zhang, 2020 #50" w:history="1">
        <w:r w:rsidRPr="0021268C">
          <w:rPr>
            <w:rFonts w:ascii="Book Antiqua" w:eastAsia="Book Antiqua" w:hAnsi="Book Antiqua" w:cs="Book Antiqua"/>
            <w:color w:val="000000"/>
            <w:u w:val="single" w:color="0000EE"/>
            <w:vertAlign w:val="superscript"/>
          </w:rPr>
          <w:t>31</w:t>
        </w:r>
      </w:hyperlink>
      <w:r w:rsidRPr="0021268C">
        <w:rPr>
          <w:rFonts w:ascii="Book Antiqua" w:hAnsi="Book Antiqua" w:cs="Book Antiqua" w:hint="eastAsia"/>
          <w:color w:val="000000"/>
          <w:vertAlign w:val="superscript"/>
          <w:lang w:eastAsia="zh-CN"/>
        </w:rPr>
        <w:t>]</w:t>
      </w:r>
      <w:r w:rsidRPr="0021268C">
        <w:rPr>
          <w:rFonts w:ascii="Book Antiqua" w:eastAsia="Book Antiqua" w:hAnsi="Book Antiqua" w:cs="Book Antiqua"/>
          <w:color w:val="000000"/>
        </w:rPr>
        <w:t xml:space="preserve">. Further comprehensive studies including these angiogenesis markers are hence needed. Lastly, the number of patients who underwent surgery and sorafenib treatment was small. Therefore, it is difficult to generalize that angiogenesis markers can predict the prognosis of patients receiving these treatments. </w:t>
      </w:r>
    </w:p>
    <w:p w14:paraId="59A8D749" w14:textId="77777777" w:rsidR="00B07060" w:rsidRPr="0021268C" w:rsidRDefault="00B07060">
      <w:pPr>
        <w:spacing w:line="360" w:lineRule="auto"/>
        <w:ind w:firstLine="480"/>
        <w:jc w:val="both"/>
        <w:rPr>
          <w:rFonts w:ascii="Book Antiqua" w:hAnsi="Book Antiqua"/>
        </w:rPr>
      </w:pPr>
    </w:p>
    <w:p w14:paraId="3D57F625"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CONCLUSION</w:t>
      </w:r>
    </w:p>
    <w:p w14:paraId="728AAF1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In conclusion, the plasma level of Ang-2 correlated with liver function, tumor stage, and tumor invasiveness. It also performed better than AFP, Ang-1, and VEGF in terms of predicting OS and PFS. </w:t>
      </w:r>
    </w:p>
    <w:p w14:paraId="4D6D359E" w14:textId="77777777" w:rsidR="00B07060" w:rsidRPr="0021268C" w:rsidRDefault="00B07060">
      <w:pPr>
        <w:spacing w:line="360" w:lineRule="auto"/>
        <w:ind w:firstLine="480"/>
        <w:jc w:val="both"/>
        <w:rPr>
          <w:rFonts w:ascii="Book Antiqua" w:hAnsi="Book Antiqua"/>
        </w:rPr>
      </w:pPr>
    </w:p>
    <w:p w14:paraId="71AEC3E4"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ARTICLE HIGHLIGHTS</w:t>
      </w:r>
    </w:p>
    <w:p w14:paraId="589DE555"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background</w:t>
      </w:r>
    </w:p>
    <w:p w14:paraId="3C73D01C"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Most hepatocellular carcinomas (HCCs) are hypervascular, with characteristic features of hepatic arterial supply to the tumor. The factors involved in tumor angiogenesis include angiopoietin-1 (Ang-1), angiopoietin-2 (Ang-2), and vascular endothelial growth factor (VEGF). </w:t>
      </w:r>
    </w:p>
    <w:p w14:paraId="4203A108" w14:textId="77777777" w:rsidR="00B07060" w:rsidRPr="0021268C" w:rsidRDefault="00B07060">
      <w:pPr>
        <w:spacing w:line="360" w:lineRule="auto"/>
        <w:jc w:val="both"/>
        <w:rPr>
          <w:rFonts w:ascii="Book Antiqua" w:hAnsi="Book Antiqua"/>
        </w:rPr>
      </w:pPr>
    </w:p>
    <w:p w14:paraId="2045881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motivation</w:t>
      </w:r>
    </w:p>
    <w:p w14:paraId="2682F8E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Angiogenesis markers can be a potential biomarker. </w:t>
      </w:r>
    </w:p>
    <w:p w14:paraId="09939D3F" w14:textId="77777777" w:rsidR="00B07060" w:rsidRPr="0021268C" w:rsidRDefault="00B07060">
      <w:pPr>
        <w:spacing w:line="360" w:lineRule="auto"/>
        <w:jc w:val="both"/>
        <w:rPr>
          <w:rFonts w:ascii="Book Antiqua" w:hAnsi="Book Antiqua"/>
        </w:rPr>
      </w:pPr>
    </w:p>
    <w:p w14:paraId="7F043FD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objectives</w:t>
      </w:r>
    </w:p>
    <w:p w14:paraId="61131A83"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To investigate the profiles of plasma levels of angiogenesis markers in patients with HCC and evaluate their roles in predicting overall survival (OS) and progression-free survival (PFS).</w:t>
      </w:r>
    </w:p>
    <w:p w14:paraId="34ECFEF7" w14:textId="77777777" w:rsidR="00B07060" w:rsidRPr="0021268C" w:rsidRDefault="00B07060">
      <w:pPr>
        <w:spacing w:line="360" w:lineRule="auto"/>
        <w:jc w:val="both"/>
        <w:rPr>
          <w:rFonts w:ascii="Book Antiqua" w:hAnsi="Book Antiqua"/>
        </w:rPr>
      </w:pPr>
    </w:p>
    <w:p w14:paraId="02FE086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methods</w:t>
      </w:r>
    </w:p>
    <w:p w14:paraId="6693F8A7"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Plasma samples from 240 prospectively enrolled HCC patients in the very early to advanced stages were used to measure the levels of Ang-1, Ang-2, and VEGF. Their associations with clinical characteristics, OS, and PFS were analyzed.</w:t>
      </w:r>
    </w:p>
    <w:p w14:paraId="55B71E32" w14:textId="77777777" w:rsidR="00B07060" w:rsidRPr="0021268C" w:rsidRDefault="00B07060">
      <w:pPr>
        <w:spacing w:line="360" w:lineRule="auto"/>
        <w:jc w:val="both"/>
        <w:rPr>
          <w:rFonts w:ascii="Book Antiqua" w:hAnsi="Book Antiqua"/>
        </w:rPr>
      </w:pPr>
    </w:p>
    <w:p w14:paraId="6D0E5AD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results</w:t>
      </w:r>
    </w:p>
    <w:p w14:paraId="5AC02C3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The plasma level of Ang-2 correlated with liver function, tumor stage, and tumor invasiveness. Multivariable and propensity score-matched analyses revealed Ang-2 Levels with the highest predictive power for </w:t>
      </w:r>
      <w:r w:rsidRPr="0021268C">
        <w:rPr>
          <w:rFonts w:ascii="Book Antiqua" w:hAnsi="Book Antiqua" w:cs="Book Antiqua" w:hint="eastAsia"/>
          <w:color w:val="000000"/>
          <w:lang w:eastAsia="zh-CN"/>
        </w:rPr>
        <w:t>OS</w:t>
      </w:r>
      <w:r w:rsidRPr="0021268C">
        <w:rPr>
          <w:rFonts w:ascii="Book Antiqua" w:eastAsia="Book Antiqua" w:hAnsi="Book Antiqua" w:cs="Book Antiqua"/>
          <w:color w:val="000000"/>
        </w:rPr>
        <w:t xml:space="preserve"> in patients with HCC. </w:t>
      </w:r>
    </w:p>
    <w:p w14:paraId="196E38A4" w14:textId="77777777" w:rsidR="00B07060" w:rsidRPr="0021268C" w:rsidRDefault="00B07060">
      <w:pPr>
        <w:spacing w:line="360" w:lineRule="auto"/>
        <w:jc w:val="both"/>
        <w:rPr>
          <w:rFonts w:ascii="Book Antiqua" w:hAnsi="Book Antiqua"/>
        </w:rPr>
      </w:pPr>
    </w:p>
    <w:p w14:paraId="347FB78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conclusions</w:t>
      </w:r>
    </w:p>
    <w:p w14:paraId="22B1A37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The plasma levels of Ang-2 can be a better biomarker than AFP in predicting OS or RFS.</w:t>
      </w:r>
    </w:p>
    <w:p w14:paraId="13D9071E" w14:textId="77777777" w:rsidR="00B07060" w:rsidRPr="0021268C" w:rsidRDefault="00B07060">
      <w:pPr>
        <w:spacing w:line="360" w:lineRule="auto"/>
        <w:jc w:val="both"/>
        <w:rPr>
          <w:rFonts w:ascii="Book Antiqua" w:hAnsi="Book Antiqua"/>
        </w:rPr>
      </w:pPr>
    </w:p>
    <w:p w14:paraId="07F2B92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i/>
          <w:color w:val="000000"/>
        </w:rPr>
        <w:t>Research perspectives</w:t>
      </w:r>
    </w:p>
    <w:p w14:paraId="05B6E4C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Identifying HCCs using circulating biomarkers that are sensitive to antiangiogenic therapy and predictive of OS and PFS could improve therapeutic approaches.</w:t>
      </w:r>
    </w:p>
    <w:p w14:paraId="5473F35F" w14:textId="77777777" w:rsidR="00B07060" w:rsidRPr="0021268C" w:rsidRDefault="00B07060">
      <w:pPr>
        <w:spacing w:line="360" w:lineRule="auto"/>
        <w:jc w:val="both"/>
        <w:rPr>
          <w:rFonts w:ascii="Book Antiqua" w:hAnsi="Book Antiqua"/>
        </w:rPr>
      </w:pPr>
    </w:p>
    <w:p w14:paraId="7F4C631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aps/>
          <w:color w:val="000000"/>
          <w:u w:val="single"/>
        </w:rPr>
        <w:t>ACKNOWLEDGEMENTS</w:t>
      </w:r>
    </w:p>
    <w:p w14:paraId="30836D6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We are grateful to our research coordinator (Da Woon Jeong) and the laboratory technician (Yun Suk Choi).</w:t>
      </w:r>
    </w:p>
    <w:p w14:paraId="3D092432" w14:textId="77777777" w:rsidR="00B07060" w:rsidRPr="0021268C" w:rsidRDefault="00B07060">
      <w:pPr>
        <w:spacing w:line="360" w:lineRule="auto"/>
        <w:jc w:val="both"/>
        <w:rPr>
          <w:rFonts w:ascii="Book Antiqua" w:hAnsi="Book Antiqua"/>
        </w:rPr>
      </w:pPr>
    </w:p>
    <w:p w14:paraId="22BE5DD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REFERENCES</w:t>
      </w:r>
    </w:p>
    <w:p w14:paraId="7C22EC79"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 </w:t>
      </w:r>
      <w:r w:rsidRPr="0021268C">
        <w:rPr>
          <w:rFonts w:ascii="Book Antiqua" w:eastAsia="Book Antiqua" w:hAnsi="Book Antiqua" w:cs="Book Antiqua"/>
          <w:b/>
          <w:bCs/>
          <w:color w:val="000000"/>
        </w:rPr>
        <w:t>Global Burden of Disease Cancer Collaboration</w:t>
      </w:r>
      <w:r w:rsidRPr="0021268C">
        <w:rPr>
          <w:rFonts w:ascii="Book Antiqua" w:eastAsia="Book Antiqua" w:hAnsi="Book Antiqua" w:cs="Book Antiqua"/>
          <w:color w:val="000000"/>
        </w:rP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w:t>
      </w:r>
      <w:r w:rsidRPr="0021268C">
        <w:rPr>
          <w:rFonts w:ascii="Book Antiqua" w:eastAsia="Book Antiqua" w:hAnsi="Book Antiqua" w:cs="Book Antiqua"/>
          <w:color w:val="000000"/>
        </w:rPr>
        <w:lastRenderedPageBreak/>
        <w:t xml:space="preserve">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21268C">
        <w:rPr>
          <w:rFonts w:ascii="Book Antiqua" w:eastAsia="Book Antiqua" w:hAnsi="Book Antiqua" w:cs="Book Antiqua"/>
          <w:i/>
          <w:iCs/>
          <w:color w:val="000000"/>
        </w:rPr>
        <w:t>JAMA Oncol</w:t>
      </w:r>
      <w:r w:rsidRPr="0021268C">
        <w:rPr>
          <w:rFonts w:ascii="Book Antiqua" w:eastAsia="Book Antiqua" w:hAnsi="Book Antiqua" w:cs="Book Antiqua"/>
          <w:color w:val="000000"/>
        </w:rPr>
        <w:t xml:space="preserve"> 2015; </w:t>
      </w:r>
      <w:r w:rsidRPr="0021268C">
        <w:rPr>
          <w:rFonts w:ascii="Book Antiqua" w:eastAsia="Book Antiqua" w:hAnsi="Book Antiqua" w:cs="Book Antiqua"/>
          <w:b/>
          <w:bCs/>
          <w:color w:val="000000"/>
        </w:rPr>
        <w:t>1</w:t>
      </w:r>
      <w:r w:rsidRPr="0021268C">
        <w:rPr>
          <w:rFonts w:ascii="Book Antiqua" w:eastAsia="Book Antiqua" w:hAnsi="Book Antiqua" w:cs="Book Antiqua"/>
          <w:color w:val="000000"/>
        </w:rPr>
        <w:t>: 505-527 [PMID: 26181261 DOI: 10.1001/jamaoncol.2015.0735]</w:t>
      </w:r>
    </w:p>
    <w:p w14:paraId="62D6E95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 </w:t>
      </w:r>
      <w:r w:rsidRPr="0021268C">
        <w:rPr>
          <w:rFonts w:ascii="Book Antiqua" w:eastAsia="Book Antiqua" w:hAnsi="Book Antiqua" w:cs="Book Antiqua"/>
          <w:b/>
          <w:bCs/>
          <w:color w:val="000000"/>
        </w:rPr>
        <w:t>European Association for the Study of the Liver</w:t>
      </w:r>
      <w:r w:rsidRPr="0021268C">
        <w:rPr>
          <w:rFonts w:ascii="Book Antiqua" w:eastAsia="Book Antiqua" w:hAnsi="Book Antiqua" w:cs="Book Antiqua"/>
          <w:color w:val="000000"/>
        </w:rPr>
        <w:t xml:space="preserve">. EASL Clinical Practice Guidelines: Management of hepatocellular carcinoma. </w:t>
      </w:r>
      <w:r w:rsidRPr="0021268C">
        <w:rPr>
          <w:rFonts w:ascii="Book Antiqua" w:eastAsia="Book Antiqua" w:hAnsi="Book Antiqua" w:cs="Book Antiqua"/>
          <w:i/>
          <w:iCs/>
          <w:color w:val="000000"/>
        </w:rPr>
        <w:t>J Hepatol</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69</w:t>
      </w:r>
      <w:r w:rsidRPr="0021268C">
        <w:rPr>
          <w:rFonts w:ascii="Book Antiqua" w:eastAsia="Book Antiqua" w:hAnsi="Book Antiqua" w:cs="Book Antiqua"/>
          <w:color w:val="000000"/>
        </w:rPr>
        <w:t>: 182-236 [PMID: 29628281 DOI: 10.1016/j.jhep.2018.03.019]</w:t>
      </w:r>
    </w:p>
    <w:p w14:paraId="69C1E94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3 </w:t>
      </w:r>
      <w:r w:rsidRPr="0021268C">
        <w:rPr>
          <w:rFonts w:ascii="Book Antiqua" w:eastAsia="Book Antiqua" w:hAnsi="Book Antiqua" w:cs="Book Antiqua"/>
          <w:b/>
          <w:bCs/>
          <w:color w:val="000000"/>
        </w:rPr>
        <w:t>Heimbach JK</w:t>
      </w:r>
      <w:r w:rsidRPr="0021268C">
        <w:rPr>
          <w:rFonts w:ascii="Book Antiqua" w:eastAsia="Book Antiqua" w:hAnsi="Book Antiqua" w:cs="Book Antiqua"/>
          <w:color w:val="000000"/>
        </w:rPr>
        <w:t xml:space="preserve">, Kulik LM, Finn RS, Sirlin CB, Abecassis MM, Roberts LR, Zhu AX, Murad MH, Marrero JA. AASLD guidelines for the treatment of hepatocellular carcinoma. </w:t>
      </w:r>
      <w:r w:rsidRPr="0021268C">
        <w:rPr>
          <w:rFonts w:ascii="Book Antiqua" w:eastAsia="Book Antiqua" w:hAnsi="Book Antiqua" w:cs="Book Antiqua"/>
          <w:i/>
          <w:iCs/>
          <w:color w:val="000000"/>
        </w:rPr>
        <w:t>Hepatology</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67</w:t>
      </w:r>
      <w:r w:rsidRPr="0021268C">
        <w:rPr>
          <w:rFonts w:ascii="Book Antiqua" w:eastAsia="Book Antiqua" w:hAnsi="Book Antiqua" w:cs="Book Antiqua"/>
          <w:color w:val="000000"/>
        </w:rPr>
        <w:t>: 358-380 [PMID: 28130846 DOI: 10.1002/hep.29086]</w:t>
      </w:r>
    </w:p>
    <w:p w14:paraId="4F1FE1C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4 </w:t>
      </w:r>
      <w:r w:rsidRPr="0021268C">
        <w:rPr>
          <w:rFonts w:ascii="Book Antiqua" w:eastAsia="Book Antiqua" w:hAnsi="Book Antiqua" w:cs="Book Antiqua"/>
          <w:b/>
          <w:bCs/>
          <w:color w:val="000000"/>
        </w:rPr>
        <w:t>Yamamoto Y</w:t>
      </w:r>
      <w:r w:rsidRPr="0021268C">
        <w:rPr>
          <w:rFonts w:ascii="Book Antiqua" w:eastAsia="Book Antiqua" w:hAnsi="Book Antiqua" w:cs="Book Antiqua"/>
          <w:color w:val="000000"/>
        </w:rPr>
        <w:t xml:space="preserve">, Matsui J, Matsushima T, Obaishi H, Miyazaki K, Nakamura K, Tohyama O, Semba T, Yamaguchi A, Hoshi SS, Mimura F, Haneda T, Fukuda Y, Kamata JI, Takahashi K, Matsukura M, Wakabayashi T, Asada M, Nomoto KI, Watanabe T, Dezso Z, Yoshimatsu K, Funahashi Y, Tsuruoka A. Lenvatinib, an angiogenesis inhibitor targeting VEGFR/FGFR, shows broad antitumor activity in human tumor xenograft models associated with microvessel density and pericyte coverage. </w:t>
      </w:r>
      <w:r w:rsidRPr="0021268C">
        <w:rPr>
          <w:rFonts w:ascii="Book Antiqua" w:eastAsia="Book Antiqua" w:hAnsi="Book Antiqua" w:cs="Book Antiqua"/>
          <w:i/>
          <w:iCs/>
          <w:color w:val="000000"/>
        </w:rPr>
        <w:t>Vasc Cell</w:t>
      </w:r>
      <w:r w:rsidRPr="0021268C">
        <w:rPr>
          <w:rFonts w:ascii="Book Antiqua" w:eastAsia="Book Antiqua" w:hAnsi="Book Antiqua" w:cs="Book Antiqua"/>
          <w:color w:val="000000"/>
        </w:rPr>
        <w:t xml:space="preserve"> 2014; </w:t>
      </w:r>
      <w:r w:rsidRPr="0021268C">
        <w:rPr>
          <w:rFonts w:ascii="Book Antiqua" w:eastAsia="Book Antiqua" w:hAnsi="Book Antiqua" w:cs="Book Antiqua"/>
          <w:b/>
          <w:bCs/>
          <w:color w:val="000000"/>
        </w:rPr>
        <w:t>6</w:t>
      </w:r>
      <w:r w:rsidRPr="0021268C">
        <w:rPr>
          <w:rFonts w:ascii="Book Antiqua" w:eastAsia="Book Antiqua" w:hAnsi="Book Antiqua" w:cs="Book Antiqua"/>
          <w:color w:val="000000"/>
        </w:rPr>
        <w:t>: 18 [PMID: 25197551 DOI: 10.1186/2045-824X-6-18]</w:t>
      </w:r>
    </w:p>
    <w:p w14:paraId="1525489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lastRenderedPageBreak/>
        <w:t xml:space="preserve">5 </w:t>
      </w:r>
      <w:r w:rsidRPr="0021268C">
        <w:rPr>
          <w:rFonts w:ascii="Book Antiqua" w:eastAsia="Book Antiqua" w:hAnsi="Book Antiqua" w:cs="Book Antiqua"/>
          <w:b/>
          <w:bCs/>
          <w:color w:val="000000"/>
        </w:rPr>
        <w:t>Finn RS</w:t>
      </w:r>
      <w:r w:rsidRPr="0021268C">
        <w:rPr>
          <w:rFonts w:ascii="Book Antiqua" w:eastAsia="Book Antiqua" w:hAnsi="Book Antiqua" w:cs="Book Antiqua"/>
          <w:color w:val="000000"/>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21268C">
        <w:rPr>
          <w:rFonts w:ascii="Book Antiqua" w:eastAsia="Book Antiqua" w:hAnsi="Book Antiqua" w:cs="Book Antiqua"/>
          <w:i/>
          <w:iCs/>
          <w:color w:val="000000"/>
        </w:rPr>
        <w:t>N Engl J Med</w:t>
      </w:r>
      <w:r w:rsidRPr="0021268C">
        <w:rPr>
          <w:rFonts w:ascii="Book Antiqua" w:eastAsia="Book Antiqua" w:hAnsi="Book Antiqua" w:cs="Book Antiqua"/>
          <w:color w:val="000000"/>
        </w:rPr>
        <w:t xml:space="preserve"> 2020; </w:t>
      </w:r>
      <w:r w:rsidRPr="0021268C">
        <w:rPr>
          <w:rFonts w:ascii="Book Antiqua" w:eastAsia="Book Antiqua" w:hAnsi="Book Antiqua" w:cs="Book Antiqua"/>
          <w:b/>
          <w:bCs/>
          <w:color w:val="000000"/>
        </w:rPr>
        <w:t>382</w:t>
      </w:r>
      <w:r w:rsidRPr="0021268C">
        <w:rPr>
          <w:rFonts w:ascii="Book Antiqua" w:eastAsia="Book Antiqua" w:hAnsi="Book Antiqua" w:cs="Book Antiqua"/>
          <w:color w:val="000000"/>
        </w:rPr>
        <w:t>: 1894-1905 [PMID: 32402160 DOI: 10.1056/NEJMoa1915745]</w:t>
      </w:r>
    </w:p>
    <w:p w14:paraId="525F872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6 </w:t>
      </w:r>
      <w:r w:rsidRPr="0021268C">
        <w:rPr>
          <w:rFonts w:ascii="Book Antiqua" w:eastAsia="Book Antiqua" w:hAnsi="Book Antiqua" w:cs="Book Antiqua"/>
          <w:b/>
          <w:bCs/>
          <w:color w:val="000000"/>
        </w:rPr>
        <w:t>Pestana RC</w:t>
      </w:r>
      <w:r w:rsidRPr="0021268C">
        <w:rPr>
          <w:rFonts w:ascii="Book Antiqua" w:eastAsia="Book Antiqua" w:hAnsi="Book Antiqua" w:cs="Book Antiqua"/>
          <w:color w:val="000000"/>
        </w:rPr>
        <w:t xml:space="preserve">, Hassan MM, Abdel-Wahab R, Abugabal YI, Girard LM, Li D, Chang P, Raghav K, Morris J, Wolff RA, Rashid A, Amin HM, Kaseb A. Clinical and prognostic significance of circulating levels of angiopoietin-1 and angiopoietin-2 in hepatocellular carcinoma. </w:t>
      </w:r>
      <w:r w:rsidRPr="0021268C">
        <w:rPr>
          <w:rFonts w:ascii="Book Antiqua" w:eastAsia="Book Antiqua" w:hAnsi="Book Antiqua" w:cs="Book Antiqua"/>
          <w:i/>
          <w:iCs/>
          <w:color w:val="000000"/>
        </w:rPr>
        <w:t>Oncotarget</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9</w:t>
      </w:r>
      <w:r w:rsidRPr="0021268C">
        <w:rPr>
          <w:rFonts w:ascii="Book Antiqua" w:eastAsia="Book Antiqua" w:hAnsi="Book Antiqua" w:cs="Book Antiqua"/>
          <w:color w:val="000000"/>
        </w:rPr>
        <w:t>: 37721-37732 [PMID: 30701027 DOI: 10.18632/oncotarget.26507]</w:t>
      </w:r>
    </w:p>
    <w:p w14:paraId="35D0AE0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7 </w:t>
      </w:r>
      <w:r w:rsidRPr="0021268C">
        <w:rPr>
          <w:rFonts w:ascii="Book Antiqua" w:eastAsia="Book Antiqua" w:hAnsi="Book Antiqua" w:cs="Book Antiqua"/>
          <w:b/>
          <w:bCs/>
          <w:color w:val="000000"/>
        </w:rPr>
        <w:t>Torimura T</w:t>
      </w:r>
      <w:r w:rsidRPr="0021268C">
        <w:rPr>
          <w:rFonts w:ascii="Book Antiqua" w:eastAsia="Book Antiqua" w:hAnsi="Book Antiqua" w:cs="Book Antiqua"/>
          <w:color w:val="000000"/>
        </w:rPr>
        <w:t xml:space="preserve">, Ueno T, Kin M, Harada R, Taniguchi E, Nakamura T, Sakata R, Hashimoto O, Sakamoto M, Kumashiro R, Sata M, Nakashima O, Yano H, Kojiro M. Overexpression of angiopoietin-1 and angiopoietin-2 in hepatocellular carcinoma. </w:t>
      </w:r>
      <w:r w:rsidRPr="0021268C">
        <w:rPr>
          <w:rFonts w:ascii="Book Antiqua" w:eastAsia="Book Antiqua" w:hAnsi="Book Antiqua" w:cs="Book Antiqua"/>
          <w:i/>
          <w:iCs/>
          <w:color w:val="000000"/>
        </w:rPr>
        <w:t>J Hepatol</w:t>
      </w:r>
      <w:r w:rsidRPr="0021268C">
        <w:rPr>
          <w:rFonts w:ascii="Book Antiqua" w:eastAsia="Book Antiqua" w:hAnsi="Book Antiqua" w:cs="Book Antiqua"/>
          <w:color w:val="000000"/>
        </w:rPr>
        <w:t xml:space="preserve"> 2004; </w:t>
      </w:r>
      <w:r w:rsidRPr="0021268C">
        <w:rPr>
          <w:rFonts w:ascii="Book Antiqua" w:eastAsia="Book Antiqua" w:hAnsi="Book Antiqua" w:cs="Book Antiqua"/>
          <w:b/>
          <w:bCs/>
          <w:color w:val="000000"/>
        </w:rPr>
        <w:t>40</w:t>
      </w:r>
      <w:r w:rsidRPr="0021268C">
        <w:rPr>
          <w:rFonts w:ascii="Book Antiqua" w:eastAsia="Book Antiqua" w:hAnsi="Book Antiqua" w:cs="Book Antiqua"/>
          <w:color w:val="000000"/>
        </w:rPr>
        <w:t>: 799-807 [PMID: 15094228 DOI: 10.1016/j.jhep.2004.01.027]</w:t>
      </w:r>
    </w:p>
    <w:p w14:paraId="21B0E144"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8 </w:t>
      </w:r>
      <w:r w:rsidRPr="0021268C">
        <w:rPr>
          <w:rFonts w:ascii="Book Antiqua" w:eastAsia="Book Antiqua" w:hAnsi="Book Antiqua" w:cs="Book Antiqua"/>
          <w:b/>
          <w:bCs/>
          <w:color w:val="000000"/>
        </w:rPr>
        <w:t>Biel NM</w:t>
      </w:r>
      <w:r w:rsidRPr="0021268C">
        <w:rPr>
          <w:rFonts w:ascii="Book Antiqua" w:eastAsia="Book Antiqua" w:hAnsi="Book Antiqua" w:cs="Book Antiqua"/>
          <w:color w:val="000000"/>
        </w:rPr>
        <w:t xml:space="preserve">, Siemann DW. Targeting the Angiopoietin-2/Tie-2 axis in conjunction with VEGF signal interference. </w:t>
      </w:r>
      <w:r w:rsidRPr="0021268C">
        <w:rPr>
          <w:rFonts w:ascii="Book Antiqua" w:eastAsia="Book Antiqua" w:hAnsi="Book Antiqua" w:cs="Book Antiqua"/>
          <w:i/>
          <w:iCs/>
          <w:color w:val="000000"/>
        </w:rPr>
        <w:t>Cancer Lett</w:t>
      </w:r>
      <w:r w:rsidRPr="0021268C">
        <w:rPr>
          <w:rFonts w:ascii="Book Antiqua" w:eastAsia="Book Antiqua" w:hAnsi="Book Antiqua" w:cs="Book Antiqua"/>
          <w:color w:val="000000"/>
        </w:rPr>
        <w:t xml:space="preserve"> 2016; </w:t>
      </w:r>
      <w:r w:rsidRPr="0021268C">
        <w:rPr>
          <w:rFonts w:ascii="Book Antiqua" w:eastAsia="Book Antiqua" w:hAnsi="Book Antiqua" w:cs="Book Antiqua"/>
          <w:b/>
          <w:bCs/>
          <w:color w:val="000000"/>
        </w:rPr>
        <w:t>380</w:t>
      </w:r>
      <w:r w:rsidRPr="0021268C">
        <w:rPr>
          <w:rFonts w:ascii="Book Antiqua" w:eastAsia="Book Antiqua" w:hAnsi="Book Antiqua" w:cs="Book Antiqua"/>
          <w:color w:val="000000"/>
        </w:rPr>
        <w:t>: 525-533 [PMID: 25312939 DOI: 10.1016/j.canlet.2014.09.035]</w:t>
      </w:r>
    </w:p>
    <w:p w14:paraId="19BEB35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9 </w:t>
      </w:r>
      <w:r w:rsidRPr="0021268C">
        <w:rPr>
          <w:rFonts w:ascii="Book Antiqua" w:eastAsia="Book Antiqua" w:hAnsi="Book Antiqua" w:cs="Book Antiqua"/>
          <w:b/>
          <w:bCs/>
          <w:color w:val="000000"/>
        </w:rPr>
        <w:t>Morse MA</w:t>
      </w:r>
      <w:r w:rsidRPr="0021268C">
        <w:rPr>
          <w:rFonts w:ascii="Book Antiqua" w:eastAsia="Book Antiqua" w:hAnsi="Book Antiqua" w:cs="Book Antiqua"/>
          <w:color w:val="000000"/>
        </w:rPr>
        <w:t xml:space="preserve">, Sun W, Kim R, He AR, Abada PB, Mynderse M, Finn RS. The Role of Angiogenesis in Hepatocellular Carcinoma. </w:t>
      </w:r>
      <w:r w:rsidRPr="0021268C">
        <w:rPr>
          <w:rFonts w:ascii="Book Antiqua" w:eastAsia="Book Antiqua" w:hAnsi="Book Antiqua" w:cs="Book Antiqua"/>
          <w:i/>
          <w:iCs/>
          <w:color w:val="000000"/>
        </w:rPr>
        <w:t>Clin Cancer Res</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25</w:t>
      </w:r>
      <w:r w:rsidRPr="0021268C">
        <w:rPr>
          <w:rFonts w:ascii="Book Antiqua" w:eastAsia="Book Antiqua" w:hAnsi="Book Antiqua" w:cs="Book Antiqua"/>
          <w:color w:val="000000"/>
        </w:rPr>
        <w:t>: 912-920 [PMID: 30274981 DOI: 10.1158/1078-0432.CCR-18-1254]</w:t>
      </w:r>
    </w:p>
    <w:p w14:paraId="43F1D41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10 </w:t>
      </w:r>
      <w:r w:rsidRPr="0021268C">
        <w:rPr>
          <w:rFonts w:ascii="Book Antiqua" w:eastAsia="Book Antiqua" w:hAnsi="Book Antiqua" w:cs="Book Antiqua"/>
          <w:b/>
          <w:bCs/>
          <w:color w:val="000000"/>
        </w:rPr>
        <w:t>Akwii RG</w:t>
      </w:r>
      <w:r w:rsidRPr="0021268C">
        <w:rPr>
          <w:rFonts w:ascii="Book Antiqua" w:eastAsia="Book Antiqua" w:hAnsi="Book Antiqua" w:cs="Book Antiqua"/>
          <w:color w:val="000000"/>
        </w:rPr>
        <w:t xml:space="preserve">, Sajib MS, Zahra FT, Mikelis CM. Role of Angiopoietin-2 in Vascular Physiology and Pathophysiology. </w:t>
      </w:r>
      <w:r w:rsidRPr="0021268C">
        <w:rPr>
          <w:rFonts w:ascii="Book Antiqua" w:eastAsia="Book Antiqua" w:hAnsi="Book Antiqua" w:cs="Book Antiqua"/>
          <w:i/>
          <w:iCs/>
          <w:color w:val="000000"/>
        </w:rPr>
        <w:t>Cells</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8</w:t>
      </w:r>
      <w:r w:rsidRPr="0021268C">
        <w:rPr>
          <w:rFonts w:ascii="Book Antiqua" w:eastAsia="Book Antiqua" w:hAnsi="Book Antiqua" w:cs="Book Antiqua"/>
          <w:color w:val="000000"/>
        </w:rPr>
        <w:t xml:space="preserve"> [PMID: 31108880 DOI: 10.3390/cells8050471]</w:t>
      </w:r>
    </w:p>
    <w:p w14:paraId="2F62298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11 </w:t>
      </w:r>
      <w:r w:rsidRPr="0021268C">
        <w:rPr>
          <w:rFonts w:ascii="Book Antiqua" w:eastAsia="Book Antiqua" w:hAnsi="Book Antiqua" w:cs="Book Antiqua"/>
          <w:b/>
          <w:bCs/>
          <w:color w:val="000000"/>
        </w:rPr>
        <w:t>Bruix J</w:t>
      </w:r>
      <w:r w:rsidRPr="0021268C">
        <w:rPr>
          <w:rFonts w:ascii="Book Antiqua" w:eastAsia="Book Antiqua" w:hAnsi="Book Antiqua" w:cs="Book Antiqua"/>
          <w:color w:val="000000"/>
        </w:rPr>
        <w:t xml:space="preserve">, Sherman M; American Association for the Study of Liver Diseases. Management of hepatocellular carcinoma: an update. </w:t>
      </w:r>
      <w:r w:rsidRPr="0021268C">
        <w:rPr>
          <w:rFonts w:ascii="Book Antiqua" w:eastAsia="Book Antiqua" w:hAnsi="Book Antiqua" w:cs="Book Antiqua"/>
          <w:i/>
          <w:iCs/>
          <w:color w:val="000000"/>
        </w:rPr>
        <w:t>Hepatology</w:t>
      </w:r>
      <w:r w:rsidRPr="0021268C">
        <w:rPr>
          <w:rFonts w:ascii="Book Antiqua" w:eastAsia="Book Antiqua" w:hAnsi="Book Antiqua" w:cs="Book Antiqua"/>
          <w:color w:val="000000"/>
        </w:rPr>
        <w:t xml:space="preserve"> 2011; </w:t>
      </w:r>
      <w:r w:rsidRPr="0021268C">
        <w:rPr>
          <w:rFonts w:ascii="Book Antiqua" w:eastAsia="Book Antiqua" w:hAnsi="Book Antiqua" w:cs="Book Antiqua"/>
          <w:b/>
          <w:bCs/>
          <w:color w:val="000000"/>
        </w:rPr>
        <w:t>53</w:t>
      </w:r>
      <w:r w:rsidRPr="0021268C">
        <w:rPr>
          <w:rFonts w:ascii="Book Antiqua" w:eastAsia="Book Antiqua" w:hAnsi="Book Antiqua" w:cs="Book Antiqua"/>
          <w:color w:val="000000"/>
        </w:rPr>
        <w:t>: 1020-1022 [PMID: 21374666 DOI: 10.1002/hep.24199]</w:t>
      </w:r>
    </w:p>
    <w:p w14:paraId="63E0229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12 </w:t>
      </w:r>
      <w:r w:rsidRPr="0021268C">
        <w:rPr>
          <w:rFonts w:ascii="Book Antiqua" w:eastAsia="Book Antiqua" w:hAnsi="Book Antiqua" w:cs="Book Antiqua"/>
          <w:b/>
          <w:bCs/>
          <w:color w:val="000000"/>
        </w:rPr>
        <w:t>Di Nunno V</w:t>
      </w:r>
      <w:r w:rsidRPr="0021268C">
        <w:rPr>
          <w:rFonts w:ascii="Book Antiqua" w:eastAsia="Book Antiqua" w:hAnsi="Book Antiqua" w:cs="Book Antiqua"/>
          <w:color w:val="000000"/>
        </w:rPr>
        <w:t xml:space="preserve">, Santoni M, Cimadamore A, Battelli N, Massari F. Re: Gladell P. Paner, Walter M. Stadler, Donna E. Hansel, Rodolfo Montironi, Daniel W. Lin, Mahul B. Amin. Updates in the Eighth Edition of the Tumor-node-metastasis Staging Classification for </w:t>
      </w:r>
      <w:r w:rsidRPr="0021268C">
        <w:rPr>
          <w:rFonts w:ascii="Book Antiqua" w:eastAsia="Book Antiqua" w:hAnsi="Book Antiqua" w:cs="Book Antiqua"/>
          <w:color w:val="000000"/>
        </w:rPr>
        <w:lastRenderedPageBreak/>
        <w:t xml:space="preserve">Urologic Cancers. Eur Urol 2018;73:560-9: Tumour, Node, and Metastasis Staging System for Urological Malignancies: Are We Ready for the Next Step? </w:t>
      </w:r>
      <w:r w:rsidRPr="0021268C">
        <w:rPr>
          <w:rFonts w:ascii="Book Antiqua" w:eastAsia="Book Antiqua" w:hAnsi="Book Antiqua" w:cs="Book Antiqua"/>
          <w:i/>
          <w:iCs/>
          <w:color w:val="000000"/>
        </w:rPr>
        <w:t>Eur Urol</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74</w:t>
      </w:r>
      <w:r w:rsidRPr="0021268C">
        <w:rPr>
          <w:rFonts w:ascii="Book Antiqua" w:eastAsia="Book Antiqua" w:hAnsi="Book Antiqua" w:cs="Book Antiqua"/>
          <w:color w:val="000000"/>
        </w:rPr>
        <w:t>: e118-e119 [PMID: 30017397 DOI: 10.1016/j.eururo.2018.06.050]</w:t>
      </w:r>
    </w:p>
    <w:p w14:paraId="289AFE8D"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13 </w:t>
      </w:r>
      <w:r w:rsidRPr="0021268C">
        <w:rPr>
          <w:rFonts w:ascii="Book Antiqua" w:eastAsia="Book Antiqua" w:hAnsi="Book Antiqua" w:cs="Book Antiqua"/>
          <w:b/>
          <w:bCs/>
          <w:color w:val="000000"/>
        </w:rPr>
        <w:t>Allegretti AS</w:t>
      </w:r>
      <w:r w:rsidRPr="0021268C">
        <w:rPr>
          <w:rFonts w:ascii="Book Antiqua" w:eastAsia="Book Antiqua" w:hAnsi="Book Antiqua" w:cs="Book Antiqua"/>
          <w:color w:val="000000"/>
        </w:rPr>
        <w:t xml:space="preserve">, Vela Parada X, Ortiz GA, Long J, Krinsky S, Zhao S, Fuchs BC, Sojoodi M, Zhang D, Karumanchi SA, Kalim S, Nigwekar SU, Thadhani RI, Parikh SM, Chung RT. Serum Angiopoietin-2 Predicts Mortality and Kidney Outcomes in Decompensated Cirrhosis. </w:t>
      </w:r>
      <w:r w:rsidRPr="0021268C">
        <w:rPr>
          <w:rFonts w:ascii="Book Antiqua" w:eastAsia="Book Antiqua" w:hAnsi="Book Antiqua" w:cs="Book Antiqua"/>
          <w:i/>
          <w:iCs/>
          <w:color w:val="000000"/>
        </w:rPr>
        <w:t>Hepatology</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69</w:t>
      </w:r>
      <w:r w:rsidRPr="0021268C">
        <w:rPr>
          <w:rFonts w:ascii="Book Antiqua" w:eastAsia="Book Antiqua" w:hAnsi="Book Antiqua" w:cs="Book Antiqua"/>
          <w:color w:val="000000"/>
        </w:rPr>
        <w:t>: 729-741 [PMID: 30141205 DOI: 10.1002/hep.30230]</w:t>
      </w:r>
    </w:p>
    <w:p w14:paraId="5D2433F3"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14 </w:t>
      </w:r>
      <w:r w:rsidRPr="0021268C">
        <w:rPr>
          <w:rFonts w:ascii="Book Antiqua" w:eastAsia="Book Antiqua" w:hAnsi="Book Antiqua" w:cs="Book Antiqua"/>
          <w:b/>
          <w:bCs/>
          <w:color w:val="000000"/>
        </w:rPr>
        <w:t>Miyahara K</w:t>
      </w:r>
      <w:r w:rsidRPr="0021268C">
        <w:rPr>
          <w:rFonts w:ascii="Book Antiqua" w:eastAsia="Book Antiqua" w:hAnsi="Book Antiqua" w:cs="Book Antiqua"/>
          <w:color w:val="000000"/>
        </w:rPr>
        <w:t xml:space="preserve">, Nouso K, Morimoto Y, Takeuchi Y, Hagihara H, Kuwaki K, Onishi H, Ikeda F, Miyake Y, Nakamura S, Shiraha H, Takaki A, Honda M, Kaneko S, Sato T, Sato S, Obi S, Iwadou S, Kobayashi Y, Takaguchi K, Kariyama K, Takuma Y, Takabatake H, Yamamoto K; Okayama Liver Cancer Group. Pro-angiogenic cytokines for prediction of outcomes in patients with advanced hepatocellular carcinoma. </w:t>
      </w:r>
      <w:r w:rsidRPr="0021268C">
        <w:rPr>
          <w:rFonts w:ascii="Book Antiqua" w:eastAsia="Book Antiqua" w:hAnsi="Book Antiqua" w:cs="Book Antiqua"/>
          <w:i/>
          <w:iCs/>
          <w:color w:val="000000"/>
        </w:rPr>
        <w:t>Br J Cancer</w:t>
      </w:r>
      <w:r w:rsidRPr="0021268C">
        <w:rPr>
          <w:rFonts w:ascii="Book Antiqua" w:eastAsia="Book Antiqua" w:hAnsi="Book Antiqua" w:cs="Book Antiqua"/>
          <w:color w:val="000000"/>
        </w:rPr>
        <w:t xml:space="preserve"> 2013; </w:t>
      </w:r>
      <w:r w:rsidRPr="0021268C">
        <w:rPr>
          <w:rFonts w:ascii="Book Antiqua" w:eastAsia="Book Antiqua" w:hAnsi="Book Antiqua" w:cs="Book Antiqua"/>
          <w:b/>
          <w:bCs/>
          <w:color w:val="000000"/>
        </w:rPr>
        <w:t>109</w:t>
      </w:r>
      <w:r w:rsidRPr="0021268C">
        <w:rPr>
          <w:rFonts w:ascii="Book Antiqua" w:eastAsia="Book Antiqua" w:hAnsi="Book Antiqua" w:cs="Book Antiqua"/>
          <w:color w:val="000000"/>
        </w:rPr>
        <w:t>: 2072-2078 [PMID: 24045661 DOI: 10.1038/bjc.2013.554]</w:t>
      </w:r>
    </w:p>
    <w:p w14:paraId="50E9CB1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15 </w:t>
      </w:r>
      <w:r w:rsidRPr="0021268C">
        <w:rPr>
          <w:rFonts w:ascii="Book Antiqua" w:eastAsia="Book Antiqua" w:hAnsi="Book Antiqua" w:cs="Book Antiqua"/>
          <w:b/>
          <w:bCs/>
          <w:color w:val="000000"/>
        </w:rPr>
        <w:t>Llovet JM</w:t>
      </w:r>
      <w:r w:rsidRPr="0021268C">
        <w:rPr>
          <w:rFonts w:ascii="Book Antiqua" w:eastAsia="Book Antiqua" w:hAnsi="Book Antiqua" w:cs="Book Antiqua"/>
          <w:color w:val="000000"/>
        </w:rPr>
        <w:t xml:space="preserve">, Peña CE, Lathia CD, Shan M, Meinhardt G, Bruix J; SHARP Investigators Study Group. Plasma biomarkers as predictors of outcome in patients with advanced hepatocellular carcinoma. </w:t>
      </w:r>
      <w:r w:rsidRPr="0021268C">
        <w:rPr>
          <w:rFonts w:ascii="Book Antiqua" w:eastAsia="Book Antiqua" w:hAnsi="Book Antiqua" w:cs="Book Antiqua"/>
          <w:i/>
          <w:iCs/>
          <w:color w:val="000000"/>
        </w:rPr>
        <w:t>Clin Cancer Res</w:t>
      </w:r>
      <w:r w:rsidRPr="0021268C">
        <w:rPr>
          <w:rFonts w:ascii="Book Antiqua" w:eastAsia="Book Antiqua" w:hAnsi="Book Antiqua" w:cs="Book Antiqua"/>
          <w:color w:val="000000"/>
        </w:rPr>
        <w:t xml:space="preserve"> 2012; </w:t>
      </w:r>
      <w:r w:rsidRPr="0021268C">
        <w:rPr>
          <w:rFonts w:ascii="Book Antiqua" w:eastAsia="Book Antiqua" w:hAnsi="Book Antiqua" w:cs="Book Antiqua"/>
          <w:b/>
          <w:bCs/>
          <w:color w:val="000000"/>
        </w:rPr>
        <w:t>18</w:t>
      </w:r>
      <w:r w:rsidRPr="0021268C">
        <w:rPr>
          <w:rFonts w:ascii="Book Antiqua" w:eastAsia="Book Antiqua" w:hAnsi="Book Antiqua" w:cs="Book Antiqua"/>
          <w:color w:val="000000"/>
        </w:rPr>
        <w:t>: 2290-2300 [PMID: 22374331 DOI: 10.1158/1078-0432.CCR-11-2175]</w:t>
      </w:r>
    </w:p>
    <w:p w14:paraId="34220F9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16 </w:t>
      </w:r>
      <w:r w:rsidRPr="0021268C">
        <w:rPr>
          <w:rFonts w:ascii="Book Antiqua" w:eastAsia="Book Antiqua" w:hAnsi="Book Antiqua" w:cs="Book Antiqua"/>
          <w:b/>
          <w:bCs/>
          <w:color w:val="000000"/>
        </w:rPr>
        <w:t>Chen Y</w:t>
      </w:r>
      <w:r w:rsidRPr="0021268C">
        <w:rPr>
          <w:rFonts w:ascii="Book Antiqua" w:eastAsia="Book Antiqua" w:hAnsi="Book Antiqua" w:cs="Book Antiqua"/>
          <w:color w:val="000000"/>
        </w:rPr>
        <w:t xml:space="preserve">, Wu Y, Zhang X, Zeng H, Liu Y, Wu Q, Chen Y, Zhu G, Pan Q, Jin L, Guo L, Sun F. Angiopoietin-2 (Ang-2) is a useful serum tumor marker for liver cancer in the Chinese population. </w:t>
      </w:r>
      <w:r w:rsidRPr="0021268C">
        <w:rPr>
          <w:rFonts w:ascii="Book Antiqua" w:eastAsia="Book Antiqua" w:hAnsi="Book Antiqua" w:cs="Book Antiqua"/>
          <w:i/>
          <w:iCs/>
          <w:color w:val="000000"/>
        </w:rPr>
        <w:t>Clin Chim Acta</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478</w:t>
      </w:r>
      <w:r w:rsidRPr="0021268C">
        <w:rPr>
          <w:rFonts w:ascii="Book Antiqua" w:eastAsia="Book Antiqua" w:hAnsi="Book Antiqua" w:cs="Book Antiqua"/>
          <w:color w:val="000000"/>
        </w:rPr>
        <w:t>: 18-27 [PMID: 29253494 DOI: 10.1016/j.cca.2017.12.017]</w:t>
      </w:r>
    </w:p>
    <w:p w14:paraId="19BC2D6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17 </w:t>
      </w:r>
      <w:r w:rsidRPr="0021268C">
        <w:rPr>
          <w:rFonts w:ascii="Book Antiqua" w:eastAsia="Book Antiqua" w:hAnsi="Book Antiqua" w:cs="Book Antiqua"/>
          <w:b/>
          <w:bCs/>
          <w:color w:val="000000"/>
        </w:rPr>
        <w:t>Coffelt SB</w:t>
      </w:r>
      <w:r w:rsidRPr="0021268C">
        <w:rPr>
          <w:rFonts w:ascii="Book Antiqua" w:eastAsia="Book Antiqua" w:hAnsi="Book Antiqua" w:cs="Book Antiqua"/>
          <w:color w:val="000000"/>
        </w:rPr>
        <w:t xml:space="preserve">, Tal AO, Scholz A, De Palma M, Patel S, Urbich C, Biswas SK, Murdoch C, Plate KH, Reiss Y, Lewis CE. Angiopoietin-2 regulates gene expression in TIE2-expressing monocytes and augments their inherent proangiogenic functions. </w:t>
      </w:r>
      <w:r w:rsidRPr="0021268C">
        <w:rPr>
          <w:rFonts w:ascii="Book Antiqua" w:eastAsia="Book Antiqua" w:hAnsi="Book Antiqua" w:cs="Book Antiqua"/>
          <w:i/>
          <w:iCs/>
          <w:color w:val="000000"/>
        </w:rPr>
        <w:t>Cancer Res</w:t>
      </w:r>
      <w:r w:rsidRPr="0021268C">
        <w:rPr>
          <w:rFonts w:ascii="Book Antiqua" w:eastAsia="Book Antiqua" w:hAnsi="Book Antiqua" w:cs="Book Antiqua"/>
          <w:color w:val="000000"/>
        </w:rPr>
        <w:t xml:space="preserve"> 2010; </w:t>
      </w:r>
      <w:r w:rsidRPr="0021268C">
        <w:rPr>
          <w:rFonts w:ascii="Book Antiqua" w:eastAsia="Book Antiqua" w:hAnsi="Book Antiqua" w:cs="Book Antiqua"/>
          <w:b/>
          <w:bCs/>
          <w:color w:val="000000"/>
        </w:rPr>
        <w:t>70</w:t>
      </w:r>
      <w:r w:rsidRPr="0021268C">
        <w:rPr>
          <w:rFonts w:ascii="Book Antiqua" w:eastAsia="Book Antiqua" w:hAnsi="Book Antiqua" w:cs="Book Antiqua"/>
          <w:color w:val="000000"/>
        </w:rPr>
        <w:t>: 5270-5280 [PMID: 20530679 DOI: 10.1158/0008-5472.CAN-10-0012]</w:t>
      </w:r>
    </w:p>
    <w:p w14:paraId="6327A32F"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18 </w:t>
      </w:r>
      <w:r w:rsidRPr="0021268C">
        <w:rPr>
          <w:rFonts w:ascii="Book Antiqua" w:eastAsia="Book Antiqua" w:hAnsi="Book Antiqua" w:cs="Book Antiqua"/>
          <w:b/>
          <w:bCs/>
          <w:color w:val="000000"/>
        </w:rPr>
        <w:t>Matsubara T</w:t>
      </w:r>
      <w:r w:rsidRPr="0021268C">
        <w:rPr>
          <w:rFonts w:ascii="Book Antiqua" w:eastAsia="Book Antiqua" w:hAnsi="Book Antiqua" w:cs="Book Antiqua"/>
          <w:color w:val="000000"/>
        </w:rPr>
        <w:t xml:space="preserve">, Kanto T, Kuroda S, Yoshio S, Higashitani K, Kakita N, Miyazaki M, Sakakibara M, Hiramatsu N, Kasahara A, Tomimaru Y, Tomokuni A, Nagano H, Hayashi N, Takehara T. TIE2-expressing monocytes as a diagnostic marker for </w:t>
      </w:r>
      <w:r w:rsidRPr="0021268C">
        <w:rPr>
          <w:rFonts w:ascii="Book Antiqua" w:eastAsia="Book Antiqua" w:hAnsi="Book Antiqua" w:cs="Book Antiqua"/>
          <w:color w:val="000000"/>
        </w:rPr>
        <w:lastRenderedPageBreak/>
        <w:t xml:space="preserve">hepatocellular carcinoma correlates with angiogenesis. </w:t>
      </w:r>
      <w:r w:rsidRPr="0021268C">
        <w:rPr>
          <w:rFonts w:ascii="Book Antiqua" w:eastAsia="Book Antiqua" w:hAnsi="Book Antiqua" w:cs="Book Antiqua"/>
          <w:i/>
          <w:iCs/>
          <w:color w:val="000000"/>
        </w:rPr>
        <w:t>Hepatology</w:t>
      </w:r>
      <w:r w:rsidRPr="0021268C">
        <w:rPr>
          <w:rFonts w:ascii="Book Antiqua" w:eastAsia="Book Antiqua" w:hAnsi="Book Antiqua" w:cs="Book Antiqua"/>
          <w:color w:val="000000"/>
        </w:rPr>
        <w:t xml:space="preserve"> 2013; </w:t>
      </w:r>
      <w:r w:rsidRPr="0021268C">
        <w:rPr>
          <w:rFonts w:ascii="Book Antiqua" w:eastAsia="Book Antiqua" w:hAnsi="Book Antiqua" w:cs="Book Antiqua"/>
          <w:b/>
          <w:bCs/>
          <w:color w:val="000000"/>
        </w:rPr>
        <w:t>57</w:t>
      </w:r>
      <w:r w:rsidRPr="0021268C">
        <w:rPr>
          <w:rFonts w:ascii="Book Antiqua" w:eastAsia="Book Antiqua" w:hAnsi="Book Antiqua" w:cs="Book Antiqua"/>
          <w:color w:val="000000"/>
        </w:rPr>
        <w:t>: 1416-1425 [PMID: 22815256 DOI: 10.1002/hep.25965]</w:t>
      </w:r>
    </w:p>
    <w:p w14:paraId="02AC343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19 </w:t>
      </w:r>
      <w:r w:rsidRPr="0021268C">
        <w:rPr>
          <w:rFonts w:ascii="Book Antiqua" w:eastAsia="Book Antiqua" w:hAnsi="Book Antiqua" w:cs="Book Antiqua"/>
          <w:b/>
          <w:bCs/>
          <w:color w:val="000000"/>
        </w:rPr>
        <w:t>Gillen J</w:t>
      </w:r>
      <w:r w:rsidRPr="0021268C">
        <w:rPr>
          <w:rFonts w:ascii="Book Antiqua" w:eastAsia="Book Antiqua" w:hAnsi="Book Antiqua" w:cs="Book Antiqua"/>
          <w:color w:val="000000"/>
        </w:rPr>
        <w:t xml:space="preserve">, Richardson D, Moore K. Angiopoietin-1 and Angiopoietin-2 Inhibitors: Clinical Development. </w:t>
      </w:r>
      <w:r w:rsidRPr="0021268C">
        <w:rPr>
          <w:rFonts w:ascii="Book Antiqua" w:eastAsia="Book Antiqua" w:hAnsi="Book Antiqua" w:cs="Book Antiqua"/>
          <w:i/>
          <w:iCs/>
          <w:color w:val="000000"/>
        </w:rPr>
        <w:t>Curr Oncol Rep</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21</w:t>
      </w:r>
      <w:r w:rsidRPr="0021268C">
        <w:rPr>
          <w:rFonts w:ascii="Book Antiqua" w:eastAsia="Book Antiqua" w:hAnsi="Book Antiqua" w:cs="Book Antiqua"/>
          <w:color w:val="000000"/>
        </w:rPr>
        <w:t>: 22 [PMID: 30806847 DOI: 10.1007/s11912-019-0771-9]</w:t>
      </w:r>
    </w:p>
    <w:p w14:paraId="235B07C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20 </w:t>
      </w:r>
      <w:r w:rsidRPr="0021268C">
        <w:rPr>
          <w:rFonts w:ascii="Book Antiqua" w:eastAsia="Book Antiqua" w:hAnsi="Book Antiqua" w:cs="Book Antiqua"/>
          <w:b/>
          <w:bCs/>
          <w:color w:val="000000"/>
        </w:rPr>
        <w:t>Zeng F</w:t>
      </w:r>
      <w:r w:rsidRPr="0021268C">
        <w:rPr>
          <w:rFonts w:ascii="Book Antiqua" w:eastAsia="Book Antiqua" w:hAnsi="Book Antiqua" w:cs="Book Antiqua"/>
          <w:color w:val="000000"/>
        </w:rPr>
        <w:t xml:space="preserve">, Chen B, Zeng J, Wang Z, Xiao L, Deng G. Preoperative neutrophil-lymphocyte ratio predicts the risk of microvascular invasion in hepatocellular carcinoma: A meta-analysis. </w:t>
      </w:r>
      <w:r w:rsidRPr="0021268C">
        <w:rPr>
          <w:rFonts w:ascii="Book Antiqua" w:eastAsia="Book Antiqua" w:hAnsi="Book Antiqua" w:cs="Book Antiqua"/>
          <w:i/>
          <w:iCs/>
          <w:color w:val="000000"/>
        </w:rPr>
        <w:t>Int J Biol Markers</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34</w:t>
      </w:r>
      <w:r w:rsidRPr="0021268C">
        <w:rPr>
          <w:rFonts w:ascii="Book Antiqua" w:eastAsia="Book Antiqua" w:hAnsi="Book Antiqua" w:cs="Book Antiqua"/>
          <w:color w:val="000000"/>
        </w:rPr>
        <w:t>: 213-220 [PMID: 31507240 DOI: 10.1177/1724600819874487]</w:t>
      </w:r>
    </w:p>
    <w:p w14:paraId="76463E2D"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21 </w:t>
      </w:r>
      <w:r w:rsidRPr="0021268C">
        <w:rPr>
          <w:rFonts w:ascii="Book Antiqua" w:eastAsia="Book Antiqua" w:hAnsi="Book Antiqua" w:cs="Book Antiqua"/>
          <w:b/>
          <w:bCs/>
          <w:color w:val="000000"/>
        </w:rPr>
        <w:t>Qi X</w:t>
      </w:r>
      <w:r w:rsidRPr="0021268C">
        <w:rPr>
          <w:rFonts w:ascii="Book Antiqua" w:eastAsia="Book Antiqua" w:hAnsi="Book Antiqua" w:cs="Book Antiqua"/>
          <w:color w:val="000000"/>
        </w:rPr>
        <w:t xml:space="preserve">, Li J, Deng H, Li H, Su C, Guo X. Neutrophil-to-lymphocyte ratio for the prognostic assessment of hepatocellular carcinoma: A systematic review and meta-analysis of observational studies. </w:t>
      </w:r>
      <w:r w:rsidRPr="0021268C">
        <w:rPr>
          <w:rFonts w:ascii="Book Antiqua" w:eastAsia="Book Antiqua" w:hAnsi="Book Antiqua" w:cs="Book Antiqua"/>
          <w:i/>
          <w:iCs/>
          <w:color w:val="000000"/>
        </w:rPr>
        <w:t>Oncotarget</w:t>
      </w:r>
      <w:r w:rsidRPr="0021268C">
        <w:rPr>
          <w:rFonts w:ascii="Book Antiqua" w:eastAsia="Book Antiqua" w:hAnsi="Book Antiqua" w:cs="Book Antiqua"/>
          <w:color w:val="000000"/>
        </w:rPr>
        <w:t xml:space="preserve"> 2016; </w:t>
      </w:r>
      <w:r w:rsidRPr="0021268C">
        <w:rPr>
          <w:rFonts w:ascii="Book Antiqua" w:eastAsia="Book Antiqua" w:hAnsi="Book Antiqua" w:cs="Book Antiqua"/>
          <w:b/>
          <w:bCs/>
          <w:color w:val="000000"/>
        </w:rPr>
        <w:t>7</w:t>
      </w:r>
      <w:r w:rsidRPr="0021268C">
        <w:rPr>
          <w:rFonts w:ascii="Book Antiqua" w:eastAsia="Book Antiqua" w:hAnsi="Book Antiqua" w:cs="Book Antiqua"/>
          <w:color w:val="000000"/>
        </w:rPr>
        <w:t>: 45283-45301 [PMID: 27304193 DOI: 10.18632/oncotarget.9942]</w:t>
      </w:r>
    </w:p>
    <w:p w14:paraId="7FCC2FD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22 </w:t>
      </w:r>
      <w:r w:rsidRPr="0021268C">
        <w:rPr>
          <w:rFonts w:ascii="Book Antiqua" w:eastAsia="Book Antiqua" w:hAnsi="Book Antiqua" w:cs="Book Antiqua"/>
          <w:b/>
          <w:bCs/>
          <w:color w:val="000000"/>
        </w:rPr>
        <w:t>Wang Y</w:t>
      </w:r>
      <w:r w:rsidRPr="0021268C">
        <w:rPr>
          <w:rFonts w:ascii="Book Antiqua" w:eastAsia="Book Antiqua" w:hAnsi="Book Antiqua" w:cs="Book Antiqua"/>
          <w:color w:val="000000"/>
        </w:rPr>
        <w:t xml:space="preserve">, Peng C, Cheng Z, Wang X, Wu L, Li J, Huang C, Guo Q, Cai H. The prognostic significance of preoperative neutrophil-lymphocyte ratio in patients with hepatocellular carcinoma receiving hepatectomy: A systematic review and meta-analysis. </w:t>
      </w:r>
      <w:r w:rsidRPr="0021268C">
        <w:rPr>
          <w:rFonts w:ascii="Book Antiqua" w:eastAsia="Book Antiqua" w:hAnsi="Book Antiqua" w:cs="Book Antiqua"/>
          <w:i/>
          <w:iCs/>
          <w:color w:val="000000"/>
        </w:rPr>
        <w:t>Int J Surg</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55</w:t>
      </w:r>
      <w:r w:rsidRPr="0021268C">
        <w:rPr>
          <w:rFonts w:ascii="Book Antiqua" w:eastAsia="Book Antiqua" w:hAnsi="Book Antiqua" w:cs="Book Antiqua"/>
          <w:color w:val="000000"/>
        </w:rPr>
        <w:t>: 73-80 [PMID: 29787804 DOI: 10.1016/j.ijsu.2018.05.022]</w:t>
      </w:r>
    </w:p>
    <w:p w14:paraId="57554AA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23 </w:t>
      </w:r>
      <w:r w:rsidRPr="0021268C">
        <w:rPr>
          <w:rFonts w:ascii="Book Antiqua" w:eastAsia="Book Antiqua" w:hAnsi="Book Antiqua" w:cs="Book Antiqua"/>
          <w:b/>
          <w:bCs/>
          <w:color w:val="000000"/>
        </w:rPr>
        <w:t>Zheng J</w:t>
      </w:r>
      <w:r w:rsidRPr="0021268C">
        <w:rPr>
          <w:rFonts w:ascii="Book Antiqua" w:eastAsia="Book Antiqua" w:hAnsi="Book Antiqua" w:cs="Book Antiqua"/>
          <w:color w:val="000000"/>
        </w:rPr>
        <w:t xml:space="preserve">, Cai J, Li H, Zeng K, He L, Fu H, Zhang J, Chen L, Yao J, Zhang Y, Yang Y. Neutrophil to Lymphocyte Ratio and Platelet to Lymphocyte Ratio as Prognostic Predictors for Hepatocellular Carcinoma Patients with Various Treatments: a Meta-Analysis and Systematic Review. </w:t>
      </w:r>
      <w:r w:rsidRPr="0021268C">
        <w:rPr>
          <w:rFonts w:ascii="Book Antiqua" w:eastAsia="Book Antiqua" w:hAnsi="Book Antiqua" w:cs="Book Antiqua"/>
          <w:i/>
          <w:iCs/>
          <w:color w:val="000000"/>
        </w:rPr>
        <w:t>Cell Physiol Biochem</w:t>
      </w:r>
      <w:r w:rsidRPr="0021268C">
        <w:rPr>
          <w:rFonts w:ascii="Book Antiqua" w:eastAsia="Book Antiqua" w:hAnsi="Book Antiqua" w:cs="Book Antiqua"/>
          <w:color w:val="000000"/>
        </w:rPr>
        <w:t xml:space="preserve"> 2017; </w:t>
      </w:r>
      <w:r w:rsidRPr="0021268C">
        <w:rPr>
          <w:rFonts w:ascii="Book Antiqua" w:eastAsia="Book Antiqua" w:hAnsi="Book Antiqua" w:cs="Book Antiqua"/>
          <w:b/>
          <w:bCs/>
          <w:color w:val="000000"/>
        </w:rPr>
        <w:t>44</w:t>
      </w:r>
      <w:r w:rsidRPr="0021268C">
        <w:rPr>
          <w:rFonts w:ascii="Book Antiqua" w:eastAsia="Book Antiqua" w:hAnsi="Book Antiqua" w:cs="Book Antiqua"/>
          <w:color w:val="000000"/>
        </w:rPr>
        <w:t>: 967-981 [PMID: 29179180 DOI: 10.1159/000485396]</w:t>
      </w:r>
    </w:p>
    <w:p w14:paraId="7E1E2EB3"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24 </w:t>
      </w:r>
      <w:r w:rsidRPr="0021268C">
        <w:rPr>
          <w:rFonts w:ascii="Book Antiqua" w:eastAsia="Book Antiqua" w:hAnsi="Book Antiqua" w:cs="Book Antiqua"/>
          <w:b/>
          <w:bCs/>
          <w:color w:val="000000"/>
        </w:rPr>
        <w:t>Llovet JM</w:t>
      </w:r>
      <w:r w:rsidRPr="0021268C">
        <w:rPr>
          <w:rFonts w:ascii="Book Antiqua" w:eastAsia="Book Antiqua" w:hAnsi="Book Antiqua" w:cs="Book Antiqua"/>
          <w:color w:val="000000"/>
        </w:rPr>
        <w:t xml:space="preserve">, Montal R, Sia D, Finn RS. Molecular therapies and precision medicine for hepatocellular carcinoma. </w:t>
      </w:r>
      <w:r w:rsidRPr="0021268C">
        <w:rPr>
          <w:rFonts w:ascii="Book Antiqua" w:eastAsia="Book Antiqua" w:hAnsi="Book Antiqua" w:cs="Book Antiqua"/>
          <w:i/>
          <w:iCs/>
          <w:color w:val="000000"/>
        </w:rPr>
        <w:t>Nat Rev Clin Oncol</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15</w:t>
      </w:r>
      <w:r w:rsidRPr="0021268C">
        <w:rPr>
          <w:rFonts w:ascii="Book Antiqua" w:eastAsia="Book Antiqua" w:hAnsi="Book Antiqua" w:cs="Book Antiqua"/>
          <w:color w:val="000000"/>
        </w:rPr>
        <w:t>: 599-616 [PMID: 30061739 DOI: 10.1038/s41571-018-0073-4]</w:t>
      </w:r>
    </w:p>
    <w:p w14:paraId="66F28C2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25 </w:t>
      </w:r>
      <w:r w:rsidRPr="0021268C">
        <w:rPr>
          <w:rFonts w:ascii="Book Antiqua" w:eastAsia="Book Antiqua" w:hAnsi="Book Antiqua" w:cs="Book Antiqua"/>
          <w:b/>
          <w:bCs/>
          <w:color w:val="000000"/>
        </w:rPr>
        <w:t>Chuma M</w:t>
      </w:r>
      <w:r w:rsidRPr="0021268C">
        <w:rPr>
          <w:rFonts w:ascii="Book Antiqua" w:eastAsia="Book Antiqua" w:hAnsi="Book Antiqua" w:cs="Book Antiqua"/>
          <w:color w:val="000000"/>
        </w:rPr>
        <w:t xml:space="preserve">, Uojima H, Numata K, Hidaka H, Toyoda H, Hiraoka A, Tada T, Hirose S, Atsukawa M, Itokawa N, Arai T, Kako M, Nakazawa T, Wada N, Iwasaki S, Miura Y, Hishiki S, Nishigori S, Morimoto M, Hattori N, Ogushi K, Nozaki A, Fukuda H, Kagawa T, Michitaka K, Kumada T, Maeda S. Early Changes in Circulating FGF19 and </w:t>
      </w:r>
      <w:r w:rsidRPr="0021268C">
        <w:rPr>
          <w:rFonts w:ascii="Book Antiqua" w:eastAsia="Book Antiqua" w:hAnsi="Book Antiqua" w:cs="Book Antiqua"/>
          <w:color w:val="000000"/>
        </w:rPr>
        <w:lastRenderedPageBreak/>
        <w:t xml:space="preserve">Ang-2 Levels as Possible Predictive Biomarkers of Clinical Response to Lenvatinib Therapy in Hepatocellular Carcinoma. </w:t>
      </w:r>
      <w:r w:rsidRPr="0021268C">
        <w:rPr>
          <w:rFonts w:ascii="Book Antiqua" w:eastAsia="Book Antiqua" w:hAnsi="Book Antiqua" w:cs="Book Antiqua"/>
          <w:i/>
          <w:iCs/>
          <w:color w:val="000000"/>
        </w:rPr>
        <w:t>Cancers (Basel)</w:t>
      </w:r>
      <w:r w:rsidRPr="0021268C">
        <w:rPr>
          <w:rFonts w:ascii="Book Antiqua" w:eastAsia="Book Antiqua" w:hAnsi="Book Antiqua" w:cs="Book Antiqua"/>
          <w:color w:val="000000"/>
        </w:rPr>
        <w:t xml:space="preserve"> 2020; </w:t>
      </w:r>
      <w:r w:rsidRPr="0021268C">
        <w:rPr>
          <w:rFonts w:ascii="Book Antiqua" w:eastAsia="Book Antiqua" w:hAnsi="Book Antiqua" w:cs="Book Antiqua"/>
          <w:b/>
          <w:bCs/>
          <w:color w:val="000000"/>
        </w:rPr>
        <w:t>12</w:t>
      </w:r>
      <w:r w:rsidRPr="0021268C">
        <w:rPr>
          <w:rFonts w:ascii="Book Antiqua" w:eastAsia="Book Antiqua" w:hAnsi="Book Antiqua" w:cs="Book Antiqua"/>
          <w:color w:val="000000"/>
        </w:rPr>
        <w:t xml:space="preserve"> [PMID: 31991869 DOI: 10.3390/cancers12020293]</w:t>
      </w:r>
    </w:p>
    <w:p w14:paraId="01F78937"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26 </w:t>
      </w:r>
      <w:r w:rsidRPr="0021268C">
        <w:rPr>
          <w:rFonts w:ascii="Book Antiqua" w:eastAsia="Book Antiqua" w:hAnsi="Book Antiqua" w:cs="Book Antiqua"/>
          <w:b/>
          <w:bCs/>
          <w:color w:val="000000"/>
        </w:rPr>
        <w:t>Kim HY</w:t>
      </w:r>
      <w:r w:rsidRPr="0021268C">
        <w:rPr>
          <w:rFonts w:ascii="Book Antiqua" w:eastAsia="Book Antiqua" w:hAnsi="Book Antiqua" w:cs="Book Antiqua"/>
          <w:color w:val="000000"/>
        </w:rPr>
        <w:t xml:space="preserve">, Lee DH, Lee JH, Cho YY, Cho EJ, Yu SJ, Kim YJ, Yoon JH. Novel biomarker-based model for the prediction of sorafenib response and overall survival in advanced hepatocellular carcinoma: a prospective cohort study. </w:t>
      </w:r>
      <w:r w:rsidRPr="0021268C">
        <w:rPr>
          <w:rFonts w:ascii="Book Antiqua" w:eastAsia="Book Antiqua" w:hAnsi="Book Antiqua" w:cs="Book Antiqua"/>
          <w:i/>
          <w:iCs/>
          <w:color w:val="000000"/>
        </w:rPr>
        <w:t>BMC Cancer</w:t>
      </w:r>
      <w:r w:rsidRPr="0021268C">
        <w:rPr>
          <w:rFonts w:ascii="Book Antiqua" w:eastAsia="Book Antiqua" w:hAnsi="Book Antiqua" w:cs="Book Antiqua"/>
          <w:color w:val="000000"/>
        </w:rPr>
        <w:t xml:space="preserve"> 2018; </w:t>
      </w:r>
      <w:r w:rsidRPr="0021268C">
        <w:rPr>
          <w:rFonts w:ascii="Book Antiqua" w:eastAsia="Book Antiqua" w:hAnsi="Book Antiqua" w:cs="Book Antiqua"/>
          <w:b/>
          <w:bCs/>
          <w:color w:val="000000"/>
        </w:rPr>
        <w:t>18</w:t>
      </w:r>
      <w:r w:rsidRPr="0021268C">
        <w:rPr>
          <w:rFonts w:ascii="Book Antiqua" w:eastAsia="Book Antiqua" w:hAnsi="Book Antiqua" w:cs="Book Antiqua"/>
          <w:color w:val="000000"/>
        </w:rPr>
        <w:t>: 307 [PMID: 29558905 DOI: 10.1186/s12885-018-4211-2]</w:t>
      </w:r>
    </w:p>
    <w:p w14:paraId="1057BCA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27 </w:t>
      </w:r>
      <w:r w:rsidRPr="0021268C">
        <w:rPr>
          <w:rFonts w:ascii="Book Antiqua" w:eastAsia="Book Antiqua" w:hAnsi="Book Antiqua" w:cs="Book Antiqua"/>
          <w:b/>
          <w:bCs/>
          <w:color w:val="000000"/>
        </w:rPr>
        <w:t>Marisi G</w:t>
      </w:r>
      <w:r w:rsidRPr="0021268C">
        <w:rPr>
          <w:rFonts w:ascii="Book Antiqua" w:eastAsia="Book Antiqua" w:hAnsi="Book Antiqua" w:cs="Book Antiqua"/>
          <w:color w:val="000000"/>
        </w:rPr>
        <w:t xml:space="preserve">, Petracci E, Raimondi F, Faloppi L, Foschi FG, Lauletta G, Iavarone M, Canale M, Valgiusti M, Neri LM, Ulivi P, Orsi G, Rovesti G, Vukotic R, Conti F, Cucchetti A, Ercolani G, Andrikou K, Cascinu S, Scartozzi M, Casadei-Gardini A. </w:t>
      </w:r>
      <w:r w:rsidRPr="0021268C">
        <w:rPr>
          <w:rFonts w:ascii="Book Antiqua" w:eastAsia="Book Antiqua" w:hAnsi="Book Antiqua" w:cs="Book Antiqua"/>
          <w:i/>
          <w:iCs/>
          <w:color w:val="000000"/>
        </w:rPr>
        <w:t>ANGPT2</w:t>
      </w:r>
      <w:r w:rsidRPr="0021268C">
        <w:rPr>
          <w:rFonts w:ascii="Book Antiqua" w:eastAsia="Book Antiqua" w:hAnsi="Book Antiqua" w:cs="Book Antiqua"/>
          <w:color w:val="000000"/>
        </w:rPr>
        <w:t xml:space="preserve"> and </w:t>
      </w:r>
      <w:r w:rsidRPr="0021268C">
        <w:rPr>
          <w:rFonts w:ascii="Book Antiqua" w:eastAsia="Book Antiqua" w:hAnsi="Book Antiqua" w:cs="Book Antiqua"/>
          <w:i/>
          <w:iCs/>
          <w:color w:val="000000"/>
        </w:rPr>
        <w:t>NOS3</w:t>
      </w:r>
      <w:r w:rsidRPr="0021268C">
        <w:rPr>
          <w:rFonts w:ascii="Book Antiqua" w:eastAsia="Book Antiqua" w:hAnsi="Book Antiqua" w:cs="Book Antiqua"/>
          <w:color w:val="000000"/>
        </w:rPr>
        <w:t xml:space="preserve"> Polymorphisms and Clinical Outcome in Advanced Hepatocellular Carcinoma Patients Receiving Sorafenib. </w:t>
      </w:r>
      <w:r w:rsidRPr="0021268C">
        <w:rPr>
          <w:rFonts w:ascii="Book Antiqua" w:eastAsia="Book Antiqua" w:hAnsi="Book Antiqua" w:cs="Book Antiqua"/>
          <w:i/>
          <w:iCs/>
          <w:color w:val="000000"/>
        </w:rPr>
        <w:t>Cancers (Basel)</w:t>
      </w:r>
      <w:r w:rsidRPr="0021268C">
        <w:rPr>
          <w:rFonts w:ascii="Book Antiqua" w:eastAsia="Book Antiqua" w:hAnsi="Book Antiqua" w:cs="Book Antiqua"/>
          <w:color w:val="000000"/>
        </w:rPr>
        <w:t xml:space="preserve"> 2019; </w:t>
      </w:r>
      <w:r w:rsidRPr="0021268C">
        <w:rPr>
          <w:rFonts w:ascii="Book Antiqua" w:eastAsia="Book Antiqua" w:hAnsi="Book Antiqua" w:cs="Book Antiqua"/>
          <w:b/>
          <w:bCs/>
          <w:color w:val="000000"/>
        </w:rPr>
        <w:t>11</w:t>
      </w:r>
      <w:r w:rsidRPr="0021268C">
        <w:rPr>
          <w:rFonts w:ascii="Book Antiqua" w:eastAsia="Book Antiqua" w:hAnsi="Book Antiqua" w:cs="Book Antiqua"/>
          <w:color w:val="000000"/>
        </w:rPr>
        <w:t xml:space="preserve"> [PMID: 31330833 DOI: 10.3390/cancers11071023]</w:t>
      </w:r>
    </w:p>
    <w:p w14:paraId="10EE0D7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28 </w:t>
      </w:r>
      <w:r w:rsidRPr="0021268C">
        <w:rPr>
          <w:rFonts w:ascii="Book Antiqua" w:eastAsia="Book Antiqua" w:hAnsi="Book Antiqua" w:cs="Book Antiqua"/>
          <w:b/>
          <w:bCs/>
          <w:color w:val="000000"/>
        </w:rPr>
        <w:t>Poon RT</w:t>
      </w:r>
      <w:r w:rsidRPr="0021268C">
        <w:rPr>
          <w:rFonts w:ascii="Book Antiqua" w:eastAsia="Book Antiqua" w:hAnsi="Book Antiqua" w:cs="Book Antiqua"/>
          <w:color w:val="000000"/>
        </w:rPr>
        <w:t xml:space="preserve">, Lau C, Yu WC, Fan ST, Wong J. High serum levels of vascular endothelial growth factor predict poor response to transarterial chemoembolization in hepatocellular carcinoma: a prospective study. </w:t>
      </w:r>
      <w:r w:rsidRPr="0021268C">
        <w:rPr>
          <w:rFonts w:ascii="Book Antiqua" w:eastAsia="Book Antiqua" w:hAnsi="Book Antiqua" w:cs="Book Antiqua"/>
          <w:i/>
          <w:iCs/>
          <w:color w:val="000000"/>
        </w:rPr>
        <w:t>Oncol Rep</w:t>
      </w:r>
      <w:r w:rsidRPr="0021268C">
        <w:rPr>
          <w:rFonts w:ascii="Book Antiqua" w:eastAsia="Book Antiqua" w:hAnsi="Book Antiqua" w:cs="Book Antiqua"/>
          <w:color w:val="000000"/>
        </w:rPr>
        <w:t xml:space="preserve"> 2004; </w:t>
      </w:r>
      <w:r w:rsidRPr="0021268C">
        <w:rPr>
          <w:rFonts w:ascii="Book Antiqua" w:eastAsia="Book Antiqua" w:hAnsi="Book Antiqua" w:cs="Book Antiqua"/>
          <w:b/>
          <w:bCs/>
          <w:color w:val="000000"/>
        </w:rPr>
        <w:t>11</w:t>
      </w:r>
      <w:r w:rsidRPr="0021268C">
        <w:rPr>
          <w:rFonts w:ascii="Book Antiqua" w:eastAsia="Book Antiqua" w:hAnsi="Book Antiqua" w:cs="Book Antiqua"/>
          <w:color w:val="000000"/>
        </w:rPr>
        <w:t>: 1077-1084 [PMID: 15069550]</w:t>
      </w:r>
    </w:p>
    <w:p w14:paraId="17869BA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29 </w:t>
      </w:r>
      <w:r w:rsidRPr="0021268C">
        <w:rPr>
          <w:rFonts w:ascii="Book Antiqua" w:eastAsia="Book Antiqua" w:hAnsi="Book Antiqua" w:cs="Book Antiqua"/>
          <w:b/>
          <w:bCs/>
          <w:color w:val="000000"/>
        </w:rPr>
        <w:t>Shim JH</w:t>
      </w:r>
      <w:r w:rsidRPr="0021268C">
        <w:rPr>
          <w:rFonts w:ascii="Book Antiqua" w:eastAsia="Book Antiqua" w:hAnsi="Book Antiqua" w:cs="Book Antiqua"/>
          <w:color w:val="000000"/>
        </w:rPr>
        <w:t xml:space="preserve">, Park JW, Kim JH, An M, Kong SY, Nam BH, Choi JI, Kim HB, Lee WJ, Kim CM. Association between increment of serum VEGF level and prognosis after transcatheter arterial chemoembolization in hepatocellular carcinoma patients. </w:t>
      </w:r>
      <w:r w:rsidRPr="0021268C">
        <w:rPr>
          <w:rFonts w:ascii="Book Antiqua" w:eastAsia="Book Antiqua" w:hAnsi="Book Antiqua" w:cs="Book Antiqua"/>
          <w:i/>
          <w:iCs/>
          <w:color w:val="000000"/>
        </w:rPr>
        <w:t>Cancer Sci</w:t>
      </w:r>
      <w:r w:rsidRPr="0021268C">
        <w:rPr>
          <w:rFonts w:ascii="Book Antiqua" w:eastAsia="Book Antiqua" w:hAnsi="Book Antiqua" w:cs="Book Antiqua"/>
          <w:color w:val="000000"/>
        </w:rPr>
        <w:t xml:space="preserve"> 2008; </w:t>
      </w:r>
      <w:r w:rsidRPr="0021268C">
        <w:rPr>
          <w:rFonts w:ascii="Book Antiqua" w:eastAsia="Book Antiqua" w:hAnsi="Book Antiqua" w:cs="Book Antiqua"/>
          <w:b/>
          <w:bCs/>
          <w:color w:val="000000"/>
        </w:rPr>
        <w:t>99</w:t>
      </w:r>
      <w:r w:rsidRPr="0021268C">
        <w:rPr>
          <w:rFonts w:ascii="Book Antiqua" w:eastAsia="Book Antiqua" w:hAnsi="Book Antiqua" w:cs="Book Antiqua"/>
          <w:color w:val="000000"/>
        </w:rPr>
        <w:t>: 2037-2044 [PMID: 19016764 DOI: 10.1111/j.1349-7006.2008.00909.x]</w:t>
      </w:r>
    </w:p>
    <w:p w14:paraId="220EAD04"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30 </w:t>
      </w:r>
      <w:r w:rsidRPr="0021268C">
        <w:rPr>
          <w:rFonts w:ascii="Book Antiqua" w:eastAsia="Book Antiqua" w:hAnsi="Book Antiqua" w:cs="Book Antiqua"/>
          <w:b/>
          <w:bCs/>
          <w:color w:val="000000"/>
        </w:rPr>
        <w:t>Korean Liver Cancer Study Group (KLCSG)</w:t>
      </w:r>
      <w:r w:rsidRPr="0021268C">
        <w:rPr>
          <w:rFonts w:ascii="Book Antiqua" w:eastAsia="Book Antiqua" w:hAnsi="Book Antiqua" w:cs="Book Antiqua"/>
          <w:color w:val="000000"/>
        </w:rPr>
        <w:t xml:space="preserve">; National Cancer Center, Korea (NCC). 2014 KLCSG-NCC Korea Practice Guideline for the Management of Hepatocellular Carcinoma. </w:t>
      </w:r>
      <w:r w:rsidRPr="0021268C">
        <w:rPr>
          <w:rFonts w:ascii="Book Antiqua" w:eastAsia="Book Antiqua" w:hAnsi="Book Antiqua" w:cs="Book Antiqua"/>
          <w:i/>
          <w:iCs/>
          <w:color w:val="000000"/>
        </w:rPr>
        <w:t>Gut Liver</w:t>
      </w:r>
      <w:r w:rsidRPr="0021268C">
        <w:rPr>
          <w:rFonts w:ascii="Book Antiqua" w:eastAsia="Book Antiqua" w:hAnsi="Book Antiqua" w:cs="Book Antiqua"/>
          <w:color w:val="000000"/>
        </w:rPr>
        <w:t xml:space="preserve"> 2015; </w:t>
      </w:r>
      <w:r w:rsidRPr="0021268C">
        <w:rPr>
          <w:rFonts w:ascii="Book Antiqua" w:eastAsia="Book Antiqua" w:hAnsi="Book Antiqua" w:cs="Book Antiqua"/>
          <w:b/>
          <w:bCs/>
          <w:color w:val="000000"/>
        </w:rPr>
        <w:t>9</w:t>
      </w:r>
      <w:r w:rsidRPr="0021268C">
        <w:rPr>
          <w:rFonts w:ascii="Book Antiqua" w:eastAsia="Book Antiqua" w:hAnsi="Book Antiqua" w:cs="Book Antiqua"/>
          <w:color w:val="000000"/>
        </w:rPr>
        <w:t>: 267-317 [PMID: 25918260 DOI: 10.5009/gnl14460]</w:t>
      </w:r>
    </w:p>
    <w:p w14:paraId="2810274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 xml:space="preserve">31 </w:t>
      </w:r>
      <w:r w:rsidRPr="0021268C">
        <w:rPr>
          <w:rFonts w:ascii="Book Antiqua" w:eastAsia="Book Antiqua" w:hAnsi="Book Antiqua" w:cs="Book Antiqua"/>
          <w:b/>
          <w:bCs/>
          <w:color w:val="000000"/>
        </w:rPr>
        <w:t>Zhang Q</w:t>
      </w:r>
      <w:r w:rsidRPr="0021268C">
        <w:rPr>
          <w:rFonts w:ascii="Book Antiqua" w:eastAsia="Book Antiqua" w:hAnsi="Book Antiqua" w:cs="Book Antiqua"/>
          <w:color w:val="000000"/>
        </w:rPr>
        <w:t xml:space="preserve">, Wu J, Bai X, Liang T. Evaluation of Intra-Tumoral Vascularization in Hepatocellular Carcinomas. </w:t>
      </w:r>
      <w:r w:rsidRPr="0021268C">
        <w:rPr>
          <w:rFonts w:ascii="Book Antiqua" w:eastAsia="Book Antiqua" w:hAnsi="Book Antiqua" w:cs="Book Antiqua"/>
          <w:i/>
          <w:iCs/>
          <w:color w:val="000000"/>
        </w:rPr>
        <w:t>Front Med (Lausanne)</w:t>
      </w:r>
      <w:r w:rsidRPr="0021268C">
        <w:rPr>
          <w:rFonts w:ascii="Book Antiqua" w:eastAsia="Book Antiqua" w:hAnsi="Book Antiqua" w:cs="Book Antiqua"/>
          <w:color w:val="000000"/>
        </w:rPr>
        <w:t xml:space="preserve"> 2020; </w:t>
      </w:r>
      <w:r w:rsidRPr="0021268C">
        <w:rPr>
          <w:rFonts w:ascii="Book Antiqua" w:eastAsia="Book Antiqua" w:hAnsi="Book Antiqua" w:cs="Book Antiqua"/>
          <w:b/>
          <w:bCs/>
          <w:color w:val="000000"/>
        </w:rPr>
        <w:t>7</w:t>
      </w:r>
      <w:r w:rsidRPr="0021268C">
        <w:rPr>
          <w:rFonts w:ascii="Book Antiqua" w:eastAsia="Book Antiqua" w:hAnsi="Book Antiqua" w:cs="Book Antiqua"/>
          <w:color w:val="000000"/>
        </w:rPr>
        <w:t>: 584250 [PMID: 33195338 DOI: 10.3389/fmed.2020.584250]</w:t>
      </w:r>
    </w:p>
    <w:p w14:paraId="0EBFAACF" w14:textId="77777777" w:rsidR="00B07060" w:rsidRPr="0021268C" w:rsidRDefault="00B07060">
      <w:pPr>
        <w:spacing w:line="360" w:lineRule="auto"/>
        <w:jc w:val="both"/>
        <w:rPr>
          <w:rFonts w:ascii="Book Antiqua" w:hAnsi="Book Antiqua"/>
        </w:rPr>
        <w:sectPr w:rsidR="00B07060" w:rsidRPr="0021268C">
          <w:pgSz w:w="12240" w:h="15840"/>
          <w:pgMar w:top="1440" w:right="1440" w:bottom="1440" w:left="1440" w:header="720" w:footer="720" w:gutter="0"/>
          <w:cols w:space="720"/>
          <w:docGrid w:linePitch="360"/>
        </w:sectPr>
      </w:pPr>
    </w:p>
    <w:p w14:paraId="6A087CC5"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lastRenderedPageBreak/>
        <w:t>Footnotes</w:t>
      </w:r>
    </w:p>
    <w:p w14:paraId="62A78CE6" w14:textId="77777777" w:rsidR="00B07060" w:rsidRPr="0021268C" w:rsidRDefault="005635E1">
      <w:pPr>
        <w:spacing w:line="360" w:lineRule="auto"/>
        <w:jc w:val="both"/>
        <w:rPr>
          <w:rFonts w:ascii="Book Antiqua" w:hAnsi="Book Antiqua"/>
          <w:lang w:eastAsia="zh-CN"/>
        </w:rPr>
      </w:pPr>
      <w:r w:rsidRPr="0021268C">
        <w:rPr>
          <w:rFonts w:ascii="Book Antiqua" w:eastAsia="Book Antiqua" w:hAnsi="Book Antiqua" w:cs="Book Antiqua"/>
          <w:b/>
          <w:bCs/>
          <w:color w:val="000000"/>
        </w:rPr>
        <w:t xml:space="preserve">Institutional review board statement: </w:t>
      </w:r>
      <w:r w:rsidRPr="0021268C">
        <w:rPr>
          <w:rFonts w:ascii="Book Antiqua" w:hAnsi="Book Antiqua" w:cs="Book Antiqua"/>
          <w:color w:val="000000"/>
          <w:lang w:eastAsia="zh-CN"/>
        </w:rPr>
        <w:t>This study</w:t>
      </w:r>
      <w:r w:rsidRPr="0021268C">
        <w:rPr>
          <w:rFonts w:ascii="Book Antiqua" w:eastAsia="Book Antiqua" w:hAnsi="Book Antiqua" w:cs="Book Antiqua"/>
          <w:color w:val="000000"/>
        </w:rPr>
        <w:t xml:space="preserve"> approval by the Institutional Review Board (IRB) of the SNUBH</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No. B-1201/143-002</w:t>
      </w:r>
      <w:r w:rsidRPr="0021268C">
        <w:rPr>
          <w:rFonts w:ascii="Book Antiqua" w:hAnsi="Book Antiqua" w:cs="Book Antiqua"/>
          <w:color w:val="000000"/>
          <w:lang w:eastAsia="zh-CN"/>
        </w:rPr>
        <w:t>.</w:t>
      </w:r>
    </w:p>
    <w:p w14:paraId="50D52CA5" w14:textId="77777777" w:rsidR="00B07060" w:rsidRPr="0021268C" w:rsidRDefault="00B07060">
      <w:pPr>
        <w:spacing w:line="360" w:lineRule="auto"/>
        <w:jc w:val="both"/>
        <w:rPr>
          <w:rFonts w:ascii="Book Antiqua" w:hAnsi="Book Antiqua"/>
        </w:rPr>
      </w:pPr>
    </w:p>
    <w:p w14:paraId="1D1E8EA9" w14:textId="77777777" w:rsidR="00B07060" w:rsidRPr="0021268C" w:rsidRDefault="005635E1">
      <w:pPr>
        <w:spacing w:line="360" w:lineRule="auto"/>
        <w:jc w:val="both"/>
        <w:rPr>
          <w:rFonts w:ascii="Book Antiqua" w:hAnsi="Book Antiqua"/>
          <w:lang w:eastAsia="zh-CN"/>
        </w:rPr>
      </w:pPr>
      <w:r w:rsidRPr="0021268C">
        <w:rPr>
          <w:rFonts w:ascii="Book Antiqua" w:eastAsia="Book Antiqua" w:hAnsi="Book Antiqua" w:cs="Book Antiqua"/>
          <w:b/>
          <w:bCs/>
          <w:color w:val="000000"/>
        </w:rPr>
        <w:t xml:space="preserve">Informed consent statement: </w:t>
      </w:r>
      <w:r w:rsidRPr="0021268C">
        <w:rPr>
          <w:rFonts w:ascii="Book Antiqua" w:eastAsia="Book Antiqua" w:hAnsi="Book Antiqua" w:cs="Book Antiqua"/>
          <w:color w:val="000000"/>
        </w:rPr>
        <w:t>Written informed consent was obtained from each HCC patient after approval by the Institutional Review Board (IRB) of the SNUBH</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No. B-1201/143-002</w:t>
      </w:r>
      <w:r w:rsidRPr="0021268C">
        <w:rPr>
          <w:rFonts w:ascii="Book Antiqua" w:hAnsi="Book Antiqua" w:cs="Book Antiqua"/>
          <w:color w:val="000000"/>
          <w:lang w:eastAsia="zh-CN"/>
        </w:rPr>
        <w:t>.</w:t>
      </w:r>
    </w:p>
    <w:p w14:paraId="38539F45" w14:textId="77777777" w:rsidR="00B07060" w:rsidRPr="0021268C" w:rsidRDefault="00B07060">
      <w:pPr>
        <w:spacing w:line="360" w:lineRule="auto"/>
        <w:jc w:val="both"/>
        <w:rPr>
          <w:rFonts w:ascii="Book Antiqua" w:hAnsi="Book Antiqua"/>
        </w:rPr>
      </w:pPr>
    </w:p>
    <w:p w14:paraId="7B11E48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Conflict-of-interest statement: </w:t>
      </w:r>
      <w:r w:rsidRPr="0021268C">
        <w:rPr>
          <w:rFonts w:ascii="Book Antiqua" w:eastAsia="Book Antiqua" w:hAnsi="Book Antiqua" w:cs="Book Antiqua"/>
          <w:color w:val="000000"/>
        </w:rPr>
        <w:t>The authors have no conflicts of interest to declare.</w:t>
      </w:r>
    </w:p>
    <w:p w14:paraId="78799776" w14:textId="77777777" w:rsidR="00B07060" w:rsidRPr="0021268C" w:rsidRDefault="00B07060">
      <w:pPr>
        <w:spacing w:line="360" w:lineRule="auto"/>
        <w:jc w:val="both"/>
        <w:rPr>
          <w:rFonts w:ascii="Book Antiqua" w:hAnsi="Book Antiqua"/>
        </w:rPr>
      </w:pPr>
    </w:p>
    <w:p w14:paraId="6BB48A84" w14:textId="77777777" w:rsidR="00B07060" w:rsidRPr="0021268C" w:rsidRDefault="005635E1">
      <w:pPr>
        <w:spacing w:line="360" w:lineRule="auto"/>
        <w:jc w:val="both"/>
        <w:rPr>
          <w:rFonts w:ascii="Book Antiqua" w:hAnsi="Book Antiqua"/>
          <w:lang w:eastAsia="zh-CN"/>
        </w:rPr>
      </w:pPr>
      <w:r w:rsidRPr="0021268C">
        <w:rPr>
          <w:rFonts w:ascii="Book Antiqua" w:eastAsia="Book Antiqua" w:hAnsi="Book Antiqua" w:cs="Book Antiqua"/>
          <w:b/>
          <w:bCs/>
          <w:color w:val="000000"/>
        </w:rPr>
        <w:t xml:space="preserve">Data sharing statement: </w:t>
      </w:r>
      <w:r w:rsidRPr="0021268C">
        <w:rPr>
          <w:rFonts w:ascii="Book Antiqua" w:eastAsia="Book Antiqua" w:hAnsi="Book Antiqua" w:cs="Book Antiqua"/>
          <w:color w:val="000000"/>
        </w:rPr>
        <w:t>We regret, but we are not willing to data share.</w:t>
      </w:r>
    </w:p>
    <w:p w14:paraId="0832E583" w14:textId="77777777" w:rsidR="00B07060" w:rsidRPr="0021268C" w:rsidRDefault="00B07060">
      <w:pPr>
        <w:spacing w:line="360" w:lineRule="auto"/>
        <w:jc w:val="both"/>
        <w:rPr>
          <w:rFonts w:ascii="Book Antiqua" w:hAnsi="Book Antiqua"/>
          <w:lang w:eastAsia="zh-CN"/>
        </w:rPr>
      </w:pPr>
    </w:p>
    <w:p w14:paraId="239B9A4C" w14:textId="77777777" w:rsidR="00B07060" w:rsidRPr="0021268C" w:rsidRDefault="005635E1">
      <w:pPr>
        <w:autoSpaceDE w:val="0"/>
        <w:autoSpaceDN w:val="0"/>
        <w:adjustRightInd w:val="0"/>
        <w:snapToGrid w:val="0"/>
        <w:spacing w:line="360" w:lineRule="auto"/>
        <w:jc w:val="both"/>
        <w:rPr>
          <w:rFonts w:ascii="Book Antiqua" w:hAnsi="Book Antiqua" w:cs="Garamond-Bold"/>
          <w:bCs/>
          <w:color w:val="000000" w:themeColor="text1"/>
        </w:rPr>
      </w:pPr>
      <w:r w:rsidRPr="0021268C">
        <w:rPr>
          <w:rFonts w:ascii="Book Antiqua" w:hAnsi="Book Antiqua" w:cs="Garamond-Bold"/>
          <w:b/>
          <w:bCs/>
          <w:color w:val="000000" w:themeColor="text1"/>
        </w:rPr>
        <w:t>STROBE Statement</w:t>
      </w:r>
      <w:r w:rsidRPr="0021268C">
        <w:rPr>
          <w:rFonts w:ascii="Book Antiqua" w:hAnsi="Book Antiqua" w:cs="Garamond-Bold"/>
          <w:b/>
          <w:bCs/>
          <w:color w:val="000000" w:themeColor="text1"/>
          <w:lang w:eastAsia="zh-CN"/>
        </w:rPr>
        <w:t>:</w:t>
      </w:r>
      <w:r w:rsidRPr="0021268C">
        <w:rPr>
          <w:rFonts w:ascii="Book Antiqua" w:hAnsi="Book Antiqua" w:cs="Garamond-Bold"/>
          <w:bCs/>
          <w:color w:val="000000" w:themeColor="text1"/>
        </w:rPr>
        <w:t xml:space="preserve"> The authors have read the STROBE Statement—checklist of items, and the manuscript was prepared and revised according to the STROBE Statement—checklist of items.</w:t>
      </w:r>
    </w:p>
    <w:p w14:paraId="237B28EF" w14:textId="77777777" w:rsidR="00B07060" w:rsidRPr="0021268C" w:rsidRDefault="00B07060">
      <w:pPr>
        <w:spacing w:line="360" w:lineRule="auto"/>
        <w:jc w:val="both"/>
        <w:rPr>
          <w:rFonts w:ascii="Book Antiqua" w:hAnsi="Book Antiqua"/>
          <w:lang w:eastAsia="zh-CN"/>
        </w:rPr>
      </w:pPr>
    </w:p>
    <w:p w14:paraId="46DE0BB3"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 xml:space="preserve">Open-Access: </w:t>
      </w:r>
      <w:r w:rsidRPr="0021268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F73B8AE" w14:textId="77777777" w:rsidR="00B07060" w:rsidRPr="0021268C" w:rsidRDefault="00B07060">
      <w:pPr>
        <w:spacing w:line="360" w:lineRule="auto"/>
        <w:jc w:val="both"/>
        <w:rPr>
          <w:rFonts w:ascii="Book Antiqua" w:hAnsi="Book Antiqua"/>
        </w:rPr>
      </w:pPr>
    </w:p>
    <w:p w14:paraId="2580BF35"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Manuscript source: </w:t>
      </w:r>
      <w:r w:rsidRPr="0021268C">
        <w:rPr>
          <w:rFonts w:ascii="Book Antiqua" w:eastAsia="Book Antiqua" w:hAnsi="Book Antiqua" w:cs="Book Antiqua"/>
          <w:color w:val="000000"/>
        </w:rPr>
        <w:t xml:space="preserve">Unsolicited </w:t>
      </w:r>
      <w:r w:rsidRPr="0021268C">
        <w:rPr>
          <w:rFonts w:ascii="Book Antiqua" w:hAnsi="Book Antiqua" w:cs="Book Antiqua"/>
          <w:color w:val="000000"/>
          <w:lang w:eastAsia="zh-CN"/>
        </w:rPr>
        <w:t>m</w:t>
      </w:r>
      <w:r w:rsidRPr="0021268C">
        <w:rPr>
          <w:rFonts w:ascii="Book Antiqua" w:eastAsia="Book Antiqua" w:hAnsi="Book Antiqua" w:cs="Book Antiqua"/>
          <w:color w:val="000000"/>
        </w:rPr>
        <w:t>anuscript</w:t>
      </w:r>
    </w:p>
    <w:p w14:paraId="57341F7B" w14:textId="77777777" w:rsidR="00B07060" w:rsidRPr="0021268C" w:rsidRDefault="00B07060">
      <w:pPr>
        <w:spacing w:line="360" w:lineRule="auto"/>
        <w:jc w:val="both"/>
        <w:rPr>
          <w:rFonts w:ascii="Book Antiqua" w:hAnsi="Book Antiqua"/>
        </w:rPr>
      </w:pPr>
    </w:p>
    <w:p w14:paraId="05A8999D"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Peer-review started: </w:t>
      </w:r>
      <w:r w:rsidRPr="0021268C">
        <w:rPr>
          <w:rFonts w:ascii="Book Antiqua" w:eastAsia="Book Antiqua" w:hAnsi="Book Antiqua" w:cs="Book Antiqua"/>
          <w:color w:val="000000"/>
        </w:rPr>
        <w:t>February 21, 2021</w:t>
      </w:r>
    </w:p>
    <w:p w14:paraId="3019CD0A"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First decision: </w:t>
      </w:r>
      <w:r w:rsidRPr="0021268C">
        <w:rPr>
          <w:rFonts w:ascii="Book Antiqua" w:eastAsia="Book Antiqua" w:hAnsi="Book Antiqua" w:cs="Book Antiqua"/>
          <w:color w:val="000000"/>
        </w:rPr>
        <w:t>May 13, 2021</w:t>
      </w:r>
    </w:p>
    <w:p w14:paraId="68DBCA87" w14:textId="7A5303A3"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Article in press: </w:t>
      </w:r>
      <w:r w:rsidR="001B61DF" w:rsidRPr="0021268C">
        <w:rPr>
          <w:rFonts w:ascii="Book Antiqua" w:eastAsia="Book Antiqua" w:hAnsi="Book Antiqua" w:cs="Book Antiqua"/>
          <w:bCs/>
          <w:color w:val="000000"/>
        </w:rPr>
        <w:t>July 7, 2021</w:t>
      </w:r>
    </w:p>
    <w:p w14:paraId="52F58B56" w14:textId="77777777" w:rsidR="00B07060" w:rsidRPr="0021268C" w:rsidRDefault="00B07060">
      <w:pPr>
        <w:spacing w:line="360" w:lineRule="auto"/>
        <w:jc w:val="both"/>
        <w:rPr>
          <w:rFonts w:ascii="Book Antiqua" w:hAnsi="Book Antiqua"/>
        </w:rPr>
      </w:pPr>
    </w:p>
    <w:p w14:paraId="30EF4A7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Specialty type: </w:t>
      </w:r>
      <w:r w:rsidRPr="0021268C">
        <w:rPr>
          <w:rFonts w:ascii="Book Antiqua" w:eastAsia="Book Antiqua" w:hAnsi="Book Antiqua" w:cs="Book Antiqua"/>
          <w:color w:val="000000"/>
        </w:rPr>
        <w:t xml:space="preserve">Gastroenterology and </w:t>
      </w:r>
      <w:r w:rsidRPr="0021268C">
        <w:rPr>
          <w:rFonts w:ascii="Book Antiqua" w:hAnsi="Book Antiqua" w:cs="Book Antiqua"/>
          <w:color w:val="000000"/>
          <w:lang w:eastAsia="zh-CN"/>
        </w:rPr>
        <w:t>h</w:t>
      </w:r>
      <w:r w:rsidRPr="0021268C">
        <w:rPr>
          <w:rFonts w:ascii="Book Antiqua" w:eastAsia="Book Antiqua" w:hAnsi="Book Antiqua" w:cs="Book Antiqua"/>
          <w:color w:val="000000"/>
        </w:rPr>
        <w:t>epatology</w:t>
      </w:r>
    </w:p>
    <w:p w14:paraId="6708AA78"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 xml:space="preserve">Country/Territory of origin: </w:t>
      </w:r>
      <w:r w:rsidRPr="0021268C">
        <w:rPr>
          <w:rFonts w:ascii="Book Antiqua" w:eastAsia="Book Antiqua" w:hAnsi="Book Antiqua" w:cs="Book Antiqua"/>
          <w:color w:val="000000"/>
        </w:rPr>
        <w:t>South Korea</w:t>
      </w:r>
    </w:p>
    <w:p w14:paraId="5280A55E"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t>Peer-review report’s scientific quality classification</w:t>
      </w:r>
    </w:p>
    <w:p w14:paraId="2C54F6F1"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Grade A (Excellent): 0</w:t>
      </w:r>
    </w:p>
    <w:p w14:paraId="529255B0"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Grade B (Very good): B, B</w:t>
      </w:r>
    </w:p>
    <w:p w14:paraId="52EE2E7B"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Grade C (Good): C</w:t>
      </w:r>
    </w:p>
    <w:p w14:paraId="167A13F4"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Grade D (Fair): 0</w:t>
      </w:r>
    </w:p>
    <w:p w14:paraId="645C475D"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color w:val="000000"/>
        </w:rPr>
        <w:t>Grade E (Poor): 0</w:t>
      </w:r>
    </w:p>
    <w:p w14:paraId="432A9ED1" w14:textId="77777777" w:rsidR="00B07060" w:rsidRPr="0021268C" w:rsidRDefault="00B07060">
      <w:pPr>
        <w:spacing w:line="360" w:lineRule="auto"/>
        <w:jc w:val="both"/>
        <w:rPr>
          <w:rFonts w:ascii="Book Antiqua" w:hAnsi="Book Antiqua"/>
        </w:rPr>
      </w:pPr>
    </w:p>
    <w:p w14:paraId="1920164D" w14:textId="34F44BE6" w:rsidR="00B07060" w:rsidRPr="0021268C" w:rsidRDefault="005635E1">
      <w:pPr>
        <w:spacing w:line="360" w:lineRule="auto"/>
        <w:jc w:val="both"/>
        <w:rPr>
          <w:rFonts w:ascii="Book Antiqua" w:eastAsia="Book Antiqua" w:hAnsi="Book Antiqua" w:cs="Book Antiqua"/>
          <w:bCs/>
          <w:color w:val="000000"/>
        </w:rPr>
      </w:pPr>
      <w:r w:rsidRPr="0021268C">
        <w:rPr>
          <w:rFonts w:ascii="Book Antiqua" w:eastAsia="Book Antiqua" w:hAnsi="Book Antiqua" w:cs="Book Antiqua"/>
          <w:b/>
          <w:color w:val="000000"/>
        </w:rPr>
        <w:t xml:space="preserve">P-Reviewer: </w:t>
      </w:r>
      <w:r w:rsidRPr="0021268C">
        <w:rPr>
          <w:rFonts w:ascii="Book Antiqua" w:eastAsia="Book Antiqua" w:hAnsi="Book Antiqua" w:cs="Book Antiqua"/>
          <w:color w:val="000000"/>
        </w:rPr>
        <w:t>Huang CY, Porrello G, Zeng YY</w:t>
      </w:r>
      <w:r w:rsidRPr="0021268C">
        <w:rPr>
          <w:rFonts w:ascii="Book Antiqua" w:eastAsia="Book Antiqua" w:hAnsi="Book Antiqua" w:cs="Book Antiqua"/>
          <w:b/>
          <w:color w:val="000000"/>
        </w:rPr>
        <w:t xml:space="preserve"> S-Editor: </w:t>
      </w:r>
      <w:r w:rsidRPr="0021268C">
        <w:rPr>
          <w:rFonts w:ascii="Book Antiqua" w:hAnsi="Book Antiqua" w:cs="Book Antiqua"/>
          <w:color w:val="000000"/>
          <w:lang w:eastAsia="zh-CN"/>
        </w:rPr>
        <w:t>F</w:t>
      </w:r>
      <w:r w:rsidRPr="0021268C">
        <w:rPr>
          <w:rFonts w:ascii="Book Antiqua" w:eastAsia="Book Antiqua" w:hAnsi="Book Antiqua" w:cs="Book Antiqua"/>
          <w:color w:val="000000"/>
        </w:rPr>
        <w:t>an J</w:t>
      </w:r>
      <w:r w:rsidRPr="0021268C">
        <w:rPr>
          <w:rFonts w:ascii="Book Antiqua" w:hAnsi="Book Antiqua" w:cs="Book Antiqua"/>
          <w:color w:val="000000"/>
          <w:lang w:eastAsia="zh-CN"/>
        </w:rPr>
        <w:t>R</w:t>
      </w:r>
      <w:r w:rsidRPr="0021268C">
        <w:rPr>
          <w:rFonts w:ascii="Book Antiqua" w:eastAsia="Book Antiqua" w:hAnsi="Book Antiqua" w:cs="Book Antiqua"/>
          <w:b/>
          <w:color w:val="000000"/>
        </w:rPr>
        <w:t xml:space="preserve"> L-Editor: </w:t>
      </w:r>
      <w:r w:rsidR="004E1CB5" w:rsidRPr="0021268C">
        <w:rPr>
          <w:rFonts w:ascii="Book Antiqua" w:eastAsia="Book Antiqua" w:hAnsi="Book Antiqua" w:cs="Book Antiqua"/>
          <w:bCs/>
          <w:color w:val="000000"/>
        </w:rPr>
        <w:t>A</w:t>
      </w:r>
      <w:r w:rsidRPr="0021268C">
        <w:rPr>
          <w:rFonts w:ascii="Book Antiqua" w:eastAsia="Book Antiqua" w:hAnsi="Book Antiqua" w:cs="Book Antiqua"/>
          <w:b/>
          <w:color w:val="000000"/>
        </w:rPr>
        <w:t xml:space="preserve"> P-Editor:</w:t>
      </w:r>
      <w:r w:rsidRPr="0021268C">
        <w:rPr>
          <w:rFonts w:ascii="Book Antiqua" w:eastAsia="Book Antiqua" w:hAnsi="Book Antiqua" w:cs="Book Antiqua"/>
          <w:bCs/>
          <w:color w:val="000000"/>
        </w:rPr>
        <w:t xml:space="preserve"> </w:t>
      </w:r>
      <w:r w:rsidR="004E1CB5" w:rsidRPr="0021268C">
        <w:rPr>
          <w:rFonts w:ascii="Book Antiqua" w:eastAsia="Book Antiqua" w:hAnsi="Book Antiqua" w:cs="Book Antiqua"/>
          <w:bCs/>
          <w:color w:val="000000"/>
        </w:rPr>
        <w:t>Li JH</w:t>
      </w:r>
    </w:p>
    <w:p w14:paraId="551B7E35" w14:textId="3075252E" w:rsidR="004E1CB5" w:rsidRPr="0021268C" w:rsidRDefault="004E1CB5">
      <w:pPr>
        <w:spacing w:line="360" w:lineRule="auto"/>
        <w:jc w:val="both"/>
        <w:rPr>
          <w:rFonts w:ascii="Book Antiqua" w:hAnsi="Book Antiqua"/>
        </w:rPr>
        <w:sectPr w:rsidR="004E1CB5" w:rsidRPr="0021268C">
          <w:pgSz w:w="12240" w:h="15840"/>
          <w:pgMar w:top="1440" w:right="1440" w:bottom="1440" w:left="1440" w:header="720" w:footer="720" w:gutter="0"/>
          <w:cols w:space="720"/>
          <w:docGrid w:linePitch="360"/>
        </w:sectPr>
      </w:pPr>
    </w:p>
    <w:p w14:paraId="1AC59FA2"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color w:val="000000"/>
        </w:rPr>
        <w:lastRenderedPageBreak/>
        <w:t>Figure Legends</w:t>
      </w:r>
    </w:p>
    <w:p w14:paraId="2A89BE4E" w14:textId="77777777" w:rsidR="00B07060" w:rsidRPr="0021268C" w:rsidRDefault="005635E1">
      <w:pPr>
        <w:spacing w:line="360" w:lineRule="auto"/>
        <w:jc w:val="both"/>
        <w:rPr>
          <w:rFonts w:ascii="Book Antiqua" w:hAnsi="Book Antiqua" w:cs="Book Antiqua"/>
          <w:b/>
          <w:bCs/>
          <w:color w:val="000000"/>
          <w:lang w:eastAsia="zh-CN"/>
        </w:rPr>
      </w:pPr>
      <w:r w:rsidRPr="0021268C">
        <w:rPr>
          <w:rFonts w:ascii="Book Antiqua" w:hAnsi="Book Antiqua"/>
          <w:noProof/>
          <w:lang w:eastAsia="zh-CN"/>
        </w:rPr>
        <w:drawing>
          <wp:inline distT="0" distB="0" distL="0" distR="0" wp14:anchorId="201BE667" wp14:editId="6962CDBD">
            <wp:extent cx="5486400" cy="34067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86400" cy="3406775"/>
                    </a:xfrm>
                    <a:prstGeom prst="rect">
                      <a:avLst/>
                    </a:prstGeom>
                  </pic:spPr>
                </pic:pic>
              </a:graphicData>
            </a:graphic>
          </wp:inline>
        </w:drawing>
      </w:r>
    </w:p>
    <w:p w14:paraId="01566F83" w14:textId="77777777" w:rsidR="00B07060" w:rsidRPr="0021268C" w:rsidRDefault="005635E1">
      <w:pPr>
        <w:spacing w:line="360" w:lineRule="auto"/>
        <w:jc w:val="both"/>
        <w:rPr>
          <w:rFonts w:ascii="Book Antiqua" w:hAnsi="Book Antiqua"/>
          <w:lang w:eastAsia="zh-CN"/>
        </w:rPr>
      </w:pPr>
      <w:r w:rsidRPr="0021268C">
        <w:rPr>
          <w:rFonts w:ascii="Book Antiqua" w:eastAsia="Book Antiqua" w:hAnsi="Book Antiqua" w:cs="Book Antiqua"/>
          <w:b/>
          <w:bCs/>
          <w:color w:val="000000"/>
        </w:rPr>
        <w:t xml:space="preserve">Figure 1 Plasma levels of </w:t>
      </w:r>
      <w:r w:rsidRPr="0021268C">
        <w:rPr>
          <w:rFonts w:ascii="Book Antiqua" w:hAnsi="Book Antiqua" w:cs="Book Antiqua"/>
          <w:b/>
          <w:bCs/>
          <w:color w:val="000000"/>
          <w:lang w:eastAsia="zh-CN"/>
        </w:rPr>
        <w:t>a</w:t>
      </w:r>
      <w:r w:rsidRPr="0021268C">
        <w:rPr>
          <w:rFonts w:ascii="Book Antiqua" w:eastAsia="Book Antiqua" w:hAnsi="Book Antiqua" w:cs="Book Antiqua"/>
          <w:b/>
          <w:bCs/>
          <w:color w:val="000000"/>
        </w:rPr>
        <w:t xml:space="preserve">ngiopoietin-1, </w:t>
      </w:r>
      <w:r w:rsidRPr="0021268C">
        <w:rPr>
          <w:rFonts w:ascii="Book Antiqua" w:hAnsi="Book Antiqua" w:cs="Book Antiqua"/>
          <w:b/>
          <w:bCs/>
          <w:color w:val="000000"/>
          <w:lang w:eastAsia="zh-CN"/>
        </w:rPr>
        <w:t>a</w:t>
      </w:r>
      <w:r w:rsidRPr="0021268C">
        <w:rPr>
          <w:rFonts w:ascii="Book Antiqua" w:eastAsia="Book Antiqua" w:hAnsi="Book Antiqua" w:cs="Book Antiqua"/>
          <w:b/>
          <w:bCs/>
          <w:color w:val="000000"/>
        </w:rPr>
        <w:t xml:space="preserve">ngiopoietin-2, </w:t>
      </w:r>
      <w:r w:rsidRPr="0021268C">
        <w:rPr>
          <w:rFonts w:ascii="Book Antiqua" w:hAnsi="Book Antiqua" w:cs="Book Antiqua"/>
          <w:b/>
          <w:bCs/>
          <w:color w:val="000000"/>
          <w:lang w:eastAsia="zh-CN"/>
        </w:rPr>
        <w:t>v</w:t>
      </w:r>
      <w:r w:rsidRPr="0021268C">
        <w:rPr>
          <w:rFonts w:ascii="Book Antiqua" w:eastAsia="Book Antiqua" w:hAnsi="Book Antiqua" w:cs="Book Antiqua"/>
          <w:b/>
          <w:bCs/>
          <w:color w:val="000000"/>
        </w:rPr>
        <w:t xml:space="preserve">ascular </w:t>
      </w:r>
      <w:r w:rsidRPr="0021268C">
        <w:rPr>
          <w:rFonts w:ascii="Book Antiqua" w:hAnsi="Book Antiqua" w:cs="Book Antiqua"/>
          <w:b/>
          <w:bCs/>
          <w:color w:val="000000"/>
          <w:lang w:eastAsia="zh-CN"/>
        </w:rPr>
        <w:t>e</w:t>
      </w:r>
      <w:r w:rsidRPr="0021268C">
        <w:rPr>
          <w:rFonts w:ascii="Book Antiqua" w:eastAsia="Book Antiqua" w:hAnsi="Book Antiqua" w:cs="Book Antiqua"/>
          <w:b/>
          <w:bCs/>
          <w:color w:val="000000"/>
        </w:rPr>
        <w:t xml:space="preserve">ndothelial </w:t>
      </w:r>
      <w:r w:rsidRPr="0021268C">
        <w:rPr>
          <w:rFonts w:ascii="Book Antiqua" w:hAnsi="Book Antiqua" w:cs="Book Antiqua"/>
          <w:b/>
          <w:bCs/>
          <w:color w:val="000000"/>
          <w:lang w:eastAsia="zh-CN"/>
        </w:rPr>
        <w:t>g</w:t>
      </w:r>
      <w:r w:rsidRPr="0021268C">
        <w:rPr>
          <w:rFonts w:ascii="Book Antiqua" w:eastAsia="Book Antiqua" w:hAnsi="Book Antiqua" w:cs="Book Antiqua"/>
          <w:b/>
          <w:bCs/>
          <w:color w:val="000000"/>
        </w:rPr>
        <w:t xml:space="preserve">rowth </w:t>
      </w:r>
      <w:r w:rsidRPr="0021268C">
        <w:rPr>
          <w:rFonts w:ascii="Book Antiqua" w:hAnsi="Book Antiqua" w:cs="Book Antiqua"/>
          <w:b/>
          <w:bCs/>
          <w:color w:val="000000"/>
          <w:lang w:eastAsia="zh-CN"/>
        </w:rPr>
        <w:t>f</w:t>
      </w:r>
      <w:r w:rsidRPr="0021268C">
        <w:rPr>
          <w:rFonts w:ascii="Book Antiqua" w:eastAsia="Book Antiqua" w:hAnsi="Book Antiqua" w:cs="Book Antiqua"/>
          <w:b/>
          <w:bCs/>
          <w:color w:val="000000"/>
        </w:rPr>
        <w:t xml:space="preserve">actor, and </w:t>
      </w:r>
      <w:r w:rsidRPr="0021268C">
        <w:rPr>
          <w:rFonts w:ascii="Book Antiqua" w:hAnsi="Book Antiqua" w:cs="Book Antiqua"/>
          <w:b/>
          <w:bCs/>
          <w:color w:val="000000"/>
          <w:lang w:eastAsia="zh-CN"/>
        </w:rPr>
        <w:t>a</w:t>
      </w:r>
      <w:r w:rsidRPr="0021268C">
        <w:rPr>
          <w:rFonts w:ascii="Book Antiqua" w:eastAsia="Book Antiqua" w:hAnsi="Book Antiqua" w:cs="Book Antiqua"/>
          <w:b/>
          <w:bCs/>
          <w:color w:val="000000"/>
        </w:rPr>
        <w:t xml:space="preserve">lpha fetoprotein in the </w:t>
      </w:r>
      <w:r w:rsidRPr="0021268C">
        <w:rPr>
          <w:rFonts w:ascii="Book Antiqua" w:hAnsi="Book Antiqua" w:cs="Book Antiqua"/>
          <w:b/>
          <w:bCs/>
          <w:color w:val="000000"/>
          <w:lang w:eastAsia="zh-CN"/>
        </w:rPr>
        <w:t>h</w:t>
      </w:r>
      <w:r w:rsidRPr="0021268C">
        <w:rPr>
          <w:rFonts w:ascii="Book Antiqua" w:eastAsia="Book Antiqua" w:hAnsi="Book Antiqua" w:cs="Book Antiqua"/>
          <w:b/>
          <w:bCs/>
          <w:color w:val="000000"/>
        </w:rPr>
        <w:t xml:space="preserve">epatocellular </w:t>
      </w:r>
      <w:r w:rsidRPr="0021268C">
        <w:rPr>
          <w:rFonts w:ascii="Book Antiqua" w:hAnsi="Book Antiqua" w:cs="Book Antiqua"/>
          <w:b/>
          <w:bCs/>
          <w:color w:val="000000"/>
          <w:lang w:eastAsia="zh-CN"/>
        </w:rPr>
        <w:t>c</w:t>
      </w:r>
      <w:r w:rsidRPr="0021268C">
        <w:rPr>
          <w:rFonts w:ascii="Book Antiqua" w:eastAsia="Book Antiqua" w:hAnsi="Book Antiqua" w:cs="Book Antiqua"/>
          <w:b/>
          <w:bCs/>
          <w:color w:val="000000"/>
        </w:rPr>
        <w:t xml:space="preserve">arcinoma </w:t>
      </w:r>
      <w:r w:rsidRPr="0021268C">
        <w:rPr>
          <w:rFonts w:ascii="Book Antiqua" w:hAnsi="Book Antiqua" w:cs="Book Antiqua"/>
          <w:b/>
          <w:bCs/>
          <w:color w:val="000000"/>
          <w:lang w:eastAsia="zh-CN"/>
        </w:rPr>
        <w:t>p</w:t>
      </w:r>
      <w:r w:rsidRPr="0021268C">
        <w:rPr>
          <w:rFonts w:ascii="Book Antiqua" w:eastAsia="Book Antiqua" w:hAnsi="Book Antiqua" w:cs="Book Antiqua"/>
          <w:b/>
          <w:bCs/>
          <w:color w:val="000000"/>
        </w:rPr>
        <w:t xml:space="preserve">atients according to </w:t>
      </w:r>
      <w:r w:rsidRPr="0021268C">
        <w:rPr>
          <w:rFonts w:ascii="Book Antiqua" w:hAnsi="Book Antiqua" w:cs="Book Antiqua"/>
          <w:b/>
          <w:bCs/>
          <w:color w:val="000000"/>
          <w:lang w:eastAsia="zh-CN"/>
        </w:rPr>
        <w:t>t</w:t>
      </w:r>
      <w:r w:rsidRPr="0021268C">
        <w:rPr>
          <w:rFonts w:ascii="Book Antiqua" w:eastAsia="Book Antiqua" w:hAnsi="Book Antiqua" w:cs="Book Antiqua"/>
          <w:b/>
          <w:bCs/>
          <w:color w:val="000000"/>
        </w:rPr>
        <w:t xml:space="preserve">umor </w:t>
      </w:r>
      <w:r w:rsidRPr="0021268C">
        <w:rPr>
          <w:rFonts w:ascii="Book Antiqua" w:hAnsi="Book Antiqua" w:cs="Book Antiqua"/>
          <w:b/>
          <w:bCs/>
          <w:color w:val="000000"/>
          <w:lang w:eastAsia="zh-CN"/>
        </w:rPr>
        <w:t>s</w:t>
      </w:r>
      <w:r w:rsidRPr="0021268C">
        <w:rPr>
          <w:rFonts w:ascii="Book Antiqua" w:eastAsia="Book Antiqua" w:hAnsi="Book Antiqua" w:cs="Book Antiqua"/>
          <w:b/>
          <w:bCs/>
          <w:color w:val="000000"/>
        </w:rPr>
        <w:t>tage</w:t>
      </w:r>
      <w:r w:rsidRPr="0021268C">
        <w:rPr>
          <w:rFonts w:ascii="Book Antiqua" w:hAnsi="Book Antiqua" w:cs="Book Antiqua"/>
          <w:b/>
          <w:bCs/>
          <w:color w:val="000000"/>
          <w:lang w:eastAsia="zh-CN"/>
        </w:rPr>
        <w:t>.</w:t>
      </w:r>
      <w:r w:rsidRPr="0021268C">
        <w:rPr>
          <w:rFonts w:ascii="Book Antiqua" w:hAnsi="Book Antiqua"/>
          <w:lang w:eastAsia="zh-CN"/>
        </w:rPr>
        <w:t xml:space="preserve"> </w:t>
      </w:r>
      <w:r w:rsidRPr="0021268C">
        <w:rPr>
          <w:rFonts w:ascii="Book Antiqua" w:eastAsia="Book Antiqua" w:hAnsi="Book Antiqua" w:cs="Book Antiqua"/>
          <w:color w:val="000000"/>
        </w:rPr>
        <w:t>A</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B</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 xml:space="preserve">2; </w:t>
      </w:r>
      <w:r w:rsidRPr="0021268C">
        <w:rPr>
          <w:rFonts w:ascii="Book Antiqua" w:eastAsia="Book Antiqua" w:hAnsi="Book Antiqua" w:cs="Book Antiqua"/>
          <w:color w:val="000000"/>
        </w:rPr>
        <w:t>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D</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AFP</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 Ang-1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 Ang-2</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BCLC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Barcelona </w:t>
      </w:r>
      <w:r w:rsidRPr="0021268C">
        <w:rPr>
          <w:rFonts w:ascii="Book Antiqua" w:hAnsi="Book Antiqua" w:cs="Book Antiqua"/>
          <w:color w:val="000000"/>
          <w:lang w:eastAsia="zh-CN"/>
        </w:rPr>
        <w:t>c</w:t>
      </w:r>
      <w:r w:rsidRPr="0021268C">
        <w:rPr>
          <w:rFonts w:ascii="Book Antiqua" w:eastAsia="Book Antiqua" w:hAnsi="Book Antiqua" w:cs="Book Antiqua"/>
          <w:color w:val="000000"/>
        </w:rPr>
        <w:t xml:space="preserve">linic </w:t>
      </w:r>
      <w:r w:rsidRPr="0021268C">
        <w:rPr>
          <w:rFonts w:ascii="Book Antiqua" w:hAnsi="Book Antiqua" w:cs="Book Antiqua"/>
          <w:color w:val="000000"/>
          <w:lang w:eastAsia="zh-CN"/>
        </w:rPr>
        <w:t>l</w:t>
      </w:r>
      <w:r w:rsidRPr="0021268C">
        <w:rPr>
          <w:rFonts w:ascii="Book Antiqua" w:eastAsia="Book Antiqua" w:hAnsi="Book Antiqua" w:cs="Book Antiqua"/>
          <w:color w:val="000000"/>
        </w:rPr>
        <w:t xml:space="preserve">iver </w:t>
      </w:r>
      <w:r w:rsidRPr="0021268C">
        <w:rPr>
          <w:rFonts w:ascii="Book Antiqua" w:hAnsi="Book Antiqua" w:cs="Book Antiqua"/>
          <w:color w:val="000000"/>
          <w:lang w:eastAsia="zh-CN"/>
        </w:rPr>
        <w:t>c</w:t>
      </w:r>
      <w:r w:rsidRPr="0021268C">
        <w:rPr>
          <w:rFonts w:ascii="Book Antiqua" w:eastAsia="Book Antiqua" w:hAnsi="Book Antiqua" w:cs="Book Antiqua"/>
          <w:color w:val="000000"/>
        </w:rPr>
        <w:t>ancer; VEGF</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p>
    <w:p w14:paraId="6C009867" w14:textId="77777777" w:rsidR="00B07060" w:rsidRPr="0021268C" w:rsidRDefault="005635E1">
      <w:pPr>
        <w:spacing w:line="360" w:lineRule="auto"/>
        <w:jc w:val="both"/>
        <w:rPr>
          <w:rFonts w:ascii="Book Antiqua" w:hAnsi="Book Antiqua"/>
        </w:rPr>
      </w:pPr>
      <w:r w:rsidRPr="0021268C">
        <w:rPr>
          <w:rFonts w:ascii="Book Antiqua" w:hAnsi="Book Antiqua"/>
        </w:rPr>
        <w:br w:type="page"/>
      </w:r>
      <w:r w:rsidRPr="0021268C">
        <w:rPr>
          <w:rFonts w:ascii="Book Antiqua" w:hAnsi="Book Antiqua"/>
          <w:noProof/>
          <w:lang w:eastAsia="zh-CN"/>
        </w:rPr>
        <w:lastRenderedPageBreak/>
        <w:drawing>
          <wp:inline distT="0" distB="0" distL="0" distR="0" wp14:anchorId="0E7BC113" wp14:editId="3CAAC195">
            <wp:extent cx="5486400" cy="471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4718050"/>
                    </a:xfrm>
                    <a:prstGeom prst="rect">
                      <a:avLst/>
                    </a:prstGeom>
                  </pic:spPr>
                </pic:pic>
              </a:graphicData>
            </a:graphic>
          </wp:inline>
        </w:drawing>
      </w:r>
    </w:p>
    <w:p w14:paraId="6DE3A0E0" w14:textId="77777777" w:rsidR="00B07060" w:rsidRPr="0021268C" w:rsidRDefault="005635E1">
      <w:pPr>
        <w:spacing w:line="360" w:lineRule="auto"/>
        <w:jc w:val="both"/>
        <w:rPr>
          <w:rFonts w:ascii="Book Antiqua" w:hAnsi="Book Antiqua"/>
          <w:b/>
          <w:lang w:eastAsia="zh-CN"/>
        </w:rPr>
      </w:pPr>
      <w:r w:rsidRPr="0021268C">
        <w:rPr>
          <w:rFonts w:ascii="Book Antiqua" w:eastAsia="Book Antiqua" w:hAnsi="Book Antiqua" w:cs="Book Antiqua"/>
          <w:b/>
          <w:bCs/>
          <w:color w:val="000000"/>
        </w:rPr>
        <w:t xml:space="preserve">Figure 2 Factors correlated with plasma level of </w:t>
      </w:r>
      <w:r w:rsidRPr="0021268C">
        <w:rPr>
          <w:rFonts w:ascii="Book Antiqua" w:hAnsi="Book Antiqua" w:cs="Book Antiqua"/>
          <w:b/>
          <w:color w:val="000000"/>
          <w:lang w:eastAsia="zh-CN"/>
        </w:rPr>
        <w:t>a</w:t>
      </w:r>
      <w:r w:rsidRPr="0021268C">
        <w:rPr>
          <w:rFonts w:ascii="Book Antiqua" w:eastAsia="Book Antiqua" w:hAnsi="Book Antiqua" w:cs="Book Antiqua"/>
          <w:b/>
          <w:color w:val="000000"/>
        </w:rPr>
        <w:t>ngiopoietin-1</w:t>
      </w:r>
      <w:r w:rsidRPr="0021268C">
        <w:rPr>
          <w:rFonts w:ascii="Book Antiqua" w:eastAsia="Book Antiqua" w:hAnsi="Book Antiqua" w:cs="Book Antiqua"/>
          <w:b/>
          <w:bCs/>
          <w:color w:val="000000"/>
        </w:rPr>
        <w:t xml:space="preserve">, </w:t>
      </w:r>
      <w:r w:rsidRPr="0021268C">
        <w:rPr>
          <w:rFonts w:ascii="Book Antiqua" w:hAnsi="Book Antiqua" w:cs="Book Antiqua"/>
          <w:b/>
          <w:color w:val="000000"/>
          <w:lang w:eastAsia="zh-CN"/>
        </w:rPr>
        <w:t>a</w:t>
      </w:r>
      <w:r w:rsidRPr="0021268C">
        <w:rPr>
          <w:rFonts w:ascii="Book Antiqua" w:eastAsia="Book Antiqua" w:hAnsi="Book Antiqua" w:cs="Book Antiqua"/>
          <w:b/>
          <w:color w:val="000000"/>
        </w:rPr>
        <w:t>ngiopoietin-</w:t>
      </w:r>
      <w:r w:rsidRPr="0021268C">
        <w:rPr>
          <w:rFonts w:ascii="Book Antiqua" w:hAnsi="Book Antiqua" w:cs="Book Antiqua"/>
          <w:b/>
          <w:color w:val="000000"/>
          <w:lang w:eastAsia="zh-CN"/>
        </w:rPr>
        <w:t>2</w:t>
      </w:r>
      <w:r w:rsidRPr="0021268C">
        <w:rPr>
          <w:rFonts w:ascii="Book Antiqua" w:eastAsia="Book Antiqua" w:hAnsi="Book Antiqua" w:cs="Book Antiqua"/>
          <w:b/>
          <w:bCs/>
          <w:color w:val="000000"/>
        </w:rPr>
        <w:t xml:space="preserve"> and </w:t>
      </w:r>
      <w:r w:rsidRPr="0021268C">
        <w:rPr>
          <w:rFonts w:ascii="Book Antiqua" w:eastAsia="Book Antiqua" w:hAnsi="Book Antiqua" w:cs="Book Antiqua"/>
          <w:b/>
          <w:color w:val="000000"/>
        </w:rPr>
        <w:t>vascular endothelial growth factor</w:t>
      </w:r>
      <w:r w:rsidRPr="0021268C">
        <w:rPr>
          <w:rFonts w:ascii="Book Antiqua" w:eastAsia="Book Antiqua" w:hAnsi="Book Antiqua" w:cs="Book Antiqua"/>
          <w:b/>
          <w:bCs/>
          <w:color w:val="000000"/>
        </w:rPr>
        <w:t xml:space="preserve"> in </w:t>
      </w:r>
      <w:r w:rsidRPr="0021268C">
        <w:rPr>
          <w:rFonts w:ascii="Book Antiqua" w:eastAsia="Book Antiqua" w:hAnsi="Book Antiqua" w:cs="Book Antiqua"/>
          <w:b/>
          <w:color w:val="000000"/>
        </w:rPr>
        <w:t>hepatocellular carcinomas</w:t>
      </w:r>
      <w:r w:rsidRPr="0021268C">
        <w:rPr>
          <w:rFonts w:ascii="Book Antiqua" w:eastAsia="Book Antiqua" w:hAnsi="Book Antiqua" w:cs="Book Antiqua"/>
          <w:b/>
          <w:bCs/>
          <w:color w:val="000000"/>
        </w:rPr>
        <w:t xml:space="preserve"> patients with their interrelationship.</w:t>
      </w:r>
      <w:r w:rsidRPr="0021268C">
        <w:rPr>
          <w:rFonts w:ascii="Book Antiqua" w:eastAsia="Book Antiqua" w:hAnsi="Book Antiqua" w:cs="Book Antiqua"/>
          <w:b/>
          <w:color w:val="000000"/>
        </w:rPr>
        <w:t xml:space="preserve"> </w:t>
      </w:r>
      <w:r w:rsidRPr="0021268C">
        <w:rPr>
          <w:rFonts w:ascii="Book Antiqua" w:eastAsia="Book Antiqua" w:hAnsi="Book Antiqua" w:cs="Book Antiqua"/>
          <w:color w:val="000000"/>
        </w:rPr>
        <w:t>The heat map showing a red background indicates a positive correlation, the blue background indicates negative correlation, and the numbers in the box indicate rho (ρ).</w:t>
      </w:r>
      <w:r w:rsidRPr="0021268C">
        <w:rPr>
          <w:rFonts w:ascii="Book Antiqua" w:hAnsi="Book Antiqua"/>
          <w:b/>
          <w:lang w:eastAsia="zh-CN"/>
        </w:rPr>
        <w:t xml:space="preserve"> </w:t>
      </w:r>
      <w:r w:rsidRPr="0021268C">
        <w:rPr>
          <w:rFonts w:ascii="Book Antiqua" w:eastAsia="Book Antiqua" w:hAnsi="Book Antiqua" w:cs="Book Antiqua"/>
          <w:color w:val="000000"/>
        </w:rPr>
        <w:t>AFP</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 Ang-1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 Ang-2</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BCLC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Barcelona </w:t>
      </w:r>
      <w:r w:rsidRPr="0021268C">
        <w:rPr>
          <w:rFonts w:ascii="Book Antiqua" w:hAnsi="Book Antiqua" w:cs="Book Antiqua"/>
          <w:color w:val="000000"/>
          <w:lang w:eastAsia="zh-CN"/>
        </w:rPr>
        <w:t>c</w:t>
      </w:r>
      <w:r w:rsidRPr="0021268C">
        <w:rPr>
          <w:rFonts w:ascii="Book Antiqua" w:eastAsia="Book Antiqua" w:hAnsi="Book Antiqua" w:cs="Book Antiqua"/>
          <w:color w:val="000000"/>
        </w:rPr>
        <w:t xml:space="preserve">linic </w:t>
      </w:r>
      <w:r w:rsidRPr="0021268C">
        <w:rPr>
          <w:rFonts w:ascii="Book Antiqua" w:hAnsi="Book Antiqua" w:cs="Book Antiqua"/>
          <w:color w:val="000000"/>
          <w:lang w:eastAsia="zh-CN"/>
        </w:rPr>
        <w:t>l</w:t>
      </w:r>
      <w:r w:rsidRPr="0021268C">
        <w:rPr>
          <w:rFonts w:ascii="Book Antiqua" w:eastAsia="Book Antiqua" w:hAnsi="Book Antiqua" w:cs="Book Antiqua"/>
          <w:color w:val="000000"/>
        </w:rPr>
        <w:t xml:space="preserve">iver </w:t>
      </w:r>
      <w:r w:rsidRPr="0021268C">
        <w:rPr>
          <w:rFonts w:ascii="Book Antiqua" w:hAnsi="Book Antiqua" w:cs="Book Antiqua"/>
          <w:color w:val="000000"/>
          <w:lang w:eastAsia="zh-CN"/>
        </w:rPr>
        <w:t>c</w:t>
      </w:r>
      <w:r w:rsidRPr="0021268C">
        <w:rPr>
          <w:rFonts w:ascii="Book Antiqua" w:eastAsia="Book Antiqua" w:hAnsi="Book Antiqua" w:cs="Book Antiqua"/>
          <w:color w:val="000000"/>
        </w:rPr>
        <w:t>ancer; BMI</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B</w:t>
      </w:r>
      <w:r w:rsidRPr="0021268C">
        <w:rPr>
          <w:rFonts w:ascii="Book Antiqua" w:eastAsia="Book Antiqua" w:hAnsi="Book Antiqua" w:cs="Book Antiqua"/>
          <w:color w:val="000000"/>
        </w:rPr>
        <w:t>ody mass index; MELD</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M</w:t>
      </w:r>
      <w:r w:rsidRPr="0021268C">
        <w:rPr>
          <w:rFonts w:ascii="Book Antiqua" w:eastAsia="Book Antiqua" w:hAnsi="Book Antiqua" w:cs="Book Antiqua"/>
          <w:color w:val="000000"/>
        </w:rPr>
        <w:t>odel for end stage liver disease; NLR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N</w:t>
      </w:r>
      <w:r w:rsidRPr="0021268C">
        <w:rPr>
          <w:rFonts w:ascii="Book Antiqua" w:eastAsia="Book Antiqua" w:hAnsi="Book Antiqua" w:cs="Book Antiqua"/>
          <w:color w:val="000000"/>
        </w:rPr>
        <w:t>eutrophil-lymphocyte ratio; PLR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P</w:t>
      </w:r>
      <w:r w:rsidRPr="0021268C">
        <w:rPr>
          <w:rFonts w:ascii="Book Antiqua" w:eastAsia="Book Antiqua" w:hAnsi="Book Antiqua" w:cs="Book Antiqua"/>
          <w:color w:val="000000"/>
        </w:rPr>
        <w:t>latelet-lymphocyte ratio; VEGF</w:t>
      </w:r>
      <w:r w:rsidRPr="0021268C">
        <w:rPr>
          <w:rFonts w:ascii="Book Antiqua" w:hAnsi="Book Antiqua" w:cs="Book Antiqua"/>
          <w:color w:val="000000"/>
          <w:lang w:eastAsia="zh-CN"/>
        </w:rPr>
        <w:t>: 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p>
    <w:p w14:paraId="509FA7B0" w14:textId="77777777" w:rsidR="00B07060" w:rsidRPr="0021268C" w:rsidRDefault="005635E1">
      <w:pPr>
        <w:spacing w:line="360" w:lineRule="auto"/>
        <w:jc w:val="both"/>
        <w:rPr>
          <w:rFonts w:ascii="Book Antiqua" w:hAnsi="Book Antiqua"/>
        </w:rPr>
      </w:pPr>
      <w:r w:rsidRPr="0021268C">
        <w:rPr>
          <w:rFonts w:ascii="Book Antiqua" w:hAnsi="Book Antiqua"/>
        </w:rPr>
        <w:br w:type="page"/>
      </w:r>
      <w:r w:rsidRPr="0021268C">
        <w:rPr>
          <w:rFonts w:ascii="Book Antiqua" w:hAnsi="Book Antiqua"/>
          <w:noProof/>
          <w:lang w:eastAsia="zh-CN"/>
        </w:rPr>
        <w:lastRenderedPageBreak/>
        <w:drawing>
          <wp:inline distT="0" distB="0" distL="0" distR="0" wp14:anchorId="7DD13622" wp14:editId="5E16C1B7">
            <wp:extent cx="5486400" cy="41103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4110355"/>
                    </a:xfrm>
                    <a:prstGeom prst="rect">
                      <a:avLst/>
                    </a:prstGeom>
                  </pic:spPr>
                </pic:pic>
              </a:graphicData>
            </a:graphic>
          </wp:inline>
        </w:drawing>
      </w:r>
    </w:p>
    <w:p w14:paraId="17F0DD96" w14:textId="77777777" w:rsidR="00B07060" w:rsidRPr="0021268C" w:rsidRDefault="005635E1">
      <w:pPr>
        <w:spacing w:line="360" w:lineRule="auto"/>
        <w:jc w:val="both"/>
        <w:rPr>
          <w:rFonts w:ascii="Book Antiqua" w:hAnsi="Book Antiqua"/>
        </w:rPr>
      </w:pPr>
      <w:r w:rsidRPr="0021268C">
        <w:rPr>
          <w:rFonts w:ascii="Book Antiqua" w:eastAsia="Book Antiqua" w:hAnsi="Book Antiqua" w:cs="Book Antiqua"/>
          <w:b/>
          <w:bCs/>
          <w:color w:val="000000"/>
        </w:rPr>
        <w:t>Figure 3 Overall survival according to plasma angiogenesis marker level.</w:t>
      </w:r>
      <w:r w:rsidRPr="0021268C">
        <w:rPr>
          <w:rFonts w:ascii="Book Antiqua" w:hAnsi="Book Antiqua"/>
          <w:lang w:eastAsia="zh-CN"/>
        </w:rPr>
        <w:t xml:space="preserve"> </w:t>
      </w:r>
      <w:r w:rsidRPr="0021268C">
        <w:rPr>
          <w:rFonts w:ascii="Book Antiqua" w:eastAsia="Book Antiqua" w:hAnsi="Book Antiqua" w:cs="Book Antiqua"/>
          <w:color w:val="000000"/>
        </w:rPr>
        <w:t>A</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B</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xml:space="preserve"> 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D</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w:t>
      </w:r>
      <w:r w:rsidRPr="0021268C">
        <w:rPr>
          <w:rFonts w:ascii="Book Antiqua" w:hAnsi="Book Antiqua" w:cs="Book Antiqua"/>
          <w:color w:val="000000"/>
          <w:lang w:eastAsia="zh-CN"/>
        </w:rPr>
        <w:t xml:space="preserve">. </w:t>
      </w:r>
      <w:r w:rsidRPr="0021268C">
        <w:rPr>
          <w:rFonts w:ascii="Book Antiqua" w:eastAsia="Book Antiqua" w:hAnsi="Book Antiqua" w:cs="Book Antiqua"/>
          <w:color w:val="000000"/>
        </w:rPr>
        <w:t>AFP</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 Ang-1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 Ang-2</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VEGF</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 xml:space="preserve">; </w:t>
      </w:r>
      <w:r w:rsidRPr="0021268C">
        <w:rPr>
          <w:rFonts w:ascii="Book Antiqua" w:hAnsi="Book Antiqua"/>
        </w:rPr>
        <w:t>HR</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azard ratio; CI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C</w:t>
      </w:r>
      <w:r w:rsidRPr="0021268C">
        <w:rPr>
          <w:rFonts w:ascii="Book Antiqua" w:hAnsi="Book Antiqua"/>
        </w:rPr>
        <w:t>onfidence interval</w:t>
      </w:r>
      <w:r w:rsidRPr="0021268C">
        <w:rPr>
          <w:rFonts w:ascii="Book Antiqua" w:hAnsi="Book Antiqua"/>
          <w:lang w:eastAsia="zh-CN"/>
        </w:rPr>
        <w:t>.</w:t>
      </w:r>
    </w:p>
    <w:p w14:paraId="0E718462" w14:textId="77777777" w:rsidR="00B07060" w:rsidRPr="0021268C" w:rsidRDefault="005635E1">
      <w:pPr>
        <w:spacing w:line="360" w:lineRule="auto"/>
        <w:jc w:val="both"/>
        <w:rPr>
          <w:rFonts w:ascii="Book Antiqua" w:hAnsi="Book Antiqua"/>
        </w:rPr>
      </w:pPr>
      <w:r w:rsidRPr="0021268C">
        <w:rPr>
          <w:rFonts w:ascii="Book Antiqua" w:hAnsi="Book Antiqua"/>
        </w:rPr>
        <w:br w:type="page"/>
      </w:r>
      <w:r w:rsidRPr="0021268C">
        <w:rPr>
          <w:rFonts w:ascii="Book Antiqua" w:hAnsi="Book Antiqua"/>
          <w:noProof/>
          <w:lang w:eastAsia="zh-CN"/>
        </w:rPr>
        <w:lastRenderedPageBreak/>
        <w:drawing>
          <wp:inline distT="0" distB="0" distL="0" distR="0" wp14:anchorId="2A1283FD" wp14:editId="235E5A14">
            <wp:extent cx="4594860" cy="4351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595258" cy="4351397"/>
                    </a:xfrm>
                    <a:prstGeom prst="rect">
                      <a:avLst/>
                    </a:prstGeom>
                  </pic:spPr>
                </pic:pic>
              </a:graphicData>
            </a:graphic>
          </wp:inline>
        </w:drawing>
      </w:r>
    </w:p>
    <w:p w14:paraId="33F0629E" w14:textId="77777777" w:rsidR="00B07060" w:rsidRPr="0021268C" w:rsidRDefault="005635E1">
      <w:pPr>
        <w:spacing w:line="360" w:lineRule="auto"/>
        <w:jc w:val="both"/>
        <w:rPr>
          <w:rFonts w:ascii="Book Antiqua" w:eastAsia="Book Antiqua" w:hAnsi="Book Antiqua" w:cs="Book Antiqua"/>
          <w:color w:val="000000"/>
        </w:rPr>
      </w:pPr>
      <w:r w:rsidRPr="0021268C">
        <w:rPr>
          <w:rFonts w:ascii="Book Antiqua" w:eastAsia="Book Antiqua" w:hAnsi="Book Antiqua" w:cs="Book Antiqua"/>
          <w:b/>
          <w:bCs/>
          <w:color w:val="000000"/>
        </w:rPr>
        <w:t xml:space="preserve">Figure 4 Time-dependent </w:t>
      </w:r>
      <w:r w:rsidRPr="0021268C">
        <w:rPr>
          <w:rFonts w:ascii="Book Antiqua" w:hAnsi="Book Antiqua" w:cs="Book Antiqua"/>
          <w:b/>
          <w:color w:val="000000"/>
          <w:lang w:eastAsia="zh-CN"/>
        </w:rPr>
        <w:t>r</w:t>
      </w:r>
      <w:r w:rsidRPr="0021268C">
        <w:rPr>
          <w:rFonts w:ascii="Book Antiqua" w:eastAsia="Book Antiqua" w:hAnsi="Book Antiqua" w:cs="Book Antiqua"/>
          <w:b/>
          <w:color w:val="000000"/>
        </w:rPr>
        <w:t>eceiver operating characteristic</w:t>
      </w:r>
      <w:r w:rsidRPr="0021268C">
        <w:rPr>
          <w:rFonts w:ascii="Book Antiqua" w:eastAsia="Book Antiqua" w:hAnsi="Book Antiqua" w:cs="Book Antiqua"/>
          <w:b/>
          <w:bCs/>
          <w:color w:val="000000"/>
        </w:rPr>
        <w:t xml:space="preserve"> for survival at each time point.</w:t>
      </w:r>
      <w:r w:rsidRPr="0021268C">
        <w:rPr>
          <w:rFonts w:ascii="Book Antiqua" w:hAnsi="Book Antiqua"/>
          <w:lang w:eastAsia="zh-CN"/>
        </w:rPr>
        <w:t xml:space="preserve"> </w:t>
      </w:r>
      <w:r w:rsidRPr="0021268C">
        <w:rPr>
          <w:rFonts w:ascii="Book Antiqua" w:eastAsia="Book Antiqua" w:hAnsi="Book Antiqua" w:cs="Book Antiqua"/>
          <w:color w:val="000000"/>
        </w:rPr>
        <w:t>AFP</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 Ang-1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 Ang-2</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VEGF</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ROC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R</w:t>
      </w:r>
      <w:r w:rsidRPr="0021268C">
        <w:rPr>
          <w:rFonts w:ascii="Book Antiqua" w:eastAsia="Book Antiqua" w:hAnsi="Book Antiqua" w:cs="Book Antiqua"/>
          <w:color w:val="000000"/>
        </w:rPr>
        <w:t>eceiver operating characteristic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AUC: Area </w:t>
      </w:r>
      <w:r w:rsidRPr="0021268C">
        <w:rPr>
          <w:rFonts w:ascii="Book Antiqua" w:hAnsi="Book Antiqua" w:cs="Book Antiqua"/>
          <w:color w:val="000000"/>
          <w:lang w:eastAsia="zh-CN"/>
        </w:rPr>
        <w:t>u</w:t>
      </w:r>
      <w:r w:rsidRPr="0021268C">
        <w:rPr>
          <w:rFonts w:ascii="Book Antiqua" w:eastAsia="Book Antiqua" w:hAnsi="Book Antiqua" w:cs="Book Antiqua"/>
          <w:color w:val="000000"/>
        </w:rPr>
        <w:t xml:space="preserve">nder the ROC </w:t>
      </w:r>
      <w:r w:rsidRPr="0021268C">
        <w:rPr>
          <w:rFonts w:ascii="Book Antiqua" w:hAnsi="Book Antiqua" w:cs="Book Antiqua"/>
          <w:color w:val="000000"/>
          <w:lang w:eastAsia="zh-CN"/>
        </w:rPr>
        <w:t>c</w:t>
      </w:r>
      <w:r w:rsidRPr="0021268C">
        <w:rPr>
          <w:rFonts w:ascii="Book Antiqua" w:eastAsia="Book Antiqua" w:hAnsi="Book Antiqua" w:cs="Book Antiqua"/>
          <w:color w:val="000000"/>
        </w:rPr>
        <w:t>urve.</w:t>
      </w:r>
    </w:p>
    <w:p w14:paraId="28041806" w14:textId="77777777" w:rsidR="00B07060" w:rsidRPr="0021268C" w:rsidRDefault="005635E1">
      <w:pPr>
        <w:spacing w:line="360" w:lineRule="auto"/>
        <w:jc w:val="both"/>
        <w:rPr>
          <w:rFonts w:ascii="Book Antiqua" w:hAnsi="Book Antiqua"/>
        </w:rPr>
      </w:pPr>
      <w:r w:rsidRPr="0021268C">
        <w:rPr>
          <w:rFonts w:ascii="Book Antiqua" w:hAnsi="Book Antiqua"/>
        </w:rPr>
        <w:br w:type="page"/>
      </w:r>
      <w:r w:rsidRPr="0021268C">
        <w:rPr>
          <w:rFonts w:ascii="Book Antiqua" w:hAnsi="Book Antiqua"/>
          <w:noProof/>
          <w:lang w:eastAsia="zh-CN"/>
        </w:rPr>
        <w:lastRenderedPageBreak/>
        <w:drawing>
          <wp:inline distT="0" distB="0" distL="0" distR="0" wp14:anchorId="75B26A95" wp14:editId="58AFD49B">
            <wp:extent cx="5486400" cy="41205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486400" cy="4120515"/>
                    </a:xfrm>
                    <a:prstGeom prst="rect">
                      <a:avLst/>
                    </a:prstGeom>
                  </pic:spPr>
                </pic:pic>
              </a:graphicData>
            </a:graphic>
          </wp:inline>
        </w:drawing>
      </w:r>
    </w:p>
    <w:p w14:paraId="401A62BD" w14:textId="77777777" w:rsidR="00B07060" w:rsidRPr="0021268C" w:rsidRDefault="005635E1">
      <w:pPr>
        <w:spacing w:line="360" w:lineRule="auto"/>
        <w:jc w:val="both"/>
        <w:rPr>
          <w:rFonts w:ascii="Book Antiqua" w:hAnsi="Book Antiqua" w:cs="Book Antiqua"/>
          <w:color w:val="000000"/>
          <w:lang w:eastAsia="zh-CN"/>
        </w:rPr>
      </w:pPr>
      <w:r w:rsidRPr="0021268C">
        <w:rPr>
          <w:rFonts w:ascii="Book Antiqua" w:eastAsia="Book Antiqua" w:hAnsi="Book Antiqua" w:cs="Book Antiqua"/>
          <w:b/>
          <w:bCs/>
          <w:color w:val="000000"/>
        </w:rPr>
        <w:t>Figure 5 Progression-free survival according to plasma angiogenesis marker level</w:t>
      </w:r>
      <w:r w:rsidRPr="0021268C">
        <w:rPr>
          <w:rFonts w:ascii="Book Antiqua" w:hAnsi="Book Antiqua" w:cs="Book Antiqua"/>
          <w:b/>
          <w:bCs/>
          <w:color w:val="000000"/>
          <w:lang w:eastAsia="zh-CN"/>
        </w:rPr>
        <w:t>.</w:t>
      </w:r>
      <w:r w:rsidRPr="0021268C">
        <w:rPr>
          <w:rFonts w:ascii="Book Antiqua" w:hAnsi="Book Antiqua"/>
          <w:lang w:eastAsia="zh-CN"/>
        </w:rPr>
        <w:t xml:space="preserve"> </w:t>
      </w:r>
      <w:r w:rsidRPr="0021268C">
        <w:rPr>
          <w:rFonts w:ascii="Book Antiqua" w:eastAsia="Book Antiqua" w:hAnsi="Book Antiqua" w:cs="Book Antiqua"/>
          <w:color w:val="000000"/>
        </w:rPr>
        <w:t>A</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B</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xml:space="preserve"> C</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D</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w:t>
      </w:r>
      <w:r w:rsidRPr="0021268C">
        <w:rPr>
          <w:rFonts w:ascii="Book Antiqua" w:hAnsi="Book Antiqua" w:cs="Book Antiqua"/>
          <w:color w:val="000000"/>
          <w:lang w:eastAsia="zh-CN"/>
        </w:rPr>
        <w:t xml:space="preserve">. </w:t>
      </w:r>
      <w:r w:rsidRPr="0021268C">
        <w:rPr>
          <w:rFonts w:ascii="Book Antiqua" w:eastAsia="Book Antiqua" w:hAnsi="Book Antiqua" w:cs="Book Antiqua"/>
          <w:color w:val="000000"/>
        </w:rPr>
        <w:t>AFP</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A</w:t>
      </w:r>
      <w:r w:rsidRPr="0021268C">
        <w:rPr>
          <w:rFonts w:ascii="Book Antiqua" w:eastAsia="Book Antiqua" w:hAnsi="Book Antiqua" w:cs="Book Antiqua"/>
          <w:color w:val="000000"/>
        </w:rPr>
        <w:t>lpha-fetoprotein; Ang-1</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Angiopoietin-1; Ang-2</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Angiopoietin-</w:t>
      </w:r>
      <w:r w:rsidRPr="0021268C">
        <w:rPr>
          <w:rFonts w:ascii="Book Antiqua" w:hAnsi="Book Antiqua" w:cs="Book Antiqua"/>
          <w:color w:val="000000"/>
          <w:lang w:eastAsia="zh-CN"/>
        </w:rPr>
        <w:t>2</w:t>
      </w:r>
      <w:r w:rsidRPr="0021268C">
        <w:rPr>
          <w:rFonts w:ascii="Book Antiqua" w:eastAsia="Book Antiqua" w:hAnsi="Book Antiqua" w:cs="Book Antiqua"/>
          <w:color w:val="000000"/>
        </w:rPr>
        <w:t>; VEGF</w:t>
      </w:r>
      <w:r w:rsidRPr="0021268C">
        <w:rPr>
          <w:rFonts w:ascii="Book Antiqua" w:hAnsi="Book Antiqua" w:cs="Book Antiqua"/>
          <w:color w:val="000000"/>
          <w:lang w:eastAsia="zh-CN"/>
        </w:rPr>
        <w:t>:</w:t>
      </w:r>
      <w:r w:rsidRPr="0021268C">
        <w:rPr>
          <w:rFonts w:ascii="Book Antiqua" w:eastAsia="Book Antiqua" w:hAnsi="Book Antiqua" w:cs="Book Antiqua"/>
          <w:color w:val="000000"/>
        </w:rPr>
        <w:t xml:space="preserve"> </w:t>
      </w:r>
      <w:r w:rsidRPr="0021268C">
        <w:rPr>
          <w:rFonts w:ascii="Book Antiqua" w:hAnsi="Book Antiqua" w:cs="Book Antiqua"/>
          <w:color w:val="000000"/>
          <w:lang w:eastAsia="zh-CN"/>
        </w:rPr>
        <w:t>V</w:t>
      </w:r>
      <w:r w:rsidRPr="0021268C">
        <w:rPr>
          <w:rFonts w:ascii="Book Antiqua" w:eastAsia="Book Antiqua" w:hAnsi="Book Antiqua" w:cs="Book Antiqua"/>
          <w:color w:val="000000"/>
        </w:rPr>
        <w:t>ascular endothelial growth factor</w:t>
      </w:r>
      <w:r w:rsidRPr="0021268C">
        <w:rPr>
          <w:rFonts w:ascii="Book Antiqua" w:hAnsi="Book Antiqua" w:cs="Book Antiqua"/>
          <w:color w:val="000000"/>
          <w:lang w:eastAsia="zh-CN"/>
        </w:rPr>
        <w:t xml:space="preserve">; </w:t>
      </w:r>
      <w:r w:rsidRPr="0021268C">
        <w:rPr>
          <w:rFonts w:ascii="Book Antiqua" w:hAnsi="Book Antiqua"/>
        </w:rPr>
        <w:t>HR</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azard ratio; CI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C</w:t>
      </w:r>
      <w:r w:rsidRPr="0021268C">
        <w:rPr>
          <w:rFonts w:ascii="Book Antiqua" w:hAnsi="Book Antiqua"/>
        </w:rPr>
        <w:t>onfidence interval</w:t>
      </w:r>
      <w:r w:rsidRPr="0021268C">
        <w:rPr>
          <w:rFonts w:ascii="Book Antiqua" w:hAnsi="Book Antiqua"/>
          <w:lang w:eastAsia="zh-CN"/>
        </w:rPr>
        <w:t>.</w:t>
      </w:r>
    </w:p>
    <w:p w14:paraId="4F4ACE37" w14:textId="77777777" w:rsidR="00B07060" w:rsidRPr="0021268C" w:rsidRDefault="005635E1">
      <w:pPr>
        <w:spacing w:line="360" w:lineRule="auto"/>
        <w:jc w:val="both"/>
        <w:rPr>
          <w:rFonts w:ascii="Book Antiqua" w:hAnsi="Book Antiqua" w:cs="Arial"/>
          <w:b/>
        </w:rPr>
      </w:pPr>
      <w:r w:rsidRPr="0021268C">
        <w:rPr>
          <w:rFonts w:ascii="Book Antiqua" w:hAnsi="Book Antiqua" w:cs="Book Antiqua"/>
          <w:color w:val="000000"/>
          <w:lang w:eastAsia="zh-CN"/>
        </w:rPr>
        <w:br w:type="page"/>
      </w:r>
      <w:r w:rsidRPr="0021268C">
        <w:rPr>
          <w:rFonts w:ascii="Book Antiqua" w:hAnsi="Book Antiqua" w:cs="Arial"/>
          <w:b/>
        </w:rPr>
        <w:lastRenderedPageBreak/>
        <w:t>Table 1 Baseline characteristics and plasma levels of</w:t>
      </w:r>
      <w:r w:rsidRPr="0021268C">
        <w:rPr>
          <w:rFonts w:ascii="Book Antiqua" w:eastAsia="Book Antiqua" w:hAnsi="Book Antiqua" w:cs="Book Antiqua"/>
          <w:color w:val="000000"/>
        </w:rPr>
        <w:t xml:space="preserve"> </w:t>
      </w:r>
      <w:r w:rsidRPr="0021268C">
        <w:rPr>
          <w:rFonts w:ascii="Book Antiqua" w:hAnsi="Book Antiqua" w:cs="Book Antiqua"/>
          <w:b/>
          <w:color w:val="000000"/>
          <w:lang w:eastAsia="zh-CN"/>
        </w:rPr>
        <w:t>a</w:t>
      </w:r>
      <w:r w:rsidRPr="0021268C">
        <w:rPr>
          <w:rFonts w:ascii="Book Antiqua" w:eastAsia="Book Antiqua" w:hAnsi="Book Antiqua" w:cs="Book Antiqua"/>
          <w:b/>
          <w:color w:val="000000"/>
        </w:rPr>
        <w:t>ngiopoietin-1</w:t>
      </w:r>
      <w:r w:rsidRPr="0021268C">
        <w:rPr>
          <w:rFonts w:ascii="Book Antiqua" w:hAnsi="Book Antiqua" w:cs="Arial"/>
          <w:b/>
        </w:rPr>
        <w:t xml:space="preserve">, </w:t>
      </w:r>
      <w:r w:rsidRPr="0021268C">
        <w:rPr>
          <w:rFonts w:ascii="Book Antiqua" w:hAnsi="Book Antiqua" w:cs="Book Antiqua"/>
          <w:b/>
          <w:color w:val="000000"/>
          <w:lang w:eastAsia="zh-CN"/>
        </w:rPr>
        <w:t>a</w:t>
      </w:r>
      <w:r w:rsidRPr="0021268C">
        <w:rPr>
          <w:rFonts w:ascii="Book Antiqua" w:eastAsia="Book Antiqua" w:hAnsi="Book Antiqua" w:cs="Book Antiqua"/>
          <w:b/>
          <w:color w:val="000000"/>
        </w:rPr>
        <w:t>ngiopoietin-</w:t>
      </w:r>
      <w:r w:rsidRPr="0021268C">
        <w:rPr>
          <w:rFonts w:ascii="Book Antiqua" w:hAnsi="Book Antiqua" w:cs="Book Antiqua"/>
          <w:b/>
          <w:color w:val="000000"/>
          <w:lang w:eastAsia="zh-CN"/>
        </w:rPr>
        <w:t>2</w:t>
      </w:r>
      <w:r w:rsidRPr="0021268C">
        <w:rPr>
          <w:rFonts w:ascii="Book Antiqua" w:hAnsi="Book Antiqua" w:cs="Arial"/>
          <w:b/>
        </w:rPr>
        <w:t xml:space="preserve">, and </w:t>
      </w:r>
      <w:r w:rsidRPr="0021268C">
        <w:rPr>
          <w:rFonts w:ascii="Book Antiqua" w:hAnsi="Book Antiqua" w:cs="Book Antiqua"/>
          <w:b/>
          <w:color w:val="000000"/>
          <w:lang w:eastAsia="zh-CN"/>
        </w:rPr>
        <w:t>v</w:t>
      </w:r>
      <w:r w:rsidRPr="0021268C">
        <w:rPr>
          <w:rFonts w:ascii="Book Antiqua" w:eastAsia="Book Antiqua" w:hAnsi="Book Antiqua" w:cs="Book Antiqua"/>
          <w:b/>
          <w:color w:val="000000"/>
        </w:rPr>
        <w:t>ascular endothelial growth factor</w:t>
      </w:r>
      <w:r w:rsidRPr="0021268C">
        <w:rPr>
          <w:rFonts w:ascii="Book Antiqua" w:hAnsi="Book Antiqua" w:cs="Arial"/>
          <w:b/>
        </w:rPr>
        <w:t xml:space="preserve"> </w:t>
      </w:r>
    </w:p>
    <w:tbl>
      <w:tblPr>
        <w:tblpPr w:leftFromText="142" w:rightFromText="142" w:vertAnchor="text" w:horzAnchor="margin" w:tblpY="149"/>
        <w:tblW w:w="5000" w:type="pct"/>
        <w:tblBorders>
          <w:top w:val="single" w:sz="4" w:space="0" w:color="auto"/>
          <w:bottom w:val="single" w:sz="4" w:space="0" w:color="auto"/>
        </w:tblBorders>
        <w:tblCellMar>
          <w:top w:w="85" w:type="dxa"/>
        </w:tblCellMar>
        <w:tblLook w:val="04A0" w:firstRow="1" w:lastRow="0" w:firstColumn="1" w:lastColumn="0" w:noHBand="0" w:noVBand="1"/>
      </w:tblPr>
      <w:tblGrid>
        <w:gridCol w:w="5286"/>
        <w:gridCol w:w="4239"/>
      </w:tblGrid>
      <w:tr w:rsidR="00B07060" w:rsidRPr="0021268C" w14:paraId="3CEB60FC" w14:textId="77777777">
        <w:trPr>
          <w:trHeight w:val="140"/>
        </w:trPr>
        <w:tc>
          <w:tcPr>
            <w:tcW w:w="2775" w:type="pct"/>
            <w:tcBorders>
              <w:top w:val="single" w:sz="4" w:space="0" w:color="auto"/>
              <w:bottom w:val="single" w:sz="4" w:space="0" w:color="auto"/>
            </w:tcBorders>
            <w:shd w:val="clear" w:color="auto" w:fill="auto"/>
            <w:tcMar>
              <w:top w:w="0" w:type="dxa"/>
              <w:left w:w="57" w:type="dxa"/>
              <w:right w:w="57" w:type="dxa"/>
            </w:tcMar>
          </w:tcPr>
          <w:p w14:paraId="03D600DB" w14:textId="77777777" w:rsidR="00B07060" w:rsidRPr="0021268C" w:rsidRDefault="005635E1">
            <w:pPr>
              <w:adjustRightInd w:val="0"/>
              <w:snapToGrid w:val="0"/>
              <w:spacing w:line="360" w:lineRule="auto"/>
              <w:jc w:val="both"/>
              <w:rPr>
                <w:rFonts w:ascii="Book Antiqua" w:hAnsi="Book Antiqua" w:cs="Arial"/>
                <w:b/>
              </w:rPr>
            </w:pPr>
            <w:r w:rsidRPr="0021268C">
              <w:rPr>
                <w:rFonts w:ascii="Book Antiqua" w:hAnsi="Book Antiqua" w:cs="Arial"/>
                <w:b/>
              </w:rPr>
              <w:t>Characteristic</w:t>
            </w:r>
          </w:p>
        </w:tc>
        <w:tc>
          <w:tcPr>
            <w:tcW w:w="2225" w:type="pct"/>
            <w:tcBorders>
              <w:top w:val="single" w:sz="4" w:space="0" w:color="auto"/>
              <w:bottom w:val="single" w:sz="4" w:space="0" w:color="auto"/>
            </w:tcBorders>
            <w:shd w:val="clear" w:color="auto" w:fill="auto"/>
          </w:tcPr>
          <w:p w14:paraId="43EB821D" w14:textId="77777777" w:rsidR="00B07060" w:rsidRPr="0021268C" w:rsidRDefault="005635E1">
            <w:pPr>
              <w:adjustRightInd w:val="0"/>
              <w:snapToGrid w:val="0"/>
              <w:spacing w:line="360" w:lineRule="auto"/>
              <w:jc w:val="both"/>
              <w:rPr>
                <w:rFonts w:ascii="Book Antiqua" w:hAnsi="Book Antiqua" w:cs="Arial"/>
                <w:b/>
                <w:bCs/>
              </w:rPr>
            </w:pPr>
            <w:r w:rsidRPr="0021268C">
              <w:rPr>
                <w:rFonts w:ascii="Book Antiqua" w:hAnsi="Book Antiqua" w:cs="Arial"/>
                <w:b/>
                <w:bCs/>
              </w:rPr>
              <w:t>HCC patients (</w:t>
            </w:r>
            <w:r w:rsidRPr="0021268C">
              <w:rPr>
                <w:rFonts w:ascii="Book Antiqua" w:hAnsi="Book Antiqua" w:cs="Arial"/>
                <w:b/>
                <w:bCs/>
                <w:i/>
              </w:rPr>
              <w:t>n</w:t>
            </w:r>
            <w:r w:rsidRPr="0021268C">
              <w:rPr>
                <w:rFonts w:ascii="Book Antiqua" w:hAnsi="Book Antiqua" w:cs="Arial"/>
                <w:b/>
                <w:bCs/>
                <w:lang w:eastAsia="zh-CN"/>
              </w:rPr>
              <w:t xml:space="preserve"> </w:t>
            </w:r>
            <w:r w:rsidRPr="0021268C">
              <w:rPr>
                <w:rFonts w:ascii="Book Antiqua" w:hAnsi="Book Antiqua" w:cs="Arial"/>
                <w:b/>
                <w:bCs/>
              </w:rPr>
              <w:t>=</w:t>
            </w:r>
            <w:r w:rsidRPr="0021268C">
              <w:rPr>
                <w:rFonts w:ascii="Book Antiqua" w:hAnsi="Book Antiqua" w:cs="Arial"/>
                <w:b/>
                <w:bCs/>
                <w:lang w:eastAsia="zh-CN"/>
              </w:rPr>
              <w:t xml:space="preserve"> </w:t>
            </w:r>
            <w:r w:rsidRPr="0021268C">
              <w:rPr>
                <w:rFonts w:ascii="Book Antiqua" w:hAnsi="Book Antiqua" w:cs="Arial"/>
                <w:b/>
                <w:bCs/>
              </w:rPr>
              <w:t>240)</w:t>
            </w:r>
          </w:p>
        </w:tc>
      </w:tr>
      <w:tr w:rsidR="00B07060" w:rsidRPr="0021268C" w14:paraId="5141BAA7" w14:textId="77777777">
        <w:trPr>
          <w:trHeight w:val="116"/>
        </w:trPr>
        <w:tc>
          <w:tcPr>
            <w:tcW w:w="2775" w:type="pct"/>
            <w:tcBorders>
              <w:top w:val="single" w:sz="4" w:space="0" w:color="auto"/>
            </w:tcBorders>
            <w:shd w:val="clear" w:color="auto" w:fill="auto"/>
            <w:tcMar>
              <w:top w:w="0" w:type="dxa"/>
              <w:left w:w="57" w:type="dxa"/>
              <w:right w:w="57" w:type="dxa"/>
            </w:tcMar>
          </w:tcPr>
          <w:p w14:paraId="2CF48435"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Age, mean age </w:t>
            </w:r>
            <w:r w:rsidRPr="0021268C">
              <w:rPr>
                <w:rFonts w:ascii="Book Antiqua" w:hAnsi="Book Antiqua" w:cs="Arial"/>
              </w:rPr>
              <w:t xml:space="preserve">± SD, </w:t>
            </w:r>
            <w:r w:rsidRPr="0021268C">
              <w:rPr>
                <w:rFonts w:ascii="Book Antiqua" w:eastAsiaTheme="minorEastAsia" w:hAnsi="Book Antiqua" w:cs="Arial"/>
                <w:kern w:val="2"/>
              </w:rPr>
              <w:t>year</w:t>
            </w:r>
          </w:p>
        </w:tc>
        <w:tc>
          <w:tcPr>
            <w:tcW w:w="2225" w:type="pct"/>
            <w:tcBorders>
              <w:top w:val="single" w:sz="4" w:space="0" w:color="auto"/>
            </w:tcBorders>
            <w:shd w:val="clear" w:color="auto" w:fill="auto"/>
          </w:tcPr>
          <w:p w14:paraId="3B80A4DE"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bCs/>
                <w:kern w:val="2"/>
              </w:rPr>
              <w:t xml:space="preserve">60.9 ± 11.2 </w:t>
            </w:r>
          </w:p>
        </w:tc>
      </w:tr>
      <w:tr w:rsidR="00B07060" w:rsidRPr="0021268C" w14:paraId="206C8625" w14:textId="77777777">
        <w:trPr>
          <w:trHeight w:val="37"/>
        </w:trPr>
        <w:tc>
          <w:tcPr>
            <w:tcW w:w="2775" w:type="pct"/>
            <w:shd w:val="clear" w:color="auto" w:fill="auto"/>
            <w:tcMar>
              <w:top w:w="0" w:type="dxa"/>
              <w:left w:w="57" w:type="dxa"/>
              <w:right w:w="57" w:type="dxa"/>
            </w:tcMar>
          </w:tcPr>
          <w:p w14:paraId="61A288FC"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Male sex,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336E101A"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193 (80.4)</w:t>
            </w:r>
          </w:p>
        </w:tc>
      </w:tr>
      <w:tr w:rsidR="00B07060" w:rsidRPr="0021268C" w14:paraId="3B09D75D" w14:textId="77777777">
        <w:trPr>
          <w:trHeight w:val="91"/>
        </w:trPr>
        <w:tc>
          <w:tcPr>
            <w:tcW w:w="2775" w:type="pct"/>
            <w:shd w:val="clear" w:color="auto" w:fill="auto"/>
            <w:tcMar>
              <w:top w:w="0" w:type="dxa"/>
              <w:left w:w="57" w:type="dxa"/>
              <w:right w:w="57" w:type="dxa"/>
            </w:tcMar>
          </w:tcPr>
          <w:p w14:paraId="7E6304F7"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BMI, mean </w:t>
            </w:r>
            <w:r w:rsidRPr="0021268C">
              <w:rPr>
                <w:rFonts w:ascii="Book Antiqua" w:hAnsi="Book Antiqua" w:cs="Arial"/>
              </w:rPr>
              <w:t>± SD</w:t>
            </w:r>
            <w:r w:rsidRPr="0021268C">
              <w:rPr>
                <w:rFonts w:ascii="Book Antiqua" w:eastAsiaTheme="minorEastAsia" w:hAnsi="Book Antiqua" w:cs="Arial"/>
                <w:kern w:val="2"/>
              </w:rPr>
              <w:t xml:space="preserve">, </w:t>
            </w:r>
            <w:r w:rsidRPr="0021268C">
              <w:rPr>
                <w:rFonts w:ascii="Book Antiqua" w:hAnsi="Book Antiqua" w:cs="Arial"/>
              </w:rPr>
              <w:t>kg/m</w:t>
            </w:r>
            <w:r w:rsidRPr="0021268C">
              <w:rPr>
                <w:rFonts w:ascii="Book Antiqua" w:hAnsi="Book Antiqua" w:cs="Arial"/>
                <w:vertAlign w:val="superscript"/>
              </w:rPr>
              <w:t>2</w:t>
            </w:r>
          </w:p>
        </w:tc>
        <w:tc>
          <w:tcPr>
            <w:tcW w:w="2225" w:type="pct"/>
            <w:shd w:val="clear" w:color="auto" w:fill="auto"/>
          </w:tcPr>
          <w:p w14:paraId="37C27B88"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24.1 ± 3.0</w:t>
            </w:r>
          </w:p>
        </w:tc>
      </w:tr>
      <w:tr w:rsidR="005232A4" w:rsidRPr="0021268C" w14:paraId="178E1540" w14:textId="77777777" w:rsidTr="005232A4">
        <w:trPr>
          <w:trHeight w:val="445"/>
        </w:trPr>
        <w:tc>
          <w:tcPr>
            <w:tcW w:w="2775" w:type="pct"/>
            <w:shd w:val="clear" w:color="auto" w:fill="auto"/>
            <w:tcMar>
              <w:top w:w="0" w:type="dxa"/>
              <w:left w:w="57" w:type="dxa"/>
              <w:right w:w="57" w:type="dxa"/>
            </w:tcMar>
          </w:tcPr>
          <w:p w14:paraId="032E13BD" w14:textId="76F5C0C6"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 xml:space="preserve">Etiology,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3C6C087A" w14:textId="3572A627"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p>
        </w:tc>
      </w:tr>
      <w:tr w:rsidR="005232A4" w:rsidRPr="0021268C" w14:paraId="1C85F942" w14:textId="77777777">
        <w:trPr>
          <w:trHeight w:val="445"/>
        </w:trPr>
        <w:tc>
          <w:tcPr>
            <w:tcW w:w="2775" w:type="pct"/>
            <w:shd w:val="clear" w:color="auto" w:fill="auto"/>
            <w:tcMar>
              <w:top w:w="0" w:type="dxa"/>
              <w:left w:w="57" w:type="dxa"/>
              <w:right w:w="57" w:type="dxa"/>
            </w:tcMar>
          </w:tcPr>
          <w:p w14:paraId="4682517B" w14:textId="4141FD33"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HBV/HCV/HBV</w:t>
            </w:r>
            <w:r w:rsidRPr="0021268C">
              <w:rPr>
                <w:rFonts w:ascii="Book Antiqua" w:eastAsiaTheme="minorEastAsia" w:hAnsi="Book Antiqua" w:cs="Arial"/>
                <w:kern w:val="2"/>
                <w:lang w:eastAsia="zh-CN"/>
              </w:rPr>
              <w:t xml:space="preserve"> </w:t>
            </w:r>
            <w:r w:rsidRPr="0021268C">
              <w:rPr>
                <w:rFonts w:ascii="Book Antiqua" w:eastAsiaTheme="minorEastAsia" w:hAnsi="Book Antiqua" w:cs="Arial"/>
                <w:kern w:val="2"/>
              </w:rPr>
              <w:t>+</w:t>
            </w:r>
            <w:r w:rsidRPr="0021268C">
              <w:rPr>
                <w:rFonts w:ascii="Book Antiqua" w:eastAsiaTheme="minorEastAsia" w:hAnsi="Book Antiqua" w:cs="Arial"/>
                <w:kern w:val="2"/>
                <w:lang w:eastAsia="zh-CN"/>
              </w:rPr>
              <w:t xml:space="preserve"> </w:t>
            </w:r>
            <w:r w:rsidRPr="0021268C">
              <w:rPr>
                <w:rFonts w:ascii="Book Antiqua" w:eastAsiaTheme="minorEastAsia" w:hAnsi="Book Antiqua" w:cs="Arial"/>
                <w:kern w:val="2"/>
              </w:rPr>
              <w:t>HCV</w:t>
            </w:r>
          </w:p>
        </w:tc>
        <w:tc>
          <w:tcPr>
            <w:tcW w:w="2225" w:type="pct"/>
            <w:shd w:val="clear" w:color="auto" w:fill="auto"/>
          </w:tcPr>
          <w:p w14:paraId="107CBDB1" w14:textId="3110CE28" w:rsidR="005232A4" w:rsidRPr="0021268C" w:rsidRDefault="005232A4" w:rsidP="005232A4">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167 (69.6)/24 (10)/2 (0.8)</w:t>
            </w:r>
          </w:p>
        </w:tc>
      </w:tr>
      <w:tr w:rsidR="005232A4" w:rsidRPr="0021268C" w14:paraId="19691E52" w14:textId="77777777">
        <w:trPr>
          <w:trHeight w:val="445"/>
        </w:trPr>
        <w:tc>
          <w:tcPr>
            <w:tcW w:w="2775" w:type="pct"/>
            <w:shd w:val="clear" w:color="auto" w:fill="auto"/>
            <w:tcMar>
              <w:top w:w="0" w:type="dxa"/>
              <w:left w:w="57" w:type="dxa"/>
              <w:right w:w="57" w:type="dxa"/>
            </w:tcMar>
          </w:tcPr>
          <w:p w14:paraId="5AB8172A" w14:textId="3D3A69CA"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Alcohol/Others</w:t>
            </w:r>
          </w:p>
        </w:tc>
        <w:tc>
          <w:tcPr>
            <w:tcW w:w="2225" w:type="pct"/>
            <w:shd w:val="clear" w:color="auto" w:fill="auto"/>
          </w:tcPr>
          <w:p w14:paraId="635D9D51" w14:textId="0A5CF2E6"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28 (11.7)/19</w:t>
            </w:r>
            <w:r w:rsidRPr="0021268C">
              <w:rPr>
                <w:rFonts w:ascii="Book Antiqua" w:eastAsiaTheme="minorEastAsia" w:hAnsi="Book Antiqua" w:cs="Arial"/>
                <w:kern w:val="2"/>
                <w:lang w:eastAsia="zh-CN"/>
              </w:rPr>
              <w:t xml:space="preserve"> </w:t>
            </w:r>
            <w:r w:rsidRPr="0021268C">
              <w:rPr>
                <w:rFonts w:ascii="Book Antiqua" w:eastAsiaTheme="minorEastAsia" w:hAnsi="Book Antiqua" w:cs="Arial"/>
                <w:kern w:val="2"/>
              </w:rPr>
              <w:t>(7.9)</w:t>
            </w:r>
          </w:p>
        </w:tc>
      </w:tr>
      <w:tr w:rsidR="00B07060" w:rsidRPr="0021268C" w14:paraId="77CCD468" w14:textId="77777777">
        <w:trPr>
          <w:trHeight w:val="53"/>
        </w:trPr>
        <w:tc>
          <w:tcPr>
            <w:tcW w:w="2775" w:type="pct"/>
            <w:shd w:val="clear" w:color="auto" w:fill="auto"/>
            <w:tcMar>
              <w:top w:w="0" w:type="dxa"/>
              <w:left w:w="57" w:type="dxa"/>
              <w:right w:w="57" w:type="dxa"/>
            </w:tcMar>
          </w:tcPr>
          <w:p w14:paraId="40D2056D"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 xml:space="preserve">Presence of cirrhosis,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542703E2"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184 (76.7)</w:t>
            </w:r>
          </w:p>
        </w:tc>
      </w:tr>
      <w:tr w:rsidR="005232A4" w:rsidRPr="0021268C" w14:paraId="2F33EA91" w14:textId="77777777" w:rsidTr="005232A4">
        <w:trPr>
          <w:trHeight w:val="450"/>
        </w:trPr>
        <w:tc>
          <w:tcPr>
            <w:tcW w:w="2775" w:type="pct"/>
            <w:shd w:val="clear" w:color="auto" w:fill="auto"/>
            <w:tcMar>
              <w:top w:w="0" w:type="dxa"/>
              <w:left w:w="57" w:type="dxa"/>
              <w:right w:w="57" w:type="dxa"/>
            </w:tcMar>
          </w:tcPr>
          <w:p w14:paraId="274E2731" w14:textId="44FB867A"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 xml:space="preserve">Child-Pugh score,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16900C48" w14:textId="4BB9507A"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p>
        </w:tc>
      </w:tr>
      <w:tr w:rsidR="005232A4" w:rsidRPr="0021268C" w14:paraId="46EAB23B" w14:textId="77777777">
        <w:trPr>
          <w:trHeight w:val="450"/>
        </w:trPr>
        <w:tc>
          <w:tcPr>
            <w:tcW w:w="2775" w:type="pct"/>
            <w:shd w:val="clear" w:color="auto" w:fill="auto"/>
            <w:tcMar>
              <w:top w:w="0" w:type="dxa"/>
              <w:left w:w="57" w:type="dxa"/>
              <w:right w:w="57" w:type="dxa"/>
            </w:tcMar>
          </w:tcPr>
          <w:p w14:paraId="0A7AF829" w14:textId="4865D974"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A/B/C</w:t>
            </w:r>
          </w:p>
        </w:tc>
        <w:tc>
          <w:tcPr>
            <w:tcW w:w="2225" w:type="pct"/>
            <w:shd w:val="clear" w:color="auto" w:fill="auto"/>
          </w:tcPr>
          <w:p w14:paraId="2A8EE4C2" w14:textId="1F512E7D"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204 (85.1)/35 (14.5)/1 (0.4)</w:t>
            </w:r>
          </w:p>
        </w:tc>
      </w:tr>
      <w:tr w:rsidR="005232A4" w:rsidRPr="0021268C" w14:paraId="0AD8E2BB" w14:textId="77777777" w:rsidTr="005232A4">
        <w:trPr>
          <w:trHeight w:val="450"/>
        </w:trPr>
        <w:tc>
          <w:tcPr>
            <w:tcW w:w="2775" w:type="pct"/>
            <w:shd w:val="clear" w:color="auto" w:fill="auto"/>
            <w:tcMar>
              <w:top w:w="0" w:type="dxa"/>
              <w:left w:w="57" w:type="dxa"/>
              <w:right w:w="57" w:type="dxa"/>
            </w:tcMar>
          </w:tcPr>
          <w:p w14:paraId="113E825D" w14:textId="1A0B7367"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 xml:space="preserve">ECOG performance status,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157A2B39" w14:textId="19DF3DE5"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p>
        </w:tc>
      </w:tr>
      <w:tr w:rsidR="005232A4" w:rsidRPr="0021268C" w14:paraId="21AB926B" w14:textId="77777777">
        <w:trPr>
          <w:trHeight w:val="450"/>
        </w:trPr>
        <w:tc>
          <w:tcPr>
            <w:tcW w:w="2775" w:type="pct"/>
            <w:shd w:val="clear" w:color="auto" w:fill="auto"/>
            <w:tcMar>
              <w:top w:w="0" w:type="dxa"/>
              <w:left w:w="57" w:type="dxa"/>
              <w:right w:w="57" w:type="dxa"/>
            </w:tcMar>
          </w:tcPr>
          <w:p w14:paraId="0422E478" w14:textId="3CB59E71"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0/1–2/3</w:t>
            </w:r>
          </w:p>
        </w:tc>
        <w:tc>
          <w:tcPr>
            <w:tcW w:w="2225" w:type="pct"/>
            <w:shd w:val="clear" w:color="auto" w:fill="auto"/>
          </w:tcPr>
          <w:p w14:paraId="49A3882A" w14:textId="2456498B"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156 (65)/80 (33.3)/4 (1.7)</w:t>
            </w:r>
          </w:p>
        </w:tc>
      </w:tr>
      <w:tr w:rsidR="00B07060" w:rsidRPr="0021268C" w14:paraId="6F027485" w14:textId="77777777">
        <w:trPr>
          <w:trHeight w:val="37"/>
        </w:trPr>
        <w:tc>
          <w:tcPr>
            <w:tcW w:w="2775" w:type="pct"/>
            <w:shd w:val="clear" w:color="auto" w:fill="auto"/>
            <w:tcMar>
              <w:top w:w="0" w:type="dxa"/>
              <w:left w:w="57" w:type="dxa"/>
              <w:right w:w="57" w:type="dxa"/>
            </w:tcMar>
          </w:tcPr>
          <w:p w14:paraId="3D7EDC2D"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Maximal tumor size, median (IQR), cm</w:t>
            </w:r>
          </w:p>
        </w:tc>
        <w:tc>
          <w:tcPr>
            <w:tcW w:w="2225" w:type="pct"/>
            <w:shd w:val="clear" w:color="auto" w:fill="auto"/>
          </w:tcPr>
          <w:p w14:paraId="46D185AF"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3.6 (2.0–7.0)</w:t>
            </w:r>
          </w:p>
        </w:tc>
      </w:tr>
      <w:tr w:rsidR="00B07060" w:rsidRPr="0021268C" w14:paraId="60243D22" w14:textId="77777777">
        <w:trPr>
          <w:trHeight w:val="37"/>
        </w:trPr>
        <w:tc>
          <w:tcPr>
            <w:tcW w:w="2775" w:type="pct"/>
            <w:shd w:val="clear" w:color="auto" w:fill="auto"/>
            <w:tcMar>
              <w:top w:w="0" w:type="dxa"/>
              <w:left w:w="57" w:type="dxa"/>
              <w:right w:w="57" w:type="dxa"/>
            </w:tcMar>
          </w:tcPr>
          <w:p w14:paraId="4C3D0C60"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 xml:space="preserve">Multi-nodularity of tumor,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5D1094AB"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105 (43.8)</w:t>
            </w:r>
          </w:p>
        </w:tc>
      </w:tr>
      <w:tr w:rsidR="00B07060" w:rsidRPr="0021268C" w14:paraId="7CC52F2C" w14:textId="77777777">
        <w:trPr>
          <w:trHeight w:val="37"/>
        </w:trPr>
        <w:tc>
          <w:tcPr>
            <w:tcW w:w="2775" w:type="pct"/>
            <w:shd w:val="clear" w:color="auto" w:fill="auto"/>
            <w:tcMar>
              <w:top w:w="0" w:type="dxa"/>
              <w:left w:w="57" w:type="dxa"/>
              <w:right w:w="57" w:type="dxa"/>
            </w:tcMar>
          </w:tcPr>
          <w:p w14:paraId="694A3976"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 xml:space="preserve">Vascular invasion of HCC,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5F8B4439"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45 (18.8)</w:t>
            </w:r>
          </w:p>
        </w:tc>
      </w:tr>
      <w:tr w:rsidR="00B07060" w:rsidRPr="0021268C" w14:paraId="709EB391" w14:textId="77777777">
        <w:trPr>
          <w:trHeight w:val="37"/>
        </w:trPr>
        <w:tc>
          <w:tcPr>
            <w:tcW w:w="2775" w:type="pct"/>
            <w:shd w:val="clear" w:color="auto" w:fill="auto"/>
            <w:tcMar>
              <w:top w:w="0" w:type="dxa"/>
              <w:left w:w="57" w:type="dxa"/>
              <w:right w:w="57" w:type="dxa"/>
            </w:tcMar>
          </w:tcPr>
          <w:p w14:paraId="33AF9D7A"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 xml:space="preserve">Presence of distant metastasis,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733919C6"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18 (7.5)</w:t>
            </w:r>
          </w:p>
        </w:tc>
      </w:tr>
      <w:tr w:rsidR="005232A4" w:rsidRPr="0021268C" w14:paraId="440A0367" w14:textId="77777777" w:rsidTr="005232A4">
        <w:trPr>
          <w:trHeight w:val="445"/>
        </w:trPr>
        <w:tc>
          <w:tcPr>
            <w:tcW w:w="2775" w:type="pct"/>
            <w:shd w:val="clear" w:color="auto" w:fill="auto"/>
            <w:tcMar>
              <w:top w:w="0" w:type="dxa"/>
              <w:left w:w="57" w:type="dxa"/>
              <w:right w:w="57" w:type="dxa"/>
            </w:tcMar>
          </w:tcPr>
          <w:p w14:paraId="5ECA9037" w14:textId="0CDC5FD8" w:rsidR="005232A4" w:rsidRPr="0021268C" w:rsidRDefault="005232A4" w:rsidP="005232A4">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 xml:space="preserve">BCLC staging,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28AB05CB" w14:textId="609C11D9"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p>
        </w:tc>
      </w:tr>
      <w:tr w:rsidR="005232A4" w:rsidRPr="0021268C" w14:paraId="74810982" w14:textId="77777777">
        <w:trPr>
          <w:trHeight w:val="445"/>
        </w:trPr>
        <w:tc>
          <w:tcPr>
            <w:tcW w:w="2775" w:type="pct"/>
            <w:shd w:val="clear" w:color="auto" w:fill="auto"/>
            <w:tcMar>
              <w:top w:w="0" w:type="dxa"/>
              <w:left w:w="57" w:type="dxa"/>
              <w:right w:w="57" w:type="dxa"/>
            </w:tcMar>
          </w:tcPr>
          <w:p w14:paraId="525F435E" w14:textId="378E295D"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0/A</w:t>
            </w:r>
          </w:p>
        </w:tc>
        <w:tc>
          <w:tcPr>
            <w:tcW w:w="2225" w:type="pct"/>
            <w:shd w:val="clear" w:color="auto" w:fill="auto"/>
          </w:tcPr>
          <w:p w14:paraId="2BA85992" w14:textId="3A916B81"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52 (21.7)/81 (33.8)</w:t>
            </w:r>
          </w:p>
        </w:tc>
      </w:tr>
      <w:tr w:rsidR="005232A4" w:rsidRPr="0021268C" w14:paraId="7B3991A0" w14:textId="77777777">
        <w:trPr>
          <w:trHeight w:val="445"/>
        </w:trPr>
        <w:tc>
          <w:tcPr>
            <w:tcW w:w="2775" w:type="pct"/>
            <w:shd w:val="clear" w:color="auto" w:fill="auto"/>
            <w:tcMar>
              <w:top w:w="0" w:type="dxa"/>
              <w:left w:w="57" w:type="dxa"/>
              <w:right w:w="57" w:type="dxa"/>
            </w:tcMar>
          </w:tcPr>
          <w:p w14:paraId="1556A768" w14:textId="3D2F2EA2"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B/C/D</w:t>
            </w:r>
          </w:p>
        </w:tc>
        <w:tc>
          <w:tcPr>
            <w:tcW w:w="2225" w:type="pct"/>
            <w:shd w:val="clear" w:color="auto" w:fill="auto"/>
          </w:tcPr>
          <w:p w14:paraId="3860F8E7" w14:textId="5E65993B"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43 (17.9)/59 (24.6)/5 (2.1)</w:t>
            </w:r>
          </w:p>
        </w:tc>
      </w:tr>
      <w:tr w:rsidR="005232A4" w:rsidRPr="0021268C" w14:paraId="4D0F6565" w14:textId="77777777" w:rsidTr="005232A4">
        <w:trPr>
          <w:trHeight w:val="445"/>
        </w:trPr>
        <w:tc>
          <w:tcPr>
            <w:tcW w:w="2775" w:type="pct"/>
            <w:shd w:val="clear" w:color="auto" w:fill="auto"/>
            <w:tcMar>
              <w:top w:w="0" w:type="dxa"/>
              <w:left w:w="57" w:type="dxa"/>
              <w:right w:w="57" w:type="dxa"/>
            </w:tcMar>
          </w:tcPr>
          <w:p w14:paraId="6556A89F" w14:textId="6D59C496" w:rsidR="005232A4" w:rsidRPr="0021268C" w:rsidRDefault="005232A4">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TNM staging, </w:t>
            </w:r>
            <w:r w:rsidRPr="0021268C">
              <w:rPr>
                <w:rFonts w:ascii="Book Antiqua" w:eastAsiaTheme="minorEastAsia" w:hAnsi="Book Antiqua" w:cs="Arial"/>
                <w:i/>
                <w:kern w:val="2"/>
              </w:rPr>
              <w:t>n</w:t>
            </w:r>
            <w:r w:rsidRPr="0021268C">
              <w:rPr>
                <w:rFonts w:ascii="Book Antiqua" w:eastAsiaTheme="minorEastAsia" w:hAnsi="Book Antiqua" w:cs="Arial"/>
                <w:kern w:val="2"/>
              </w:rPr>
              <w:t xml:space="preserve"> (%)</w:t>
            </w:r>
          </w:p>
        </w:tc>
        <w:tc>
          <w:tcPr>
            <w:tcW w:w="2225" w:type="pct"/>
            <w:shd w:val="clear" w:color="auto" w:fill="auto"/>
          </w:tcPr>
          <w:p w14:paraId="3256F55B" w14:textId="68F92673" w:rsidR="005232A4" w:rsidRPr="0021268C" w:rsidRDefault="005232A4">
            <w:pPr>
              <w:pStyle w:val="a6"/>
              <w:spacing w:before="0" w:beforeAutospacing="0" w:after="0" w:afterAutospacing="0" w:line="360" w:lineRule="auto"/>
              <w:jc w:val="both"/>
              <w:rPr>
                <w:rFonts w:ascii="Book Antiqua" w:eastAsia="Malgun Gothic" w:hAnsi="Book Antiqua" w:cs="Arial"/>
                <w:kern w:val="2"/>
              </w:rPr>
            </w:pPr>
          </w:p>
        </w:tc>
      </w:tr>
      <w:tr w:rsidR="005232A4" w:rsidRPr="0021268C" w14:paraId="324EAC43" w14:textId="77777777">
        <w:trPr>
          <w:trHeight w:val="445"/>
        </w:trPr>
        <w:tc>
          <w:tcPr>
            <w:tcW w:w="2775" w:type="pct"/>
            <w:shd w:val="clear" w:color="auto" w:fill="auto"/>
            <w:tcMar>
              <w:top w:w="0" w:type="dxa"/>
              <w:left w:w="57" w:type="dxa"/>
              <w:right w:w="57" w:type="dxa"/>
            </w:tcMar>
          </w:tcPr>
          <w:p w14:paraId="746185FF" w14:textId="4B2C2A50"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I/II</w:t>
            </w:r>
          </w:p>
        </w:tc>
        <w:tc>
          <w:tcPr>
            <w:tcW w:w="2225" w:type="pct"/>
            <w:shd w:val="clear" w:color="auto" w:fill="auto"/>
          </w:tcPr>
          <w:p w14:paraId="5C5E8CDC" w14:textId="232D7274" w:rsidR="005232A4" w:rsidRPr="0021268C" w:rsidRDefault="005232A4" w:rsidP="005232A4">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115 (48.0)/42 (17.5)</w:t>
            </w:r>
          </w:p>
        </w:tc>
      </w:tr>
      <w:tr w:rsidR="005232A4" w:rsidRPr="0021268C" w14:paraId="6339B45A" w14:textId="77777777">
        <w:trPr>
          <w:trHeight w:val="445"/>
        </w:trPr>
        <w:tc>
          <w:tcPr>
            <w:tcW w:w="2775" w:type="pct"/>
            <w:shd w:val="clear" w:color="auto" w:fill="auto"/>
            <w:tcMar>
              <w:top w:w="0" w:type="dxa"/>
              <w:left w:w="57" w:type="dxa"/>
              <w:right w:w="57" w:type="dxa"/>
            </w:tcMar>
          </w:tcPr>
          <w:p w14:paraId="0F33661A" w14:textId="30B29C7A" w:rsidR="005232A4" w:rsidRPr="0021268C" w:rsidRDefault="005232A4" w:rsidP="005232A4">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III/IV</w:t>
            </w:r>
          </w:p>
        </w:tc>
        <w:tc>
          <w:tcPr>
            <w:tcW w:w="2225" w:type="pct"/>
            <w:shd w:val="clear" w:color="auto" w:fill="auto"/>
          </w:tcPr>
          <w:p w14:paraId="41E0AC2B" w14:textId="3944E5B7" w:rsidR="005232A4" w:rsidRPr="0021268C" w:rsidRDefault="005232A4">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65 (27.1)/18 (7.5)</w:t>
            </w:r>
          </w:p>
        </w:tc>
      </w:tr>
      <w:tr w:rsidR="005232A4" w:rsidRPr="0021268C" w14:paraId="3F0F2E86" w14:textId="77777777" w:rsidTr="005232A4">
        <w:trPr>
          <w:trHeight w:val="447"/>
        </w:trPr>
        <w:tc>
          <w:tcPr>
            <w:tcW w:w="2775" w:type="pct"/>
            <w:shd w:val="clear" w:color="auto" w:fill="auto"/>
            <w:tcMar>
              <w:top w:w="0" w:type="dxa"/>
              <w:left w:w="57" w:type="dxa"/>
              <w:right w:w="57" w:type="dxa"/>
            </w:tcMar>
          </w:tcPr>
          <w:p w14:paraId="0DEE87D0" w14:textId="04EADCD7" w:rsidR="005232A4" w:rsidRPr="0021268C" w:rsidRDefault="005232A4">
            <w:pPr>
              <w:adjustRightInd w:val="0"/>
              <w:snapToGrid w:val="0"/>
              <w:spacing w:line="360" w:lineRule="auto"/>
              <w:jc w:val="both"/>
              <w:rPr>
                <w:rFonts w:ascii="Book Antiqua" w:hAnsi="Book Antiqua" w:cs="Arial"/>
              </w:rPr>
            </w:pPr>
            <w:r w:rsidRPr="0021268C">
              <w:rPr>
                <w:rFonts w:ascii="Book Antiqua" w:hAnsi="Book Antiqua" w:cs="Arial"/>
              </w:rPr>
              <w:lastRenderedPageBreak/>
              <w:t xml:space="preserve">Initial treatment, </w:t>
            </w:r>
            <w:r w:rsidRPr="0021268C">
              <w:rPr>
                <w:rFonts w:ascii="Book Antiqua" w:hAnsi="Book Antiqua" w:cs="Arial"/>
                <w:i/>
              </w:rPr>
              <w:t>n</w:t>
            </w:r>
            <w:r w:rsidRPr="0021268C">
              <w:rPr>
                <w:rFonts w:ascii="Book Antiqua" w:hAnsi="Book Antiqua" w:cs="Arial"/>
              </w:rPr>
              <w:t xml:space="preserve"> (%)</w:t>
            </w:r>
          </w:p>
        </w:tc>
        <w:tc>
          <w:tcPr>
            <w:tcW w:w="2225" w:type="pct"/>
            <w:shd w:val="clear" w:color="auto" w:fill="auto"/>
          </w:tcPr>
          <w:p w14:paraId="774F7A2E" w14:textId="7A63B9D9" w:rsidR="005232A4" w:rsidRPr="0021268C" w:rsidRDefault="005232A4">
            <w:pPr>
              <w:adjustRightInd w:val="0"/>
              <w:snapToGrid w:val="0"/>
              <w:spacing w:line="360" w:lineRule="auto"/>
              <w:jc w:val="both"/>
              <w:rPr>
                <w:rFonts w:ascii="Book Antiqua" w:hAnsi="Book Antiqua" w:cs="Arial"/>
              </w:rPr>
            </w:pPr>
          </w:p>
        </w:tc>
      </w:tr>
      <w:tr w:rsidR="005232A4" w:rsidRPr="0021268C" w14:paraId="5BD8A700" w14:textId="77777777">
        <w:trPr>
          <w:trHeight w:val="446"/>
        </w:trPr>
        <w:tc>
          <w:tcPr>
            <w:tcW w:w="2775" w:type="pct"/>
            <w:shd w:val="clear" w:color="auto" w:fill="auto"/>
            <w:tcMar>
              <w:top w:w="0" w:type="dxa"/>
              <w:left w:w="57" w:type="dxa"/>
              <w:right w:w="57" w:type="dxa"/>
            </w:tcMar>
          </w:tcPr>
          <w:p w14:paraId="657E4305" w14:textId="6B27921D"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Resection</w:t>
            </w:r>
          </w:p>
        </w:tc>
        <w:tc>
          <w:tcPr>
            <w:tcW w:w="2225" w:type="pct"/>
            <w:shd w:val="clear" w:color="auto" w:fill="auto"/>
          </w:tcPr>
          <w:p w14:paraId="37DE07A9" w14:textId="773A2E21"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34 (14.2)</w:t>
            </w:r>
          </w:p>
        </w:tc>
      </w:tr>
      <w:tr w:rsidR="005232A4" w:rsidRPr="0021268C" w14:paraId="243BA623" w14:textId="77777777">
        <w:trPr>
          <w:trHeight w:val="446"/>
        </w:trPr>
        <w:tc>
          <w:tcPr>
            <w:tcW w:w="2775" w:type="pct"/>
            <w:shd w:val="clear" w:color="auto" w:fill="auto"/>
            <w:tcMar>
              <w:top w:w="0" w:type="dxa"/>
              <w:left w:w="57" w:type="dxa"/>
              <w:right w:w="57" w:type="dxa"/>
            </w:tcMar>
          </w:tcPr>
          <w:p w14:paraId="218B8537" w14:textId="24EEB641"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RFA/TACE</w:t>
            </w:r>
          </w:p>
        </w:tc>
        <w:tc>
          <w:tcPr>
            <w:tcW w:w="2225" w:type="pct"/>
            <w:shd w:val="clear" w:color="auto" w:fill="auto"/>
          </w:tcPr>
          <w:p w14:paraId="00825D23" w14:textId="3754241C"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27 (11.3)/165 (69.2)</w:t>
            </w:r>
          </w:p>
        </w:tc>
      </w:tr>
      <w:tr w:rsidR="005232A4" w:rsidRPr="0021268C" w14:paraId="2DEE5EBB" w14:textId="77777777">
        <w:trPr>
          <w:trHeight w:val="446"/>
        </w:trPr>
        <w:tc>
          <w:tcPr>
            <w:tcW w:w="2775" w:type="pct"/>
            <w:shd w:val="clear" w:color="auto" w:fill="auto"/>
            <w:tcMar>
              <w:top w:w="0" w:type="dxa"/>
              <w:left w:w="57" w:type="dxa"/>
              <w:right w:w="57" w:type="dxa"/>
            </w:tcMar>
          </w:tcPr>
          <w:p w14:paraId="1F615CD1" w14:textId="7132DD95"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Sorafenib/BSC</w:t>
            </w:r>
          </w:p>
        </w:tc>
        <w:tc>
          <w:tcPr>
            <w:tcW w:w="2225" w:type="pct"/>
            <w:shd w:val="clear" w:color="auto" w:fill="auto"/>
          </w:tcPr>
          <w:p w14:paraId="75328392" w14:textId="5EDDBEAE" w:rsidR="005232A4" w:rsidRPr="0021268C" w:rsidRDefault="005232A4">
            <w:pPr>
              <w:adjustRightInd w:val="0"/>
              <w:snapToGrid w:val="0"/>
              <w:spacing w:line="360" w:lineRule="auto"/>
              <w:jc w:val="both"/>
              <w:rPr>
                <w:rFonts w:ascii="Book Antiqua" w:hAnsi="Book Antiqua" w:cs="Arial"/>
              </w:rPr>
            </w:pPr>
            <w:r w:rsidRPr="0021268C">
              <w:rPr>
                <w:rFonts w:ascii="Book Antiqua" w:hAnsi="Book Antiqua" w:cs="Arial"/>
              </w:rPr>
              <w:t>2 (0.8)/11 (4.6)</w:t>
            </w:r>
          </w:p>
        </w:tc>
      </w:tr>
      <w:tr w:rsidR="005232A4" w:rsidRPr="0021268C" w14:paraId="505D752B" w14:textId="77777777" w:rsidTr="005232A4">
        <w:trPr>
          <w:trHeight w:val="450"/>
        </w:trPr>
        <w:tc>
          <w:tcPr>
            <w:tcW w:w="2775" w:type="pct"/>
            <w:shd w:val="clear" w:color="auto" w:fill="auto"/>
            <w:tcMar>
              <w:top w:w="0" w:type="dxa"/>
              <w:left w:w="57" w:type="dxa"/>
              <w:right w:w="57" w:type="dxa"/>
            </w:tcMar>
          </w:tcPr>
          <w:p w14:paraId="2FD434A3" w14:textId="64F04330" w:rsidR="005232A4" w:rsidRPr="0021268C" w:rsidRDefault="005232A4">
            <w:pPr>
              <w:adjustRightInd w:val="0"/>
              <w:snapToGrid w:val="0"/>
              <w:spacing w:line="360" w:lineRule="auto"/>
              <w:jc w:val="both"/>
              <w:rPr>
                <w:rFonts w:ascii="Book Antiqua" w:hAnsi="Book Antiqua" w:cs="Arial"/>
              </w:rPr>
            </w:pPr>
            <w:r w:rsidRPr="0021268C">
              <w:rPr>
                <w:rFonts w:ascii="Book Antiqua" w:hAnsi="Book Antiqua" w:cs="Arial"/>
              </w:rPr>
              <w:t>Laboratory results</w:t>
            </w:r>
          </w:p>
        </w:tc>
        <w:tc>
          <w:tcPr>
            <w:tcW w:w="2225" w:type="pct"/>
            <w:shd w:val="clear" w:color="auto" w:fill="auto"/>
          </w:tcPr>
          <w:p w14:paraId="17FFEE16" w14:textId="3864AECA" w:rsidR="005232A4" w:rsidRPr="0021268C" w:rsidRDefault="005232A4">
            <w:pPr>
              <w:adjustRightInd w:val="0"/>
              <w:snapToGrid w:val="0"/>
              <w:spacing w:line="360" w:lineRule="auto"/>
              <w:jc w:val="both"/>
              <w:rPr>
                <w:rFonts w:ascii="Book Antiqua" w:hAnsi="Book Antiqua" w:cs="Arial"/>
              </w:rPr>
            </w:pPr>
          </w:p>
        </w:tc>
      </w:tr>
      <w:tr w:rsidR="005232A4" w:rsidRPr="0021268C" w14:paraId="4FC2D6E8" w14:textId="77777777">
        <w:trPr>
          <w:trHeight w:val="447"/>
        </w:trPr>
        <w:tc>
          <w:tcPr>
            <w:tcW w:w="2775" w:type="pct"/>
            <w:shd w:val="clear" w:color="auto" w:fill="auto"/>
            <w:tcMar>
              <w:top w:w="0" w:type="dxa"/>
              <w:left w:w="57" w:type="dxa"/>
              <w:right w:w="57" w:type="dxa"/>
            </w:tcMar>
          </w:tcPr>
          <w:p w14:paraId="6605BC3C" w14:textId="1733B2D5"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 xml:space="preserve">WBC, median (IQR), </w:t>
            </w:r>
            <w:r w:rsidRPr="0021268C">
              <w:rPr>
                <w:rFonts w:ascii="Book Antiqua" w:hAnsi="Book Antiqua"/>
              </w:rPr>
              <w:t>×</w:t>
            </w:r>
            <w:r w:rsidRPr="0021268C">
              <w:rPr>
                <w:rFonts w:ascii="Book Antiqua" w:hAnsi="Book Antiqua" w:cs="Arial"/>
                <w:lang w:eastAsia="zh-CN"/>
              </w:rPr>
              <w:t xml:space="preserve"> </w:t>
            </w:r>
            <w:r w:rsidRPr="0021268C">
              <w:rPr>
                <w:rFonts w:ascii="Book Antiqua" w:hAnsi="Book Antiqua" w:cs="Arial"/>
              </w:rPr>
              <w:t>10</w:t>
            </w:r>
            <w:r w:rsidRPr="0021268C">
              <w:rPr>
                <w:rFonts w:ascii="Book Antiqua" w:hAnsi="Book Antiqua" w:cs="Arial"/>
                <w:vertAlign w:val="superscript"/>
              </w:rPr>
              <w:t>3</w:t>
            </w:r>
            <w:r w:rsidRPr="0021268C">
              <w:rPr>
                <w:rFonts w:ascii="Book Antiqua" w:hAnsi="Book Antiqua" w:cs="Arial"/>
              </w:rPr>
              <w:t>/uL</w:t>
            </w:r>
          </w:p>
        </w:tc>
        <w:tc>
          <w:tcPr>
            <w:tcW w:w="2225" w:type="pct"/>
            <w:shd w:val="clear" w:color="auto" w:fill="auto"/>
          </w:tcPr>
          <w:p w14:paraId="05134821" w14:textId="7523F934" w:rsidR="005232A4" w:rsidRPr="0021268C" w:rsidRDefault="005232A4">
            <w:pPr>
              <w:adjustRightInd w:val="0"/>
              <w:snapToGrid w:val="0"/>
              <w:spacing w:line="360" w:lineRule="auto"/>
              <w:jc w:val="both"/>
              <w:rPr>
                <w:rFonts w:ascii="Book Antiqua" w:hAnsi="Book Antiqua" w:cs="Arial"/>
              </w:rPr>
            </w:pPr>
            <w:r w:rsidRPr="0021268C">
              <w:rPr>
                <w:rFonts w:ascii="Book Antiqua" w:hAnsi="Book Antiqua" w:cs="Arial"/>
              </w:rPr>
              <w:t>5.1 (4.0–6.6)</w:t>
            </w:r>
          </w:p>
        </w:tc>
      </w:tr>
      <w:tr w:rsidR="005232A4" w:rsidRPr="0021268C" w14:paraId="2224B07A" w14:textId="77777777">
        <w:trPr>
          <w:trHeight w:val="447"/>
        </w:trPr>
        <w:tc>
          <w:tcPr>
            <w:tcW w:w="2775" w:type="pct"/>
            <w:shd w:val="clear" w:color="auto" w:fill="auto"/>
            <w:tcMar>
              <w:top w:w="0" w:type="dxa"/>
              <w:left w:w="57" w:type="dxa"/>
              <w:right w:w="57" w:type="dxa"/>
            </w:tcMar>
          </w:tcPr>
          <w:p w14:paraId="00BB4F9D" w14:textId="37150590"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Hemoglobin, median (IQR), g/dL</w:t>
            </w:r>
          </w:p>
        </w:tc>
        <w:tc>
          <w:tcPr>
            <w:tcW w:w="2225" w:type="pct"/>
            <w:shd w:val="clear" w:color="auto" w:fill="auto"/>
          </w:tcPr>
          <w:p w14:paraId="2CE9D888" w14:textId="2005C3C3"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13.6 (12.0–14.8)</w:t>
            </w:r>
          </w:p>
        </w:tc>
      </w:tr>
      <w:tr w:rsidR="005232A4" w:rsidRPr="0021268C" w14:paraId="030BDA96" w14:textId="77777777">
        <w:trPr>
          <w:trHeight w:val="447"/>
        </w:trPr>
        <w:tc>
          <w:tcPr>
            <w:tcW w:w="2775" w:type="pct"/>
            <w:shd w:val="clear" w:color="auto" w:fill="auto"/>
            <w:tcMar>
              <w:top w:w="0" w:type="dxa"/>
              <w:left w:w="57" w:type="dxa"/>
              <w:right w:w="57" w:type="dxa"/>
            </w:tcMar>
          </w:tcPr>
          <w:p w14:paraId="7492F9D8" w14:textId="218733A0"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Platelet count, median (IQR), ×</w:t>
            </w:r>
            <w:r w:rsidRPr="0021268C">
              <w:rPr>
                <w:rFonts w:ascii="Book Antiqua" w:hAnsi="Book Antiqua" w:cs="Arial"/>
                <w:lang w:eastAsia="zh-CN"/>
              </w:rPr>
              <w:t xml:space="preserve"> </w:t>
            </w:r>
            <w:r w:rsidRPr="0021268C">
              <w:rPr>
                <w:rFonts w:ascii="Book Antiqua" w:hAnsi="Book Antiqua" w:cs="Arial"/>
              </w:rPr>
              <w:t>10</w:t>
            </w:r>
            <w:r w:rsidRPr="0021268C">
              <w:rPr>
                <w:rFonts w:ascii="Book Antiqua" w:hAnsi="Book Antiqua" w:cs="Arial"/>
                <w:vertAlign w:val="superscript"/>
              </w:rPr>
              <w:t>9</w:t>
            </w:r>
            <w:r w:rsidRPr="0021268C">
              <w:rPr>
                <w:rFonts w:ascii="Book Antiqua" w:hAnsi="Book Antiqua" w:cs="Arial"/>
              </w:rPr>
              <w:t>/uL</w:t>
            </w:r>
          </w:p>
        </w:tc>
        <w:tc>
          <w:tcPr>
            <w:tcW w:w="2225" w:type="pct"/>
            <w:shd w:val="clear" w:color="auto" w:fill="auto"/>
          </w:tcPr>
          <w:p w14:paraId="4587BA88" w14:textId="1833D154"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130 (88–184)</w:t>
            </w:r>
          </w:p>
        </w:tc>
      </w:tr>
      <w:tr w:rsidR="005232A4" w:rsidRPr="0021268C" w14:paraId="07BE50EE" w14:textId="77777777">
        <w:trPr>
          <w:trHeight w:val="447"/>
        </w:trPr>
        <w:tc>
          <w:tcPr>
            <w:tcW w:w="2775" w:type="pct"/>
            <w:shd w:val="clear" w:color="auto" w:fill="auto"/>
            <w:tcMar>
              <w:top w:w="0" w:type="dxa"/>
              <w:left w:w="57" w:type="dxa"/>
              <w:right w:w="57" w:type="dxa"/>
            </w:tcMar>
          </w:tcPr>
          <w:p w14:paraId="78CD6489" w14:textId="4E410B02"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Prothrombin time, median (IQR), INR</w:t>
            </w:r>
          </w:p>
        </w:tc>
        <w:tc>
          <w:tcPr>
            <w:tcW w:w="2225" w:type="pct"/>
            <w:shd w:val="clear" w:color="auto" w:fill="auto"/>
          </w:tcPr>
          <w:p w14:paraId="7A96D6E0" w14:textId="44BEBC30"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1.11 (1.04–1.18)</w:t>
            </w:r>
          </w:p>
        </w:tc>
      </w:tr>
      <w:tr w:rsidR="005232A4" w:rsidRPr="0021268C" w14:paraId="5BB07708" w14:textId="77777777">
        <w:trPr>
          <w:trHeight w:val="447"/>
        </w:trPr>
        <w:tc>
          <w:tcPr>
            <w:tcW w:w="2775" w:type="pct"/>
            <w:shd w:val="clear" w:color="auto" w:fill="auto"/>
            <w:tcMar>
              <w:top w:w="0" w:type="dxa"/>
              <w:left w:w="57" w:type="dxa"/>
              <w:right w:w="57" w:type="dxa"/>
            </w:tcMar>
          </w:tcPr>
          <w:p w14:paraId="2B337030" w14:textId="57E72C18"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AST, median (IQR), IU/mL</w:t>
            </w:r>
          </w:p>
        </w:tc>
        <w:tc>
          <w:tcPr>
            <w:tcW w:w="2225" w:type="pct"/>
            <w:shd w:val="clear" w:color="auto" w:fill="auto"/>
          </w:tcPr>
          <w:p w14:paraId="6F639DFA" w14:textId="6E26C653"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45 (32–73)</w:t>
            </w:r>
          </w:p>
        </w:tc>
      </w:tr>
      <w:tr w:rsidR="005232A4" w:rsidRPr="0021268C" w14:paraId="34173D47" w14:textId="77777777">
        <w:trPr>
          <w:trHeight w:val="447"/>
        </w:trPr>
        <w:tc>
          <w:tcPr>
            <w:tcW w:w="2775" w:type="pct"/>
            <w:shd w:val="clear" w:color="auto" w:fill="auto"/>
            <w:tcMar>
              <w:top w:w="0" w:type="dxa"/>
              <w:left w:w="57" w:type="dxa"/>
              <w:right w:w="57" w:type="dxa"/>
            </w:tcMar>
          </w:tcPr>
          <w:p w14:paraId="1BD34773" w14:textId="2C27917D"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ALT, median (IQR), IU/mL</w:t>
            </w:r>
          </w:p>
        </w:tc>
        <w:tc>
          <w:tcPr>
            <w:tcW w:w="2225" w:type="pct"/>
            <w:shd w:val="clear" w:color="auto" w:fill="auto"/>
          </w:tcPr>
          <w:p w14:paraId="1368BC94" w14:textId="2155A850"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38 (23–61)</w:t>
            </w:r>
          </w:p>
        </w:tc>
      </w:tr>
      <w:tr w:rsidR="005232A4" w:rsidRPr="0021268C" w14:paraId="69DE9947" w14:textId="77777777">
        <w:trPr>
          <w:trHeight w:val="447"/>
        </w:trPr>
        <w:tc>
          <w:tcPr>
            <w:tcW w:w="2775" w:type="pct"/>
            <w:shd w:val="clear" w:color="auto" w:fill="auto"/>
            <w:tcMar>
              <w:top w:w="0" w:type="dxa"/>
              <w:left w:w="57" w:type="dxa"/>
              <w:right w:w="57" w:type="dxa"/>
            </w:tcMar>
          </w:tcPr>
          <w:p w14:paraId="7A969984" w14:textId="5D0B6988"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Albumin; median (IQR), g/dL</w:t>
            </w:r>
          </w:p>
        </w:tc>
        <w:tc>
          <w:tcPr>
            <w:tcW w:w="2225" w:type="pct"/>
            <w:shd w:val="clear" w:color="auto" w:fill="auto"/>
          </w:tcPr>
          <w:p w14:paraId="7E8C5D27" w14:textId="7C63F25C"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4.0 (3.5–4.2)</w:t>
            </w:r>
          </w:p>
        </w:tc>
      </w:tr>
      <w:tr w:rsidR="005232A4" w:rsidRPr="0021268C" w14:paraId="54FA2E72" w14:textId="77777777">
        <w:trPr>
          <w:trHeight w:val="447"/>
        </w:trPr>
        <w:tc>
          <w:tcPr>
            <w:tcW w:w="2775" w:type="pct"/>
            <w:shd w:val="clear" w:color="auto" w:fill="auto"/>
            <w:tcMar>
              <w:top w:w="0" w:type="dxa"/>
              <w:left w:w="57" w:type="dxa"/>
              <w:right w:w="57" w:type="dxa"/>
            </w:tcMar>
          </w:tcPr>
          <w:p w14:paraId="1BAB193A" w14:textId="4A2A9960"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Total bilirubin, median (IQR), mg/dL</w:t>
            </w:r>
          </w:p>
        </w:tc>
        <w:tc>
          <w:tcPr>
            <w:tcW w:w="2225" w:type="pct"/>
            <w:shd w:val="clear" w:color="auto" w:fill="auto"/>
          </w:tcPr>
          <w:p w14:paraId="0DF39725" w14:textId="136A9F0A"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0.8 (0.5–1.1)</w:t>
            </w:r>
          </w:p>
        </w:tc>
      </w:tr>
      <w:tr w:rsidR="005232A4" w:rsidRPr="0021268C" w14:paraId="4BAE2CBF" w14:textId="77777777">
        <w:trPr>
          <w:trHeight w:val="447"/>
        </w:trPr>
        <w:tc>
          <w:tcPr>
            <w:tcW w:w="2775" w:type="pct"/>
            <w:shd w:val="clear" w:color="auto" w:fill="auto"/>
            <w:tcMar>
              <w:top w:w="0" w:type="dxa"/>
              <w:left w:w="57" w:type="dxa"/>
              <w:right w:w="57" w:type="dxa"/>
            </w:tcMar>
          </w:tcPr>
          <w:p w14:paraId="1CD4BA9C" w14:textId="52AD8B89"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Creatinine, median (IQR), mg/dL</w:t>
            </w:r>
          </w:p>
        </w:tc>
        <w:tc>
          <w:tcPr>
            <w:tcW w:w="2225" w:type="pct"/>
            <w:shd w:val="clear" w:color="auto" w:fill="auto"/>
          </w:tcPr>
          <w:p w14:paraId="2807BB6E" w14:textId="70085405" w:rsidR="005232A4" w:rsidRPr="0021268C" w:rsidRDefault="005232A4" w:rsidP="005232A4">
            <w:pPr>
              <w:adjustRightInd w:val="0"/>
              <w:snapToGrid w:val="0"/>
              <w:spacing w:line="360" w:lineRule="auto"/>
              <w:jc w:val="both"/>
              <w:rPr>
                <w:rFonts w:ascii="Book Antiqua" w:hAnsi="Book Antiqua" w:cs="Arial"/>
              </w:rPr>
            </w:pPr>
            <w:r w:rsidRPr="0021268C">
              <w:rPr>
                <w:rFonts w:ascii="Book Antiqua" w:hAnsi="Book Antiqua" w:cs="Arial"/>
              </w:rPr>
              <w:t>0.8 (0.7–1.0)</w:t>
            </w:r>
          </w:p>
        </w:tc>
      </w:tr>
      <w:tr w:rsidR="005232A4" w:rsidRPr="0021268C" w14:paraId="249B2A85" w14:textId="77777777">
        <w:trPr>
          <w:trHeight w:val="447"/>
        </w:trPr>
        <w:tc>
          <w:tcPr>
            <w:tcW w:w="2775" w:type="pct"/>
            <w:shd w:val="clear" w:color="auto" w:fill="auto"/>
            <w:tcMar>
              <w:top w:w="0" w:type="dxa"/>
              <w:left w:w="57" w:type="dxa"/>
              <w:right w:w="57" w:type="dxa"/>
            </w:tcMar>
          </w:tcPr>
          <w:p w14:paraId="73F787A8" w14:textId="1A73874C" w:rsidR="005232A4" w:rsidRPr="0021268C" w:rsidRDefault="005232A4" w:rsidP="005232A4">
            <w:pPr>
              <w:adjustRightInd w:val="0"/>
              <w:snapToGrid w:val="0"/>
              <w:spacing w:line="360" w:lineRule="auto"/>
              <w:ind w:firstLineChars="100" w:firstLine="240"/>
              <w:jc w:val="both"/>
              <w:rPr>
                <w:rFonts w:ascii="Book Antiqua" w:hAnsi="Book Antiqua" w:cs="Arial"/>
              </w:rPr>
            </w:pPr>
            <w:r w:rsidRPr="0021268C">
              <w:rPr>
                <w:rFonts w:ascii="Book Antiqua" w:hAnsi="Book Antiqua" w:cs="Arial"/>
              </w:rPr>
              <w:t>AFP, median (IQR), ng/mL</w:t>
            </w:r>
          </w:p>
        </w:tc>
        <w:tc>
          <w:tcPr>
            <w:tcW w:w="2225" w:type="pct"/>
            <w:shd w:val="clear" w:color="auto" w:fill="auto"/>
          </w:tcPr>
          <w:p w14:paraId="7A1C23ED" w14:textId="09924F28" w:rsidR="005232A4" w:rsidRPr="0021268C" w:rsidRDefault="005232A4">
            <w:pPr>
              <w:adjustRightInd w:val="0"/>
              <w:snapToGrid w:val="0"/>
              <w:spacing w:line="360" w:lineRule="auto"/>
              <w:jc w:val="both"/>
              <w:rPr>
                <w:rFonts w:ascii="Book Antiqua" w:hAnsi="Book Antiqua" w:cs="Arial"/>
              </w:rPr>
            </w:pPr>
            <w:r w:rsidRPr="0021268C">
              <w:rPr>
                <w:rFonts w:ascii="Book Antiqua" w:hAnsi="Book Antiqua" w:cs="Arial"/>
              </w:rPr>
              <w:t>17.9 (4.0–698)</w:t>
            </w:r>
          </w:p>
        </w:tc>
      </w:tr>
      <w:tr w:rsidR="005232A4" w:rsidRPr="0021268C" w14:paraId="7BF70D6E" w14:textId="77777777" w:rsidTr="005232A4">
        <w:trPr>
          <w:trHeight w:val="453"/>
        </w:trPr>
        <w:tc>
          <w:tcPr>
            <w:tcW w:w="2775" w:type="pct"/>
            <w:shd w:val="clear" w:color="auto" w:fill="auto"/>
            <w:tcMar>
              <w:top w:w="0" w:type="dxa"/>
              <w:left w:w="57" w:type="dxa"/>
              <w:right w:w="57" w:type="dxa"/>
            </w:tcMar>
          </w:tcPr>
          <w:p w14:paraId="109C248F" w14:textId="1DE2C32E" w:rsidR="005232A4" w:rsidRPr="0021268C" w:rsidRDefault="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Angiogenesis marker</w:t>
            </w:r>
          </w:p>
        </w:tc>
        <w:tc>
          <w:tcPr>
            <w:tcW w:w="2225" w:type="pct"/>
            <w:shd w:val="clear" w:color="auto" w:fill="auto"/>
          </w:tcPr>
          <w:p w14:paraId="192001F0" w14:textId="12726731" w:rsidR="005232A4" w:rsidRPr="0021268C" w:rsidRDefault="005232A4">
            <w:pPr>
              <w:adjustRightInd w:val="0"/>
              <w:snapToGrid w:val="0"/>
              <w:spacing w:line="360" w:lineRule="auto"/>
              <w:jc w:val="both"/>
              <w:rPr>
                <w:rFonts w:ascii="Book Antiqua" w:hAnsi="Book Antiqua" w:cs="Arial"/>
                <w:b/>
                <w:color w:val="000000" w:themeColor="text1"/>
              </w:rPr>
            </w:pPr>
          </w:p>
        </w:tc>
      </w:tr>
      <w:tr w:rsidR="005232A4" w:rsidRPr="0021268C" w14:paraId="2DCD8B5B" w14:textId="77777777">
        <w:trPr>
          <w:trHeight w:val="447"/>
        </w:trPr>
        <w:tc>
          <w:tcPr>
            <w:tcW w:w="2775" w:type="pct"/>
            <w:shd w:val="clear" w:color="auto" w:fill="auto"/>
            <w:tcMar>
              <w:top w:w="0" w:type="dxa"/>
              <w:left w:w="57" w:type="dxa"/>
              <w:right w:w="57" w:type="dxa"/>
            </w:tcMar>
          </w:tcPr>
          <w:p w14:paraId="37730D4A" w14:textId="50E4B6F2"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Ang-1, median (IQR), pg/mL</w:t>
            </w:r>
          </w:p>
        </w:tc>
        <w:tc>
          <w:tcPr>
            <w:tcW w:w="2225" w:type="pct"/>
            <w:shd w:val="clear" w:color="auto" w:fill="auto"/>
          </w:tcPr>
          <w:p w14:paraId="53D1AC58" w14:textId="03085626" w:rsidR="005232A4" w:rsidRPr="0021268C" w:rsidRDefault="005232A4" w:rsidP="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3216 (1565–6266)</w:t>
            </w:r>
          </w:p>
        </w:tc>
      </w:tr>
      <w:tr w:rsidR="005232A4" w:rsidRPr="0021268C" w14:paraId="3D66BFA6" w14:textId="77777777">
        <w:trPr>
          <w:trHeight w:val="447"/>
        </w:trPr>
        <w:tc>
          <w:tcPr>
            <w:tcW w:w="2775" w:type="pct"/>
            <w:shd w:val="clear" w:color="auto" w:fill="auto"/>
            <w:tcMar>
              <w:top w:w="0" w:type="dxa"/>
              <w:left w:w="57" w:type="dxa"/>
              <w:right w:w="57" w:type="dxa"/>
            </w:tcMar>
          </w:tcPr>
          <w:p w14:paraId="4167DE4D" w14:textId="6E4BB00C"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Ang-2, median (IQR), pg/mL</w:t>
            </w:r>
          </w:p>
        </w:tc>
        <w:tc>
          <w:tcPr>
            <w:tcW w:w="2225" w:type="pct"/>
            <w:shd w:val="clear" w:color="auto" w:fill="auto"/>
          </w:tcPr>
          <w:p w14:paraId="48C80B4F" w14:textId="0AB417B4" w:rsidR="005232A4" w:rsidRPr="0021268C" w:rsidRDefault="005232A4" w:rsidP="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1684 (1107–3064)</w:t>
            </w:r>
          </w:p>
        </w:tc>
      </w:tr>
      <w:tr w:rsidR="005232A4" w:rsidRPr="0021268C" w14:paraId="2E27D4E4" w14:textId="77777777">
        <w:trPr>
          <w:trHeight w:val="447"/>
        </w:trPr>
        <w:tc>
          <w:tcPr>
            <w:tcW w:w="2775" w:type="pct"/>
            <w:shd w:val="clear" w:color="auto" w:fill="auto"/>
            <w:tcMar>
              <w:top w:w="0" w:type="dxa"/>
              <w:left w:w="57" w:type="dxa"/>
              <w:right w:w="57" w:type="dxa"/>
            </w:tcMar>
          </w:tcPr>
          <w:p w14:paraId="29D31700" w14:textId="01755340"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Ang-2/Ang-1 ratio, median (IQR)</w:t>
            </w:r>
          </w:p>
        </w:tc>
        <w:tc>
          <w:tcPr>
            <w:tcW w:w="2225" w:type="pct"/>
            <w:shd w:val="clear" w:color="auto" w:fill="auto"/>
          </w:tcPr>
          <w:p w14:paraId="222630B8" w14:textId="398E1BA4" w:rsidR="005232A4" w:rsidRPr="0021268C" w:rsidRDefault="005232A4" w:rsidP="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0.56 (0.25–1.39)</w:t>
            </w:r>
          </w:p>
        </w:tc>
      </w:tr>
      <w:tr w:rsidR="005232A4" w:rsidRPr="0021268C" w14:paraId="2299ADEF" w14:textId="77777777">
        <w:trPr>
          <w:trHeight w:val="447"/>
        </w:trPr>
        <w:tc>
          <w:tcPr>
            <w:tcW w:w="2775" w:type="pct"/>
            <w:shd w:val="clear" w:color="auto" w:fill="auto"/>
            <w:tcMar>
              <w:top w:w="0" w:type="dxa"/>
              <w:left w:w="57" w:type="dxa"/>
              <w:right w:w="57" w:type="dxa"/>
            </w:tcMar>
          </w:tcPr>
          <w:p w14:paraId="491F04B2" w14:textId="53C745F3"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VEGF, median (IQR), pg/mL</w:t>
            </w:r>
          </w:p>
        </w:tc>
        <w:tc>
          <w:tcPr>
            <w:tcW w:w="2225" w:type="pct"/>
            <w:shd w:val="clear" w:color="auto" w:fill="auto"/>
          </w:tcPr>
          <w:p w14:paraId="460400A6" w14:textId="1BC74197" w:rsidR="005232A4" w:rsidRPr="0021268C" w:rsidRDefault="005232A4" w:rsidP="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26.5 (13.8–51.3)</w:t>
            </w:r>
          </w:p>
        </w:tc>
      </w:tr>
      <w:tr w:rsidR="005232A4" w:rsidRPr="0021268C" w14:paraId="2B82B56C" w14:textId="77777777">
        <w:trPr>
          <w:trHeight w:val="447"/>
        </w:trPr>
        <w:tc>
          <w:tcPr>
            <w:tcW w:w="2775" w:type="pct"/>
            <w:shd w:val="clear" w:color="auto" w:fill="auto"/>
            <w:tcMar>
              <w:top w:w="0" w:type="dxa"/>
              <w:left w:w="57" w:type="dxa"/>
              <w:right w:w="57" w:type="dxa"/>
            </w:tcMar>
          </w:tcPr>
          <w:p w14:paraId="7CB26431" w14:textId="38C202DD"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NLR, mean ± SD</w:t>
            </w:r>
          </w:p>
        </w:tc>
        <w:tc>
          <w:tcPr>
            <w:tcW w:w="2225" w:type="pct"/>
            <w:shd w:val="clear" w:color="auto" w:fill="auto"/>
          </w:tcPr>
          <w:p w14:paraId="62BA98BF" w14:textId="68B90510" w:rsidR="005232A4" w:rsidRPr="0021268C" w:rsidRDefault="005232A4" w:rsidP="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2.8 ± 3.5</w:t>
            </w:r>
          </w:p>
        </w:tc>
      </w:tr>
      <w:tr w:rsidR="005232A4" w:rsidRPr="0021268C" w14:paraId="4DAF8D16" w14:textId="77777777">
        <w:trPr>
          <w:trHeight w:val="447"/>
        </w:trPr>
        <w:tc>
          <w:tcPr>
            <w:tcW w:w="2775" w:type="pct"/>
            <w:shd w:val="clear" w:color="auto" w:fill="auto"/>
            <w:tcMar>
              <w:top w:w="0" w:type="dxa"/>
              <w:left w:w="57" w:type="dxa"/>
              <w:right w:w="57" w:type="dxa"/>
            </w:tcMar>
          </w:tcPr>
          <w:p w14:paraId="5076C880" w14:textId="0863C455" w:rsidR="005232A4" w:rsidRPr="0021268C" w:rsidRDefault="005232A4" w:rsidP="005232A4">
            <w:pPr>
              <w:adjustRightInd w:val="0"/>
              <w:snapToGrid w:val="0"/>
              <w:spacing w:line="360" w:lineRule="auto"/>
              <w:ind w:firstLineChars="100" w:firstLine="240"/>
              <w:jc w:val="both"/>
              <w:rPr>
                <w:rFonts w:ascii="Book Antiqua" w:hAnsi="Book Antiqua" w:cs="Arial"/>
                <w:color w:val="000000" w:themeColor="text1"/>
              </w:rPr>
            </w:pPr>
            <w:r w:rsidRPr="0021268C">
              <w:rPr>
                <w:rFonts w:ascii="Book Antiqua" w:hAnsi="Book Antiqua" w:cs="Arial"/>
                <w:color w:val="000000" w:themeColor="text1"/>
              </w:rPr>
              <w:t>PLR, mean ± SD</w:t>
            </w:r>
          </w:p>
        </w:tc>
        <w:tc>
          <w:tcPr>
            <w:tcW w:w="2225" w:type="pct"/>
            <w:shd w:val="clear" w:color="auto" w:fill="auto"/>
          </w:tcPr>
          <w:p w14:paraId="77F6AF49" w14:textId="49ED8E54" w:rsidR="005232A4" w:rsidRPr="0021268C" w:rsidRDefault="005232A4">
            <w:pPr>
              <w:adjustRightInd w:val="0"/>
              <w:snapToGrid w:val="0"/>
              <w:spacing w:line="360" w:lineRule="auto"/>
              <w:jc w:val="both"/>
              <w:rPr>
                <w:rFonts w:ascii="Book Antiqua" w:hAnsi="Book Antiqua" w:cs="Arial"/>
                <w:color w:val="000000" w:themeColor="text1"/>
              </w:rPr>
            </w:pPr>
            <w:r w:rsidRPr="0021268C">
              <w:rPr>
                <w:rFonts w:ascii="Book Antiqua" w:hAnsi="Book Antiqua" w:cs="Arial"/>
                <w:color w:val="000000" w:themeColor="text1"/>
              </w:rPr>
              <w:t>118.2 ± 119.7</w:t>
            </w:r>
          </w:p>
        </w:tc>
      </w:tr>
    </w:tbl>
    <w:p w14:paraId="4FCB2C79" w14:textId="77777777" w:rsidR="00B07060" w:rsidRPr="0021268C" w:rsidRDefault="005635E1">
      <w:pPr>
        <w:spacing w:line="360" w:lineRule="auto"/>
        <w:jc w:val="both"/>
        <w:rPr>
          <w:rFonts w:ascii="Book Antiqua" w:hAnsi="Book Antiqua" w:cs="Arial"/>
        </w:rPr>
      </w:pPr>
      <w:r w:rsidRPr="0021268C">
        <w:rPr>
          <w:rFonts w:ascii="Book Antiqua" w:hAnsi="Book Antiqua" w:cs="Arial"/>
        </w:rPr>
        <w:t>AFP</w:t>
      </w:r>
      <w:r w:rsidRPr="0021268C">
        <w:rPr>
          <w:rFonts w:ascii="Book Antiqua" w:hAnsi="Book Antiqua" w:cs="Arial"/>
          <w:lang w:eastAsia="zh-CN"/>
        </w:rPr>
        <w:t>:</w:t>
      </w:r>
      <w:r w:rsidRPr="0021268C">
        <w:rPr>
          <w:rFonts w:ascii="Book Antiqua" w:hAnsi="Book Antiqua" w:cs="Arial"/>
        </w:rPr>
        <w:t xml:space="preserve"> α-feto protein; ALT</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A</w:t>
      </w:r>
      <w:r w:rsidRPr="0021268C">
        <w:rPr>
          <w:rFonts w:ascii="Book Antiqua" w:hAnsi="Book Antiqua" w:cs="Arial"/>
        </w:rPr>
        <w:t>lanine aminotransferase; AST</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A</w:t>
      </w:r>
      <w:r w:rsidRPr="0021268C">
        <w:rPr>
          <w:rFonts w:ascii="Book Antiqua" w:hAnsi="Book Antiqua" w:cs="Arial"/>
        </w:rPr>
        <w:t>spartate aminotransferase; BMI</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B</w:t>
      </w:r>
      <w:r w:rsidRPr="0021268C">
        <w:rPr>
          <w:rFonts w:ascii="Book Antiqua" w:hAnsi="Book Antiqua" w:cs="Arial"/>
        </w:rPr>
        <w:t>ody mass index; BCLC</w:t>
      </w:r>
      <w:r w:rsidRPr="0021268C">
        <w:rPr>
          <w:rFonts w:ascii="Book Antiqua" w:hAnsi="Book Antiqua" w:cs="Arial"/>
          <w:lang w:eastAsia="zh-CN"/>
        </w:rPr>
        <w:t>:</w:t>
      </w:r>
      <w:r w:rsidRPr="0021268C">
        <w:rPr>
          <w:rFonts w:ascii="Book Antiqua" w:hAnsi="Book Antiqua" w:cs="Arial"/>
        </w:rPr>
        <w:t xml:space="preserve"> Barcelona clinic liver cancer; BSC</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B</w:t>
      </w:r>
      <w:r w:rsidRPr="0021268C">
        <w:rPr>
          <w:rFonts w:ascii="Book Antiqua" w:hAnsi="Book Antiqua" w:cs="Arial"/>
        </w:rPr>
        <w:t>est supportive care; ECOG</w:t>
      </w:r>
      <w:r w:rsidRPr="0021268C">
        <w:rPr>
          <w:rFonts w:ascii="Book Antiqua" w:hAnsi="Book Antiqua" w:cs="Arial"/>
          <w:lang w:eastAsia="zh-CN"/>
        </w:rPr>
        <w:t>:</w:t>
      </w:r>
      <w:r w:rsidRPr="0021268C">
        <w:rPr>
          <w:rFonts w:ascii="Book Antiqua" w:hAnsi="Book Antiqua" w:cs="Arial"/>
        </w:rPr>
        <w:t xml:space="preserve"> Eastern Cooperative Oncology Group; HCC</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H</w:t>
      </w:r>
      <w:r w:rsidRPr="0021268C">
        <w:rPr>
          <w:rFonts w:ascii="Book Antiqua" w:hAnsi="Book Antiqua" w:cs="Arial"/>
        </w:rPr>
        <w:t>epatocellular carcinoma; IQR</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lastRenderedPageBreak/>
        <w:t>I</w:t>
      </w:r>
      <w:r w:rsidRPr="0021268C">
        <w:rPr>
          <w:rFonts w:ascii="Book Antiqua" w:hAnsi="Book Antiqua" w:cs="Arial"/>
        </w:rPr>
        <w:t>nterquartile range; NLR</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N</w:t>
      </w:r>
      <w:r w:rsidRPr="0021268C">
        <w:rPr>
          <w:rFonts w:ascii="Book Antiqua" w:hAnsi="Book Antiqua" w:cs="Arial"/>
        </w:rPr>
        <w:t>eutrophil-lymphocyte ratio; SD</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S</w:t>
      </w:r>
      <w:r w:rsidRPr="0021268C">
        <w:rPr>
          <w:rFonts w:ascii="Book Antiqua" w:hAnsi="Book Antiqua" w:cs="Arial"/>
        </w:rPr>
        <w:t>tandard deviation; TNM</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T</w:t>
      </w:r>
      <w:r w:rsidRPr="0021268C">
        <w:rPr>
          <w:rFonts w:ascii="Book Antiqua" w:hAnsi="Book Antiqua" w:cs="Arial"/>
        </w:rPr>
        <w:t>umor-node-metastasis; PLR</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P</w:t>
      </w:r>
      <w:r w:rsidRPr="0021268C">
        <w:rPr>
          <w:rFonts w:ascii="Book Antiqua" w:hAnsi="Book Antiqua" w:cs="Arial"/>
        </w:rPr>
        <w:t>latelet-lymphocyte ratio; VEGF</w:t>
      </w:r>
      <w:r w:rsidRPr="0021268C">
        <w:rPr>
          <w:rFonts w:ascii="Book Antiqua" w:hAnsi="Book Antiqua" w:cs="Arial"/>
          <w:lang w:eastAsia="zh-CN"/>
        </w:rPr>
        <w:t>:</w:t>
      </w:r>
      <w:r w:rsidRPr="0021268C">
        <w:rPr>
          <w:rFonts w:ascii="Book Antiqua" w:hAnsi="Book Antiqua" w:cs="Arial"/>
        </w:rPr>
        <w:t xml:space="preserve"> </w:t>
      </w:r>
      <w:r w:rsidRPr="0021268C">
        <w:rPr>
          <w:rFonts w:ascii="Book Antiqua" w:hAnsi="Book Antiqua" w:cs="Arial"/>
          <w:lang w:eastAsia="zh-CN"/>
        </w:rPr>
        <w:t>V</w:t>
      </w:r>
      <w:r w:rsidRPr="0021268C">
        <w:rPr>
          <w:rFonts w:ascii="Book Antiqua" w:hAnsi="Book Antiqua" w:cs="Arial"/>
        </w:rPr>
        <w:t>ascular endothelial growth factor; WBC</w:t>
      </w:r>
      <w:r w:rsidRPr="0021268C">
        <w:rPr>
          <w:rFonts w:ascii="Book Antiqua" w:hAnsi="Book Antiqua" w:cs="Arial"/>
          <w:lang w:eastAsia="zh-CN"/>
        </w:rPr>
        <w:t>:</w:t>
      </w:r>
      <w:r w:rsidRPr="0021268C">
        <w:rPr>
          <w:rFonts w:ascii="Book Antiqua" w:hAnsi="Book Antiqua" w:cs="Arial"/>
        </w:rPr>
        <w:t xml:space="preserve"> White blood cell.</w:t>
      </w:r>
    </w:p>
    <w:p w14:paraId="4075ED02" w14:textId="77777777" w:rsidR="00B07060" w:rsidRPr="0021268C" w:rsidRDefault="005635E1">
      <w:pPr>
        <w:spacing w:line="360" w:lineRule="auto"/>
        <w:jc w:val="both"/>
        <w:rPr>
          <w:rFonts w:ascii="Book Antiqua" w:hAnsi="Book Antiqua" w:cs="Arial"/>
          <w:b/>
          <w:bCs/>
        </w:rPr>
      </w:pPr>
      <w:r w:rsidRPr="0021268C">
        <w:rPr>
          <w:rFonts w:ascii="Book Antiqua" w:hAnsi="Book Antiqua" w:cs="Arial"/>
        </w:rPr>
        <w:br w:type="page"/>
      </w:r>
      <w:r w:rsidRPr="0021268C">
        <w:rPr>
          <w:rFonts w:ascii="Book Antiqua" w:hAnsi="Book Antiqua" w:cs="Arial"/>
          <w:b/>
        </w:rPr>
        <w:lastRenderedPageBreak/>
        <w:t>Table 2 Univariate and multivariate analysis on the f</w:t>
      </w:r>
      <w:r w:rsidRPr="0021268C">
        <w:rPr>
          <w:rFonts w:ascii="Book Antiqua" w:hAnsi="Book Antiqua" w:cs="Arial"/>
          <w:b/>
          <w:bCs/>
        </w:rPr>
        <w:t xml:space="preserve">actors predictive for poor overall survival in </w:t>
      </w:r>
      <w:r w:rsidRPr="0021268C">
        <w:rPr>
          <w:rFonts w:ascii="Book Antiqua" w:hAnsi="Book Antiqua" w:cs="Arial"/>
          <w:b/>
          <w:lang w:eastAsia="zh-CN"/>
        </w:rPr>
        <w:t>h</w:t>
      </w:r>
      <w:r w:rsidRPr="0021268C">
        <w:rPr>
          <w:rFonts w:ascii="Book Antiqua" w:hAnsi="Book Antiqua" w:cs="Arial"/>
          <w:b/>
        </w:rPr>
        <w:t>epatocellular carcinoma</w:t>
      </w:r>
      <w:r w:rsidRPr="0021268C">
        <w:rPr>
          <w:rFonts w:ascii="Book Antiqua" w:hAnsi="Book Antiqua" w:cs="Arial"/>
          <w:b/>
          <w:bCs/>
        </w:rPr>
        <w:t xml:space="preserve"> patients</w:t>
      </w:r>
    </w:p>
    <w:tbl>
      <w:tblPr>
        <w:tblW w:w="5000" w:type="pct"/>
        <w:tblLook w:val="04A0" w:firstRow="1" w:lastRow="0" w:firstColumn="1" w:lastColumn="0" w:noHBand="0" w:noVBand="1"/>
      </w:tblPr>
      <w:tblGrid>
        <w:gridCol w:w="4592"/>
        <w:gridCol w:w="1511"/>
        <w:gridCol w:w="981"/>
        <w:gridCol w:w="1511"/>
        <w:gridCol w:w="981"/>
      </w:tblGrid>
      <w:tr w:rsidR="002A7C4A" w:rsidRPr="0021268C" w14:paraId="47C68287" w14:textId="77777777" w:rsidTr="002A7C4A">
        <w:trPr>
          <w:trHeight w:val="660"/>
        </w:trPr>
        <w:tc>
          <w:tcPr>
            <w:tcW w:w="2398" w:type="pct"/>
            <w:vMerge w:val="restart"/>
            <w:tcBorders>
              <w:top w:val="single" w:sz="8" w:space="0" w:color="auto"/>
              <w:left w:val="nil"/>
              <w:bottom w:val="single" w:sz="8" w:space="0" w:color="000000"/>
              <w:right w:val="nil"/>
            </w:tcBorders>
            <w:shd w:val="clear" w:color="auto" w:fill="auto"/>
            <w:noWrap/>
            <w:vAlign w:val="center"/>
            <w:hideMark/>
          </w:tcPr>
          <w:p w14:paraId="63ABBD70" w14:textId="77777777" w:rsidR="002A7C4A" w:rsidRPr="0021268C" w:rsidRDefault="002A7C4A" w:rsidP="002A7C4A">
            <w:pPr>
              <w:jc w:val="both"/>
              <w:rPr>
                <w:rFonts w:ascii="Book Antiqua" w:eastAsia="等线" w:hAnsi="Book Antiqua" w:cs="宋体"/>
                <w:b/>
                <w:bCs/>
                <w:color w:val="000000"/>
                <w:lang w:eastAsia="zh-CN"/>
              </w:rPr>
            </w:pPr>
            <w:r w:rsidRPr="0021268C">
              <w:rPr>
                <w:rFonts w:ascii="Book Antiqua" w:eastAsia="等线" w:hAnsi="Book Antiqua" w:cs="宋体"/>
                <w:b/>
                <w:bCs/>
                <w:color w:val="000000"/>
                <w:lang w:eastAsia="zh-CN"/>
              </w:rPr>
              <w:t>Variable</w:t>
            </w:r>
          </w:p>
        </w:tc>
        <w:tc>
          <w:tcPr>
            <w:tcW w:w="1301" w:type="pct"/>
            <w:gridSpan w:val="2"/>
            <w:tcBorders>
              <w:top w:val="single" w:sz="8" w:space="0" w:color="auto"/>
              <w:left w:val="nil"/>
              <w:bottom w:val="single" w:sz="8" w:space="0" w:color="auto"/>
              <w:right w:val="nil"/>
            </w:tcBorders>
            <w:shd w:val="clear" w:color="auto" w:fill="auto"/>
            <w:vAlign w:val="center"/>
            <w:hideMark/>
          </w:tcPr>
          <w:p w14:paraId="4E8F4FDF" w14:textId="77777777" w:rsidR="002A7C4A" w:rsidRPr="0021268C" w:rsidRDefault="002A7C4A" w:rsidP="002A7C4A">
            <w:pPr>
              <w:jc w:val="both"/>
              <w:rPr>
                <w:rFonts w:ascii="Book Antiqua" w:eastAsia="等线" w:hAnsi="Book Antiqua" w:cs="宋体"/>
                <w:b/>
                <w:bCs/>
                <w:color w:val="000000"/>
                <w:lang w:eastAsia="zh-CN"/>
              </w:rPr>
            </w:pPr>
            <w:r w:rsidRPr="0021268C">
              <w:rPr>
                <w:rFonts w:ascii="Book Antiqua" w:eastAsia="等线" w:hAnsi="Book Antiqua" w:cs="宋体"/>
                <w:b/>
                <w:bCs/>
                <w:color w:val="000000"/>
                <w:lang w:eastAsia="zh-CN"/>
              </w:rPr>
              <w:t>Univariate analysis</w:t>
            </w:r>
          </w:p>
        </w:tc>
        <w:tc>
          <w:tcPr>
            <w:tcW w:w="1301" w:type="pct"/>
            <w:gridSpan w:val="2"/>
            <w:tcBorders>
              <w:top w:val="single" w:sz="8" w:space="0" w:color="auto"/>
              <w:left w:val="nil"/>
              <w:bottom w:val="single" w:sz="8" w:space="0" w:color="auto"/>
              <w:right w:val="nil"/>
            </w:tcBorders>
            <w:shd w:val="clear" w:color="auto" w:fill="auto"/>
            <w:vAlign w:val="center"/>
            <w:hideMark/>
          </w:tcPr>
          <w:p w14:paraId="6AF80436" w14:textId="77777777" w:rsidR="002A7C4A" w:rsidRPr="0021268C" w:rsidRDefault="002A7C4A" w:rsidP="002A7C4A">
            <w:pPr>
              <w:jc w:val="both"/>
              <w:rPr>
                <w:rFonts w:ascii="Book Antiqua" w:eastAsia="等线" w:hAnsi="Book Antiqua" w:cs="宋体"/>
                <w:b/>
                <w:bCs/>
                <w:color w:val="000000"/>
                <w:lang w:eastAsia="zh-CN"/>
              </w:rPr>
            </w:pPr>
            <w:r w:rsidRPr="0021268C">
              <w:rPr>
                <w:rFonts w:ascii="Book Antiqua" w:eastAsia="等线" w:hAnsi="Book Antiqua" w:cs="宋体"/>
                <w:b/>
                <w:bCs/>
                <w:color w:val="000000"/>
                <w:lang w:eastAsia="zh-CN"/>
              </w:rPr>
              <w:t>Multivariable analysis</w:t>
            </w:r>
          </w:p>
        </w:tc>
      </w:tr>
      <w:tr w:rsidR="002A7C4A" w:rsidRPr="0021268C" w14:paraId="26447F95" w14:textId="77777777" w:rsidTr="002A7C4A">
        <w:trPr>
          <w:trHeight w:val="675"/>
        </w:trPr>
        <w:tc>
          <w:tcPr>
            <w:tcW w:w="2398" w:type="pct"/>
            <w:vMerge/>
            <w:tcBorders>
              <w:top w:val="single" w:sz="8" w:space="0" w:color="auto"/>
              <w:left w:val="nil"/>
              <w:bottom w:val="single" w:sz="8" w:space="0" w:color="000000"/>
              <w:right w:val="nil"/>
            </w:tcBorders>
            <w:vAlign w:val="center"/>
            <w:hideMark/>
          </w:tcPr>
          <w:p w14:paraId="258A5913" w14:textId="77777777" w:rsidR="002A7C4A" w:rsidRPr="0021268C" w:rsidRDefault="002A7C4A" w:rsidP="002A7C4A">
            <w:pPr>
              <w:rPr>
                <w:rFonts w:ascii="Book Antiqua" w:eastAsia="等线" w:hAnsi="Book Antiqua" w:cs="宋体"/>
                <w:b/>
                <w:bCs/>
                <w:color w:val="000000"/>
                <w:lang w:eastAsia="zh-CN"/>
              </w:rPr>
            </w:pPr>
          </w:p>
        </w:tc>
        <w:tc>
          <w:tcPr>
            <w:tcW w:w="789" w:type="pct"/>
            <w:tcBorders>
              <w:top w:val="nil"/>
              <w:left w:val="nil"/>
              <w:bottom w:val="single" w:sz="8" w:space="0" w:color="auto"/>
              <w:right w:val="nil"/>
            </w:tcBorders>
            <w:shd w:val="clear" w:color="auto" w:fill="auto"/>
            <w:vAlign w:val="center"/>
            <w:hideMark/>
          </w:tcPr>
          <w:p w14:paraId="4787F42F" w14:textId="77777777" w:rsidR="002A7C4A" w:rsidRPr="0021268C" w:rsidRDefault="002A7C4A" w:rsidP="002A7C4A">
            <w:pPr>
              <w:jc w:val="both"/>
              <w:rPr>
                <w:rFonts w:ascii="Book Antiqua" w:eastAsia="等线" w:hAnsi="Book Antiqua" w:cs="宋体"/>
                <w:b/>
                <w:bCs/>
                <w:color w:val="000000"/>
                <w:lang w:eastAsia="zh-CN"/>
              </w:rPr>
            </w:pPr>
            <w:r w:rsidRPr="0021268C">
              <w:rPr>
                <w:rFonts w:ascii="Book Antiqua" w:eastAsia="等线" w:hAnsi="Book Antiqua" w:cs="宋体"/>
                <w:b/>
                <w:bCs/>
                <w:color w:val="000000"/>
                <w:lang w:eastAsia="zh-CN"/>
              </w:rPr>
              <w:t>HR (95%CI)</w:t>
            </w:r>
          </w:p>
        </w:tc>
        <w:tc>
          <w:tcPr>
            <w:tcW w:w="512" w:type="pct"/>
            <w:tcBorders>
              <w:top w:val="nil"/>
              <w:left w:val="nil"/>
              <w:bottom w:val="single" w:sz="8" w:space="0" w:color="auto"/>
              <w:right w:val="nil"/>
            </w:tcBorders>
            <w:shd w:val="clear" w:color="auto" w:fill="auto"/>
            <w:vAlign w:val="center"/>
            <w:hideMark/>
          </w:tcPr>
          <w:p w14:paraId="45AF9773" w14:textId="77777777" w:rsidR="002A7C4A" w:rsidRPr="0021268C" w:rsidRDefault="002A7C4A" w:rsidP="002A7C4A">
            <w:pPr>
              <w:jc w:val="both"/>
              <w:rPr>
                <w:rFonts w:ascii="Book Antiqua" w:eastAsia="等线" w:hAnsi="Book Antiqua" w:cs="宋体"/>
                <w:b/>
                <w:bCs/>
                <w:i/>
                <w:iCs/>
                <w:color w:val="000000"/>
                <w:lang w:eastAsia="zh-CN"/>
              </w:rPr>
            </w:pPr>
            <w:r w:rsidRPr="0021268C">
              <w:rPr>
                <w:rFonts w:ascii="Book Antiqua" w:eastAsia="等线" w:hAnsi="Book Antiqua" w:cs="宋体"/>
                <w:b/>
                <w:bCs/>
                <w:i/>
                <w:iCs/>
                <w:color w:val="000000"/>
                <w:lang w:eastAsia="zh-CN"/>
              </w:rPr>
              <w:t>P</w:t>
            </w:r>
            <w:r w:rsidRPr="0021268C">
              <w:rPr>
                <w:rFonts w:ascii="Book Antiqua" w:eastAsia="等线" w:hAnsi="Book Antiqua" w:cs="宋体"/>
                <w:b/>
                <w:bCs/>
                <w:color w:val="000000"/>
                <w:lang w:eastAsia="zh-CN"/>
              </w:rPr>
              <w:t xml:space="preserve"> value</w:t>
            </w:r>
          </w:p>
        </w:tc>
        <w:tc>
          <w:tcPr>
            <w:tcW w:w="789" w:type="pct"/>
            <w:tcBorders>
              <w:top w:val="nil"/>
              <w:left w:val="nil"/>
              <w:bottom w:val="single" w:sz="8" w:space="0" w:color="auto"/>
              <w:right w:val="nil"/>
            </w:tcBorders>
            <w:shd w:val="clear" w:color="auto" w:fill="auto"/>
            <w:vAlign w:val="center"/>
            <w:hideMark/>
          </w:tcPr>
          <w:p w14:paraId="7C51F196" w14:textId="77777777" w:rsidR="002A7C4A" w:rsidRPr="0021268C" w:rsidRDefault="002A7C4A" w:rsidP="002A7C4A">
            <w:pPr>
              <w:jc w:val="both"/>
              <w:rPr>
                <w:rFonts w:ascii="Book Antiqua" w:eastAsia="等线" w:hAnsi="Book Antiqua" w:cs="宋体"/>
                <w:b/>
                <w:bCs/>
                <w:color w:val="000000"/>
                <w:lang w:eastAsia="zh-CN"/>
              </w:rPr>
            </w:pPr>
            <w:r w:rsidRPr="0021268C">
              <w:rPr>
                <w:rFonts w:ascii="Book Antiqua" w:eastAsia="等线" w:hAnsi="Book Antiqua" w:cs="宋体"/>
                <w:b/>
                <w:bCs/>
                <w:color w:val="000000"/>
                <w:lang w:eastAsia="zh-CN"/>
              </w:rPr>
              <w:t>HR (95%CI)</w:t>
            </w:r>
          </w:p>
        </w:tc>
        <w:tc>
          <w:tcPr>
            <w:tcW w:w="512" w:type="pct"/>
            <w:tcBorders>
              <w:top w:val="nil"/>
              <w:left w:val="nil"/>
              <w:bottom w:val="single" w:sz="8" w:space="0" w:color="auto"/>
              <w:right w:val="nil"/>
            </w:tcBorders>
            <w:shd w:val="clear" w:color="auto" w:fill="auto"/>
            <w:vAlign w:val="center"/>
            <w:hideMark/>
          </w:tcPr>
          <w:p w14:paraId="6EAE0D63" w14:textId="77777777" w:rsidR="002A7C4A" w:rsidRPr="0021268C" w:rsidRDefault="002A7C4A" w:rsidP="002A7C4A">
            <w:pPr>
              <w:jc w:val="both"/>
              <w:rPr>
                <w:rFonts w:ascii="Book Antiqua" w:eastAsia="等线" w:hAnsi="Book Antiqua" w:cs="宋体"/>
                <w:b/>
                <w:bCs/>
                <w:i/>
                <w:iCs/>
                <w:color w:val="000000"/>
                <w:lang w:eastAsia="zh-CN"/>
              </w:rPr>
            </w:pPr>
            <w:r w:rsidRPr="0021268C">
              <w:rPr>
                <w:rFonts w:ascii="Book Antiqua" w:eastAsia="等线" w:hAnsi="Book Antiqua" w:cs="宋体"/>
                <w:b/>
                <w:bCs/>
                <w:i/>
                <w:iCs/>
                <w:color w:val="000000"/>
                <w:lang w:eastAsia="zh-CN"/>
              </w:rPr>
              <w:t>P</w:t>
            </w:r>
            <w:r w:rsidRPr="0021268C">
              <w:rPr>
                <w:rFonts w:ascii="Book Antiqua" w:eastAsia="等线" w:hAnsi="Book Antiqua" w:cs="宋体"/>
                <w:b/>
                <w:bCs/>
                <w:color w:val="000000"/>
                <w:lang w:eastAsia="zh-CN"/>
              </w:rPr>
              <w:t xml:space="preserve"> value</w:t>
            </w:r>
          </w:p>
        </w:tc>
      </w:tr>
      <w:tr w:rsidR="002A7C4A" w:rsidRPr="0021268C" w14:paraId="09B9163A" w14:textId="77777777" w:rsidTr="002A7C4A">
        <w:trPr>
          <w:trHeight w:val="1575"/>
        </w:trPr>
        <w:tc>
          <w:tcPr>
            <w:tcW w:w="2398" w:type="pct"/>
            <w:tcBorders>
              <w:top w:val="nil"/>
              <w:left w:val="nil"/>
              <w:bottom w:val="nil"/>
              <w:right w:val="nil"/>
            </w:tcBorders>
            <w:shd w:val="clear" w:color="auto" w:fill="auto"/>
            <w:noWrap/>
            <w:vAlign w:val="center"/>
            <w:hideMark/>
          </w:tcPr>
          <w:p w14:paraId="2CDF5145"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 xml:space="preserve">Ang-2 group (cut-off: Median level) </w:t>
            </w:r>
          </w:p>
        </w:tc>
        <w:tc>
          <w:tcPr>
            <w:tcW w:w="789" w:type="pct"/>
            <w:tcBorders>
              <w:top w:val="nil"/>
              <w:left w:val="nil"/>
              <w:bottom w:val="nil"/>
              <w:right w:val="nil"/>
            </w:tcBorders>
            <w:shd w:val="clear" w:color="auto" w:fill="auto"/>
            <w:vAlign w:val="center"/>
            <w:hideMark/>
          </w:tcPr>
          <w:p w14:paraId="0E3D8B40" w14:textId="77777777" w:rsidR="002A7C4A" w:rsidRPr="0021268C" w:rsidRDefault="002A7C4A" w:rsidP="002A7C4A">
            <w:pPr>
              <w:jc w:val="both"/>
              <w:rPr>
                <w:rFonts w:ascii="Book Antiqua" w:eastAsia="等线" w:hAnsi="Book Antiqua" w:cs="宋体"/>
                <w:color w:val="000000"/>
                <w:lang w:eastAsia="zh-CN"/>
              </w:rPr>
            </w:pPr>
          </w:p>
        </w:tc>
        <w:tc>
          <w:tcPr>
            <w:tcW w:w="512" w:type="pct"/>
            <w:tcBorders>
              <w:top w:val="nil"/>
              <w:left w:val="nil"/>
              <w:bottom w:val="nil"/>
              <w:right w:val="nil"/>
            </w:tcBorders>
            <w:shd w:val="clear" w:color="auto" w:fill="auto"/>
            <w:vAlign w:val="center"/>
            <w:hideMark/>
          </w:tcPr>
          <w:p w14:paraId="6A13DF27" w14:textId="77777777" w:rsidR="002A7C4A" w:rsidRPr="0021268C" w:rsidRDefault="002A7C4A" w:rsidP="002A7C4A">
            <w:pPr>
              <w:jc w:val="both"/>
              <w:rPr>
                <w:rFonts w:eastAsia="Times New Roman"/>
                <w:sz w:val="20"/>
                <w:szCs w:val="20"/>
                <w:lang w:eastAsia="zh-CN"/>
              </w:rPr>
            </w:pPr>
          </w:p>
        </w:tc>
        <w:tc>
          <w:tcPr>
            <w:tcW w:w="789" w:type="pct"/>
            <w:tcBorders>
              <w:top w:val="nil"/>
              <w:left w:val="nil"/>
              <w:bottom w:val="nil"/>
              <w:right w:val="nil"/>
            </w:tcBorders>
            <w:shd w:val="clear" w:color="auto" w:fill="auto"/>
            <w:vAlign w:val="center"/>
            <w:hideMark/>
          </w:tcPr>
          <w:p w14:paraId="1764D142" w14:textId="77777777" w:rsidR="002A7C4A" w:rsidRPr="0021268C" w:rsidRDefault="002A7C4A" w:rsidP="002A7C4A">
            <w:pPr>
              <w:jc w:val="both"/>
              <w:rPr>
                <w:rFonts w:eastAsia="Times New Roman"/>
                <w:sz w:val="20"/>
                <w:szCs w:val="20"/>
                <w:lang w:eastAsia="zh-CN"/>
              </w:rPr>
            </w:pPr>
          </w:p>
        </w:tc>
        <w:tc>
          <w:tcPr>
            <w:tcW w:w="512" w:type="pct"/>
            <w:tcBorders>
              <w:top w:val="nil"/>
              <w:left w:val="nil"/>
              <w:bottom w:val="nil"/>
              <w:right w:val="nil"/>
            </w:tcBorders>
            <w:shd w:val="clear" w:color="auto" w:fill="auto"/>
            <w:vAlign w:val="center"/>
            <w:hideMark/>
          </w:tcPr>
          <w:p w14:paraId="11BC8EA5" w14:textId="77777777" w:rsidR="002A7C4A" w:rsidRPr="0021268C" w:rsidRDefault="002A7C4A" w:rsidP="002A7C4A">
            <w:pPr>
              <w:jc w:val="both"/>
              <w:rPr>
                <w:rFonts w:eastAsia="Times New Roman"/>
                <w:sz w:val="20"/>
                <w:szCs w:val="20"/>
                <w:lang w:eastAsia="zh-CN"/>
              </w:rPr>
            </w:pPr>
          </w:p>
        </w:tc>
      </w:tr>
      <w:tr w:rsidR="002A7C4A" w:rsidRPr="0021268C" w14:paraId="299AB477" w14:textId="77777777" w:rsidTr="002A7C4A">
        <w:trPr>
          <w:trHeight w:val="945"/>
        </w:trPr>
        <w:tc>
          <w:tcPr>
            <w:tcW w:w="2398" w:type="pct"/>
            <w:tcBorders>
              <w:top w:val="nil"/>
              <w:left w:val="nil"/>
              <w:bottom w:val="nil"/>
              <w:right w:val="nil"/>
            </w:tcBorders>
            <w:shd w:val="clear" w:color="auto" w:fill="auto"/>
            <w:noWrap/>
            <w:vAlign w:val="center"/>
            <w:hideMark/>
          </w:tcPr>
          <w:p w14:paraId="1C96711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Low Ang-2 group</w:t>
            </w:r>
          </w:p>
        </w:tc>
        <w:tc>
          <w:tcPr>
            <w:tcW w:w="789" w:type="pct"/>
            <w:tcBorders>
              <w:top w:val="nil"/>
              <w:left w:val="nil"/>
              <w:bottom w:val="nil"/>
              <w:right w:val="nil"/>
            </w:tcBorders>
            <w:shd w:val="clear" w:color="auto" w:fill="auto"/>
            <w:vAlign w:val="center"/>
            <w:hideMark/>
          </w:tcPr>
          <w:p w14:paraId="527D0D7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2279879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789" w:type="pct"/>
            <w:tcBorders>
              <w:top w:val="nil"/>
              <w:left w:val="nil"/>
              <w:bottom w:val="nil"/>
              <w:right w:val="nil"/>
            </w:tcBorders>
            <w:shd w:val="clear" w:color="auto" w:fill="auto"/>
            <w:vAlign w:val="center"/>
            <w:hideMark/>
          </w:tcPr>
          <w:p w14:paraId="2B534FAC"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36244C95"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119ED537" w14:textId="77777777" w:rsidTr="002A7C4A">
        <w:trPr>
          <w:trHeight w:val="945"/>
        </w:trPr>
        <w:tc>
          <w:tcPr>
            <w:tcW w:w="2398" w:type="pct"/>
            <w:tcBorders>
              <w:top w:val="nil"/>
              <w:left w:val="nil"/>
              <w:bottom w:val="nil"/>
              <w:right w:val="nil"/>
            </w:tcBorders>
            <w:shd w:val="clear" w:color="auto" w:fill="auto"/>
            <w:noWrap/>
            <w:vAlign w:val="center"/>
            <w:hideMark/>
          </w:tcPr>
          <w:p w14:paraId="2F0A05E2"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High Ang-2 group</w:t>
            </w:r>
          </w:p>
        </w:tc>
        <w:tc>
          <w:tcPr>
            <w:tcW w:w="789" w:type="pct"/>
            <w:tcBorders>
              <w:top w:val="nil"/>
              <w:left w:val="nil"/>
              <w:bottom w:val="nil"/>
              <w:right w:val="nil"/>
            </w:tcBorders>
            <w:shd w:val="clear" w:color="auto" w:fill="auto"/>
            <w:vAlign w:val="center"/>
            <w:hideMark/>
          </w:tcPr>
          <w:p w14:paraId="2E9081F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4.76 (3.15 – 7.20)</w:t>
            </w:r>
          </w:p>
        </w:tc>
        <w:tc>
          <w:tcPr>
            <w:tcW w:w="512" w:type="pct"/>
            <w:tcBorders>
              <w:top w:val="nil"/>
              <w:left w:val="nil"/>
              <w:bottom w:val="nil"/>
              <w:right w:val="nil"/>
            </w:tcBorders>
            <w:shd w:val="clear" w:color="auto" w:fill="auto"/>
            <w:vAlign w:val="center"/>
            <w:hideMark/>
          </w:tcPr>
          <w:p w14:paraId="78D7033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c>
          <w:tcPr>
            <w:tcW w:w="789" w:type="pct"/>
            <w:tcBorders>
              <w:top w:val="nil"/>
              <w:left w:val="nil"/>
              <w:bottom w:val="nil"/>
              <w:right w:val="nil"/>
            </w:tcBorders>
            <w:shd w:val="clear" w:color="auto" w:fill="auto"/>
            <w:vAlign w:val="center"/>
            <w:hideMark/>
          </w:tcPr>
          <w:p w14:paraId="6BA48743"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5.96 (1.58–22.43)</w:t>
            </w:r>
          </w:p>
        </w:tc>
        <w:tc>
          <w:tcPr>
            <w:tcW w:w="512" w:type="pct"/>
            <w:tcBorders>
              <w:top w:val="nil"/>
              <w:left w:val="nil"/>
              <w:bottom w:val="nil"/>
              <w:right w:val="nil"/>
            </w:tcBorders>
            <w:shd w:val="clear" w:color="auto" w:fill="auto"/>
            <w:vAlign w:val="center"/>
            <w:hideMark/>
          </w:tcPr>
          <w:p w14:paraId="21E60D7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r>
      <w:tr w:rsidR="002A7C4A" w:rsidRPr="0021268C" w14:paraId="7B6DA344" w14:textId="77777777" w:rsidTr="002A7C4A">
        <w:trPr>
          <w:trHeight w:val="1575"/>
        </w:trPr>
        <w:tc>
          <w:tcPr>
            <w:tcW w:w="2398" w:type="pct"/>
            <w:tcBorders>
              <w:top w:val="nil"/>
              <w:left w:val="nil"/>
              <w:bottom w:val="nil"/>
              <w:right w:val="nil"/>
            </w:tcBorders>
            <w:shd w:val="clear" w:color="auto" w:fill="auto"/>
            <w:noWrap/>
            <w:vAlign w:val="center"/>
            <w:hideMark/>
          </w:tcPr>
          <w:p w14:paraId="156649B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VEGF group (cut-off: Median level)</w:t>
            </w:r>
          </w:p>
        </w:tc>
        <w:tc>
          <w:tcPr>
            <w:tcW w:w="789" w:type="pct"/>
            <w:tcBorders>
              <w:top w:val="nil"/>
              <w:left w:val="nil"/>
              <w:bottom w:val="nil"/>
              <w:right w:val="nil"/>
            </w:tcBorders>
            <w:shd w:val="clear" w:color="auto" w:fill="auto"/>
            <w:vAlign w:val="center"/>
            <w:hideMark/>
          </w:tcPr>
          <w:p w14:paraId="1025D34F" w14:textId="77777777" w:rsidR="002A7C4A" w:rsidRPr="0021268C" w:rsidRDefault="002A7C4A" w:rsidP="002A7C4A">
            <w:pPr>
              <w:jc w:val="both"/>
              <w:rPr>
                <w:rFonts w:ascii="Book Antiqua" w:eastAsia="等线" w:hAnsi="Book Antiqua" w:cs="宋体"/>
                <w:color w:val="000000"/>
                <w:lang w:eastAsia="zh-CN"/>
              </w:rPr>
            </w:pPr>
          </w:p>
        </w:tc>
        <w:tc>
          <w:tcPr>
            <w:tcW w:w="512" w:type="pct"/>
            <w:tcBorders>
              <w:top w:val="nil"/>
              <w:left w:val="nil"/>
              <w:bottom w:val="nil"/>
              <w:right w:val="nil"/>
            </w:tcBorders>
            <w:shd w:val="clear" w:color="auto" w:fill="auto"/>
            <w:vAlign w:val="center"/>
            <w:hideMark/>
          </w:tcPr>
          <w:p w14:paraId="16284688" w14:textId="77777777" w:rsidR="002A7C4A" w:rsidRPr="0021268C" w:rsidRDefault="002A7C4A" w:rsidP="002A7C4A">
            <w:pPr>
              <w:jc w:val="both"/>
              <w:rPr>
                <w:rFonts w:eastAsia="Times New Roman"/>
                <w:sz w:val="20"/>
                <w:szCs w:val="20"/>
                <w:lang w:eastAsia="zh-CN"/>
              </w:rPr>
            </w:pPr>
          </w:p>
        </w:tc>
        <w:tc>
          <w:tcPr>
            <w:tcW w:w="789" w:type="pct"/>
            <w:tcBorders>
              <w:top w:val="nil"/>
              <w:left w:val="nil"/>
              <w:bottom w:val="nil"/>
              <w:right w:val="nil"/>
            </w:tcBorders>
            <w:shd w:val="clear" w:color="auto" w:fill="auto"/>
            <w:vAlign w:val="center"/>
            <w:hideMark/>
          </w:tcPr>
          <w:p w14:paraId="2226982A" w14:textId="77777777" w:rsidR="002A7C4A" w:rsidRPr="0021268C" w:rsidRDefault="002A7C4A" w:rsidP="002A7C4A">
            <w:pPr>
              <w:jc w:val="both"/>
              <w:rPr>
                <w:rFonts w:eastAsia="Times New Roman"/>
                <w:sz w:val="20"/>
                <w:szCs w:val="20"/>
                <w:lang w:eastAsia="zh-CN"/>
              </w:rPr>
            </w:pPr>
          </w:p>
        </w:tc>
        <w:tc>
          <w:tcPr>
            <w:tcW w:w="512" w:type="pct"/>
            <w:tcBorders>
              <w:top w:val="nil"/>
              <w:left w:val="nil"/>
              <w:bottom w:val="nil"/>
              <w:right w:val="nil"/>
            </w:tcBorders>
            <w:shd w:val="clear" w:color="auto" w:fill="auto"/>
            <w:vAlign w:val="center"/>
            <w:hideMark/>
          </w:tcPr>
          <w:p w14:paraId="3DA8450C" w14:textId="77777777" w:rsidR="002A7C4A" w:rsidRPr="0021268C" w:rsidRDefault="002A7C4A" w:rsidP="002A7C4A">
            <w:pPr>
              <w:jc w:val="both"/>
              <w:rPr>
                <w:rFonts w:eastAsia="Times New Roman"/>
                <w:sz w:val="20"/>
                <w:szCs w:val="20"/>
                <w:lang w:eastAsia="zh-CN"/>
              </w:rPr>
            </w:pPr>
          </w:p>
        </w:tc>
      </w:tr>
      <w:tr w:rsidR="002A7C4A" w:rsidRPr="0021268C" w14:paraId="4C559316" w14:textId="77777777" w:rsidTr="002A7C4A">
        <w:trPr>
          <w:trHeight w:val="945"/>
        </w:trPr>
        <w:tc>
          <w:tcPr>
            <w:tcW w:w="2398" w:type="pct"/>
            <w:tcBorders>
              <w:top w:val="nil"/>
              <w:left w:val="nil"/>
              <w:bottom w:val="nil"/>
              <w:right w:val="nil"/>
            </w:tcBorders>
            <w:shd w:val="clear" w:color="auto" w:fill="auto"/>
            <w:noWrap/>
            <w:vAlign w:val="center"/>
            <w:hideMark/>
          </w:tcPr>
          <w:p w14:paraId="381D539A"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Low VEGF group</w:t>
            </w:r>
          </w:p>
        </w:tc>
        <w:tc>
          <w:tcPr>
            <w:tcW w:w="789" w:type="pct"/>
            <w:tcBorders>
              <w:top w:val="nil"/>
              <w:left w:val="nil"/>
              <w:bottom w:val="nil"/>
              <w:right w:val="nil"/>
            </w:tcBorders>
            <w:shd w:val="clear" w:color="auto" w:fill="auto"/>
            <w:vAlign w:val="center"/>
            <w:hideMark/>
          </w:tcPr>
          <w:p w14:paraId="581D040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6C2F51A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789" w:type="pct"/>
            <w:tcBorders>
              <w:top w:val="nil"/>
              <w:left w:val="nil"/>
              <w:bottom w:val="nil"/>
              <w:right w:val="nil"/>
            </w:tcBorders>
            <w:shd w:val="clear" w:color="auto" w:fill="auto"/>
            <w:vAlign w:val="center"/>
            <w:hideMark/>
          </w:tcPr>
          <w:p w14:paraId="6E5C9C2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71E07E2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63462AB3" w14:textId="77777777" w:rsidTr="002A7C4A">
        <w:trPr>
          <w:trHeight w:val="945"/>
        </w:trPr>
        <w:tc>
          <w:tcPr>
            <w:tcW w:w="2398" w:type="pct"/>
            <w:tcBorders>
              <w:top w:val="nil"/>
              <w:left w:val="nil"/>
              <w:bottom w:val="nil"/>
              <w:right w:val="nil"/>
            </w:tcBorders>
            <w:shd w:val="clear" w:color="auto" w:fill="auto"/>
            <w:noWrap/>
            <w:vAlign w:val="center"/>
            <w:hideMark/>
          </w:tcPr>
          <w:p w14:paraId="09F88DE2"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High VEGF group</w:t>
            </w:r>
          </w:p>
        </w:tc>
        <w:tc>
          <w:tcPr>
            <w:tcW w:w="789" w:type="pct"/>
            <w:tcBorders>
              <w:top w:val="nil"/>
              <w:left w:val="nil"/>
              <w:bottom w:val="nil"/>
              <w:right w:val="nil"/>
            </w:tcBorders>
            <w:shd w:val="clear" w:color="auto" w:fill="auto"/>
            <w:vAlign w:val="center"/>
            <w:hideMark/>
          </w:tcPr>
          <w:p w14:paraId="1F67D73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1.39 (0.97–2.00)</w:t>
            </w:r>
          </w:p>
        </w:tc>
        <w:tc>
          <w:tcPr>
            <w:tcW w:w="512" w:type="pct"/>
            <w:tcBorders>
              <w:top w:val="nil"/>
              <w:left w:val="nil"/>
              <w:bottom w:val="nil"/>
              <w:right w:val="nil"/>
            </w:tcBorders>
            <w:shd w:val="clear" w:color="auto" w:fill="auto"/>
            <w:vAlign w:val="center"/>
            <w:hideMark/>
          </w:tcPr>
          <w:p w14:paraId="6DB92B9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0.07</w:t>
            </w:r>
          </w:p>
        </w:tc>
        <w:tc>
          <w:tcPr>
            <w:tcW w:w="789" w:type="pct"/>
            <w:tcBorders>
              <w:top w:val="nil"/>
              <w:left w:val="nil"/>
              <w:bottom w:val="nil"/>
              <w:right w:val="nil"/>
            </w:tcBorders>
            <w:shd w:val="clear" w:color="auto" w:fill="auto"/>
            <w:vAlign w:val="center"/>
            <w:hideMark/>
          </w:tcPr>
          <w:p w14:paraId="73C9C69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0.80 (0.33–1.98)</w:t>
            </w:r>
          </w:p>
        </w:tc>
        <w:tc>
          <w:tcPr>
            <w:tcW w:w="512" w:type="pct"/>
            <w:tcBorders>
              <w:top w:val="nil"/>
              <w:left w:val="nil"/>
              <w:bottom w:val="nil"/>
              <w:right w:val="nil"/>
            </w:tcBorders>
            <w:shd w:val="clear" w:color="auto" w:fill="auto"/>
            <w:vAlign w:val="center"/>
            <w:hideMark/>
          </w:tcPr>
          <w:p w14:paraId="1ED4C2E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0.63</w:t>
            </w:r>
          </w:p>
        </w:tc>
      </w:tr>
      <w:tr w:rsidR="002A7C4A" w:rsidRPr="0021268C" w14:paraId="4979B994" w14:textId="77777777" w:rsidTr="002A7C4A">
        <w:trPr>
          <w:trHeight w:val="945"/>
        </w:trPr>
        <w:tc>
          <w:tcPr>
            <w:tcW w:w="2398" w:type="pct"/>
            <w:tcBorders>
              <w:top w:val="nil"/>
              <w:left w:val="nil"/>
              <w:bottom w:val="nil"/>
              <w:right w:val="nil"/>
            </w:tcBorders>
            <w:shd w:val="clear" w:color="auto" w:fill="auto"/>
            <w:noWrap/>
            <w:vAlign w:val="center"/>
            <w:hideMark/>
          </w:tcPr>
          <w:p w14:paraId="15E10EDD"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Ang-2/Ang-1 ratio</w:t>
            </w:r>
          </w:p>
        </w:tc>
        <w:tc>
          <w:tcPr>
            <w:tcW w:w="789" w:type="pct"/>
            <w:tcBorders>
              <w:top w:val="nil"/>
              <w:left w:val="nil"/>
              <w:bottom w:val="nil"/>
              <w:right w:val="nil"/>
            </w:tcBorders>
            <w:shd w:val="clear" w:color="auto" w:fill="auto"/>
            <w:vAlign w:val="center"/>
            <w:hideMark/>
          </w:tcPr>
          <w:p w14:paraId="7603F51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1.02 (0.94–1.06)</w:t>
            </w:r>
          </w:p>
        </w:tc>
        <w:tc>
          <w:tcPr>
            <w:tcW w:w="512" w:type="pct"/>
            <w:tcBorders>
              <w:top w:val="nil"/>
              <w:left w:val="nil"/>
              <w:bottom w:val="nil"/>
              <w:right w:val="nil"/>
            </w:tcBorders>
            <w:shd w:val="clear" w:color="auto" w:fill="auto"/>
            <w:vAlign w:val="center"/>
            <w:hideMark/>
          </w:tcPr>
          <w:p w14:paraId="10DE9E7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0.26</w:t>
            </w:r>
          </w:p>
        </w:tc>
        <w:tc>
          <w:tcPr>
            <w:tcW w:w="789" w:type="pct"/>
            <w:tcBorders>
              <w:top w:val="nil"/>
              <w:left w:val="nil"/>
              <w:bottom w:val="nil"/>
              <w:right w:val="nil"/>
            </w:tcBorders>
            <w:shd w:val="clear" w:color="auto" w:fill="auto"/>
            <w:vAlign w:val="center"/>
            <w:hideMark/>
          </w:tcPr>
          <w:p w14:paraId="47731C8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512" w:type="pct"/>
            <w:tcBorders>
              <w:top w:val="nil"/>
              <w:left w:val="nil"/>
              <w:bottom w:val="nil"/>
              <w:right w:val="nil"/>
            </w:tcBorders>
            <w:shd w:val="clear" w:color="auto" w:fill="auto"/>
            <w:vAlign w:val="center"/>
            <w:hideMark/>
          </w:tcPr>
          <w:p w14:paraId="2619DE8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3BB755E9" w14:textId="77777777" w:rsidTr="002A7C4A">
        <w:trPr>
          <w:trHeight w:val="945"/>
        </w:trPr>
        <w:tc>
          <w:tcPr>
            <w:tcW w:w="2398" w:type="pct"/>
            <w:tcBorders>
              <w:top w:val="nil"/>
              <w:left w:val="nil"/>
              <w:bottom w:val="nil"/>
              <w:right w:val="nil"/>
            </w:tcBorders>
            <w:shd w:val="clear" w:color="auto" w:fill="auto"/>
            <w:noWrap/>
            <w:vAlign w:val="center"/>
            <w:hideMark/>
          </w:tcPr>
          <w:p w14:paraId="5DD13DE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AFP (≥ 20 ng/mL)</w:t>
            </w:r>
          </w:p>
        </w:tc>
        <w:tc>
          <w:tcPr>
            <w:tcW w:w="789" w:type="pct"/>
            <w:tcBorders>
              <w:top w:val="nil"/>
              <w:left w:val="nil"/>
              <w:bottom w:val="nil"/>
              <w:right w:val="nil"/>
            </w:tcBorders>
            <w:shd w:val="clear" w:color="auto" w:fill="auto"/>
            <w:vAlign w:val="center"/>
            <w:hideMark/>
          </w:tcPr>
          <w:p w14:paraId="3F3FB5C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2.97 (2.02–4.37)</w:t>
            </w:r>
          </w:p>
        </w:tc>
        <w:tc>
          <w:tcPr>
            <w:tcW w:w="512" w:type="pct"/>
            <w:tcBorders>
              <w:top w:val="nil"/>
              <w:left w:val="nil"/>
              <w:bottom w:val="nil"/>
              <w:right w:val="nil"/>
            </w:tcBorders>
            <w:shd w:val="clear" w:color="auto" w:fill="auto"/>
            <w:vAlign w:val="center"/>
            <w:hideMark/>
          </w:tcPr>
          <w:p w14:paraId="0A2D99B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c>
          <w:tcPr>
            <w:tcW w:w="789" w:type="pct"/>
            <w:tcBorders>
              <w:top w:val="nil"/>
              <w:left w:val="nil"/>
              <w:bottom w:val="nil"/>
              <w:right w:val="nil"/>
            </w:tcBorders>
            <w:shd w:val="clear" w:color="auto" w:fill="auto"/>
            <w:vAlign w:val="center"/>
            <w:hideMark/>
          </w:tcPr>
          <w:p w14:paraId="126ED61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2.63 (0.85–8.09)</w:t>
            </w:r>
          </w:p>
        </w:tc>
        <w:tc>
          <w:tcPr>
            <w:tcW w:w="512" w:type="pct"/>
            <w:tcBorders>
              <w:top w:val="nil"/>
              <w:left w:val="nil"/>
              <w:bottom w:val="nil"/>
              <w:right w:val="nil"/>
            </w:tcBorders>
            <w:shd w:val="clear" w:color="auto" w:fill="auto"/>
            <w:vAlign w:val="center"/>
            <w:hideMark/>
          </w:tcPr>
          <w:p w14:paraId="4117738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0.09</w:t>
            </w:r>
          </w:p>
        </w:tc>
      </w:tr>
      <w:tr w:rsidR="002A7C4A" w:rsidRPr="0021268C" w14:paraId="12EDED05" w14:textId="77777777" w:rsidTr="002A7C4A">
        <w:trPr>
          <w:trHeight w:val="630"/>
        </w:trPr>
        <w:tc>
          <w:tcPr>
            <w:tcW w:w="2398" w:type="pct"/>
            <w:tcBorders>
              <w:top w:val="nil"/>
              <w:left w:val="nil"/>
              <w:bottom w:val="nil"/>
              <w:right w:val="nil"/>
            </w:tcBorders>
            <w:shd w:val="clear" w:color="auto" w:fill="auto"/>
            <w:noWrap/>
            <w:vAlign w:val="center"/>
            <w:hideMark/>
          </w:tcPr>
          <w:p w14:paraId="0367A603"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Age</w:t>
            </w:r>
          </w:p>
        </w:tc>
        <w:tc>
          <w:tcPr>
            <w:tcW w:w="789" w:type="pct"/>
            <w:tcBorders>
              <w:top w:val="nil"/>
              <w:left w:val="nil"/>
              <w:bottom w:val="nil"/>
              <w:right w:val="nil"/>
            </w:tcBorders>
            <w:shd w:val="clear" w:color="auto" w:fill="auto"/>
            <w:vAlign w:val="center"/>
            <w:hideMark/>
          </w:tcPr>
          <w:p w14:paraId="3A5876D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1.00 (0.98–1.02)</w:t>
            </w:r>
          </w:p>
        </w:tc>
        <w:tc>
          <w:tcPr>
            <w:tcW w:w="512" w:type="pct"/>
            <w:tcBorders>
              <w:top w:val="nil"/>
              <w:left w:val="nil"/>
              <w:bottom w:val="nil"/>
              <w:right w:val="nil"/>
            </w:tcBorders>
            <w:shd w:val="clear" w:color="auto" w:fill="auto"/>
            <w:vAlign w:val="center"/>
            <w:hideMark/>
          </w:tcPr>
          <w:p w14:paraId="6ED2EC77"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0.93</w:t>
            </w:r>
          </w:p>
        </w:tc>
        <w:tc>
          <w:tcPr>
            <w:tcW w:w="789" w:type="pct"/>
            <w:tcBorders>
              <w:top w:val="nil"/>
              <w:left w:val="nil"/>
              <w:bottom w:val="nil"/>
              <w:right w:val="nil"/>
            </w:tcBorders>
            <w:shd w:val="clear" w:color="auto" w:fill="auto"/>
            <w:vAlign w:val="center"/>
            <w:hideMark/>
          </w:tcPr>
          <w:p w14:paraId="2CC6887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512" w:type="pct"/>
            <w:tcBorders>
              <w:top w:val="nil"/>
              <w:left w:val="nil"/>
              <w:bottom w:val="nil"/>
              <w:right w:val="nil"/>
            </w:tcBorders>
            <w:shd w:val="clear" w:color="auto" w:fill="auto"/>
            <w:vAlign w:val="center"/>
            <w:hideMark/>
          </w:tcPr>
          <w:p w14:paraId="576D3097"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01BCD87F" w14:textId="77777777" w:rsidTr="002A7C4A">
        <w:trPr>
          <w:trHeight w:val="630"/>
        </w:trPr>
        <w:tc>
          <w:tcPr>
            <w:tcW w:w="2398" w:type="pct"/>
            <w:tcBorders>
              <w:top w:val="nil"/>
              <w:left w:val="nil"/>
              <w:bottom w:val="nil"/>
              <w:right w:val="nil"/>
            </w:tcBorders>
            <w:shd w:val="clear" w:color="auto" w:fill="auto"/>
            <w:noWrap/>
            <w:vAlign w:val="center"/>
            <w:hideMark/>
          </w:tcPr>
          <w:p w14:paraId="4CAA9C5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Male sex</w:t>
            </w:r>
          </w:p>
        </w:tc>
        <w:tc>
          <w:tcPr>
            <w:tcW w:w="789" w:type="pct"/>
            <w:tcBorders>
              <w:top w:val="nil"/>
              <w:left w:val="nil"/>
              <w:bottom w:val="nil"/>
              <w:right w:val="nil"/>
            </w:tcBorders>
            <w:shd w:val="clear" w:color="auto" w:fill="auto"/>
            <w:vAlign w:val="center"/>
            <w:hideMark/>
          </w:tcPr>
          <w:p w14:paraId="483C0F3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1.05 (0.68–1.64)</w:t>
            </w:r>
          </w:p>
        </w:tc>
        <w:tc>
          <w:tcPr>
            <w:tcW w:w="512" w:type="pct"/>
            <w:tcBorders>
              <w:top w:val="nil"/>
              <w:left w:val="nil"/>
              <w:bottom w:val="nil"/>
              <w:right w:val="nil"/>
            </w:tcBorders>
            <w:shd w:val="clear" w:color="auto" w:fill="auto"/>
            <w:vAlign w:val="center"/>
            <w:hideMark/>
          </w:tcPr>
          <w:p w14:paraId="4321975D"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0.82</w:t>
            </w:r>
          </w:p>
        </w:tc>
        <w:tc>
          <w:tcPr>
            <w:tcW w:w="789" w:type="pct"/>
            <w:tcBorders>
              <w:top w:val="nil"/>
              <w:left w:val="nil"/>
              <w:bottom w:val="nil"/>
              <w:right w:val="nil"/>
            </w:tcBorders>
            <w:shd w:val="clear" w:color="auto" w:fill="auto"/>
            <w:vAlign w:val="center"/>
            <w:hideMark/>
          </w:tcPr>
          <w:p w14:paraId="7AB89C7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512" w:type="pct"/>
            <w:tcBorders>
              <w:top w:val="nil"/>
              <w:left w:val="nil"/>
              <w:bottom w:val="nil"/>
              <w:right w:val="nil"/>
            </w:tcBorders>
            <w:shd w:val="clear" w:color="auto" w:fill="auto"/>
            <w:vAlign w:val="center"/>
            <w:hideMark/>
          </w:tcPr>
          <w:p w14:paraId="17570DE5"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12BC637E" w14:textId="77777777" w:rsidTr="002A7C4A">
        <w:trPr>
          <w:trHeight w:val="690"/>
        </w:trPr>
        <w:tc>
          <w:tcPr>
            <w:tcW w:w="2398" w:type="pct"/>
            <w:tcBorders>
              <w:top w:val="nil"/>
              <w:left w:val="nil"/>
              <w:bottom w:val="nil"/>
              <w:right w:val="nil"/>
            </w:tcBorders>
            <w:shd w:val="clear" w:color="auto" w:fill="auto"/>
            <w:noWrap/>
            <w:vAlign w:val="center"/>
            <w:hideMark/>
          </w:tcPr>
          <w:p w14:paraId="44CA2C7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lastRenderedPageBreak/>
              <w:t>BMI &gt; 25 mg/m</w:t>
            </w:r>
            <w:r w:rsidRPr="0021268C">
              <w:rPr>
                <w:rFonts w:ascii="Book Antiqua" w:eastAsia="等线" w:hAnsi="Book Antiqua" w:cs="宋体"/>
                <w:color w:val="000000"/>
                <w:vertAlign w:val="superscript"/>
                <w:lang w:eastAsia="zh-CN"/>
              </w:rPr>
              <w:t>2</w:t>
            </w:r>
          </w:p>
        </w:tc>
        <w:tc>
          <w:tcPr>
            <w:tcW w:w="789" w:type="pct"/>
            <w:tcBorders>
              <w:top w:val="nil"/>
              <w:left w:val="nil"/>
              <w:bottom w:val="nil"/>
              <w:right w:val="nil"/>
            </w:tcBorders>
            <w:shd w:val="clear" w:color="auto" w:fill="auto"/>
            <w:vAlign w:val="center"/>
            <w:hideMark/>
          </w:tcPr>
          <w:p w14:paraId="1B19CBF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0.70 (0.47–1.03)</w:t>
            </w:r>
          </w:p>
        </w:tc>
        <w:tc>
          <w:tcPr>
            <w:tcW w:w="512" w:type="pct"/>
            <w:tcBorders>
              <w:top w:val="nil"/>
              <w:left w:val="nil"/>
              <w:bottom w:val="nil"/>
              <w:right w:val="nil"/>
            </w:tcBorders>
            <w:shd w:val="clear" w:color="auto" w:fill="auto"/>
            <w:vAlign w:val="center"/>
            <w:hideMark/>
          </w:tcPr>
          <w:p w14:paraId="47B3C78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0.07</w:t>
            </w:r>
          </w:p>
        </w:tc>
        <w:tc>
          <w:tcPr>
            <w:tcW w:w="789" w:type="pct"/>
            <w:tcBorders>
              <w:top w:val="nil"/>
              <w:left w:val="nil"/>
              <w:bottom w:val="nil"/>
              <w:right w:val="nil"/>
            </w:tcBorders>
            <w:shd w:val="clear" w:color="auto" w:fill="auto"/>
            <w:vAlign w:val="center"/>
            <w:hideMark/>
          </w:tcPr>
          <w:p w14:paraId="56FA9AB3"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512" w:type="pct"/>
            <w:tcBorders>
              <w:top w:val="nil"/>
              <w:left w:val="nil"/>
              <w:bottom w:val="nil"/>
              <w:right w:val="nil"/>
            </w:tcBorders>
            <w:shd w:val="clear" w:color="auto" w:fill="auto"/>
            <w:vAlign w:val="center"/>
            <w:hideMark/>
          </w:tcPr>
          <w:p w14:paraId="670DAD4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4AD668ED" w14:textId="77777777" w:rsidTr="002A7C4A">
        <w:trPr>
          <w:trHeight w:val="945"/>
        </w:trPr>
        <w:tc>
          <w:tcPr>
            <w:tcW w:w="2398" w:type="pct"/>
            <w:tcBorders>
              <w:top w:val="nil"/>
              <w:left w:val="nil"/>
              <w:bottom w:val="nil"/>
              <w:right w:val="nil"/>
            </w:tcBorders>
            <w:shd w:val="clear" w:color="auto" w:fill="auto"/>
            <w:noWrap/>
            <w:vAlign w:val="center"/>
            <w:hideMark/>
          </w:tcPr>
          <w:p w14:paraId="60419A2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Presence of cirrhosis</w:t>
            </w:r>
          </w:p>
        </w:tc>
        <w:tc>
          <w:tcPr>
            <w:tcW w:w="789" w:type="pct"/>
            <w:tcBorders>
              <w:top w:val="nil"/>
              <w:left w:val="nil"/>
              <w:bottom w:val="nil"/>
              <w:right w:val="nil"/>
            </w:tcBorders>
            <w:shd w:val="clear" w:color="auto" w:fill="auto"/>
            <w:vAlign w:val="center"/>
            <w:hideMark/>
          </w:tcPr>
          <w:p w14:paraId="4FC4ECD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1.02 (0.67–1.57)</w:t>
            </w:r>
          </w:p>
        </w:tc>
        <w:tc>
          <w:tcPr>
            <w:tcW w:w="512" w:type="pct"/>
            <w:tcBorders>
              <w:top w:val="nil"/>
              <w:left w:val="nil"/>
              <w:bottom w:val="nil"/>
              <w:right w:val="nil"/>
            </w:tcBorders>
            <w:shd w:val="clear" w:color="auto" w:fill="auto"/>
            <w:vAlign w:val="center"/>
            <w:hideMark/>
          </w:tcPr>
          <w:p w14:paraId="50BFDAC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0.92</w:t>
            </w:r>
          </w:p>
        </w:tc>
        <w:tc>
          <w:tcPr>
            <w:tcW w:w="789" w:type="pct"/>
            <w:tcBorders>
              <w:top w:val="nil"/>
              <w:left w:val="nil"/>
              <w:bottom w:val="nil"/>
              <w:right w:val="nil"/>
            </w:tcBorders>
            <w:shd w:val="clear" w:color="auto" w:fill="auto"/>
            <w:vAlign w:val="center"/>
            <w:hideMark/>
          </w:tcPr>
          <w:p w14:paraId="6B393E9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512" w:type="pct"/>
            <w:tcBorders>
              <w:top w:val="nil"/>
              <w:left w:val="nil"/>
              <w:bottom w:val="nil"/>
              <w:right w:val="nil"/>
            </w:tcBorders>
            <w:shd w:val="clear" w:color="auto" w:fill="auto"/>
            <w:vAlign w:val="center"/>
            <w:hideMark/>
          </w:tcPr>
          <w:p w14:paraId="0E22099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262C0DA4" w14:textId="77777777" w:rsidTr="002A7C4A">
        <w:trPr>
          <w:trHeight w:val="1260"/>
        </w:trPr>
        <w:tc>
          <w:tcPr>
            <w:tcW w:w="2398" w:type="pct"/>
            <w:tcBorders>
              <w:top w:val="nil"/>
              <w:left w:val="nil"/>
              <w:bottom w:val="nil"/>
              <w:right w:val="nil"/>
            </w:tcBorders>
            <w:shd w:val="clear" w:color="auto" w:fill="auto"/>
            <w:noWrap/>
            <w:vAlign w:val="center"/>
            <w:hideMark/>
          </w:tcPr>
          <w:p w14:paraId="1E84371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Child-Pugh class B or C</w:t>
            </w:r>
          </w:p>
        </w:tc>
        <w:tc>
          <w:tcPr>
            <w:tcW w:w="789" w:type="pct"/>
            <w:tcBorders>
              <w:top w:val="nil"/>
              <w:left w:val="nil"/>
              <w:bottom w:val="nil"/>
              <w:right w:val="nil"/>
            </w:tcBorders>
            <w:shd w:val="clear" w:color="auto" w:fill="auto"/>
            <w:vAlign w:val="center"/>
            <w:hideMark/>
          </w:tcPr>
          <w:p w14:paraId="51427C3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3.68 (2.42–5.58)</w:t>
            </w:r>
          </w:p>
        </w:tc>
        <w:tc>
          <w:tcPr>
            <w:tcW w:w="512" w:type="pct"/>
            <w:tcBorders>
              <w:top w:val="nil"/>
              <w:left w:val="nil"/>
              <w:bottom w:val="nil"/>
              <w:right w:val="nil"/>
            </w:tcBorders>
            <w:shd w:val="clear" w:color="auto" w:fill="auto"/>
            <w:vAlign w:val="center"/>
            <w:hideMark/>
          </w:tcPr>
          <w:p w14:paraId="7EA53F45"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c>
          <w:tcPr>
            <w:tcW w:w="789" w:type="pct"/>
            <w:tcBorders>
              <w:top w:val="nil"/>
              <w:left w:val="nil"/>
              <w:bottom w:val="nil"/>
              <w:right w:val="nil"/>
            </w:tcBorders>
            <w:shd w:val="clear" w:color="auto" w:fill="auto"/>
            <w:vAlign w:val="center"/>
            <w:hideMark/>
          </w:tcPr>
          <w:p w14:paraId="247937B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5.59 (2.44–12.81)</w:t>
            </w:r>
          </w:p>
        </w:tc>
        <w:tc>
          <w:tcPr>
            <w:tcW w:w="512" w:type="pct"/>
            <w:tcBorders>
              <w:top w:val="nil"/>
              <w:left w:val="nil"/>
              <w:bottom w:val="nil"/>
              <w:right w:val="nil"/>
            </w:tcBorders>
            <w:shd w:val="clear" w:color="auto" w:fill="auto"/>
            <w:vAlign w:val="center"/>
            <w:hideMark/>
          </w:tcPr>
          <w:p w14:paraId="595B7F3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r>
      <w:tr w:rsidR="002A7C4A" w:rsidRPr="0021268C" w14:paraId="1199C634" w14:textId="77777777" w:rsidTr="002A7C4A">
        <w:trPr>
          <w:trHeight w:val="630"/>
        </w:trPr>
        <w:tc>
          <w:tcPr>
            <w:tcW w:w="2398" w:type="pct"/>
            <w:tcBorders>
              <w:top w:val="nil"/>
              <w:left w:val="nil"/>
              <w:bottom w:val="nil"/>
              <w:right w:val="nil"/>
            </w:tcBorders>
            <w:shd w:val="clear" w:color="auto" w:fill="auto"/>
            <w:noWrap/>
            <w:vAlign w:val="center"/>
            <w:hideMark/>
          </w:tcPr>
          <w:p w14:paraId="031409F3"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NLR</w:t>
            </w:r>
          </w:p>
        </w:tc>
        <w:tc>
          <w:tcPr>
            <w:tcW w:w="789" w:type="pct"/>
            <w:tcBorders>
              <w:top w:val="nil"/>
              <w:left w:val="nil"/>
              <w:bottom w:val="nil"/>
              <w:right w:val="nil"/>
            </w:tcBorders>
            <w:shd w:val="clear" w:color="auto" w:fill="auto"/>
            <w:vAlign w:val="center"/>
            <w:hideMark/>
          </w:tcPr>
          <w:p w14:paraId="32CE59B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3.24 (1.49–7.06)</w:t>
            </w:r>
          </w:p>
        </w:tc>
        <w:tc>
          <w:tcPr>
            <w:tcW w:w="512" w:type="pct"/>
            <w:tcBorders>
              <w:top w:val="nil"/>
              <w:left w:val="nil"/>
              <w:bottom w:val="nil"/>
              <w:right w:val="nil"/>
            </w:tcBorders>
            <w:shd w:val="clear" w:color="auto" w:fill="auto"/>
            <w:vAlign w:val="center"/>
            <w:hideMark/>
          </w:tcPr>
          <w:p w14:paraId="3153877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0.003</w:t>
            </w:r>
          </w:p>
        </w:tc>
        <w:tc>
          <w:tcPr>
            <w:tcW w:w="789" w:type="pct"/>
            <w:tcBorders>
              <w:top w:val="nil"/>
              <w:left w:val="nil"/>
              <w:bottom w:val="nil"/>
              <w:right w:val="nil"/>
            </w:tcBorders>
            <w:shd w:val="clear" w:color="auto" w:fill="auto"/>
            <w:vAlign w:val="center"/>
            <w:hideMark/>
          </w:tcPr>
          <w:p w14:paraId="6C7F9DA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4.45 (1.77–11.23)</w:t>
            </w:r>
          </w:p>
        </w:tc>
        <w:tc>
          <w:tcPr>
            <w:tcW w:w="512" w:type="pct"/>
            <w:tcBorders>
              <w:top w:val="nil"/>
              <w:left w:val="nil"/>
              <w:bottom w:val="nil"/>
              <w:right w:val="nil"/>
            </w:tcBorders>
            <w:shd w:val="clear" w:color="auto" w:fill="auto"/>
            <w:vAlign w:val="center"/>
            <w:hideMark/>
          </w:tcPr>
          <w:p w14:paraId="76CF812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0.002</w:t>
            </w:r>
          </w:p>
        </w:tc>
      </w:tr>
      <w:tr w:rsidR="002A7C4A" w:rsidRPr="0021268C" w14:paraId="23514468" w14:textId="77777777" w:rsidTr="002A7C4A">
        <w:trPr>
          <w:trHeight w:val="630"/>
        </w:trPr>
        <w:tc>
          <w:tcPr>
            <w:tcW w:w="2398" w:type="pct"/>
            <w:tcBorders>
              <w:top w:val="nil"/>
              <w:left w:val="nil"/>
              <w:bottom w:val="nil"/>
              <w:right w:val="nil"/>
            </w:tcBorders>
            <w:shd w:val="clear" w:color="auto" w:fill="auto"/>
            <w:noWrap/>
            <w:vAlign w:val="center"/>
            <w:hideMark/>
          </w:tcPr>
          <w:p w14:paraId="53556C11"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PLR</w:t>
            </w:r>
          </w:p>
        </w:tc>
        <w:tc>
          <w:tcPr>
            <w:tcW w:w="789" w:type="pct"/>
            <w:tcBorders>
              <w:top w:val="nil"/>
              <w:left w:val="nil"/>
              <w:bottom w:val="nil"/>
              <w:right w:val="nil"/>
            </w:tcBorders>
            <w:shd w:val="clear" w:color="auto" w:fill="auto"/>
            <w:vAlign w:val="center"/>
            <w:hideMark/>
          </w:tcPr>
          <w:p w14:paraId="0F1FA457"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2.68 (1.26–5.70)</w:t>
            </w:r>
          </w:p>
        </w:tc>
        <w:tc>
          <w:tcPr>
            <w:tcW w:w="512" w:type="pct"/>
            <w:tcBorders>
              <w:top w:val="nil"/>
              <w:left w:val="nil"/>
              <w:bottom w:val="nil"/>
              <w:right w:val="nil"/>
            </w:tcBorders>
            <w:shd w:val="clear" w:color="auto" w:fill="auto"/>
            <w:vAlign w:val="center"/>
            <w:hideMark/>
          </w:tcPr>
          <w:p w14:paraId="4BF0611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0.01</w:t>
            </w:r>
          </w:p>
        </w:tc>
        <w:tc>
          <w:tcPr>
            <w:tcW w:w="789" w:type="pct"/>
            <w:tcBorders>
              <w:top w:val="nil"/>
              <w:left w:val="nil"/>
              <w:bottom w:val="nil"/>
              <w:right w:val="nil"/>
            </w:tcBorders>
            <w:shd w:val="clear" w:color="auto" w:fill="auto"/>
            <w:vAlign w:val="center"/>
            <w:hideMark/>
          </w:tcPr>
          <w:p w14:paraId="5FCA88A0"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0.56 (0.24–1.33)</w:t>
            </w:r>
          </w:p>
        </w:tc>
        <w:tc>
          <w:tcPr>
            <w:tcW w:w="512" w:type="pct"/>
            <w:tcBorders>
              <w:top w:val="nil"/>
              <w:left w:val="nil"/>
              <w:bottom w:val="nil"/>
              <w:right w:val="nil"/>
            </w:tcBorders>
            <w:shd w:val="clear" w:color="auto" w:fill="auto"/>
            <w:vAlign w:val="center"/>
            <w:hideMark/>
          </w:tcPr>
          <w:p w14:paraId="77E83BF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0.19</w:t>
            </w:r>
          </w:p>
        </w:tc>
      </w:tr>
      <w:tr w:rsidR="002A7C4A" w:rsidRPr="0021268C" w14:paraId="7C6937B3" w14:textId="77777777" w:rsidTr="002A7C4A">
        <w:trPr>
          <w:trHeight w:val="630"/>
        </w:trPr>
        <w:tc>
          <w:tcPr>
            <w:tcW w:w="2398" w:type="pct"/>
            <w:tcBorders>
              <w:top w:val="nil"/>
              <w:left w:val="nil"/>
              <w:bottom w:val="nil"/>
              <w:right w:val="nil"/>
            </w:tcBorders>
            <w:shd w:val="clear" w:color="auto" w:fill="auto"/>
            <w:noWrap/>
            <w:vAlign w:val="center"/>
            <w:hideMark/>
          </w:tcPr>
          <w:p w14:paraId="7FB9FCF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TNM stage</w:t>
            </w:r>
          </w:p>
        </w:tc>
        <w:tc>
          <w:tcPr>
            <w:tcW w:w="789" w:type="pct"/>
            <w:tcBorders>
              <w:top w:val="nil"/>
              <w:left w:val="nil"/>
              <w:bottom w:val="nil"/>
              <w:right w:val="nil"/>
            </w:tcBorders>
            <w:shd w:val="clear" w:color="auto" w:fill="auto"/>
            <w:vAlign w:val="center"/>
            <w:hideMark/>
          </w:tcPr>
          <w:p w14:paraId="1D2A1F2B" w14:textId="77777777" w:rsidR="002A7C4A" w:rsidRPr="0021268C" w:rsidRDefault="002A7C4A" w:rsidP="002A7C4A">
            <w:pPr>
              <w:jc w:val="both"/>
              <w:rPr>
                <w:rFonts w:ascii="Book Antiqua" w:eastAsia="等线" w:hAnsi="Book Antiqua" w:cs="宋体"/>
                <w:color w:val="000000"/>
                <w:lang w:eastAsia="zh-CN"/>
              </w:rPr>
            </w:pPr>
          </w:p>
        </w:tc>
        <w:tc>
          <w:tcPr>
            <w:tcW w:w="512" w:type="pct"/>
            <w:tcBorders>
              <w:top w:val="nil"/>
              <w:left w:val="nil"/>
              <w:bottom w:val="nil"/>
              <w:right w:val="nil"/>
            </w:tcBorders>
            <w:shd w:val="clear" w:color="auto" w:fill="auto"/>
            <w:vAlign w:val="center"/>
            <w:hideMark/>
          </w:tcPr>
          <w:p w14:paraId="73FA7847" w14:textId="77777777" w:rsidR="002A7C4A" w:rsidRPr="0021268C" w:rsidRDefault="002A7C4A" w:rsidP="002A7C4A">
            <w:pPr>
              <w:jc w:val="both"/>
              <w:rPr>
                <w:rFonts w:eastAsia="Times New Roman"/>
                <w:sz w:val="20"/>
                <w:szCs w:val="20"/>
                <w:lang w:eastAsia="zh-CN"/>
              </w:rPr>
            </w:pPr>
          </w:p>
        </w:tc>
        <w:tc>
          <w:tcPr>
            <w:tcW w:w="789" w:type="pct"/>
            <w:tcBorders>
              <w:top w:val="nil"/>
              <w:left w:val="nil"/>
              <w:bottom w:val="nil"/>
              <w:right w:val="nil"/>
            </w:tcBorders>
            <w:shd w:val="clear" w:color="auto" w:fill="auto"/>
            <w:vAlign w:val="center"/>
            <w:hideMark/>
          </w:tcPr>
          <w:p w14:paraId="6AE53CD1" w14:textId="77777777" w:rsidR="002A7C4A" w:rsidRPr="0021268C" w:rsidRDefault="002A7C4A" w:rsidP="002A7C4A">
            <w:pPr>
              <w:jc w:val="both"/>
              <w:rPr>
                <w:rFonts w:eastAsia="Times New Roman"/>
                <w:sz w:val="20"/>
                <w:szCs w:val="20"/>
                <w:lang w:eastAsia="zh-CN"/>
              </w:rPr>
            </w:pPr>
          </w:p>
        </w:tc>
        <w:tc>
          <w:tcPr>
            <w:tcW w:w="512" w:type="pct"/>
            <w:tcBorders>
              <w:top w:val="nil"/>
              <w:left w:val="nil"/>
              <w:bottom w:val="nil"/>
              <w:right w:val="nil"/>
            </w:tcBorders>
            <w:shd w:val="clear" w:color="auto" w:fill="auto"/>
            <w:vAlign w:val="center"/>
            <w:hideMark/>
          </w:tcPr>
          <w:p w14:paraId="775B1608" w14:textId="77777777" w:rsidR="002A7C4A" w:rsidRPr="0021268C" w:rsidRDefault="002A7C4A" w:rsidP="002A7C4A">
            <w:pPr>
              <w:jc w:val="both"/>
              <w:rPr>
                <w:rFonts w:eastAsia="Times New Roman"/>
                <w:sz w:val="20"/>
                <w:szCs w:val="20"/>
                <w:lang w:eastAsia="zh-CN"/>
              </w:rPr>
            </w:pPr>
          </w:p>
        </w:tc>
      </w:tr>
      <w:tr w:rsidR="002A7C4A" w:rsidRPr="0021268C" w14:paraId="3F010C0D" w14:textId="77777777" w:rsidTr="002A7C4A">
        <w:trPr>
          <w:trHeight w:val="630"/>
        </w:trPr>
        <w:tc>
          <w:tcPr>
            <w:tcW w:w="2398" w:type="pct"/>
            <w:tcBorders>
              <w:top w:val="nil"/>
              <w:left w:val="nil"/>
              <w:bottom w:val="nil"/>
              <w:right w:val="nil"/>
            </w:tcBorders>
            <w:shd w:val="clear" w:color="auto" w:fill="auto"/>
            <w:noWrap/>
            <w:vAlign w:val="center"/>
            <w:hideMark/>
          </w:tcPr>
          <w:p w14:paraId="6B8AC58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I</w:t>
            </w:r>
          </w:p>
        </w:tc>
        <w:tc>
          <w:tcPr>
            <w:tcW w:w="789" w:type="pct"/>
            <w:tcBorders>
              <w:top w:val="nil"/>
              <w:left w:val="nil"/>
              <w:bottom w:val="nil"/>
              <w:right w:val="nil"/>
            </w:tcBorders>
            <w:shd w:val="clear" w:color="auto" w:fill="auto"/>
            <w:vAlign w:val="center"/>
            <w:hideMark/>
          </w:tcPr>
          <w:p w14:paraId="45C90E2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4D31ECD4"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c>
          <w:tcPr>
            <w:tcW w:w="789" w:type="pct"/>
            <w:tcBorders>
              <w:top w:val="nil"/>
              <w:left w:val="nil"/>
              <w:bottom w:val="nil"/>
              <w:right w:val="nil"/>
            </w:tcBorders>
            <w:shd w:val="clear" w:color="auto" w:fill="auto"/>
            <w:vAlign w:val="center"/>
            <w:hideMark/>
          </w:tcPr>
          <w:p w14:paraId="0F574CF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Reference</w:t>
            </w:r>
          </w:p>
        </w:tc>
        <w:tc>
          <w:tcPr>
            <w:tcW w:w="512" w:type="pct"/>
            <w:tcBorders>
              <w:top w:val="nil"/>
              <w:left w:val="nil"/>
              <w:bottom w:val="nil"/>
              <w:right w:val="nil"/>
            </w:tcBorders>
            <w:shd w:val="clear" w:color="auto" w:fill="auto"/>
            <w:vAlign w:val="center"/>
            <w:hideMark/>
          </w:tcPr>
          <w:p w14:paraId="23318D28"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w:t>
            </w:r>
          </w:p>
        </w:tc>
      </w:tr>
      <w:tr w:rsidR="002A7C4A" w:rsidRPr="0021268C" w14:paraId="48A49FA2" w14:textId="77777777" w:rsidTr="002A7C4A">
        <w:trPr>
          <w:trHeight w:val="630"/>
        </w:trPr>
        <w:tc>
          <w:tcPr>
            <w:tcW w:w="2398" w:type="pct"/>
            <w:tcBorders>
              <w:top w:val="nil"/>
              <w:left w:val="nil"/>
              <w:bottom w:val="nil"/>
              <w:right w:val="nil"/>
            </w:tcBorders>
            <w:shd w:val="clear" w:color="auto" w:fill="auto"/>
            <w:noWrap/>
            <w:vAlign w:val="center"/>
            <w:hideMark/>
          </w:tcPr>
          <w:p w14:paraId="2638245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II</w:t>
            </w:r>
          </w:p>
        </w:tc>
        <w:tc>
          <w:tcPr>
            <w:tcW w:w="789" w:type="pct"/>
            <w:tcBorders>
              <w:top w:val="nil"/>
              <w:left w:val="nil"/>
              <w:bottom w:val="nil"/>
              <w:right w:val="nil"/>
            </w:tcBorders>
            <w:shd w:val="clear" w:color="auto" w:fill="auto"/>
            <w:vAlign w:val="center"/>
            <w:hideMark/>
          </w:tcPr>
          <w:p w14:paraId="52D7F53A"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6.30 (1.15–34.42)</w:t>
            </w:r>
          </w:p>
        </w:tc>
        <w:tc>
          <w:tcPr>
            <w:tcW w:w="512" w:type="pct"/>
            <w:tcBorders>
              <w:top w:val="nil"/>
              <w:left w:val="nil"/>
              <w:bottom w:val="nil"/>
              <w:right w:val="nil"/>
            </w:tcBorders>
            <w:shd w:val="clear" w:color="auto" w:fill="auto"/>
            <w:vAlign w:val="center"/>
            <w:hideMark/>
          </w:tcPr>
          <w:p w14:paraId="41E78C0F"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0.03</w:t>
            </w:r>
          </w:p>
        </w:tc>
        <w:tc>
          <w:tcPr>
            <w:tcW w:w="789" w:type="pct"/>
            <w:tcBorders>
              <w:top w:val="nil"/>
              <w:left w:val="nil"/>
              <w:bottom w:val="nil"/>
              <w:right w:val="nil"/>
            </w:tcBorders>
            <w:shd w:val="clear" w:color="auto" w:fill="auto"/>
            <w:vAlign w:val="center"/>
            <w:hideMark/>
          </w:tcPr>
          <w:p w14:paraId="6AF4FB0E"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3.61 (0.62–21.08)</w:t>
            </w:r>
          </w:p>
        </w:tc>
        <w:tc>
          <w:tcPr>
            <w:tcW w:w="512" w:type="pct"/>
            <w:tcBorders>
              <w:top w:val="nil"/>
              <w:left w:val="nil"/>
              <w:bottom w:val="nil"/>
              <w:right w:val="nil"/>
            </w:tcBorders>
            <w:shd w:val="clear" w:color="auto" w:fill="auto"/>
            <w:vAlign w:val="center"/>
            <w:hideMark/>
          </w:tcPr>
          <w:p w14:paraId="53503F99"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0.15</w:t>
            </w:r>
          </w:p>
        </w:tc>
      </w:tr>
      <w:tr w:rsidR="002A7C4A" w:rsidRPr="0021268C" w14:paraId="701BA6C0" w14:textId="77777777" w:rsidTr="002A7C4A">
        <w:trPr>
          <w:trHeight w:val="945"/>
        </w:trPr>
        <w:tc>
          <w:tcPr>
            <w:tcW w:w="2398" w:type="pct"/>
            <w:tcBorders>
              <w:top w:val="nil"/>
              <w:left w:val="nil"/>
              <w:bottom w:val="nil"/>
              <w:right w:val="nil"/>
            </w:tcBorders>
            <w:shd w:val="clear" w:color="auto" w:fill="auto"/>
            <w:noWrap/>
            <w:vAlign w:val="center"/>
            <w:hideMark/>
          </w:tcPr>
          <w:p w14:paraId="6E8CD587"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 xml:space="preserve">III </w:t>
            </w:r>
          </w:p>
        </w:tc>
        <w:tc>
          <w:tcPr>
            <w:tcW w:w="789" w:type="pct"/>
            <w:tcBorders>
              <w:top w:val="nil"/>
              <w:left w:val="nil"/>
              <w:bottom w:val="nil"/>
              <w:right w:val="nil"/>
            </w:tcBorders>
            <w:shd w:val="clear" w:color="auto" w:fill="auto"/>
            <w:vAlign w:val="center"/>
            <w:hideMark/>
          </w:tcPr>
          <w:p w14:paraId="2BE8876B"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26.43 (6.01–116.24)</w:t>
            </w:r>
          </w:p>
        </w:tc>
        <w:tc>
          <w:tcPr>
            <w:tcW w:w="512" w:type="pct"/>
            <w:tcBorders>
              <w:top w:val="nil"/>
              <w:left w:val="nil"/>
              <w:bottom w:val="nil"/>
              <w:right w:val="nil"/>
            </w:tcBorders>
            <w:shd w:val="clear" w:color="auto" w:fill="auto"/>
            <w:vAlign w:val="center"/>
            <w:hideMark/>
          </w:tcPr>
          <w:p w14:paraId="129FD297"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c>
          <w:tcPr>
            <w:tcW w:w="789" w:type="pct"/>
            <w:tcBorders>
              <w:top w:val="nil"/>
              <w:left w:val="nil"/>
              <w:bottom w:val="nil"/>
              <w:right w:val="nil"/>
            </w:tcBorders>
            <w:shd w:val="clear" w:color="auto" w:fill="auto"/>
            <w:vAlign w:val="center"/>
            <w:hideMark/>
          </w:tcPr>
          <w:p w14:paraId="185E9F9C"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14.20 (2.82–71.45)</w:t>
            </w:r>
          </w:p>
        </w:tc>
        <w:tc>
          <w:tcPr>
            <w:tcW w:w="512" w:type="pct"/>
            <w:tcBorders>
              <w:top w:val="nil"/>
              <w:left w:val="nil"/>
              <w:bottom w:val="nil"/>
              <w:right w:val="nil"/>
            </w:tcBorders>
            <w:shd w:val="clear" w:color="auto" w:fill="auto"/>
            <w:vAlign w:val="center"/>
            <w:hideMark/>
          </w:tcPr>
          <w:p w14:paraId="011DD25B"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0.001</w:t>
            </w:r>
          </w:p>
        </w:tc>
      </w:tr>
      <w:tr w:rsidR="002A7C4A" w:rsidRPr="0021268C" w14:paraId="00D4529B" w14:textId="77777777" w:rsidTr="002A7C4A">
        <w:trPr>
          <w:trHeight w:val="960"/>
        </w:trPr>
        <w:tc>
          <w:tcPr>
            <w:tcW w:w="2398" w:type="pct"/>
            <w:tcBorders>
              <w:top w:val="nil"/>
              <w:left w:val="nil"/>
              <w:bottom w:val="single" w:sz="8" w:space="0" w:color="auto"/>
              <w:right w:val="nil"/>
            </w:tcBorders>
            <w:shd w:val="clear" w:color="auto" w:fill="auto"/>
            <w:noWrap/>
            <w:vAlign w:val="center"/>
            <w:hideMark/>
          </w:tcPr>
          <w:p w14:paraId="6FD90EB5"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IV</w:t>
            </w:r>
          </w:p>
        </w:tc>
        <w:tc>
          <w:tcPr>
            <w:tcW w:w="789" w:type="pct"/>
            <w:tcBorders>
              <w:top w:val="nil"/>
              <w:left w:val="nil"/>
              <w:bottom w:val="single" w:sz="8" w:space="0" w:color="auto"/>
              <w:right w:val="nil"/>
            </w:tcBorders>
            <w:shd w:val="clear" w:color="auto" w:fill="auto"/>
            <w:vAlign w:val="center"/>
            <w:hideMark/>
          </w:tcPr>
          <w:p w14:paraId="75161DFA"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70.42 (15.00–330.6)</w:t>
            </w:r>
          </w:p>
        </w:tc>
        <w:tc>
          <w:tcPr>
            <w:tcW w:w="512" w:type="pct"/>
            <w:tcBorders>
              <w:top w:val="nil"/>
              <w:left w:val="nil"/>
              <w:bottom w:val="single" w:sz="8" w:space="0" w:color="auto"/>
              <w:right w:val="nil"/>
            </w:tcBorders>
            <w:shd w:val="clear" w:color="auto" w:fill="auto"/>
            <w:vAlign w:val="center"/>
            <w:hideMark/>
          </w:tcPr>
          <w:p w14:paraId="6C88F322"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c>
          <w:tcPr>
            <w:tcW w:w="789" w:type="pct"/>
            <w:tcBorders>
              <w:top w:val="nil"/>
              <w:left w:val="nil"/>
              <w:bottom w:val="single" w:sz="8" w:space="0" w:color="auto"/>
              <w:right w:val="nil"/>
            </w:tcBorders>
            <w:shd w:val="clear" w:color="auto" w:fill="auto"/>
            <w:vAlign w:val="center"/>
            <w:hideMark/>
          </w:tcPr>
          <w:p w14:paraId="5CE44E2B"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41.39 (6.62–258.67)</w:t>
            </w:r>
          </w:p>
        </w:tc>
        <w:tc>
          <w:tcPr>
            <w:tcW w:w="512" w:type="pct"/>
            <w:tcBorders>
              <w:top w:val="nil"/>
              <w:left w:val="nil"/>
              <w:bottom w:val="single" w:sz="8" w:space="0" w:color="auto"/>
              <w:right w:val="nil"/>
            </w:tcBorders>
            <w:shd w:val="clear" w:color="auto" w:fill="auto"/>
            <w:vAlign w:val="center"/>
            <w:hideMark/>
          </w:tcPr>
          <w:p w14:paraId="3D97BA56" w14:textId="77777777" w:rsidR="002A7C4A" w:rsidRPr="0021268C" w:rsidRDefault="002A7C4A" w:rsidP="002A7C4A">
            <w:pPr>
              <w:jc w:val="both"/>
              <w:rPr>
                <w:rFonts w:ascii="Book Antiqua" w:eastAsia="等线" w:hAnsi="Book Antiqua" w:cs="宋体"/>
                <w:color w:val="000000"/>
                <w:lang w:eastAsia="zh-CN"/>
              </w:rPr>
            </w:pPr>
            <w:r w:rsidRPr="0021268C">
              <w:rPr>
                <w:rFonts w:ascii="Book Antiqua" w:eastAsia="等线" w:hAnsi="Book Antiqua" w:cs="宋体"/>
                <w:color w:val="000000"/>
                <w:lang w:eastAsia="zh-CN"/>
              </w:rPr>
              <w:t>&lt; 0.001</w:t>
            </w:r>
          </w:p>
        </w:tc>
      </w:tr>
    </w:tbl>
    <w:p w14:paraId="0CC01FA8" w14:textId="3E4F047A" w:rsidR="00B07060" w:rsidRPr="0021268C" w:rsidRDefault="005635E1">
      <w:pPr>
        <w:adjustRightInd w:val="0"/>
        <w:snapToGrid w:val="0"/>
        <w:spacing w:line="360" w:lineRule="auto"/>
        <w:jc w:val="both"/>
        <w:rPr>
          <w:rFonts w:ascii="Book Antiqua" w:hAnsi="Book Antiqua"/>
          <w:lang w:eastAsia="zh-CN"/>
        </w:rPr>
      </w:pPr>
      <w:r w:rsidRPr="0021268C">
        <w:rPr>
          <w:rFonts w:ascii="Book Antiqua" w:hAnsi="Book Antiqua"/>
        </w:rPr>
        <w:t>Cox proportional hazards model with a backward elimination approach was used for multivariable analysis.</w:t>
      </w:r>
      <w:r w:rsidRPr="0021268C">
        <w:rPr>
          <w:rFonts w:ascii="Book Antiqua" w:hAnsi="Book Antiqua"/>
          <w:lang w:eastAsia="zh-CN"/>
        </w:rPr>
        <w:t xml:space="preserve"> </w:t>
      </w:r>
      <w:r w:rsidRPr="0021268C">
        <w:rPr>
          <w:rFonts w:ascii="Book Antiqua" w:hAnsi="Book Antiqua"/>
        </w:rPr>
        <w:t>HR</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azard ratio; CI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C</w:t>
      </w:r>
      <w:r w:rsidRPr="0021268C">
        <w:rPr>
          <w:rFonts w:ascii="Book Antiqua" w:hAnsi="Book Antiqua"/>
        </w:rPr>
        <w:t>onfidence interval; VEGF</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V</w:t>
      </w:r>
      <w:r w:rsidRPr="0021268C">
        <w:rPr>
          <w:rFonts w:ascii="Book Antiqua" w:hAnsi="Book Antiqua"/>
        </w:rPr>
        <w:t>ascular endothelial growth factor; AFP</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A</w:t>
      </w:r>
      <w:r w:rsidRPr="0021268C">
        <w:rPr>
          <w:rFonts w:ascii="Book Antiqua" w:hAnsi="Book Antiqua"/>
        </w:rPr>
        <w:t>lpha fetoprotein; BMI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B</w:t>
      </w:r>
      <w:r w:rsidRPr="0021268C">
        <w:rPr>
          <w:rFonts w:ascii="Book Antiqua" w:hAnsi="Book Antiqua"/>
        </w:rPr>
        <w:t>ody mass index; MELD</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M</w:t>
      </w:r>
      <w:r w:rsidRPr="0021268C">
        <w:rPr>
          <w:rFonts w:ascii="Book Antiqua" w:hAnsi="Book Antiqua"/>
        </w:rPr>
        <w:t>odel for end stage liver disease; HCC</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epatocellular carcinoma; TNM</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T</w:t>
      </w:r>
      <w:r w:rsidRPr="0021268C">
        <w:rPr>
          <w:rFonts w:ascii="Book Antiqua" w:hAnsi="Book Antiqua"/>
        </w:rPr>
        <w:t>umor-node-metastasis.</w:t>
      </w:r>
    </w:p>
    <w:p w14:paraId="418B33D7" w14:textId="77777777" w:rsidR="00B07060" w:rsidRPr="0021268C" w:rsidRDefault="005635E1">
      <w:pPr>
        <w:spacing w:line="360" w:lineRule="auto"/>
        <w:jc w:val="both"/>
        <w:rPr>
          <w:rFonts w:ascii="Book Antiqua" w:hAnsi="Book Antiqua" w:cs="Arial"/>
          <w:b/>
          <w:bCs/>
        </w:rPr>
      </w:pPr>
      <w:r w:rsidRPr="0021268C">
        <w:rPr>
          <w:rFonts w:ascii="Book Antiqua" w:hAnsi="Book Antiqua"/>
          <w:lang w:eastAsia="zh-CN"/>
        </w:rPr>
        <w:br w:type="page"/>
      </w:r>
      <w:r w:rsidRPr="0021268C">
        <w:rPr>
          <w:rFonts w:ascii="Book Antiqua" w:hAnsi="Book Antiqua" w:cs="Arial"/>
          <w:b/>
        </w:rPr>
        <w:lastRenderedPageBreak/>
        <w:t>Table 3 Univariate and multivariate analysis on the f</w:t>
      </w:r>
      <w:r w:rsidRPr="0021268C">
        <w:rPr>
          <w:rFonts w:ascii="Book Antiqua" w:hAnsi="Book Antiqua" w:cs="Arial"/>
          <w:b/>
          <w:bCs/>
        </w:rPr>
        <w:t xml:space="preserve">actors predictive for progression-free survival in </w:t>
      </w:r>
      <w:r w:rsidRPr="0021268C">
        <w:rPr>
          <w:rFonts w:ascii="Book Antiqua" w:hAnsi="Book Antiqua"/>
          <w:b/>
          <w:lang w:eastAsia="zh-CN"/>
        </w:rPr>
        <w:t>h</w:t>
      </w:r>
      <w:r w:rsidRPr="0021268C">
        <w:rPr>
          <w:rFonts w:ascii="Book Antiqua" w:hAnsi="Book Antiqua"/>
          <w:b/>
        </w:rPr>
        <w:t>epatocellular carcinoma</w:t>
      </w:r>
      <w:r w:rsidRPr="0021268C">
        <w:rPr>
          <w:rFonts w:ascii="Book Antiqua" w:hAnsi="Book Antiqua" w:cs="Arial"/>
          <w:b/>
          <w:bCs/>
        </w:rPr>
        <w:t xml:space="preserve"> patients</w:t>
      </w:r>
    </w:p>
    <w:tbl>
      <w:tblPr>
        <w:tblW w:w="5785" w:type="pct"/>
        <w:tblInd w:w="-468" w:type="dxa"/>
        <w:tblBorders>
          <w:top w:val="single" w:sz="4" w:space="0" w:color="auto"/>
          <w:bottom w:val="single" w:sz="4" w:space="0" w:color="auto"/>
        </w:tblBorders>
        <w:tblLayout w:type="fixed"/>
        <w:tblCellMar>
          <w:top w:w="113" w:type="dxa"/>
          <w:left w:w="99" w:type="dxa"/>
          <w:right w:w="99" w:type="dxa"/>
        </w:tblCellMar>
        <w:tblLook w:val="04A0" w:firstRow="1" w:lastRow="0" w:firstColumn="1" w:lastColumn="0" w:noHBand="0" w:noVBand="1"/>
      </w:tblPr>
      <w:tblGrid>
        <w:gridCol w:w="2977"/>
        <w:gridCol w:w="2128"/>
        <w:gridCol w:w="1276"/>
        <w:gridCol w:w="2552"/>
        <w:gridCol w:w="2126"/>
      </w:tblGrid>
      <w:tr w:rsidR="00B07060" w:rsidRPr="0021268C" w14:paraId="246D006C" w14:textId="77777777" w:rsidTr="00191AC5">
        <w:trPr>
          <w:trHeight w:val="283"/>
        </w:trPr>
        <w:tc>
          <w:tcPr>
            <w:tcW w:w="1346" w:type="pct"/>
            <w:vMerge w:val="restart"/>
            <w:tcBorders>
              <w:top w:val="single" w:sz="4" w:space="0" w:color="auto"/>
              <w:bottom w:val="nil"/>
            </w:tcBorders>
            <w:shd w:val="clear" w:color="auto" w:fill="auto"/>
            <w:noWrap/>
          </w:tcPr>
          <w:p w14:paraId="1450A7B5" w14:textId="77777777" w:rsidR="00B07060" w:rsidRPr="0021268C" w:rsidRDefault="005635E1">
            <w:pPr>
              <w:adjustRightInd w:val="0"/>
              <w:snapToGrid w:val="0"/>
              <w:spacing w:line="360" w:lineRule="auto"/>
              <w:jc w:val="both"/>
              <w:rPr>
                <w:rFonts w:ascii="Book Antiqua" w:hAnsi="Book Antiqua" w:cs="Arial"/>
                <w:b/>
                <w:bCs/>
              </w:rPr>
            </w:pPr>
            <w:r w:rsidRPr="0021268C">
              <w:rPr>
                <w:rFonts w:ascii="Book Antiqua" w:hAnsi="Book Antiqua" w:cs="Arial"/>
                <w:b/>
                <w:bCs/>
              </w:rPr>
              <w:t>Variable</w:t>
            </w:r>
          </w:p>
        </w:tc>
        <w:tc>
          <w:tcPr>
            <w:tcW w:w="1539" w:type="pct"/>
            <w:gridSpan w:val="2"/>
            <w:tcBorders>
              <w:top w:val="single" w:sz="4" w:space="0" w:color="auto"/>
              <w:bottom w:val="single" w:sz="4" w:space="0" w:color="auto"/>
            </w:tcBorders>
            <w:shd w:val="clear" w:color="auto" w:fill="auto"/>
          </w:tcPr>
          <w:p w14:paraId="753E941B" w14:textId="77777777" w:rsidR="00B07060" w:rsidRPr="0021268C" w:rsidRDefault="005635E1">
            <w:pPr>
              <w:adjustRightInd w:val="0"/>
              <w:snapToGrid w:val="0"/>
              <w:spacing w:line="360" w:lineRule="auto"/>
              <w:jc w:val="both"/>
              <w:rPr>
                <w:rFonts w:ascii="Book Antiqua" w:hAnsi="Book Antiqua" w:cs="Arial"/>
                <w:b/>
              </w:rPr>
            </w:pPr>
            <w:r w:rsidRPr="0021268C">
              <w:rPr>
                <w:rFonts w:ascii="Book Antiqua" w:hAnsi="Book Antiqua" w:cs="Arial"/>
                <w:b/>
              </w:rPr>
              <w:t>Univariate analysis</w:t>
            </w:r>
          </w:p>
        </w:tc>
        <w:tc>
          <w:tcPr>
            <w:tcW w:w="2115" w:type="pct"/>
            <w:gridSpan w:val="2"/>
            <w:tcBorders>
              <w:top w:val="single" w:sz="4" w:space="0" w:color="auto"/>
              <w:bottom w:val="single" w:sz="4" w:space="0" w:color="auto"/>
            </w:tcBorders>
            <w:shd w:val="clear" w:color="auto" w:fill="auto"/>
          </w:tcPr>
          <w:p w14:paraId="7CC4C957" w14:textId="77777777" w:rsidR="00B07060" w:rsidRPr="0021268C" w:rsidRDefault="005635E1">
            <w:pPr>
              <w:kinsoku w:val="0"/>
              <w:overflowPunct w:val="0"/>
              <w:spacing w:line="360" w:lineRule="auto"/>
              <w:jc w:val="both"/>
              <w:rPr>
                <w:rFonts w:ascii="Book Antiqua" w:hAnsi="Book Antiqua" w:cs="Arial"/>
                <w:b/>
              </w:rPr>
            </w:pPr>
            <w:r w:rsidRPr="0021268C">
              <w:rPr>
                <w:rFonts w:ascii="Book Antiqua" w:hAnsi="Book Antiqua" w:cs="Arial"/>
                <w:b/>
              </w:rPr>
              <w:t>Multivariable analysis</w:t>
            </w:r>
          </w:p>
        </w:tc>
      </w:tr>
      <w:tr w:rsidR="00191AC5" w:rsidRPr="0021268C" w14:paraId="74E2CFC8" w14:textId="77777777" w:rsidTr="00191AC5">
        <w:trPr>
          <w:trHeight w:val="283"/>
        </w:trPr>
        <w:tc>
          <w:tcPr>
            <w:tcW w:w="1346" w:type="pct"/>
            <w:vMerge/>
            <w:tcBorders>
              <w:top w:val="nil"/>
              <w:bottom w:val="single" w:sz="4" w:space="0" w:color="auto"/>
            </w:tcBorders>
            <w:shd w:val="clear" w:color="auto" w:fill="auto"/>
          </w:tcPr>
          <w:p w14:paraId="04B605C8" w14:textId="77777777" w:rsidR="00B07060" w:rsidRPr="0021268C" w:rsidRDefault="00B07060">
            <w:pPr>
              <w:spacing w:line="360" w:lineRule="auto"/>
              <w:jc w:val="both"/>
              <w:rPr>
                <w:rFonts w:ascii="Book Antiqua" w:hAnsi="Book Antiqua" w:cs="Arial"/>
                <w:b/>
                <w:bCs/>
              </w:rPr>
            </w:pPr>
          </w:p>
        </w:tc>
        <w:tc>
          <w:tcPr>
            <w:tcW w:w="962" w:type="pct"/>
            <w:tcBorders>
              <w:top w:val="single" w:sz="4" w:space="0" w:color="auto"/>
              <w:bottom w:val="single" w:sz="4" w:space="0" w:color="auto"/>
            </w:tcBorders>
            <w:shd w:val="clear" w:color="auto" w:fill="auto"/>
          </w:tcPr>
          <w:p w14:paraId="56087543" w14:textId="77777777" w:rsidR="00B07060" w:rsidRPr="0021268C" w:rsidRDefault="005635E1">
            <w:pPr>
              <w:adjustRightInd w:val="0"/>
              <w:snapToGrid w:val="0"/>
              <w:spacing w:line="360" w:lineRule="auto"/>
              <w:jc w:val="both"/>
              <w:rPr>
                <w:rFonts w:ascii="Book Antiqua" w:hAnsi="Book Antiqua" w:cs="Arial"/>
                <w:b/>
              </w:rPr>
            </w:pPr>
            <w:r w:rsidRPr="0021268C">
              <w:rPr>
                <w:rFonts w:ascii="Book Antiqua" w:hAnsi="Book Antiqua" w:cs="Arial"/>
                <w:b/>
              </w:rPr>
              <w:t>HR (95%CI)</w:t>
            </w:r>
          </w:p>
        </w:tc>
        <w:tc>
          <w:tcPr>
            <w:tcW w:w="577" w:type="pct"/>
            <w:tcBorders>
              <w:top w:val="single" w:sz="4" w:space="0" w:color="auto"/>
              <w:bottom w:val="single" w:sz="4" w:space="0" w:color="auto"/>
            </w:tcBorders>
            <w:shd w:val="clear" w:color="auto" w:fill="auto"/>
          </w:tcPr>
          <w:p w14:paraId="1D87809B" w14:textId="77777777" w:rsidR="00B07060" w:rsidRPr="0021268C" w:rsidRDefault="005635E1">
            <w:pPr>
              <w:adjustRightInd w:val="0"/>
              <w:snapToGrid w:val="0"/>
              <w:spacing w:line="360" w:lineRule="auto"/>
              <w:jc w:val="both"/>
              <w:rPr>
                <w:rFonts w:ascii="Book Antiqua" w:hAnsi="Book Antiqua" w:cs="Arial"/>
                <w:b/>
                <w:lang w:eastAsia="zh-CN"/>
              </w:rPr>
            </w:pPr>
            <w:r w:rsidRPr="0021268C">
              <w:rPr>
                <w:rFonts w:ascii="Book Antiqua" w:hAnsi="Book Antiqua" w:cs="Arial"/>
                <w:b/>
                <w:bCs/>
                <w:i/>
                <w:iCs/>
              </w:rPr>
              <w:t>P</w:t>
            </w:r>
            <w:r w:rsidRPr="0021268C">
              <w:rPr>
                <w:rFonts w:ascii="Book Antiqua" w:hAnsi="Book Antiqua" w:cs="Arial"/>
                <w:b/>
              </w:rPr>
              <w:t xml:space="preserve"> </w:t>
            </w:r>
            <w:r w:rsidRPr="0021268C">
              <w:rPr>
                <w:rFonts w:ascii="Book Antiqua" w:hAnsi="Book Antiqua" w:cs="Arial"/>
                <w:b/>
                <w:lang w:eastAsia="zh-CN"/>
              </w:rPr>
              <w:t>value</w:t>
            </w:r>
          </w:p>
        </w:tc>
        <w:tc>
          <w:tcPr>
            <w:tcW w:w="1154" w:type="pct"/>
            <w:tcBorders>
              <w:top w:val="single" w:sz="4" w:space="0" w:color="auto"/>
              <w:bottom w:val="single" w:sz="4" w:space="0" w:color="auto"/>
            </w:tcBorders>
            <w:shd w:val="clear" w:color="auto" w:fill="auto"/>
          </w:tcPr>
          <w:p w14:paraId="725D780C" w14:textId="77777777" w:rsidR="00B07060" w:rsidRPr="0021268C" w:rsidRDefault="005635E1">
            <w:pPr>
              <w:adjustRightInd w:val="0"/>
              <w:snapToGrid w:val="0"/>
              <w:spacing w:line="360" w:lineRule="auto"/>
              <w:jc w:val="both"/>
              <w:rPr>
                <w:rFonts w:ascii="Book Antiqua" w:hAnsi="Book Antiqua" w:cs="Arial"/>
                <w:b/>
              </w:rPr>
            </w:pPr>
            <w:r w:rsidRPr="0021268C">
              <w:rPr>
                <w:rFonts w:ascii="Book Antiqua" w:hAnsi="Book Antiqua" w:cs="Arial"/>
                <w:b/>
              </w:rPr>
              <w:t>HR (95%CI)</w:t>
            </w:r>
          </w:p>
        </w:tc>
        <w:tc>
          <w:tcPr>
            <w:tcW w:w="961" w:type="pct"/>
            <w:tcBorders>
              <w:top w:val="single" w:sz="4" w:space="0" w:color="auto"/>
              <w:bottom w:val="single" w:sz="4" w:space="0" w:color="auto"/>
            </w:tcBorders>
            <w:shd w:val="clear" w:color="auto" w:fill="auto"/>
          </w:tcPr>
          <w:p w14:paraId="06D357FA" w14:textId="77777777" w:rsidR="00B07060" w:rsidRPr="0021268C" w:rsidRDefault="005635E1">
            <w:pPr>
              <w:adjustRightInd w:val="0"/>
              <w:snapToGrid w:val="0"/>
              <w:spacing w:line="360" w:lineRule="auto"/>
              <w:jc w:val="both"/>
              <w:rPr>
                <w:rFonts w:ascii="Book Antiqua" w:hAnsi="Book Antiqua" w:cs="Arial"/>
                <w:b/>
              </w:rPr>
            </w:pPr>
            <w:r w:rsidRPr="0021268C">
              <w:rPr>
                <w:rFonts w:ascii="Book Antiqua" w:hAnsi="Book Antiqua" w:cs="Arial"/>
                <w:b/>
                <w:bCs/>
                <w:i/>
                <w:iCs/>
              </w:rPr>
              <w:t>P</w:t>
            </w:r>
            <w:r w:rsidRPr="0021268C">
              <w:rPr>
                <w:rFonts w:ascii="Book Antiqua" w:hAnsi="Book Antiqua" w:cs="Arial"/>
                <w:b/>
              </w:rPr>
              <w:t xml:space="preserve"> </w:t>
            </w:r>
            <w:r w:rsidRPr="0021268C">
              <w:rPr>
                <w:rFonts w:ascii="Book Antiqua" w:hAnsi="Book Antiqua" w:cs="Arial"/>
                <w:b/>
                <w:lang w:eastAsia="zh-CN"/>
              </w:rPr>
              <w:t>value</w:t>
            </w:r>
          </w:p>
        </w:tc>
      </w:tr>
      <w:tr w:rsidR="00191AC5" w:rsidRPr="0021268C" w14:paraId="37F07345" w14:textId="77777777" w:rsidTr="00191AC5">
        <w:trPr>
          <w:trHeight w:val="17"/>
        </w:trPr>
        <w:tc>
          <w:tcPr>
            <w:tcW w:w="1346" w:type="pct"/>
            <w:tcBorders>
              <w:top w:val="single" w:sz="4" w:space="0" w:color="auto"/>
              <w:bottom w:val="nil"/>
            </w:tcBorders>
            <w:shd w:val="clear" w:color="auto" w:fill="auto"/>
            <w:noWrap/>
          </w:tcPr>
          <w:p w14:paraId="32560978" w14:textId="6684709A" w:rsidR="00191AC5" w:rsidRPr="0021268C" w:rsidRDefault="00191AC5" w:rsidP="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Ang-2 group (cut-off: </w:t>
            </w:r>
            <w:r w:rsidRPr="0021268C">
              <w:rPr>
                <w:rFonts w:ascii="Book Antiqua" w:eastAsiaTheme="minorEastAsia" w:hAnsi="Book Antiqua" w:cs="Arial"/>
                <w:kern w:val="2"/>
                <w:lang w:eastAsia="zh-CN"/>
              </w:rPr>
              <w:t>M</w:t>
            </w:r>
            <w:r w:rsidRPr="0021268C">
              <w:rPr>
                <w:rFonts w:ascii="Book Antiqua" w:eastAsiaTheme="minorEastAsia" w:hAnsi="Book Antiqua" w:cs="Arial"/>
                <w:kern w:val="2"/>
              </w:rPr>
              <w:t>edian level)</w:t>
            </w:r>
          </w:p>
        </w:tc>
        <w:tc>
          <w:tcPr>
            <w:tcW w:w="962" w:type="pct"/>
            <w:tcBorders>
              <w:top w:val="single" w:sz="4" w:space="0" w:color="auto"/>
              <w:bottom w:val="nil"/>
            </w:tcBorders>
            <w:shd w:val="clear" w:color="auto" w:fill="auto"/>
          </w:tcPr>
          <w:p w14:paraId="5D0D9573" w14:textId="0815B440" w:rsidR="00191AC5" w:rsidRPr="0021268C" w:rsidRDefault="00191AC5">
            <w:pPr>
              <w:pStyle w:val="a6"/>
              <w:spacing w:before="0" w:beforeAutospacing="0" w:after="0" w:afterAutospacing="0" w:line="360" w:lineRule="auto"/>
              <w:jc w:val="both"/>
              <w:rPr>
                <w:rFonts w:ascii="Book Antiqua" w:eastAsia="Malgun Gothic" w:hAnsi="Book Antiqua" w:cs="Arial"/>
                <w:bCs/>
                <w:kern w:val="2"/>
              </w:rPr>
            </w:pPr>
          </w:p>
        </w:tc>
        <w:tc>
          <w:tcPr>
            <w:tcW w:w="577" w:type="pct"/>
            <w:tcBorders>
              <w:top w:val="single" w:sz="4" w:space="0" w:color="auto"/>
              <w:bottom w:val="nil"/>
            </w:tcBorders>
            <w:shd w:val="clear" w:color="auto" w:fill="auto"/>
          </w:tcPr>
          <w:p w14:paraId="693AB359" w14:textId="2DDF618E" w:rsidR="00191AC5" w:rsidRPr="0021268C" w:rsidRDefault="00191AC5">
            <w:pPr>
              <w:pStyle w:val="a6"/>
              <w:spacing w:before="0" w:beforeAutospacing="0" w:after="0" w:afterAutospacing="0" w:line="360" w:lineRule="auto"/>
              <w:jc w:val="both"/>
              <w:rPr>
                <w:rFonts w:ascii="Book Antiqua" w:eastAsia="Malgun Gothic" w:hAnsi="Book Antiqua" w:cs="Arial"/>
                <w:bCs/>
                <w:kern w:val="2"/>
              </w:rPr>
            </w:pPr>
          </w:p>
        </w:tc>
        <w:tc>
          <w:tcPr>
            <w:tcW w:w="1154" w:type="pct"/>
            <w:tcBorders>
              <w:top w:val="single" w:sz="4" w:space="0" w:color="auto"/>
              <w:bottom w:val="nil"/>
            </w:tcBorders>
            <w:shd w:val="clear" w:color="auto" w:fill="auto"/>
          </w:tcPr>
          <w:p w14:paraId="5841135B" w14:textId="01F578F5" w:rsidR="00191AC5" w:rsidRPr="0021268C" w:rsidRDefault="00191AC5">
            <w:pPr>
              <w:pStyle w:val="a6"/>
              <w:spacing w:before="0" w:beforeAutospacing="0" w:after="0" w:afterAutospacing="0" w:line="360" w:lineRule="auto"/>
              <w:jc w:val="both"/>
              <w:rPr>
                <w:rFonts w:ascii="Book Antiqua" w:eastAsia="Malgun Gothic" w:hAnsi="Book Antiqua" w:cs="Arial"/>
                <w:bCs/>
                <w:kern w:val="2"/>
              </w:rPr>
            </w:pPr>
          </w:p>
        </w:tc>
        <w:tc>
          <w:tcPr>
            <w:tcW w:w="961" w:type="pct"/>
            <w:tcBorders>
              <w:top w:val="single" w:sz="4" w:space="0" w:color="auto"/>
              <w:bottom w:val="nil"/>
            </w:tcBorders>
            <w:shd w:val="clear" w:color="auto" w:fill="auto"/>
          </w:tcPr>
          <w:p w14:paraId="2E9F7FA4" w14:textId="78CD4780" w:rsidR="00191AC5" w:rsidRPr="0021268C" w:rsidRDefault="00191AC5">
            <w:pPr>
              <w:pStyle w:val="a6"/>
              <w:spacing w:before="0" w:beforeAutospacing="0" w:after="0" w:afterAutospacing="0" w:line="360" w:lineRule="auto"/>
              <w:jc w:val="both"/>
              <w:rPr>
                <w:rFonts w:ascii="Book Antiqua" w:eastAsia="Malgun Gothic" w:hAnsi="Book Antiqua" w:cs="Arial"/>
                <w:bCs/>
                <w:kern w:val="2"/>
              </w:rPr>
            </w:pPr>
          </w:p>
        </w:tc>
      </w:tr>
      <w:tr w:rsidR="00191AC5" w:rsidRPr="0021268C" w14:paraId="211E865B" w14:textId="77777777" w:rsidTr="00191AC5">
        <w:trPr>
          <w:trHeight w:val="208"/>
        </w:trPr>
        <w:tc>
          <w:tcPr>
            <w:tcW w:w="1346" w:type="pct"/>
            <w:tcBorders>
              <w:top w:val="nil"/>
              <w:bottom w:val="nil"/>
            </w:tcBorders>
            <w:shd w:val="clear" w:color="auto" w:fill="auto"/>
            <w:noWrap/>
          </w:tcPr>
          <w:p w14:paraId="32FE99FD" w14:textId="4722A8DC"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Low Ang-2 group</w:t>
            </w:r>
          </w:p>
        </w:tc>
        <w:tc>
          <w:tcPr>
            <w:tcW w:w="962" w:type="pct"/>
            <w:tcBorders>
              <w:top w:val="nil"/>
              <w:bottom w:val="nil"/>
            </w:tcBorders>
            <w:shd w:val="clear" w:color="auto" w:fill="auto"/>
          </w:tcPr>
          <w:p w14:paraId="6C664D95" w14:textId="09022219"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bCs/>
                <w:kern w:val="2"/>
              </w:rPr>
              <w:t>Reference</w:t>
            </w:r>
          </w:p>
        </w:tc>
        <w:tc>
          <w:tcPr>
            <w:tcW w:w="577" w:type="pct"/>
            <w:tcBorders>
              <w:top w:val="nil"/>
              <w:bottom w:val="nil"/>
            </w:tcBorders>
            <w:shd w:val="clear" w:color="auto" w:fill="auto"/>
          </w:tcPr>
          <w:p w14:paraId="2BBB42B1" w14:textId="31E2E091"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bCs/>
                <w:kern w:val="2"/>
              </w:rPr>
              <w:t>–</w:t>
            </w:r>
          </w:p>
        </w:tc>
        <w:tc>
          <w:tcPr>
            <w:tcW w:w="1154" w:type="pct"/>
            <w:tcBorders>
              <w:top w:val="nil"/>
              <w:bottom w:val="nil"/>
            </w:tcBorders>
            <w:shd w:val="clear" w:color="auto" w:fill="auto"/>
          </w:tcPr>
          <w:p w14:paraId="49FA59FD" w14:textId="67CDD917"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bCs/>
                <w:kern w:val="2"/>
              </w:rPr>
              <w:t>Reference</w:t>
            </w:r>
          </w:p>
        </w:tc>
        <w:tc>
          <w:tcPr>
            <w:tcW w:w="961" w:type="pct"/>
            <w:tcBorders>
              <w:top w:val="nil"/>
              <w:bottom w:val="nil"/>
            </w:tcBorders>
            <w:shd w:val="clear" w:color="auto" w:fill="auto"/>
          </w:tcPr>
          <w:p w14:paraId="0C7FE26F" w14:textId="5F0E2CF5"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bCs/>
                <w:kern w:val="2"/>
              </w:rPr>
              <w:t>–</w:t>
            </w:r>
          </w:p>
        </w:tc>
      </w:tr>
      <w:tr w:rsidR="00191AC5" w:rsidRPr="0021268C" w14:paraId="63022EEB" w14:textId="77777777" w:rsidTr="00191AC5">
        <w:trPr>
          <w:trHeight w:val="256"/>
        </w:trPr>
        <w:tc>
          <w:tcPr>
            <w:tcW w:w="1346" w:type="pct"/>
            <w:tcBorders>
              <w:top w:val="nil"/>
              <w:bottom w:val="nil"/>
            </w:tcBorders>
            <w:shd w:val="clear" w:color="auto" w:fill="auto"/>
            <w:noWrap/>
          </w:tcPr>
          <w:p w14:paraId="47033D7F" w14:textId="60803B0F"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High Ang-2 group</w:t>
            </w:r>
          </w:p>
        </w:tc>
        <w:tc>
          <w:tcPr>
            <w:tcW w:w="962" w:type="pct"/>
            <w:tcBorders>
              <w:top w:val="nil"/>
              <w:bottom w:val="nil"/>
            </w:tcBorders>
            <w:shd w:val="clear" w:color="auto" w:fill="auto"/>
          </w:tcPr>
          <w:p w14:paraId="625B0EDF" w14:textId="43B09E64"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bCs/>
                <w:kern w:val="2"/>
              </w:rPr>
              <w:t>2.53 (1.89–3.39)</w:t>
            </w:r>
          </w:p>
        </w:tc>
        <w:tc>
          <w:tcPr>
            <w:tcW w:w="577" w:type="pct"/>
            <w:tcBorders>
              <w:top w:val="nil"/>
              <w:bottom w:val="nil"/>
            </w:tcBorders>
            <w:shd w:val="clear" w:color="auto" w:fill="auto"/>
          </w:tcPr>
          <w:p w14:paraId="5A5663C4" w14:textId="6DAE4E2A"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bCs/>
                <w:kern w:val="2"/>
              </w:rPr>
              <w:t>&lt;</w:t>
            </w:r>
            <w:r w:rsidRPr="0021268C">
              <w:rPr>
                <w:rFonts w:ascii="Book Antiqua" w:eastAsiaTheme="minorEastAsia" w:hAnsi="Book Antiqua" w:cs="Arial"/>
                <w:bCs/>
                <w:kern w:val="2"/>
                <w:lang w:eastAsia="zh-CN"/>
              </w:rPr>
              <w:t xml:space="preserve"> </w:t>
            </w:r>
            <w:r w:rsidRPr="0021268C">
              <w:rPr>
                <w:rFonts w:ascii="Book Antiqua" w:eastAsiaTheme="minorEastAsia" w:hAnsi="Book Antiqua" w:cs="Arial"/>
                <w:bCs/>
                <w:kern w:val="2"/>
              </w:rPr>
              <w:t>0.001</w:t>
            </w:r>
          </w:p>
        </w:tc>
        <w:tc>
          <w:tcPr>
            <w:tcW w:w="1154" w:type="pct"/>
            <w:tcBorders>
              <w:top w:val="nil"/>
              <w:bottom w:val="nil"/>
            </w:tcBorders>
            <w:shd w:val="clear" w:color="auto" w:fill="auto"/>
          </w:tcPr>
          <w:p w14:paraId="3F3E3F7A" w14:textId="412E124B"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bCs/>
                <w:kern w:val="2"/>
              </w:rPr>
              <w:t>1.55 (1.10–2.20)</w:t>
            </w:r>
          </w:p>
        </w:tc>
        <w:tc>
          <w:tcPr>
            <w:tcW w:w="961" w:type="pct"/>
            <w:tcBorders>
              <w:top w:val="nil"/>
              <w:bottom w:val="nil"/>
            </w:tcBorders>
            <w:shd w:val="clear" w:color="auto" w:fill="auto"/>
          </w:tcPr>
          <w:p w14:paraId="2B151638" w14:textId="763CECBD"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bCs/>
                <w:kern w:val="2"/>
              </w:rPr>
              <w:t>0.01</w:t>
            </w:r>
          </w:p>
        </w:tc>
      </w:tr>
      <w:tr w:rsidR="00191AC5" w:rsidRPr="0021268C" w14:paraId="1C1D3173" w14:textId="77777777" w:rsidTr="008852ED">
        <w:trPr>
          <w:trHeight w:val="583"/>
        </w:trPr>
        <w:tc>
          <w:tcPr>
            <w:tcW w:w="1346" w:type="pct"/>
            <w:tcBorders>
              <w:top w:val="nil"/>
            </w:tcBorders>
            <w:shd w:val="clear" w:color="auto" w:fill="auto"/>
            <w:noWrap/>
          </w:tcPr>
          <w:p w14:paraId="7D7115B6" w14:textId="4A9F1D58" w:rsidR="00191AC5" w:rsidRPr="0021268C" w:rsidRDefault="00191AC5" w:rsidP="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 xml:space="preserve">VEGF group (cut-off: </w:t>
            </w:r>
            <w:r w:rsidRPr="0021268C">
              <w:rPr>
                <w:rFonts w:ascii="Book Antiqua" w:eastAsiaTheme="minorEastAsia" w:hAnsi="Book Antiqua" w:cs="Arial"/>
                <w:kern w:val="2"/>
                <w:lang w:eastAsia="zh-CN"/>
              </w:rPr>
              <w:t>M</w:t>
            </w:r>
            <w:r w:rsidRPr="0021268C">
              <w:rPr>
                <w:rFonts w:ascii="Book Antiqua" w:eastAsiaTheme="minorEastAsia" w:hAnsi="Book Antiqua" w:cs="Arial"/>
                <w:kern w:val="2"/>
              </w:rPr>
              <w:t>edian level)</w:t>
            </w:r>
          </w:p>
        </w:tc>
        <w:tc>
          <w:tcPr>
            <w:tcW w:w="962" w:type="pct"/>
            <w:tcBorders>
              <w:top w:val="nil"/>
            </w:tcBorders>
            <w:shd w:val="clear" w:color="auto" w:fill="auto"/>
          </w:tcPr>
          <w:p w14:paraId="1EFC019E" w14:textId="1E5351AD" w:rsidR="00191AC5" w:rsidRPr="0021268C" w:rsidRDefault="00191AC5">
            <w:pPr>
              <w:pStyle w:val="a6"/>
              <w:spacing w:before="0" w:beforeAutospacing="0" w:after="0" w:afterAutospacing="0" w:line="360" w:lineRule="auto"/>
              <w:jc w:val="both"/>
              <w:rPr>
                <w:rFonts w:ascii="Book Antiqua" w:eastAsiaTheme="minorEastAsia" w:hAnsi="Book Antiqua" w:cs="Arial"/>
                <w:lang w:eastAsia="zh-CN"/>
              </w:rPr>
            </w:pPr>
          </w:p>
          <w:p w14:paraId="344D8E28" w14:textId="5AD7882A" w:rsidR="00191AC5" w:rsidRPr="0021268C" w:rsidRDefault="00191AC5">
            <w:pPr>
              <w:pStyle w:val="a6"/>
              <w:spacing w:before="0" w:beforeAutospacing="0" w:after="0" w:afterAutospacing="0" w:line="360" w:lineRule="auto"/>
              <w:jc w:val="both"/>
              <w:rPr>
                <w:rFonts w:ascii="Book Antiqua" w:eastAsia="Malgun Gothic" w:hAnsi="Book Antiqua" w:cs="Arial"/>
                <w:kern w:val="2"/>
              </w:rPr>
            </w:pPr>
          </w:p>
        </w:tc>
        <w:tc>
          <w:tcPr>
            <w:tcW w:w="577" w:type="pct"/>
            <w:tcBorders>
              <w:top w:val="nil"/>
            </w:tcBorders>
            <w:shd w:val="clear" w:color="auto" w:fill="auto"/>
          </w:tcPr>
          <w:p w14:paraId="572B47EB" w14:textId="21E39EBD" w:rsidR="00191AC5" w:rsidRPr="0021268C" w:rsidRDefault="00191AC5">
            <w:pPr>
              <w:pStyle w:val="a6"/>
              <w:spacing w:before="0" w:beforeAutospacing="0" w:after="0" w:afterAutospacing="0" w:line="360" w:lineRule="auto"/>
              <w:jc w:val="both"/>
              <w:rPr>
                <w:rFonts w:ascii="Book Antiqua" w:eastAsiaTheme="minorEastAsia" w:hAnsi="Book Antiqua" w:cs="Arial"/>
                <w:lang w:eastAsia="zh-CN"/>
              </w:rPr>
            </w:pPr>
          </w:p>
          <w:p w14:paraId="71DC0CCA" w14:textId="5FA4DF41" w:rsidR="00191AC5" w:rsidRPr="0021268C" w:rsidRDefault="00191AC5">
            <w:pPr>
              <w:pStyle w:val="a6"/>
              <w:spacing w:before="0" w:beforeAutospacing="0" w:after="0" w:afterAutospacing="0" w:line="360" w:lineRule="auto"/>
              <w:jc w:val="both"/>
              <w:rPr>
                <w:rFonts w:ascii="Book Antiqua" w:eastAsia="Malgun Gothic" w:hAnsi="Book Antiqua" w:cs="Arial"/>
                <w:kern w:val="2"/>
              </w:rPr>
            </w:pPr>
          </w:p>
        </w:tc>
        <w:tc>
          <w:tcPr>
            <w:tcW w:w="1154" w:type="pct"/>
            <w:tcBorders>
              <w:top w:val="nil"/>
            </w:tcBorders>
            <w:shd w:val="clear" w:color="auto" w:fill="auto"/>
          </w:tcPr>
          <w:p w14:paraId="3F4C617A" w14:textId="753448DC"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p>
          <w:p w14:paraId="617233A6" w14:textId="6A8AC08C"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p>
        </w:tc>
        <w:tc>
          <w:tcPr>
            <w:tcW w:w="961" w:type="pct"/>
            <w:tcBorders>
              <w:top w:val="nil"/>
            </w:tcBorders>
            <w:shd w:val="clear" w:color="auto" w:fill="auto"/>
          </w:tcPr>
          <w:p w14:paraId="34E2CBE8" w14:textId="08312C03"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p>
          <w:p w14:paraId="73D70D11" w14:textId="3C6941D2"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p>
        </w:tc>
      </w:tr>
      <w:tr w:rsidR="00191AC5" w:rsidRPr="0021268C" w14:paraId="2B741293" w14:textId="77777777" w:rsidTr="008852ED">
        <w:trPr>
          <w:trHeight w:val="27"/>
        </w:trPr>
        <w:tc>
          <w:tcPr>
            <w:tcW w:w="1346" w:type="pct"/>
            <w:tcBorders>
              <w:top w:val="nil"/>
            </w:tcBorders>
            <w:shd w:val="clear" w:color="auto" w:fill="auto"/>
            <w:noWrap/>
          </w:tcPr>
          <w:p w14:paraId="7DD21577" w14:textId="04B718CC"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Low VEGF group</w:t>
            </w:r>
          </w:p>
        </w:tc>
        <w:tc>
          <w:tcPr>
            <w:tcW w:w="962" w:type="pct"/>
            <w:tcBorders>
              <w:top w:val="nil"/>
            </w:tcBorders>
            <w:shd w:val="clear" w:color="auto" w:fill="auto"/>
          </w:tcPr>
          <w:p w14:paraId="7F8E607A" w14:textId="20E2AA01"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Malgun Gothic" w:hAnsi="Book Antiqua" w:cs="Arial"/>
                <w:kern w:val="2"/>
              </w:rPr>
              <w:t>Reference</w:t>
            </w:r>
          </w:p>
        </w:tc>
        <w:tc>
          <w:tcPr>
            <w:tcW w:w="577" w:type="pct"/>
            <w:tcBorders>
              <w:top w:val="nil"/>
            </w:tcBorders>
            <w:shd w:val="clear" w:color="auto" w:fill="auto"/>
          </w:tcPr>
          <w:p w14:paraId="1418180B" w14:textId="031A548B"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Malgun Gothic" w:hAnsi="Book Antiqua" w:cs="Arial"/>
                <w:kern w:val="2"/>
              </w:rPr>
              <w:t>–</w:t>
            </w:r>
          </w:p>
        </w:tc>
        <w:tc>
          <w:tcPr>
            <w:tcW w:w="1154" w:type="pct"/>
            <w:tcBorders>
              <w:top w:val="nil"/>
            </w:tcBorders>
            <w:shd w:val="clear" w:color="auto" w:fill="auto"/>
          </w:tcPr>
          <w:p w14:paraId="7B5F0AE0" w14:textId="56CD7855"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Reference</w:t>
            </w:r>
          </w:p>
        </w:tc>
        <w:tc>
          <w:tcPr>
            <w:tcW w:w="961" w:type="pct"/>
            <w:tcBorders>
              <w:top w:val="nil"/>
            </w:tcBorders>
            <w:shd w:val="clear" w:color="auto" w:fill="auto"/>
          </w:tcPr>
          <w:p w14:paraId="0F758B77" w14:textId="2C9D75B6" w:rsidR="00191AC5" w:rsidRPr="0021268C" w:rsidRDefault="00191AC5">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r>
      <w:tr w:rsidR="00191AC5" w:rsidRPr="0021268C" w14:paraId="5C8C3522" w14:textId="77777777" w:rsidTr="008852ED">
        <w:trPr>
          <w:trHeight w:val="27"/>
        </w:trPr>
        <w:tc>
          <w:tcPr>
            <w:tcW w:w="1346" w:type="pct"/>
            <w:tcBorders>
              <w:top w:val="nil"/>
            </w:tcBorders>
            <w:shd w:val="clear" w:color="auto" w:fill="auto"/>
            <w:noWrap/>
          </w:tcPr>
          <w:p w14:paraId="0E0F8972" w14:textId="4446F310"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High VEGF group</w:t>
            </w:r>
          </w:p>
        </w:tc>
        <w:tc>
          <w:tcPr>
            <w:tcW w:w="962" w:type="pct"/>
            <w:tcBorders>
              <w:top w:val="nil"/>
            </w:tcBorders>
            <w:shd w:val="clear" w:color="auto" w:fill="auto"/>
          </w:tcPr>
          <w:p w14:paraId="05189D24" w14:textId="198F920B"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Malgun Gothic" w:hAnsi="Book Antiqua" w:cs="Arial"/>
                <w:kern w:val="2"/>
              </w:rPr>
              <w:t>1.29 (0.97–1.71)</w:t>
            </w:r>
          </w:p>
        </w:tc>
        <w:tc>
          <w:tcPr>
            <w:tcW w:w="577" w:type="pct"/>
            <w:tcBorders>
              <w:top w:val="nil"/>
            </w:tcBorders>
            <w:shd w:val="clear" w:color="auto" w:fill="auto"/>
          </w:tcPr>
          <w:p w14:paraId="1C512B2F" w14:textId="5315B700"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Malgun Gothic" w:hAnsi="Book Antiqua" w:cs="Arial"/>
                <w:kern w:val="2"/>
              </w:rPr>
              <w:t>0.08</w:t>
            </w:r>
          </w:p>
        </w:tc>
        <w:tc>
          <w:tcPr>
            <w:tcW w:w="1154" w:type="pct"/>
            <w:tcBorders>
              <w:top w:val="nil"/>
            </w:tcBorders>
            <w:shd w:val="clear" w:color="auto" w:fill="auto"/>
          </w:tcPr>
          <w:p w14:paraId="70F275A3" w14:textId="6809B0B8"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1.08 (0.80–1.46)</w:t>
            </w:r>
          </w:p>
        </w:tc>
        <w:tc>
          <w:tcPr>
            <w:tcW w:w="961" w:type="pct"/>
            <w:tcBorders>
              <w:top w:val="nil"/>
            </w:tcBorders>
            <w:shd w:val="clear" w:color="auto" w:fill="auto"/>
          </w:tcPr>
          <w:p w14:paraId="1EF949AD" w14:textId="2D0EF101" w:rsidR="00191AC5" w:rsidRPr="0021268C" w:rsidRDefault="00191AC5">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0.61</w:t>
            </w:r>
          </w:p>
        </w:tc>
      </w:tr>
      <w:tr w:rsidR="00191AC5" w:rsidRPr="0021268C" w14:paraId="6F4EF85A" w14:textId="77777777" w:rsidTr="00191AC5">
        <w:trPr>
          <w:trHeight w:val="283"/>
        </w:trPr>
        <w:tc>
          <w:tcPr>
            <w:tcW w:w="1346" w:type="pct"/>
            <w:shd w:val="clear" w:color="auto" w:fill="auto"/>
            <w:noWrap/>
          </w:tcPr>
          <w:p w14:paraId="26FECE63"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Ang-2/Ang-1 ratio</w:t>
            </w:r>
          </w:p>
        </w:tc>
        <w:tc>
          <w:tcPr>
            <w:tcW w:w="962" w:type="pct"/>
            <w:shd w:val="clear" w:color="auto" w:fill="auto"/>
          </w:tcPr>
          <w:p w14:paraId="18407BFE" w14:textId="77777777" w:rsidR="00B07060" w:rsidRPr="0021268C"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sidRPr="0021268C">
              <w:rPr>
                <w:rFonts w:ascii="Book Antiqua" w:eastAsia="Malgun Gothic" w:hAnsi="Book Antiqua" w:cs="Arial"/>
                <w:color w:val="000000" w:themeColor="text1"/>
                <w:kern w:val="2"/>
              </w:rPr>
              <w:t>1.02 (0.98–1.05)</w:t>
            </w:r>
          </w:p>
        </w:tc>
        <w:tc>
          <w:tcPr>
            <w:tcW w:w="577" w:type="pct"/>
            <w:shd w:val="clear" w:color="auto" w:fill="auto"/>
          </w:tcPr>
          <w:p w14:paraId="7CE17272" w14:textId="77777777" w:rsidR="00B07060" w:rsidRPr="0021268C"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sidRPr="0021268C">
              <w:rPr>
                <w:rFonts w:ascii="Book Antiqua" w:eastAsia="Malgun Gothic" w:hAnsi="Book Antiqua" w:cs="Arial"/>
                <w:color w:val="000000" w:themeColor="text1"/>
                <w:kern w:val="2"/>
              </w:rPr>
              <w:t>0.32</w:t>
            </w:r>
          </w:p>
        </w:tc>
        <w:tc>
          <w:tcPr>
            <w:tcW w:w="1154" w:type="pct"/>
            <w:shd w:val="clear" w:color="auto" w:fill="auto"/>
          </w:tcPr>
          <w:p w14:paraId="6FF081F0"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w:t>
            </w:r>
          </w:p>
        </w:tc>
        <w:tc>
          <w:tcPr>
            <w:tcW w:w="961" w:type="pct"/>
            <w:shd w:val="clear" w:color="auto" w:fill="auto"/>
          </w:tcPr>
          <w:p w14:paraId="78B5BE35"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w:t>
            </w:r>
          </w:p>
        </w:tc>
      </w:tr>
      <w:tr w:rsidR="00191AC5" w:rsidRPr="0021268C" w14:paraId="13615ECE" w14:textId="77777777" w:rsidTr="00191AC5">
        <w:trPr>
          <w:trHeight w:val="283"/>
        </w:trPr>
        <w:tc>
          <w:tcPr>
            <w:tcW w:w="1346" w:type="pct"/>
            <w:shd w:val="clear" w:color="auto" w:fill="auto"/>
            <w:noWrap/>
          </w:tcPr>
          <w:p w14:paraId="439A93B3"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AFP (</w:t>
            </w:r>
            <w:r w:rsidRPr="0021268C">
              <w:rPr>
                <w:rFonts w:ascii="Book Antiqua" w:eastAsia="Malgun Gothic" w:hAnsi="Book Antiqua" w:cs="Arial"/>
                <w:color w:val="000000" w:themeColor="text1"/>
                <w:kern w:val="2"/>
              </w:rPr>
              <w:t>≥</w:t>
            </w:r>
            <w:r w:rsidRPr="0021268C">
              <w:rPr>
                <w:rFonts w:ascii="Book Antiqua" w:eastAsiaTheme="minorEastAsia" w:hAnsi="Book Antiqua" w:cs="Arial"/>
                <w:color w:val="000000" w:themeColor="text1"/>
                <w:kern w:val="2"/>
              </w:rPr>
              <w:t xml:space="preserve"> 20 ng/mL)</w:t>
            </w:r>
          </w:p>
        </w:tc>
        <w:tc>
          <w:tcPr>
            <w:tcW w:w="962" w:type="pct"/>
            <w:shd w:val="clear" w:color="auto" w:fill="auto"/>
          </w:tcPr>
          <w:p w14:paraId="1C210F60" w14:textId="77777777" w:rsidR="00B07060" w:rsidRPr="0021268C"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sidRPr="0021268C">
              <w:rPr>
                <w:rFonts w:ascii="Book Antiqua" w:eastAsiaTheme="minorEastAsia" w:hAnsi="Book Antiqua" w:cs="Arial"/>
                <w:color w:val="000000" w:themeColor="text1"/>
                <w:kern w:val="2"/>
              </w:rPr>
              <w:t>2.27 (1.713.04)</w:t>
            </w:r>
          </w:p>
        </w:tc>
        <w:tc>
          <w:tcPr>
            <w:tcW w:w="577" w:type="pct"/>
            <w:shd w:val="clear" w:color="auto" w:fill="auto"/>
          </w:tcPr>
          <w:p w14:paraId="3B578515" w14:textId="77777777" w:rsidR="00B07060" w:rsidRPr="0021268C" w:rsidRDefault="005635E1">
            <w:pPr>
              <w:pStyle w:val="a6"/>
              <w:spacing w:before="0" w:beforeAutospacing="0" w:after="0" w:afterAutospacing="0" w:line="360" w:lineRule="auto"/>
              <w:jc w:val="both"/>
              <w:rPr>
                <w:rFonts w:ascii="Book Antiqua" w:eastAsia="Malgun Gothic" w:hAnsi="Book Antiqua" w:cs="Arial"/>
                <w:color w:val="000000" w:themeColor="text1"/>
                <w:kern w:val="2"/>
              </w:rPr>
            </w:pPr>
            <w:r w:rsidRPr="0021268C">
              <w:rPr>
                <w:rFonts w:ascii="Book Antiqua" w:eastAsia="Malgun Gothic" w:hAnsi="Book Antiqua" w:cs="Arial"/>
                <w:color w:val="000000" w:themeColor="text1"/>
                <w:kern w:val="2"/>
              </w:rPr>
              <w:t>&lt;</w:t>
            </w:r>
            <w:r w:rsidRPr="0021268C">
              <w:rPr>
                <w:rFonts w:ascii="Book Antiqua" w:eastAsiaTheme="minorEastAsia" w:hAnsi="Book Antiqua" w:cs="Arial"/>
                <w:color w:val="000000" w:themeColor="text1"/>
                <w:kern w:val="2"/>
                <w:lang w:eastAsia="zh-CN"/>
              </w:rPr>
              <w:t xml:space="preserve"> </w:t>
            </w:r>
            <w:r w:rsidRPr="0021268C">
              <w:rPr>
                <w:rFonts w:ascii="Book Antiqua" w:eastAsia="Malgun Gothic" w:hAnsi="Book Antiqua" w:cs="Arial"/>
                <w:color w:val="000000" w:themeColor="text1"/>
                <w:kern w:val="2"/>
              </w:rPr>
              <w:t>0.001</w:t>
            </w:r>
          </w:p>
        </w:tc>
        <w:tc>
          <w:tcPr>
            <w:tcW w:w="1154" w:type="pct"/>
            <w:shd w:val="clear" w:color="auto" w:fill="auto"/>
          </w:tcPr>
          <w:p w14:paraId="27993ABE" w14:textId="77777777" w:rsidR="00B07060" w:rsidRPr="0021268C" w:rsidRDefault="005635E1">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1.54 (1.13–2.11)</w:t>
            </w:r>
          </w:p>
        </w:tc>
        <w:tc>
          <w:tcPr>
            <w:tcW w:w="961" w:type="pct"/>
            <w:shd w:val="clear" w:color="auto" w:fill="auto"/>
          </w:tcPr>
          <w:p w14:paraId="3C6F42C5" w14:textId="77777777" w:rsidR="00B07060" w:rsidRPr="0021268C" w:rsidRDefault="005635E1">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Malgun Gothic" w:hAnsi="Book Antiqua" w:cs="Arial"/>
                <w:kern w:val="2"/>
              </w:rPr>
              <w:t>0.007</w:t>
            </w:r>
          </w:p>
        </w:tc>
      </w:tr>
      <w:tr w:rsidR="00191AC5" w:rsidRPr="0021268C" w14:paraId="19D74E86" w14:textId="77777777" w:rsidTr="00191AC5">
        <w:trPr>
          <w:trHeight w:val="283"/>
        </w:trPr>
        <w:tc>
          <w:tcPr>
            <w:tcW w:w="1346" w:type="pct"/>
            <w:shd w:val="clear" w:color="auto" w:fill="auto"/>
            <w:noWrap/>
          </w:tcPr>
          <w:p w14:paraId="197EB325"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Age</w:t>
            </w:r>
          </w:p>
        </w:tc>
        <w:tc>
          <w:tcPr>
            <w:tcW w:w="962" w:type="pct"/>
            <w:shd w:val="clear" w:color="auto" w:fill="auto"/>
          </w:tcPr>
          <w:p w14:paraId="2CAB4FA9"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0.99 (0.98–1.01)</w:t>
            </w:r>
          </w:p>
        </w:tc>
        <w:tc>
          <w:tcPr>
            <w:tcW w:w="577" w:type="pct"/>
            <w:shd w:val="clear" w:color="auto" w:fill="auto"/>
          </w:tcPr>
          <w:p w14:paraId="431BC93B"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0.30</w:t>
            </w:r>
          </w:p>
        </w:tc>
        <w:tc>
          <w:tcPr>
            <w:tcW w:w="1154" w:type="pct"/>
            <w:shd w:val="clear" w:color="auto" w:fill="auto"/>
          </w:tcPr>
          <w:p w14:paraId="1C03B72D"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c>
          <w:tcPr>
            <w:tcW w:w="961" w:type="pct"/>
            <w:shd w:val="clear" w:color="auto" w:fill="auto"/>
          </w:tcPr>
          <w:p w14:paraId="5596EB8C"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r>
      <w:tr w:rsidR="00191AC5" w:rsidRPr="0021268C" w14:paraId="2E288C3A" w14:textId="77777777" w:rsidTr="00191AC5">
        <w:trPr>
          <w:trHeight w:val="71"/>
        </w:trPr>
        <w:tc>
          <w:tcPr>
            <w:tcW w:w="1346" w:type="pct"/>
            <w:shd w:val="clear" w:color="auto" w:fill="auto"/>
            <w:noWrap/>
          </w:tcPr>
          <w:p w14:paraId="73EC3D66"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Male sex</w:t>
            </w:r>
          </w:p>
        </w:tc>
        <w:tc>
          <w:tcPr>
            <w:tcW w:w="962" w:type="pct"/>
            <w:shd w:val="clear" w:color="auto" w:fill="auto"/>
          </w:tcPr>
          <w:p w14:paraId="48FC6046"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1.32 (0.91–1.92)</w:t>
            </w:r>
          </w:p>
        </w:tc>
        <w:tc>
          <w:tcPr>
            <w:tcW w:w="577" w:type="pct"/>
            <w:shd w:val="clear" w:color="auto" w:fill="auto"/>
          </w:tcPr>
          <w:p w14:paraId="15063EC4"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0.15</w:t>
            </w:r>
          </w:p>
        </w:tc>
        <w:tc>
          <w:tcPr>
            <w:tcW w:w="1154" w:type="pct"/>
            <w:shd w:val="clear" w:color="auto" w:fill="auto"/>
          </w:tcPr>
          <w:p w14:paraId="2BA296CF"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c>
          <w:tcPr>
            <w:tcW w:w="961" w:type="pct"/>
            <w:shd w:val="clear" w:color="auto" w:fill="auto"/>
          </w:tcPr>
          <w:p w14:paraId="1780401E"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r>
      <w:tr w:rsidR="00191AC5" w:rsidRPr="0021268C" w14:paraId="558B28E9" w14:textId="77777777" w:rsidTr="00191AC5">
        <w:trPr>
          <w:trHeight w:val="219"/>
        </w:trPr>
        <w:tc>
          <w:tcPr>
            <w:tcW w:w="1346" w:type="pct"/>
            <w:shd w:val="clear" w:color="auto" w:fill="auto"/>
            <w:noWrap/>
          </w:tcPr>
          <w:p w14:paraId="649851ED"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BMI &gt; 25 mg/m</w:t>
            </w:r>
            <w:r w:rsidRPr="0021268C">
              <w:rPr>
                <w:rFonts w:ascii="Book Antiqua" w:eastAsiaTheme="minorEastAsia" w:hAnsi="Book Antiqua" w:cs="Arial"/>
                <w:color w:val="000000" w:themeColor="text1"/>
                <w:kern w:val="2"/>
                <w:position w:val="7"/>
                <w:vertAlign w:val="superscript"/>
              </w:rPr>
              <w:t>2</w:t>
            </w:r>
          </w:p>
        </w:tc>
        <w:tc>
          <w:tcPr>
            <w:tcW w:w="962" w:type="pct"/>
            <w:shd w:val="clear" w:color="auto" w:fill="auto"/>
          </w:tcPr>
          <w:p w14:paraId="428BEE87"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0.67 (0.50–0.91)</w:t>
            </w:r>
          </w:p>
        </w:tc>
        <w:tc>
          <w:tcPr>
            <w:tcW w:w="577" w:type="pct"/>
            <w:shd w:val="clear" w:color="auto" w:fill="auto"/>
          </w:tcPr>
          <w:p w14:paraId="0D4A8D6F"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0.01</w:t>
            </w:r>
          </w:p>
        </w:tc>
        <w:tc>
          <w:tcPr>
            <w:tcW w:w="1154" w:type="pct"/>
            <w:shd w:val="clear" w:color="auto" w:fill="auto"/>
          </w:tcPr>
          <w:p w14:paraId="00208D61"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0.72 (0.53–0.97)</w:t>
            </w:r>
          </w:p>
        </w:tc>
        <w:tc>
          <w:tcPr>
            <w:tcW w:w="961" w:type="pct"/>
            <w:shd w:val="clear" w:color="auto" w:fill="auto"/>
          </w:tcPr>
          <w:p w14:paraId="7BDC8299"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0.03</w:t>
            </w:r>
          </w:p>
        </w:tc>
      </w:tr>
      <w:tr w:rsidR="00191AC5" w:rsidRPr="0021268C" w14:paraId="7113AB3A" w14:textId="77777777" w:rsidTr="00191AC5">
        <w:trPr>
          <w:trHeight w:val="283"/>
        </w:trPr>
        <w:tc>
          <w:tcPr>
            <w:tcW w:w="1346" w:type="pct"/>
            <w:shd w:val="clear" w:color="auto" w:fill="auto"/>
            <w:noWrap/>
          </w:tcPr>
          <w:p w14:paraId="56AD4823"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Presence of cirrhosis</w:t>
            </w:r>
          </w:p>
        </w:tc>
        <w:tc>
          <w:tcPr>
            <w:tcW w:w="962" w:type="pct"/>
            <w:shd w:val="clear" w:color="auto" w:fill="auto"/>
          </w:tcPr>
          <w:p w14:paraId="50B54A38"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1.04 (0.74–1.46)</w:t>
            </w:r>
          </w:p>
        </w:tc>
        <w:tc>
          <w:tcPr>
            <w:tcW w:w="577" w:type="pct"/>
            <w:shd w:val="clear" w:color="auto" w:fill="auto"/>
          </w:tcPr>
          <w:p w14:paraId="55ED2893"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0.81</w:t>
            </w:r>
          </w:p>
        </w:tc>
        <w:tc>
          <w:tcPr>
            <w:tcW w:w="1154" w:type="pct"/>
            <w:shd w:val="clear" w:color="auto" w:fill="auto"/>
          </w:tcPr>
          <w:p w14:paraId="063A6E44"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c>
          <w:tcPr>
            <w:tcW w:w="961" w:type="pct"/>
            <w:shd w:val="clear" w:color="auto" w:fill="auto"/>
          </w:tcPr>
          <w:p w14:paraId="0AA4D889"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r>
      <w:tr w:rsidR="00191AC5" w:rsidRPr="0021268C" w14:paraId="2112403E" w14:textId="77777777" w:rsidTr="00191AC5">
        <w:trPr>
          <w:trHeight w:val="283"/>
        </w:trPr>
        <w:tc>
          <w:tcPr>
            <w:tcW w:w="1346" w:type="pct"/>
            <w:shd w:val="clear" w:color="auto" w:fill="auto"/>
            <w:noWrap/>
          </w:tcPr>
          <w:p w14:paraId="1A9CB766"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lang w:eastAsia="zh-CN"/>
              </w:rPr>
            </w:pPr>
            <w:r w:rsidRPr="0021268C">
              <w:rPr>
                <w:rFonts w:ascii="Book Antiqua" w:eastAsiaTheme="minorEastAsia" w:hAnsi="Book Antiqua" w:cs="Arial"/>
                <w:color w:val="000000" w:themeColor="text1"/>
                <w:kern w:val="2"/>
              </w:rPr>
              <w:t>Child-Pugh class B or C</w:t>
            </w:r>
          </w:p>
        </w:tc>
        <w:tc>
          <w:tcPr>
            <w:tcW w:w="962" w:type="pct"/>
            <w:shd w:val="clear" w:color="auto" w:fill="auto"/>
          </w:tcPr>
          <w:p w14:paraId="09348A1E"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2.17 (1.48–3.18)</w:t>
            </w:r>
          </w:p>
        </w:tc>
        <w:tc>
          <w:tcPr>
            <w:tcW w:w="577" w:type="pct"/>
            <w:shd w:val="clear" w:color="auto" w:fill="auto"/>
          </w:tcPr>
          <w:p w14:paraId="3FA34E01" w14:textId="77777777" w:rsidR="00B07060" w:rsidRPr="0021268C" w:rsidRDefault="005635E1">
            <w:pPr>
              <w:pStyle w:val="a6"/>
              <w:spacing w:before="0" w:beforeAutospacing="0" w:after="0" w:afterAutospacing="0" w:line="360" w:lineRule="auto"/>
              <w:jc w:val="both"/>
              <w:rPr>
                <w:rFonts w:ascii="Book Antiqua" w:hAnsi="Book Antiqua" w:cs="Arial"/>
                <w:color w:val="000000" w:themeColor="text1"/>
              </w:rPr>
            </w:pPr>
            <w:r w:rsidRPr="0021268C">
              <w:rPr>
                <w:rFonts w:ascii="Book Antiqua" w:eastAsiaTheme="minorEastAsia" w:hAnsi="Book Antiqua" w:cs="Arial"/>
                <w:color w:val="000000" w:themeColor="text1"/>
                <w:kern w:val="2"/>
              </w:rPr>
              <w:t>&lt;</w:t>
            </w:r>
            <w:r w:rsidRPr="0021268C">
              <w:rPr>
                <w:rFonts w:ascii="Book Antiqua" w:eastAsiaTheme="minorEastAsia" w:hAnsi="Book Antiqua" w:cs="Arial"/>
                <w:color w:val="000000" w:themeColor="text1"/>
                <w:kern w:val="2"/>
                <w:lang w:eastAsia="zh-CN"/>
              </w:rPr>
              <w:t xml:space="preserve"> </w:t>
            </w:r>
            <w:r w:rsidRPr="0021268C">
              <w:rPr>
                <w:rFonts w:ascii="Book Antiqua" w:eastAsiaTheme="minorEastAsia" w:hAnsi="Book Antiqua" w:cs="Arial"/>
                <w:color w:val="000000" w:themeColor="text1"/>
                <w:kern w:val="2"/>
              </w:rPr>
              <w:t>0.001</w:t>
            </w:r>
          </w:p>
        </w:tc>
        <w:tc>
          <w:tcPr>
            <w:tcW w:w="1154" w:type="pct"/>
            <w:shd w:val="clear" w:color="auto" w:fill="auto"/>
          </w:tcPr>
          <w:p w14:paraId="76F46389"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1.54 (1.01–2.35)</w:t>
            </w:r>
          </w:p>
        </w:tc>
        <w:tc>
          <w:tcPr>
            <w:tcW w:w="961" w:type="pct"/>
            <w:shd w:val="clear" w:color="auto" w:fill="auto"/>
          </w:tcPr>
          <w:p w14:paraId="189B838C" w14:textId="77777777" w:rsidR="00B07060" w:rsidRPr="0021268C" w:rsidRDefault="005635E1">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0.05</w:t>
            </w:r>
          </w:p>
        </w:tc>
      </w:tr>
      <w:tr w:rsidR="00191AC5" w:rsidRPr="0021268C" w14:paraId="1B1CA325" w14:textId="77777777" w:rsidTr="00191AC5">
        <w:trPr>
          <w:trHeight w:val="283"/>
        </w:trPr>
        <w:tc>
          <w:tcPr>
            <w:tcW w:w="1346" w:type="pct"/>
            <w:shd w:val="clear" w:color="auto" w:fill="auto"/>
            <w:noWrap/>
          </w:tcPr>
          <w:p w14:paraId="54374EB5"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NLR &gt; 4</w:t>
            </w:r>
          </w:p>
        </w:tc>
        <w:tc>
          <w:tcPr>
            <w:tcW w:w="962" w:type="pct"/>
            <w:shd w:val="clear" w:color="auto" w:fill="auto"/>
          </w:tcPr>
          <w:p w14:paraId="68D35AD4"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2.13 (1.45–3.12)</w:t>
            </w:r>
          </w:p>
        </w:tc>
        <w:tc>
          <w:tcPr>
            <w:tcW w:w="577" w:type="pct"/>
            <w:shd w:val="clear" w:color="auto" w:fill="auto"/>
          </w:tcPr>
          <w:p w14:paraId="0F50787F"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&lt;</w:t>
            </w:r>
            <w:r w:rsidRPr="0021268C">
              <w:rPr>
                <w:rFonts w:ascii="Book Antiqua" w:eastAsiaTheme="minorEastAsia" w:hAnsi="Book Antiqua" w:cs="Arial"/>
                <w:color w:val="000000" w:themeColor="text1"/>
                <w:kern w:val="2"/>
                <w:lang w:eastAsia="zh-CN"/>
              </w:rPr>
              <w:t xml:space="preserve"> </w:t>
            </w:r>
            <w:r w:rsidRPr="0021268C">
              <w:rPr>
                <w:rFonts w:ascii="Book Antiqua" w:eastAsiaTheme="minorEastAsia" w:hAnsi="Book Antiqua" w:cs="Arial"/>
                <w:color w:val="000000" w:themeColor="text1"/>
                <w:kern w:val="2"/>
              </w:rPr>
              <w:t>0.001</w:t>
            </w:r>
          </w:p>
        </w:tc>
        <w:tc>
          <w:tcPr>
            <w:tcW w:w="1154" w:type="pct"/>
            <w:shd w:val="clear" w:color="auto" w:fill="auto"/>
          </w:tcPr>
          <w:p w14:paraId="1D2B4ED2"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1.95 (1.23–3.08)</w:t>
            </w:r>
          </w:p>
        </w:tc>
        <w:tc>
          <w:tcPr>
            <w:tcW w:w="961" w:type="pct"/>
            <w:shd w:val="clear" w:color="auto" w:fill="auto"/>
          </w:tcPr>
          <w:p w14:paraId="217B87FC"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0.004</w:t>
            </w:r>
          </w:p>
        </w:tc>
      </w:tr>
      <w:tr w:rsidR="00191AC5" w:rsidRPr="0021268C" w14:paraId="52325F1A" w14:textId="77777777" w:rsidTr="00191AC5">
        <w:trPr>
          <w:trHeight w:val="283"/>
        </w:trPr>
        <w:tc>
          <w:tcPr>
            <w:tcW w:w="1346" w:type="pct"/>
            <w:shd w:val="clear" w:color="auto" w:fill="auto"/>
            <w:noWrap/>
          </w:tcPr>
          <w:p w14:paraId="34AB78B1"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PLR &gt; 150</w:t>
            </w:r>
          </w:p>
        </w:tc>
        <w:tc>
          <w:tcPr>
            <w:tcW w:w="962" w:type="pct"/>
            <w:shd w:val="clear" w:color="auto" w:fill="auto"/>
          </w:tcPr>
          <w:p w14:paraId="3141E542"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2.05 (1.45–2.90)</w:t>
            </w:r>
          </w:p>
        </w:tc>
        <w:tc>
          <w:tcPr>
            <w:tcW w:w="577" w:type="pct"/>
            <w:shd w:val="clear" w:color="auto" w:fill="auto"/>
          </w:tcPr>
          <w:p w14:paraId="4804EF57"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color w:val="000000" w:themeColor="text1"/>
                <w:kern w:val="2"/>
              </w:rPr>
            </w:pPr>
            <w:r w:rsidRPr="0021268C">
              <w:rPr>
                <w:rFonts w:ascii="Book Antiqua" w:eastAsiaTheme="minorEastAsia" w:hAnsi="Book Antiqua" w:cs="Arial"/>
                <w:color w:val="000000" w:themeColor="text1"/>
                <w:kern w:val="2"/>
              </w:rPr>
              <w:t>&lt;</w:t>
            </w:r>
            <w:r w:rsidRPr="0021268C">
              <w:rPr>
                <w:rFonts w:ascii="Book Antiqua" w:eastAsiaTheme="minorEastAsia" w:hAnsi="Book Antiqua" w:cs="Arial"/>
                <w:color w:val="000000" w:themeColor="text1"/>
                <w:kern w:val="2"/>
                <w:lang w:eastAsia="zh-CN"/>
              </w:rPr>
              <w:t xml:space="preserve"> </w:t>
            </w:r>
            <w:r w:rsidRPr="0021268C">
              <w:rPr>
                <w:rFonts w:ascii="Book Antiqua" w:eastAsiaTheme="minorEastAsia" w:hAnsi="Book Antiqua" w:cs="Arial"/>
                <w:color w:val="000000" w:themeColor="text1"/>
                <w:kern w:val="2"/>
              </w:rPr>
              <w:t>0.001</w:t>
            </w:r>
          </w:p>
        </w:tc>
        <w:tc>
          <w:tcPr>
            <w:tcW w:w="1154" w:type="pct"/>
            <w:shd w:val="clear" w:color="auto" w:fill="auto"/>
          </w:tcPr>
          <w:p w14:paraId="005EB8B2"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1.02 (0.67–1.57)</w:t>
            </w:r>
          </w:p>
        </w:tc>
        <w:tc>
          <w:tcPr>
            <w:tcW w:w="961" w:type="pct"/>
            <w:shd w:val="clear" w:color="auto" w:fill="auto"/>
          </w:tcPr>
          <w:p w14:paraId="4CE04135" w14:textId="77777777" w:rsidR="00B07060" w:rsidRPr="0021268C" w:rsidRDefault="005635E1">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0.93</w:t>
            </w:r>
          </w:p>
        </w:tc>
      </w:tr>
      <w:tr w:rsidR="008852ED" w:rsidRPr="0021268C" w14:paraId="38E2DFD2" w14:textId="77777777" w:rsidTr="008852ED">
        <w:trPr>
          <w:trHeight w:val="29"/>
        </w:trPr>
        <w:tc>
          <w:tcPr>
            <w:tcW w:w="1346" w:type="pct"/>
            <w:shd w:val="clear" w:color="auto" w:fill="auto"/>
            <w:noWrap/>
          </w:tcPr>
          <w:p w14:paraId="022895CD" w14:textId="79F71F10" w:rsidR="008852ED" w:rsidRPr="0021268C" w:rsidRDefault="008852ED" w:rsidP="008852ED">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TNM stage</w:t>
            </w:r>
          </w:p>
        </w:tc>
        <w:tc>
          <w:tcPr>
            <w:tcW w:w="962" w:type="pct"/>
            <w:shd w:val="clear" w:color="auto" w:fill="auto"/>
          </w:tcPr>
          <w:p w14:paraId="2B773DC9" w14:textId="3DE8FC2D" w:rsidR="008852ED" w:rsidRPr="0021268C" w:rsidRDefault="008852ED">
            <w:pPr>
              <w:pStyle w:val="a6"/>
              <w:spacing w:before="0" w:beforeAutospacing="0" w:after="0" w:afterAutospacing="0" w:line="360" w:lineRule="auto"/>
              <w:jc w:val="both"/>
              <w:rPr>
                <w:rFonts w:ascii="Book Antiqua" w:hAnsi="Book Antiqua" w:cs="Arial"/>
              </w:rPr>
            </w:pPr>
          </w:p>
        </w:tc>
        <w:tc>
          <w:tcPr>
            <w:tcW w:w="577" w:type="pct"/>
            <w:shd w:val="clear" w:color="auto" w:fill="auto"/>
          </w:tcPr>
          <w:p w14:paraId="09FC5F24" w14:textId="46124AA9" w:rsidR="008852ED" w:rsidRPr="0021268C" w:rsidRDefault="008852ED">
            <w:pPr>
              <w:pStyle w:val="a6"/>
              <w:spacing w:before="0" w:beforeAutospacing="0" w:after="0" w:afterAutospacing="0" w:line="360" w:lineRule="auto"/>
              <w:jc w:val="both"/>
              <w:rPr>
                <w:rFonts w:ascii="Book Antiqua" w:hAnsi="Book Antiqua" w:cs="Arial"/>
              </w:rPr>
            </w:pPr>
          </w:p>
        </w:tc>
        <w:tc>
          <w:tcPr>
            <w:tcW w:w="1153" w:type="pct"/>
            <w:shd w:val="clear" w:color="auto" w:fill="auto"/>
          </w:tcPr>
          <w:p w14:paraId="483C8EAB" w14:textId="3E6F7B35" w:rsidR="008852ED" w:rsidRPr="0021268C" w:rsidRDefault="008852ED">
            <w:pPr>
              <w:pStyle w:val="a6"/>
              <w:spacing w:before="0" w:beforeAutospacing="0" w:after="0" w:afterAutospacing="0" w:line="360" w:lineRule="auto"/>
              <w:jc w:val="both"/>
              <w:rPr>
                <w:rFonts w:ascii="Book Antiqua" w:hAnsi="Book Antiqua" w:cs="Arial"/>
              </w:rPr>
            </w:pPr>
          </w:p>
        </w:tc>
        <w:tc>
          <w:tcPr>
            <w:tcW w:w="962" w:type="pct"/>
            <w:shd w:val="clear" w:color="auto" w:fill="auto"/>
          </w:tcPr>
          <w:p w14:paraId="01F897C4" w14:textId="109BA8F8" w:rsidR="008852ED" w:rsidRPr="0021268C" w:rsidRDefault="008852ED">
            <w:pPr>
              <w:pStyle w:val="a6"/>
              <w:spacing w:before="0" w:beforeAutospacing="0" w:after="0" w:afterAutospacing="0" w:line="360" w:lineRule="auto"/>
              <w:jc w:val="both"/>
              <w:rPr>
                <w:rFonts w:ascii="Book Antiqua" w:hAnsi="Book Antiqua" w:cs="Arial"/>
              </w:rPr>
            </w:pPr>
          </w:p>
        </w:tc>
      </w:tr>
      <w:tr w:rsidR="008852ED" w:rsidRPr="0021268C" w14:paraId="5A4A9457" w14:textId="77777777" w:rsidTr="008852ED">
        <w:trPr>
          <w:trHeight w:val="313"/>
        </w:trPr>
        <w:tc>
          <w:tcPr>
            <w:tcW w:w="1346" w:type="pct"/>
            <w:shd w:val="clear" w:color="auto" w:fill="auto"/>
            <w:noWrap/>
          </w:tcPr>
          <w:p w14:paraId="54307F03" w14:textId="55F6D931" w:rsidR="008852ED" w:rsidRPr="0021268C" w:rsidRDefault="008852ED" w:rsidP="008852ED">
            <w:pPr>
              <w:pStyle w:val="a6"/>
              <w:spacing w:before="0" w:beforeAutospacing="0" w:after="0" w:afterAutospacing="0" w:line="360" w:lineRule="auto"/>
              <w:ind w:firstLineChars="100" w:firstLine="240"/>
              <w:jc w:val="both"/>
              <w:rPr>
                <w:rFonts w:ascii="Book Antiqua" w:eastAsia="Malgun Gothic" w:hAnsi="Book Antiqua" w:cs="Arial"/>
                <w:kern w:val="2"/>
              </w:rPr>
            </w:pPr>
            <w:r w:rsidRPr="0021268C">
              <w:rPr>
                <w:rFonts w:ascii="Book Antiqua" w:eastAsiaTheme="minorEastAsia" w:hAnsi="Book Antiqua" w:cs="Arial"/>
                <w:kern w:val="2"/>
              </w:rPr>
              <w:t>I</w:t>
            </w:r>
          </w:p>
        </w:tc>
        <w:tc>
          <w:tcPr>
            <w:tcW w:w="962" w:type="pct"/>
            <w:shd w:val="clear" w:color="auto" w:fill="auto"/>
          </w:tcPr>
          <w:p w14:paraId="6385741F" w14:textId="1AFC16EA"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Malgun Gothic" w:hAnsi="Book Antiqua" w:cs="Arial"/>
                <w:kern w:val="2"/>
              </w:rPr>
              <w:t>Reference</w:t>
            </w:r>
          </w:p>
        </w:tc>
        <w:tc>
          <w:tcPr>
            <w:tcW w:w="577" w:type="pct"/>
            <w:shd w:val="clear" w:color="auto" w:fill="auto"/>
          </w:tcPr>
          <w:p w14:paraId="11C4C7E5" w14:textId="5407D990"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Malgun Gothic" w:hAnsi="Book Antiqua" w:cs="Arial"/>
                <w:kern w:val="2"/>
              </w:rPr>
              <w:t>–</w:t>
            </w:r>
          </w:p>
        </w:tc>
        <w:tc>
          <w:tcPr>
            <w:tcW w:w="1153" w:type="pct"/>
            <w:shd w:val="clear" w:color="auto" w:fill="auto"/>
          </w:tcPr>
          <w:p w14:paraId="45354E9E" w14:textId="4C3238E3" w:rsidR="008852ED" w:rsidRPr="0021268C" w:rsidRDefault="008852ED">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Reference</w:t>
            </w:r>
          </w:p>
        </w:tc>
        <w:tc>
          <w:tcPr>
            <w:tcW w:w="962" w:type="pct"/>
            <w:shd w:val="clear" w:color="auto" w:fill="auto"/>
          </w:tcPr>
          <w:p w14:paraId="2270BE8B" w14:textId="61B7445E" w:rsidR="008852ED" w:rsidRPr="0021268C" w:rsidRDefault="008852ED">
            <w:pPr>
              <w:pStyle w:val="a6"/>
              <w:spacing w:before="0" w:beforeAutospacing="0" w:after="0" w:afterAutospacing="0" w:line="360" w:lineRule="auto"/>
              <w:jc w:val="both"/>
              <w:rPr>
                <w:rFonts w:ascii="Book Antiqua" w:hAnsi="Book Antiqua" w:cs="Arial"/>
              </w:rPr>
            </w:pPr>
            <w:r w:rsidRPr="0021268C">
              <w:rPr>
                <w:rFonts w:ascii="Book Antiqua" w:eastAsiaTheme="minorEastAsia" w:hAnsi="Book Antiqua" w:cs="Arial"/>
                <w:kern w:val="2"/>
              </w:rPr>
              <w:t>–</w:t>
            </w:r>
          </w:p>
        </w:tc>
      </w:tr>
      <w:tr w:rsidR="008852ED" w:rsidRPr="0021268C" w14:paraId="2C570316" w14:textId="77777777" w:rsidTr="008852ED">
        <w:trPr>
          <w:trHeight w:val="27"/>
        </w:trPr>
        <w:tc>
          <w:tcPr>
            <w:tcW w:w="1346" w:type="pct"/>
            <w:shd w:val="clear" w:color="auto" w:fill="auto"/>
            <w:noWrap/>
          </w:tcPr>
          <w:p w14:paraId="09BCFA39" w14:textId="3FC07936" w:rsidR="008852ED" w:rsidRPr="0021268C" w:rsidRDefault="008852ED" w:rsidP="008852ED">
            <w:pPr>
              <w:pStyle w:val="a6"/>
              <w:spacing w:before="0" w:beforeAutospacing="0" w:after="0" w:afterAutospacing="0" w:line="360" w:lineRule="auto"/>
              <w:ind w:firstLineChars="100" w:firstLine="240"/>
              <w:jc w:val="both"/>
              <w:rPr>
                <w:rFonts w:ascii="Book Antiqua" w:hAnsi="Book Antiqua" w:cs="Arial"/>
              </w:rPr>
            </w:pPr>
            <w:r w:rsidRPr="0021268C">
              <w:rPr>
                <w:rFonts w:ascii="Book Antiqua" w:eastAsiaTheme="minorEastAsia" w:hAnsi="Book Antiqua" w:cs="Arial"/>
                <w:kern w:val="2"/>
              </w:rPr>
              <w:lastRenderedPageBreak/>
              <w:t>II</w:t>
            </w:r>
          </w:p>
        </w:tc>
        <w:tc>
          <w:tcPr>
            <w:tcW w:w="962" w:type="pct"/>
            <w:shd w:val="clear" w:color="auto" w:fill="auto"/>
          </w:tcPr>
          <w:p w14:paraId="31D81D5F" w14:textId="09FCD0EA" w:rsidR="008852ED" w:rsidRPr="0021268C" w:rsidRDefault="008852ED">
            <w:pPr>
              <w:pStyle w:val="a6"/>
              <w:spacing w:before="0" w:beforeAutospacing="0" w:after="0" w:afterAutospacing="0" w:line="360" w:lineRule="auto"/>
              <w:jc w:val="both"/>
              <w:rPr>
                <w:rFonts w:ascii="Book Antiqua" w:hAnsi="Book Antiqua" w:cs="Arial"/>
              </w:rPr>
            </w:pPr>
            <w:r w:rsidRPr="0021268C">
              <w:rPr>
                <w:rFonts w:ascii="Book Antiqua" w:eastAsia="Malgun Gothic" w:hAnsi="Book Antiqua" w:cs="Arial"/>
                <w:kern w:val="2"/>
              </w:rPr>
              <w:t>1.94 (1.31–2.89)</w:t>
            </w:r>
          </w:p>
        </w:tc>
        <w:tc>
          <w:tcPr>
            <w:tcW w:w="577" w:type="pct"/>
            <w:shd w:val="clear" w:color="auto" w:fill="auto"/>
          </w:tcPr>
          <w:p w14:paraId="4AEB95FC" w14:textId="42E76318" w:rsidR="008852ED" w:rsidRPr="0021268C" w:rsidRDefault="008852ED">
            <w:pPr>
              <w:pStyle w:val="a6"/>
              <w:spacing w:before="0" w:beforeAutospacing="0" w:after="0" w:afterAutospacing="0" w:line="360" w:lineRule="auto"/>
              <w:jc w:val="both"/>
              <w:rPr>
                <w:rFonts w:ascii="Book Antiqua" w:hAnsi="Book Antiqua" w:cs="Arial"/>
              </w:rPr>
            </w:pPr>
            <w:r w:rsidRPr="0021268C">
              <w:rPr>
                <w:rFonts w:ascii="Book Antiqua" w:eastAsia="Malgun Gothic" w:hAnsi="Book Antiqua" w:cs="Arial"/>
                <w:kern w:val="2"/>
              </w:rPr>
              <w:t>0.001</w:t>
            </w:r>
          </w:p>
        </w:tc>
        <w:tc>
          <w:tcPr>
            <w:tcW w:w="1153" w:type="pct"/>
            <w:shd w:val="clear" w:color="auto" w:fill="auto"/>
          </w:tcPr>
          <w:p w14:paraId="4AE5C188" w14:textId="41D17180"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1.75 (1.16–2.63)</w:t>
            </w:r>
          </w:p>
        </w:tc>
        <w:tc>
          <w:tcPr>
            <w:tcW w:w="962" w:type="pct"/>
            <w:shd w:val="clear" w:color="auto" w:fill="auto"/>
          </w:tcPr>
          <w:p w14:paraId="7A29B022" w14:textId="4F3992F1"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0.008</w:t>
            </w:r>
          </w:p>
        </w:tc>
      </w:tr>
      <w:tr w:rsidR="008852ED" w:rsidRPr="0021268C" w14:paraId="1D5EA817" w14:textId="77777777" w:rsidTr="008852ED">
        <w:trPr>
          <w:trHeight w:val="27"/>
        </w:trPr>
        <w:tc>
          <w:tcPr>
            <w:tcW w:w="1346" w:type="pct"/>
            <w:shd w:val="clear" w:color="auto" w:fill="auto"/>
            <w:noWrap/>
          </w:tcPr>
          <w:p w14:paraId="3D80C994" w14:textId="38D78971" w:rsidR="008852ED" w:rsidRPr="0021268C" w:rsidRDefault="008852ED" w:rsidP="008852ED">
            <w:pPr>
              <w:pStyle w:val="a6"/>
              <w:spacing w:before="0" w:beforeAutospacing="0" w:after="0" w:afterAutospacing="0" w:line="360" w:lineRule="auto"/>
              <w:ind w:firstLine="210"/>
              <w:jc w:val="both"/>
              <w:rPr>
                <w:rFonts w:ascii="Book Antiqua" w:eastAsia="Malgun Gothic" w:hAnsi="Book Antiqua" w:cs="Arial"/>
                <w:kern w:val="2"/>
              </w:rPr>
            </w:pPr>
            <w:r w:rsidRPr="0021268C">
              <w:rPr>
                <w:rFonts w:ascii="Book Antiqua" w:eastAsiaTheme="minorEastAsia" w:hAnsi="Book Antiqua" w:cs="Arial"/>
                <w:kern w:val="2"/>
              </w:rPr>
              <w:t xml:space="preserve">III </w:t>
            </w:r>
          </w:p>
        </w:tc>
        <w:tc>
          <w:tcPr>
            <w:tcW w:w="962" w:type="pct"/>
            <w:shd w:val="clear" w:color="auto" w:fill="auto"/>
          </w:tcPr>
          <w:p w14:paraId="10C218E5" w14:textId="12921A04"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Malgun Gothic" w:hAnsi="Book Antiqua" w:cs="Arial"/>
                <w:kern w:val="2"/>
              </w:rPr>
              <w:t>5.47 (3.81–116.24)</w:t>
            </w:r>
          </w:p>
        </w:tc>
        <w:tc>
          <w:tcPr>
            <w:tcW w:w="577" w:type="pct"/>
            <w:shd w:val="clear" w:color="auto" w:fill="auto"/>
          </w:tcPr>
          <w:p w14:paraId="0141D2C6" w14:textId="05C5DBE8"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Malgun Gothic" w:hAnsi="Book Antiqua" w:cs="Arial"/>
                <w:kern w:val="2"/>
              </w:rPr>
              <w:t>&lt;</w:t>
            </w:r>
            <w:r w:rsidRPr="0021268C">
              <w:rPr>
                <w:rFonts w:ascii="Book Antiqua" w:eastAsiaTheme="minorEastAsia" w:hAnsi="Book Antiqua" w:cs="Arial"/>
                <w:kern w:val="2"/>
                <w:lang w:eastAsia="zh-CN"/>
              </w:rPr>
              <w:t xml:space="preserve"> </w:t>
            </w:r>
            <w:r w:rsidRPr="0021268C">
              <w:rPr>
                <w:rFonts w:ascii="Book Antiqua" w:eastAsia="Malgun Gothic" w:hAnsi="Book Antiqua" w:cs="Arial"/>
                <w:kern w:val="2"/>
              </w:rPr>
              <w:t>0.001</w:t>
            </w:r>
          </w:p>
        </w:tc>
        <w:tc>
          <w:tcPr>
            <w:tcW w:w="1153" w:type="pct"/>
            <w:shd w:val="clear" w:color="auto" w:fill="auto"/>
          </w:tcPr>
          <w:p w14:paraId="553FB7A4" w14:textId="1FDD3EFB"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4.35 (2.91–6.50)</w:t>
            </w:r>
          </w:p>
        </w:tc>
        <w:tc>
          <w:tcPr>
            <w:tcW w:w="962" w:type="pct"/>
            <w:shd w:val="clear" w:color="auto" w:fill="auto"/>
          </w:tcPr>
          <w:p w14:paraId="211E2ADA" w14:textId="33BF5C02" w:rsidR="008852ED" w:rsidRPr="0021268C" w:rsidRDefault="008852ED">
            <w:pPr>
              <w:pStyle w:val="a6"/>
              <w:spacing w:before="0" w:beforeAutospacing="0" w:after="0" w:afterAutospacing="0" w:line="360" w:lineRule="auto"/>
              <w:jc w:val="both"/>
              <w:rPr>
                <w:rFonts w:ascii="Book Antiqua" w:eastAsia="Malgun Gothic" w:hAnsi="Book Antiqua" w:cs="Arial"/>
                <w:kern w:val="2"/>
              </w:rPr>
            </w:pPr>
            <w:r w:rsidRPr="0021268C">
              <w:rPr>
                <w:rFonts w:ascii="Book Antiqua" w:eastAsiaTheme="minorEastAsia" w:hAnsi="Book Antiqua" w:cs="Arial"/>
                <w:kern w:val="2"/>
              </w:rPr>
              <w:t>&lt;</w:t>
            </w:r>
            <w:r w:rsidRPr="0021268C">
              <w:rPr>
                <w:rFonts w:ascii="Book Antiqua" w:eastAsiaTheme="minorEastAsia" w:hAnsi="Book Antiqua" w:cs="Arial"/>
                <w:kern w:val="2"/>
                <w:lang w:eastAsia="zh-CN"/>
              </w:rPr>
              <w:t xml:space="preserve"> </w:t>
            </w:r>
            <w:r w:rsidRPr="0021268C">
              <w:rPr>
                <w:rFonts w:ascii="Book Antiqua" w:eastAsiaTheme="minorEastAsia" w:hAnsi="Book Antiqua" w:cs="Arial"/>
                <w:kern w:val="2"/>
              </w:rPr>
              <w:t>0.001</w:t>
            </w:r>
          </w:p>
        </w:tc>
      </w:tr>
      <w:tr w:rsidR="008852ED" w:rsidRPr="0021268C" w14:paraId="234EA319" w14:textId="77777777" w:rsidTr="008852ED">
        <w:trPr>
          <w:trHeight w:val="329"/>
        </w:trPr>
        <w:tc>
          <w:tcPr>
            <w:tcW w:w="1346" w:type="pct"/>
            <w:shd w:val="clear" w:color="auto" w:fill="auto"/>
            <w:noWrap/>
          </w:tcPr>
          <w:p w14:paraId="59D7CE94" w14:textId="508FD47C" w:rsidR="008852ED" w:rsidRPr="0021268C" w:rsidRDefault="008852ED" w:rsidP="008852ED">
            <w:pPr>
              <w:pStyle w:val="a6"/>
              <w:spacing w:before="0" w:beforeAutospacing="0" w:after="0" w:afterAutospacing="0" w:line="360" w:lineRule="auto"/>
              <w:ind w:firstLineChars="100" w:firstLine="240"/>
              <w:jc w:val="both"/>
              <w:rPr>
                <w:rFonts w:ascii="Book Antiqua" w:eastAsiaTheme="minorEastAsia" w:hAnsi="Book Antiqua" w:cs="Arial"/>
                <w:kern w:val="2"/>
              </w:rPr>
            </w:pPr>
            <w:r w:rsidRPr="0021268C">
              <w:rPr>
                <w:rFonts w:ascii="Book Antiqua" w:eastAsiaTheme="minorEastAsia" w:hAnsi="Book Antiqua" w:cs="Arial"/>
                <w:kern w:val="2"/>
              </w:rPr>
              <w:t>IV</w:t>
            </w:r>
          </w:p>
        </w:tc>
        <w:tc>
          <w:tcPr>
            <w:tcW w:w="962" w:type="pct"/>
            <w:shd w:val="clear" w:color="auto" w:fill="auto"/>
          </w:tcPr>
          <w:p w14:paraId="471CFBBA" w14:textId="2E1F253D" w:rsidR="008852ED" w:rsidRPr="0021268C" w:rsidRDefault="008852ED">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Malgun Gothic" w:hAnsi="Book Antiqua" w:cs="Arial"/>
                <w:kern w:val="2"/>
              </w:rPr>
              <w:t>70.42 (15.00–330.6)</w:t>
            </w:r>
          </w:p>
        </w:tc>
        <w:tc>
          <w:tcPr>
            <w:tcW w:w="577" w:type="pct"/>
            <w:shd w:val="clear" w:color="auto" w:fill="auto"/>
          </w:tcPr>
          <w:p w14:paraId="3DF1E0FE" w14:textId="46C712C1" w:rsidR="008852ED" w:rsidRPr="0021268C" w:rsidRDefault="008852ED">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Malgun Gothic" w:hAnsi="Book Antiqua" w:cs="Arial"/>
                <w:kern w:val="2"/>
              </w:rPr>
              <w:t>&lt;</w:t>
            </w:r>
            <w:r w:rsidRPr="0021268C">
              <w:rPr>
                <w:rFonts w:ascii="Book Antiqua" w:eastAsiaTheme="minorEastAsia" w:hAnsi="Book Antiqua" w:cs="Arial"/>
                <w:kern w:val="2"/>
                <w:lang w:eastAsia="zh-CN"/>
              </w:rPr>
              <w:t xml:space="preserve"> </w:t>
            </w:r>
            <w:r w:rsidRPr="0021268C">
              <w:rPr>
                <w:rFonts w:ascii="Book Antiqua" w:eastAsia="Malgun Gothic" w:hAnsi="Book Antiqua" w:cs="Arial"/>
                <w:kern w:val="2"/>
              </w:rPr>
              <w:t>0.001</w:t>
            </w:r>
          </w:p>
        </w:tc>
        <w:tc>
          <w:tcPr>
            <w:tcW w:w="1153" w:type="pct"/>
            <w:shd w:val="clear" w:color="auto" w:fill="auto"/>
          </w:tcPr>
          <w:p w14:paraId="035142A0" w14:textId="55D67898" w:rsidR="008852ED" w:rsidRPr="0021268C" w:rsidRDefault="008852ED">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9.35 (5.00–17.46)</w:t>
            </w:r>
          </w:p>
        </w:tc>
        <w:tc>
          <w:tcPr>
            <w:tcW w:w="962" w:type="pct"/>
            <w:shd w:val="clear" w:color="auto" w:fill="auto"/>
          </w:tcPr>
          <w:p w14:paraId="53634B5A" w14:textId="3EADFC93" w:rsidR="008852ED" w:rsidRPr="0021268C" w:rsidRDefault="008852ED">
            <w:pPr>
              <w:pStyle w:val="a6"/>
              <w:spacing w:before="0" w:beforeAutospacing="0" w:after="0" w:afterAutospacing="0" w:line="360" w:lineRule="auto"/>
              <w:jc w:val="both"/>
              <w:rPr>
                <w:rFonts w:ascii="Book Antiqua" w:eastAsiaTheme="minorEastAsia" w:hAnsi="Book Antiqua" w:cs="Arial"/>
                <w:kern w:val="2"/>
              </w:rPr>
            </w:pPr>
            <w:r w:rsidRPr="0021268C">
              <w:rPr>
                <w:rFonts w:ascii="Book Antiqua" w:eastAsiaTheme="minorEastAsia" w:hAnsi="Book Antiqua" w:cs="Arial"/>
                <w:kern w:val="2"/>
              </w:rPr>
              <w:t>&lt;</w:t>
            </w:r>
            <w:r w:rsidRPr="0021268C">
              <w:rPr>
                <w:rFonts w:ascii="Book Antiqua" w:eastAsiaTheme="minorEastAsia" w:hAnsi="Book Antiqua" w:cs="Arial"/>
                <w:kern w:val="2"/>
                <w:lang w:eastAsia="zh-CN"/>
              </w:rPr>
              <w:t xml:space="preserve"> </w:t>
            </w:r>
            <w:r w:rsidRPr="0021268C">
              <w:rPr>
                <w:rFonts w:ascii="Book Antiqua" w:eastAsiaTheme="minorEastAsia" w:hAnsi="Book Antiqua" w:cs="Arial"/>
                <w:kern w:val="2"/>
              </w:rPr>
              <w:t>0.001</w:t>
            </w:r>
          </w:p>
        </w:tc>
      </w:tr>
    </w:tbl>
    <w:p w14:paraId="72B14CCE" w14:textId="77777777" w:rsidR="00B07060" w:rsidRPr="0021268C" w:rsidRDefault="005635E1">
      <w:pPr>
        <w:adjustRightInd w:val="0"/>
        <w:snapToGrid w:val="0"/>
        <w:spacing w:line="360" w:lineRule="auto"/>
        <w:jc w:val="both"/>
        <w:rPr>
          <w:rFonts w:ascii="Book Antiqua" w:hAnsi="Book Antiqua"/>
        </w:rPr>
      </w:pPr>
      <w:r w:rsidRPr="0021268C">
        <w:rPr>
          <w:rFonts w:ascii="Book Antiqua" w:hAnsi="Book Antiqua"/>
        </w:rPr>
        <w:t>Cox proportional hazards model with a backward elimination approach was used for multivariable analysis.</w:t>
      </w:r>
      <w:r w:rsidRPr="0021268C">
        <w:rPr>
          <w:rFonts w:ascii="Book Antiqua" w:hAnsi="Book Antiqua"/>
          <w:lang w:eastAsia="zh-CN"/>
        </w:rPr>
        <w:t xml:space="preserve"> </w:t>
      </w:r>
      <w:r w:rsidRPr="0021268C">
        <w:rPr>
          <w:rFonts w:ascii="Book Antiqua" w:hAnsi="Book Antiqua"/>
        </w:rPr>
        <w:t>HR</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azard ratio; CI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C</w:t>
      </w:r>
      <w:r w:rsidRPr="0021268C">
        <w:rPr>
          <w:rFonts w:ascii="Book Antiqua" w:hAnsi="Book Antiqua"/>
        </w:rPr>
        <w:t>onfidence interval; VEGF</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V</w:t>
      </w:r>
      <w:r w:rsidRPr="0021268C">
        <w:rPr>
          <w:rFonts w:ascii="Book Antiqua" w:hAnsi="Book Antiqua"/>
        </w:rPr>
        <w:t>ascular endothelial growth factor; AFP</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A</w:t>
      </w:r>
      <w:r w:rsidRPr="0021268C">
        <w:rPr>
          <w:rFonts w:ascii="Book Antiqua" w:hAnsi="Book Antiqua"/>
        </w:rPr>
        <w:t>lpha fetoprotein; BMI</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B</w:t>
      </w:r>
      <w:r w:rsidRPr="0021268C">
        <w:rPr>
          <w:rFonts w:ascii="Book Antiqua" w:hAnsi="Book Antiqua"/>
        </w:rPr>
        <w:t>ody mass index; MELD</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M</w:t>
      </w:r>
      <w:r w:rsidRPr="0021268C">
        <w:rPr>
          <w:rFonts w:ascii="Book Antiqua" w:hAnsi="Book Antiqua"/>
        </w:rPr>
        <w:t>odel for end stage liver disease; HCC</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H</w:t>
      </w:r>
      <w:r w:rsidRPr="0021268C">
        <w:rPr>
          <w:rFonts w:ascii="Book Antiqua" w:hAnsi="Book Antiqua"/>
        </w:rPr>
        <w:t>epatocellular carcinoma; TNM</w:t>
      </w:r>
      <w:r w:rsidRPr="0021268C">
        <w:rPr>
          <w:rFonts w:ascii="Book Antiqua" w:hAnsi="Book Antiqua"/>
          <w:lang w:eastAsia="zh-CN"/>
        </w:rPr>
        <w:t>:</w:t>
      </w:r>
      <w:r w:rsidRPr="0021268C">
        <w:rPr>
          <w:rFonts w:ascii="Book Antiqua" w:hAnsi="Book Antiqua"/>
        </w:rPr>
        <w:t xml:space="preserve"> </w:t>
      </w:r>
      <w:r w:rsidRPr="0021268C">
        <w:rPr>
          <w:rFonts w:ascii="Book Antiqua" w:hAnsi="Book Antiqua"/>
          <w:lang w:eastAsia="zh-CN"/>
        </w:rPr>
        <w:t>T</w:t>
      </w:r>
      <w:r w:rsidRPr="0021268C">
        <w:rPr>
          <w:rFonts w:ascii="Book Antiqua" w:hAnsi="Book Antiqua"/>
        </w:rPr>
        <w:t>umor-node-metastasis.</w:t>
      </w:r>
    </w:p>
    <w:p w14:paraId="16DC6503" w14:textId="2C0ACA38" w:rsidR="008D14FB" w:rsidRPr="0021268C" w:rsidRDefault="008D14FB">
      <w:pPr>
        <w:spacing w:line="360" w:lineRule="auto"/>
        <w:jc w:val="both"/>
        <w:rPr>
          <w:rFonts w:ascii="Book Antiqua" w:hAnsi="Book Antiqua"/>
          <w:lang w:eastAsia="zh-CN"/>
        </w:rPr>
      </w:pPr>
    </w:p>
    <w:p w14:paraId="35E355B1" w14:textId="41FEA1E6" w:rsidR="008D14FB" w:rsidRPr="0021268C" w:rsidRDefault="008D14FB" w:rsidP="008D14FB">
      <w:pPr>
        <w:jc w:val="center"/>
        <w:rPr>
          <w:rFonts w:ascii="Book Antiqua" w:hAnsi="Book Antiqua"/>
        </w:rPr>
      </w:pPr>
      <w:r w:rsidRPr="0021268C">
        <w:rPr>
          <w:rFonts w:ascii="Book Antiqua" w:hAnsi="Book Antiqua"/>
          <w:lang w:eastAsia="zh-CN"/>
        </w:rPr>
        <w:br w:type="page"/>
      </w:r>
      <w:r w:rsidRPr="0021268C">
        <w:rPr>
          <w:rFonts w:ascii="Book Antiqua" w:hAnsi="Book Antiqua"/>
          <w:noProof/>
          <w:lang w:eastAsia="zh-CN"/>
        </w:rPr>
        <w:lastRenderedPageBreak/>
        <w:drawing>
          <wp:inline distT="0" distB="0" distL="0" distR="0" wp14:anchorId="4C493EB8" wp14:editId="42473D12">
            <wp:extent cx="2499360" cy="1440180"/>
            <wp:effectExtent l="0" t="0" r="0" b="0"/>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5B3898" w14:textId="77777777" w:rsidR="008D14FB" w:rsidRPr="0021268C" w:rsidRDefault="008D14FB" w:rsidP="008D14FB">
      <w:pPr>
        <w:jc w:val="center"/>
        <w:rPr>
          <w:rFonts w:ascii="Book Antiqua" w:hAnsi="Book Antiqua"/>
        </w:rPr>
      </w:pPr>
    </w:p>
    <w:p w14:paraId="5F97227E" w14:textId="77777777" w:rsidR="008D14FB" w:rsidRPr="0021268C" w:rsidRDefault="008D14FB" w:rsidP="008D14FB">
      <w:pPr>
        <w:autoSpaceDE w:val="0"/>
        <w:autoSpaceDN w:val="0"/>
        <w:adjustRightInd w:val="0"/>
        <w:jc w:val="center"/>
        <w:rPr>
          <w:rFonts w:ascii="Book Antiqua" w:eastAsia="Garamond-Bold" w:hAnsi="Book Antiqua" w:cs="Garamond-Bold"/>
          <w:b/>
          <w:bCs/>
          <w:color w:val="000000"/>
          <w:sz w:val="28"/>
          <w:szCs w:val="28"/>
        </w:rPr>
      </w:pPr>
      <w:r w:rsidRPr="0021268C">
        <w:rPr>
          <w:rFonts w:ascii="Book Antiqua" w:eastAsia="TimesNewRomanPSMT" w:hAnsi="Book Antiqua" w:cs="TimesNewRomanPSMT"/>
          <w:color w:val="000000"/>
          <w:sz w:val="28"/>
          <w:szCs w:val="28"/>
        </w:rPr>
        <w:t xml:space="preserve">Published by </w:t>
      </w:r>
      <w:r w:rsidRPr="0021268C">
        <w:rPr>
          <w:rFonts w:ascii="Book Antiqua" w:eastAsia="Garamond-Bold" w:hAnsi="Book Antiqua" w:cs="Garamond-Bold"/>
          <w:b/>
          <w:bCs/>
          <w:color w:val="000000"/>
          <w:sz w:val="28"/>
          <w:szCs w:val="28"/>
        </w:rPr>
        <w:t>Baishideng Publishing Group Inc</w:t>
      </w:r>
    </w:p>
    <w:p w14:paraId="44131E9B" w14:textId="77777777" w:rsidR="008D14FB" w:rsidRPr="0021268C" w:rsidRDefault="008D14FB" w:rsidP="008D14FB">
      <w:pPr>
        <w:autoSpaceDE w:val="0"/>
        <w:autoSpaceDN w:val="0"/>
        <w:adjustRightInd w:val="0"/>
        <w:jc w:val="center"/>
        <w:rPr>
          <w:rFonts w:ascii="Book Antiqua" w:eastAsia="TimesNewRomanPSMT" w:hAnsi="Book Antiqua" w:cs="Garamond"/>
          <w:color w:val="000000"/>
          <w:sz w:val="28"/>
          <w:szCs w:val="28"/>
        </w:rPr>
      </w:pPr>
      <w:r w:rsidRPr="0021268C">
        <w:rPr>
          <w:rFonts w:ascii="Book Antiqua" w:eastAsia="TimesNewRomanPSMT" w:hAnsi="Book Antiqua" w:cs="Garamond"/>
          <w:color w:val="000000"/>
          <w:sz w:val="28"/>
          <w:szCs w:val="28"/>
        </w:rPr>
        <w:t>7041 Koll Center Parkway, Suite 160, Pleasanton, CA 94566, USA</w:t>
      </w:r>
    </w:p>
    <w:p w14:paraId="2C89EA30" w14:textId="77777777" w:rsidR="008D14FB" w:rsidRPr="0021268C" w:rsidRDefault="008D14FB" w:rsidP="008D14FB">
      <w:pPr>
        <w:autoSpaceDE w:val="0"/>
        <w:autoSpaceDN w:val="0"/>
        <w:adjustRightInd w:val="0"/>
        <w:jc w:val="center"/>
        <w:rPr>
          <w:rFonts w:ascii="Book Antiqua" w:eastAsia="TimesNewRomanPSMT" w:hAnsi="Book Antiqua" w:cs="Garamond"/>
          <w:color w:val="000000"/>
          <w:sz w:val="28"/>
          <w:szCs w:val="28"/>
        </w:rPr>
      </w:pPr>
      <w:r w:rsidRPr="0021268C">
        <w:rPr>
          <w:rFonts w:ascii="Book Antiqua" w:eastAsia="Garamond-Bold" w:hAnsi="Book Antiqua" w:cs="Garamond-Bold"/>
          <w:b/>
          <w:bCs/>
          <w:color w:val="000000"/>
          <w:sz w:val="28"/>
          <w:szCs w:val="28"/>
        </w:rPr>
        <w:t xml:space="preserve">Telephone: </w:t>
      </w:r>
      <w:r w:rsidRPr="0021268C">
        <w:rPr>
          <w:rFonts w:ascii="Book Antiqua" w:eastAsia="TimesNewRomanPSMT" w:hAnsi="Book Antiqua" w:cs="Garamond"/>
          <w:color w:val="000000"/>
          <w:sz w:val="28"/>
          <w:szCs w:val="28"/>
        </w:rPr>
        <w:t>+1-925-3991568</w:t>
      </w:r>
    </w:p>
    <w:p w14:paraId="41EA1106" w14:textId="77777777" w:rsidR="008D14FB" w:rsidRPr="0021268C" w:rsidRDefault="008D14FB" w:rsidP="008D14FB">
      <w:pPr>
        <w:autoSpaceDE w:val="0"/>
        <w:autoSpaceDN w:val="0"/>
        <w:adjustRightInd w:val="0"/>
        <w:jc w:val="center"/>
        <w:rPr>
          <w:rFonts w:ascii="Book Antiqua" w:eastAsia="TimesNewRomanPSMT" w:hAnsi="Book Antiqua" w:cs="Garamond"/>
          <w:color w:val="D56400"/>
          <w:sz w:val="28"/>
          <w:szCs w:val="28"/>
        </w:rPr>
      </w:pPr>
      <w:r w:rsidRPr="0021268C">
        <w:rPr>
          <w:rFonts w:ascii="Book Antiqua" w:eastAsia="Garamond-Bold" w:hAnsi="Book Antiqua" w:cs="Garamond-Bold"/>
          <w:b/>
          <w:bCs/>
          <w:color w:val="000000"/>
          <w:sz w:val="28"/>
          <w:szCs w:val="28"/>
        </w:rPr>
        <w:t xml:space="preserve">E-mail: </w:t>
      </w:r>
      <w:r w:rsidRPr="0021268C">
        <w:rPr>
          <w:rFonts w:ascii="Book Antiqua" w:eastAsia="TimesNewRomanPSMT" w:hAnsi="Book Antiqua" w:cs="Garamond"/>
          <w:color w:val="D56400"/>
          <w:sz w:val="28"/>
          <w:szCs w:val="28"/>
        </w:rPr>
        <w:t>bpgoffice@wjgnet.com</w:t>
      </w:r>
    </w:p>
    <w:p w14:paraId="4B9BE800" w14:textId="77777777" w:rsidR="008D14FB" w:rsidRPr="0021268C" w:rsidRDefault="008D14FB" w:rsidP="008D14FB">
      <w:pPr>
        <w:autoSpaceDE w:val="0"/>
        <w:autoSpaceDN w:val="0"/>
        <w:adjustRightInd w:val="0"/>
        <w:jc w:val="center"/>
        <w:rPr>
          <w:rFonts w:ascii="Book Antiqua" w:eastAsia="TimesNewRomanPSMT" w:hAnsi="Book Antiqua" w:cs="Garamond"/>
          <w:color w:val="D56400"/>
          <w:sz w:val="28"/>
          <w:szCs w:val="28"/>
        </w:rPr>
      </w:pPr>
      <w:r w:rsidRPr="0021268C">
        <w:rPr>
          <w:rFonts w:ascii="Book Antiqua" w:eastAsia="Garamond-Bold" w:hAnsi="Book Antiqua" w:cs="Garamond-Bold"/>
          <w:b/>
          <w:bCs/>
          <w:color w:val="000000"/>
          <w:sz w:val="28"/>
          <w:szCs w:val="28"/>
        </w:rPr>
        <w:t xml:space="preserve">Help Desk: </w:t>
      </w:r>
      <w:r w:rsidRPr="0021268C">
        <w:rPr>
          <w:rFonts w:ascii="Book Antiqua" w:eastAsia="TimesNewRomanPSMT" w:hAnsi="Book Antiqua" w:cs="Garamond"/>
          <w:color w:val="D56400"/>
          <w:sz w:val="28"/>
          <w:szCs w:val="28"/>
        </w:rPr>
        <w:t>https://www.f6publishing.com/helpdesk</w:t>
      </w:r>
    </w:p>
    <w:p w14:paraId="37201327" w14:textId="77777777" w:rsidR="008D14FB" w:rsidRPr="0021268C" w:rsidRDefault="008D14FB" w:rsidP="008D14FB">
      <w:pPr>
        <w:jc w:val="center"/>
        <w:rPr>
          <w:rFonts w:ascii="Book Antiqua" w:hAnsi="Book Antiqua"/>
        </w:rPr>
      </w:pPr>
      <w:r w:rsidRPr="0021268C">
        <w:rPr>
          <w:rFonts w:ascii="Book Antiqua" w:eastAsia="TimesNewRomanPSMT" w:hAnsi="Book Antiqua" w:cs="Garamond"/>
          <w:color w:val="D56400"/>
          <w:sz w:val="28"/>
          <w:szCs w:val="28"/>
        </w:rPr>
        <w:t>https://www.wjgnet.com</w:t>
      </w:r>
    </w:p>
    <w:p w14:paraId="648BA020" w14:textId="77777777" w:rsidR="008D14FB" w:rsidRPr="0021268C" w:rsidRDefault="008D14FB" w:rsidP="008D14FB">
      <w:pPr>
        <w:jc w:val="center"/>
        <w:rPr>
          <w:rFonts w:ascii="Book Antiqua" w:hAnsi="Book Antiqua"/>
        </w:rPr>
      </w:pPr>
    </w:p>
    <w:p w14:paraId="5B8AC71C" w14:textId="24FF2554" w:rsidR="008D14FB" w:rsidRPr="0021268C" w:rsidRDefault="008D14FB" w:rsidP="008D14FB">
      <w:pPr>
        <w:jc w:val="center"/>
        <w:rPr>
          <w:rFonts w:ascii="Book Antiqua" w:hAnsi="Book Antiqua"/>
        </w:rPr>
      </w:pPr>
      <w:r w:rsidRPr="0021268C">
        <w:rPr>
          <w:rFonts w:ascii="Book Antiqua" w:hAnsi="Book Antiqua"/>
          <w:noProof/>
          <w:lang w:eastAsia="zh-CN"/>
        </w:rPr>
        <w:drawing>
          <wp:inline distT="0" distB="0" distL="0" distR="0" wp14:anchorId="30F804F7" wp14:editId="1B1F90B5">
            <wp:extent cx="1447800" cy="1440180"/>
            <wp:effectExtent l="0" t="0" r="0" b="0"/>
            <wp:docPr id="6" name="图片 6"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05750E" w14:textId="77777777" w:rsidR="008D14FB" w:rsidRPr="0021268C" w:rsidRDefault="008D14FB" w:rsidP="008D14FB">
      <w:pPr>
        <w:jc w:val="center"/>
        <w:rPr>
          <w:rFonts w:ascii="Book Antiqua" w:hAnsi="Book Antiqua"/>
        </w:rPr>
      </w:pPr>
    </w:p>
    <w:p w14:paraId="4A688BE7" w14:textId="77777777" w:rsidR="008D14FB" w:rsidRPr="0021268C" w:rsidRDefault="008D14FB" w:rsidP="008D14FB">
      <w:pPr>
        <w:jc w:val="center"/>
        <w:rPr>
          <w:rFonts w:ascii="Book Antiqua" w:hAnsi="Book Antiqua"/>
        </w:rPr>
      </w:pPr>
    </w:p>
    <w:p w14:paraId="27CBF376" w14:textId="77777777" w:rsidR="008D14FB" w:rsidRPr="0021268C" w:rsidRDefault="008D14FB" w:rsidP="008D14FB">
      <w:pPr>
        <w:jc w:val="center"/>
        <w:rPr>
          <w:rFonts w:ascii="Book Antiqua" w:hAnsi="Book Antiqua"/>
        </w:rPr>
      </w:pPr>
    </w:p>
    <w:p w14:paraId="5647C7D6" w14:textId="77777777" w:rsidR="008D14FB" w:rsidRPr="0021268C" w:rsidRDefault="008D14FB" w:rsidP="008D14FB">
      <w:pPr>
        <w:jc w:val="center"/>
        <w:rPr>
          <w:rFonts w:ascii="Book Antiqua" w:hAnsi="Book Antiqua"/>
        </w:rPr>
      </w:pPr>
    </w:p>
    <w:p w14:paraId="1ACA5202" w14:textId="77777777" w:rsidR="008D14FB" w:rsidRPr="0021268C" w:rsidRDefault="008D14FB" w:rsidP="008D14FB">
      <w:pPr>
        <w:jc w:val="right"/>
        <w:rPr>
          <w:rFonts w:ascii="Book Antiqua" w:hAnsi="Book Antiqua"/>
          <w:color w:val="000000" w:themeColor="text1"/>
        </w:rPr>
      </w:pPr>
    </w:p>
    <w:p w14:paraId="5EB8D477" w14:textId="77777777" w:rsidR="008D14FB" w:rsidRDefault="008D14FB" w:rsidP="008D14FB">
      <w:pPr>
        <w:jc w:val="center"/>
        <w:rPr>
          <w:rFonts w:ascii="Book Antiqua" w:hAnsi="Book Antiqua"/>
          <w:color w:val="000000" w:themeColor="text1"/>
        </w:rPr>
      </w:pPr>
      <w:r w:rsidRPr="0021268C">
        <w:rPr>
          <w:rFonts w:ascii="Book Antiqua" w:eastAsia="BookAntiqua-Bold" w:hAnsi="Book Antiqua" w:cs="BookAntiqua-Bold"/>
          <w:b/>
          <w:bCs/>
          <w:color w:val="000000" w:themeColor="text1"/>
        </w:rPr>
        <w:t>© 2021 Baishideng Publishing Group Inc. All rights reserved.</w:t>
      </w:r>
      <w:r w:rsidRPr="0021268C">
        <w:rPr>
          <w:rFonts w:ascii="Book Antiqua" w:hAnsi="Book Antiqua"/>
          <w:color w:val="000000" w:themeColor="text1"/>
        </w:rPr>
        <w:fldChar w:fldCharType="begin"/>
      </w:r>
      <w:r w:rsidRPr="0021268C">
        <w:rPr>
          <w:rFonts w:ascii="Book Antiqua" w:hAnsi="Book Antiqua"/>
          <w:color w:val="000000" w:themeColor="text1"/>
        </w:rPr>
        <w:instrText xml:space="preserve"> ADDIN EN.REFLIST </w:instrText>
      </w:r>
      <w:r w:rsidRPr="0021268C">
        <w:rPr>
          <w:rFonts w:ascii="Book Antiqua" w:hAnsi="Book Antiqua"/>
          <w:color w:val="000000" w:themeColor="text1"/>
        </w:rPr>
        <w:fldChar w:fldCharType="end"/>
      </w:r>
      <w:bookmarkStart w:id="0" w:name="_GoBack"/>
      <w:bookmarkEnd w:id="0"/>
    </w:p>
    <w:p w14:paraId="3F0132E8" w14:textId="77777777" w:rsidR="00B07060" w:rsidRPr="008D14FB" w:rsidRDefault="00B07060">
      <w:pPr>
        <w:spacing w:line="360" w:lineRule="auto"/>
        <w:jc w:val="both"/>
        <w:rPr>
          <w:rFonts w:ascii="Book Antiqua" w:hAnsi="Book Antiqua"/>
          <w:lang w:eastAsia="zh-CN"/>
        </w:rPr>
      </w:pPr>
    </w:p>
    <w:sectPr w:rsidR="00B07060" w:rsidRPr="008D14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03ACB" w14:textId="77777777" w:rsidR="003C3B92" w:rsidRDefault="003C3B92">
      <w:r>
        <w:separator/>
      </w:r>
    </w:p>
  </w:endnote>
  <w:endnote w:type="continuationSeparator" w:id="0">
    <w:p w14:paraId="12310EA7" w14:textId="77777777" w:rsidR="003C3B92" w:rsidRDefault="003C3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11240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B73D889" w14:textId="77777777" w:rsidR="00EC538C" w:rsidRDefault="00EC538C">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1268C">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1268C">
              <w:rPr>
                <w:rFonts w:ascii="Book Antiqua" w:hAnsi="Book Antiqua"/>
                <w:b/>
                <w:bCs/>
                <w:noProof/>
                <w:sz w:val="24"/>
                <w:szCs w:val="24"/>
              </w:rPr>
              <w:t>36</w:t>
            </w:r>
            <w:r>
              <w:rPr>
                <w:rFonts w:ascii="Book Antiqua" w:hAnsi="Book Antiqua"/>
                <w:b/>
                <w:bCs/>
                <w:sz w:val="24"/>
                <w:szCs w:val="24"/>
              </w:rPr>
              <w:fldChar w:fldCharType="end"/>
            </w:r>
          </w:p>
        </w:sdtContent>
      </w:sdt>
    </w:sdtContent>
  </w:sdt>
  <w:p w14:paraId="3646DD6E" w14:textId="77777777" w:rsidR="00EC538C" w:rsidRDefault="00EC538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ED03B" w14:textId="77777777" w:rsidR="003C3B92" w:rsidRDefault="003C3B92">
      <w:r>
        <w:separator/>
      </w:r>
    </w:p>
  </w:footnote>
  <w:footnote w:type="continuationSeparator" w:id="0">
    <w:p w14:paraId="7F3EF97E" w14:textId="77777777" w:rsidR="003C3B92" w:rsidRDefault="003C3B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12CF"/>
    <w:rsid w:val="00061E73"/>
    <w:rsid w:val="00084B49"/>
    <w:rsid w:val="00124F9A"/>
    <w:rsid w:val="00160CC9"/>
    <w:rsid w:val="00191AC5"/>
    <w:rsid w:val="001B61DF"/>
    <w:rsid w:val="001C7D8B"/>
    <w:rsid w:val="0021046E"/>
    <w:rsid w:val="0021268C"/>
    <w:rsid w:val="0021440F"/>
    <w:rsid w:val="00277DB1"/>
    <w:rsid w:val="00287A39"/>
    <w:rsid w:val="002A7C4A"/>
    <w:rsid w:val="002D3439"/>
    <w:rsid w:val="003B2403"/>
    <w:rsid w:val="003C0497"/>
    <w:rsid w:val="003C1A37"/>
    <w:rsid w:val="003C3B92"/>
    <w:rsid w:val="003D0B90"/>
    <w:rsid w:val="00470355"/>
    <w:rsid w:val="004B61A7"/>
    <w:rsid w:val="004E1CB5"/>
    <w:rsid w:val="005232A4"/>
    <w:rsid w:val="005635E1"/>
    <w:rsid w:val="00564460"/>
    <w:rsid w:val="0059479F"/>
    <w:rsid w:val="005B2BB9"/>
    <w:rsid w:val="005C18F1"/>
    <w:rsid w:val="006069A4"/>
    <w:rsid w:val="006A5B13"/>
    <w:rsid w:val="006A719C"/>
    <w:rsid w:val="006C6B21"/>
    <w:rsid w:val="00714814"/>
    <w:rsid w:val="00820816"/>
    <w:rsid w:val="00867C85"/>
    <w:rsid w:val="008852ED"/>
    <w:rsid w:val="008865C3"/>
    <w:rsid w:val="00897416"/>
    <w:rsid w:val="008D14FB"/>
    <w:rsid w:val="00976070"/>
    <w:rsid w:val="009F383E"/>
    <w:rsid w:val="00A4441A"/>
    <w:rsid w:val="00A478D2"/>
    <w:rsid w:val="00A56814"/>
    <w:rsid w:val="00A77B3E"/>
    <w:rsid w:val="00B07060"/>
    <w:rsid w:val="00B13498"/>
    <w:rsid w:val="00B46046"/>
    <w:rsid w:val="00B777D4"/>
    <w:rsid w:val="00B96F22"/>
    <w:rsid w:val="00BD3F25"/>
    <w:rsid w:val="00BE1880"/>
    <w:rsid w:val="00CA2A55"/>
    <w:rsid w:val="00CC5B1B"/>
    <w:rsid w:val="00CE3E69"/>
    <w:rsid w:val="00CF390F"/>
    <w:rsid w:val="00DA77B0"/>
    <w:rsid w:val="00DC0C6F"/>
    <w:rsid w:val="00E175D9"/>
    <w:rsid w:val="00EC538C"/>
    <w:rsid w:val="00ED0BC5"/>
    <w:rsid w:val="00F5517F"/>
    <w:rsid w:val="00F6335C"/>
    <w:rsid w:val="00F64469"/>
    <w:rsid w:val="00F73AD8"/>
    <w:rsid w:val="00F76581"/>
    <w:rsid w:val="00F80C6F"/>
    <w:rsid w:val="00F96658"/>
    <w:rsid w:val="00FA1D02"/>
    <w:rsid w:val="00FB0105"/>
    <w:rsid w:val="00FD3A4E"/>
    <w:rsid w:val="13923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44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spacing w:before="100" w:beforeAutospacing="1" w:after="100" w:afterAutospacing="1"/>
    </w:pPr>
    <w:rPr>
      <w:rFonts w:ascii="Gulim" w:eastAsia="Gulim" w:hAnsi="Gulim" w:cs="Gulim"/>
      <w:lang w:eastAsia="ko-KR"/>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1247">
      <w:bodyDiv w:val="1"/>
      <w:marLeft w:val="0"/>
      <w:marRight w:val="0"/>
      <w:marTop w:val="0"/>
      <w:marBottom w:val="0"/>
      <w:divBdr>
        <w:top w:val="none" w:sz="0" w:space="0" w:color="auto"/>
        <w:left w:val="none" w:sz="0" w:space="0" w:color="auto"/>
        <w:bottom w:val="none" w:sz="0" w:space="0" w:color="auto"/>
        <w:right w:val="none" w:sz="0" w:space="0" w:color="auto"/>
      </w:divBdr>
    </w:div>
    <w:div w:id="608853539">
      <w:bodyDiv w:val="1"/>
      <w:marLeft w:val="0"/>
      <w:marRight w:val="0"/>
      <w:marTop w:val="0"/>
      <w:marBottom w:val="0"/>
      <w:divBdr>
        <w:top w:val="none" w:sz="0" w:space="0" w:color="auto"/>
        <w:left w:val="none" w:sz="0" w:space="0" w:color="auto"/>
        <w:bottom w:val="none" w:sz="0" w:space="0" w:color="auto"/>
        <w:right w:val="none" w:sz="0" w:space="0" w:color="auto"/>
      </w:divBdr>
    </w:div>
    <w:div w:id="1186286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7442</Words>
  <Characters>42422</Characters>
  <Application>Microsoft Office Word</Application>
  <DocSecurity>0</DocSecurity>
  <Lines>353</Lines>
  <Paragraphs>99</Paragraphs>
  <ScaleCrop>false</ScaleCrop>
  <Company/>
  <LinksUpToDate>false</LinksUpToDate>
  <CharactersWithSpaces>49765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16068</dc:creator>
  <cp:lastModifiedBy>邢燕霞</cp:lastModifiedBy>
  <cp:revision>53</cp:revision>
  <dcterms:created xsi:type="dcterms:W3CDTF">2021-07-03T01:40:00Z</dcterms:created>
  <dcterms:modified xsi:type="dcterms:W3CDTF">2021-07-18T07:49:00Z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B791938C8DC745E1BFC702A720468ED1</vt:lpwstr>
  </property>
</Properties>
</file>