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4CD356" w14:textId="77777777" w:rsidR="00A77B3E" w:rsidRDefault="000B7BA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C54697A" w14:textId="77777777" w:rsidR="00A77B3E" w:rsidRDefault="000B7BA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62666</w:t>
      </w:r>
    </w:p>
    <w:p w14:paraId="0D5F41FE" w14:textId="77777777" w:rsidR="00A77B3E" w:rsidRDefault="000B7BA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1A736A7E" w14:textId="77777777" w:rsidR="00A77B3E" w:rsidRDefault="00A77B3E">
      <w:pPr>
        <w:spacing w:line="360" w:lineRule="auto"/>
        <w:jc w:val="both"/>
      </w:pPr>
    </w:p>
    <w:p w14:paraId="58C9269C" w14:textId="77777777" w:rsidR="00A77B3E" w:rsidRDefault="000B7BA1">
      <w:pPr>
        <w:spacing w:line="360" w:lineRule="auto"/>
        <w:jc w:val="both"/>
      </w:pPr>
      <w:r>
        <w:rPr>
          <w:rFonts w:ascii="Book Antiqua" w:eastAsia="Book Antiqua" w:hAnsi="Book Antiqua" w:cs="Book Antiqua"/>
          <w:b/>
          <w:color w:val="000000"/>
        </w:rPr>
        <w:t xml:space="preserve">Association of </w:t>
      </w:r>
      <w:r w:rsidR="00436F75">
        <w:rPr>
          <w:rFonts w:ascii="Book Antiqua" w:eastAsia="Book Antiqua" w:hAnsi="Book Antiqua" w:cs="Book Antiqua"/>
          <w:b/>
          <w:color w:val="000000"/>
        </w:rPr>
        <w:t>hidradenitis suppurativa wi</w:t>
      </w:r>
      <w:r>
        <w:rPr>
          <w:rFonts w:ascii="Book Antiqua" w:eastAsia="Book Antiqua" w:hAnsi="Book Antiqua" w:cs="Book Antiqua"/>
          <w:b/>
          <w:color w:val="000000"/>
        </w:rPr>
        <w:t xml:space="preserve">th Crohn’s </w:t>
      </w:r>
      <w:r w:rsidR="00436F75">
        <w:rPr>
          <w:rFonts w:ascii="Book Antiqua" w:eastAsia="Book Antiqua" w:hAnsi="Book Antiqua" w:cs="Book Antiqua"/>
          <w:b/>
          <w:color w:val="000000"/>
        </w:rPr>
        <w:t>disease</w:t>
      </w:r>
    </w:p>
    <w:p w14:paraId="37DB0969" w14:textId="77777777" w:rsidR="00A77B3E" w:rsidRDefault="00A77B3E">
      <w:pPr>
        <w:spacing w:line="360" w:lineRule="auto"/>
        <w:jc w:val="both"/>
      </w:pPr>
    </w:p>
    <w:p w14:paraId="6904D9B5" w14:textId="77777777" w:rsidR="00A77B3E" w:rsidRDefault="00436F75">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M </w:t>
      </w:r>
      <w:r w:rsidRPr="00436F7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B7BA1">
        <w:rPr>
          <w:rFonts w:ascii="Book Antiqua" w:eastAsia="Book Antiqua" w:hAnsi="Book Antiqua" w:cs="Book Antiqua"/>
          <w:color w:val="000000"/>
        </w:rPr>
        <w:t xml:space="preserve">Association of HS </w:t>
      </w:r>
      <w:r>
        <w:rPr>
          <w:rFonts w:ascii="Book Antiqua" w:eastAsia="Book Antiqua" w:hAnsi="Book Antiqua" w:cs="Book Antiqua"/>
          <w:color w:val="000000"/>
        </w:rPr>
        <w:t xml:space="preserve">with </w:t>
      </w:r>
      <w:r w:rsidR="000B7BA1">
        <w:rPr>
          <w:rFonts w:ascii="Book Antiqua" w:eastAsia="Book Antiqua" w:hAnsi="Book Antiqua" w:cs="Book Antiqua"/>
          <w:color w:val="000000"/>
        </w:rPr>
        <w:t>CD</w:t>
      </w:r>
    </w:p>
    <w:p w14:paraId="7A20E96A" w14:textId="77777777" w:rsidR="00A77B3E" w:rsidRDefault="00A77B3E">
      <w:pPr>
        <w:spacing w:line="360" w:lineRule="auto"/>
        <w:jc w:val="both"/>
      </w:pPr>
    </w:p>
    <w:p w14:paraId="5BA78097" w14:textId="77777777" w:rsidR="00A77B3E" w:rsidRDefault="000B7BA1">
      <w:pPr>
        <w:spacing w:line="360" w:lineRule="auto"/>
        <w:jc w:val="both"/>
      </w:pPr>
      <w:r>
        <w:rPr>
          <w:rFonts w:ascii="Book Antiqua" w:eastAsia="Book Antiqua" w:hAnsi="Book Antiqua" w:cs="Book Antiqua"/>
          <w:color w:val="000000"/>
        </w:rPr>
        <w:t xml:space="preserve">Meng </w:t>
      </w:r>
      <w:bookmarkStart w:id="0" w:name="OLE_LINK176"/>
      <w:r>
        <w:rPr>
          <w:rFonts w:ascii="Book Antiqua" w:eastAsia="Book Antiqua" w:hAnsi="Book Antiqua" w:cs="Book Antiqua"/>
          <w:color w:val="000000"/>
        </w:rPr>
        <w:t>Zhang</w:t>
      </w:r>
      <w:bookmarkEnd w:id="0"/>
      <w:r w:rsidR="00C4619F">
        <w:rPr>
          <w:rFonts w:ascii="Book Antiqua" w:eastAsia="Book Antiqua" w:hAnsi="Book Antiqua" w:cs="Book Antiqua"/>
          <w:color w:val="000000"/>
        </w:rPr>
        <w:t>, Qun</w:t>
      </w:r>
      <w:r w:rsidR="00C4619F">
        <w:rPr>
          <w:rFonts w:ascii="Book Antiqua" w:hAnsi="Book Antiqua" w:cs="Book Antiqua" w:hint="eastAsia"/>
          <w:color w:val="000000"/>
          <w:lang w:eastAsia="zh-CN"/>
        </w:rPr>
        <w:t>-D</w:t>
      </w:r>
      <w:r>
        <w:rPr>
          <w:rFonts w:ascii="Book Antiqua" w:eastAsia="Book Antiqua" w:hAnsi="Book Antiqua" w:cs="Book Antiqua"/>
          <w:color w:val="000000"/>
        </w:rPr>
        <w:t>e Chen, Hai-Xia Xu, Yu-Meng Xu, Hong-Jin Chen, Bo-Lin Yang</w:t>
      </w:r>
    </w:p>
    <w:p w14:paraId="43FD0F13" w14:textId="77777777" w:rsidR="00A77B3E" w:rsidRDefault="00A77B3E">
      <w:pPr>
        <w:spacing w:line="360" w:lineRule="auto"/>
        <w:jc w:val="both"/>
      </w:pPr>
    </w:p>
    <w:p w14:paraId="5E382D28" w14:textId="77777777" w:rsidR="00A77B3E" w:rsidRDefault="000B7BA1">
      <w:pPr>
        <w:spacing w:line="360" w:lineRule="auto"/>
        <w:jc w:val="both"/>
      </w:pPr>
      <w:r>
        <w:rPr>
          <w:rFonts w:ascii="Book Antiqua" w:eastAsia="Book Antiqua" w:hAnsi="Book Antiqua" w:cs="Book Antiqua"/>
          <w:b/>
          <w:bCs/>
          <w:color w:val="000000"/>
        </w:rPr>
        <w:t xml:space="preserve">Meng Zhang, </w:t>
      </w:r>
      <w:r w:rsidR="00C4619F">
        <w:rPr>
          <w:rFonts w:ascii="Book Antiqua" w:eastAsia="Book Antiqua" w:hAnsi="Book Antiqua" w:cs="Book Antiqua"/>
          <w:b/>
          <w:bCs/>
          <w:color w:val="000000"/>
        </w:rPr>
        <w:t>Qun</w:t>
      </w:r>
      <w:r w:rsidR="00C4619F">
        <w:rPr>
          <w:rFonts w:ascii="Book Antiqua" w:hAnsi="Book Antiqua" w:cs="Book Antiqua" w:hint="eastAsia"/>
          <w:b/>
          <w:bCs/>
          <w:color w:val="000000"/>
          <w:lang w:eastAsia="zh-CN"/>
        </w:rPr>
        <w:t>-D</w:t>
      </w:r>
      <w:r w:rsidR="00C4619F">
        <w:rPr>
          <w:rFonts w:ascii="Book Antiqua" w:eastAsia="Book Antiqua" w:hAnsi="Book Antiqua" w:cs="Book Antiqua"/>
          <w:b/>
          <w:bCs/>
          <w:color w:val="000000"/>
        </w:rPr>
        <w:t xml:space="preserve">e Chen, Hai-Xia Xu, </w:t>
      </w:r>
      <w:r>
        <w:rPr>
          <w:rFonts w:ascii="Book Antiqua" w:eastAsia="Book Antiqua" w:hAnsi="Book Antiqua" w:cs="Book Antiqua"/>
          <w:b/>
          <w:bCs/>
          <w:color w:val="000000"/>
        </w:rPr>
        <w:t xml:space="preserve">Yu-Meng Xu, </w:t>
      </w:r>
      <w:r w:rsidR="00C4619F">
        <w:rPr>
          <w:rFonts w:ascii="Book Antiqua" w:eastAsia="Book Antiqua" w:hAnsi="Book Antiqua" w:cs="Book Antiqua"/>
          <w:b/>
          <w:bCs/>
          <w:color w:val="000000"/>
        </w:rPr>
        <w:t xml:space="preserve">Bo-Lin Yang, </w:t>
      </w:r>
      <w:r w:rsidR="00C4619F">
        <w:rPr>
          <w:rFonts w:ascii="Book Antiqua" w:eastAsia="Book Antiqua" w:hAnsi="Book Antiqua" w:cs="Book Antiqua"/>
          <w:color w:val="000000"/>
        </w:rPr>
        <w:t xml:space="preserve">Department of Colorectal Surgery, </w:t>
      </w:r>
      <w:r w:rsidR="00C4619F" w:rsidRPr="00C4619F">
        <w:rPr>
          <w:rFonts w:ascii="Book Antiqua" w:hAnsi="Book Antiqua" w:cs="Book Antiqua" w:hint="eastAsia"/>
          <w:bCs/>
          <w:color w:val="000000"/>
          <w:lang w:eastAsia="zh-CN"/>
        </w:rPr>
        <w:t>The</w:t>
      </w:r>
      <w:r w:rsidR="00C4619F">
        <w:rPr>
          <w:rFonts w:ascii="Book Antiqua" w:hAnsi="Book Antiqua" w:cs="Book Antiqua" w:hint="eastAsia"/>
          <w:b/>
          <w:bCs/>
          <w:color w:val="000000"/>
          <w:lang w:eastAsia="zh-CN"/>
        </w:rPr>
        <w:t xml:space="preserve"> </w:t>
      </w:r>
      <w:r>
        <w:rPr>
          <w:rFonts w:ascii="Book Antiqua" w:eastAsia="Book Antiqua" w:hAnsi="Book Antiqua" w:cs="Book Antiqua"/>
          <w:color w:val="000000"/>
        </w:rPr>
        <w:t>Affiliated Hospital of Nanjing University of Chinese Medicine,</w:t>
      </w:r>
      <w:bookmarkStart w:id="1" w:name="OLE_LINK177"/>
      <w:bookmarkStart w:id="2" w:name="OLE_LINK178"/>
      <w:r>
        <w:rPr>
          <w:rFonts w:ascii="Book Antiqua" w:eastAsia="Book Antiqua" w:hAnsi="Book Antiqua" w:cs="Book Antiqua"/>
          <w:color w:val="000000"/>
        </w:rPr>
        <w:t xml:space="preserve"> </w:t>
      </w:r>
      <w:bookmarkStart w:id="3" w:name="OLE_LINK185"/>
      <w:bookmarkStart w:id="4" w:name="OLE_LINK186"/>
      <w:r>
        <w:rPr>
          <w:rFonts w:ascii="Book Antiqua" w:eastAsia="Book Antiqua" w:hAnsi="Book Antiqua" w:cs="Book Antiqua"/>
          <w:color w:val="000000"/>
        </w:rPr>
        <w:t xml:space="preserve">Jiangsu Province </w:t>
      </w:r>
      <w:bookmarkEnd w:id="1"/>
      <w:bookmarkEnd w:id="2"/>
      <w:r>
        <w:rPr>
          <w:rFonts w:ascii="Book Antiqua" w:eastAsia="Book Antiqua" w:hAnsi="Book Antiqua" w:cs="Book Antiqua"/>
          <w:color w:val="000000"/>
        </w:rPr>
        <w:t>Hospital of Chinese Medicine,</w:t>
      </w:r>
      <w:bookmarkEnd w:id="3"/>
      <w:bookmarkEnd w:id="4"/>
      <w:r>
        <w:rPr>
          <w:rFonts w:ascii="Book Antiqua" w:eastAsia="Book Antiqua" w:hAnsi="Book Antiqua" w:cs="Book Antiqua"/>
          <w:color w:val="000000"/>
        </w:rPr>
        <w:t xml:space="preserve"> Nanjing 210029, </w:t>
      </w:r>
      <w:r w:rsidR="00C4619F">
        <w:rPr>
          <w:rFonts w:ascii="Book Antiqua" w:eastAsia="Book Antiqua" w:hAnsi="Book Antiqua" w:cs="Book Antiqua"/>
          <w:color w:val="000000"/>
        </w:rPr>
        <w:t xml:space="preserve">Jiangsu </w:t>
      </w:r>
      <w:bookmarkStart w:id="5" w:name="OLE_LINK180"/>
      <w:bookmarkStart w:id="6" w:name="OLE_LINK181"/>
      <w:r w:rsidR="00C4619F">
        <w:rPr>
          <w:rFonts w:ascii="Book Antiqua" w:eastAsia="Book Antiqua" w:hAnsi="Book Antiqua" w:cs="Book Antiqua"/>
          <w:color w:val="000000"/>
        </w:rPr>
        <w:t>Province</w:t>
      </w:r>
      <w:bookmarkEnd w:id="5"/>
      <w:bookmarkEnd w:id="6"/>
      <w:r w:rsidR="00C4619F">
        <w:rPr>
          <w:rFonts w:ascii="Book Antiqua" w:hAnsi="Book Antiqua" w:cs="Book Antiqua" w:hint="eastAsia"/>
          <w:color w:val="000000"/>
          <w:lang w:eastAsia="zh-CN"/>
        </w:rPr>
        <w:t>,</w:t>
      </w:r>
      <w:r w:rsidR="00C4619F">
        <w:rPr>
          <w:rFonts w:ascii="Book Antiqua" w:eastAsia="Book Antiqua" w:hAnsi="Book Antiqua" w:cs="Book Antiqua"/>
          <w:color w:val="000000"/>
        </w:rPr>
        <w:t xml:space="preserve"> </w:t>
      </w:r>
      <w:r>
        <w:rPr>
          <w:rFonts w:ascii="Book Antiqua" w:eastAsia="Book Antiqua" w:hAnsi="Book Antiqua" w:cs="Book Antiqua"/>
          <w:color w:val="000000"/>
        </w:rPr>
        <w:t>China</w:t>
      </w:r>
    </w:p>
    <w:p w14:paraId="2C294EE5" w14:textId="77777777" w:rsidR="00A77B3E" w:rsidRPr="00C4619F" w:rsidRDefault="00A77B3E">
      <w:pPr>
        <w:spacing w:line="360" w:lineRule="auto"/>
        <w:jc w:val="both"/>
        <w:rPr>
          <w:lang w:eastAsia="zh-CN"/>
        </w:rPr>
      </w:pPr>
    </w:p>
    <w:p w14:paraId="47C4683B" w14:textId="77777777" w:rsidR="00A77B3E" w:rsidRDefault="000B7BA1">
      <w:pPr>
        <w:spacing w:line="360" w:lineRule="auto"/>
        <w:jc w:val="both"/>
      </w:pPr>
      <w:r>
        <w:rPr>
          <w:rFonts w:ascii="Book Antiqua" w:eastAsia="Book Antiqua" w:hAnsi="Book Antiqua" w:cs="Book Antiqua"/>
          <w:b/>
          <w:bCs/>
          <w:color w:val="000000"/>
        </w:rPr>
        <w:t xml:space="preserve">Hong-Jin Chen, </w:t>
      </w:r>
      <w:r>
        <w:rPr>
          <w:rFonts w:ascii="Book Antiqua" w:eastAsia="Book Antiqua" w:hAnsi="Book Antiqua" w:cs="Book Antiqua"/>
          <w:color w:val="000000"/>
        </w:rPr>
        <w:t>First Clinical Medical College, The Affiliated Hospital of Nanjing University of Chinese Medicine, Nanjing 210029, Jiangsu</w:t>
      </w:r>
      <w:r w:rsidR="00C4619F" w:rsidRPr="00C4619F">
        <w:rPr>
          <w:rFonts w:ascii="Book Antiqua" w:eastAsia="Book Antiqua" w:hAnsi="Book Antiqua" w:cs="Book Antiqua"/>
          <w:color w:val="000000"/>
        </w:rPr>
        <w:t xml:space="preserve"> </w:t>
      </w:r>
      <w:r w:rsidR="00C4619F">
        <w:rPr>
          <w:rFonts w:ascii="Book Antiqua" w:eastAsia="Book Antiqua" w:hAnsi="Book Antiqua" w:cs="Book Antiqua"/>
          <w:color w:val="000000"/>
        </w:rPr>
        <w:t>Province</w:t>
      </w:r>
      <w:r>
        <w:rPr>
          <w:rFonts w:ascii="Book Antiqua" w:eastAsia="Book Antiqua" w:hAnsi="Book Antiqua" w:cs="Book Antiqua"/>
          <w:color w:val="000000"/>
        </w:rPr>
        <w:t>, China</w:t>
      </w:r>
    </w:p>
    <w:p w14:paraId="54DF6C62" w14:textId="77777777" w:rsidR="00A77B3E" w:rsidRDefault="00A77B3E">
      <w:pPr>
        <w:spacing w:line="360" w:lineRule="auto"/>
        <w:jc w:val="both"/>
      </w:pPr>
    </w:p>
    <w:p w14:paraId="1A4DDA59" w14:textId="0749B621" w:rsidR="00A77B3E" w:rsidRDefault="000B7BA1">
      <w:pPr>
        <w:spacing w:line="360" w:lineRule="auto"/>
        <w:jc w:val="both"/>
      </w:pPr>
      <w:r>
        <w:rPr>
          <w:rFonts w:ascii="Book Antiqua" w:eastAsia="Book Antiqua" w:hAnsi="Book Antiqua" w:cs="Book Antiqua"/>
          <w:b/>
          <w:bCs/>
          <w:color w:val="000000"/>
          <w:szCs w:val="21"/>
        </w:rPr>
        <w:t xml:space="preserve">Author contributions: </w:t>
      </w:r>
      <w:r w:rsidR="00CD1D2E">
        <w:rPr>
          <w:rFonts w:ascii="Book Antiqua" w:eastAsia="Book Antiqua" w:hAnsi="Book Antiqua" w:cs="Book Antiqua"/>
          <w:color w:val="000000"/>
          <w:szCs w:val="20"/>
        </w:rPr>
        <w:t>Zhang M</w:t>
      </w:r>
      <w:r w:rsidR="00CD1D2E">
        <w:rPr>
          <w:rFonts w:ascii="Book Antiqua" w:hAnsi="Book Antiqua" w:cs="Book Antiqua" w:hint="eastAsia"/>
          <w:color w:val="000000"/>
          <w:szCs w:val="20"/>
          <w:lang w:eastAsia="zh-CN"/>
        </w:rPr>
        <w:t xml:space="preserve"> </w:t>
      </w:r>
      <w:bookmarkStart w:id="7" w:name="OLE_LINK182"/>
      <w:bookmarkStart w:id="8" w:name="OLE_LINK183"/>
      <w:bookmarkStart w:id="9" w:name="OLE_LINK184"/>
      <w:r w:rsidR="00CD1D2E">
        <w:rPr>
          <w:rFonts w:ascii="Book Antiqua" w:hAnsi="Book Antiqua" w:cs="Book Antiqua" w:hint="eastAsia"/>
          <w:color w:val="000000"/>
          <w:szCs w:val="20"/>
          <w:lang w:eastAsia="zh-CN"/>
        </w:rPr>
        <w:t>contributed to</w:t>
      </w:r>
      <w:bookmarkEnd w:id="7"/>
      <w:bookmarkEnd w:id="8"/>
      <w:bookmarkEnd w:id="9"/>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l</w:t>
      </w:r>
      <w:r>
        <w:rPr>
          <w:rFonts w:ascii="Book Antiqua" w:eastAsia="Book Antiqua" w:hAnsi="Book Antiqua" w:cs="Book Antiqua"/>
          <w:color w:val="000000"/>
          <w:szCs w:val="20"/>
        </w:rPr>
        <w:t xml:space="preserve">iterature search, data extraction and interpretation, </w:t>
      </w:r>
      <w:r w:rsidR="00FD7A07">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draft</w:t>
      </w:r>
      <w:r w:rsidR="00FD7A07">
        <w:rPr>
          <w:rFonts w:ascii="Book Antiqua" w:eastAsia="Book Antiqua" w:hAnsi="Book Antiqua" w:cs="Book Antiqua"/>
          <w:color w:val="000000"/>
          <w:szCs w:val="20"/>
        </w:rPr>
        <w:t>ing</w:t>
      </w:r>
      <w:r>
        <w:rPr>
          <w:rFonts w:ascii="Book Antiqua" w:eastAsia="Book Antiqua" w:hAnsi="Book Antiqua" w:cs="Book Antiqua"/>
          <w:color w:val="000000"/>
          <w:szCs w:val="20"/>
        </w:rPr>
        <w:t xml:space="preserve"> of the manuscript; </w:t>
      </w:r>
      <w:r w:rsidR="00CD1D2E">
        <w:rPr>
          <w:rFonts w:ascii="Book Antiqua" w:eastAsia="Book Antiqua" w:hAnsi="Book Antiqua" w:cs="Book Antiqua"/>
          <w:color w:val="000000"/>
          <w:szCs w:val="20"/>
        </w:rPr>
        <w:t>Chen QD</w:t>
      </w:r>
      <w:r w:rsidR="00CD1D2E">
        <w:rPr>
          <w:rFonts w:ascii="Book Antiqua" w:hAnsi="Book Antiqua" w:cs="Book Antiqua" w:hint="eastAsia"/>
          <w:color w:val="000000"/>
          <w:szCs w:val="20"/>
          <w:lang w:eastAsia="zh-CN"/>
        </w:rPr>
        <w:t xml:space="preserve"> contributed to</w:t>
      </w:r>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l</w:t>
      </w:r>
      <w:r>
        <w:rPr>
          <w:rFonts w:ascii="Book Antiqua" w:eastAsia="Book Antiqua" w:hAnsi="Book Antiqua" w:cs="Book Antiqua"/>
          <w:color w:val="000000"/>
          <w:szCs w:val="20"/>
        </w:rPr>
        <w:t>iterature search</w:t>
      </w:r>
      <w:r w:rsidR="00FD7A07">
        <w:rPr>
          <w:rFonts w:ascii="Book Antiqua" w:eastAsia="Book Antiqua" w:hAnsi="Book Antiqua" w:cs="Book Antiqua"/>
          <w:color w:val="000000"/>
          <w:szCs w:val="20"/>
        </w:rPr>
        <w:t xml:space="preserve"> and </w:t>
      </w:r>
      <w:r>
        <w:rPr>
          <w:rFonts w:ascii="Book Antiqua" w:eastAsia="Book Antiqua" w:hAnsi="Book Antiqua" w:cs="Book Antiqua"/>
          <w:color w:val="000000"/>
          <w:szCs w:val="20"/>
        </w:rPr>
        <w:t>data extraction and interpretation; Xu YM</w:t>
      </w:r>
      <w:r w:rsidR="00CD1D2E">
        <w:rPr>
          <w:rFonts w:ascii="Book Antiqua" w:hAnsi="Book Antiqua" w:cs="Book Antiqua" w:hint="eastAsia"/>
          <w:color w:val="000000"/>
          <w:szCs w:val="20"/>
          <w:lang w:eastAsia="zh-CN"/>
        </w:rPr>
        <w:t xml:space="preserve"> and </w:t>
      </w:r>
      <w:r w:rsidR="00CD1D2E">
        <w:rPr>
          <w:rFonts w:ascii="Book Antiqua" w:eastAsia="Book Antiqua" w:hAnsi="Book Antiqua" w:cs="Book Antiqua"/>
          <w:color w:val="000000"/>
          <w:szCs w:val="20"/>
        </w:rPr>
        <w:t>Xu HX</w:t>
      </w:r>
      <w:r>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contributed to</w:t>
      </w:r>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i</w:t>
      </w:r>
      <w:r>
        <w:rPr>
          <w:rFonts w:ascii="Book Antiqua" w:eastAsia="Book Antiqua" w:hAnsi="Book Antiqua" w:cs="Book Antiqua"/>
          <w:color w:val="000000"/>
          <w:szCs w:val="20"/>
        </w:rPr>
        <w:t>nitial revision of the manuscript;</w:t>
      </w:r>
      <w:r w:rsidR="00CD1D2E">
        <w:rPr>
          <w:rFonts w:hint="eastAsia"/>
          <w:lang w:eastAsia="zh-CN"/>
        </w:rPr>
        <w:t xml:space="preserve"> </w:t>
      </w:r>
      <w:r w:rsidR="00CD1D2E">
        <w:rPr>
          <w:rFonts w:ascii="Book Antiqua" w:eastAsia="Book Antiqua" w:hAnsi="Book Antiqua" w:cs="Book Antiqua"/>
          <w:color w:val="000000"/>
          <w:szCs w:val="20"/>
        </w:rPr>
        <w:t>Chen HJ</w:t>
      </w:r>
      <w:r w:rsidR="00CD1D2E">
        <w:rPr>
          <w:rFonts w:ascii="Book Antiqua" w:hAnsi="Book Antiqua" w:cs="Book Antiqua" w:hint="eastAsia"/>
          <w:color w:val="000000"/>
          <w:szCs w:val="20"/>
          <w:lang w:eastAsia="zh-CN"/>
        </w:rPr>
        <w:t xml:space="preserve"> contributed to</w:t>
      </w:r>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c</w:t>
      </w:r>
      <w:r>
        <w:rPr>
          <w:rFonts w:ascii="Book Antiqua" w:eastAsia="Book Antiqua" w:hAnsi="Book Antiqua" w:cs="Book Antiqua"/>
          <w:color w:val="000000"/>
          <w:szCs w:val="20"/>
        </w:rPr>
        <w:t>ritical revision of the manuscript for important intellectual content;</w:t>
      </w:r>
      <w:r w:rsidR="00CD1D2E">
        <w:rPr>
          <w:rFonts w:hint="eastAsia"/>
          <w:lang w:eastAsia="zh-CN"/>
        </w:rPr>
        <w:t xml:space="preserve"> </w:t>
      </w:r>
      <w:r w:rsidR="00CD1D2E">
        <w:rPr>
          <w:rFonts w:ascii="Book Antiqua" w:eastAsia="Book Antiqua" w:hAnsi="Book Antiqua" w:cs="Book Antiqua"/>
          <w:color w:val="000000"/>
          <w:szCs w:val="20"/>
        </w:rPr>
        <w:t>Yang BL</w:t>
      </w:r>
      <w:r w:rsidR="00CD1D2E" w:rsidRPr="00CD1D2E">
        <w:rPr>
          <w:rFonts w:ascii="Book Antiqua" w:hAnsi="Book Antiqua" w:cs="Book Antiqua" w:hint="eastAsia"/>
          <w:color w:val="000000"/>
          <w:szCs w:val="20"/>
          <w:lang w:eastAsia="zh-CN"/>
        </w:rPr>
        <w:t xml:space="preserve"> </w:t>
      </w:r>
      <w:r w:rsidR="00CD1D2E">
        <w:rPr>
          <w:rFonts w:ascii="Book Antiqua" w:hAnsi="Book Antiqua" w:cs="Book Antiqua" w:hint="eastAsia"/>
          <w:color w:val="000000"/>
          <w:szCs w:val="20"/>
          <w:lang w:eastAsia="zh-CN"/>
        </w:rPr>
        <w:t>contributed to</w:t>
      </w:r>
      <w:r w:rsidR="00CD1D2E">
        <w:rPr>
          <w:rFonts w:ascii="Book Antiqua" w:eastAsia="Book Antiqua" w:hAnsi="Book Antiqua" w:cs="Book Antiqua"/>
          <w:color w:val="000000"/>
          <w:szCs w:val="20"/>
        </w:rPr>
        <w:t xml:space="preserve"> </w:t>
      </w:r>
      <w:r w:rsidR="00CD1D2E">
        <w:rPr>
          <w:rFonts w:ascii="Book Antiqua" w:hAnsi="Book Antiqua" w:cs="Book Antiqua" w:hint="eastAsia"/>
          <w:color w:val="000000"/>
          <w:szCs w:val="20"/>
          <w:lang w:eastAsia="zh-CN"/>
        </w:rPr>
        <w:t>c</w:t>
      </w:r>
      <w:r>
        <w:rPr>
          <w:rFonts w:ascii="Book Antiqua" w:eastAsia="Book Antiqua" w:hAnsi="Book Antiqua" w:cs="Book Antiqua"/>
          <w:color w:val="000000"/>
          <w:szCs w:val="20"/>
        </w:rPr>
        <w:t xml:space="preserve">oncept and design, funding, literature search, data extraction and interpretation, </w:t>
      </w:r>
      <w:r w:rsidR="00FD7A07">
        <w:rPr>
          <w:rFonts w:ascii="Book Antiqua" w:eastAsia="Book Antiqua" w:hAnsi="Book Antiqua" w:cs="Book Antiqua"/>
          <w:color w:val="000000"/>
          <w:szCs w:val="20"/>
        </w:rPr>
        <w:t xml:space="preserve">and </w:t>
      </w:r>
      <w:r>
        <w:rPr>
          <w:rFonts w:ascii="Book Antiqua" w:eastAsia="Book Antiqua" w:hAnsi="Book Antiqua" w:cs="Book Antiqua"/>
          <w:color w:val="000000"/>
          <w:szCs w:val="20"/>
        </w:rPr>
        <w:t>critical revision of the manuscript for important intellectual content;</w:t>
      </w:r>
      <w:r w:rsidR="00CD1D2E">
        <w:rPr>
          <w:rFonts w:hint="eastAsia"/>
          <w:lang w:eastAsia="zh-CN"/>
        </w:rPr>
        <w:t xml:space="preserve"> </w:t>
      </w:r>
      <w:r w:rsidR="001C24BE">
        <w:rPr>
          <w:rFonts w:ascii="Book Antiqua" w:eastAsia="Book Antiqua" w:hAnsi="Book Antiqua" w:cs="Book Antiqua"/>
          <w:color w:val="000000"/>
          <w:szCs w:val="20"/>
        </w:rPr>
        <w:t>a</w:t>
      </w:r>
      <w:r>
        <w:rPr>
          <w:rFonts w:ascii="Book Antiqua" w:eastAsia="Book Antiqua" w:hAnsi="Book Antiqua" w:cs="Book Antiqua"/>
          <w:color w:val="000000"/>
          <w:szCs w:val="20"/>
        </w:rPr>
        <w:t>ll authors have read and approved the manuscript.</w:t>
      </w:r>
    </w:p>
    <w:p w14:paraId="37BE4DA4" w14:textId="77777777" w:rsidR="00A77B3E" w:rsidRDefault="00A77B3E">
      <w:pPr>
        <w:spacing w:line="360" w:lineRule="auto"/>
        <w:jc w:val="both"/>
      </w:pPr>
    </w:p>
    <w:p w14:paraId="1AB56718" w14:textId="7DDEB6EA" w:rsidR="00A77B3E" w:rsidRDefault="000B7BA1">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szCs w:val="20"/>
        </w:rPr>
        <w:t xml:space="preserve">the Open Projects of the Discipline of Nanjing University of Chinese Medicine </w:t>
      </w:r>
      <w:r w:rsidR="00FD7A07">
        <w:rPr>
          <w:rFonts w:ascii="Book Antiqua" w:eastAsia="Book Antiqua" w:hAnsi="Book Antiqua" w:cs="Book Antiqua"/>
          <w:color w:val="000000"/>
          <w:szCs w:val="20"/>
        </w:rPr>
        <w:t xml:space="preserve">Supported </w:t>
      </w:r>
      <w:r>
        <w:rPr>
          <w:rFonts w:ascii="Book Antiqua" w:eastAsia="Book Antiqua" w:hAnsi="Book Antiqua" w:cs="Book Antiqua"/>
          <w:color w:val="000000"/>
          <w:szCs w:val="20"/>
        </w:rPr>
        <w:t xml:space="preserve">by Academic Priority </w:t>
      </w:r>
      <w:r w:rsidR="00FD7A07">
        <w:rPr>
          <w:rFonts w:ascii="Book Antiqua" w:eastAsia="Book Antiqua" w:hAnsi="Book Antiqua" w:cs="Book Antiqua"/>
          <w:color w:val="000000"/>
          <w:szCs w:val="20"/>
        </w:rPr>
        <w:t xml:space="preserve">Discipline </w:t>
      </w:r>
      <w:r>
        <w:rPr>
          <w:rFonts w:ascii="Book Antiqua" w:eastAsia="Book Antiqua" w:hAnsi="Book Antiqua" w:cs="Book Antiqua"/>
          <w:color w:val="000000"/>
          <w:szCs w:val="20"/>
        </w:rPr>
        <w:t>of Jiangs</w:t>
      </w:r>
      <w:r w:rsidR="003A5E8D">
        <w:rPr>
          <w:rFonts w:ascii="Book Antiqua" w:eastAsia="Book Antiqua" w:hAnsi="Book Antiqua" w:cs="Book Antiqua"/>
          <w:color w:val="000000"/>
          <w:szCs w:val="20"/>
        </w:rPr>
        <w:t>u Higher Education Institutions</w:t>
      </w:r>
      <w:r w:rsidR="003A5E8D">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333 Project of Jiangsu </w:t>
      </w:r>
      <w:bookmarkStart w:id="10" w:name="OLE_LINK187"/>
      <w:bookmarkStart w:id="11" w:name="OLE_LINK188"/>
      <w:r>
        <w:rPr>
          <w:rFonts w:ascii="Book Antiqua" w:eastAsia="Book Antiqua" w:hAnsi="Book Antiqua" w:cs="Book Antiqua"/>
          <w:color w:val="000000"/>
          <w:szCs w:val="20"/>
        </w:rPr>
        <w:t>Province</w:t>
      </w:r>
      <w:bookmarkEnd w:id="10"/>
      <w:bookmarkEnd w:id="11"/>
      <w:r>
        <w:rPr>
          <w:rFonts w:ascii="Book Antiqua" w:eastAsia="Book Antiqua" w:hAnsi="Book Antiqua" w:cs="Book Antiqua"/>
          <w:color w:val="000000"/>
          <w:szCs w:val="20"/>
        </w:rPr>
        <w:t>, China, No. LGY2019069.</w:t>
      </w:r>
    </w:p>
    <w:p w14:paraId="3C40C761" w14:textId="77777777" w:rsidR="00A77B3E" w:rsidRDefault="00A77B3E">
      <w:pPr>
        <w:spacing w:line="360" w:lineRule="auto"/>
        <w:jc w:val="both"/>
      </w:pPr>
    </w:p>
    <w:p w14:paraId="1C2DAEE7" w14:textId="4AD1DA21" w:rsidR="00A77B3E" w:rsidRDefault="000B7BA1">
      <w:pPr>
        <w:spacing w:line="360" w:lineRule="auto"/>
        <w:jc w:val="both"/>
      </w:pPr>
      <w:r>
        <w:rPr>
          <w:rFonts w:ascii="Book Antiqua" w:eastAsia="Book Antiqua" w:hAnsi="Book Antiqua" w:cs="Book Antiqua"/>
          <w:b/>
          <w:bCs/>
          <w:color w:val="000000"/>
        </w:rPr>
        <w:t xml:space="preserve">Corresponding author: Bo-Lin Yang, MD, Chief Doctor, Professor, Surgeon, </w:t>
      </w:r>
      <w:r>
        <w:rPr>
          <w:rFonts w:ascii="Book Antiqua" w:eastAsia="Book Antiqua" w:hAnsi="Book Antiqua" w:cs="Book Antiqua"/>
          <w:color w:val="000000"/>
        </w:rPr>
        <w:t xml:space="preserve">Department of Colorectal Surgery, The Affiliated Hospital of Nanjing University of Chinese Medicine, </w:t>
      </w:r>
      <w:r w:rsidR="008E74ED">
        <w:rPr>
          <w:rFonts w:ascii="Book Antiqua" w:eastAsia="Book Antiqua" w:hAnsi="Book Antiqua" w:cs="Book Antiqua"/>
          <w:color w:val="000000"/>
        </w:rPr>
        <w:t>Jiangsu Province Hospital of Chinese Medicine,</w:t>
      </w:r>
      <w:r w:rsidR="008E74ED">
        <w:rPr>
          <w:rFonts w:ascii="Book Antiqua" w:hAnsi="Book Antiqua" w:cs="Book Antiqua" w:hint="eastAsia"/>
          <w:color w:val="000000"/>
          <w:lang w:eastAsia="zh-CN"/>
        </w:rPr>
        <w:t xml:space="preserve"> No. </w:t>
      </w:r>
      <w:r>
        <w:rPr>
          <w:rFonts w:ascii="Book Antiqua" w:eastAsia="Book Antiqua" w:hAnsi="Book Antiqua" w:cs="Book Antiqua"/>
          <w:color w:val="000000"/>
        </w:rPr>
        <w:t>155 Hanzhong R</w:t>
      </w:r>
      <w:r w:rsidR="00441F89">
        <w:rPr>
          <w:rFonts w:ascii="Book Antiqua" w:eastAsia="Book Antiqua" w:hAnsi="Book Antiqua" w:cs="Book Antiqua"/>
          <w:color w:val="000000"/>
        </w:rPr>
        <w:t>oa</w:t>
      </w:r>
      <w:r>
        <w:rPr>
          <w:rFonts w:ascii="Book Antiqua" w:eastAsia="Book Antiqua" w:hAnsi="Book Antiqua" w:cs="Book Antiqua"/>
          <w:color w:val="000000"/>
        </w:rPr>
        <w:t>d, Nanjing 210029, Jiangsu</w:t>
      </w:r>
      <w:r w:rsidR="008E74ED" w:rsidRPr="008E74ED">
        <w:rPr>
          <w:rFonts w:ascii="Book Antiqua" w:eastAsia="Book Antiqua" w:hAnsi="Book Antiqua" w:cs="Book Antiqua"/>
          <w:color w:val="000000"/>
          <w:szCs w:val="20"/>
        </w:rPr>
        <w:t xml:space="preserve"> </w:t>
      </w:r>
      <w:r w:rsidR="008E74ED">
        <w:rPr>
          <w:rFonts w:ascii="Book Antiqua" w:eastAsia="Book Antiqua" w:hAnsi="Book Antiqua" w:cs="Book Antiqua"/>
          <w:color w:val="000000"/>
          <w:szCs w:val="20"/>
        </w:rPr>
        <w:t>Province</w:t>
      </w:r>
      <w:r>
        <w:rPr>
          <w:rFonts w:ascii="Book Antiqua" w:eastAsia="Book Antiqua" w:hAnsi="Book Antiqua" w:cs="Book Antiqua"/>
          <w:color w:val="000000"/>
        </w:rPr>
        <w:t>, China. blyang1971@163.com</w:t>
      </w:r>
    </w:p>
    <w:p w14:paraId="1F9BA584" w14:textId="77777777" w:rsidR="00A77B3E" w:rsidRDefault="00A77B3E">
      <w:pPr>
        <w:spacing w:line="360" w:lineRule="auto"/>
        <w:jc w:val="both"/>
      </w:pPr>
    </w:p>
    <w:p w14:paraId="31298B60" w14:textId="77777777" w:rsidR="00A77B3E" w:rsidRDefault="000B7BA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19, 2021</w:t>
      </w:r>
    </w:p>
    <w:p w14:paraId="21D4B439" w14:textId="77777777" w:rsidR="00A77B3E" w:rsidRPr="00F367BB" w:rsidRDefault="000B7BA1">
      <w:pPr>
        <w:spacing w:line="360" w:lineRule="auto"/>
        <w:jc w:val="both"/>
        <w:rPr>
          <w:lang w:eastAsia="zh-CN"/>
        </w:rPr>
      </w:pPr>
      <w:r>
        <w:rPr>
          <w:rFonts w:ascii="Book Antiqua" w:eastAsia="Book Antiqua" w:hAnsi="Book Antiqua" w:cs="Book Antiqua"/>
          <w:b/>
          <w:bCs/>
          <w:color w:val="000000"/>
        </w:rPr>
        <w:t xml:space="preserve">Revised: </w:t>
      </w:r>
      <w:r w:rsidR="00F367BB" w:rsidRPr="00F367BB">
        <w:rPr>
          <w:rFonts w:ascii="Book Antiqua" w:hAnsi="Book Antiqua" w:cs="Book Antiqua" w:hint="eastAsia"/>
          <w:bCs/>
          <w:color w:val="000000"/>
          <w:lang w:eastAsia="zh-CN"/>
        </w:rPr>
        <w:t>February 21, 2021</w:t>
      </w:r>
    </w:p>
    <w:p w14:paraId="7812BA15" w14:textId="01BB1BF1" w:rsidR="00A77B3E" w:rsidRDefault="000B7BA1">
      <w:pPr>
        <w:spacing w:line="360" w:lineRule="auto"/>
        <w:jc w:val="both"/>
      </w:pPr>
      <w:r>
        <w:rPr>
          <w:rFonts w:ascii="Book Antiqua" w:eastAsia="Book Antiqua" w:hAnsi="Book Antiqua" w:cs="Book Antiqua"/>
          <w:b/>
          <w:bCs/>
          <w:color w:val="000000"/>
        </w:rPr>
        <w:t xml:space="preserve">Accepted: </w:t>
      </w:r>
      <w:r w:rsidR="0043142E" w:rsidRPr="0043142E">
        <w:rPr>
          <w:rFonts w:ascii="Book Antiqua" w:eastAsia="Book Antiqua" w:hAnsi="Book Antiqua" w:cs="Book Antiqua"/>
          <w:color w:val="000000"/>
        </w:rPr>
        <w:t>March 17, 2021</w:t>
      </w:r>
    </w:p>
    <w:p w14:paraId="0179AD7F" w14:textId="2D06C95B" w:rsidR="00A77B3E" w:rsidRDefault="000B7BA1">
      <w:pPr>
        <w:spacing w:line="360" w:lineRule="auto"/>
        <w:jc w:val="both"/>
      </w:pPr>
      <w:r>
        <w:rPr>
          <w:rFonts w:ascii="Book Antiqua" w:eastAsia="Book Antiqua" w:hAnsi="Book Antiqua" w:cs="Book Antiqua"/>
          <w:b/>
          <w:bCs/>
          <w:color w:val="000000"/>
        </w:rPr>
        <w:t xml:space="preserve">Published online: </w:t>
      </w:r>
      <w:r w:rsidR="0020110F" w:rsidRPr="00156D49">
        <w:rPr>
          <w:rFonts w:ascii="Book Antiqua" w:eastAsia="Book Antiqua" w:hAnsi="Book Antiqua" w:cs="Book Antiqua"/>
          <w:bCs/>
          <w:color w:val="000000"/>
        </w:rPr>
        <w:t xml:space="preserve">May </w:t>
      </w:r>
      <w:r w:rsidR="0020110F">
        <w:rPr>
          <w:rFonts w:ascii="Book Antiqua" w:hAnsi="Book Antiqua" w:cs="Book Antiqua" w:hint="eastAsia"/>
          <w:bCs/>
          <w:color w:val="000000"/>
          <w:lang w:eastAsia="zh-CN"/>
        </w:rPr>
        <w:t>2</w:t>
      </w:r>
      <w:r w:rsidR="0020110F" w:rsidRPr="00C04B8E">
        <w:rPr>
          <w:rFonts w:ascii="Book Antiqua" w:hAnsi="Book Antiqua" w:cs="Book Antiqua" w:hint="eastAsia"/>
          <w:bCs/>
          <w:color w:val="000000"/>
          <w:lang w:eastAsia="zh-CN"/>
        </w:rPr>
        <w:t>6, 2021</w:t>
      </w:r>
    </w:p>
    <w:p w14:paraId="340189F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A16EF13" w14:textId="77777777" w:rsidR="00A77B3E" w:rsidRDefault="000B7BA1">
      <w:pPr>
        <w:spacing w:line="360" w:lineRule="auto"/>
        <w:jc w:val="both"/>
      </w:pPr>
      <w:r>
        <w:rPr>
          <w:rFonts w:ascii="Book Antiqua" w:eastAsia="Book Antiqua" w:hAnsi="Book Antiqua" w:cs="Book Antiqua"/>
          <w:b/>
          <w:color w:val="000000"/>
        </w:rPr>
        <w:t>Abstract</w:t>
      </w:r>
    </w:p>
    <w:p w14:paraId="1CDE742C" w14:textId="173251B6" w:rsidR="00A77B3E" w:rsidRDefault="000B7BA1">
      <w:pPr>
        <w:spacing w:line="360" w:lineRule="auto"/>
        <w:jc w:val="both"/>
      </w:pPr>
      <w:bookmarkStart w:id="12" w:name="OLE_LINK197"/>
      <w:r>
        <w:rPr>
          <w:rFonts w:ascii="Book Antiqua" w:eastAsia="Book Antiqua" w:hAnsi="Book Antiqua" w:cs="Book Antiqua"/>
          <w:color w:val="000000"/>
          <w:szCs w:val="20"/>
        </w:rPr>
        <w:t>Hidradenitis suppurativa</w:t>
      </w:r>
      <w:bookmarkEnd w:id="12"/>
      <w:r>
        <w:rPr>
          <w:rFonts w:ascii="Book Antiqua" w:eastAsia="Book Antiqua" w:hAnsi="Book Antiqua" w:cs="Book Antiqua"/>
          <w:color w:val="000000"/>
          <w:szCs w:val="20"/>
        </w:rPr>
        <w:t xml:space="preserve"> (HS) is a chronic inflammatory skin disorder characterized by recurrent nodules, abscesses, and sinus tracts. Crohn’s disease (CD) is characterized by inflammation of the entire digestive tract and belongs to the group of inflammatory bowel diseases, and there are many extraintestinal manifestations, among which hidradenitis suppurativa is one of the rare extraintestinal manifestations. There appears to be a strong association between CD and HS based on clinical and histological similarities (sinus tract development, granulomatous inflammation</w:t>
      </w:r>
      <w:r w:rsidR="00FD7A0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scarring), intersections in pathogenesis (genetic loci, immune dysregulation mechanisms</w:t>
      </w:r>
      <w:r w:rsidR="00FD7A0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microbiome changes)</w:t>
      </w:r>
      <w:r w:rsidR="00FD7A07">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commonality in treatment. In this review, we summarize recent studies on the association between HS and CD.</w:t>
      </w:r>
    </w:p>
    <w:p w14:paraId="1D1B8A10" w14:textId="77777777" w:rsidR="00A77B3E" w:rsidRDefault="00A77B3E">
      <w:pPr>
        <w:spacing w:line="360" w:lineRule="auto"/>
        <w:jc w:val="both"/>
      </w:pPr>
    </w:p>
    <w:p w14:paraId="448C45A1" w14:textId="77777777" w:rsidR="00A77B3E" w:rsidRDefault="000B7BA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Hidradenitis suppurativa; Crohn's disease; Epidemiology; Clinical features; Pathogenesis; Treatment</w:t>
      </w:r>
    </w:p>
    <w:p w14:paraId="01BB3538" w14:textId="77777777" w:rsidR="008C60FD" w:rsidRDefault="008C60FD" w:rsidP="008C60FD">
      <w:pPr>
        <w:spacing w:line="360" w:lineRule="auto"/>
        <w:jc w:val="both"/>
        <w:rPr>
          <w:lang w:eastAsia="zh-CN"/>
        </w:rPr>
      </w:pPr>
    </w:p>
    <w:p w14:paraId="05F54617" w14:textId="77777777" w:rsidR="008C60FD" w:rsidRPr="00026CB8" w:rsidRDefault="008C60FD" w:rsidP="008C60F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45805B5" w14:textId="77777777" w:rsidR="00A77B3E" w:rsidRDefault="00A77B3E">
      <w:pPr>
        <w:spacing w:line="360" w:lineRule="auto"/>
        <w:jc w:val="both"/>
      </w:pPr>
    </w:p>
    <w:p w14:paraId="1BD813E9" w14:textId="31D7E304" w:rsidR="00F603CC" w:rsidRDefault="00F603CC">
      <w:pPr>
        <w:spacing w:line="360" w:lineRule="auto"/>
        <w:jc w:val="both"/>
        <w:rPr>
          <w:rFonts w:ascii="Book Antiqua" w:hAnsi="Book Antiqua" w:hint="eastAsia"/>
          <w:lang w:eastAsia="zh-CN"/>
        </w:rPr>
      </w:pPr>
      <w:r w:rsidRPr="00F603CC">
        <w:rPr>
          <w:rFonts w:ascii="Book Antiqua" w:hAnsi="Book Antiqua" w:cs="Book Antiqua" w:hint="eastAsia"/>
          <w:b/>
          <w:color w:val="000000"/>
          <w:lang w:eastAsia="zh-CN"/>
        </w:rPr>
        <w:t xml:space="preserve">Citation: </w:t>
      </w:r>
      <w:r w:rsidR="000B7BA1">
        <w:rPr>
          <w:rFonts w:ascii="Book Antiqua" w:eastAsia="Book Antiqua" w:hAnsi="Book Antiqua" w:cs="Book Antiqua"/>
          <w:color w:val="000000"/>
        </w:rPr>
        <w:t xml:space="preserve">Zhang M, Chen Q, Xu HX, Xu YM, Chen HJ, Yang BL. Association of </w:t>
      </w:r>
      <w:r w:rsidR="00AF56AB">
        <w:rPr>
          <w:rFonts w:ascii="Book Antiqua" w:eastAsia="Book Antiqua" w:hAnsi="Book Antiqua" w:cs="Book Antiqua"/>
          <w:color w:val="000000"/>
        </w:rPr>
        <w:t>hidradenitis suppurativa with</w:t>
      </w:r>
      <w:r w:rsidR="000B7BA1">
        <w:rPr>
          <w:rFonts w:ascii="Book Antiqua" w:eastAsia="Book Antiqua" w:hAnsi="Book Antiqua" w:cs="Book Antiqua"/>
          <w:color w:val="000000"/>
        </w:rPr>
        <w:t xml:space="preserve"> Crohn’s </w:t>
      </w:r>
      <w:r w:rsidR="00AF56AB">
        <w:rPr>
          <w:rFonts w:ascii="Book Antiqua" w:eastAsia="Book Antiqua" w:hAnsi="Book Antiqua" w:cs="Book Antiqua"/>
          <w:color w:val="000000"/>
        </w:rPr>
        <w:t>disease</w:t>
      </w:r>
      <w:r w:rsidR="000B7BA1">
        <w:rPr>
          <w:rFonts w:ascii="Book Antiqua" w:eastAsia="Book Antiqua" w:hAnsi="Book Antiqua" w:cs="Book Antiqua"/>
          <w:color w:val="000000"/>
        </w:rPr>
        <w:t xml:space="preserve">. </w:t>
      </w:r>
      <w:r w:rsidR="000B7BA1">
        <w:rPr>
          <w:rFonts w:ascii="Book Antiqua" w:eastAsia="Book Antiqua" w:hAnsi="Book Antiqua" w:cs="Book Antiqua"/>
          <w:i/>
          <w:iCs/>
          <w:color w:val="000000"/>
        </w:rPr>
        <w:t>World J Clin Cases</w:t>
      </w:r>
      <w:r w:rsidR="000B7BA1">
        <w:rPr>
          <w:rFonts w:ascii="Book Antiqua" w:eastAsia="Book Antiqua" w:hAnsi="Book Antiqua" w:cs="Book Antiqua"/>
          <w:color w:val="000000"/>
        </w:rPr>
        <w:t xml:space="preserve"> </w:t>
      </w:r>
      <w:r w:rsidR="00B6787D" w:rsidRPr="00EE6A3B">
        <w:rPr>
          <w:rFonts w:ascii="Book Antiqua" w:hAnsi="Book Antiqua"/>
        </w:rPr>
        <w:t>202</w:t>
      </w:r>
      <w:r w:rsidR="00B6787D">
        <w:rPr>
          <w:rFonts w:ascii="Book Antiqua" w:hAnsi="Book Antiqua" w:hint="eastAsia"/>
          <w:lang w:eastAsia="zh-CN"/>
        </w:rPr>
        <w:t>1</w:t>
      </w:r>
      <w:r w:rsidR="00B6787D" w:rsidRPr="00EE6A3B">
        <w:rPr>
          <w:rFonts w:ascii="Book Antiqua" w:hAnsi="Book Antiqua"/>
        </w:rPr>
        <w:t xml:space="preserve">; </w:t>
      </w:r>
      <w:r w:rsidR="00B6787D">
        <w:rPr>
          <w:rFonts w:ascii="Book Antiqua" w:hAnsi="Book Antiqua" w:hint="eastAsia"/>
          <w:lang w:eastAsia="zh-CN"/>
        </w:rPr>
        <w:t>9</w:t>
      </w:r>
      <w:r w:rsidR="00B6787D" w:rsidRPr="00EE6A3B">
        <w:rPr>
          <w:rFonts w:ascii="Book Antiqua" w:hAnsi="Book Antiqua"/>
        </w:rPr>
        <w:t>(</w:t>
      </w:r>
      <w:r w:rsidR="00B6787D">
        <w:rPr>
          <w:rFonts w:ascii="Book Antiqua" w:hAnsi="Book Antiqua" w:hint="eastAsia"/>
          <w:lang w:eastAsia="zh-CN"/>
        </w:rPr>
        <w:t>15</w:t>
      </w:r>
      <w:r w:rsidR="00B6787D" w:rsidRPr="00EE6A3B">
        <w:rPr>
          <w:rFonts w:ascii="Book Antiqua" w:hAnsi="Book Antiqua"/>
        </w:rPr>
        <w:t xml:space="preserve">): </w:t>
      </w:r>
      <w:r w:rsidR="0037301C" w:rsidRPr="0037301C">
        <w:rPr>
          <w:rFonts w:ascii="Book Antiqua" w:hAnsi="Book Antiqua"/>
        </w:rPr>
        <w:t>3506-3516</w:t>
      </w:r>
      <w:r w:rsidR="00B6787D" w:rsidRPr="00EE6A3B">
        <w:rPr>
          <w:rFonts w:ascii="Book Antiqua" w:hAnsi="Book Antiqua"/>
        </w:rPr>
        <w:t xml:space="preserve">  </w:t>
      </w:r>
    </w:p>
    <w:p w14:paraId="6402ABD1" w14:textId="4B80A5A4" w:rsidR="00F603CC" w:rsidRDefault="00B6787D">
      <w:pPr>
        <w:spacing w:line="360" w:lineRule="auto"/>
        <w:jc w:val="both"/>
        <w:rPr>
          <w:rFonts w:ascii="Book Antiqua" w:hAnsi="Book Antiqua" w:hint="eastAsia"/>
          <w:lang w:eastAsia="zh-CN"/>
        </w:rPr>
      </w:pPr>
      <w:r w:rsidRPr="00F603CC">
        <w:rPr>
          <w:rFonts w:ascii="Book Antiqua" w:hAnsi="Book Antiqua"/>
          <w:b/>
        </w:rPr>
        <w:t xml:space="preserve">URL: </w:t>
      </w:r>
      <w:r w:rsidRPr="00EE6A3B">
        <w:rPr>
          <w:rFonts w:ascii="Book Antiqua" w:hAnsi="Book Antiqua"/>
        </w:rPr>
        <w:t>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15</w:t>
      </w:r>
      <w:r w:rsidRPr="00EE6A3B">
        <w:rPr>
          <w:rFonts w:ascii="Book Antiqua" w:hAnsi="Book Antiqua"/>
        </w:rPr>
        <w:t>/</w:t>
      </w:r>
      <w:r w:rsidR="009A1B3C" w:rsidRPr="0037301C">
        <w:rPr>
          <w:rFonts w:ascii="Book Antiqua" w:hAnsi="Book Antiqua"/>
        </w:rPr>
        <w:t>3506</w:t>
      </w:r>
      <w:r w:rsidRPr="00EE6A3B">
        <w:rPr>
          <w:rFonts w:ascii="Book Antiqua" w:hAnsi="Book Antiqua"/>
        </w:rPr>
        <w:t xml:space="preserve">.htm  </w:t>
      </w:r>
    </w:p>
    <w:p w14:paraId="4FDFD0E3" w14:textId="55864A2A" w:rsidR="00A77B3E" w:rsidRDefault="00B6787D">
      <w:pPr>
        <w:spacing w:line="360" w:lineRule="auto"/>
        <w:jc w:val="both"/>
      </w:pPr>
      <w:r w:rsidRPr="00F603CC">
        <w:rPr>
          <w:rFonts w:ascii="Book Antiqua" w:hAnsi="Book Antiqua"/>
          <w:b/>
        </w:rPr>
        <w:t>DOI:</w:t>
      </w:r>
      <w:r w:rsidRPr="00EE6A3B">
        <w:rPr>
          <w:rFonts w:ascii="Book Antiqua" w:hAnsi="Book Antiqua"/>
        </w:rPr>
        <w:t xml:space="preserve">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15</w:t>
      </w:r>
      <w:r w:rsidRPr="00EE6A3B">
        <w:rPr>
          <w:rFonts w:ascii="Book Antiqua" w:hAnsi="Book Antiqua"/>
        </w:rPr>
        <w:t>.</w:t>
      </w:r>
      <w:r w:rsidR="009A1B3C" w:rsidRPr="0037301C">
        <w:rPr>
          <w:rFonts w:ascii="Book Antiqua" w:hAnsi="Book Antiqua"/>
        </w:rPr>
        <w:t>3506</w:t>
      </w:r>
    </w:p>
    <w:p w14:paraId="585D7007" w14:textId="77777777" w:rsidR="00A77B3E" w:rsidRDefault="00A77B3E">
      <w:pPr>
        <w:spacing w:line="360" w:lineRule="auto"/>
        <w:jc w:val="both"/>
      </w:pPr>
    </w:p>
    <w:p w14:paraId="6C254199" w14:textId="1EF0A4CE" w:rsidR="00A77B3E" w:rsidRDefault="000B7BA1">
      <w:pPr>
        <w:spacing w:line="360" w:lineRule="auto"/>
        <w:jc w:val="both"/>
        <w:rPr>
          <w:lang w:eastAsia="zh-CN"/>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review, we summarize the recent studies on the association between </w:t>
      </w:r>
      <w:r w:rsidR="00AF56AB">
        <w:rPr>
          <w:rFonts w:ascii="Book Antiqua" w:eastAsia="Book Antiqua" w:hAnsi="Book Antiqua" w:cs="Book Antiqua"/>
          <w:color w:val="000000"/>
        </w:rPr>
        <w:t xml:space="preserve">hidradenitis </w:t>
      </w:r>
      <w:r>
        <w:rPr>
          <w:rFonts w:ascii="Book Antiqua" w:eastAsia="Book Antiqua" w:hAnsi="Book Antiqua" w:cs="Book Antiqua"/>
          <w:color w:val="000000"/>
        </w:rPr>
        <w:t>suppurativa</w:t>
      </w:r>
      <w:r w:rsidR="00AF56AB">
        <w:rPr>
          <w:rFonts w:ascii="Book Antiqua" w:hAnsi="Book Antiqua" w:cs="Book Antiqua" w:hint="eastAsia"/>
          <w:color w:val="000000"/>
          <w:lang w:eastAsia="zh-CN"/>
        </w:rPr>
        <w:t xml:space="preserve"> </w:t>
      </w:r>
      <w:r>
        <w:rPr>
          <w:rFonts w:ascii="Book Antiqua" w:eastAsia="Book Antiqua" w:hAnsi="Book Antiqua" w:cs="Book Antiqua"/>
          <w:color w:val="000000"/>
        </w:rPr>
        <w:t>and Crohn's disease, based on clinical and histological similarities (sinus tract development, granulomatous inflammation</w:t>
      </w:r>
      <w:r w:rsidR="00FD7A07">
        <w:rPr>
          <w:rFonts w:ascii="Book Antiqua" w:eastAsia="Book Antiqua" w:hAnsi="Book Antiqua" w:cs="Book Antiqua"/>
          <w:color w:val="000000"/>
        </w:rPr>
        <w:t>,</w:t>
      </w:r>
      <w:r>
        <w:rPr>
          <w:rFonts w:ascii="Book Antiqua" w:eastAsia="Book Antiqua" w:hAnsi="Book Antiqua" w:cs="Book Antiqua"/>
          <w:color w:val="000000"/>
        </w:rPr>
        <w:t xml:space="preserve"> and scarring), intersections in pathogenesis (genetic loci, immune dysregulation mechanisms</w:t>
      </w:r>
      <w:r w:rsidR="00FD7A07">
        <w:rPr>
          <w:rFonts w:ascii="Book Antiqua" w:eastAsia="Book Antiqua" w:hAnsi="Book Antiqua" w:cs="Book Antiqua"/>
          <w:color w:val="000000"/>
        </w:rPr>
        <w:t>,</w:t>
      </w:r>
      <w:r>
        <w:rPr>
          <w:rFonts w:ascii="Book Antiqua" w:eastAsia="Book Antiqua" w:hAnsi="Book Antiqua" w:cs="Book Antiqua"/>
          <w:color w:val="000000"/>
        </w:rPr>
        <w:t xml:space="preserve"> and microbiome changes</w:t>
      </w:r>
      <w:r w:rsidR="00AF56AB">
        <w:rPr>
          <w:rFonts w:ascii="Book Antiqua" w:hAnsi="Book Antiqua" w:cs="Book Antiqua" w:hint="eastAsia"/>
          <w:color w:val="000000"/>
          <w:lang w:eastAsia="zh-CN"/>
        </w:rPr>
        <w:t>)</w:t>
      </w:r>
      <w:r w:rsidR="00FD7A07">
        <w:rPr>
          <w:rFonts w:ascii="Book Antiqua" w:hAnsi="Book Antiqua" w:cs="Book Antiqua"/>
          <w:color w:val="000000"/>
          <w:lang w:eastAsia="zh-CN"/>
        </w:rPr>
        <w:t>,</w:t>
      </w:r>
      <w:r>
        <w:rPr>
          <w:rFonts w:ascii="Book Antiqua" w:eastAsia="Book Antiqua" w:hAnsi="Book Antiqua" w:cs="Book Antiqua"/>
          <w:color w:val="000000"/>
        </w:rPr>
        <w:t xml:space="preserve"> and commonality in treatment.</w:t>
      </w:r>
    </w:p>
    <w:p w14:paraId="3D135E65" w14:textId="77777777" w:rsidR="00F778B9" w:rsidRDefault="00F778B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C5287C9" w14:textId="536DF9C2" w:rsidR="00A77B3E" w:rsidRDefault="000B7BA1">
      <w:pPr>
        <w:spacing w:line="360" w:lineRule="auto"/>
        <w:jc w:val="both"/>
      </w:pPr>
      <w:r>
        <w:rPr>
          <w:rFonts w:ascii="Book Antiqua" w:eastAsia="Book Antiqua" w:hAnsi="Book Antiqua" w:cs="Book Antiqua"/>
          <w:b/>
          <w:caps/>
          <w:color w:val="000000"/>
          <w:u w:val="single"/>
        </w:rPr>
        <w:t>INTRODUCTION</w:t>
      </w:r>
    </w:p>
    <w:p w14:paraId="353017F1" w14:textId="77777777" w:rsidR="00A77B3E" w:rsidRDefault="000B7BA1" w:rsidP="00B377DB">
      <w:pPr>
        <w:spacing w:line="360" w:lineRule="auto"/>
        <w:jc w:val="both"/>
      </w:pPr>
      <w:r>
        <w:rPr>
          <w:rFonts w:ascii="Book Antiqua" w:eastAsia="Book Antiqua" w:hAnsi="Book Antiqua" w:cs="Book Antiqua"/>
          <w:color w:val="000000"/>
          <w:szCs w:val="21"/>
        </w:rPr>
        <w:t>Hidradenitis suppurativa (HS), known as acne inversa, is a chronic inflammatory skin disorder characterized by recurrent nodules, abscesses, and sinus tracts. HS most commonly affects the axillary, inguinal, and anogenital regions. The course of the disease can persist for decades.</w:t>
      </w:r>
    </w:p>
    <w:p w14:paraId="11133E03" w14:textId="641C3667" w:rsidR="00A77B3E" w:rsidRDefault="000B7BA1">
      <w:pPr>
        <w:spacing w:line="360" w:lineRule="auto"/>
        <w:ind w:firstLine="210"/>
        <w:jc w:val="both"/>
      </w:pPr>
      <w:r>
        <w:rPr>
          <w:rFonts w:ascii="Book Antiqua" w:eastAsia="Book Antiqua" w:hAnsi="Book Antiqua" w:cs="Book Antiqua"/>
          <w:color w:val="000000"/>
          <w:szCs w:val="21"/>
        </w:rPr>
        <w:t xml:space="preserve">The chronic and recurrent inflammation of HS, which </w:t>
      </w:r>
      <w:r w:rsidR="00FD7A07">
        <w:rPr>
          <w:rFonts w:ascii="Book Antiqua" w:eastAsia="Book Antiqua" w:hAnsi="Book Antiqua" w:cs="Book Antiqua"/>
          <w:color w:val="000000"/>
          <w:szCs w:val="21"/>
        </w:rPr>
        <w:t xml:space="preserve">is </w:t>
      </w:r>
      <w:r>
        <w:rPr>
          <w:rFonts w:ascii="Book Antiqua" w:eastAsia="Book Antiqua" w:hAnsi="Book Antiqua" w:cs="Book Antiqua"/>
          <w:color w:val="000000"/>
          <w:szCs w:val="21"/>
        </w:rPr>
        <w:t>similar to that in Crohn’s disease (CD), finally leads to fistula and sinus tracts. Ostlere</w:t>
      </w:r>
      <w:r w:rsidR="00F76E24">
        <w:rPr>
          <w:rFonts w:ascii="Book Antiqua" w:eastAsia="Book Antiqua" w:hAnsi="Book Antiqua" w:cs="Book Antiqua"/>
          <w:color w:val="000000"/>
          <w:szCs w:val="21"/>
        </w:rPr>
        <w:t xml:space="preserve"> </w:t>
      </w:r>
      <w:r w:rsidR="00F76E24" w:rsidRPr="00F76E24">
        <w:rPr>
          <w:rFonts w:ascii="Book Antiqua" w:eastAsia="Book Antiqua" w:hAnsi="Book Antiqua" w:cs="Book Antiqua"/>
          <w:i/>
          <w:color w:val="000000"/>
          <w:szCs w:val="21"/>
        </w:rPr>
        <w:t>et al</w:t>
      </w:r>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21"/>
        </w:rPr>
        <w:t xml:space="preserve"> first noticed </w:t>
      </w:r>
      <w:r w:rsidR="00FD7A07">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high risk of HS in patients with CD in the 1990s. Subsequently, several reported cases indicated similar pathologic features</w:t>
      </w:r>
      <w:r w:rsidR="00B377DB">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21"/>
        </w:rPr>
        <w:t xml:space="preserve"> and genetic susceptibility</w:t>
      </w:r>
      <w:r>
        <w:rPr>
          <w:rFonts w:ascii="Book Antiqua" w:eastAsia="Book Antiqua" w:hAnsi="Book Antiqua" w:cs="Book Antiqua"/>
          <w:color w:val="000000"/>
          <w:szCs w:val="18"/>
          <w:vertAlign w:val="superscript"/>
        </w:rPr>
        <w:t>[4]</w:t>
      </w:r>
      <w:r>
        <w:rPr>
          <w:rFonts w:ascii="Book Antiqua" w:eastAsia="Book Antiqua" w:hAnsi="Book Antiqua" w:cs="Book Antiqua"/>
          <w:color w:val="000000"/>
          <w:szCs w:val="21"/>
        </w:rPr>
        <w:t xml:space="preserve"> between HS and CD. Later, patients with HS with simultaneous CD symptoms were significantly relieved by treatment with anti</w:t>
      </w:r>
      <w:r w:rsidR="00B377DB">
        <w:rPr>
          <w:rFonts w:ascii="Book Antiqua" w:hAnsi="Book Antiqua" w:cs="Book Antiqua" w:hint="eastAsia"/>
          <w:color w:val="000000"/>
          <w:szCs w:val="21"/>
          <w:lang w:eastAsia="zh-CN"/>
        </w:rPr>
        <w:t>-</w:t>
      </w:r>
      <w:r>
        <w:rPr>
          <w:rFonts w:ascii="Book Antiqua" w:eastAsia="Book Antiqua" w:hAnsi="Book Antiqua" w:cs="Book Antiqua"/>
          <w:color w:val="000000"/>
          <w:szCs w:val="21"/>
        </w:rPr>
        <w:t>tumor necrosis factor-alpha inhibitors (anti-TNF-α). Anti-TNF-α therapy not only promoted great progress in the treatment of HS but also manifested the possible common pathogenesis of HS and CD</w:t>
      </w:r>
      <w:r>
        <w:rPr>
          <w:rFonts w:ascii="Book Antiqua" w:eastAsia="Book Antiqua" w:hAnsi="Book Antiqua" w:cs="Book Antiqua"/>
          <w:color w:val="000000"/>
          <w:szCs w:val="18"/>
          <w:vertAlign w:val="superscript"/>
        </w:rPr>
        <w:t>[5]</w:t>
      </w:r>
      <w:r>
        <w:rPr>
          <w:rFonts w:ascii="Book Antiqua" w:eastAsia="Book Antiqua" w:hAnsi="Book Antiqua" w:cs="Book Antiqua"/>
          <w:color w:val="000000"/>
          <w:szCs w:val="21"/>
        </w:rPr>
        <w:t>. In addition, some studies found that both HS and CD shared the same immune dysregulation mechanism, such as significantly increased interleukin-1 (IL-1), IL-6, IL-17, IL-23</w:t>
      </w:r>
      <w:r w:rsidR="00FD7A0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w:t>
      </w:r>
      <w:r w:rsidR="00B377DB">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TNF</w:t>
      </w:r>
      <w:r w:rsidR="00B377DB">
        <w:rPr>
          <w:rFonts w:ascii="Book Antiqua" w:eastAsia="Book Antiqua" w:hAnsi="Book Antiqua" w:cs="Book Antiqua"/>
          <w:color w:val="000000"/>
          <w:szCs w:val="18"/>
          <w:vertAlign w:val="superscript"/>
        </w:rPr>
        <w:t>[6,</w:t>
      </w:r>
      <w:r>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21"/>
        </w:rPr>
        <w:t>. According to similar clinical and histological characteristics, as well as the intersections of pathogenesis and treatment, it is widely accepted that there may be a strong association between CD and HS. In this review, we summarize the recent studies focused on the association between HS and CD.</w:t>
      </w:r>
    </w:p>
    <w:p w14:paraId="2A3EBB2E" w14:textId="77777777" w:rsidR="00A77B3E" w:rsidRDefault="00A77B3E">
      <w:pPr>
        <w:spacing w:line="360" w:lineRule="auto"/>
        <w:ind w:firstLine="210"/>
        <w:jc w:val="both"/>
      </w:pPr>
    </w:p>
    <w:p w14:paraId="439F8F21" w14:textId="77777777" w:rsidR="00A77B3E" w:rsidRDefault="000B7BA1">
      <w:pPr>
        <w:spacing w:line="360" w:lineRule="auto"/>
        <w:jc w:val="both"/>
      </w:pPr>
      <w:r>
        <w:rPr>
          <w:rFonts w:ascii="Book Antiqua" w:eastAsia="Book Antiqua" w:hAnsi="Book Antiqua" w:cs="Book Antiqua"/>
          <w:b/>
          <w:bCs/>
          <w:caps/>
          <w:color w:val="000000"/>
          <w:szCs w:val="28"/>
          <w:u w:val="single"/>
        </w:rPr>
        <w:t>Epidemiology</w:t>
      </w:r>
    </w:p>
    <w:p w14:paraId="5B42C066" w14:textId="77777777" w:rsidR="00A77B3E" w:rsidRDefault="000B7BA1" w:rsidP="001C5DD5">
      <w:pPr>
        <w:spacing w:line="360" w:lineRule="auto"/>
        <w:jc w:val="both"/>
      </w:pPr>
      <w:r>
        <w:rPr>
          <w:rFonts w:ascii="Book Antiqua" w:eastAsia="Book Antiqua" w:hAnsi="Book Antiqua" w:cs="Book Antiqua"/>
          <w:color w:val="000000"/>
          <w:szCs w:val="21"/>
        </w:rPr>
        <w:t>The incidence of HS ranges from 0.03% to 4%</w:t>
      </w:r>
      <w:r>
        <w:rPr>
          <w:rFonts w:ascii="Book Antiqua" w:eastAsia="Book Antiqua" w:hAnsi="Book Antiqua" w:cs="Book Antiqua"/>
          <w:color w:val="000000"/>
          <w:szCs w:val="18"/>
          <w:vertAlign w:val="superscript"/>
        </w:rPr>
        <w:t>[8-11]</w:t>
      </w:r>
      <w:r>
        <w:rPr>
          <w:rFonts w:ascii="Book Antiqua" w:eastAsia="Book Antiqua" w:hAnsi="Book Antiqua" w:cs="Book Antiqua"/>
          <w:color w:val="000000"/>
          <w:szCs w:val="21"/>
        </w:rPr>
        <w:t>. However, due to the sparse clinical epidemiological data and misdiagnosis of HS, the actual incidence may be higher. With the improvement in diagnosis, recent research data have shown that the incidence of HS ha</w:t>
      </w:r>
      <w:r w:rsidR="001C5DD5">
        <w:rPr>
          <w:rFonts w:ascii="Book Antiqua" w:eastAsia="Book Antiqua" w:hAnsi="Book Antiqua" w:cs="Book Antiqua"/>
          <w:color w:val="000000"/>
          <w:szCs w:val="21"/>
        </w:rPr>
        <w:t>s been increasing to 10 per 100</w:t>
      </w:r>
      <w:r>
        <w:rPr>
          <w:rFonts w:ascii="Book Antiqua" w:eastAsia="Book Antiqua" w:hAnsi="Book Antiqua" w:cs="Book Antiqua"/>
          <w:color w:val="000000"/>
          <w:szCs w:val="21"/>
        </w:rPr>
        <w:t>000</w:t>
      </w:r>
      <w:r>
        <w:rPr>
          <w:rFonts w:ascii="Book Antiqua" w:eastAsia="Book Antiqua" w:hAnsi="Book Antiqua" w:cs="Book Antiqua"/>
          <w:color w:val="000000"/>
          <w:szCs w:val="18"/>
          <w:vertAlign w:val="superscript"/>
        </w:rPr>
        <w:t>[12]</w:t>
      </w:r>
      <w:r>
        <w:rPr>
          <w:rFonts w:ascii="Book Antiqua" w:eastAsia="Book Antiqua" w:hAnsi="Book Antiqua" w:cs="Book Antiqua"/>
          <w:color w:val="000000"/>
          <w:szCs w:val="21"/>
        </w:rPr>
        <w:t>.</w:t>
      </w:r>
    </w:p>
    <w:p w14:paraId="2ADBF9F9" w14:textId="41B6B9BA" w:rsidR="00A77B3E" w:rsidRDefault="000B7BA1" w:rsidP="001C5DD5">
      <w:pPr>
        <w:spacing w:line="360" w:lineRule="auto"/>
        <w:ind w:firstLineChars="100" w:firstLine="240"/>
        <w:jc w:val="both"/>
      </w:pPr>
      <w:r>
        <w:rPr>
          <w:rFonts w:ascii="Book Antiqua" w:eastAsia="Book Antiqua" w:hAnsi="Book Antiqua" w:cs="Book Antiqua"/>
          <w:color w:val="000000"/>
          <w:szCs w:val="21"/>
        </w:rPr>
        <w:t xml:space="preserve">Numerous studies have indicated that patients with CD have a significantly higher risk of HS than ordinary people. In a population-based cohort study from Minnesota, the incidence of HS among 679 patients with </w:t>
      </w:r>
      <w:r w:rsidR="001C5DD5" w:rsidRPr="001C5DD5">
        <w:rPr>
          <w:rFonts w:ascii="Book Antiqua" w:eastAsia="Book Antiqua" w:hAnsi="Book Antiqua" w:cs="Book Antiqua"/>
          <w:color w:val="000000"/>
          <w:szCs w:val="21"/>
        </w:rPr>
        <w:t>inflammatory bowel disease (IBD)</w:t>
      </w:r>
      <w:r>
        <w:rPr>
          <w:rFonts w:ascii="Book Antiqua" w:eastAsia="Book Antiqua" w:hAnsi="Book Antiqua" w:cs="Book Antiqua"/>
          <w:color w:val="000000"/>
          <w:szCs w:val="21"/>
        </w:rPr>
        <w:t xml:space="preserve"> was 1.2%. The relative risk of HS in patients with IBD is 9 times that of the general population, while the risk of HS in patients with CD is higher than that of ulcerative colitis (UC)</w:t>
      </w:r>
      <w:r w:rsidR="00FD7A07">
        <w:rPr>
          <w:rFonts w:ascii="Book Antiqua" w:eastAsia="Book Antiqua" w:hAnsi="Book Antiqua" w:cs="Book Antiqua"/>
          <w:color w:val="000000"/>
          <w:szCs w:val="21"/>
        </w:rPr>
        <w:t xml:space="preserve"> patients</w:t>
      </w:r>
      <w:r>
        <w:rPr>
          <w:rFonts w:ascii="Book Antiqua" w:eastAsia="Book Antiqua" w:hAnsi="Book Antiqua" w:cs="Book Antiqua"/>
          <w:color w:val="000000"/>
          <w:szCs w:val="18"/>
          <w:vertAlign w:val="superscript"/>
        </w:rPr>
        <w:t>[13]</w:t>
      </w:r>
      <w:r>
        <w:rPr>
          <w:rFonts w:ascii="Book Antiqua" w:eastAsia="Book Antiqua" w:hAnsi="Book Antiqua" w:cs="Book Antiqua"/>
          <w:color w:val="000000"/>
          <w:szCs w:val="21"/>
        </w:rPr>
        <w:t>. Three cohort studies from the Netherlands revealed that the incidence of HS in patients with CD was 17% (17/102), 15% (96/634)</w:t>
      </w:r>
      <w:r w:rsidR="00FD7A0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26% (181/688)</w:t>
      </w:r>
      <w:r>
        <w:rPr>
          <w:rFonts w:ascii="Book Antiqua" w:eastAsia="Book Antiqua" w:hAnsi="Book Antiqua" w:cs="Book Antiqua"/>
          <w:color w:val="000000"/>
          <w:szCs w:val="18"/>
          <w:vertAlign w:val="superscript"/>
        </w:rPr>
        <w:t>[14-16]</w:t>
      </w:r>
      <w:r>
        <w:rPr>
          <w:rFonts w:ascii="Book Antiqua" w:eastAsia="Book Antiqua" w:hAnsi="Book Antiqua" w:cs="Book Antiqua"/>
          <w:color w:val="000000"/>
          <w:szCs w:val="21"/>
        </w:rPr>
        <w:t>. Interestingly, the literature results showed that the incidence of HS in patients with CD was higher than that of CD in patie</w:t>
      </w:r>
      <w:r w:rsidR="008E5594">
        <w:rPr>
          <w:rFonts w:ascii="Book Antiqua" w:eastAsia="Book Antiqua" w:hAnsi="Book Antiqua" w:cs="Book Antiqua"/>
          <w:color w:val="000000"/>
          <w:szCs w:val="21"/>
        </w:rPr>
        <w:t>nts with HS. According to Garg</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szCs w:val="18"/>
          <w:vertAlign w:val="superscript"/>
        </w:rPr>
        <w:t>[17]</w:t>
      </w:r>
      <w:r>
        <w:rPr>
          <w:rFonts w:ascii="Book Antiqua" w:eastAsia="Book Antiqua" w:hAnsi="Book Antiqua" w:cs="Book Antiqua"/>
          <w:color w:val="000000"/>
          <w:szCs w:val="21"/>
        </w:rPr>
        <w:t>, the incidence of CD in pat</w:t>
      </w:r>
      <w:r w:rsidR="008E5594">
        <w:rPr>
          <w:rFonts w:ascii="Book Antiqua" w:eastAsia="Book Antiqua" w:hAnsi="Book Antiqua" w:cs="Book Antiqua"/>
          <w:color w:val="000000"/>
          <w:szCs w:val="21"/>
        </w:rPr>
        <w:t>ients with HS was 2.0% (1025/51</w:t>
      </w:r>
      <w:r>
        <w:rPr>
          <w:rFonts w:ascii="Book Antiqua" w:eastAsia="Book Antiqua" w:hAnsi="Book Antiqua" w:cs="Book Antiqua"/>
          <w:color w:val="000000"/>
          <w:szCs w:val="21"/>
        </w:rPr>
        <w:t>340).</w:t>
      </w:r>
    </w:p>
    <w:p w14:paraId="54119508" w14:textId="582BD641" w:rsidR="00A77B3E" w:rsidRDefault="000B7BA1">
      <w:pPr>
        <w:spacing w:line="360" w:lineRule="auto"/>
        <w:ind w:firstLine="210"/>
        <w:jc w:val="both"/>
      </w:pPr>
      <w:r>
        <w:rPr>
          <w:rFonts w:ascii="Book Antiqua" w:eastAsia="Book Antiqua" w:hAnsi="Book Antiqua" w:cs="Book Antiqua"/>
          <w:color w:val="000000"/>
          <w:szCs w:val="21"/>
        </w:rPr>
        <w:t xml:space="preserve">In addition, </w:t>
      </w:r>
      <w:r w:rsidR="00FD7A07">
        <w:rPr>
          <w:rFonts w:ascii="Book Antiqua" w:eastAsia="Book Antiqua" w:hAnsi="Book Antiqua" w:cs="Book Antiqua"/>
          <w:color w:val="000000"/>
          <w:szCs w:val="21"/>
        </w:rPr>
        <w:t>HS</w:t>
      </w:r>
      <w:r>
        <w:rPr>
          <w:rFonts w:ascii="Book Antiqua" w:eastAsia="Book Antiqua" w:hAnsi="Book Antiqua" w:cs="Book Antiqua"/>
          <w:color w:val="000000"/>
          <w:szCs w:val="21"/>
        </w:rPr>
        <w:t xml:space="preserve"> with CD is more common in women and blacks. A large cohort study indicated that female sex was the most independent risk parameter for HS formation in IBD (</w:t>
      </w:r>
      <w:r w:rsidR="00FD7A07">
        <w:rPr>
          <w:rFonts w:ascii="Book Antiqua" w:eastAsia="Book Antiqua" w:hAnsi="Book Antiqua" w:cs="Book Antiqua"/>
          <w:color w:val="000000"/>
          <w:szCs w:val="21"/>
        </w:rPr>
        <w:t>odds ratio [</w:t>
      </w:r>
      <w:r>
        <w:rPr>
          <w:rFonts w:ascii="Book Antiqua" w:eastAsia="Book Antiqua" w:hAnsi="Book Antiqua" w:cs="Book Antiqua"/>
          <w:color w:val="000000"/>
          <w:szCs w:val="21"/>
        </w:rPr>
        <w:t>OR</w:t>
      </w:r>
      <w:r w:rsidR="00FD7A07">
        <w:rPr>
          <w:rFonts w:ascii="Book Antiqua" w:eastAsia="Book Antiqua" w:hAnsi="Book Antiqua" w:cs="Book Antiqua"/>
          <w:color w:val="000000"/>
          <w:szCs w:val="21"/>
        </w:rPr>
        <w:t>]</w:t>
      </w:r>
      <w:r w:rsidR="00FD7A07">
        <w:rPr>
          <w:rFonts w:ascii="Book Antiqua" w:hAnsi="Book Antiqua" w:cs="Book Antiqua"/>
          <w:color w:val="000000"/>
          <w:szCs w:val="21"/>
          <w:lang w:eastAsia="zh-CN"/>
        </w:rPr>
        <w:t xml:space="preserve"> = </w:t>
      </w:r>
      <w:r>
        <w:rPr>
          <w:rFonts w:ascii="Book Antiqua" w:eastAsia="Book Antiqua" w:hAnsi="Book Antiqua" w:cs="Book Antiqua"/>
          <w:color w:val="000000"/>
          <w:szCs w:val="21"/>
        </w:rPr>
        <w:t xml:space="preserve">3.494, </w:t>
      </w:r>
      <w:r w:rsidRPr="008E5594">
        <w:rPr>
          <w:rFonts w:ascii="Book Antiqua" w:eastAsia="Book Antiqua" w:hAnsi="Book Antiqua" w:cs="Book Antiqua"/>
          <w:i/>
          <w:color w:val="000000"/>
          <w:szCs w:val="21"/>
        </w:rPr>
        <w:t>P</w:t>
      </w:r>
      <w:r w:rsidR="008E5594">
        <w:rPr>
          <w:rFonts w:ascii="Book Antiqua" w:hAnsi="Book Antiqua" w:cs="Book Antiqua" w:hint="eastAsia"/>
          <w:color w:val="000000"/>
          <w:szCs w:val="21"/>
          <w:lang w:eastAsia="zh-CN"/>
        </w:rPr>
        <w:t xml:space="preserve"> &lt; </w:t>
      </w:r>
      <w:r>
        <w:rPr>
          <w:rFonts w:ascii="Book Antiqua" w:eastAsia="Book Antiqua" w:hAnsi="Book Antiqua" w:cs="Book Antiqua"/>
          <w:color w:val="000000"/>
          <w:szCs w:val="21"/>
        </w:rPr>
        <w:t>0.001)</w:t>
      </w:r>
      <w:r>
        <w:rPr>
          <w:rFonts w:ascii="Book Antiqua" w:eastAsia="Book Antiqua" w:hAnsi="Book Antiqua" w:cs="Book Antiqua"/>
          <w:color w:val="000000"/>
          <w:szCs w:val="18"/>
          <w:vertAlign w:val="superscript"/>
        </w:rPr>
        <w:t>[16]</w:t>
      </w:r>
      <w:r>
        <w:rPr>
          <w:rFonts w:ascii="Book Antiqua" w:eastAsia="Book Antiqua" w:hAnsi="Book Antiqua" w:cs="Book Antiqua"/>
          <w:color w:val="000000"/>
          <w:szCs w:val="21"/>
        </w:rPr>
        <w:t>.</w:t>
      </w:r>
      <w:r>
        <w:rPr>
          <w:rFonts w:ascii="Book Antiqua" w:eastAsia="Book Antiqua" w:hAnsi="Book Antiqua" w:cs="Book Antiqua"/>
          <w:color w:val="000000"/>
          <w:szCs w:val="20"/>
        </w:rPr>
        <w:t xml:space="preserve"> Kamal </w:t>
      </w:r>
      <w:r>
        <w:rPr>
          <w:rFonts w:ascii="Book Antiqua" w:eastAsia="Book Antiqua" w:hAnsi="Book Antiqua" w:cs="Book Antiqua"/>
          <w:i/>
          <w:iCs/>
          <w:color w:val="000000"/>
          <w:szCs w:val="20"/>
        </w:rPr>
        <w:t>et al</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1"/>
        </w:rPr>
        <w:t xml:space="preserve">retrospectively analyzed 18 patients with HS combined with IBD (CD </w:t>
      </w:r>
      <w:r w:rsidRPr="008E5594">
        <w:rPr>
          <w:rFonts w:ascii="Book Antiqua" w:eastAsia="Book Antiqua" w:hAnsi="Book Antiqua" w:cs="Book Antiqua"/>
          <w:i/>
          <w:color w:val="000000"/>
          <w:szCs w:val="21"/>
        </w:rPr>
        <w:t>vs</w:t>
      </w:r>
      <w:r>
        <w:rPr>
          <w:rFonts w:ascii="Book Antiqua" w:eastAsia="Book Antiqua" w:hAnsi="Book Antiqua" w:cs="Book Antiqua"/>
          <w:color w:val="000000"/>
          <w:szCs w:val="21"/>
        </w:rPr>
        <w:t xml:space="preserve"> UC</w:t>
      </w:r>
      <w:r w:rsidR="008E5594">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8E5594">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15:</w:t>
      </w:r>
      <w:r w:rsidR="008E5594">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3). Among the 15 patients with CD, 11</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(73%) were female</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9</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(60%) were black. However, related studies remain inadequate. Other future studies are needed to further explore the risk parameters.</w:t>
      </w:r>
    </w:p>
    <w:p w14:paraId="418F2A00" w14:textId="77777777" w:rsidR="00A77B3E" w:rsidRDefault="00A77B3E">
      <w:pPr>
        <w:spacing w:line="360" w:lineRule="auto"/>
        <w:ind w:firstLine="210"/>
        <w:jc w:val="both"/>
      </w:pPr>
    </w:p>
    <w:p w14:paraId="2C4B1087" w14:textId="2A566592" w:rsidR="00A77B3E" w:rsidRDefault="000B7BA1">
      <w:pPr>
        <w:spacing w:line="360" w:lineRule="auto"/>
        <w:jc w:val="both"/>
      </w:pPr>
      <w:r>
        <w:rPr>
          <w:rFonts w:ascii="Book Antiqua" w:eastAsia="Book Antiqua" w:hAnsi="Book Antiqua" w:cs="Book Antiqua"/>
          <w:b/>
          <w:bCs/>
          <w:caps/>
          <w:color w:val="000000"/>
          <w:szCs w:val="28"/>
          <w:u w:val="single"/>
        </w:rPr>
        <w:t xml:space="preserve">etiology </w:t>
      </w:r>
      <w:r w:rsidR="00FD7A07">
        <w:rPr>
          <w:rFonts w:ascii="Book Antiqua" w:eastAsia="Book Antiqua" w:hAnsi="Book Antiqua" w:cs="Book Antiqua"/>
          <w:b/>
          <w:bCs/>
          <w:caps/>
          <w:color w:val="000000"/>
          <w:szCs w:val="28"/>
          <w:u w:val="single"/>
        </w:rPr>
        <w:t xml:space="preserve">and </w:t>
      </w:r>
      <w:r>
        <w:rPr>
          <w:rFonts w:ascii="Book Antiqua" w:eastAsia="Book Antiqua" w:hAnsi="Book Antiqua" w:cs="Book Antiqua"/>
          <w:b/>
          <w:bCs/>
          <w:caps/>
          <w:color w:val="000000"/>
          <w:szCs w:val="28"/>
          <w:u w:val="single"/>
        </w:rPr>
        <w:t>pathology</w:t>
      </w:r>
    </w:p>
    <w:p w14:paraId="56C5CC4E" w14:textId="4F836C7A" w:rsidR="00A77B3E" w:rsidRDefault="000B7BA1" w:rsidP="00D97B5F">
      <w:pPr>
        <w:spacing w:line="360" w:lineRule="auto"/>
        <w:jc w:val="both"/>
      </w:pPr>
      <w:r>
        <w:rPr>
          <w:rFonts w:ascii="Book Antiqua" w:eastAsia="Book Antiqua" w:hAnsi="Book Antiqua" w:cs="Book Antiqua"/>
          <w:color w:val="000000"/>
          <w:szCs w:val="21"/>
        </w:rPr>
        <w:t>At present, the pathogenesis of HS and CD remains unclear. It is believed that HS is a multifactor-related systemic inflammatory disease that may be caused by autoimmune inflammation</w:t>
      </w:r>
      <w:r>
        <w:rPr>
          <w:rFonts w:ascii="Book Antiqua" w:eastAsia="Book Antiqua" w:hAnsi="Book Antiqua" w:cs="Book Antiqua"/>
          <w:color w:val="000000"/>
          <w:szCs w:val="18"/>
          <w:vertAlign w:val="superscript"/>
        </w:rPr>
        <w:t>[19]</w:t>
      </w:r>
      <w:r>
        <w:rPr>
          <w:rFonts w:ascii="Book Antiqua" w:eastAsia="Book Antiqua" w:hAnsi="Book Antiqua" w:cs="Book Antiqua"/>
          <w:color w:val="000000"/>
          <w:szCs w:val="21"/>
        </w:rPr>
        <w:t>. Studies have shown that HS and CD carry similar risk factors, immune dysregulation mechanisms, genetic loci</w:t>
      </w:r>
      <w:r w:rsidR="00FD7A0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microbiome changes.</w:t>
      </w:r>
    </w:p>
    <w:p w14:paraId="7D3BAE30" w14:textId="1DF11F9F" w:rsidR="00A77B3E" w:rsidRDefault="000B7BA1">
      <w:pPr>
        <w:spacing w:line="360" w:lineRule="auto"/>
        <w:ind w:firstLine="210"/>
        <w:jc w:val="both"/>
      </w:pPr>
      <w:r>
        <w:rPr>
          <w:rFonts w:ascii="Book Antiqua" w:eastAsia="Book Antiqua" w:hAnsi="Book Antiqua" w:cs="Book Antiqua"/>
          <w:color w:val="000000"/>
          <w:szCs w:val="21"/>
        </w:rPr>
        <w:t xml:space="preserve">It is accepted that smoking increases the risk of </w:t>
      </w:r>
      <w:r w:rsidR="000F65E5">
        <w:rPr>
          <w:rFonts w:ascii="Book Antiqua" w:hAnsi="Book Antiqua" w:cs="Book Antiqua" w:hint="eastAsia"/>
          <w:color w:val="000000"/>
          <w:szCs w:val="21"/>
          <w:lang w:eastAsia="zh-CN"/>
        </w:rPr>
        <w:t>CD</w:t>
      </w:r>
      <w:r>
        <w:rPr>
          <w:rFonts w:ascii="Book Antiqua" w:eastAsia="Book Antiqua" w:hAnsi="Book Antiqua" w:cs="Book Antiqua"/>
          <w:color w:val="000000"/>
          <w:szCs w:val="21"/>
        </w:rPr>
        <w:t xml:space="preserve"> and reduces treatment effects. Recent studies have also found a strong association between smoking and HS. Garg </w:t>
      </w:r>
      <w:r>
        <w:rPr>
          <w:rFonts w:ascii="Book Antiqua" w:eastAsia="Book Antiqua" w:hAnsi="Book Antiqua" w:cs="Book Antiqua"/>
          <w:i/>
          <w:iCs/>
          <w:color w:val="000000"/>
          <w:szCs w:val="21"/>
        </w:rPr>
        <w:t>et al</w:t>
      </w:r>
      <w:r>
        <w:rPr>
          <w:rFonts w:ascii="Book Antiqua" w:eastAsia="Book Antiqua" w:hAnsi="Book Antiqua" w:cs="Book Antiqua"/>
          <w:color w:val="000000"/>
          <w:szCs w:val="18"/>
          <w:vertAlign w:val="superscript"/>
        </w:rPr>
        <w:t>[20]</w:t>
      </w:r>
      <w:r>
        <w:rPr>
          <w:rFonts w:ascii="Book Antiqua" w:eastAsia="Book Antiqua" w:hAnsi="Book Antiqua" w:cs="Book Antiqua"/>
          <w:color w:val="000000"/>
          <w:szCs w:val="21"/>
        </w:rPr>
        <w:t xml:space="preserve"> retrospectively measured the prevalence of newly diagnosed HS in nearly 4 million smokers over three years. Among tobacco smokers, the overall odds of new HS diagnosis </w:t>
      </w:r>
      <w:r w:rsidR="00FD7A07">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increased by 91% (OR</w:t>
      </w:r>
      <w:r w:rsidR="00FD7A07">
        <w:rPr>
          <w:rFonts w:ascii="Book Antiqua" w:hAnsi="Book Antiqua" w:cs="Book Antiqua"/>
          <w:color w:val="000000"/>
          <w:szCs w:val="21"/>
          <w:lang w:eastAsia="zh-CN"/>
        </w:rPr>
        <w:t xml:space="preserve"> =</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1.91, 95%CI</w:t>
      </w:r>
      <w:r w:rsidR="00D97B5F">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1.85–1.97) compared with nonsmokers (</w:t>
      </w:r>
      <w:r w:rsidRPr="00D97B5F">
        <w:rPr>
          <w:rFonts w:ascii="Book Antiqua" w:eastAsia="Book Antiqua" w:hAnsi="Book Antiqua" w:cs="Book Antiqua"/>
          <w:i/>
          <w:color w:val="000000"/>
          <w:szCs w:val="21"/>
        </w:rPr>
        <w:t>P</w:t>
      </w:r>
      <w:r>
        <w:rPr>
          <w:rFonts w:ascii="Book Antiqua" w:eastAsia="Book Antiqua" w:hAnsi="Book Antiqua" w:cs="Book Antiqua"/>
          <w:color w:val="000000"/>
          <w:szCs w:val="21"/>
        </w:rPr>
        <w:t xml:space="preserve"> &lt; 0.001). The potential pathogenic eff</w:t>
      </w:r>
      <w:r w:rsidR="00D97B5F">
        <w:rPr>
          <w:rFonts w:ascii="Book Antiqua" w:eastAsia="Book Antiqua" w:hAnsi="Book Antiqua" w:cs="Book Antiqua"/>
          <w:color w:val="000000"/>
          <w:szCs w:val="21"/>
        </w:rPr>
        <w:t>ects of smoking in HS include</w:t>
      </w:r>
      <w:r w:rsidR="00D97B5F">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epidermal hyperplasia and follicular plugging</w:t>
      </w:r>
      <w:r>
        <w:rPr>
          <w:rFonts w:ascii="Book Antiqua" w:eastAsia="Book Antiqua" w:hAnsi="Book Antiqua" w:cs="Book Antiqua"/>
          <w:color w:val="000000"/>
          <w:szCs w:val="18"/>
          <w:vertAlign w:val="superscript"/>
        </w:rPr>
        <w:t>[21]</w:t>
      </w:r>
      <w:r w:rsidR="00D97B5F">
        <w:rPr>
          <w:rFonts w:ascii="Book Antiqua" w:eastAsia="Book Antiqua" w:hAnsi="Book Antiqua" w:cs="Book Antiqua"/>
          <w:color w:val="000000"/>
          <w:szCs w:val="21"/>
        </w:rPr>
        <w:t>;</w:t>
      </w:r>
      <w:r w:rsidR="00D97B5F">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neutrophil chemotaxis</w:t>
      </w:r>
      <w:r>
        <w:rPr>
          <w:rFonts w:ascii="Book Antiqua" w:eastAsia="Book Antiqua" w:hAnsi="Book Antiqua" w:cs="Book Antiqua"/>
          <w:color w:val="000000"/>
          <w:szCs w:val="18"/>
          <w:vertAlign w:val="superscript"/>
        </w:rPr>
        <w:t>[22]</w:t>
      </w:r>
      <w:r w:rsidR="00D97B5F">
        <w:rPr>
          <w:rFonts w:ascii="Book Antiqua" w:eastAsia="Book Antiqua" w:hAnsi="Book Antiqua" w:cs="Book Antiqua"/>
          <w:color w:val="000000"/>
          <w:szCs w:val="21"/>
        </w:rPr>
        <w:t>;</w:t>
      </w:r>
      <w:r w:rsidR="00D97B5F">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TNF-α secretion</w:t>
      </w:r>
      <w:r>
        <w:rPr>
          <w:rFonts w:ascii="Book Antiqua" w:eastAsia="Book Antiqua" w:hAnsi="Book Antiqua" w:cs="Book Antiqua"/>
          <w:color w:val="000000"/>
          <w:szCs w:val="18"/>
          <w:vertAlign w:val="superscript"/>
        </w:rPr>
        <w:t>[23</w:t>
      </w:r>
      <w:r w:rsidR="00FD7A07">
        <w:rPr>
          <w:rFonts w:ascii="Book Antiqua" w:eastAsia="Book Antiqua" w:hAnsi="Book Antiqua" w:cs="Book Antiqua"/>
          <w:color w:val="000000"/>
          <w:szCs w:val="18"/>
          <w:vertAlign w:val="superscript"/>
        </w:rPr>
        <w:t>]</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induction of Th17 cell differentiation in keratinocytes</w:t>
      </w:r>
      <w:r>
        <w:rPr>
          <w:rFonts w:ascii="Book Antiqua" w:eastAsia="Book Antiqua" w:hAnsi="Book Antiqua" w:cs="Book Antiqua"/>
          <w:color w:val="000000"/>
          <w:szCs w:val="18"/>
          <w:vertAlign w:val="superscript"/>
        </w:rPr>
        <w:t>[24]</w:t>
      </w:r>
      <w:r>
        <w:rPr>
          <w:rFonts w:ascii="Book Antiqua" w:eastAsia="Book Antiqua" w:hAnsi="Book Antiqua" w:cs="Book Antiqua"/>
          <w:color w:val="000000"/>
          <w:szCs w:val="21"/>
        </w:rPr>
        <w:t>. Prospective cohort studies have shown that smoking cessation is the safest and least expensive option for HS. However, it is difficult to change a smoking habit according to clinical results.</w:t>
      </w:r>
    </w:p>
    <w:p w14:paraId="7596702E" w14:textId="4656DEB1" w:rsidR="00A77B3E" w:rsidRDefault="000B7BA1">
      <w:pPr>
        <w:spacing w:line="360" w:lineRule="auto"/>
        <w:ind w:firstLine="210"/>
        <w:jc w:val="both"/>
      </w:pPr>
      <w:r>
        <w:rPr>
          <w:rFonts w:ascii="Book Antiqua" w:eastAsia="Book Antiqua" w:hAnsi="Book Antiqua" w:cs="Book Antiqua"/>
          <w:color w:val="000000"/>
          <w:szCs w:val="21"/>
        </w:rPr>
        <w:t>The TNF-α and IL-23/Th17 signaling pathways were associated with HS and CD, suggesting the same immune-mediated origins (Figure 1). TNF-α, associated with many other inflammatory diseases</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such as psoriasis and IBD, is secreted by innate and adaptive immune cells. Several studies have shown that TNF-α increases in the serum and lesion tissues of patients with HS. As an effective therapeutic target, adalimumab was the first approved anti-TNF-α agent for the treatment of HS</w:t>
      </w:r>
      <w:r w:rsidR="00A725E8">
        <w:rPr>
          <w:rFonts w:ascii="Book Antiqua" w:hAnsi="Book Antiqua" w:cs="Book Antiqua" w:hint="eastAsia"/>
          <w:color w:val="000000"/>
          <w:szCs w:val="18"/>
          <w:lang w:eastAsia="zh-CN"/>
        </w:rPr>
        <w:t>.</w:t>
      </w:r>
      <w:r>
        <w:rPr>
          <w:rFonts w:ascii="Book Antiqua" w:eastAsia="Book Antiqua" w:hAnsi="Book Antiqua" w:cs="Book Antiqua"/>
          <w:color w:val="000000"/>
          <w:szCs w:val="21"/>
        </w:rPr>
        <w:t xml:space="preserve"> Similarly, increased proinflammatory IL-23/Th17 cells are associated with many chronic inflammatory diseases. IL-12 and IL-23 were largely expressed by macrophages in the lesion skin of HS, accompanied by Th17 and CD4</w:t>
      </w:r>
      <w:r>
        <w:rPr>
          <w:rFonts w:ascii="Book Antiqua" w:eastAsia="Book Antiqua" w:hAnsi="Book Antiqua" w:cs="Book Antiqua"/>
          <w:color w:val="000000"/>
          <w:szCs w:val="26"/>
          <w:vertAlign w:val="superscript"/>
        </w:rPr>
        <w:t>+</w:t>
      </w:r>
      <w:r>
        <w:rPr>
          <w:rFonts w:ascii="Book Antiqua" w:eastAsia="Book Antiqua" w:hAnsi="Book Antiqua" w:cs="Book Antiqua"/>
          <w:color w:val="000000"/>
          <w:szCs w:val="21"/>
        </w:rPr>
        <w:t xml:space="preserve"> T cell infiltration. As a cell activator and inflammatory regulator of keratinization, IL-17 cells were produced in the lesions and surrounding skin of HS. It has been clinically confirmed that the IL-12 and IL-17 inhibitor ustekinumab has certain efficacy in the treatment of HS</w:t>
      </w:r>
      <w:r w:rsidR="00A725E8">
        <w:rPr>
          <w:rFonts w:ascii="Book Antiqua" w:eastAsia="Book Antiqua" w:hAnsi="Book Antiqua" w:cs="Book Antiqua"/>
          <w:color w:val="000000"/>
          <w:szCs w:val="18"/>
          <w:vertAlign w:val="superscript"/>
        </w:rPr>
        <w:t>[2</w:t>
      </w:r>
      <w:r w:rsidR="00A725E8">
        <w:rPr>
          <w:rFonts w:ascii="Book Antiqua" w:hAnsi="Book Antiqua" w:cs="Book Antiqua" w:hint="eastAsia"/>
          <w:color w:val="000000"/>
          <w:szCs w:val="18"/>
          <w:vertAlign w:val="superscript"/>
          <w:lang w:eastAsia="zh-CN"/>
        </w:rPr>
        <w:t>5</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w:t>
      </w:r>
    </w:p>
    <w:p w14:paraId="275A8195" w14:textId="50E24BEB" w:rsidR="00A77B3E" w:rsidRDefault="000B7BA1">
      <w:pPr>
        <w:spacing w:line="360" w:lineRule="auto"/>
        <w:ind w:firstLine="210"/>
        <w:jc w:val="both"/>
      </w:pPr>
      <w:r>
        <w:rPr>
          <w:rFonts w:ascii="Book Antiqua" w:eastAsia="Book Antiqua" w:hAnsi="Book Antiqua" w:cs="Book Antiqua"/>
          <w:color w:val="000000"/>
          <w:szCs w:val="21"/>
        </w:rPr>
        <w:t>Few studies have focused on the correlation between HS and CD at the microbiota and gene levels. The microbiota influences the immunologic and physiologic homeostasis of the skin epithelia and gut mucosa by activating Toll-like receptors to recognize pathogens and repair damage. However, a variety of environmental factors can alter microbial balance, leading to a decrease in microbial diversity. Such alterations in the microbiota may cause immune dysregulation and susceptibility to HS and IBD</w:t>
      </w:r>
      <w:r w:rsidR="00A725E8">
        <w:rPr>
          <w:rFonts w:ascii="Book Antiqua" w:eastAsia="Book Antiqua" w:hAnsi="Book Antiqua" w:cs="Book Antiqua"/>
          <w:color w:val="000000"/>
          <w:szCs w:val="18"/>
          <w:vertAlign w:val="superscript"/>
        </w:rPr>
        <w:t>[2</w:t>
      </w:r>
      <w:r w:rsidR="00A725E8">
        <w:rPr>
          <w:rFonts w:ascii="Book Antiqua" w:hAnsi="Book Antiqua" w:cs="Book Antiqua" w:hint="eastAsia"/>
          <w:color w:val="000000"/>
          <w:szCs w:val="18"/>
          <w:vertAlign w:val="superscript"/>
          <w:lang w:eastAsia="zh-CN"/>
        </w:rPr>
        <w:t>6</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xml:space="preserve">. </w:t>
      </w:r>
      <w:r w:rsidR="00813A4A">
        <w:rPr>
          <w:rFonts w:ascii="Book Antiqua" w:eastAsia="Book Antiqua" w:hAnsi="Book Antiqua" w:cs="Book Antiqua"/>
          <w:color w:val="000000"/>
          <w:szCs w:val="20"/>
        </w:rPr>
        <w:t>Gower-Rousseau</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et al</w:t>
      </w:r>
      <w:r>
        <w:rPr>
          <w:rFonts w:ascii="Book Antiqua" w:eastAsia="Book Antiqua" w:hAnsi="Book Antiqua" w:cs="Book Antiqua"/>
          <w:color w:val="000000"/>
          <w:szCs w:val="20"/>
          <w:vertAlign w:val="superscript"/>
        </w:rPr>
        <w:t>[4]</w:t>
      </w:r>
      <w:r w:rsidR="00FD7A07">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szCs w:val="21"/>
        </w:rPr>
        <w:t>reported</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three cases of HS occurring in two first-degree relatives of patients with CD, which might suggest</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common genetic susceptibilit</w:t>
      </w:r>
      <w:r w:rsidR="00BF64BD">
        <w:rPr>
          <w:rFonts w:ascii="Book Antiqua" w:eastAsia="Book Antiqua" w:hAnsi="Book Antiqua" w:cs="Book Antiqua"/>
          <w:color w:val="000000"/>
          <w:szCs w:val="21"/>
        </w:rPr>
        <w:t>y for the two diseases. Janse</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et al</w:t>
      </w:r>
      <w:r>
        <w:rPr>
          <w:rFonts w:ascii="Book Antiqua" w:eastAsia="Book Antiqua" w:hAnsi="Book Antiqua" w:cs="Book Antiqua"/>
          <w:color w:val="000000"/>
          <w:szCs w:val="18"/>
          <w:vertAlign w:val="superscript"/>
        </w:rPr>
        <w:t>[16]</w:t>
      </w:r>
      <w:r>
        <w:rPr>
          <w:rFonts w:ascii="Book Antiqua" w:eastAsia="Book Antiqua" w:hAnsi="Book Antiqua" w:cs="Book Antiqua"/>
          <w:color w:val="000000"/>
          <w:szCs w:val="21"/>
        </w:rPr>
        <w:t xml:space="preserve"> identified the protective gene </w:t>
      </w:r>
      <w:r>
        <w:rPr>
          <w:rFonts w:ascii="Book Antiqua" w:eastAsia="Book Antiqua" w:hAnsi="Book Antiqua" w:cs="Book Antiqua"/>
          <w:i/>
          <w:iCs/>
          <w:color w:val="000000"/>
          <w:szCs w:val="21"/>
        </w:rPr>
        <w:t>ELOVL7</w:t>
      </w:r>
      <w:r>
        <w:rPr>
          <w:rFonts w:ascii="Book Antiqua" w:eastAsia="Book Antiqua" w:hAnsi="Book Antiqua" w:cs="Book Antiqua"/>
          <w:color w:val="000000"/>
          <w:szCs w:val="21"/>
        </w:rPr>
        <w:t xml:space="preserve"> and the risk-related genes </w:t>
      </w:r>
      <w:r>
        <w:rPr>
          <w:rFonts w:ascii="Book Antiqua" w:eastAsia="Book Antiqua" w:hAnsi="Book Antiqua" w:cs="Book Antiqua"/>
          <w:i/>
          <w:iCs/>
          <w:color w:val="000000"/>
          <w:szCs w:val="21"/>
        </w:rPr>
        <w:t>SULT1B1</w:t>
      </w:r>
      <w:r>
        <w:rPr>
          <w:rFonts w:ascii="Book Antiqua" w:eastAsia="Book Antiqua" w:hAnsi="Book Antiqua" w:cs="Book Antiqua"/>
          <w:color w:val="000000"/>
          <w:szCs w:val="21"/>
        </w:rPr>
        <w:t xml:space="preserve"> and </w:t>
      </w:r>
      <w:r>
        <w:rPr>
          <w:rFonts w:ascii="Book Antiqua" w:eastAsia="Book Antiqua" w:hAnsi="Book Antiqua" w:cs="Book Antiqua"/>
          <w:i/>
          <w:iCs/>
          <w:color w:val="000000"/>
          <w:szCs w:val="21"/>
        </w:rPr>
        <w:t>SULT1E1</w:t>
      </w:r>
      <w:r>
        <w:rPr>
          <w:rFonts w:ascii="Book Antiqua" w:eastAsia="Book Antiqua" w:hAnsi="Book Antiqua" w:cs="Book Antiqua"/>
          <w:color w:val="000000"/>
          <w:szCs w:val="21"/>
        </w:rPr>
        <w:t xml:space="preserve"> in HS combined with IBD. However, these genetic associations need further exploration.</w:t>
      </w:r>
    </w:p>
    <w:p w14:paraId="562A081F" w14:textId="77777777" w:rsidR="00A77B3E" w:rsidRDefault="00A77B3E">
      <w:pPr>
        <w:spacing w:line="360" w:lineRule="auto"/>
        <w:ind w:firstLine="210"/>
        <w:jc w:val="both"/>
      </w:pPr>
    </w:p>
    <w:p w14:paraId="258662AF" w14:textId="77777777" w:rsidR="00A77B3E" w:rsidRDefault="000B7BA1">
      <w:pPr>
        <w:spacing w:line="360" w:lineRule="auto"/>
        <w:jc w:val="both"/>
      </w:pPr>
      <w:r>
        <w:rPr>
          <w:rFonts w:ascii="Book Antiqua" w:eastAsia="Book Antiqua" w:hAnsi="Book Antiqua" w:cs="Book Antiqua"/>
          <w:b/>
          <w:bCs/>
          <w:caps/>
          <w:color w:val="000000"/>
          <w:szCs w:val="28"/>
          <w:u w:val="single"/>
        </w:rPr>
        <w:t>Clinical features</w:t>
      </w:r>
    </w:p>
    <w:p w14:paraId="2F8489C0" w14:textId="7D70425E" w:rsidR="00422281" w:rsidRPr="00096F31" w:rsidRDefault="00422281" w:rsidP="00096F31">
      <w:pPr>
        <w:spacing w:line="360" w:lineRule="auto"/>
        <w:jc w:val="both"/>
        <w:rPr>
          <w:rFonts w:ascii="Book Antiqua" w:hAnsi="Book Antiqua" w:cs="Book Antiqua"/>
          <w:color w:val="000000"/>
          <w:szCs w:val="21"/>
          <w:lang w:eastAsia="zh-CN"/>
        </w:rPr>
      </w:pPr>
      <w:r w:rsidRPr="00422281">
        <w:rPr>
          <w:rFonts w:ascii="Book Antiqua" w:eastAsia="Book Antiqua" w:hAnsi="Book Antiqua" w:cs="Book Antiqua"/>
          <w:color w:val="000000"/>
          <w:szCs w:val="21"/>
        </w:rPr>
        <w:t xml:space="preserve">HS, with the characteristics of chronicity and recurrency, usually </w:t>
      </w:r>
      <w:r w:rsidR="00FD7A07" w:rsidRPr="00422281">
        <w:rPr>
          <w:rFonts w:ascii="Book Antiqua" w:eastAsia="Book Antiqua" w:hAnsi="Book Antiqua" w:cs="Book Antiqua"/>
          <w:color w:val="000000"/>
          <w:szCs w:val="21"/>
        </w:rPr>
        <w:t>inv</w:t>
      </w:r>
      <w:r w:rsidR="00FD7A07">
        <w:rPr>
          <w:rFonts w:ascii="Book Antiqua" w:eastAsia="Book Antiqua" w:hAnsi="Book Antiqua" w:cs="Book Antiqua"/>
          <w:color w:val="000000"/>
          <w:szCs w:val="21"/>
        </w:rPr>
        <w:t>olves</w:t>
      </w:r>
      <w:r w:rsidR="00FD7A07" w:rsidRPr="00422281">
        <w:rPr>
          <w:rFonts w:ascii="Book Antiqua" w:eastAsia="Book Antiqua" w:hAnsi="Book Antiqua" w:cs="Book Antiqua"/>
          <w:color w:val="000000"/>
          <w:szCs w:val="21"/>
        </w:rPr>
        <w:t xml:space="preserve"> </w:t>
      </w:r>
      <w:r w:rsidRPr="00422281">
        <w:rPr>
          <w:rFonts w:ascii="Book Antiqua" w:eastAsia="Book Antiqua" w:hAnsi="Book Antiqua" w:cs="Book Antiqua"/>
          <w:color w:val="000000"/>
          <w:szCs w:val="21"/>
        </w:rPr>
        <w:t>the axilla, inguina, perianal area, perineum, buttocks</w:t>
      </w:r>
      <w:r w:rsidR="00FD7A07">
        <w:rPr>
          <w:rFonts w:ascii="Book Antiqua" w:eastAsia="Book Antiqua" w:hAnsi="Book Antiqua" w:cs="Book Antiqua"/>
          <w:color w:val="000000"/>
          <w:szCs w:val="21"/>
        </w:rPr>
        <w:t>,</w:t>
      </w:r>
      <w:r w:rsidRPr="00422281">
        <w:rPr>
          <w:rFonts w:ascii="Book Antiqua" w:eastAsia="Book Antiqua" w:hAnsi="Book Antiqua" w:cs="Book Antiqua"/>
          <w:color w:val="000000"/>
          <w:szCs w:val="21"/>
        </w:rPr>
        <w:t xml:space="preserve"> and the area under the breast fold with typical skin lesions, including deep painful nodules, abscesses, sinuses, and bridge scars. Extensive sinus tracts and scars are the result of continuous disease progression and recurrent attacks. Usually, the Hurley stage</w:t>
      </w:r>
      <w:r w:rsidR="00F0304C">
        <w:rPr>
          <w:rFonts w:ascii="Book Antiqua" w:hAnsi="Book Antiqua" w:cs="Book Antiqua" w:hint="eastAsia"/>
          <w:color w:val="000000"/>
          <w:szCs w:val="21"/>
          <w:lang w:eastAsia="zh-CN"/>
        </w:rPr>
        <w:t xml:space="preserve"> </w:t>
      </w:r>
      <w:r w:rsidRPr="00422281">
        <w:rPr>
          <w:rFonts w:ascii="Book Antiqua" w:eastAsia="Book Antiqua" w:hAnsi="Book Antiqua" w:cs="Book Antiqua"/>
          <w:color w:val="000000"/>
          <w:szCs w:val="21"/>
        </w:rPr>
        <w:t>is used to assess the severity of HS and guide treatment during clinical practice</w:t>
      </w:r>
      <w:r w:rsidR="00A725E8">
        <w:rPr>
          <w:rFonts w:ascii="Book Antiqua" w:hAnsi="Book Antiqua" w:cs="Book Antiqua" w:hint="eastAsia"/>
          <w:color w:val="000000"/>
          <w:szCs w:val="21"/>
          <w:lang w:eastAsia="zh-CN"/>
        </w:rPr>
        <w:t xml:space="preserve"> (Table 1)</w:t>
      </w:r>
      <w:r w:rsidRPr="00096F31">
        <w:rPr>
          <w:rFonts w:ascii="Book Antiqua" w:eastAsia="Book Antiqua" w:hAnsi="Book Antiqua" w:cs="Book Antiqua"/>
          <w:color w:val="000000"/>
          <w:szCs w:val="21"/>
          <w:vertAlign w:val="superscript"/>
        </w:rPr>
        <w:t>[27</w:t>
      </w:r>
      <w:r w:rsidR="00A725E8">
        <w:rPr>
          <w:rFonts w:ascii="Book Antiqua" w:hAnsi="Book Antiqua" w:cs="Book Antiqua" w:hint="eastAsia"/>
          <w:color w:val="000000"/>
          <w:szCs w:val="21"/>
          <w:vertAlign w:val="superscript"/>
          <w:lang w:eastAsia="zh-CN"/>
        </w:rPr>
        <w:t>,28</w:t>
      </w:r>
      <w:r w:rsidRPr="00096F31">
        <w:rPr>
          <w:rFonts w:ascii="Book Antiqua" w:eastAsia="Book Antiqua" w:hAnsi="Book Antiqua" w:cs="Book Antiqua"/>
          <w:color w:val="000000"/>
          <w:szCs w:val="21"/>
          <w:vertAlign w:val="superscript"/>
        </w:rPr>
        <w:t>]</w:t>
      </w:r>
      <w:r w:rsidRPr="00422281">
        <w:rPr>
          <w:rFonts w:ascii="Book Antiqua" w:eastAsia="Book Antiqua" w:hAnsi="Book Antiqua" w:cs="Book Antiqua"/>
          <w:color w:val="000000"/>
          <w:szCs w:val="21"/>
        </w:rPr>
        <w:t>:</w:t>
      </w:r>
      <w:r w:rsidR="00096F31">
        <w:rPr>
          <w:rFonts w:ascii="Book Antiqua" w:hAnsi="Book Antiqua" w:cs="Book Antiqua" w:hint="eastAsia"/>
          <w:color w:val="000000"/>
          <w:szCs w:val="21"/>
          <w:lang w:eastAsia="zh-CN"/>
        </w:rPr>
        <w:t xml:space="preserve"> </w:t>
      </w:r>
      <w:r w:rsidR="00096F31">
        <w:rPr>
          <w:rFonts w:ascii="Book Antiqua" w:eastAsia="Book Antiqua" w:hAnsi="Book Antiqua" w:cs="Book Antiqua"/>
          <w:color w:val="000000"/>
          <w:szCs w:val="21"/>
        </w:rPr>
        <w:t>Stage I (</w:t>
      </w:r>
      <w:r w:rsidR="00096F31">
        <w:rPr>
          <w:rFonts w:ascii="Book Antiqua" w:hAnsi="Book Antiqua" w:cs="Book Antiqua" w:hint="eastAsia"/>
          <w:color w:val="000000"/>
          <w:szCs w:val="21"/>
          <w:lang w:eastAsia="zh-CN"/>
        </w:rPr>
        <w:t>m</w:t>
      </w:r>
      <w:r w:rsidR="00096F31">
        <w:rPr>
          <w:rFonts w:ascii="Book Antiqua" w:eastAsia="Book Antiqua" w:hAnsi="Book Antiqua" w:cs="Book Antiqua"/>
          <w:color w:val="000000"/>
          <w:szCs w:val="21"/>
        </w:rPr>
        <w:t>ild)</w:t>
      </w:r>
      <w:r w:rsidR="00096F31">
        <w:rPr>
          <w:rFonts w:ascii="Book Antiqua" w:hAnsi="Book Antiqua" w:cs="Book Antiqua" w:hint="eastAsia"/>
          <w:color w:val="000000"/>
          <w:szCs w:val="21"/>
          <w:lang w:eastAsia="zh-CN"/>
        </w:rPr>
        <w:t>-a</w:t>
      </w:r>
      <w:r w:rsidRPr="00422281">
        <w:rPr>
          <w:rFonts w:ascii="Book Antiqua" w:eastAsia="Book Antiqua" w:hAnsi="Book Antiqua" w:cs="Book Antiqua"/>
          <w:color w:val="000000"/>
          <w:szCs w:val="21"/>
        </w:rPr>
        <w:t>bscess (single or multiple) without sinus tr</w:t>
      </w:r>
      <w:r w:rsidR="00096F31">
        <w:rPr>
          <w:rFonts w:ascii="Book Antiqua" w:eastAsia="Book Antiqua" w:hAnsi="Book Antiqua" w:cs="Book Antiqua"/>
          <w:color w:val="000000"/>
          <w:szCs w:val="21"/>
        </w:rPr>
        <w:t>acts and cicatrization/scarring</w:t>
      </w:r>
      <w:r w:rsidR="00096F31">
        <w:rPr>
          <w:rFonts w:ascii="Book Antiqua" w:hAnsi="Book Antiqua" w:cs="Book Antiqua" w:hint="eastAsia"/>
          <w:color w:val="000000"/>
          <w:szCs w:val="21"/>
          <w:lang w:eastAsia="zh-CN"/>
        </w:rPr>
        <w:t xml:space="preserve">; </w:t>
      </w:r>
      <w:r w:rsidR="00FD7A07">
        <w:rPr>
          <w:rFonts w:ascii="Book Antiqua" w:eastAsia="Book Antiqua" w:hAnsi="Book Antiqua" w:cs="Book Antiqua"/>
          <w:color w:val="000000"/>
          <w:szCs w:val="21"/>
        </w:rPr>
        <w:t xml:space="preserve">stage </w:t>
      </w:r>
      <w:r w:rsidR="00096F31">
        <w:rPr>
          <w:rFonts w:ascii="Book Antiqua" w:eastAsia="Book Antiqua" w:hAnsi="Book Antiqua" w:cs="Book Antiqua"/>
          <w:color w:val="000000"/>
          <w:szCs w:val="21"/>
        </w:rPr>
        <w:t>II (</w:t>
      </w:r>
      <w:r w:rsidR="00096F31">
        <w:rPr>
          <w:rFonts w:ascii="Book Antiqua" w:hAnsi="Book Antiqua" w:cs="Book Antiqua" w:hint="eastAsia"/>
          <w:color w:val="000000"/>
          <w:szCs w:val="21"/>
          <w:lang w:eastAsia="zh-CN"/>
        </w:rPr>
        <w:t>m</w:t>
      </w:r>
      <w:r w:rsidR="00096F31">
        <w:rPr>
          <w:rFonts w:ascii="Book Antiqua" w:eastAsia="Book Antiqua" w:hAnsi="Book Antiqua" w:cs="Book Antiqua"/>
          <w:color w:val="000000"/>
          <w:szCs w:val="21"/>
        </w:rPr>
        <w:t>oderate)</w:t>
      </w:r>
      <w:r w:rsidR="00096F31">
        <w:rPr>
          <w:rFonts w:ascii="Book Antiqua" w:hAnsi="Book Antiqua" w:cs="Book Antiqua" w:hint="eastAsia"/>
          <w:color w:val="000000"/>
          <w:szCs w:val="21"/>
          <w:lang w:eastAsia="zh-CN"/>
        </w:rPr>
        <w:t>-r</w:t>
      </w:r>
      <w:r w:rsidRPr="00422281">
        <w:rPr>
          <w:rFonts w:ascii="Book Antiqua" w:eastAsia="Book Antiqua" w:hAnsi="Book Antiqua" w:cs="Book Antiqua"/>
          <w:color w:val="000000"/>
          <w:szCs w:val="21"/>
        </w:rPr>
        <w:t>ecurrent abscesses with tract formation and cicatrization, single or multiple, and widely separated lesions</w:t>
      </w:r>
      <w:r w:rsidR="00096F31">
        <w:rPr>
          <w:rFonts w:ascii="Book Antiqua" w:hAnsi="Book Antiqua" w:cs="Book Antiqua" w:hint="eastAsia"/>
          <w:color w:val="000000"/>
          <w:szCs w:val="21"/>
          <w:lang w:eastAsia="zh-CN"/>
        </w:rPr>
        <w:t xml:space="preserve">; </w:t>
      </w:r>
      <w:r w:rsidR="00FD7A07">
        <w:rPr>
          <w:rFonts w:ascii="Book Antiqua" w:eastAsia="Book Antiqua" w:hAnsi="Book Antiqua" w:cs="Book Antiqua"/>
          <w:color w:val="000000"/>
          <w:szCs w:val="21"/>
        </w:rPr>
        <w:t>s</w:t>
      </w:r>
      <w:r w:rsidR="00FD7A07" w:rsidRPr="00422281">
        <w:rPr>
          <w:rFonts w:ascii="Book Antiqua" w:eastAsia="Book Antiqua" w:hAnsi="Book Antiqua" w:cs="Book Antiqua"/>
          <w:color w:val="000000"/>
          <w:szCs w:val="21"/>
        </w:rPr>
        <w:t>tage</w:t>
      </w:r>
      <w:r w:rsidR="00FD7A07">
        <w:rPr>
          <w:rFonts w:ascii="Book Antiqua" w:eastAsia="Book Antiqua" w:hAnsi="Book Antiqua" w:cs="Book Antiqua"/>
          <w:color w:val="000000"/>
          <w:szCs w:val="21"/>
        </w:rPr>
        <w:t xml:space="preserve"> </w:t>
      </w:r>
      <w:r w:rsidR="00096F31">
        <w:rPr>
          <w:rFonts w:ascii="Book Antiqua" w:eastAsia="Book Antiqua" w:hAnsi="Book Antiqua" w:cs="Book Antiqua"/>
          <w:color w:val="000000"/>
          <w:szCs w:val="21"/>
        </w:rPr>
        <w:t>III (</w:t>
      </w:r>
      <w:r w:rsidR="00096F31">
        <w:rPr>
          <w:rFonts w:ascii="Book Antiqua" w:hAnsi="Book Antiqua" w:cs="Book Antiqua" w:hint="eastAsia"/>
          <w:color w:val="000000"/>
          <w:szCs w:val="21"/>
          <w:lang w:eastAsia="zh-CN"/>
        </w:rPr>
        <w:t>s</w:t>
      </w:r>
      <w:r w:rsidR="00096F31">
        <w:rPr>
          <w:rFonts w:ascii="Book Antiqua" w:eastAsia="Book Antiqua" w:hAnsi="Book Antiqua" w:cs="Book Antiqua"/>
          <w:color w:val="000000"/>
          <w:szCs w:val="21"/>
        </w:rPr>
        <w:t>evere)</w:t>
      </w:r>
      <w:r w:rsidR="00096F31">
        <w:rPr>
          <w:rFonts w:ascii="Book Antiqua" w:hAnsi="Book Antiqua" w:cs="Book Antiqua" w:hint="eastAsia"/>
          <w:color w:val="000000"/>
          <w:szCs w:val="21"/>
          <w:lang w:eastAsia="zh-CN"/>
        </w:rPr>
        <w:t>-d</w:t>
      </w:r>
      <w:r w:rsidRPr="00422281">
        <w:rPr>
          <w:rFonts w:ascii="Book Antiqua" w:eastAsia="Book Antiqua" w:hAnsi="Book Antiqua" w:cs="Book Antiqua"/>
          <w:color w:val="000000"/>
          <w:szCs w:val="21"/>
        </w:rPr>
        <w:t>iffuse or near-diffuse involvement or multiple interconnected tracts and abscesses across the entire area</w:t>
      </w:r>
    </w:p>
    <w:p w14:paraId="0AA54ABE" w14:textId="12897BAC" w:rsidR="00422281" w:rsidRDefault="00422281" w:rsidP="00422281">
      <w:pPr>
        <w:spacing w:line="360" w:lineRule="auto"/>
        <w:ind w:firstLine="210"/>
        <w:jc w:val="both"/>
        <w:rPr>
          <w:rFonts w:ascii="Book Antiqua" w:hAnsi="Book Antiqua" w:cs="Book Antiqua"/>
          <w:color w:val="000000"/>
          <w:szCs w:val="21"/>
          <w:lang w:eastAsia="zh-CN"/>
        </w:rPr>
      </w:pPr>
      <w:r w:rsidRPr="00422281">
        <w:rPr>
          <w:rFonts w:ascii="Book Antiqua" w:eastAsia="Book Antiqua" w:hAnsi="Book Antiqua" w:cs="Book Antiqua"/>
          <w:color w:val="000000"/>
          <w:szCs w:val="21"/>
        </w:rPr>
        <w:t xml:space="preserve">Sometimes, it is difficult to differentiate perianal fistulizing </w:t>
      </w:r>
      <w:r w:rsidR="00096F31">
        <w:rPr>
          <w:rFonts w:ascii="Book Antiqua" w:hAnsi="Book Antiqua" w:cs="Book Antiqua" w:hint="eastAsia"/>
          <w:color w:val="000000"/>
          <w:szCs w:val="21"/>
          <w:lang w:eastAsia="zh-CN"/>
        </w:rPr>
        <w:t>CD</w:t>
      </w:r>
      <w:r w:rsidRPr="00422281">
        <w:rPr>
          <w:rFonts w:ascii="Book Antiqua" w:eastAsia="Book Antiqua" w:hAnsi="Book Antiqua" w:cs="Book Antiqua"/>
          <w:color w:val="000000"/>
          <w:szCs w:val="21"/>
        </w:rPr>
        <w:t xml:space="preserve"> (PFCD) from HS only by clinical features and pathological manifestations. Both HS and PFCD have abscesses or sinus tracts with perianal pain, redness, </w:t>
      </w:r>
      <w:r w:rsidR="00096F31" w:rsidRPr="00422281">
        <w:rPr>
          <w:rFonts w:ascii="Book Antiqua" w:eastAsia="Book Antiqua" w:hAnsi="Book Antiqua" w:cs="Book Antiqua"/>
          <w:color w:val="000000"/>
          <w:szCs w:val="21"/>
        </w:rPr>
        <w:t>itching</w:t>
      </w:r>
      <w:r w:rsidRPr="00422281">
        <w:rPr>
          <w:rFonts w:ascii="Book Antiqua" w:eastAsia="Book Antiqua" w:hAnsi="Book Antiqua" w:cs="Book Antiqua"/>
          <w:color w:val="000000"/>
          <w:szCs w:val="21"/>
        </w:rPr>
        <w:t>, bleeding</w:t>
      </w:r>
      <w:r w:rsidR="00FD7A07">
        <w:rPr>
          <w:rFonts w:ascii="Book Antiqua" w:eastAsia="Book Antiqua" w:hAnsi="Book Antiqua" w:cs="Book Antiqua"/>
          <w:color w:val="000000"/>
          <w:szCs w:val="21"/>
        </w:rPr>
        <w:t>,</w:t>
      </w:r>
      <w:r w:rsidRPr="00422281">
        <w:rPr>
          <w:rFonts w:ascii="Book Antiqua" w:eastAsia="Book Antiqua" w:hAnsi="Book Antiqua" w:cs="Book Antiqua"/>
          <w:color w:val="000000"/>
          <w:szCs w:val="21"/>
        </w:rPr>
        <w:t xml:space="preserve"> and increased purulent secretions. HS lesions are usually far from the anal canal and rectum. Most fistula lesions do not extend to the dentate line of the anal canal (no apocrine glands at or above the dental line). These may be helpful for identification of HS. On the other hand, patients with PFCD may have gastrointestinal symptoms or unexplained biological abnormalities such as abdominal pain, diarrhea, anemia, hypoferritinemia, and elevated </w:t>
      </w:r>
      <w:r w:rsidR="00A510CB">
        <w:rPr>
          <w:rFonts w:ascii="Book Antiqua" w:eastAsia="Book Antiqua" w:hAnsi="Book Antiqua" w:cs="Book Antiqua"/>
          <w:color w:val="000000"/>
          <w:szCs w:val="21"/>
        </w:rPr>
        <w:t>C-reactive protein (CRP)</w:t>
      </w:r>
      <w:r w:rsidRPr="00422281">
        <w:rPr>
          <w:rFonts w:ascii="Book Antiqua" w:eastAsia="Book Antiqua" w:hAnsi="Book Antiqua" w:cs="Book Antiqua"/>
          <w:color w:val="000000"/>
          <w:szCs w:val="21"/>
        </w:rPr>
        <w:t xml:space="preserve">. This may put doctors on the alert and distinguish them from HS. However, some patients may have fistulas connecting to the anal canal due to the apocrine glands at the distal end of the anal canal. </w:t>
      </w:r>
      <w:r w:rsidR="00A510CB">
        <w:rPr>
          <w:rFonts w:ascii="Book Antiqua" w:eastAsia="Book Antiqua" w:hAnsi="Book Antiqua" w:cs="Book Antiqua"/>
          <w:color w:val="000000"/>
          <w:szCs w:val="21"/>
        </w:rPr>
        <w:t>Approximately 17%</w:t>
      </w:r>
      <w:r w:rsidR="00A510CB">
        <w:rPr>
          <w:rFonts w:ascii="Book Antiqua" w:hAnsi="Book Antiqua" w:cs="Book Antiqua" w:hint="eastAsia"/>
          <w:color w:val="000000"/>
          <w:szCs w:val="21"/>
          <w:lang w:eastAsia="zh-CN"/>
        </w:rPr>
        <w:t>-</w:t>
      </w:r>
      <w:r w:rsidRPr="00422281">
        <w:rPr>
          <w:rFonts w:ascii="Book Antiqua" w:eastAsia="Book Antiqua" w:hAnsi="Book Antiqua" w:cs="Book Antiqua"/>
          <w:color w:val="000000"/>
          <w:szCs w:val="21"/>
        </w:rPr>
        <w:t>40% of patients with CD have perianal HS, where symptoms oft</w:t>
      </w:r>
      <w:r w:rsidR="00A510CB">
        <w:rPr>
          <w:rFonts w:ascii="Book Antiqua" w:eastAsia="Book Antiqua" w:hAnsi="Book Antiqua" w:cs="Book Antiqua"/>
          <w:color w:val="000000"/>
          <w:szCs w:val="21"/>
        </w:rPr>
        <w:t>en overlap with PFCD (Figures 2</w:t>
      </w:r>
      <w:r w:rsidR="00A510CB">
        <w:rPr>
          <w:rFonts w:ascii="Book Antiqua" w:hAnsi="Book Antiqua" w:cs="Book Antiqua" w:hint="eastAsia"/>
          <w:color w:val="000000"/>
          <w:szCs w:val="21"/>
          <w:lang w:eastAsia="zh-CN"/>
        </w:rPr>
        <w:t xml:space="preserve"> and </w:t>
      </w:r>
      <w:r w:rsidRPr="00422281">
        <w:rPr>
          <w:rFonts w:ascii="Book Antiqua" w:eastAsia="Book Antiqua" w:hAnsi="Book Antiqua" w:cs="Book Antiqua"/>
          <w:color w:val="000000"/>
          <w:szCs w:val="21"/>
        </w:rPr>
        <w:t xml:space="preserve">3). In addition, the histological features of CD and HS may all be granulomas and lymphatic follicles. Hence, imaging assessment, especially </w:t>
      </w:r>
      <w:r w:rsidR="00A510CB" w:rsidRPr="00A510CB">
        <w:rPr>
          <w:rFonts w:ascii="Book Antiqua" w:eastAsia="Book Antiqua" w:hAnsi="Book Antiqua" w:cs="Book Antiqua"/>
          <w:color w:val="000000"/>
          <w:szCs w:val="21"/>
        </w:rPr>
        <w:t>magnetic resonance imaging (MRI)</w:t>
      </w:r>
      <w:r w:rsidRPr="00422281">
        <w:rPr>
          <w:rFonts w:ascii="Book Antiqua" w:eastAsia="Book Antiqua" w:hAnsi="Book Antiqua" w:cs="Book Antiqua"/>
          <w:color w:val="000000"/>
          <w:szCs w:val="21"/>
        </w:rPr>
        <w:t>, i</w:t>
      </w:r>
      <w:r w:rsidR="00A510CB">
        <w:rPr>
          <w:rFonts w:ascii="Book Antiqua" w:eastAsia="Book Antiqua" w:hAnsi="Book Antiqua" w:cs="Book Antiqua"/>
          <w:color w:val="000000"/>
          <w:szCs w:val="21"/>
        </w:rPr>
        <w:t xml:space="preserve">s extremely important. Monnier </w:t>
      </w:r>
      <w:r w:rsidR="00A510CB" w:rsidRPr="00A510CB">
        <w:rPr>
          <w:rFonts w:ascii="Book Antiqua" w:eastAsia="Book Antiqua" w:hAnsi="Book Antiqua" w:cs="Book Antiqua"/>
          <w:i/>
          <w:color w:val="000000"/>
          <w:szCs w:val="21"/>
        </w:rPr>
        <w:t>et al</w:t>
      </w:r>
      <w:r w:rsidR="00A725E8">
        <w:rPr>
          <w:rFonts w:ascii="Book Antiqua" w:eastAsia="Book Antiqua" w:hAnsi="Book Antiqua" w:cs="Book Antiqua"/>
          <w:color w:val="000000"/>
          <w:szCs w:val="21"/>
          <w:vertAlign w:val="superscript"/>
        </w:rPr>
        <w:t>[2</w:t>
      </w:r>
      <w:r w:rsidR="00A725E8">
        <w:rPr>
          <w:rFonts w:ascii="Book Antiqua" w:hAnsi="Book Antiqua" w:cs="Book Antiqua" w:hint="eastAsia"/>
          <w:color w:val="000000"/>
          <w:szCs w:val="21"/>
          <w:vertAlign w:val="superscript"/>
          <w:lang w:eastAsia="zh-CN"/>
        </w:rPr>
        <w:t>9</w:t>
      </w:r>
      <w:r w:rsidRPr="00A510CB">
        <w:rPr>
          <w:rFonts w:ascii="Book Antiqua" w:eastAsia="Book Antiqua" w:hAnsi="Book Antiqua" w:cs="Book Antiqua"/>
          <w:color w:val="000000"/>
          <w:szCs w:val="21"/>
          <w:vertAlign w:val="superscript"/>
        </w:rPr>
        <w:t>]</w:t>
      </w:r>
      <w:r w:rsidRPr="00422281">
        <w:rPr>
          <w:rFonts w:ascii="Book Antiqua" w:eastAsia="Book Antiqua" w:hAnsi="Book Antiqua" w:cs="Book Antiqua"/>
          <w:color w:val="000000"/>
          <w:szCs w:val="21"/>
        </w:rPr>
        <w:t xml:space="preserve"> compared pelvic </w:t>
      </w:r>
      <w:r w:rsidR="00FD7A07" w:rsidRPr="00422281">
        <w:rPr>
          <w:rFonts w:ascii="Book Antiqua" w:eastAsia="Book Antiqua" w:hAnsi="Book Antiqua" w:cs="Book Antiqua"/>
          <w:color w:val="000000"/>
          <w:szCs w:val="21"/>
        </w:rPr>
        <w:t>MRI</w:t>
      </w:r>
      <w:r w:rsidR="00FD7A07">
        <w:rPr>
          <w:rFonts w:ascii="Book Antiqua" w:eastAsia="Book Antiqua" w:hAnsi="Book Antiqua" w:cs="Book Antiqua"/>
          <w:color w:val="000000"/>
          <w:szCs w:val="21"/>
        </w:rPr>
        <w:t xml:space="preserve"> characteristics</w:t>
      </w:r>
      <w:r w:rsidR="00FD7A07" w:rsidRPr="00422281">
        <w:rPr>
          <w:rFonts w:ascii="Book Antiqua" w:eastAsia="Book Antiqua" w:hAnsi="Book Antiqua" w:cs="Book Antiqua"/>
          <w:color w:val="000000"/>
          <w:szCs w:val="21"/>
        </w:rPr>
        <w:t xml:space="preserve"> </w:t>
      </w:r>
      <w:r w:rsidRPr="00422281">
        <w:rPr>
          <w:rFonts w:ascii="Book Antiqua" w:eastAsia="Book Antiqua" w:hAnsi="Book Antiqua" w:cs="Book Antiqua"/>
          <w:color w:val="000000"/>
          <w:szCs w:val="21"/>
        </w:rPr>
        <w:t>of 23 patients with HS and 46 patients with CD with anoperineal disease. The results showed that the specific characteristics of HS mainly included a predominance of the ‘absence of features’ in the perianal area, the absence of rectal wall thickening</w:t>
      </w:r>
      <w:r w:rsidR="00FD7A07">
        <w:rPr>
          <w:rFonts w:ascii="Book Antiqua" w:eastAsia="Book Antiqua" w:hAnsi="Book Antiqua" w:cs="Book Antiqua"/>
          <w:color w:val="000000"/>
          <w:szCs w:val="21"/>
        </w:rPr>
        <w:t>,</w:t>
      </w:r>
      <w:r w:rsidRPr="00422281">
        <w:rPr>
          <w:rFonts w:ascii="Book Antiqua" w:eastAsia="Book Antiqua" w:hAnsi="Book Antiqua" w:cs="Book Antiqua"/>
          <w:color w:val="000000"/>
          <w:szCs w:val="21"/>
        </w:rPr>
        <w:t xml:space="preserve"> and bilaterality of features. Other features included subcutaneous edema, less involvement of the anal sphincter, and sinus passages without connection to the anorectal canal.</w:t>
      </w:r>
    </w:p>
    <w:p w14:paraId="02311326" w14:textId="370B6109" w:rsidR="00A77B3E" w:rsidRPr="0042117A" w:rsidRDefault="000B7BA1" w:rsidP="00422281">
      <w:pPr>
        <w:spacing w:line="360" w:lineRule="auto"/>
        <w:ind w:firstLine="210"/>
        <w:jc w:val="both"/>
        <w:rPr>
          <w:lang w:eastAsia="zh-CN"/>
        </w:rPr>
      </w:pPr>
      <w:r>
        <w:rPr>
          <w:rFonts w:ascii="Book Antiqua" w:eastAsia="Book Antiqua" w:hAnsi="Book Antiqua" w:cs="Book Antiqua"/>
          <w:color w:val="000000"/>
          <w:szCs w:val="21"/>
        </w:rPr>
        <w:t xml:space="preserve">Patients with simultaneous CD and HS usually present with severe pathogenetic conditions and increased colonic involvement of CD. Kamal </w:t>
      </w:r>
      <w:r w:rsidR="00FD7A07" w:rsidRPr="006149F1">
        <w:rPr>
          <w:rFonts w:ascii="Book Antiqua" w:eastAsia="Book Antiqua" w:hAnsi="Book Antiqua" w:cs="Book Antiqua"/>
          <w:i/>
          <w:color w:val="000000"/>
          <w:szCs w:val="21"/>
        </w:rPr>
        <w:t>et al</w:t>
      </w:r>
      <w:r w:rsidR="00FD7A0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retrospectively analyzed 15 patients with CD with HS</w:t>
      </w:r>
      <w:r>
        <w:rPr>
          <w:rFonts w:ascii="Book Antiqua" w:eastAsia="Book Antiqua" w:hAnsi="Book Antiqua" w:cs="Book Antiqua"/>
          <w:color w:val="000000"/>
          <w:szCs w:val="18"/>
          <w:vertAlign w:val="superscript"/>
        </w:rPr>
        <w:t>[18]</w:t>
      </w:r>
      <w:r>
        <w:rPr>
          <w:rFonts w:ascii="Book Antiqua" w:eastAsia="Book Antiqua" w:hAnsi="Book Antiqua" w:cs="Book Antiqua"/>
          <w:color w:val="000000"/>
          <w:szCs w:val="21"/>
        </w:rPr>
        <w:t xml:space="preserve">: 47% of patients presented with colonic CD, 53% with ileocolonic CD, there were no cases of isolated ileal disease or upper gastrointestinal </w:t>
      </w:r>
      <w:r w:rsidR="000F65E5">
        <w:rPr>
          <w:rFonts w:ascii="Book Antiqua" w:hAnsi="Book Antiqua" w:cs="Book Antiqua" w:hint="eastAsia"/>
          <w:color w:val="000000"/>
          <w:szCs w:val="21"/>
          <w:lang w:eastAsia="zh-CN"/>
        </w:rPr>
        <w:t>CD</w:t>
      </w:r>
      <w:r>
        <w:rPr>
          <w:rFonts w:ascii="Book Antiqua" w:eastAsia="Book Antiqua" w:hAnsi="Book Antiqua" w:cs="Book Antiqua"/>
          <w:color w:val="000000"/>
          <w:szCs w:val="21"/>
        </w:rPr>
        <w:t xml:space="preserve">, and 67% with perianal lesions. The average age </w:t>
      </w:r>
      <w:r w:rsidR="005721B3">
        <w:rPr>
          <w:rFonts w:ascii="Book Antiqua" w:eastAsia="Book Antiqua" w:hAnsi="Book Antiqua" w:cs="Book Antiqua"/>
          <w:color w:val="000000"/>
          <w:szCs w:val="21"/>
        </w:rPr>
        <w:t xml:space="preserve">at </w:t>
      </w:r>
      <w:r>
        <w:rPr>
          <w:rFonts w:ascii="Book Antiqua" w:eastAsia="Book Antiqua" w:hAnsi="Book Antiqua" w:cs="Book Antiqua"/>
          <w:color w:val="000000"/>
          <w:szCs w:val="21"/>
        </w:rPr>
        <w:t>HS diagnosis was 34 years old. The lesion sites of HS were axillary (53%), inguinal (47%)</w:t>
      </w:r>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perianal/perineal (73%). Thirteen (93%) patients </w:t>
      </w:r>
      <w:r w:rsidR="005721B3">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 xml:space="preserve">Hurley </w:t>
      </w:r>
      <w:r w:rsidR="005721B3">
        <w:rPr>
          <w:rFonts w:eastAsia="Book Antiqua"/>
          <w:color w:val="000000"/>
          <w:szCs w:val="21"/>
        </w:rPr>
        <w:t>II</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or </w:t>
      </w:r>
      <w:r w:rsidR="005721B3">
        <w:rPr>
          <w:rFonts w:eastAsia="Book Antiqua"/>
          <w:color w:val="000000"/>
          <w:szCs w:val="21"/>
        </w:rPr>
        <w:t>III disease</w:t>
      </w:r>
      <w:r>
        <w:rPr>
          <w:rFonts w:ascii="Book Antiqua" w:eastAsia="Book Antiqua" w:hAnsi="Book Antiqua" w:cs="Book Antiqua"/>
          <w:color w:val="000000"/>
          <w:szCs w:val="21"/>
        </w:rPr>
        <w:t>. One patient developed squamous cell carcinoma</w:t>
      </w:r>
      <w:r w:rsidR="0042117A">
        <w:rPr>
          <w:rFonts w:ascii="Book Antiqua" w:hAnsi="Book Antiqua" w:cs="Book Antiqua" w:hint="eastAsia"/>
          <w:color w:val="000000"/>
          <w:szCs w:val="21"/>
          <w:lang w:eastAsia="zh-CN"/>
        </w:rPr>
        <w:t>.</w:t>
      </w:r>
    </w:p>
    <w:p w14:paraId="2FB84E28" w14:textId="77777777" w:rsidR="00A77B3E" w:rsidRDefault="00A77B3E">
      <w:pPr>
        <w:spacing w:line="360" w:lineRule="auto"/>
        <w:ind w:firstLine="210"/>
        <w:jc w:val="both"/>
      </w:pPr>
    </w:p>
    <w:p w14:paraId="4C9B1499" w14:textId="77777777" w:rsidR="00A77B3E" w:rsidRDefault="000B7BA1">
      <w:pPr>
        <w:spacing w:line="360" w:lineRule="auto"/>
        <w:jc w:val="both"/>
      </w:pPr>
      <w:r>
        <w:rPr>
          <w:rFonts w:ascii="Book Antiqua" w:eastAsia="Book Antiqua" w:hAnsi="Book Antiqua" w:cs="Book Antiqua"/>
          <w:b/>
          <w:bCs/>
          <w:caps/>
          <w:color w:val="000000"/>
          <w:szCs w:val="28"/>
          <w:u w:val="single"/>
        </w:rPr>
        <w:t>treatment</w:t>
      </w:r>
    </w:p>
    <w:p w14:paraId="747207AC" w14:textId="4A966252" w:rsidR="00A77B3E" w:rsidRDefault="00422281" w:rsidP="003F4F7A">
      <w:pPr>
        <w:spacing w:line="360" w:lineRule="auto"/>
        <w:jc w:val="both"/>
      </w:pPr>
      <w:r w:rsidRPr="00422281">
        <w:rPr>
          <w:rFonts w:ascii="Book Antiqua" w:eastAsia="Book Antiqua" w:hAnsi="Book Antiqua" w:cs="Book Antiqua"/>
          <w:color w:val="000000"/>
          <w:szCs w:val="21"/>
        </w:rPr>
        <w:t xml:space="preserve">Like CD, HS is incurable and few treatments are available to maintain long-term remission, which imposes a huge medical and social burden. Treatment is even more difficult when patients also have </w:t>
      </w:r>
      <w:r w:rsidR="000F65E5">
        <w:rPr>
          <w:rFonts w:ascii="Book Antiqua" w:hAnsi="Book Antiqua" w:cs="Book Antiqua" w:hint="eastAsia"/>
          <w:color w:val="000000"/>
          <w:szCs w:val="21"/>
          <w:lang w:eastAsia="zh-CN"/>
        </w:rPr>
        <w:t>CD</w:t>
      </w:r>
      <w:r w:rsidRPr="00422281">
        <w:rPr>
          <w:rFonts w:ascii="Book Antiqua" w:eastAsia="Book Antiqua" w:hAnsi="Book Antiqua" w:cs="Book Antiqua"/>
          <w:color w:val="000000"/>
          <w:szCs w:val="21"/>
        </w:rPr>
        <w:t xml:space="preserve">. Traditional HS therapies include antibiotics, hormonal </w:t>
      </w:r>
      <w:r w:rsidR="005721B3" w:rsidRPr="00422281">
        <w:rPr>
          <w:rFonts w:ascii="Book Antiqua" w:eastAsia="Book Antiqua" w:hAnsi="Book Antiqua" w:cs="Book Antiqua"/>
          <w:color w:val="000000"/>
          <w:szCs w:val="21"/>
        </w:rPr>
        <w:t>therapy</w:t>
      </w:r>
      <w:r w:rsidR="005721B3">
        <w:rPr>
          <w:rFonts w:ascii="Book Antiqua" w:eastAsia="Book Antiqua" w:hAnsi="Book Antiqua" w:cs="Book Antiqua"/>
          <w:color w:val="000000"/>
          <w:szCs w:val="21"/>
        </w:rPr>
        <w:t>,</w:t>
      </w:r>
      <w:r w:rsidR="005721B3" w:rsidRPr="00422281">
        <w:rPr>
          <w:rFonts w:ascii="Book Antiqua" w:eastAsia="Book Antiqua" w:hAnsi="Book Antiqua" w:cs="Book Antiqua"/>
          <w:color w:val="000000"/>
          <w:szCs w:val="21"/>
        </w:rPr>
        <w:t xml:space="preserve"> </w:t>
      </w:r>
      <w:r w:rsidRPr="00422281">
        <w:rPr>
          <w:rFonts w:ascii="Book Antiqua" w:eastAsia="Book Antiqua" w:hAnsi="Book Antiqua" w:cs="Book Antiqua"/>
          <w:color w:val="000000"/>
          <w:szCs w:val="21"/>
        </w:rPr>
        <w:t xml:space="preserve">and especially </w:t>
      </w:r>
      <w:r w:rsidR="005721B3" w:rsidRPr="00422281">
        <w:rPr>
          <w:rFonts w:ascii="Book Antiqua" w:eastAsia="Book Antiqua" w:hAnsi="Book Antiqua" w:cs="Book Antiqua"/>
          <w:color w:val="000000"/>
          <w:szCs w:val="21"/>
        </w:rPr>
        <w:t>surg</w:t>
      </w:r>
      <w:r w:rsidR="005721B3">
        <w:rPr>
          <w:rFonts w:ascii="Book Antiqua" w:eastAsia="Book Antiqua" w:hAnsi="Book Antiqua" w:cs="Book Antiqua"/>
          <w:color w:val="000000"/>
          <w:szCs w:val="21"/>
        </w:rPr>
        <w:t>ical</w:t>
      </w:r>
      <w:r w:rsidR="005721B3" w:rsidRPr="00422281">
        <w:rPr>
          <w:rFonts w:ascii="Book Antiqua" w:eastAsia="Book Antiqua" w:hAnsi="Book Antiqua" w:cs="Book Antiqua"/>
          <w:color w:val="000000"/>
          <w:szCs w:val="21"/>
        </w:rPr>
        <w:t xml:space="preserve"> </w:t>
      </w:r>
      <w:r w:rsidRPr="00422281">
        <w:rPr>
          <w:rFonts w:ascii="Book Antiqua" w:eastAsia="Book Antiqua" w:hAnsi="Book Antiqua" w:cs="Book Antiqua"/>
          <w:color w:val="000000"/>
          <w:szCs w:val="21"/>
        </w:rPr>
        <w:t>therapy. However, the surgical wounds of patients with CD combined with HS are usually difficult to heal. Fortunately, a variety of drugs and surgical methods have been shown to alleviate the disease and prevent new lesions with the rapid clinical application of biological agents.</w:t>
      </w:r>
      <w:r w:rsidR="000B7BA1">
        <w:rPr>
          <w:rFonts w:ascii="Book Antiqua" w:eastAsia="Book Antiqua" w:hAnsi="Book Antiqua" w:cs="Book Antiqua"/>
          <w:color w:val="000000"/>
          <w:szCs w:val="21"/>
        </w:rPr>
        <w:t xml:space="preserve"> Thus, systemic drug therapy should be used first. Steroids are not recommended in the acute phase of CD-related anal fistula and HS because of limited efficacy and increased risk of infection. Once local sepsis is effectively controlled, the application of immunosuppressive agents and biological agents needs to be evaluated. On the basis of effective control of active intestinal lesions, surgical treatment can be considered.</w:t>
      </w:r>
    </w:p>
    <w:p w14:paraId="559D465F" w14:textId="77777777" w:rsidR="00DE3B30" w:rsidRDefault="00DE3B30">
      <w:pPr>
        <w:spacing w:line="360" w:lineRule="auto"/>
        <w:jc w:val="both"/>
        <w:rPr>
          <w:rFonts w:ascii="Book Antiqua" w:hAnsi="Book Antiqua" w:cs="Book Antiqua"/>
          <w:b/>
          <w:bCs/>
          <w:color w:val="000000"/>
          <w:lang w:eastAsia="zh-CN"/>
        </w:rPr>
      </w:pPr>
    </w:p>
    <w:p w14:paraId="0DA19224" w14:textId="77777777" w:rsidR="00A77B3E" w:rsidRPr="00DE3B30" w:rsidRDefault="000B7BA1">
      <w:pPr>
        <w:spacing w:line="360" w:lineRule="auto"/>
        <w:jc w:val="both"/>
        <w:rPr>
          <w:i/>
        </w:rPr>
      </w:pPr>
      <w:r w:rsidRPr="00DE3B30">
        <w:rPr>
          <w:rFonts w:ascii="Book Antiqua" w:eastAsia="Book Antiqua" w:hAnsi="Book Antiqua" w:cs="Book Antiqua"/>
          <w:b/>
          <w:bCs/>
          <w:i/>
          <w:color w:val="000000"/>
        </w:rPr>
        <w:t>General treatment</w:t>
      </w:r>
    </w:p>
    <w:p w14:paraId="0A702A93" w14:textId="77777777" w:rsidR="00A77B3E" w:rsidRDefault="000B7BA1">
      <w:pPr>
        <w:spacing w:line="360" w:lineRule="auto"/>
        <w:jc w:val="both"/>
      </w:pPr>
      <w:r>
        <w:rPr>
          <w:rFonts w:ascii="Book Antiqua" w:eastAsia="Book Antiqua" w:hAnsi="Book Antiqua" w:cs="Book Antiqua"/>
          <w:color w:val="000000"/>
        </w:rPr>
        <w:t>Smoking and obesity are strongly correlated with the severity of HS. Smoking is a risk factor for CD onset and recurrence. It is strongly recommended that patients with HS quit smoking. Loose clothing is preferred to avoid mechanical stress and friction</w:t>
      </w:r>
      <w:r w:rsidR="00A725E8">
        <w:rPr>
          <w:rFonts w:ascii="Book Antiqua" w:hAnsi="Book Antiqua" w:cs="Book Antiqua" w:hint="eastAsia"/>
          <w:color w:val="000000"/>
          <w:vertAlign w:val="superscript"/>
          <w:lang w:eastAsia="zh-CN"/>
        </w:rPr>
        <w:t>[30,31</w:t>
      </w:r>
      <w:r w:rsidR="00422281">
        <w:rPr>
          <w:rFonts w:ascii="Book Antiqua" w:hAnsi="Book Antiqua" w:cs="Book Antiqua" w:hint="eastAsia"/>
          <w:color w:val="000000"/>
          <w:vertAlign w:val="superscript"/>
          <w:lang w:eastAsia="zh-CN"/>
        </w:rPr>
        <w:t>]</w:t>
      </w:r>
      <w:r>
        <w:rPr>
          <w:rFonts w:ascii="Book Antiqua" w:eastAsia="Book Antiqua" w:hAnsi="Book Antiqua" w:cs="Book Antiqua"/>
          <w:color w:val="000000"/>
        </w:rPr>
        <w:t>.</w:t>
      </w:r>
    </w:p>
    <w:p w14:paraId="0C1E056C" w14:textId="77777777" w:rsidR="00DE3B30" w:rsidRDefault="00DE3B30">
      <w:pPr>
        <w:spacing w:line="360" w:lineRule="auto"/>
        <w:jc w:val="both"/>
        <w:rPr>
          <w:rFonts w:ascii="Book Antiqua" w:hAnsi="Book Antiqua" w:cs="Book Antiqua"/>
          <w:b/>
          <w:bCs/>
          <w:color w:val="000000"/>
          <w:lang w:eastAsia="zh-CN"/>
        </w:rPr>
      </w:pPr>
    </w:p>
    <w:p w14:paraId="76C2C6AA" w14:textId="77777777" w:rsidR="00DE3B30" w:rsidRDefault="000B7BA1" w:rsidP="00DE3B30">
      <w:pPr>
        <w:spacing w:line="360" w:lineRule="auto"/>
        <w:jc w:val="both"/>
        <w:rPr>
          <w:i/>
          <w:lang w:eastAsia="zh-CN"/>
        </w:rPr>
      </w:pPr>
      <w:r w:rsidRPr="00DE3B30">
        <w:rPr>
          <w:rFonts w:ascii="Book Antiqua" w:eastAsia="Book Antiqua" w:hAnsi="Book Antiqua" w:cs="Book Antiqua"/>
          <w:b/>
          <w:bCs/>
          <w:i/>
          <w:color w:val="000000"/>
        </w:rPr>
        <w:t>Drug therapy</w:t>
      </w:r>
    </w:p>
    <w:p w14:paraId="294C5E12" w14:textId="2AEDA6D7" w:rsidR="00A77B3E" w:rsidRPr="00DE3B30" w:rsidRDefault="000B7BA1" w:rsidP="00DE3B30">
      <w:pPr>
        <w:spacing w:line="360" w:lineRule="auto"/>
        <w:jc w:val="both"/>
        <w:rPr>
          <w:i/>
        </w:rPr>
      </w:pPr>
      <w:r>
        <w:rPr>
          <w:rFonts w:ascii="Book Antiqua" w:eastAsia="Book Antiqua" w:hAnsi="Book Antiqua" w:cs="Book Antiqua"/>
          <w:b/>
          <w:bCs/>
          <w:color w:val="000000"/>
          <w:szCs w:val="21"/>
        </w:rPr>
        <w:t>Antibiotics</w:t>
      </w:r>
      <w:r w:rsidR="00DE3B30">
        <w:rPr>
          <w:rFonts w:ascii="Book Antiqua" w:hAnsi="Book Antiqua" w:hint="eastAsia"/>
          <w:lang w:eastAsia="zh-CN"/>
        </w:rPr>
        <w:t xml:space="preserve">: </w:t>
      </w:r>
      <w:r>
        <w:rPr>
          <w:rFonts w:ascii="Book Antiqua" w:eastAsia="Book Antiqua" w:hAnsi="Book Antiqua" w:cs="Book Antiqua"/>
          <w:color w:val="000000"/>
          <w:szCs w:val="21"/>
        </w:rPr>
        <w:t>Antimycobacterial therapy has shown no effects on induction</w:t>
      </w:r>
      <w:r w:rsidR="005721B3">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maintenance of remission or mucosal healing in patients with CD and should not be used as primary therapy</w:t>
      </w:r>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2</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There are currently no high-quality data on the treatment of HS with antibiotics, especially patients with CD and HS. Antibiotics are routinely used for the treatment of infection. The combinati</w:t>
      </w:r>
      <w:r w:rsidR="006C7D48">
        <w:rPr>
          <w:rFonts w:ascii="Book Antiqua" w:eastAsia="Book Antiqua" w:hAnsi="Book Antiqua" w:cs="Book Antiqua"/>
          <w:color w:val="000000"/>
          <w:szCs w:val="21"/>
        </w:rPr>
        <w:t>on of clindamycin (300 mg, 2/d</w:t>
      </w:r>
      <w:r>
        <w:rPr>
          <w:rFonts w:ascii="Book Antiqua" w:eastAsia="Book Antiqua" w:hAnsi="Book Antiqua" w:cs="Book Antiqua"/>
          <w:color w:val="000000"/>
          <w:szCs w:val="21"/>
        </w:rPr>
        <w:t>) and rifampicin (300 mg, 2/</w:t>
      </w:r>
      <w:r w:rsidR="006C7D48">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is currently used by clinicians. In a prospective study, clindamycin and rifampicin were combined for 12 </w:t>
      </w:r>
      <w:r w:rsidRPr="00C026B5">
        <w:rPr>
          <w:rFonts w:ascii="Book Antiqua" w:eastAsia="Book Antiqua" w:hAnsi="Book Antiqua" w:cs="Book Antiqua"/>
          <w:color w:val="000000"/>
          <w:szCs w:val="21"/>
        </w:rPr>
        <w:t>wk and</w:t>
      </w:r>
      <w:r w:rsidR="005721B3">
        <w:rPr>
          <w:rFonts w:ascii="Book Antiqua" w:eastAsia="Book Antiqua" w:hAnsi="Book Antiqua" w:cs="Book Antiqua"/>
          <w:color w:val="000000"/>
          <w:szCs w:val="21"/>
        </w:rPr>
        <w:t xml:space="preserve"> the patients were </w:t>
      </w:r>
      <w:r w:rsidRPr="00C026B5">
        <w:rPr>
          <w:rFonts w:ascii="Book Antiqua" w:eastAsia="Book Antiqua" w:hAnsi="Book Antiqua" w:cs="Book Antiqua"/>
          <w:color w:val="000000"/>
          <w:szCs w:val="21"/>
        </w:rPr>
        <w:t>followed</w:t>
      </w:r>
      <w:r w:rsidR="005721B3">
        <w:rPr>
          <w:rFonts w:ascii="Book Antiqua" w:eastAsia="Book Antiqua" w:hAnsi="Book Antiqua" w:cs="Book Antiqua"/>
          <w:color w:val="000000"/>
          <w:szCs w:val="21"/>
        </w:rPr>
        <w:t xml:space="preserve"> </w:t>
      </w:r>
      <w:r w:rsidRPr="00C026B5">
        <w:rPr>
          <w:rFonts w:ascii="Book Antiqua" w:eastAsia="Book Antiqua" w:hAnsi="Book Antiqua" w:cs="Book Antiqua"/>
          <w:color w:val="000000"/>
          <w:szCs w:val="21"/>
        </w:rPr>
        <w:t>for 1 year. Clinical response was observed in 73% (19/26) of patients at the outset but decreased to 41% (7/17) after the 1-year follow-up. The mean recurrence time was 4.2 mo.</w:t>
      </w:r>
      <w:r>
        <w:rPr>
          <w:rFonts w:ascii="Book Antiqua" w:eastAsia="Book Antiqua" w:hAnsi="Book Antiqua" w:cs="Book Antiqua"/>
          <w:color w:val="000000"/>
          <w:szCs w:val="21"/>
        </w:rPr>
        <w:t xml:space="preserve"> The most common side effects were diarrhea and nausea</w:t>
      </w:r>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3</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Although many other antibiotic application studies have been carried out clinically, antibiotics are generally not a practical solution to HS.</w:t>
      </w:r>
    </w:p>
    <w:p w14:paraId="71C1AB2F" w14:textId="77777777" w:rsidR="00DE3B30" w:rsidRDefault="00DE3B30" w:rsidP="00DE3B30">
      <w:pPr>
        <w:spacing w:line="360" w:lineRule="auto"/>
        <w:jc w:val="both"/>
        <w:rPr>
          <w:rFonts w:ascii="Book Antiqua" w:hAnsi="Book Antiqua" w:cs="Book Antiqua"/>
          <w:b/>
          <w:bCs/>
          <w:color w:val="000000"/>
          <w:szCs w:val="21"/>
          <w:lang w:eastAsia="zh-CN"/>
        </w:rPr>
      </w:pPr>
    </w:p>
    <w:p w14:paraId="2DD11154" w14:textId="7A264DA9" w:rsidR="00A77B3E" w:rsidRDefault="000B7BA1" w:rsidP="00DE3B30">
      <w:pPr>
        <w:spacing w:line="360" w:lineRule="auto"/>
        <w:jc w:val="both"/>
        <w:rPr>
          <w:lang w:eastAsia="zh-CN"/>
        </w:rPr>
      </w:pPr>
      <w:r>
        <w:rPr>
          <w:rFonts w:ascii="Book Antiqua" w:eastAsia="Book Antiqua" w:hAnsi="Book Antiqua" w:cs="Book Antiqua"/>
          <w:b/>
          <w:bCs/>
          <w:color w:val="000000"/>
          <w:szCs w:val="21"/>
        </w:rPr>
        <w:t>Biological agents</w:t>
      </w:r>
      <w:r w:rsidR="00DE3B30">
        <w:rPr>
          <w:rFonts w:ascii="Book Antiqua" w:hAnsi="Book Antiqua" w:cs="Book Antiqua" w:hint="eastAsia"/>
          <w:b/>
          <w:bCs/>
          <w:color w:val="000000"/>
          <w:szCs w:val="21"/>
          <w:lang w:eastAsia="zh-CN"/>
        </w:rPr>
        <w:t>:</w:t>
      </w:r>
      <w:r w:rsidR="00DE3B30">
        <w:rPr>
          <w:rFonts w:hint="eastAsia"/>
          <w:lang w:eastAsia="zh-CN"/>
        </w:rPr>
        <w:t xml:space="preserve"> </w:t>
      </w:r>
      <w:r>
        <w:rPr>
          <w:rFonts w:ascii="Book Antiqua" w:eastAsia="Book Antiqua" w:hAnsi="Book Antiqua" w:cs="Book Antiqua"/>
          <w:color w:val="000000"/>
          <w:szCs w:val="21"/>
        </w:rPr>
        <w:t>The application of biological agents has provided new therapeutic approaches and significantly reduced the incidence</w:t>
      </w:r>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4</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TNF-α, as the initiating factor of inflammatory progression, is mainly concentrated in the serum and skin</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lesions of patients with HS and is significantly higher than that of normal people. Kelly </w:t>
      </w:r>
      <w:r>
        <w:rPr>
          <w:rFonts w:ascii="Book Antiqua" w:eastAsia="Book Antiqua" w:hAnsi="Book Antiqua" w:cs="Book Antiqua"/>
          <w:i/>
          <w:iCs/>
          <w:color w:val="000000"/>
          <w:szCs w:val="21"/>
        </w:rPr>
        <w:t>et al</w:t>
      </w:r>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5</w:t>
      </w:r>
      <w:r>
        <w:rPr>
          <w:rFonts w:ascii="Book Antiqua" w:eastAsia="Book Antiqua" w:hAnsi="Book Antiqua" w:cs="Book Antiqua"/>
          <w:color w:val="000000"/>
          <w:szCs w:val="18"/>
          <w:vertAlign w:val="superscript"/>
        </w:rPr>
        <w:t>]</w:t>
      </w:r>
      <w:r w:rsidR="00DE3B30">
        <w:rPr>
          <w:rFonts w:ascii="Book Antiqua" w:hAnsi="Book Antiqua" w:cs="Book Antiqua" w:hint="eastAsia"/>
          <w:color w:val="000000"/>
          <w:szCs w:val="18"/>
          <w:vertAlign w:val="superscript"/>
          <w:lang w:eastAsia="zh-CN"/>
        </w:rPr>
        <w:t xml:space="preserve"> </w:t>
      </w:r>
      <w:r>
        <w:rPr>
          <w:rFonts w:ascii="Book Antiqua" w:eastAsia="Book Antiqua" w:hAnsi="Book Antiqua" w:cs="Book Antiqua"/>
          <w:color w:val="000000"/>
          <w:szCs w:val="21"/>
        </w:rPr>
        <w:t>confirmed the increased levels of TNF-α, IL-17</w:t>
      </w:r>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IL-1 in HS lesions. Despite the wide variety of inflammatory cytokines associated with the pathogenesis of HS, anti-TNF-α therapy can effectively control most proinflammatory cytokines.</w:t>
      </w:r>
    </w:p>
    <w:p w14:paraId="489282AE" w14:textId="79747F59" w:rsidR="00A77B3E" w:rsidRDefault="000B7BA1" w:rsidP="00DE3B30">
      <w:pPr>
        <w:spacing w:line="360" w:lineRule="auto"/>
        <w:ind w:firstLineChars="100" w:firstLine="240"/>
        <w:jc w:val="both"/>
      </w:pPr>
      <w:r w:rsidRPr="00DE3B30">
        <w:rPr>
          <w:rFonts w:ascii="Book Antiqua" w:eastAsia="Book Antiqua" w:hAnsi="Book Antiqua" w:cs="Book Antiqua"/>
          <w:bCs/>
          <w:color w:val="000000"/>
          <w:szCs w:val="21"/>
        </w:rPr>
        <w:t>Adalimumab</w:t>
      </w:r>
      <w:r w:rsidR="00DE3B30" w:rsidRPr="00DE3B30">
        <w:rPr>
          <w:rFonts w:ascii="Book Antiqua" w:hAnsi="Book Antiqua"/>
          <w:lang w:eastAsia="zh-CN"/>
        </w:rPr>
        <w:t xml:space="preserve">: </w:t>
      </w:r>
      <w:r w:rsidR="00422281" w:rsidRPr="00422281">
        <w:rPr>
          <w:rFonts w:ascii="Book Antiqua" w:eastAsia="Book Antiqua" w:hAnsi="Book Antiqua" w:cs="Book Antiqua"/>
          <w:color w:val="000000"/>
          <w:szCs w:val="21"/>
        </w:rPr>
        <w:t>As an effective therap</w:t>
      </w:r>
      <w:r w:rsidR="00422281" w:rsidRPr="00C026B5">
        <w:rPr>
          <w:rFonts w:ascii="Book Antiqua" w:eastAsia="Book Antiqua" w:hAnsi="Book Antiqua" w:cs="Book Antiqua"/>
          <w:color w:val="000000"/>
          <w:szCs w:val="21"/>
        </w:rPr>
        <w:t>eutic target, ad</w:t>
      </w:r>
      <w:r w:rsidR="00197CC2" w:rsidRPr="00C026B5">
        <w:rPr>
          <w:rFonts w:ascii="Book Antiqua" w:eastAsia="Book Antiqua" w:hAnsi="Book Antiqua" w:cs="Book Antiqua"/>
          <w:color w:val="000000"/>
          <w:szCs w:val="21"/>
        </w:rPr>
        <w:t>alim</w:t>
      </w:r>
      <w:r w:rsidR="00422281" w:rsidRPr="00C026B5">
        <w:rPr>
          <w:rFonts w:ascii="Book Antiqua" w:eastAsia="Book Antiqua" w:hAnsi="Book Antiqua" w:cs="Book Antiqua"/>
          <w:color w:val="000000"/>
          <w:szCs w:val="21"/>
        </w:rPr>
        <w:t xml:space="preserve">umab is the first and only anti-TNF-α agent approved by the </w:t>
      </w:r>
      <w:r w:rsidR="00DE3B30" w:rsidRPr="00C026B5">
        <w:rPr>
          <w:rFonts w:ascii="Book Antiqua" w:eastAsia="Book Antiqua" w:hAnsi="Book Antiqua" w:cs="Book Antiqua"/>
          <w:color w:val="000000"/>
          <w:szCs w:val="21"/>
        </w:rPr>
        <w:t xml:space="preserve">Food and Drug Administration </w:t>
      </w:r>
      <w:r w:rsidR="00422281" w:rsidRPr="00C026B5">
        <w:rPr>
          <w:rFonts w:ascii="Book Antiqua" w:eastAsia="Book Antiqua" w:hAnsi="Book Antiqua" w:cs="Book Antiqua"/>
          <w:color w:val="000000"/>
          <w:szCs w:val="21"/>
        </w:rPr>
        <w:t>for the treatment of moderate to severe HS</w:t>
      </w:r>
      <w:r w:rsidR="00A725E8" w:rsidRPr="00C026B5">
        <w:rPr>
          <w:rFonts w:ascii="Book Antiqua" w:eastAsia="Book Antiqua" w:hAnsi="Book Antiqua" w:cs="Book Antiqua"/>
          <w:color w:val="000000"/>
          <w:szCs w:val="21"/>
          <w:vertAlign w:val="superscript"/>
        </w:rPr>
        <w:t>[3</w:t>
      </w:r>
      <w:r w:rsidR="00A725E8" w:rsidRPr="00C026B5">
        <w:rPr>
          <w:rFonts w:ascii="Book Antiqua" w:hAnsi="Book Antiqua" w:cs="Book Antiqua" w:hint="eastAsia"/>
          <w:color w:val="000000"/>
          <w:szCs w:val="21"/>
          <w:vertAlign w:val="superscript"/>
          <w:lang w:eastAsia="zh-CN"/>
        </w:rPr>
        <w:t>6</w:t>
      </w:r>
      <w:r w:rsidR="00DE3B30" w:rsidRPr="00C026B5">
        <w:rPr>
          <w:rFonts w:ascii="Book Antiqua" w:eastAsia="Book Antiqua" w:hAnsi="Book Antiqua" w:cs="Book Antiqua"/>
          <w:color w:val="000000"/>
          <w:szCs w:val="21"/>
          <w:vertAlign w:val="superscript"/>
        </w:rPr>
        <w:t>,</w:t>
      </w:r>
      <w:r w:rsidR="00A725E8" w:rsidRPr="00C026B5">
        <w:rPr>
          <w:rFonts w:ascii="Book Antiqua" w:eastAsia="Book Antiqua" w:hAnsi="Book Antiqua" w:cs="Book Antiqua"/>
          <w:color w:val="000000"/>
          <w:szCs w:val="21"/>
          <w:vertAlign w:val="superscript"/>
        </w:rPr>
        <w:t>3</w:t>
      </w:r>
      <w:r w:rsidR="00A725E8" w:rsidRPr="00C026B5">
        <w:rPr>
          <w:rFonts w:ascii="Book Antiqua" w:hAnsi="Book Antiqua" w:cs="Book Antiqua" w:hint="eastAsia"/>
          <w:color w:val="000000"/>
          <w:szCs w:val="21"/>
          <w:vertAlign w:val="superscript"/>
          <w:lang w:eastAsia="zh-CN"/>
        </w:rPr>
        <w:t>7</w:t>
      </w:r>
      <w:r w:rsidR="00422281" w:rsidRPr="00C026B5">
        <w:rPr>
          <w:rFonts w:ascii="Book Antiqua" w:eastAsia="Book Antiqua" w:hAnsi="Book Antiqua" w:cs="Book Antiqua"/>
          <w:color w:val="000000"/>
          <w:szCs w:val="21"/>
          <w:vertAlign w:val="superscript"/>
        </w:rPr>
        <w:t>]</w:t>
      </w:r>
      <w:r w:rsidR="00422281" w:rsidRPr="00C026B5">
        <w:rPr>
          <w:rFonts w:ascii="Book Antiqua" w:eastAsia="Book Antiqua" w:hAnsi="Book Antiqua" w:cs="Book Antiqua"/>
          <w:color w:val="000000"/>
          <w:szCs w:val="21"/>
        </w:rPr>
        <w:t xml:space="preserve">. The standard regimen was 160 mg at week 0, 80 mg at week 2, and then 40 mg weekly by subcutaneous injection. The efficacy of adalimumab in the treatment of HS reported in the literature varies greatly. In an open clinical trial, </w:t>
      </w:r>
      <w:r w:rsidR="005721B3">
        <w:rPr>
          <w:rFonts w:ascii="Book Antiqua" w:eastAsia="Book Antiqua" w:hAnsi="Book Antiqua" w:cs="Book Antiqua"/>
          <w:color w:val="000000"/>
          <w:szCs w:val="21"/>
        </w:rPr>
        <w:t>ten</w:t>
      </w:r>
      <w:r w:rsidR="005721B3" w:rsidRPr="00C026B5">
        <w:rPr>
          <w:rFonts w:ascii="Book Antiqua" w:eastAsia="Book Antiqua" w:hAnsi="Book Antiqua" w:cs="Book Antiqua"/>
          <w:color w:val="000000"/>
          <w:szCs w:val="21"/>
        </w:rPr>
        <w:t xml:space="preserve"> </w:t>
      </w:r>
      <w:r w:rsidR="00422281" w:rsidRPr="00C026B5">
        <w:rPr>
          <w:rFonts w:ascii="Book Antiqua" w:eastAsia="Book Antiqua" w:hAnsi="Book Antiqua" w:cs="Book Antiqua"/>
          <w:color w:val="000000"/>
          <w:szCs w:val="21"/>
        </w:rPr>
        <w:t xml:space="preserve">patients with HS received adalimumab treatment at week 0 </w:t>
      </w:r>
      <w:r w:rsidR="005721B3">
        <w:rPr>
          <w:rFonts w:ascii="Book Antiqua" w:eastAsia="Book Antiqua" w:hAnsi="Book Antiqua" w:cs="Book Antiqua"/>
          <w:color w:val="000000"/>
          <w:szCs w:val="21"/>
        </w:rPr>
        <w:t>at</w:t>
      </w:r>
      <w:r w:rsidR="005721B3" w:rsidRPr="00C026B5">
        <w:rPr>
          <w:rFonts w:ascii="Book Antiqua" w:eastAsia="Book Antiqua" w:hAnsi="Book Antiqua" w:cs="Book Antiqua"/>
          <w:color w:val="000000"/>
          <w:szCs w:val="21"/>
        </w:rPr>
        <w:t xml:space="preserve"> </w:t>
      </w:r>
      <w:r w:rsidR="00422281" w:rsidRPr="00C026B5">
        <w:rPr>
          <w:rFonts w:ascii="Book Antiqua" w:eastAsia="Book Antiqua" w:hAnsi="Book Antiqua" w:cs="Book Antiqua"/>
          <w:color w:val="000000"/>
          <w:szCs w:val="21"/>
        </w:rPr>
        <w:t>a dose of 160 mg, 80 mg at week 1, a</w:t>
      </w:r>
      <w:r w:rsidR="00DE3B30" w:rsidRPr="00C026B5">
        <w:rPr>
          <w:rFonts w:ascii="Book Antiqua" w:eastAsia="Book Antiqua" w:hAnsi="Book Antiqua" w:cs="Book Antiqua"/>
          <w:color w:val="000000"/>
          <w:szCs w:val="21"/>
        </w:rPr>
        <w:t xml:space="preserve">nd then 40 mg every </w:t>
      </w:r>
      <w:r w:rsidR="005721B3">
        <w:rPr>
          <w:rFonts w:ascii="Book Antiqua" w:eastAsia="Book Antiqua" w:hAnsi="Book Antiqua" w:cs="Book Antiqua"/>
          <w:color w:val="000000"/>
          <w:szCs w:val="21"/>
        </w:rPr>
        <w:t>2</w:t>
      </w:r>
      <w:r w:rsidR="005721B3" w:rsidRPr="00C026B5">
        <w:rPr>
          <w:rFonts w:ascii="Book Antiqua" w:eastAsia="Book Antiqua" w:hAnsi="Book Antiqua" w:cs="Book Antiqua"/>
          <w:color w:val="000000"/>
          <w:szCs w:val="21"/>
        </w:rPr>
        <w:t xml:space="preserve"> </w:t>
      </w:r>
      <w:r w:rsidR="00DE3B30" w:rsidRPr="00C026B5">
        <w:rPr>
          <w:rFonts w:ascii="Book Antiqua" w:eastAsia="Book Antiqua" w:hAnsi="Book Antiqua" w:cs="Book Antiqua"/>
          <w:color w:val="000000"/>
          <w:szCs w:val="21"/>
        </w:rPr>
        <w:t>wk (</w:t>
      </w:r>
      <w:r w:rsidR="00422281" w:rsidRPr="00C026B5">
        <w:rPr>
          <w:rFonts w:ascii="Book Antiqua" w:eastAsia="Book Antiqua" w:hAnsi="Book Antiqua" w:cs="Book Antiqua"/>
          <w:color w:val="000000"/>
          <w:szCs w:val="21"/>
        </w:rPr>
        <w:t>eve</w:t>
      </w:r>
      <w:r w:rsidR="00DE3B30" w:rsidRPr="00C026B5">
        <w:rPr>
          <w:rFonts w:ascii="Book Antiqua" w:eastAsia="Book Antiqua" w:hAnsi="Book Antiqua" w:cs="Book Antiqua"/>
          <w:color w:val="000000"/>
          <w:szCs w:val="21"/>
        </w:rPr>
        <w:t>ry other week, EOW) for 12 wk</w:t>
      </w:r>
      <w:r w:rsidR="00422281" w:rsidRPr="00C026B5">
        <w:rPr>
          <w:rFonts w:ascii="Book Antiqua" w:eastAsia="Book Antiqua" w:hAnsi="Book Antiqua" w:cs="Book Antiqua"/>
          <w:color w:val="000000"/>
          <w:szCs w:val="21"/>
        </w:rPr>
        <w:t>. The primary endpoint was HiSCR-50 (the counts of abscesses and inflammatory nodules were reduced by 50% compared with baseline). At the end of the study, no patients were considered to be responsive to the treatment, and four participants</w:t>
      </w:r>
      <w:r w:rsidR="005721B3">
        <w:rPr>
          <w:rFonts w:ascii="Book Antiqua" w:eastAsia="Book Antiqua" w:hAnsi="Book Antiqua" w:cs="Book Antiqua"/>
          <w:color w:val="000000"/>
          <w:szCs w:val="21"/>
        </w:rPr>
        <w:t xml:space="preserve"> </w:t>
      </w:r>
      <w:r w:rsidR="00422281" w:rsidRPr="00C026B5">
        <w:rPr>
          <w:rFonts w:ascii="Book Antiqua" w:eastAsia="Book Antiqua" w:hAnsi="Book Antiqua" w:cs="Book Antiqua"/>
          <w:color w:val="000000"/>
          <w:szCs w:val="21"/>
        </w:rPr>
        <w:t>quitted due to lack of efficacy</w:t>
      </w:r>
      <w:r w:rsidR="00A725E8" w:rsidRPr="00C026B5">
        <w:rPr>
          <w:rFonts w:ascii="Book Antiqua" w:eastAsia="Book Antiqua" w:hAnsi="Book Antiqua" w:cs="Book Antiqua"/>
          <w:color w:val="000000"/>
          <w:szCs w:val="21"/>
          <w:vertAlign w:val="superscript"/>
        </w:rPr>
        <w:t>[3</w:t>
      </w:r>
      <w:r w:rsidR="00A725E8" w:rsidRPr="00C026B5">
        <w:rPr>
          <w:rFonts w:ascii="Book Antiqua" w:hAnsi="Book Antiqua" w:cs="Book Antiqua" w:hint="eastAsia"/>
          <w:color w:val="000000"/>
          <w:szCs w:val="21"/>
          <w:vertAlign w:val="superscript"/>
          <w:lang w:eastAsia="zh-CN"/>
        </w:rPr>
        <w:t>8</w:t>
      </w:r>
      <w:r w:rsidR="00422281" w:rsidRPr="00C026B5">
        <w:rPr>
          <w:rFonts w:ascii="Book Antiqua" w:eastAsia="Book Antiqua" w:hAnsi="Book Antiqua" w:cs="Book Antiqua"/>
          <w:color w:val="000000"/>
          <w:szCs w:val="21"/>
          <w:vertAlign w:val="superscript"/>
        </w:rPr>
        <w:t>]</w:t>
      </w:r>
      <w:r w:rsidR="00422281" w:rsidRPr="00C026B5">
        <w:rPr>
          <w:rFonts w:ascii="Book Antiqua" w:eastAsia="Book Antiqua" w:hAnsi="Book Antiqua" w:cs="Book Antiqua"/>
          <w:color w:val="000000"/>
          <w:szCs w:val="21"/>
        </w:rPr>
        <w:t>. However, a double-blind, placebo-controlled randomized clinical trial (RCT) showed that 21</w:t>
      </w:r>
      <w:r w:rsidR="00DE3B30" w:rsidRPr="00C026B5">
        <w:rPr>
          <w:rFonts w:ascii="Book Antiqua" w:eastAsia="Book Antiqua" w:hAnsi="Book Antiqua" w:cs="Book Antiqua"/>
          <w:color w:val="000000"/>
          <w:szCs w:val="21"/>
        </w:rPr>
        <w:t xml:space="preserve"> patients receiving adalimumab </w:t>
      </w:r>
      <w:r w:rsidR="00DE3B30" w:rsidRPr="00C026B5">
        <w:rPr>
          <w:rFonts w:ascii="Book Antiqua" w:hAnsi="Book Antiqua" w:cs="Book Antiqua" w:hint="eastAsia"/>
          <w:color w:val="000000"/>
          <w:szCs w:val="21"/>
          <w:lang w:eastAsia="zh-CN"/>
        </w:rPr>
        <w:t>[</w:t>
      </w:r>
      <w:r w:rsidR="00422281" w:rsidRPr="00C026B5">
        <w:rPr>
          <w:rFonts w:ascii="Book Antiqua" w:eastAsia="Book Antiqua" w:hAnsi="Book Antiqua" w:cs="Book Antiqua"/>
          <w:color w:val="000000"/>
          <w:szCs w:val="21"/>
        </w:rPr>
        <w:t>80 mg at bas</w:t>
      </w:r>
      <w:r w:rsidR="00DE3B30" w:rsidRPr="00C026B5">
        <w:rPr>
          <w:rFonts w:ascii="Book Antiqua" w:eastAsia="Book Antiqua" w:hAnsi="Book Antiqua" w:cs="Book Antiqua"/>
          <w:color w:val="000000"/>
          <w:szCs w:val="21"/>
        </w:rPr>
        <w:t>eline and 40 mg every other week (EOW) for 12 wk</w:t>
      </w:r>
      <w:r w:rsidR="00DE3B30" w:rsidRPr="00C026B5">
        <w:rPr>
          <w:rFonts w:ascii="Book Antiqua" w:eastAsia="Book Antiqua" w:hAnsi="Book Antiqua" w:cs="Book Antiqua" w:hint="eastAsia"/>
          <w:color w:val="000000"/>
          <w:szCs w:val="21"/>
        </w:rPr>
        <w:t>]</w:t>
      </w:r>
      <w:r w:rsidR="00422281" w:rsidRPr="00C026B5">
        <w:rPr>
          <w:rFonts w:ascii="Book Antiqua" w:eastAsia="Book Antiqua" w:hAnsi="Book Antiqua" w:cs="Book Antiqua"/>
          <w:color w:val="000000"/>
          <w:szCs w:val="21"/>
        </w:rPr>
        <w:t xml:space="preserve"> had better efficacy than the placebo group. The efficacy endpoint was a change in Sartorius score and Hurley </w:t>
      </w:r>
      <w:r w:rsidR="005721B3" w:rsidRPr="00C026B5">
        <w:rPr>
          <w:rFonts w:ascii="Book Antiqua" w:eastAsia="Book Antiqua" w:hAnsi="Book Antiqua" w:cs="Book Antiqua"/>
          <w:color w:val="000000"/>
          <w:szCs w:val="21"/>
        </w:rPr>
        <w:t>stag</w:t>
      </w:r>
      <w:r w:rsidR="005721B3">
        <w:rPr>
          <w:rFonts w:ascii="Book Antiqua" w:eastAsia="Book Antiqua" w:hAnsi="Book Antiqua" w:cs="Book Antiqua"/>
          <w:color w:val="000000"/>
          <w:szCs w:val="21"/>
        </w:rPr>
        <w:t>e</w:t>
      </w:r>
      <w:r w:rsidR="005721B3" w:rsidRPr="00C026B5">
        <w:rPr>
          <w:rFonts w:ascii="Book Antiqua" w:eastAsia="Book Antiqua" w:hAnsi="Book Antiqua" w:cs="Book Antiqua"/>
          <w:color w:val="000000"/>
          <w:szCs w:val="21"/>
        </w:rPr>
        <w:t xml:space="preserve"> </w:t>
      </w:r>
      <w:r w:rsidR="00422281" w:rsidRPr="00C026B5">
        <w:rPr>
          <w:rFonts w:ascii="Book Antiqua" w:eastAsia="Book Antiqua" w:hAnsi="Book Antiqua" w:cs="Book Antiqua"/>
          <w:color w:val="000000"/>
          <w:szCs w:val="21"/>
        </w:rPr>
        <w:t>a</w:t>
      </w:r>
      <w:r w:rsidR="00DE3B30" w:rsidRPr="00C026B5">
        <w:rPr>
          <w:rFonts w:ascii="Book Antiqua" w:eastAsia="Book Antiqua" w:hAnsi="Book Antiqua" w:cs="Book Antiqua"/>
          <w:color w:val="000000"/>
          <w:szCs w:val="21"/>
        </w:rPr>
        <w:t>t 12 wk</w:t>
      </w:r>
      <w:r w:rsidR="00422281" w:rsidRPr="00C026B5">
        <w:rPr>
          <w:rFonts w:ascii="Book Antiqua" w:eastAsia="Book Antiqua" w:hAnsi="Book Antiqua" w:cs="Book Antiqua"/>
          <w:color w:val="000000"/>
          <w:szCs w:val="21"/>
        </w:rPr>
        <w:t>. The most significant r</w:t>
      </w:r>
      <w:r w:rsidR="00422281" w:rsidRPr="00422281">
        <w:rPr>
          <w:rFonts w:ascii="Book Antiqua" w:eastAsia="Book Antiqua" w:hAnsi="Book Antiqua" w:cs="Book Antiqua"/>
          <w:color w:val="000000"/>
          <w:szCs w:val="21"/>
        </w:rPr>
        <w:t xml:space="preserve">eduction in the Sartorius score was observed </w:t>
      </w:r>
      <w:r w:rsidR="005721B3">
        <w:rPr>
          <w:rFonts w:ascii="Book Antiqua" w:eastAsia="Book Antiqua" w:hAnsi="Book Antiqua" w:cs="Book Antiqua"/>
          <w:color w:val="000000"/>
          <w:szCs w:val="21"/>
        </w:rPr>
        <w:t>at</w:t>
      </w:r>
      <w:r w:rsidR="005721B3" w:rsidRPr="00422281">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the 12</w:t>
      </w:r>
      <w:r w:rsidR="00422281" w:rsidRPr="00DE3B30">
        <w:rPr>
          <w:rFonts w:ascii="Book Antiqua" w:eastAsia="Book Antiqua" w:hAnsi="Book Antiqua" w:cs="Book Antiqua"/>
          <w:color w:val="000000"/>
          <w:szCs w:val="21"/>
          <w:vertAlign w:val="superscript"/>
        </w:rPr>
        <w:t>th</w:t>
      </w:r>
      <w:r w:rsidR="00422281" w:rsidRPr="00422281">
        <w:rPr>
          <w:rFonts w:ascii="Book Antiqua" w:eastAsia="Book Antiqua" w:hAnsi="Book Antiqua" w:cs="Book Antiqua"/>
          <w:color w:val="000000"/>
          <w:szCs w:val="21"/>
        </w:rPr>
        <w:t xml:space="preserve"> week (</w:t>
      </w:r>
      <w:r w:rsidR="00DE3B30" w:rsidRPr="00DE3B30">
        <w:rPr>
          <w:rFonts w:ascii="Book Antiqua" w:eastAsia="Book Antiqua" w:hAnsi="Book Antiqua" w:cs="Book Antiqua"/>
          <w:i/>
          <w:color w:val="000000"/>
          <w:szCs w:val="21"/>
        </w:rPr>
        <w:t>P</w:t>
      </w:r>
      <w:r w:rsidR="00DE3B30" w:rsidRPr="00422281">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 0.07)</w:t>
      </w:r>
      <w:r w:rsidR="00A725E8">
        <w:rPr>
          <w:rFonts w:ascii="Book Antiqua" w:eastAsia="Book Antiqua" w:hAnsi="Book Antiqua" w:cs="Book Antiqua"/>
          <w:color w:val="000000"/>
          <w:szCs w:val="21"/>
          <w:vertAlign w:val="superscript"/>
        </w:rPr>
        <w:t>[3</w:t>
      </w:r>
      <w:r w:rsidR="00A725E8">
        <w:rPr>
          <w:rFonts w:ascii="Book Antiqua" w:hAnsi="Book Antiqua" w:cs="Book Antiqua" w:hint="eastAsia"/>
          <w:color w:val="000000"/>
          <w:szCs w:val="21"/>
          <w:vertAlign w:val="superscript"/>
          <w:lang w:eastAsia="zh-CN"/>
        </w:rPr>
        <w:t>9</w:t>
      </w:r>
      <w:r w:rsidR="00422281" w:rsidRPr="00DE3B30">
        <w:rPr>
          <w:rFonts w:ascii="Book Antiqua" w:eastAsia="Book Antiqua" w:hAnsi="Book Antiqua" w:cs="Book Antiqua"/>
          <w:color w:val="000000"/>
          <w:szCs w:val="21"/>
          <w:vertAlign w:val="superscript"/>
        </w:rPr>
        <w:t>]</w:t>
      </w:r>
      <w:r w:rsidR="00422281" w:rsidRPr="00422281">
        <w:rPr>
          <w:rFonts w:ascii="Book Antiqua" w:eastAsia="Book Antiqua" w:hAnsi="Book Antiqua" w:cs="Book Antiqua"/>
          <w:color w:val="000000"/>
          <w:szCs w:val="21"/>
        </w:rPr>
        <w:t xml:space="preserve">. </w:t>
      </w:r>
      <w:r w:rsidR="00422281">
        <w:rPr>
          <w:rFonts w:ascii="Book Antiqua" w:hAnsi="Book Antiqua" w:cs="Book Antiqua" w:hint="eastAsia"/>
          <w:color w:val="000000"/>
          <w:szCs w:val="21"/>
          <w:lang w:eastAsia="zh-CN"/>
        </w:rPr>
        <w:t>I</w:t>
      </w:r>
      <w:r>
        <w:rPr>
          <w:rFonts w:ascii="Book Antiqua" w:eastAsia="Book Antiqua" w:hAnsi="Book Antiqua" w:cs="Book Antiqua"/>
          <w:color w:val="000000"/>
          <w:szCs w:val="21"/>
        </w:rPr>
        <w:t xml:space="preserve">n general, adalimumab is effective for the treatment of HS and has a sustained clinical response. Weekly administration is better than </w:t>
      </w:r>
      <w:bookmarkStart w:id="13" w:name="OLE_LINK191"/>
      <w:r>
        <w:rPr>
          <w:rFonts w:ascii="Book Antiqua" w:eastAsia="Book Antiqua" w:hAnsi="Book Antiqua" w:cs="Book Antiqua"/>
          <w:color w:val="000000"/>
          <w:szCs w:val="21"/>
        </w:rPr>
        <w:t>EOW</w:t>
      </w:r>
      <w:bookmarkEnd w:id="13"/>
      <w:r>
        <w:rPr>
          <w:rFonts w:ascii="Book Antiqua" w:eastAsia="Book Antiqua" w:hAnsi="Book Antiqua" w:cs="Book Antiqua"/>
          <w:color w:val="000000"/>
          <w:szCs w:val="21"/>
        </w:rPr>
        <w:t xml:space="preserve"> administration</w:t>
      </w:r>
      <w:r w:rsidR="00A725E8">
        <w:rPr>
          <w:rFonts w:ascii="Book Antiqua" w:eastAsia="Book Antiqua" w:hAnsi="Book Antiqua" w:cs="Book Antiqua"/>
          <w:color w:val="000000"/>
          <w:szCs w:val="18"/>
          <w:vertAlign w:val="superscript"/>
        </w:rPr>
        <w:t>[3</w:t>
      </w:r>
      <w:r w:rsidR="00A725E8">
        <w:rPr>
          <w:rFonts w:ascii="Book Antiqua" w:hAnsi="Book Antiqua" w:cs="Book Antiqua" w:hint="eastAsia"/>
          <w:color w:val="000000"/>
          <w:szCs w:val="18"/>
          <w:vertAlign w:val="superscript"/>
          <w:lang w:eastAsia="zh-CN"/>
        </w:rPr>
        <w:t>8</w:t>
      </w:r>
      <w:r w:rsidR="00A725E8">
        <w:rPr>
          <w:rFonts w:ascii="Book Antiqua" w:eastAsia="Book Antiqua" w:hAnsi="Book Antiqua" w:cs="Book Antiqua"/>
          <w:color w:val="000000"/>
          <w:szCs w:val="18"/>
          <w:vertAlign w:val="superscript"/>
        </w:rPr>
        <w:t>-</w:t>
      </w:r>
      <w:r w:rsidR="00A725E8">
        <w:rPr>
          <w:rFonts w:ascii="Book Antiqua" w:hAnsi="Book Antiqua" w:cs="Book Antiqua" w:hint="eastAsia"/>
          <w:color w:val="000000"/>
          <w:szCs w:val="18"/>
          <w:vertAlign w:val="superscript"/>
          <w:lang w:eastAsia="zh-CN"/>
        </w:rPr>
        <w:t>43</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w:t>
      </w:r>
    </w:p>
    <w:p w14:paraId="37AC2BC5" w14:textId="3FD3ABDF" w:rsidR="00A77B3E" w:rsidRDefault="000B7BA1" w:rsidP="00A37B20">
      <w:pPr>
        <w:spacing w:line="360" w:lineRule="auto"/>
        <w:ind w:firstLineChars="100" w:firstLine="240"/>
        <w:jc w:val="both"/>
      </w:pPr>
      <w:r w:rsidRPr="00A37B20">
        <w:rPr>
          <w:rFonts w:ascii="Book Antiqua" w:eastAsia="Book Antiqua" w:hAnsi="Book Antiqua" w:cs="Book Antiqua"/>
          <w:bCs/>
          <w:color w:val="000000"/>
          <w:szCs w:val="21"/>
        </w:rPr>
        <w:t>Infliximab (IFX)</w:t>
      </w:r>
      <w:r w:rsidR="00A37B20" w:rsidRPr="00A37B20">
        <w:rPr>
          <w:rFonts w:ascii="Book Antiqua" w:hAnsi="Book Antiqua"/>
          <w:lang w:eastAsia="zh-CN"/>
        </w:rPr>
        <w:t>:</w:t>
      </w:r>
      <w:r w:rsidR="00A37B20">
        <w:rPr>
          <w:rFonts w:hint="eastAsia"/>
          <w:lang w:eastAsia="zh-CN"/>
        </w:rPr>
        <w:t xml:space="preserve"> </w:t>
      </w:r>
      <w:r>
        <w:rPr>
          <w:rFonts w:ascii="Book Antiqua" w:eastAsia="Book Antiqua" w:hAnsi="Book Antiqua" w:cs="Book Antiqua"/>
          <w:color w:val="000000"/>
          <w:szCs w:val="21"/>
        </w:rPr>
        <w:t xml:space="preserve">The efficacy </w:t>
      </w:r>
      <w:r w:rsidR="005721B3">
        <w:rPr>
          <w:rFonts w:ascii="Book Antiqua" w:eastAsia="Book Antiqua" w:hAnsi="Book Antiqua" w:cs="Book Antiqua"/>
          <w:color w:val="000000"/>
          <w:szCs w:val="21"/>
        </w:rPr>
        <w:t xml:space="preserve">for </w:t>
      </w:r>
      <w:r>
        <w:rPr>
          <w:rFonts w:ascii="Book Antiqua" w:eastAsia="Book Antiqua" w:hAnsi="Book Antiqua" w:cs="Book Antiqua"/>
          <w:color w:val="000000"/>
          <w:szCs w:val="21"/>
        </w:rPr>
        <w:t>HS was first observed in patients with CD treated with IFX</w:t>
      </w:r>
      <w:r>
        <w:rPr>
          <w:rFonts w:ascii="Book Antiqua" w:eastAsia="Book Antiqua" w:hAnsi="Book Antiqua" w:cs="Book Antiqua"/>
          <w:color w:val="000000"/>
          <w:szCs w:val="18"/>
          <w:vertAlign w:val="superscript"/>
        </w:rPr>
        <w:t>[5]</w:t>
      </w:r>
      <w:r>
        <w:rPr>
          <w:rFonts w:ascii="Book Antiqua" w:eastAsia="Book Antiqua" w:hAnsi="Book Antiqua" w:cs="Book Antiqua"/>
          <w:color w:val="000000"/>
          <w:szCs w:val="21"/>
        </w:rPr>
        <w:t>. An RCT</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involving 38 patients determined the efficacy of IFX in the treatment of HS, with standard treatment regimens of </w:t>
      </w:r>
      <w:r w:rsidRPr="00C026B5">
        <w:rPr>
          <w:rFonts w:ascii="Book Antiqua" w:eastAsia="Book Antiqua" w:hAnsi="Book Antiqua" w:cs="Book Antiqua"/>
          <w:color w:val="000000"/>
          <w:szCs w:val="21"/>
        </w:rPr>
        <w:t>0, 2, and 6 wk of 5 mg/kg followed by maintenance therapy every 8 wk for 22 wk. Th</w:t>
      </w:r>
      <w:r>
        <w:rPr>
          <w:rFonts w:ascii="Book Antiqua" w:eastAsia="Book Antiqua" w:hAnsi="Book Antiqua" w:cs="Book Antiqua"/>
          <w:color w:val="000000"/>
          <w:szCs w:val="21"/>
        </w:rPr>
        <w:t xml:space="preserve">e primary endpoint was that the Hidradenitis Suppurativa Severity Index (HSSI) score decreased by 50% from baseline after treatment. The results showed that the HSSI, erythrocyte sedimentation rate, </w:t>
      </w:r>
      <w:bookmarkStart w:id="14" w:name="OLE_LINK189"/>
      <w:bookmarkStart w:id="15" w:name="OLE_LINK190"/>
      <w:r>
        <w:rPr>
          <w:rFonts w:ascii="Book Antiqua" w:eastAsia="Book Antiqua" w:hAnsi="Book Antiqua" w:cs="Book Antiqua"/>
          <w:color w:val="000000"/>
          <w:szCs w:val="21"/>
        </w:rPr>
        <w:t>CRP</w:t>
      </w:r>
      <w:bookmarkEnd w:id="14"/>
      <w:bookmarkEnd w:id="15"/>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pain were significantly relieved. Among 15 patients receiving IFX treatment, the HSSI decreased by more than 50% in 26.7% of patients</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60% of patients had a 25</w:t>
      </w:r>
      <w:r w:rsidR="00DB4AD0">
        <w:rPr>
          <w:rFonts w:ascii="Book Antiqua" w:hAnsi="Book Antiqua" w:cs="Book Antiqua" w:hint="eastAsia"/>
          <w:color w:val="000000"/>
          <w:szCs w:val="21"/>
          <w:lang w:eastAsia="zh-CN"/>
        </w:rPr>
        <w:t>%</w:t>
      </w:r>
      <w:r>
        <w:rPr>
          <w:rFonts w:ascii="Book Antiqua" w:eastAsia="Book Antiqua" w:hAnsi="Book Antiqua" w:cs="Book Antiqua"/>
          <w:color w:val="000000"/>
          <w:szCs w:val="21"/>
        </w:rPr>
        <w:t>-50% decrease, and 13.3% of patients had a less than 25% decrease. The HSSI improvement was less than 25% in most patients who received placebo (88.9%)</w:t>
      </w:r>
      <w:r w:rsidR="00A725E8">
        <w:rPr>
          <w:rFonts w:ascii="Book Antiqua" w:eastAsia="Book Antiqua" w:hAnsi="Book Antiqua" w:cs="Book Antiqua"/>
          <w:color w:val="000000"/>
          <w:szCs w:val="18"/>
          <w:vertAlign w:val="superscript"/>
        </w:rPr>
        <w:t>[4</w:t>
      </w:r>
      <w:r w:rsidR="00A725E8">
        <w:rPr>
          <w:rFonts w:ascii="Book Antiqua" w:hAnsi="Book Antiqua" w:cs="Book Antiqua" w:hint="eastAsia"/>
          <w:color w:val="000000"/>
          <w:szCs w:val="18"/>
          <w:vertAlign w:val="superscript"/>
          <w:lang w:eastAsia="zh-CN"/>
        </w:rPr>
        <w:t>4</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A comparative study of IFX and adalimumab showed that IFX had better assessment indicators, including the Dermatology Life Quality Index, clinical evaluation</w:t>
      </w:r>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efficacy duration. This study indicated that IFX might be more suitable for the treatment of severe HS than adalimumab</w:t>
      </w:r>
      <w:r w:rsidR="00A725E8">
        <w:rPr>
          <w:rFonts w:ascii="Book Antiqua" w:eastAsia="Book Antiqua" w:hAnsi="Book Antiqua" w:cs="Book Antiqua"/>
          <w:color w:val="000000"/>
          <w:szCs w:val="18"/>
          <w:vertAlign w:val="superscript"/>
        </w:rPr>
        <w:t>[4</w:t>
      </w:r>
      <w:r w:rsidR="00A725E8">
        <w:rPr>
          <w:rFonts w:ascii="Book Antiqua" w:hAnsi="Book Antiqua" w:cs="Book Antiqua" w:hint="eastAsia"/>
          <w:color w:val="000000"/>
          <w:szCs w:val="18"/>
          <w:vertAlign w:val="superscript"/>
          <w:lang w:eastAsia="zh-CN"/>
        </w:rPr>
        <w:t>5</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w:t>
      </w:r>
    </w:p>
    <w:p w14:paraId="6318073F" w14:textId="64CE5097" w:rsidR="00A77B3E" w:rsidRDefault="000B7BA1" w:rsidP="00A725E8">
      <w:pPr>
        <w:spacing w:line="360" w:lineRule="auto"/>
        <w:ind w:firstLineChars="100" w:firstLine="240"/>
        <w:jc w:val="both"/>
        <w:rPr>
          <w:lang w:eastAsia="zh-CN"/>
        </w:rPr>
      </w:pPr>
      <w:r w:rsidRPr="00DB4AD0">
        <w:rPr>
          <w:rFonts w:ascii="Book Antiqua" w:eastAsia="Book Antiqua" w:hAnsi="Book Antiqua" w:cs="Book Antiqua"/>
          <w:bCs/>
          <w:color w:val="000000"/>
          <w:szCs w:val="21"/>
        </w:rPr>
        <w:t>Ustekinumab</w:t>
      </w:r>
      <w:r w:rsidR="00DB4AD0" w:rsidRPr="00DB4AD0">
        <w:rPr>
          <w:rFonts w:ascii="Book Antiqua" w:hAnsi="Book Antiqua" w:cs="Book Antiqua" w:hint="eastAsia"/>
          <w:bCs/>
          <w:color w:val="000000"/>
          <w:szCs w:val="21"/>
          <w:lang w:eastAsia="zh-CN"/>
        </w:rPr>
        <w:t>:</w:t>
      </w:r>
      <w:r w:rsidR="00DB4AD0" w:rsidRPr="00DB4AD0">
        <w:rPr>
          <w:rFonts w:hint="eastAsia"/>
          <w:lang w:eastAsia="zh-CN"/>
        </w:rPr>
        <w:t xml:space="preserve"> </w:t>
      </w:r>
      <w:r w:rsidRPr="00DB4AD0">
        <w:rPr>
          <w:rFonts w:ascii="Book Antiqua" w:eastAsia="Book Antiqua" w:hAnsi="Book Antiqua" w:cs="Book Antiqua"/>
          <w:color w:val="000000"/>
          <w:szCs w:val="21"/>
        </w:rPr>
        <w:t>Studies have shown that specific genetic variants of IL-12 and IL-23</w:t>
      </w:r>
      <w:r>
        <w:rPr>
          <w:rFonts w:ascii="Book Antiqua" w:eastAsia="Book Antiqua" w:hAnsi="Book Antiqua" w:cs="Book Antiqua"/>
          <w:color w:val="000000"/>
          <w:szCs w:val="21"/>
        </w:rPr>
        <w:t xml:space="preserve"> receptor subunits are associated with severe HS. In a prospective study, 17 patients with HS received ustekinumab (≤</w:t>
      </w:r>
      <w:r w:rsidR="00DB4AD0">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100 kg: 45 mg; &gt; 100 kg: 90 mg) and were followed</w:t>
      </w:r>
      <w:r w:rsidR="005721B3">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for 40 wk. Twelve (70%) patients completed the treatment. At the 40</w:t>
      </w:r>
      <w:r w:rsidRPr="00DB4AD0">
        <w:rPr>
          <w:rFonts w:ascii="Book Antiqua" w:eastAsia="Book Antiqua" w:hAnsi="Book Antiqua" w:cs="Book Antiqua"/>
          <w:color w:val="000000"/>
          <w:szCs w:val="21"/>
          <w:vertAlign w:val="superscript"/>
        </w:rPr>
        <w:t>th</w:t>
      </w:r>
      <w:r>
        <w:rPr>
          <w:rFonts w:ascii="Book Antiqua" w:eastAsia="Book Antiqua" w:hAnsi="Book Antiqua" w:cs="Book Antiqua"/>
          <w:color w:val="000000"/>
          <w:szCs w:val="21"/>
        </w:rPr>
        <w:t xml:space="preserve"> week, 8 (47%) patients obtained a clinical response (total abscesses and inflammatory nodule counts were reduced by 50%; abscesses or drainage fistula counts did not increase); 14 (82%) had a modified sartorius score that was moderately improved</w:t>
      </w:r>
      <w:r w:rsidR="00A725E8">
        <w:rPr>
          <w:rFonts w:ascii="Book Antiqua" w:eastAsia="Book Antiqua" w:hAnsi="Book Antiqua" w:cs="Book Antiqua"/>
          <w:color w:val="000000"/>
          <w:szCs w:val="18"/>
          <w:vertAlign w:val="superscript"/>
        </w:rPr>
        <w:t>[2</w:t>
      </w:r>
      <w:r w:rsidR="00A725E8">
        <w:rPr>
          <w:rFonts w:ascii="Book Antiqua" w:hAnsi="Book Antiqua" w:cs="Book Antiqua" w:hint="eastAsia"/>
          <w:color w:val="000000"/>
          <w:szCs w:val="18"/>
          <w:vertAlign w:val="superscript"/>
          <w:lang w:eastAsia="zh-CN"/>
        </w:rPr>
        <w:t>5</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In 2019, Cline</w:t>
      </w:r>
      <w:r w:rsidR="00DB4AD0">
        <w:rPr>
          <w:rFonts w:ascii="Book Antiqua" w:hAnsi="Book Antiqua" w:cs="Book Antiqua" w:hint="eastAsia"/>
          <w:color w:val="000000"/>
          <w:szCs w:val="21"/>
          <w:lang w:eastAsia="zh-CN"/>
        </w:rPr>
        <w:t xml:space="preserve"> </w:t>
      </w:r>
      <w:r w:rsidR="00DB4AD0" w:rsidRPr="00DB4AD0">
        <w:rPr>
          <w:rFonts w:ascii="Book Antiqua" w:hAnsi="Book Antiqua" w:cs="Book Antiqua" w:hint="eastAsia"/>
          <w:i/>
          <w:color w:val="000000"/>
          <w:szCs w:val="21"/>
          <w:lang w:eastAsia="zh-CN"/>
        </w:rPr>
        <w:t>et al</w:t>
      </w:r>
      <w:r w:rsidR="00A725E8">
        <w:rPr>
          <w:rFonts w:ascii="Book Antiqua" w:eastAsia="Book Antiqua" w:hAnsi="Book Antiqua" w:cs="Book Antiqua"/>
          <w:color w:val="000000"/>
          <w:szCs w:val="18"/>
          <w:vertAlign w:val="superscript"/>
        </w:rPr>
        <w:t>[4</w:t>
      </w:r>
      <w:r w:rsidR="00A725E8">
        <w:rPr>
          <w:rFonts w:ascii="Book Antiqua" w:hAnsi="Book Antiqua" w:cs="Book Antiqua" w:hint="eastAsia"/>
          <w:color w:val="000000"/>
          <w:szCs w:val="18"/>
          <w:vertAlign w:val="superscript"/>
          <w:lang w:eastAsia="zh-CN"/>
        </w:rPr>
        <w:t>6</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xml:space="preserve"> reported that a 39-year-old woman with CD was unable to effectively control HS with IFX, adalimumab</w:t>
      </w:r>
      <w:r w:rsidR="005721B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azathioprine treatment. After a combination of adalimumab (80 mg loading dose followed by 40 mg/w</w:t>
      </w:r>
      <w:r w:rsidR="005721B3">
        <w:rPr>
          <w:rFonts w:ascii="Book Antiqua" w:eastAsia="Book Antiqua" w:hAnsi="Book Antiqua" w:cs="Book Antiqua"/>
          <w:color w:val="000000"/>
          <w:szCs w:val="21"/>
        </w:rPr>
        <w:t>k</w:t>
      </w:r>
      <w:r>
        <w:rPr>
          <w:rFonts w:ascii="Book Antiqua" w:eastAsia="Book Antiqua" w:hAnsi="Book Antiqua" w:cs="Book Antiqua"/>
          <w:color w:val="000000"/>
          <w:szCs w:val="21"/>
        </w:rPr>
        <w:t xml:space="preserve"> maintenance) and ustekinumab (90 mg/8 w</w:t>
      </w:r>
      <w:r w:rsidR="005721B3">
        <w:rPr>
          <w:rFonts w:ascii="Book Antiqua" w:eastAsia="Book Antiqua" w:hAnsi="Book Antiqua" w:cs="Book Antiqua"/>
          <w:color w:val="000000"/>
          <w:szCs w:val="21"/>
        </w:rPr>
        <w:t>k</w:t>
      </w:r>
      <w:r>
        <w:rPr>
          <w:rFonts w:ascii="Book Antiqua" w:eastAsia="Book Antiqua" w:hAnsi="Book Antiqua" w:cs="Book Antiqua"/>
          <w:color w:val="000000"/>
          <w:szCs w:val="21"/>
        </w:rPr>
        <w:t xml:space="preserve">), HS was effectively controlled for the first time </w:t>
      </w:r>
      <w:r w:rsidR="005721B3">
        <w:rPr>
          <w:rFonts w:ascii="Book Antiqua" w:eastAsia="Book Antiqua" w:hAnsi="Book Antiqua" w:cs="Book Antiqua"/>
          <w:color w:val="000000"/>
          <w:szCs w:val="21"/>
        </w:rPr>
        <w:t xml:space="preserve">at the </w:t>
      </w:r>
      <w:r>
        <w:rPr>
          <w:rFonts w:ascii="Book Antiqua" w:eastAsia="Book Antiqua" w:hAnsi="Book Antiqua" w:cs="Book Antiqua"/>
          <w:color w:val="000000"/>
          <w:szCs w:val="21"/>
        </w:rPr>
        <w:t xml:space="preserve">follow-up </w:t>
      </w:r>
      <w:r w:rsidR="005721B3">
        <w:rPr>
          <w:rFonts w:ascii="Book Antiqua" w:eastAsia="Book Antiqua" w:hAnsi="Book Antiqua" w:cs="Book Antiqua"/>
          <w:color w:val="000000"/>
          <w:szCs w:val="21"/>
        </w:rPr>
        <w:t xml:space="preserve">1 </w:t>
      </w:r>
      <w:r>
        <w:rPr>
          <w:rFonts w:ascii="Book Antiqua" w:eastAsia="Book Antiqua" w:hAnsi="Book Antiqua" w:cs="Book Antiqua"/>
          <w:color w:val="000000"/>
          <w:szCs w:val="21"/>
        </w:rPr>
        <w:t>mo later.</w:t>
      </w:r>
    </w:p>
    <w:p w14:paraId="2BDADE32" w14:textId="77777777" w:rsidR="00DA4BA4" w:rsidRDefault="00DA4BA4">
      <w:pPr>
        <w:spacing w:line="360" w:lineRule="auto"/>
        <w:jc w:val="both"/>
        <w:rPr>
          <w:rFonts w:ascii="Book Antiqua" w:hAnsi="Book Antiqua" w:cs="Book Antiqua"/>
          <w:b/>
          <w:bCs/>
          <w:color w:val="000000"/>
          <w:lang w:eastAsia="zh-CN"/>
        </w:rPr>
      </w:pPr>
    </w:p>
    <w:p w14:paraId="068AE3A2" w14:textId="77777777" w:rsidR="00A77B3E" w:rsidRPr="00DA4BA4" w:rsidRDefault="000B7BA1">
      <w:pPr>
        <w:spacing w:line="360" w:lineRule="auto"/>
        <w:jc w:val="both"/>
        <w:rPr>
          <w:i/>
        </w:rPr>
      </w:pPr>
      <w:r w:rsidRPr="00DA4BA4">
        <w:rPr>
          <w:rFonts w:ascii="Book Antiqua" w:eastAsia="Book Antiqua" w:hAnsi="Book Antiqua" w:cs="Book Antiqua"/>
          <w:b/>
          <w:bCs/>
          <w:i/>
          <w:color w:val="000000"/>
        </w:rPr>
        <w:t>Surgical treatment</w:t>
      </w:r>
    </w:p>
    <w:p w14:paraId="194B6B8F" w14:textId="67B9E0B5" w:rsidR="00A77B3E" w:rsidRDefault="000B7BA1">
      <w:pPr>
        <w:spacing w:line="360" w:lineRule="auto"/>
        <w:jc w:val="both"/>
      </w:pPr>
      <w:r>
        <w:rPr>
          <w:rFonts w:ascii="Book Antiqua" w:eastAsia="Book Antiqua" w:hAnsi="Book Antiqua" w:cs="Book Antiqua"/>
          <w:color w:val="000000"/>
        </w:rPr>
        <w:t>Chronic sinuses and scars formed by HS usually require surgical intervention. A systematic review</w:t>
      </w:r>
      <w:r w:rsidR="00A725E8">
        <w:rPr>
          <w:rFonts w:ascii="Book Antiqua" w:eastAsia="Book Antiqua" w:hAnsi="Book Antiqua" w:cs="Book Antiqua"/>
          <w:color w:val="000000"/>
          <w:szCs w:val="20"/>
          <w:vertAlign w:val="superscript"/>
        </w:rPr>
        <w:t>[4</w:t>
      </w:r>
      <w:r w:rsidR="00A725E8">
        <w:rPr>
          <w:rFonts w:ascii="Book Antiqua" w:hAnsi="Book Antiqua" w:cs="Book Antiqua" w:hint="eastAsia"/>
          <w:color w:val="000000"/>
          <w:szCs w:val="20"/>
          <w:vertAlign w:val="superscript"/>
          <w:lang w:eastAsia="zh-CN"/>
        </w:rPr>
        <w:t>7</w:t>
      </w:r>
      <w:r>
        <w:rPr>
          <w:rFonts w:ascii="Book Antiqua" w:eastAsia="Book Antiqua" w:hAnsi="Book Antiqua" w:cs="Book Antiqua"/>
          <w:color w:val="000000"/>
          <w:szCs w:val="20"/>
          <w:vertAlign w:val="superscript"/>
        </w:rPr>
        <w:t>]</w:t>
      </w:r>
      <w:r w:rsidR="009658DF">
        <w:rPr>
          <w:rFonts w:ascii="Book Antiqua" w:hAnsi="Book Antiqua" w:cs="Book Antiqua" w:hint="eastAsia"/>
          <w:color w:val="000000"/>
          <w:szCs w:val="20"/>
          <w:vertAlign w:val="superscript"/>
          <w:lang w:eastAsia="zh-CN"/>
        </w:rPr>
        <w:t xml:space="preserve"> </w:t>
      </w:r>
      <w:r>
        <w:rPr>
          <w:rFonts w:ascii="Book Antiqua" w:eastAsia="Book Antiqua" w:hAnsi="Book Antiqua" w:cs="Book Antiqua"/>
          <w:color w:val="000000"/>
        </w:rPr>
        <w:t xml:space="preserve">showed the recurrence rate </w:t>
      </w:r>
      <w:r w:rsidR="005721B3">
        <w:rPr>
          <w:rFonts w:ascii="Book Antiqua" w:eastAsia="Book Antiqua" w:hAnsi="Book Antiqua" w:cs="Book Antiqua"/>
          <w:color w:val="000000"/>
        </w:rPr>
        <w:t xml:space="preserve">following </w:t>
      </w:r>
      <w:r>
        <w:rPr>
          <w:rFonts w:ascii="Book Antiqua" w:eastAsia="Book Antiqua" w:hAnsi="Book Antiqua" w:cs="Book Antiqua"/>
          <w:color w:val="000000"/>
        </w:rPr>
        <w:t xml:space="preserve">various surgical procedures for HS: </w:t>
      </w:r>
      <w:r w:rsidR="005721B3">
        <w:rPr>
          <w:rFonts w:ascii="Book Antiqua" w:eastAsia="Book Antiqua" w:hAnsi="Book Antiqua" w:cs="Book Antiqua"/>
          <w:color w:val="000000"/>
        </w:rPr>
        <w:t xml:space="preserve">The </w:t>
      </w:r>
      <w:r>
        <w:rPr>
          <w:rFonts w:ascii="Book Antiqua" w:eastAsia="Book Antiqua" w:hAnsi="Book Antiqua" w:cs="Book Antiqua"/>
          <w:color w:val="000000"/>
        </w:rPr>
        <w:t>total recurrence rate of extensive resection was 13%, direct suture was 15%, transfer flap was 8%</w:t>
      </w:r>
      <w:r w:rsidR="005721B3">
        <w:rPr>
          <w:rFonts w:ascii="Book Antiqua" w:eastAsia="Book Antiqua" w:hAnsi="Book Antiqua" w:cs="Book Antiqua"/>
          <w:color w:val="000000"/>
        </w:rPr>
        <w:t>,</w:t>
      </w:r>
      <w:r>
        <w:rPr>
          <w:rFonts w:ascii="Book Antiqua" w:eastAsia="Book Antiqua" w:hAnsi="Book Antiqua" w:cs="Book Antiqua"/>
          <w:color w:val="000000"/>
        </w:rPr>
        <w:t xml:space="preserve"> and skin graft was 6%. The local resection recurrence rate was 22%, and the window drainage recurrence rate was 27%. Although surgery has removed a large amount of tissue, it cannot prevent recurrence.</w:t>
      </w:r>
    </w:p>
    <w:p w14:paraId="7D6A1F24" w14:textId="77777777" w:rsidR="009658DF" w:rsidRDefault="009658DF" w:rsidP="009658DF">
      <w:pPr>
        <w:spacing w:line="360" w:lineRule="auto"/>
        <w:jc w:val="both"/>
        <w:rPr>
          <w:rFonts w:ascii="Book Antiqua" w:hAnsi="Book Antiqua" w:cs="Book Antiqua"/>
          <w:b/>
          <w:bCs/>
          <w:color w:val="000000"/>
          <w:szCs w:val="21"/>
          <w:lang w:eastAsia="zh-CN"/>
        </w:rPr>
      </w:pPr>
    </w:p>
    <w:p w14:paraId="6B39B23E" w14:textId="0C789CE7" w:rsidR="00A77B3E" w:rsidRDefault="000B7BA1" w:rsidP="009658DF">
      <w:pPr>
        <w:spacing w:line="360" w:lineRule="auto"/>
        <w:jc w:val="both"/>
        <w:rPr>
          <w:lang w:eastAsia="zh-CN"/>
        </w:rPr>
      </w:pPr>
      <w:bookmarkStart w:id="16" w:name="OLE_LINK1"/>
      <w:r>
        <w:rPr>
          <w:rFonts w:ascii="Book Antiqua" w:eastAsia="Book Antiqua" w:hAnsi="Book Antiqua" w:cs="Book Antiqua"/>
          <w:b/>
          <w:bCs/>
          <w:color w:val="000000"/>
          <w:szCs w:val="21"/>
        </w:rPr>
        <w:t>Incision and drainage</w:t>
      </w:r>
      <w:bookmarkEnd w:id="16"/>
      <w:r w:rsidR="009658DF">
        <w:rPr>
          <w:rFonts w:ascii="Book Antiqua" w:hAnsi="Book Antiqua" w:cs="Book Antiqua" w:hint="eastAsia"/>
          <w:b/>
          <w:bCs/>
          <w:color w:val="000000"/>
          <w:szCs w:val="21"/>
          <w:lang w:eastAsia="zh-CN"/>
        </w:rPr>
        <w:t>:</w:t>
      </w:r>
      <w:r w:rsidR="009658DF">
        <w:rPr>
          <w:rFonts w:hint="eastAsia"/>
          <w:lang w:eastAsia="zh-CN"/>
        </w:rPr>
        <w:t xml:space="preserve"> </w:t>
      </w:r>
      <w:r>
        <w:rPr>
          <w:rFonts w:ascii="Book Antiqua" w:eastAsia="Book Antiqua" w:hAnsi="Book Antiqua" w:cs="Book Antiqua"/>
          <w:color w:val="000000"/>
          <w:szCs w:val="21"/>
        </w:rPr>
        <w:t>Incision and drainage are not effective in treating HS. When fluctuating abscesses occur locally in patients with HS, incision and drainage can quickly relieve pain. Some patients may be cured, but the recurrence rate is quite high. Incision and drainage are usually ineffective for inflammatory nodules and sinus tracts. For patients with active CD with HS, simple incision and drainage is a relatively rational treatment that can control local inflammation, avoid sepsis</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provide opportunities for the application of steroids, immunological agents</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or biological agents.</w:t>
      </w:r>
    </w:p>
    <w:p w14:paraId="1F77F2A1" w14:textId="77777777" w:rsidR="009658DF" w:rsidRDefault="009658DF" w:rsidP="009658DF">
      <w:pPr>
        <w:spacing w:line="360" w:lineRule="auto"/>
        <w:jc w:val="both"/>
        <w:rPr>
          <w:rFonts w:ascii="Book Antiqua" w:hAnsi="Book Antiqua" w:cs="Book Antiqua"/>
          <w:b/>
          <w:bCs/>
          <w:color w:val="000000"/>
          <w:szCs w:val="21"/>
          <w:lang w:eastAsia="zh-CN"/>
        </w:rPr>
      </w:pPr>
    </w:p>
    <w:p w14:paraId="57A3D8F0" w14:textId="60C71190" w:rsidR="009658DF" w:rsidRDefault="000B7BA1" w:rsidP="009658DF">
      <w:pPr>
        <w:spacing w:line="360" w:lineRule="auto"/>
        <w:jc w:val="both"/>
        <w:rPr>
          <w:lang w:eastAsia="zh-CN"/>
        </w:rPr>
      </w:pPr>
      <w:r>
        <w:rPr>
          <w:rFonts w:ascii="Book Antiqua" w:eastAsia="Book Antiqua" w:hAnsi="Book Antiqua" w:cs="Book Antiqua"/>
          <w:b/>
          <w:bCs/>
          <w:color w:val="000000"/>
          <w:szCs w:val="21"/>
        </w:rPr>
        <w:t>Deroofing (local or extensive incision)</w:t>
      </w:r>
      <w:r w:rsidR="009658DF">
        <w:rPr>
          <w:rFonts w:ascii="Book Antiqua" w:hAnsi="Book Antiqua" w:cs="Book Antiqua" w:hint="eastAsia"/>
          <w:b/>
          <w:bCs/>
          <w:color w:val="000000"/>
          <w:szCs w:val="21"/>
          <w:lang w:eastAsia="zh-CN"/>
        </w:rPr>
        <w:t>:</w:t>
      </w:r>
      <w:r w:rsidR="009658DF">
        <w:rPr>
          <w:rFonts w:hint="eastAsia"/>
          <w:lang w:eastAsia="zh-CN"/>
        </w:rPr>
        <w:t xml:space="preserve"> </w:t>
      </w:r>
      <w:r>
        <w:rPr>
          <w:rFonts w:ascii="Book Antiqua" w:eastAsia="Book Antiqua" w:hAnsi="Book Antiqua" w:cs="Book Antiqua"/>
          <w:color w:val="000000"/>
          <w:szCs w:val="21"/>
        </w:rPr>
        <w:t xml:space="preserve">Deroofing (local or extensive incision) can be used in the treatment of moderately severe HS (Hurley stage </w:t>
      </w:r>
      <w:r w:rsidR="00B728EB">
        <w:rPr>
          <w:rFonts w:ascii="Book Antiqua" w:eastAsia="Book Antiqua" w:hAnsi="Book Antiqua" w:cs="Book Antiqua"/>
          <w:color w:val="000000"/>
          <w:szCs w:val="21"/>
        </w:rPr>
        <w:t>II</w:t>
      </w:r>
      <w:r>
        <w:rPr>
          <w:rFonts w:ascii="Book Antiqua" w:eastAsia="Book Antiqua" w:hAnsi="Book Antiqua" w:cs="Book Antiqua"/>
          <w:color w:val="000000"/>
          <w:szCs w:val="21"/>
        </w:rPr>
        <w:t xml:space="preserve"> or</w:t>
      </w:r>
      <w:r w:rsidR="00B728EB">
        <w:rPr>
          <w:rFonts w:ascii="Book Antiqua" w:eastAsia="Book Antiqua" w:hAnsi="Book Antiqua" w:cs="Book Antiqua"/>
          <w:color w:val="000000"/>
          <w:szCs w:val="21"/>
        </w:rPr>
        <w:t xml:space="preserve"> III</w:t>
      </w:r>
      <w:r>
        <w:rPr>
          <w:rFonts w:ascii="Book Antiqua" w:eastAsia="Book Antiqua" w:hAnsi="Book Antiqua" w:cs="Book Antiqua"/>
          <w:color w:val="000000"/>
          <w:szCs w:val="21"/>
        </w:rPr>
        <w:t xml:space="preserve">). Under local or regional anesthesia, inflammatory nodules or sinus passages are fully incised. The skin covering the surface of each sinus tract </w:t>
      </w:r>
      <w:r w:rsidRPr="00C026B5">
        <w:rPr>
          <w:rFonts w:ascii="Book Antiqua" w:eastAsia="Book Antiqua" w:hAnsi="Book Antiqua" w:cs="Book Antiqua"/>
          <w:color w:val="000000"/>
          <w:szCs w:val="21"/>
        </w:rPr>
        <w:t xml:space="preserve">should be completely open to explore additional sinus openings at its base and edges. The granulation and necrotic tissue in the open inflammatory nodules and sinus passages are cleared with coarse gauze or a curette. The wound should be completely open or </w:t>
      </w:r>
      <w:r w:rsidR="00D53959" w:rsidRPr="00C026B5">
        <w:rPr>
          <w:rFonts w:ascii="Book Antiqua" w:eastAsia="Book Antiqua" w:hAnsi="Book Antiqua" w:cs="Book Antiqua"/>
          <w:color w:val="000000"/>
          <w:szCs w:val="21"/>
        </w:rPr>
        <w:t>make a marsupialization</w:t>
      </w:r>
      <w:r w:rsidRPr="00C026B5">
        <w:rPr>
          <w:rFonts w:ascii="Book Antiqua" w:eastAsia="Book Antiqua" w:hAnsi="Book Antiqua" w:cs="Book Antiqua"/>
          <w:color w:val="000000"/>
          <w:szCs w:val="21"/>
        </w:rPr>
        <w:t xml:space="preserve"> for secondary healing (Figure 4).</w:t>
      </w:r>
    </w:p>
    <w:p w14:paraId="43C64FD8" w14:textId="77777777" w:rsidR="009658DF" w:rsidRDefault="009658DF" w:rsidP="009658DF">
      <w:pPr>
        <w:spacing w:line="360" w:lineRule="auto"/>
        <w:jc w:val="both"/>
        <w:rPr>
          <w:lang w:eastAsia="zh-CN"/>
        </w:rPr>
      </w:pPr>
    </w:p>
    <w:p w14:paraId="29F1F773" w14:textId="17F68FA4" w:rsidR="00A77B3E" w:rsidRDefault="000B7BA1" w:rsidP="009658DF">
      <w:pPr>
        <w:spacing w:line="360" w:lineRule="auto"/>
        <w:jc w:val="both"/>
        <w:rPr>
          <w:lang w:eastAsia="zh-CN"/>
        </w:rPr>
      </w:pPr>
      <w:r>
        <w:rPr>
          <w:rFonts w:ascii="Book Antiqua" w:eastAsia="Book Antiqua" w:hAnsi="Book Antiqua" w:cs="Book Antiqua"/>
          <w:b/>
          <w:bCs/>
          <w:color w:val="000000"/>
          <w:szCs w:val="21"/>
        </w:rPr>
        <w:t>Extensive resection + reconstruction</w:t>
      </w:r>
      <w:r w:rsidR="009658DF">
        <w:rPr>
          <w:rFonts w:ascii="Book Antiqua" w:hAnsi="Book Antiqua" w:cs="Book Antiqua" w:hint="eastAsia"/>
          <w:b/>
          <w:bCs/>
          <w:color w:val="000000"/>
          <w:szCs w:val="21"/>
          <w:lang w:eastAsia="zh-CN"/>
        </w:rPr>
        <w:t>:</w:t>
      </w:r>
      <w:r w:rsidR="009658DF">
        <w:rPr>
          <w:rFonts w:hint="eastAsia"/>
          <w:lang w:eastAsia="zh-CN"/>
        </w:rPr>
        <w:t xml:space="preserve"> </w:t>
      </w:r>
      <w:r>
        <w:rPr>
          <w:rFonts w:ascii="Book Antiqua" w:eastAsia="Book Antiqua" w:hAnsi="Book Antiqua" w:cs="Book Antiqua"/>
          <w:color w:val="000000"/>
          <w:szCs w:val="21"/>
        </w:rPr>
        <w:t>After the failure of drug treatment or conservative surgical treatment, serious HS (Hurley III) may require extensive resection of lesions. Extensive excision generally removes hair follicles and sebaceous gland tissues while preserving normal subcutaneous fat. When deeper sinus passages are encountered, more skin with accessory organs, sinuses</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scar tissue is resected simultaneously. Wide excision with skin closure is controversial and depends mainly on the extent of excision of the lesion. According to the resected wound surface, the skin can be closed by free and direct flap sutures (usually with extension-reduction sutures), local flap transfer</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skin grafts. Although HS is not technically curable, most patients can control their clinical symptoms for a long time after extensive resection.</w:t>
      </w:r>
    </w:p>
    <w:p w14:paraId="42AEB26C" w14:textId="77777777" w:rsidR="009658DF" w:rsidRDefault="009658DF">
      <w:pPr>
        <w:spacing w:line="360" w:lineRule="auto"/>
        <w:jc w:val="both"/>
        <w:rPr>
          <w:rFonts w:ascii="Book Antiqua" w:hAnsi="Book Antiqua" w:cs="Book Antiqua"/>
          <w:b/>
          <w:bCs/>
          <w:color w:val="000000"/>
          <w:lang w:eastAsia="zh-CN"/>
        </w:rPr>
      </w:pPr>
    </w:p>
    <w:p w14:paraId="42FFA330" w14:textId="77777777" w:rsidR="00A77B3E" w:rsidRPr="009658DF" w:rsidRDefault="000B7BA1">
      <w:pPr>
        <w:spacing w:line="360" w:lineRule="auto"/>
        <w:jc w:val="both"/>
        <w:rPr>
          <w:i/>
        </w:rPr>
      </w:pPr>
      <w:r w:rsidRPr="009658DF">
        <w:rPr>
          <w:rFonts w:ascii="Book Antiqua" w:eastAsia="Book Antiqua" w:hAnsi="Book Antiqua" w:cs="Book Antiqua"/>
          <w:b/>
          <w:bCs/>
          <w:i/>
          <w:color w:val="000000"/>
        </w:rPr>
        <w:t xml:space="preserve">Multimodal </w:t>
      </w:r>
      <w:r w:rsidR="009658DF" w:rsidRPr="009658DF">
        <w:rPr>
          <w:rFonts w:ascii="Book Antiqua" w:eastAsia="Book Antiqua" w:hAnsi="Book Antiqua" w:cs="Book Antiqua"/>
          <w:b/>
          <w:bCs/>
          <w:i/>
          <w:color w:val="000000"/>
        </w:rPr>
        <w:t>therapy</w:t>
      </w:r>
    </w:p>
    <w:p w14:paraId="64244CFD" w14:textId="4B32E2AA" w:rsidR="00A77B3E" w:rsidRDefault="000B7BA1" w:rsidP="009658DF">
      <w:pPr>
        <w:spacing w:line="360" w:lineRule="auto"/>
        <w:jc w:val="both"/>
      </w:pPr>
      <w:r>
        <w:rPr>
          <w:rFonts w:ascii="Book Antiqua" w:eastAsia="Book Antiqua" w:hAnsi="Book Antiqua" w:cs="Book Antiqua"/>
          <w:color w:val="000000"/>
          <w:szCs w:val="21"/>
        </w:rPr>
        <w:t>HS usua</w:t>
      </w:r>
      <w:r w:rsidR="009658DF">
        <w:rPr>
          <w:rFonts w:ascii="Book Antiqua" w:eastAsia="Book Antiqua" w:hAnsi="Book Antiqua" w:cs="Book Antiqua"/>
          <w:color w:val="000000"/>
          <w:szCs w:val="21"/>
        </w:rPr>
        <w:t>lly requires multimodal therapy</w:t>
      </w:r>
      <w:r w:rsidR="009658DF">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a combination of surgery and drugs. Biologics could potentially augment the surgical intervention results. A retrospective study showed that a combination of surgery with biologics was significantly better than single surgical treatment for recalcitrant HS. The recurrence rates (19%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38.5%; </w:t>
      </w:r>
      <w:r w:rsidRPr="009658DF">
        <w:rPr>
          <w:rFonts w:ascii="Book Antiqua" w:eastAsia="Book Antiqua" w:hAnsi="Book Antiqua" w:cs="Book Antiqua"/>
          <w:i/>
          <w:color w:val="000000"/>
          <w:szCs w:val="21"/>
        </w:rPr>
        <w:t>P</w:t>
      </w:r>
      <w:r>
        <w:rPr>
          <w:rFonts w:ascii="Book Antiqua" w:eastAsia="Book Antiqua" w:hAnsi="Book Antiqua" w:cs="Book Antiqua"/>
          <w:color w:val="000000"/>
          <w:szCs w:val="21"/>
        </w:rPr>
        <w:t xml:space="preserve"> &lt; 0.01) were significantly lower. Disease progression (18%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50%; </w:t>
      </w:r>
      <w:r w:rsidRPr="009658DF">
        <w:rPr>
          <w:rFonts w:ascii="Book Antiqua" w:eastAsia="Book Antiqua" w:hAnsi="Book Antiqua" w:cs="Book Antiqua"/>
          <w:i/>
          <w:color w:val="000000"/>
          <w:szCs w:val="21"/>
        </w:rPr>
        <w:t>P</w:t>
      </w:r>
      <w:r>
        <w:rPr>
          <w:rFonts w:ascii="Book Antiqua" w:eastAsia="Book Antiqua" w:hAnsi="Book Antiqua" w:cs="Book Antiqua"/>
          <w:color w:val="000000"/>
          <w:szCs w:val="21"/>
        </w:rPr>
        <w:t xml:space="preserve"> &lt; 0.001) among patients with adjuvant biologic therapy was continued for at least 6 </w:t>
      </w:r>
      <w:r w:rsidRPr="00394269">
        <w:rPr>
          <w:rFonts w:ascii="Book Antiqua" w:eastAsia="Book Antiqua" w:hAnsi="Book Antiqua" w:cs="Book Antiqua"/>
          <w:color w:val="000000"/>
          <w:szCs w:val="21"/>
        </w:rPr>
        <w:t>mo</w:t>
      </w:r>
      <w:r w:rsidR="00A725E8">
        <w:rPr>
          <w:rFonts w:ascii="Book Antiqua" w:eastAsia="Book Antiqua" w:hAnsi="Book Antiqua" w:cs="Book Antiqua"/>
          <w:color w:val="000000"/>
          <w:szCs w:val="18"/>
          <w:vertAlign w:val="superscript"/>
        </w:rPr>
        <w:t>[4</w:t>
      </w:r>
      <w:r w:rsidR="00A725E8">
        <w:rPr>
          <w:rFonts w:ascii="Book Antiqua" w:hAnsi="Book Antiqua" w:cs="Book Antiqua" w:hint="eastAsia"/>
          <w:color w:val="000000"/>
          <w:szCs w:val="18"/>
          <w:vertAlign w:val="superscript"/>
          <w:lang w:eastAsia="zh-CN"/>
        </w:rPr>
        <w:t>8</w:t>
      </w:r>
      <w:r>
        <w:rPr>
          <w:rFonts w:ascii="Book Antiqua" w:eastAsia="Book Antiqua" w:hAnsi="Book Antiqua" w:cs="Book Antiqua"/>
          <w:color w:val="000000"/>
          <w:szCs w:val="18"/>
          <w:vertAlign w:val="superscript"/>
        </w:rPr>
        <w:t>]</w:t>
      </w:r>
      <w:r>
        <w:rPr>
          <w:rFonts w:ascii="Book Antiqua" w:eastAsia="Book Antiqua" w:hAnsi="Book Antiqua" w:cs="Book Antiqua"/>
          <w:color w:val="000000"/>
          <w:szCs w:val="21"/>
        </w:rPr>
        <w:t>. There is no current literature regarding adverse events integrating biologic therapy and surgery in patients with HS.</w:t>
      </w:r>
    </w:p>
    <w:p w14:paraId="5FAA7CF8" w14:textId="37F27F9F" w:rsidR="00A77B3E" w:rsidRDefault="000B7BA1">
      <w:pPr>
        <w:spacing w:line="360" w:lineRule="auto"/>
        <w:ind w:firstLine="210"/>
        <w:jc w:val="both"/>
      </w:pPr>
      <w:r>
        <w:rPr>
          <w:rFonts w:ascii="Book Antiqua" w:eastAsia="Book Antiqua" w:hAnsi="Book Antiqua" w:cs="Book Antiqua"/>
          <w:color w:val="000000"/>
          <w:szCs w:val="21"/>
        </w:rPr>
        <w:t xml:space="preserve">Kamal </w:t>
      </w:r>
      <w:r>
        <w:rPr>
          <w:rFonts w:ascii="Book Antiqua" w:eastAsia="Book Antiqua" w:hAnsi="Book Antiqua" w:cs="Book Antiqua"/>
          <w:i/>
          <w:iCs/>
          <w:color w:val="000000"/>
          <w:szCs w:val="21"/>
        </w:rPr>
        <w:t>et al</w:t>
      </w:r>
      <w:r>
        <w:rPr>
          <w:rFonts w:ascii="Book Antiqua" w:eastAsia="Book Antiqua" w:hAnsi="Book Antiqua" w:cs="Book Antiqua"/>
          <w:color w:val="000000"/>
          <w:szCs w:val="18"/>
          <w:vertAlign w:val="superscript"/>
        </w:rPr>
        <w:t>[18]</w:t>
      </w:r>
      <w:r>
        <w:rPr>
          <w:rFonts w:ascii="Book Antiqua" w:eastAsia="Book Antiqua" w:hAnsi="Book Antiqua" w:cs="Book Antiqua"/>
          <w:color w:val="000000"/>
        </w:rPr>
        <w:t xml:space="preserve">analyzed the treatment of 15 patients with CD with perianal HS at Icahn Medical College from 2003 to 2013. The results were as follows: 14 patients (93%) received medication for CD, including antibiotics (100%), steroids (64%), mesalamine (71%), azathioprine/6-mercaptopurine (78%), and </w:t>
      </w:r>
      <w:r w:rsidR="007E2206">
        <w:rPr>
          <w:rFonts w:ascii="Book Antiqua" w:eastAsia="Book Antiqua" w:hAnsi="Book Antiqua" w:cs="Book Antiqua"/>
          <w:color w:val="000000"/>
        </w:rPr>
        <w:t>anti-TNFs</w:t>
      </w:r>
      <w:r>
        <w:rPr>
          <w:rFonts w:ascii="Book Antiqua" w:eastAsia="Book Antiqua" w:hAnsi="Book Antiqua" w:cs="Book Antiqua"/>
          <w:color w:val="000000"/>
        </w:rPr>
        <w:t xml:space="preserve"> (80%). Among the 12 patients treated with anti-TNFs [IFX</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11</w:t>
      </w:r>
      <w:r w:rsidR="00B728EB">
        <w:rPr>
          <w:rFonts w:ascii="Book Antiqua" w:eastAsia="Book Antiqua" w:hAnsi="Book Antiqua" w:cs="Book Antiqua"/>
          <w:color w:val="000000"/>
          <w:szCs w:val="21"/>
        </w:rPr>
        <w:t xml:space="preserve">) and </w:t>
      </w:r>
      <w:r>
        <w:rPr>
          <w:rFonts w:ascii="Book Antiqua" w:eastAsia="Book Antiqua" w:hAnsi="Book Antiqua" w:cs="Book Antiqua"/>
          <w:color w:val="000000"/>
          <w:szCs w:val="21"/>
        </w:rPr>
        <w:t>adalimumab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4)], 75% required an increased dose (based on weight gain or shorter intervals</w:t>
      </w:r>
      <w:r w:rsidR="00B728E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and 11 (92%) exhibited a response to anti-TNF treatment. In addition, 67% of patients require</w:t>
      </w:r>
      <w:r w:rsidR="00B728EB">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surgery during treatment. These results suggest that compared with patients with simple HS, CD-associated HS has a poor response to anti-TNF treatment. A combination of surgery and medication may be necessary.</w:t>
      </w:r>
    </w:p>
    <w:p w14:paraId="2A8927FD" w14:textId="056CB792" w:rsidR="00A77B3E" w:rsidRDefault="000B7BA1">
      <w:pPr>
        <w:spacing w:line="360" w:lineRule="auto"/>
        <w:ind w:firstLine="210"/>
        <w:jc w:val="both"/>
      </w:pPr>
      <w:r>
        <w:rPr>
          <w:rFonts w:ascii="Book Antiqua" w:eastAsia="Book Antiqua" w:hAnsi="Book Antiqua" w:cs="Book Antiqua"/>
          <w:color w:val="000000"/>
          <w:szCs w:val="21"/>
        </w:rPr>
        <w:t xml:space="preserve">Based on the existing clinical evidence, we propose a clinical strategy for HS combined with CD (Figure 5). Meanwhile, we present a case of multimodal treatment of HS combined with CD: </w:t>
      </w:r>
      <w:r w:rsidR="00B728EB">
        <w:rPr>
          <w:rFonts w:ascii="Book Antiqua" w:eastAsia="Book Antiqua" w:hAnsi="Book Antiqua" w:cs="Book Antiqua"/>
          <w:color w:val="000000"/>
          <w:szCs w:val="21"/>
        </w:rPr>
        <w:t>A</w:t>
      </w:r>
      <w:r w:rsidR="00B728EB" w:rsidRPr="00422281">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 xml:space="preserve">37-year-old man with </w:t>
      </w:r>
      <w:r w:rsidR="000F65E5">
        <w:rPr>
          <w:rFonts w:ascii="Book Antiqua" w:hAnsi="Book Antiqua" w:cs="Book Antiqua" w:hint="eastAsia"/>
          <w:color w:val="000000"/>
          <w:szCs w:val="21"/>
          <w:lang w:eastAsia="zh-CN"/>
        </w:rPr>
        <w:t>CD</w:t>
      </w:r>
      <w:r w:rsidR="007E2206">
        <w:rPr>
          <w:rFonts w:ascii="Book Antiqua" w:eastAsia="Book Antiqua" w:hAnsi="Book Antiqua" w:cs="Book Antiqua"/>
          <w:color w:val="000000"/>
          <w:szCs w:val="21"/>
        </w:rPr>
        <w:t>, Hurley stage III</w:t>
      </w:r>
      <w:r w:rsidR="00422281" w:rsidRPr="00422281">
        <w:rPr>
          <w:rFonts w:ascii="Book Antiqua" w:eastAsia="Book Antiqua" w:hAnsi="Book Antiqua" w:cs="Book Antiqua"/>
          <w:color w:val="000000"/>
          <w:szCs w:val="21"/>
        </w:rPr>
        <w:t xml:space="preserve">. Due to recurrent perianal abscesses and fistulas, the patient received drainage and seton of the perianal lesion and IFX therapy after surgery. </w:t>
      </w:r>
      <w:r w:rsidR="00B728EB" w:rsidRPr="00422281">
        <w:rPr>
          <w:rFonts w:ascii="Book Antiqua" w:eastAsia="Book Antiqua" w:hAnsi="Book Antiqua" w:cs="Book Antiqua"/>
          <w:color w:val="000000"/>
          <w:szCs w:val="21"/>
        </w:rPr>
        <w:t>A</w:t>
      </w:r>
      <w:r w:rsidR="00B728EB">
        <w:rPr>
          <w:rFonts w:ascii="Book Antiqua" w:eastAsia="Book Antiqua" w:hAnsi="Book Antiqua" w:cs="Book Antiqua"/>
          <w:color w:val="000000"/>
          <w:szCs w:val="21"/>
        </w:rPr>
        <w:t>t the</w:t>
      </w:r>
      <w:r w:rsidR="00B728EB" w:rsidRPr="00422281">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1</w:t>
      </w:r>
      <w:r w:rsidR="00B728EB">
        <w:rPr>
          <w:rFonts w:ascii="Book Antiqua" w:eastAsia="Book Antiqua" w:hAnsi="Book Antiqua" w:cs="Book Antiqua"/>
          <w:color w:val="000000"/>
          <w:szCs w:val="21"/>
        </w:rPr>
        <w:t>-</w:t>
      </w:r>
      <w:r w:rsidR="00B728EB" w:rsidRPr="00422281">
        <w:rPr>
          <w:rFonts w:ascii="Book Antiqua" w:eastAsia="Book Antiqua" w:hAnsi="Book Antiqua" w:cs="Book Antiqua"/>
          <w:color w:val="000000"/>
          <w:szCs w:val="21"/>
        </w:rPr>
        <w:t>mo</w:t>
      </w:r>
      <w:r w:rsidR="00B728EB">
        <w:rPr>
          <w:rFonts w:ascii="Book Antiqua" w:eastAsia="Book Antiqua" w:hAnsi="Book Antiqua" w:cs="Book Antiqua"/>
          <w:color w:val="000000"/>
          <w:szCs w:val="21"/>
        </w:rPr>
        <w:t xml:space="preserve"> </w:t>
      </w:r>
      <w:r w:rsidR="00422281" w:rsidRPr="00422281">
        <w:rPr>
          <w:rFonts w:ascii="Book Antiqua" w:eastAsia="Book Antiqua" w:hAnsi="Book Antiqua" w:cs="Book Antiqua"/>
          <w:color w:val="000000"/>
          <w:szCs w:val="21"/>
        </w:rPr>
        <w:t>follow-up, the wound healed well, and the local pain drainage, C</w:t>
      </w:r>
      <w:r w:rsidR="007E2206">
        <w:rPr>
          <w:rFonts w:ascii="Book Antiqua" w:hAnsi="Book Antiqua" w:cs="Book Antiqua" w:hint="eastAsia"/>
          <w:color w:val="000000"/>
          <w:szCs w:val="21"/>
          <w:lang w:eastAsia="zh-CN"/>
        </w:rPr>
        <w:t>RP</w:t>
      </w:r>
      <w:r w:rsidR="00B728EB">
        <w:rPr>
          <w:rFonts w:ascii="Book Antiqua" w:hAnsi="Book Antiqua" w:cs="Book Antiqua"/>
          <w:color w:val="000000"/>
          <w:szCs w:val="21"/>
          <w:lang w:eastAsia="zh-CN"/>
        </w:rPr>
        <w:t>,</w:t>
      </w:r>
      <w:r w:rsidR="00422281" w:rsidRPr="00422281">
        <w:rPr>
          <w:rFonts w:ascii="Book Antiqua" w:eastAsia="Book Antiqua" w:hAnsi="Book Antiqua" w:cs="Book Antiqua"/>
          <w:color w:val="000000"/>
          <w:szCs w:val="21"/>
        </w:rPr>
        <w:t xml:space="preserve"> and white blood cell count were significantly reduced. Abdomin</w:t>
      </w:r>
      <w:r w:rsidR="00422281">
        <w:rPr>
          <w:rFonts w:ascii="Book Antiqua" w:eastAsia="Book Antiqua" w:hAnsi="Book Antiqua" w:cs="Book Antiqua"/>
          <w:color w:val="000000"/>
          <w:szCs w:val="21"/>
        </w:rPr>
        <w:t>al symptoms are almost relieved</w:t>
      </w:r>
      <w:r>
        <w:rPr>
          <w:rFonts w:ascii="Book Antiqua" w:eastAsia="Book Antiqua" w:hAnsi="Book Antiqua" w:cs="Book Antiqua"/>
          <w:color w:val="000000"/>
          <w:szCs w:val="21"/>
        </w:rPr>
        <w:t xml:space="preserve"> (Figure 6).</w:t>
      </w:r>
    </w:p>
    <w:p w14:paraId="6ACFCBFB" w14:textId="77777777" w:rsidR="00A77B3E" w:rsidRDefault="00A77B3E">
      <w:pPr>
        <w:spacing w:line="360" w:lineRule="auto"/>
        <w:ind w:firstLine="210"/>
        <w:jc w:val="both"/>
      </w:pPr>
    </w:p>
    <w:p w14:paraId="40D1496E" w14:textId="77777777" w:rsidR="00A77B3E" w:rsidRDefault="000B7BA1">
      <w:pPr>
        <w:spacing w:line="360" w:lineRule="auto"/>
        <w:jc w:val="both"/>
      </w:pPr>
      <w:r>
        <w:rPr>
          <w:rFonts w:ascii="Book Antiqua" w:eastAsia="Book Antiqua" w:hAnsi="Book Antiqua" w:cs="Book Antiqua"/>
          <w:b/>
          <w:caps/>
          <w:color w:val="000000"/>
          <w:u w:val="single"/>
        </w:rPr>
        <w:t>CONCLUSION</w:t>
      </w:r>
    </w:p>
    <w:p w14:paraId="37FAD482" w14:textId="6AB83CC6" w:rsidR="00A77B3E" w:rsidRDefault="000B7BA1" w:rsidP="0051540F">
      <w:pPr>
        <w:spacing w:line="360" w:lineRule="auto"/>
        <w:jc w:val="both"/>
      </w:pPr>
      <w:r>
        <w:rPr>
          <w:rFonts w:ascii="Book Antiqua" w:eastAsia="Book Antiqua" w:hAnsi="Book Antiqua" w:cs="Book Antiqua"/>
          <w:color w:val="000000"/>
          <w:szCs w:val="21"/>
        </w:rPr>
        <w:t>Both HS and CD can influence the quality of life and daily activities of patients. According to the consistency in pathogenesis, clinical manifestations</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treatment between HS and CD, HS may be another extraintestinal manifestation of CD.</w:t>
      </w:r>
    </w:p>
    <w:p w14:paraId="2CB74702" w14:textId="77777777" w:rsidR="00A77B3E" w:rsidRDefault="000B7BA1" w:rsidP="0051540F">
      <w:pPr>
        <w:spacing w:line="360" w:lineRule="auto"/>
        <w:ind w:firstLineChars="100" w:firstLine="240"/>
        <w:jc w:val="both"/>
      </w:pPr>
      <w:r>
        <w:rPr>
          <w:rFonts w:ascii="Book Antiqua" w:eastAsia="Book Antiqua" w:hAnsi="Book Antiqua" w:cs="Book Antiqua"/>
          <w:color w:val="000000"/>
          <w:szCs w:val="21"/>
        </w:rPr>
        <w:t>When physicians encounter patients with HS accompanied by digestive symptoms or unexplained biological abnormalities, such as anemia, hypoferritinemia, and elevated CRP, gastrointestinal examination should be performed to determine the intestinal lesions. Similarly, in patients with CD with accompanying HS-like skin lesions, especially in the perianal and perineum areas, further attention is required to differentiate HS from anal fistula.</w:t>
      </w:r>
    </w:p>
    <w:p w14:paraId="0E2BF205" w14:textId="39005C1C" w:rsidR="00A77B3E" w:rsidRDefault="000B7BA1" w:rsidP="0051540F">
      <w:pPr>
        <w:spacing w:line="360" w:lineRule="auto"/>
        <w:ind w:firstLineChars="100" w:firstLine="240"/>
        <w:jc w:val="both"/>
      </w:pPr>
      <w:r>
        <w:rPr>
          <w:rFonts w:ascii="Book Antiqua" w:eastAsia="Book Antiqua" w:hAnsi="Book Antiqua" w:cs="Book Antiqua"/>
          <w:color w:val="000000"/>
          <w:szCs w:val="21"/>
        </w:rPr>
        <w:t>Although there is a large amount of literature on the treatment of the two diseases, there is still no unified conclusion on the treatment of patients with HS combined with CD. Antibiotics have limited therapeutic effects on CD and HS unless the bacterial culture of the lesions is positive or some immunomodulatory antibiotics (such as tetracycline and ciprofloxacin) are applied. The application of biological agents in the treatment of HS combined with CD has opened up new treatment methods and greatly relieved symptoms. As wounds are difficult to heal, surgical treatment is usually used as an adjunct to medication in patients with HS and CD. Multimodal treatment, surgical approach</w:t>
      </w:r>
      <w:r w:rsidR="00B728EB">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medical treatment can help postoperative healing. This may be the main direction for the future treatment of comorbidities.</w:t>
      </w:r>
    </w:p>
    <w:p w14:paraId="46F05892" w14:textId="77777777" w:rsidR="00A77B3E" w:rsidRDefault="000B7BA1" w:rsidP="0051540F">
      <w:pPr>
        <w:spacing w:line="360" w:lineRule="auto"/>
        <w:ind w:firstLineChars="100" w:firstLine="240"/>
        <w:jc w:val="both"/>
      </w:pPr>
      <w:r>
        <w:rPr>
          <w:rFonts w:ascii="Book Antiqua" w:eastAsia="Book Antiqua" w:hAnsi="Book Antiqua" w:cs="Book Antiqua"/>
          <w:color w:val="000000"/>
          <w:szCs w:val="21"/>
        </w:rPr>
        <w:t>In summary, early diagnosis and timely comprehensive treatment are important for patients with CD-related HS to improve quality of life. Clinicians should be aware of this link to avoid delayed diagnosis and ensure adequate management and follow-up.</w:t>
      </w:r>
    </w:p>
    <w:p w14:paraId="0D82C012" w14:textId="77777777" w:rsidR="00A77B3E" w:rsidRPr="007B6E6C" w:rsidRDefault="00A77B3E" w:rsidP="007B6E6C">
      <w:pPr>
        <w:adjustRightInd w:val="0"/>
        <w:snapToGrid w:val="0"/>
        <w:spacing w:line="360" w:lineRule="auto"/>
        <w:jc w:val="both"/>
        <w:rPr>
          <w:rFonts w:ascii="Book Antiqua" w:hAnsi="Book Antiqua"/>
        </w:rPr>
      </w:pPr>
    </w:p>
    <w:p w14:paraId="6C0F1CA5" w14:textId="77777777" w:rsidR="00A77B3E" w:rsidRPr="00E2234B" w:rsidRDefault="000B7BA1" w:rsidP="00E2234B">
      <w:pPr>
        <w:adjustRightInd w:val="0"/>
        <w:snapToGrid w:val="0"/>
        <w:spacing w:line="360" w:lineRule="auto"/>
        <w:jc w:val="both"/>
        <w:rPr>
          <w:rFonts w:ascii="Book Antiqua" w:hAnsi="Book Antiqua"/>
        </w:rPr>
      </w:pPr>
      <w:r w:rsidRPr="00E2234B">
        <w:rPr>
          <w:rFonts w:ascii="Book Antiqua" w:eastAsia="Book Antiqua" w:hAnsi="Book Antiqua" w:cs="Book Antiqua"/>
          <w:b/>
        </w:rPr>
        <w:t>REFERENCES</w:t>
      </w:r>
    </w:p>
    <w:p w14:paraId="1ACAE94B"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1 </w:t>
      </w:r>
      <w:r w:rsidRPr="00491D05">
        <w:rPr>
          <w:rFonts w:ascii="Book Antiqua" w:hAnsi="Book Antiqua"/>
          <w:b/>
          <w:bCs/>
        </w:rPr>
        <w:t>Ostlere LS</w:t>
      </w:r>
      <w:r w:rsidRPr="00491D05">
        <w:rPr>
          <w:rFonts w:ascii="Book Antiqua" w:hAnsi="Book Antiqua"/>
        </w:rPr>
        <w:t>, Langtry JA, Mortimer PS, Staughton RC. Hidradenitis suppurativa in Crohn's disease. </w:t>
      </w:r>
      <w:r w:rsidRPr="00491D05">
        <w:rPr>
          <w:rFonts w:ascii="Book Antiqua" w:hAnsi="Book Antiqua"/>
          <w:i/>
          <w:iCs/>
        </w:rPr>
        <w:t>Br J Dermatol</w:t>
      </w:r>
      <w:r w:rsidRPr="00491D05">
        <w:rPr>
          <w:rFonts w:ascii="Book Antiqua" w:hAnsi="Book Antiqua"/>
        </w:rPr>
        <w:t> 1991; </w:t>
      </w:r>
      <w:r w:rsidRPr="00491D05">
        <w:rPr>
          <w:rFonts w:ascii="Book Antiqua" w:hAnsi="Book Antiqua"/>
          <w:b/>
          <w:bCs/>
        </w:rPr>
        <w:t>125</w:t>
      </w:r>
      <w:r w:rsidRPr="00491D05">
        <w:rPr>
          <w:rFonts w:ascii="Book Antiqua" w:hAnsi="Book Antiqua"/>
        </w:rPr>
        <w:t>: 384-386 [PMID: 1954129 DOI: 10.1111/j.1365-2133.1991.tb14178.x]</w:t>
      </w:r>
    </w:p>
    <w:p w14:paraId="7564A5C1" w14:textId="06CA845D"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2 </w:t>
      </w:r>
      <w:r w:rsidRPr="00491D05">
        <w:rPr>
          <w:rFonts w:ascii="Book Antiqua" w:hAnsi="Book Antiqua"/>
          <w:b/>
          <w:bCs/>
        </w:rPr>
        <w:t>Attanoos RL</w:t>
      </w:r>
      <w:r w:rsidRPr="00491D05">
        <w:rPr>
          <w:rFonts w:ascii="Book Antiqua" w:hAnsi="Book Antiqua"/>
        </w:rPr>
        <w:t>, Appleton MA, Hughes LE, Ansell ID, Douglas-Jones AG, Williams GT. Granulomatous hidradenitis suppurativa and cutaneous Crohn's disease.</w:t>
      </w:r>
      <w:r w:rsidR="00336C52" w:rsidRPr="00491D05">
        <w:rPr>
          <w:rFonts w:ascii="Book Antiqua" w:hAnsi="Book Antiqua"/>
        </w:rPr>
        <w:t xml:space="preserve"> </w:t>
      </w:r>
      <w:r w:rsidRPr="00491D05">
        <w:rPr>
          <w:rFonts w:ascii="Book Antiqua" w:hAnsi="Book Antiqua"/>
          <w:i/>
          <w:iCs/>
        </w:rPr>
        <w:t>Histopathology</w:t>
      </w:r>
      <w:r w:rsidR="00336C52" w:rsidRPr="00491D05">
        <w:rPr>
          <w:rFonts w:ascii="Book Antiqua" w:hAnsi="Book Antiqua"/>
        </w:rPr>
        <w:t xml:space="preserve"> </w:t>
      </w:r>
      <w:r w:rsidRPr="00491D05">
        <w:rPr>
          <w:rFonts w:ascii="Book Antiqua" w:hAnsi="Book Antiqua"/>
        </w:rPr>
        <w:t>1993;</w:t>
      </w:r>
      <w:r w:rsidR="00336C52" w:rsidRPr="00491D05">
        <w:rPr>
          <w:rFonts w:ascii="Book Antiqua" w:hAnsi="Book Antiqua"/>
        </w:rPr>
        <w:t xml:space="preserve"> </w:t>
      </w:r>
      <w:r w:rsidRPr="00491D05">
        <w:rPr>
          <w:rFonts w:ascii="Book Antiqua" w:hAnsi="Book Antiqua"/>
          <w:b/>
          <w:bCs/>
        </w:rPr>
        <w:t>23</w:t>
      </w:r>
      <w:r w:rsidRPr="00491D05">
        <w:rPr>
          <w:rFonts w:ascii="Book Antiqua" w:hAnsi="Book Antiqua"/>
        </w:rPr>
        <w:t>: 111-115 [PMID: 8406382 DOI: 10.1111/j.1365-2559.1993.tb00468.x]</w:t>
      </w:r>
    </w:p>
    <w:p w14:paraId="3137D034"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3 </w:t>
      </w:r>
      <w:r w:rsidRPr="00491D05">
        <w:rPr>
          <w:rFonts w:ascii="Book Antiqua" w:hAnsi="Book Antiqua"/>
          <w:b/>
          <w:bCs/>
        </w:rPr>
        <w:t>Roy MK</w:t>
      </w:r>
      <w:r w:rsidRPr="00491D05">
        <w:rPr>
          <w:rFonts w:ascii="Book Antiqua" w:hAnsi="Book Antiqua"/>
        </w:rPr>
        <w:t>, Appleton MA, Delicata RJ, Sharma AK, Williams GT, Carey PD. Probable association between hidradenitis suppurativa and Crohn's disease: significance of epithelioid granuloma. </w:t>
      </w:r>
      <w:r w:rsidRPr="00491D05">
        <w:rPr>
          <w:rFonts w:ascii="Book Antiqua" w:hAnsi="Book Antiqua"/>
          <w:i/>
          <w:iCs/>
        </w:rPr>
        <w:t>Br J Surg</w:t>
      </w:r>
      <w:r w:rsidRPr="00491D05">
        <w:rPr>
          <w:rFonts w:ascii="Book Antiqua" w:hAnsi="Book Antiqua"/>
        </w:rPr>
        <w:t> 1997; </w:t>
      </w:r>
      <w:r w:rsidRPr="00491D05">
        <w:rPr>
          <w:rFonts w:ascii="Book Antiqua" w:hAnsi="Book Antiqua"/>
          <w:b/>
          <w:bCs/>
        </w:rPr>
        <w:t>84</w:t>
      </w:r>
      <w:r w:rsidRPr="00491D05">
        <w:rPr>
          <w:rFonts w:ascii="Book Antiqua" w:hAnsi="Book Antiqua"/>
        </w:rPr>
        <w:t>: 375-376 [PMID: 9117312 DOI: 10.1046/j.1365-2168.1997.02585.x]</w:t>
      </w:r>
    </w:p>
    <w:p w14:paraId="453B34BB"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4 </w:t>
      </w:r>
      <w:r w:rsidRPr="00491D05">
        <w:rPr>
          <w:rFonts w:ascii="Book Antiqua" w:hAnsi="Book Antiqua"/>
          <w:b/>
          <w:bCs/>
        </w:rPr>
        <w:t>Gower-Rousseau C</w:t>
      </w:r>
      <w:r w:rsidRPr="00491D05">
        <w:rPr>
          <w:rFonts w:ascii="Book Antiqua" w:hAnsi="Book Antiqua"/>
        </w:rPr>
        <w:t>, Maunoury V, Colombel JF, Coulom P, Piette F, Cortot A, Paris JC. Hidradenitis suppurativa and Crohn's disease in two families: a significant association? </w:t>
      </w:r>
      <w:r w:rsidRPr="00491D05">
        <w:rPr>
          <w:rFonts w:ascii="Book Antiqua" w:hAnsi="Book Antiqua"/>
          <w:i/>
          <w:iCs/>
        </w:rPr>
        <w:t>Am J Gastroenterol</w:t>
      </w:r>
      <w:r w:rsidRPr="00491D05">
        <w:rPr>
          <w:rFonts w:ascii="Book Antiqua" w:hAnsi="Book Antiqua"/>
        </w:rPr>
        <w:t> 1992; </w:t>
      </w:r>
      <w:r w:rsidRPr="00491D05">
        <w:rPr>
          <w:rFonts w:ascii="Book Antiqua" w:hAnsi="Book Antiqua"/>
          <w:b/>
          <w:bCs/>
        </w:rPr>
        <w:t>87</w:t>
      </w:r>
      <w:r w:rsidRPr="00491D05">
        <w:rPr>
          <w:rFonts w:ascii="Book Antiqua" w:hAnsi="Book Antiqua"/>
        </w:rPr>
        <w:t>: 928 [PMID: 1615957]</w:t>
      </w:r>
    </w:p>
    <w:p w14:paraId="0B62BB9C"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5 </w:t>
      </w:r>
      <w:r w:rsidRPr="00491D05">
        <w:rPr>
          <w:rFonts w:ascii="Book Antiqua" w:hAnsi="Book Antiqua"/>
          <w:b/>
          <w:bCs/>
        </w:rPr>
        <w:t>Martínez F</w:t>
      </w:r>
      <w:r w:rsidRPr="00491D05">
        <w:rPr>
          <w:rFonts w:ascii="Book Antiqua" w:hAnsi="Book Antiqua"/>
        </w:rPr>
        <w:t>, Nos P, Benlloch S, Ponce J. Hidradenitis suppurativa and Crohn's disease: response to treatment with infliximab. </w:t>
      </w:r>
      <w:r w:rsidRPr="00491D05">
        <w:rPr>
          <w:rFonts w:ascii="Book Antiqua" w:hAnsi="Book Antiqua"/>
          <w:i/>
          <w:iCs/>
        </w:rPr>
        <w:t>Inflamm Bowel Dis</w:t>
      </w:r>
      <w:r w:rsidRPr="00491D05">
        <w:rPr>
          <w:rFonts w:ascii="Book Antiqua" w:hAnsi="Book Antiqua"/>
        </w:rPr>
        <w:t> 2001; </w:t>
      </w:r>
      <w:r w:rsidRPr="00491D05">
        <w:rPr>
          <w:rFonts w:ascii="Book Antiqua" w:hAnsi="Book Antiqua"/>
          <w:b/>
          <w:bCs/>
        </w:rPr>
        <w:t>7</w:t>
      </w:r>
      <w:r w:rsidRPr="00491D05">
        <w:rPr>
          <w:rFonts w:ascii="Book Antiqua" w:hAnsi="Book Antiqua"/>
        </w:rPr>
        <w:t>: 323-326 [PMID: 11720323 DOI: 10.1097/00054725-200111000-00008]</w:t>
      </w:r>
    </w:p>
    <w:p w14:paraId="65C402B2"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6 </w:t>
      </w:r>
      <w:r w:rsidRPr="00491D05">
        <w:rPr>
          <w:rFonts w:ascii="Book Antiqua" w:hAnsi="Book Antiqua"/>
          <w:b/>
          <w:bCs/>
        </w:rPr>
        <w:t>Duerr RH</w:t>
      </w:r>
      <w:r w:rsidRPr="00491D05">
        <w:rPr>
          <w:rFonts w:ascii="Book Antiqua" w:hAnsi="Book Antiqua"/>
        </w:rPr>
        <w:t>, Taylor KD, Brant SR, Rioux JD, Silverberg MS, Daly MJ, Steinhart AH, Abraham C, Regueiro M, Griffiths A, Dassopoulos T, Bitton A, Yang H, Targan S, Datta LW, Kistner EO, Schumm LP, Lee AT, Gregersen PK, Barmada MM, Rotter JI, Nicolae DL, Cho JH. A genome-wide association study identifies IL23R as an inflammatory bowel disease gene. </w:t>
      </w:r>
      <w:r w:rsidRPr="00491D05">
        <w:rPr>
          <w:rFonts w:ascii="Book Antiqua" w:hAnsi="Book Antiqua"/>
          <w:i/>
          <w:iCs/>
        </w:rPr>
        <w:t>Science</w:t>
      </w:r>
      <w:r w:rsidRPr="00491D05">
        <w:rPr>
          <w:rFonts w:ascii="Book Antiqua" w:hAnsi="Book Antiqua"/>
        </w:rPr>
        <w:t> 2006; </w:t>
      </w:r>
      <w:r w:rsidRPr="00491D05">
        <w:rPr>
          <w:rFonts w:ascii="Book Antiqua" w:hAnsi="Book Antiqua"/>
          <w:b/>
          <w:bCs/>
        </w:rPr>
        <w:t>314</w:t>
      </w:r>
      <w:r w:rsidRPr="00491D05">
        <w:rPr>
          <w:rFonts w:ascii="Book Antiqua" w:hAnsi="Book Antiqua"/>
        </w:rPr>
        <w:t>: 1461-1463 [PMID: 17068223 DOI: 10.1126/science.1135245]</w:t>
      </w:r>
    </w:p>
    <w:p w14:paraId="2BA85B41"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7 </w:t>
      </w:r>
      <w:r w:rsidRPr="00491D05">
        <w:rPr>
          <w:rFonts w:ascii="Book Antiqua" w:hAnsi="Book Antiqua"/>
          <w:b/>
          <w:bCs/>
        </w:rPr>
        <w:t>Schlapbach C</w:t>
      </w:r>
      <w:r w:rsidRPr="00491D05">
        <w:rPr>
          <w:rFonts w:ascii="Book Antiqua" w:hAnsi="Book Antiqua"/>
        </w:rPr>
        <w:t>, Hänni T, Yawalkar N, Hunger RE. Expression of the IL-23/Th17 pathway in lesions of hidradenitis suppurativa. </w:t>
      </w:r>
      <w:r w:rsidRPr="00491D05">
        <w:rPr>
          <w:rFonts w:ascii="Book Antiqua" w:hAnsi="Book Antiqua"/>
          <w:i/>
          <w:iCs/>
        </w:rPr>
        <w:t>J Am Acad Dermatol</w:t>
      </w:r>
      <w:r w:rsidRPr="00491D05">
        <w:rPr>
          <w:rFonts w:ascii="Book Antiqua" w:hAnsi="Book Antiqua"/>
        </w:rPr>
        <w:t> 2011; </w:t>
      </w:r>
      <w:r w:rsidRPr="00491D05">
        <w:rPr>
          <w:rFonts w:ascii="Book Antiqua" w:hAnsi="Book Antiqua"/>
          <w:b/>
          <w:bCs/>
        </w:rPr>
        <w:t>65</w:t>
      </w:r>
      <w:r w:rsidRPr="00491D05">
        <w:rPr>
          <w:rFonts w:ascii="Book Antiqua" w:hAnsi="Book Antiqua"/>
        </w:rPr>
        <w:t>: 790-798 [PMID: 21641076 DOI: 10.1016/j.jaad.2010.07.010]</w:t>
      </w:r>
    </w:p>
    <w:p w14:paraId="74C1985D"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8 </w:t>
      </w:r>
      <w:r w:rsidRPr="00491D05">
        <w:rPr>
          <w:rFonts w:ascii="Book Antiqua" w:hAnsi="Book Antiqua"/>
          <w:b/>
          <w:bCs/>
        </w:rPr>
        <w:t>Jemec GB</w:t>
      </w:r>
      <w:r w:rsidRPr="00491D05">
        <w:rPr>
          <w:rFonts w:ascii="Book Antiqua" w:hAnsi="Book Antiqua"/>
        </w:rPr>
        <w:t>, Kimball AB. Hidradenitis suppurativa: Epidemiology and scope of the problem. </w:t>
      </w:r>
      <w:r w:rsidRPr="00491D05">
        <w:rPr>
          <w:rFonts w:ascii="Book Antiqua" w:hAnsi="Book Antiqua"/>
          <w:i/>
          <w:iCs/>
        </w:rPr>
        <w:t>J Am Acad Dermatol</w:t>
      </w:r>
      <w:r w:rsidRPr="00491D05">
        <w:rPr>
          <w:rFonts w:ascii="Book Antiqua" w:hAnsi="Book Antiqua"/>
        </w:rPr>
        <w:t> 2015; </w:t>
      </w:r>
      <w:r w:rsidRPr="00491D05">
        <w:rPr>
          <w:rFonts w:ascii="Book Antiqua" w:hAnsi="Book Antiqua"/>
          <w:b/>
          <w:bCs/>
        </w:rPr>
        <w:t>73</w:t>
      </w:r>
      <w:r w:rsidRPr="00491D05">
        <w:rPr>
          <w:rFonts w:ascii="Book Antiqua" w:hAnsi="Book Antiqua"/>
        </w:rPr>
        <w:t>: S4-S7 [PMID: 26470614 DOI: 10.1016/j.jaad.2015.07.052]</w:t>
      </w:r>
    </w:p>
    <w:p w14:paraId="41FF1A20"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9 </w:t>
      </w:r>
      <w:r w:rsidRPr="00491D05">
        <w:rPr>
          <w:rFonts w:ascii="Book Antiqua" w:hAnsi="Book Antiqua"/>
          <w:b/>
          <w:bCs/>
        </w:rPr>
        <w:t>Saunte DML</w:t>
      </w:r>
      <w:r w:rsidRPr="00491D05">
        <w:rPr>
          <w:rFonts w:ascii="Book Antiqua" w:hAnsi="Book Antiqua"/>
        </w:rPr>
        <w:t>, Jemec GBE. Hidradenitis Suppurativa: Advances in Diagnosis and Treatment. </w:t>
      </w:r>
      <w:r w:rsidRPr="00491D05">
        <w:rPr>
          <w:rFonts w:ascii="Book Antiqua" w:hAnsi="Book Antiqua"/>
          <w:i/>
          <w:iCs/>
        </w:rPr>
        <w:t>JAMA</w:t>
      </w:r>
      <w:r w:rsidRPr="00491D05">
        <w:rPr>
          <w:rFonts w:ascii="Book Antiqua" w:hAnsi="Book Antiqua"/>
        </w:rPr>
        <w:t> 2017; </w:t>
      </w:r>
      <w:r w:rsidRPr="00491D05">
        <w:rPr>
          <w:rFonts w:ascii="Book Antiqua" w:hAnsi="Book Antiqua"/>
          <w:b/>
          <w:bCs/>
        </w:rPr>
        <w:t>318</w:t>
      </w:r>
      <w:r w:rsidRPr="00491D05">
        <w:rPr>
          <w:rFonts w:ascii="Book Antiqua" w:hAnsi="Book Antiqua"/>
        </w:rPr>
        <w:t>: 2019-2032 [PMID: 29183082 DOI: 10.1001/jama.2017.16691]</w:t>
      </w:r>
    </w:p>
    <w:p w14:paraId="729A1EA8"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10 </w:t>
      </w:r>
      <w:r w:rsidRPr="00491D05">
        <w:rPr>
          <w:rFonts w:ascii="Book Antiqua" w:hAnsi="Book Antiqua"/>
          <w:b/>
          <w:bCs/>
        </w:rPr>
        <w:t>Delany E</w:t>
      </w:r>
      <w:r w:rsidRPr="00491D05">
        <w:rPr>
          <w:rFonts w:ascii="Book Antiqua" w:hAnsi="Book Antiqua"/>
        </w:rPr>
        <w:t>, Gormley G, Hughes R, McCarthy S, Kirthi S, Markham T, Tobin AM, Murphy M, Kirby B. A cross-sectional epidemiological study of hidradenitis suppurativa in an Irish population (SHIP). </w:t>
      </w:r>
      <w:r w:rsidRPr="00491D05">
        <w:rPr>
          <w:rFonts w:ascii="Book Antiqua" w:hAnsi="Book Antiqua"/>
          <w:i/>
          <w:iCs/>
        </w:rPr>
        <w:t>J Eur Acad Dermatol Venereol</w:t>
      </w:r>
      <w:r w:rsidRPr="00491D05">
        <w:rPr>
          <w:rFonts w:ascii="Book Antiqua" w:hAnsi="Book Antiqua"/>
        </w:rPr>
        <w:t> 2018; </w:t>
      </w:r>
      <w:r w:rsidRPr="00491D05">
        <w:rPr>
          <w:rFonts w:ascii="Book Antiqua" w:hAnsi="Book Antiqua"/>
          <w:b/>
          <w:bCs/>
        </w:rPr>
        <w:t>32</w:t>
      </w:r>
      <w:r w:rsidRPr="00491D05">
        <w:rPr>
          <w:rFonts w:ascii="Book Antiqua" w:hAnsi="Book Antiqua"/>
        </w:rPr>
        <w:t>: 467-473 [PMID: 29125658 DOI: 10.1111/jdv.14686]</w:t>
      </w:r>
    </w:p>
    <w:p w14:paraId="1D96F57D"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11 </w:t>
      </w:r>
      <w:r w:rsidRPr="00491D05">
        <w:rPr>
          <w:rFonts w:ascii="Book Antiqua" w:hAnsi="Book Antiqua"/>
          <w:b/>
          <w:bCs/>
        </w:rPr>
        <w:t>Ingram JR</w:t>
      </w:r>
      <w:r w:rsidRPr="00491D05">
        <w:rPr>
          <w:rFonts w:ascii="Book Antiqua" w:hAnsi="Book Antiqua"/>
        </w:rPr>
        <w:t>, Jenkins-Jones S, Knipe DW, Morgan CLI, Cannings-John R, Piguet V. Population-based Clinical Practice Research Datalink study using algorithm modelling to identify the true burden of hidradenitis suppurativa. </w:t>
      </w:r>
      <w:r w:rsidRPr="00491D05">
        <w:rPr>
          <w:rFonts w:ascii="Book Antiqua" w:hAnsi="Book Antiqua"/>
          <w:i/>
          <w:iCs/>
        </w:rPr>
        <w:t>Br J Dermatol</w:t>
      </w:r>
      <w:r w:rsidRPr="00491D05">
        <w:rPr>
          <w:rFonts w:ascii="Book Antiqua" w:hAnsi="Book Antiqua"/>
        </w:rPr>
        <w:t> 2018; </w:t>
      </w:r>
      <w:r w:rsidRPr="00491D05">
        <w:rPr>
          <w:rFonts w:ascii="Book Antiqua" w:hAnsi="Book Antiqua"/>
          <w:b/>
          <w:bCs/>
        </w:rPr>
        <w:t>178</w:t>
      </w:r>
      <w:r w:rsidRPr="00491D05">
        <w:rPr>
          <w:rFonts w:ascii="Book Antiqua" w:hAnsi="Book Antiqua"/>
        </w:rPr>
        <w:t>: 917-924 [PMID: 29094346 DOI: 10.1111/bjd.16101]</w:t>
      </w:r>
    </w:p>
    <w:p w14:paraId="435489F6"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12 </w:t>
      </w:r>
      <w:r w:rsidRPr="00491D05">
        <w:rPr>
          <w:rFonts w:ascii="Book Antiqua" w:hAnsi="Book Antiqua"/>
          <w:b/>
          <w:bCs/>
        </w:rPr>
        <w:t>Vazquez BG</w:t>
      </w:r>
      <w:r w:rsidRPr="00491D05">
        <w:rPr>
          <w:rFonts w:ascii="Book Antiqua" w:hAnsi="Book Antiqua"/>
        </w:rPr>
        <w:t>, Alikhan A, Weaver AL, Wetter DA, Davis MD. Incidence of hidradenitis suppurativa and associated factors: a population-based study of Olmsted County, Minnesota. </w:t>
      </w:r>
      <w:r w:rsidRPr="00491D05">
        <w:rPr>
          <w:rFonts w:ascii="Book Antiqua" w:hAnsi="Book Antiqua"/>
          <w:i/>
          <w:iCs/>
        </w:rPr>
        <w:t>J Invest Dermatol</w:t>
      </w:r>
      <w:r w:rsidRPr="00491D05">
        <w:rPr>
          <w:rFonts w:ascii="Book Antiqua" w:hAnsi="Book Antiqua"/>
        </w:rPr>
        <w:t> 2013; </w:t>
      </w:r>
      <w:r w:rsidRPr="00491D05">
        <w:rPr>
          <w:rFonts w:ascii="Book Antiqua" w:hAnsi="Book Antiqua"/>
          <w:b/>
          <w:bCs/>
        </w:rPr>
        <w:t>133</w:t>
      </w:r>
      <w:r w:rsidRPr="00491D05">
        <w:rPr>
          <w:rFonts w:ascii="Book Antiqua" w:hAnsi="Book Antiqua"/>
        </w:rPr>
        <w:t>: 97-103 [PMID: 22931916 DOI: 10.1038/jid.2012.255]</w:t>
      </w:r>
    </w:p>
    <w:p w14:paraId="1D3D7C22"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13 </w:t>
      </w:r>
      <w:r w:rsidRPr="00491D05">
        <w:rPr>
          <w:rFonts w:ascii="Book Antiqua" w:hAnsi="Book Antiqua"/>
          <w:b/>
          <w:bCs/>
        </w:rPr>
        <w:t>Yadav S</w:t>
      </w:r>
      <w:r w:rsidRPr="00491D05">
        <w:rPr>
          <w:rFonts w:ascii="Book Antiqua" w:hAnsi="Book Antiqua"/>
        </w:rPr>
        <w:t>, Singh S, Edakkanambeth Varayil J, Harmsen WS, Zinsmeister AR, Tremaine WJ, Davis MD, Wetter DA, Colombel JF, Loftus EV Jr. Hidradenitis Suppurativa in Patients With Inflammatory Bowel Disease: A Population-Based Cohort Study in Olmsted County, Minnesota. </w:t>
      </w:r>
      <w:r w:rsidRPr="00491D05">
        <w:rPr>
          <w:rFonts w:ascii="Book Antiqua" w:hAnsi="Book Antiqua"/>
          <w:i/>
          <w:iCs/>
        </w:rPr>
        <w:t>Clin Gastroenterol Hepatol</w:t>
      </w:r>
      <w:r w:rsidRPr="00491D05">
        <w:rPr>
          <w:rFonts w:ascii="Book Antiqua" w:hAnsi="Book Antiqua"/>
        </w:rPr>
        <w:t> 2016; </w:t>
      </w:r>
      <w:r w:rsidRPr="00491D05">
        <w:rPr>
          <w:rFonts w:ascii="Book Antiqua" w:hAnsi="Book Antiqua"/>
          <w:b/>
          <w:bCs/>
        </w:rPr>
        <w:t>14</w:t>
      </w:r>
      <w:r w:rsidRPr="00491D05">
        <w:rPr>
          <w:rFonts w:ascii="Book Antiqua" w:hAnsi="Book Antiqua"/>
        </w:rPr>
        <w:t>: 65-70 [PMID: 25952308 DOI: 10.1016/j.cgh.2015.04.173]</w:t>
      </w:r>
    </w:p>
    <w:p w14:paraId="5ACFEF0E"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14 </w:t>
      </w:r>
      <w:r w:rsidRPr="00491D05">
        <w:rPr>
          <w:rFonts w:ascii="Book Antiqua" w:hAnsi="Book Antiqua"/>
          <w:b/>
          <w:bCs/>
        </w:rPr>
        <w:t>van der Zee HH</w:t>
      </w:r>
      <w:r w:rsidRPr="00491D05">
        <w:rPr>
          <w:rFonts w:ascii="Book Antiqua" w:hAnsi="Book Antiqua"/>
        </w:rPr>
        <w:t>, van der Woude CJ, Florencia EF, Prens EP. Hidradenitis suppurativa and inflammatory bowel disease: are they associated? Results of a pilot study. </w:t>
      </w:r>
      <w:r w:rsidRPr="00491D05">
        <w:rPr>
          <w:rFonts w:ascii="Book Antiqua" w:hAnsi="Book Antiqua"/>
          <w:i/>
          <w:iCs/>
        </w:rPr>
        <w:t>Br J Dermatol</w:t>
      </w:r>
      <w:r w:rsidRPr="00491D05">
        <w:rPr>
          <w:rFonts w:ascii="Book Antiqua" w:hAnsi="Book Antiqua"/>
        </w:rPr>
        <w:t> 2010; </w:t>
      </w:r>
      <w:r w:rsidRPr="00491D05">
        <w:rPr>
          <w:rFonts w:ascii="Book Antiqua" w:hAnsi="Book Antiqua"/>
          <w:b/>
          <w:bCs/>
        </w:rPr>
        <w:t>162</w:t>
      </w:r>
      <w:r w:rsidRPr="00491D05">
        <w:rPr>
          <w:rFonts w:ascii="Book Antiqua" w:hAnsi="Book Antiqua"/>
        </w:rPr>
        <w:t>: 195-197 [PMID: 19681876 DOI: 10.1111/j.1365-2133.2009.09430.x]</w:t>
      </w:r>
    </w:p>
    <w:p w14:paraId="7612C998"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15 </w:t>
      </w:r>
      <w:r w:rsidRPr="00491D05">
        <w:rPr>
          <w:rFonts w:ascii="Book Antiqua" w:hAnsi="Book Antiqua"/>
          <w:b/>
          <w:bCs/>
        </w:rPr>
        <w:t>van der Zee HH</w:t>
      </w:r>
      <w:r w:rsidRPr="00491D05">
        <w:rPr>
          <w:rFonts w:ascii="Book Antiqua" w:hAnsi="Book Antiqua"/>
        </w:rPr>
        <w:t>, de Winter K, van der Woude CJ, Prens EP. The prevalence of hidradenitis suppurativa in 1093 patients with inflammatory bowel disease. </w:t>
      </w:r>
      <w:r w:rsidRPr="00491D05">
        <w:rPr>
          <w:rFonts w:ascii="Book Antiqua" w:hAnsi="Book Antiqua"/>
          <w:i/>
          <w:iCs/>
        </w:rPr>
        <w:t>Br J Dermatol</w:t>
      </w:r>
      <w:r w:rsidRPr="00491D05">
        <w:rPr>
          <w:rFonts w:ascii="Book Antiqua" w:hAnsi="Book Antiqua"/>
        </w:rPr>
        <w:t> 2014; </w:t>
      </w:r>
      <w:r w:rsidRPr="00491D05">
        <w:rPr>
          <w:rFonts w:ascii="Book Antiqua" w:hAnsi="Book Antiqua"/>
          <w:b/>
          <w:bCs/>
        </w:rPr>
        <w:t>171</w:t>
      </w:r>
      <w:r w:rsidRPr="00491D05">
        <w:rPr>
          <w:rFonts w:ascii="Book Antiqua" w:hAnsi="Book Antiqua"/>
        </w:rPr>
        <w:t>: 673-675 [PMID: 24673289 DOI: 10.1111/bjd.13002]</w:t>
      </w:r>
    </w:p>
    <w:p w14:paraId="49CCC06F"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16 </w:t>
      </w:r>
      <w:r w:rsidRPr="00491D05">
        <w:rPr>
          <w:rFonts w:ascii="Book Antiqua" w:hAnsi="Book Antiqua"/>
          <w:b/>
          <w:bCs/>
        </w:rPr>
        <w:t>Janse IC</w:t>
      </w:r>
      <w:r w:rsidRPr="00491D05">
        <w:rPr>
          <w:rFonts w:ascii="Book Antiqua" w:hAnsi="Book Antiqua"/>
        </w:rPr>
        <w:t>, Koldijk MJ, Spekhorst LM, Vila AV, Weersma RK, Dijkstra G, Horváth B. Identification of Clinical and Genetic Parameters Associated with Hidradenitis Suppurativa in Inflammatory Bowel Disease. </w:t>
      </w:r>
      <w:r w:rsidRPr="00491D05">
        <w:rPr>
          <w:rFonts w:ascii="Book Antiqua" w:hAnsi="Book Antiqua"/>
          <w:i/>
          <w:iCs/>
        </w:rPr>
        <w:t>Inflamm Bowel Dis</w:t>
      </w:r>
      <w:r w:rsidRPr="00491D05">
        <w:rPr>
          <w:rFonts w:ascii="Book Antiqua" w:hAnsi="Book Antiqua"/>
        </w:rPr>
        <w:t> 2016; </w:t>
      </w:r>
      <w:r w:rsidRPr="00491D05">
        <w:rPr>
          <w:rFonts w:ascii="Book Antiqua" w:hAnsi="Book Antiqua"/>
          <w:b/>
          <w:bCs/>
        </w:rPr>
        <w:t>22</w:t>
      </w:r>
      <w:r w:rsidRPr="00491D05">
        <w:rPr>
          <w:rFonts w:ascii="Book Antiqua" w:hAnsi="Book Antiqua"/>
        </w:rPr>
        <w:t>: 106-113 [PMID: 26422515 DOI: 10.1097/MIB.0000000000000579]</w:t>
      </w:r>
    </w:p>
    <w:p w14:paraId="4EFF31AC"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17 </w:t>
      </w:r>
      <w:r w:rsidRPr="00491D05">
        <w:rPr>
          <w:rFonts w:ascii="Book Antiqua" w:hAnsi="Book Antiqua"/>
          <w:b/>
          <w:bCs/>
        </w:rPr>
        <w:t>Garg A</w:t>
      </w:r>
      <w:r w:rsidRPr="00491D05">
        <w:rPr>
          <w:rFonts w:ascii="Book Antiqua" w:hAnsi="Book Antiqua"/>
        </w:rPr>
        <w:t>, Hundal J, Strunk A. Overall and Subgroup Prevalence of Crohn Disease Among Patients With Hidradenitis Suppurativa: A Population-Based Analysis in the United States. </w:t>
      </w:r>
      <w:r w:rsidRPr="00491D05">
        <w:rPr>
          <w:rFonts w:ascii="Book Antiqua" w:hAnsi="Book Antiqua"/>
          <w:i/>
          <w:iCs/>
        </w:rPr>
        <w:t>JAMA Dermatol</w:t>
      </w:r>
      <w:r w:rsidRPr="00491D05">
        <w:rPr>
          <w:rFonts w:ascii="Book Antiqua" w:hAnsi="Book Antiqua"/>
        </w:rPr>
        <w:t> 2018; </w:t>
      </w:r>
      <w:r w:rsidRPr="00491D05">
        <w:rPr>
          <w:rFonts w:ascii="Book Antiqua" w:hAnsi="Book Antiqua"/>
          <w:b/>
          <w:bCs/>
        </w:rPr>
        <w:t>154</w:t>
      </w:r>
      <w:r w:rsidRPr="00491D05">
        <w:rPr>
          <w:rFonts w:ascii="Book Antiqua" w:hAnsi="Book Antiqua"/>
        </w:rPr>
        <w:t>: 814-818 [PMID: 29800049 DOI: 10.1001/jamadermatol.2018.0878]</w:t>
      </w:r>
    </w:p>
    <w:p w14:paraId="2F217B09"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18 </w:t>
      </w:r>
      <w:r w:rsidRPr="00491D05">
        <w:rPr>
          <w:rFonts w:ascii="Book Antiqua" w:hAnsi="Book Antiqua"/>
          <w:b/>
          <w:bCs/>
        </w:rPr>
        <w:t>Kamal N</w:t>
      </w:r>
      <w:r w:rsidRPr="00491D05">
        <w:rPr>
          <w:rFonts w:ascii="Book Antiqua" w:hAnsi="Book Antiqua"/>
        </w:rPr>
        <w:t>, Cohen BL, Buche S, Delaporte E, Colombel JF. Features of Patients With Crohn's Disease and Hidradenitis Suppurativa. </w:t>
      </w:r>
      <w:r w:rsidRPr="00491D05">
        <w:rPr>
          <w:rFonts w:ascii="Book Antiqua" w:hAnsi="Book Antiqua"/>
          <w:i/>
          <w:iCs/>
        </w:rPr>
        <w:t>Clin Gastroenterol Hepatol</w:t>
      </w:r>
      <w:r w:rsidRPr="00491D05">
        <w:rPr>
          <w:rFonts w:ascii="Book Antiqua" w:hAnsi="Book Antiqua"/>
        </w:rPr>
        <w:t> 2016; </w:t>
      </w:r>
      <w:r w:rsidRPr="00491D05">
        <w:rPr>
          <w:rFonts w:ascii="Book Antiqua" w:hAnsi="Book Antiqua"/>
          <w:b/>
          <w:bCs/>
        </w:rPr>
        <w:t>14</w:t>
      </w:r>
      <w:r w:rsidRPr="00491D05">
        <w:rPr>
          <w:rFonts w:ascii="Book Antiqua" w:hAnsi="Book Antiqua"/>
        </w:rPr>
        <w:t>: 71-79 [PMID: 25956836 DOI: 10.1016/j.cgh.2015.04.180]</w:t>
      </w:r>
    </w:p>
    <w:p w14:paraId="3279E329"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19 </w:t>
      </w:r>
      <w:r w:rsidRPr="00491D05">
        <w:rPr>
          <w:rFonts w:ascii="Book Antiqua" w:hAnsi="Book Antiqua"/>
          <w:b/>
          <w:bCs/>
        </w:rPr>
        <w:t>Smith MK</w:t>
      </w:r>
      <w:r w:rsidRPr="00491D05">
        <w:rPr>
          <w:rFonts w:ascii="Book Antiqua" w:hAnsi="Book Antiqua"/>
        </w:rPr>
        <w:t>, Nicholson CL, Parks-Miller A, Hamzavi IH. Hidradenitis suppurativa: an update on connecting the tracts. </w:t>
      </w:r>
      <w:r w:rsidRPr="00491D05">
        <w:rPr>
          <w:rFonts w:ascii="Book Antiqua" w:hAnsi="Book Antiqua"/>
          <w:i/>
          <w:iCs/>
        </w:rPr>
        <w:t>F1000Res</w:t>
      </w:r>
      <w:r w:rsidRPr="00491D05">
        <w:rPr>
          <w:rFonts w:ascii="Book Antiqua" w:hAnsi="Book Antiqua"/>
        </w:rPr>
        <w:t> 2017; </w:t>
      </w:r>
      <w:r w:rsidRPr="00491D05">
        <w:rPr>
          <w:rFonts w:ascii="Book Antiqua" w:hAnsi="Book Antiqua"/>
          <w:b/>
          <w:bCs/>
        </w:rPr>
        <w:t>6</w:t>
      </w:r>
      <w:r w:rsidRPr="00491D05">
        <w:rPr>
          <w:rFonts w:ascii="Book Antiqua" w:hAnsi="Book Antiqua"/>
        </w:rPr>
        <w:t>: 1272 [PMID: 28794864 DOI: 10.12688/f1000research.11337.1]</w:t>
      </w:r>
    </w:p>
    <w:p w14:paraId="090C5C09"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20 </w:t>
      </w:r>
      <w:r w:rsidRPr="00491D05">
        <w:rPr>
          <w:rFonts w:ascii="Book Antiqua" w:hAnsi="Book Antiqua"/>
          <w:b/>
          <w:bCs/>
        </w:rPr>
        <w:t>Garg A</w:t>
      </w:r>
      <w:r w:rsidRPr="00491D05">
        <w:rPr>
          <w:rFonts w:ascii="Book Antiqua" w:hAnsi="Book Antiqua"/>
        </w:rPr>
        <w:t>, Papagermanos V, Midura M, Strunk A. Incidence of hidradenitis suppurativa among tobacco smokers: a population-based retrospective analysis in the U.S.A. </w:t>
      </w:r>
      <w:r w:rsidRPr="00491D05">
        <w:rPr>
          <w:rFonts w:ascii="Book Antiqua" w:hAnsi="Book Antiqua"/>
          <w:i/>
          <w:iCs/>
        </w:rPr>
        <w:t>Br J Dermatol</w:t>
      </w:r>
      <w:r w:rsidRPr="00491D05">
        <w:rPr>
          <w:rFonts w:ascii="Book Antiqua" w:hAnsi="Book Antiqua"/>
        </w:rPr>
        <w:t> 2018; </w:t>
      </w:r>
      <w:r w:rsidRPr="00491D05">
        <w:rPr>
          <w:rFonts w:ascii="Book Antiqua" w:hAnsi="Book Antiqua"/>
          <w:b/>
          <w:bCs/>
        </w:rPr>
        <w:t>178</w:t>
      </w:r>
      <w:r w:rsidRPr="00491D05">
        <w:rPr>
          <w:rFonts w:ascii="Book Antiqua" w:hAnsi="Book Antiqua"/>
        </w:rPr>
        <w:t>: 709-714 [PMID: 28960235 DOI: 10.1111/bjd.15939]</w:t>
      </w:r>
    </w:p>
    <w:p w14:paraId="3A338B54"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21 </w:t>
      </w:r>
      <w:r w:rsidRPr="00491D05">
        <w:rPr>
          <w:rFonts w:ascii="Book Antiqua" w:hAnsi="Book Antiqua"/>
          <w:b/>
          <w:bCs/>
        </w:rPr>
        <w:t>Hana A</w:t>
      </w:r>
      <w:r w:rsidRPr="00491D05">
        <w:rPr>
          <w:rFonts w:ascii="Book Antiqua" w:hAnsi="Book Antiqua"/>
        </w:rPr>
        <w:t>, Booken D, Henrich C, Gratchev A, Maas-Szabowski N, Goerdt S, Kurzen H. Functional significance of non-neuronal acetylcholine in skin epithelia. </w:t>
      </w:r>
      <w:r w:rsidRPr="00491D05">
        <w:rPr>
          <w:rFonts w:ascii="Book Antiqua" w:hAnsi="Book Antiqua"/>
          <w:i/>
          <w:iCs/>
        </w:rPr>
        <w:t>Life Sci</w:t>
      </w:r>
      <w:r w:rsidRPr="00491D05">
        <w:rPr>
          <w:rFonts w:ascii="Book Antiqua" w:hAnsi="Book Antiqua"/>
        </w:rPr>
        <w:t> 2007; </w:t>
      </w:r>
      <w:r w:rsidRPr="00491D05">
        <w:rPr>
          <w:rFonts w:ascii="Book Antiqua" w:hAnsi="Book Antiqua"/>
          <w:b/>
          <w:bCs/>
        </w:rPr>
        <w:t>80</w:t>
      </w:r>
      <w:r w:rsidRPr="00491D05">
        <w:rPr>
          <w:rFonts w:ascii="Book Antiqua" w:hAnsi="Book Antiqua"/>
        </w:rPr>
        <w:t>: 2214-2220 [PMID: 17363005 DOI: 10.1016/j.lfs.2007.02.007]</w:t>
      </w:r>
    </w:p>
    <w:p w14:paraId="6674E8FC"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22 </w:t>
      </w:r>
      <w:r w:rsidRPr="00491D05">
        <w:rPr>
          <w:rFonts w:ascii="Book Antiqua" w:hAnsi="Book Antiqua"/>
          <w:b/>
          <w:bCs/>
        </w:rPr>
        <w:t>Kurzen H</w:t>
      </w:r>
      <w:r w:rsidRPr="00491D05">
        <w:rPr>
          <w:rFonts w:ascii="Book Antiqua" w:hAnsi="Book Antiqua"/>
        </w:rPr>
        <w:t>, Kurokawa I, Jemec GB, Emtestam L, Sellheyer K, Giamarellos-Bourboulis EJ, Nagy I, Bechara FG, Sartorius K, Lapins J, Krahl D, Altmeyer P, Revuz J, Zouboulis CC. What causes hidradenitis suppurativa? </w:t>
      </w:r>
      <w:r w:rsidRPr="00491D05">
        <w:rPr>
          <w:rFonts w:ascii="Book Antiqua" w:hAnsi="Book Antiqua"/>
          <w:i/>
          <w:iCs/>
        </w:rPr>
        <w:t>Exp Dermatol</w:t>
      </w:r>
      <w:r w:rsidRPr="00491D05">
        <w:rPr>
          <w:rFonts w:ascii="Book Antiqua" w:hAnsi="Book Antiqua"/>
        </w:rPr>
        <w:t> 2008; </w:t>
      </w:r>
      <w:r w:rsidRPr="00491D05">
        <w:rPr>
          <w:rFonts w:ascii="Book Antiqua" w:hAnsi="Book Antiqua"/>
          <w:b/>
          <w:bCs/>
        </w:rPr>
        <w:t>17</w:t>
      </w:r>
      <w:r w:rsidRPr="00491D05">
        <w:rPr>
          <w:rFonts w:ascii="Book Antiqua" w:hAnsi="Book Antiqua"/>
        </w:rPr>
        <w:t>: 455-6; discussion 457-72 [PMID: 18400064 DOI: 10.1111/j.1600-0625.2008.00712_1.x]</w:t>
      </w:r>
    </w:p>
    <w:p w14:paraId="2E1AF2B9"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23 </w:t>
      </w:r>
      <w:r w:rsidRPr="00491D05">
        <w:rPr>
          <w:rFonts w:ascii="Book Antiqua" w:hAnsi="Book Antiqua"/>
          <w:b/>
          <w:bCs/>
        </w:rPr>
        <w:t>Jeong SH</w:t>
      </w:r>
      <w:r w:rsidRPr="00491D05">
        <w:rPr>
          <w:rFonts w:ascii="Book Antiqua" w:hAnsi="Book Antiqua"/>
        </w:rPr>
        <w:t>, Park JH, Kim JN, Park YH, Shin SY, Lee YH, Kye YC, Son SW. Up-regulation of TNF-alpha secretion by cigarette smoke is mediated by Egr-1 in HaCaT human keratinocytes. </w:t>
      </w:r>
      <w:r w:rsidRPr="00491D05">
        <w:rPr>
          <w:rFonts w:ascii="Book Antiqua" w:hAnsi="Book Antiqua"/>
          <w:i/>
          <w:iCs/>
        </w:rPr>
        <w:t>Exp Dermatol</w:t>
      </w:r>
      <w:r w:rsidRPr="00491D05">
        <w:rPr>
          <w:rFonts w:ascii="Book Antiqua" w:hAnsi="Book Antiqua"/>
        </w:rPr>
        <w:t> 2010; </w:t>
      </w:r>
      <w:r w:rsidRPr="00491D05">
        <w:rPr>
          <w:rFonts w:ascii="Book Antiqua" w:hAnsi="Book Antiqua"/>
          <w:b/>
          <w:bCs/>
        </w:rPr>
        <w:t>19</w:t>
      </w:r>
      <w:r w:rsidRPr="00491D05">
        <w:rPr>
          <w:rFonts w:ascii="Book Antiqua" w:hAnsi="Book Antiqua"/>
        </w:rPr>
        <w:t>: e206-e212 [PMID: 20653771 DOI: 10.1111/j.1600-0625.2009.01050.x]</w:t>
      </w:r>
    </w:p>
    <w:p w14:paraId="5ADE819E"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24 </w:t>
      </w:r>
      <w:r w:rsidRPr="00491D05">
        <w:rPr>
          <w:rFonts w:ascii="Book Antiqua" w:hAnsi="Book Antiqua"/>
          <w:b/>
          <w:bCs/>
        </w:rPr>
        <w:t>Torii K</w:t>
      </w:r>
      <w:r w:rsidRPr="00491D05">
        <w:rPr>
          <w:rFonts w:ascii="Book Antiqua" w:hAnsi="Book Antiqua"/>
        </w:rPr>
        <w:t>, Saito C, Furuhashi T, Nishioka A, Shintani Y, Kawashima K, Kato H, Morita A. Tobacco smoke is related to Th17 generation with clinical implications for psoriasis patients. </w:t>
      </w:r>
      <w:r w:rsidRPr="00491D05">
        <w:rPr>
          <w:rFonts w:ascii="Book Antiqua" w:hAnsi="Book Antiqua"/>
          <w:i/>
          <w:iCs/>
        </w:rPr>
        <w:t>Exp Dermatol</w:t>
      </w:r>
      <w:r w:rsidRPr="00491D05">
        <w:rPr>
          <w:rFonts w:ascii="Book Antiqua" w:hAnsi="Book Antiqua"/>
        </w:rPr>
        <w:t> 2011; </w:t>
      </w:r>
      <w:r w:rsidRPr="00491D05">
        <w:rPr>
          <w:rFonts w:ascii="Book Antiqua" w:hAnsi="Book Antiqua"/>
          <w:b/>
          <w:bCs/>
        </w:rPr>
        <w:t>20</w:t>
      </w:r>
      <w:r w:rsidRPr="00491D05">
        <w:rPr>
          <w:rFonts w:ascii="Book Antiqua" w:hAnsi="Book Antiqua"/>
        </w:rPr>
        <w:t>: 371-373 [PMID: 21355889 DOI: 10.1111/j.1600-0625.2010.01224.x]</w:t>
      </w:r>
    </w:p>
    <w:p w14:paraId="251F5F25"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25 </w:t>
      </w:r>
      <w:r w:rsidRPr="00491D05">
        <w:rPr>
          <w:rFonts w:ascii="Book Antiqua" w:hAnsi="Book Antiqua"/>
          <w:b/>
          <w:bCs/>
        </w:rPr>
        <w:t>Blok JL</w:t>
      </w:r>
      <w:r w:rsidRPr="00491D05">
        <w:rPr>
          <w:rFonts w:ascii="Book Antiqua" w:hAnsi="Book Antiqua"/>
        </w:rPr>
        <w:t>, Li K, Brodmerkel C, Horvátovich P, Jonkman MF, Horváth B. Ustekinumab in hidradenitis suppurativa: clinical results and a search for potential biomarkers in serum. </w:t>
      </w:r>
      <w:r w:rsidRPr="00491D05">
        <w:rPr>
          <w:rFonts w:ascii="Book Antiqua" w:hAnsi="Book Antiqua"/>
          <w:i/>
          <w:iCs/>
        </w:rPr>
        <w:t>Br J Dermatol</w:t>
      </w:r>
      <w:r w:rsidRPr="00491D05">
        <w:rPr>
          <w:rFonts w:ascii="Book Antiqua" w:hAnsi="Book Antiqua"/>
        </w:rPr>
        <w:t> 2016; </w:t>
      </w:r>
      <w:r w:rsidRPr="00491D05">
        <w:rPr>
          <w:rFonts w:ascii="Book Antiqua" w:hAnsi="Book Antiqua"/>
          <w:b/>
          <w:bCs/>
        </w:rPr>
        <w:t>174</w:t>
      </w:r>
      <w:r w:rsidRPr="00491D05">
        <w:rPr>
          <w:rFonts w:ascii="Book Antiqua" w:hAnsi="Book Antiqua"/>
        </w:rPr>
        <w:t>: 839-846 [PMID: 26641739 DOI: 10.1111/bjd.14338]</w:t>
      </w:r>
    </w:p>
    <w:p w14:paraId="3F91D2A0"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26 </w:t>
      </w:r>
      <w:r w:rsidRPr="00491D05">
        <w:rPr>
          <w:rFonts w:ascii="Book Antiqua" w:hAnsi="Book Antiqua"/>
          <w:b/>
          <w:bCs/>
        </w:rPr>
        <w:t>Chen WT</w:t>
      </w:r>
      <w:r w:rsidRPr="00491D05">
        <w:rPr>
          <w:rFonts w:ascii="Book Antiqua" w:hAnsi="Book Antiqua"/>
        </w:rPr>
        <w:t>, Chi CC. Association of Hidradenitis Suppurativa With Inflammatory Bowel Disease: A Systematic Review and Meta-analysis. </w:t>
      </w:r>
      <w:r w:rsidRPr="00491D05">
        <w:rPr>
          <w:rFonts w:ascii="Book Antiqua" w:hAnsi="Book Antiqua"/>
          <w:i/>
          <w:iCs/>
        </w:rPr>
        <w:t>JAMA Dermatol</w:t>
      </w:r>
      <w:r w:rsidRPr="00491D05">
        <w:rPr>
          <w:rFonts w:ascii="Book Antiqua" w:hAnsi="Book Antiqua"/>
        </w:rPr>
        <w:t> 2019 [PMID: 31290938 DOI: 10.1001/jamadermatol.2019.0891]</w:t>
      </w:r>
    </w:p>
    <w:p w14:paraId="584A2934"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27 </w:t>
      </w:r>
      <w:r w:rsidRPr="00491D05">
        <w:rPr>
          <w:rFonts w:ascii="Book Antiqua" w:hAnsi="Book Antiqua"/>
          <w:b/>
          <w:bCs/>
        </w:rPr>
        <w:t>van der Zee HH</w:t>
      </w:r>
      <w:r w:rsidRPr="00491D05">
        <w:rPr>
          <w:rFonts w:ascii="Book Antiqua" w:hAnsi="Book Antiqua"/>
        </w:rPr>
        <w:t>, Jemec GB. New insights into the diagnosis of hidradenitis suppurativa: Clinical presentations and phenotypes. </w:t>
      </w:r>
      <w:r w:rsidRPr="00491D05">
        <w:rPr>
          <w:rFonts w:ascii="Book Antiqua" w:hAnsi="Book Antiqua"/>
          <w:i/>
          <w:iCs/>
        </w:rPr>
        <w:t>J Am Acad Dermatol</w:t>
      </w:r>
      <w:r w:rsidRPr="00491D05">
        <w:rPr>
          <w:rFonts w:ascii="Book Antiqua" w:hAnsi="Book Antiqua"/>
        </w:rPr>
        <w:t> 2015; </w:t>
      </w:r>
      <w:r w:rsidRPr="00491D05">
        <w:rPr>
          <w:rFonts w:ascii="Book Antiqua" w:hAnsi="Book Antiqua"/>
          <w:b/>
          <w:bCs/>
        </w:rPr>
        <w:t>73</w:t>
      </w:r>
      <w:r w:rsidRPr="00491D05">
        <w:rPr>
          <w:rFonts w:ascii="Book Antiqua" w:hAnsi="Book Antiqua"/>
        </w:rPr>
        <w:t>: S23-S26 [PMID: 26470610 DOI: 10.1016/j.jaad.2015.07.047]</w:t>
      </w:r>
    </w:p>
    <w:p w14:paraId="301B8B01" w14:textId="430DD28E"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28 </w:t>
      </w:r>
      <w:r w:rsidR="001D76A5" w:rsidRPr="00491D05">
        <w:rPr>
          <w:rFonts w:ascii="Book Antiqua" w:hAnsi="Book Antiqua"/>
          <w:b/>
          <w:bCs/>
        </w:rPr>
        <w:t>Hurley H</w:t>
      </w:r>
      <w:r w:rsidR="001D76A5" w:rsidRPr="00491D05">
        <w:rPr>
          <w:rFonts w:ascii="Book Antiqua" w:hAnsi="Book Antiqua"/>
          <w:bCs/>
        </w:rPr>
        <w:t>. Axillary hyperhidrosis, apocrine bromhidrosis, hidradenitis suppurativa, and familial benign pemphigus. In: Roenigk RH, Roenigk HH Jr, eds. Dermatologic surgery: principles and practice. New York, NY: Marcel Dekker; 1989:</w:t>
      </w:r>
      <w:r w:rsidR="008750BA" w:rsidRPr="00491D05">
        <w:rPr>
          <w:rFonts w:ascii="Book Antiqua" w:hAnsi="Book Antiqua"/>
          <w:bCs/>
        </w:rPr>
        <w:t xml:space="preserve"> </w:t>
      </w:r>
      <w:r w:rsidR="001D76A5" w:rsidRPr="00491D05">
        <w:rPr>
          <w:rFonts w:ascii="Book Antiqua" w:hAnsi="Book Antiqua"/>
          <w:bCs/>
        </w:rPr>
        <w:t>729-739</w:t>
      </w:r>
    </w:p>
    <w:p w14:paraId="2BB07A69"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29 </w:t>
      </w:r>
      <w:r w:rsidRPr="00491D05">
        <w:rPr>
          <w:rFonts w:ascii="Book Antiqua" w:hAnsi="Book Antiqua"/>
          <w:b/>
          <w:bCs/>
        </w:rPr>
        <w:t>Monnier L</w:t>
      </w:r>
      <w:r w:rsidRPr="00491D05">
        <w:rPr>
          <w:rFonts w:ascii="Book Antiqua" w:hAnsi="Book Antiqua"/>
        </w:rPr>
        <w:t>, Dohan A, Amara N, Zagdanski AM, Drame M, Soyer P, Hoeffel C. Anoperineal disease in Hidradenitis Suppurativa : MR imaging distinction from perianal Crohn's disease. </w:t>
      </w:r>
      <w:r w:rsidRPr="00491D05">
        <w:rPr>
          <w:rFonts w:ascii="Book Antiqua" w:hAnsi="Book Antiqua"/>
          <w:i/>
          <w:iCs/>
        </w:rPr>
        <w:t>Eur Radiol</w:t>
      </w:r>
      <w:r w:rsidRPr="00491D05">
        <w:rPr>
          <w:rFonts w:ascii="Book Antiqua" w:hAnsi="Book Antiqua"/>
        </w:rPr>
        <w:t> 2017; </w:t>
      </w:r>
      <w:r w:rsidRPr="00491D05">
        <w:rPr>
          <w:rFonts w:ascii="Book Antiqua" w:hAnsi="Book Antiqua"/>
          <w:b/>
          <w:bCs/>
        </w:rPr>
        <w:t>27</w:t>
      </w:r>
      <w:r w:rsidRPr="00491D05">
        <w:rPr>
          <w:rFonts w:ascii="Book Antiqua" w:hAnsi="Book Antiqua"/>
        </w:rPr>
        <w:t>: 4100-4109 [PMID: 28289934 DOI: 10.1007/s00330-017-4776-1]</w:t>
      </w:r>
    </w:p>
    <w:p w14:paraId="2C54C7D7"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30 </w:t>
      </w:r>
      <w:r w:rsidRPr="00491D05">
        <w:rPr>
          <w:rFonts w:ascii="Book Antiqua" w:hAnsi="Book Antiqua"/>
          <w:b/>
          <w:bCs/>
        </w:rPr>
        <w:t>Vekic DA</w:t>
      </w:r>
      <w:r w:rsidRPr="00491D05">
        <w:rPr>
          <w:rFonts w:ascii="Book Antiqua" w:hAnsi="Book Antiqua"/>
        </w:rPr>
        <w:t>, Cains GD. Hidradenitis suppurativa, a review of pathogenesis, associations and management. Part 2. </w:t>
      </w:r>
      <w:r w:rsidRPr="00491D05">
        <w:rPr>
          <w:rFonts w:ascii="Book Antiqua" w:hAnsi="Book Antiqua"/>
          <w:i/>
          <w:iCs/>
        </w:rPr>
        <w:t>Australas J Dermatol</w:t>
      </w:r>
      <w:r w:rsidRPr="00491D05">
        <w:rPr>
          <w:rFonts w:ascii="Book Antiqua" w:hAnsi="Book Antiqua"/>
        </w:rPr>
        <w:t> 2018; </w:t>
      </w:r>
      <w:r w:rsidRPr="00491D05">
        <w:rPr>
          <w:rFonts w:ascii="Book Antiqua" w:hAnsi="Book Antiqua"/>
          <w:b/>
          <w:bCs/>
        </w:rPr>
        <w:t>59</w:t>
      </w:r>
      <w:r w:rsidRPr="00491D05">
        <w:rPr>
          <w:rFonts w:ascii="Book Antiqua" w:hAnsi="Book Antiqua"/>
        </w:rPr>
        <w:t>: 261-266 [PMID: 29363099 DOI: 10.1111/ajd.12766]</w:t>
      </w:r>
    </w:p>
    <w:p w14:paraId="4B8357B3"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31 </w:t>
      </w:r>
      <w:r w:rsidRPr="00491D05">
        <w:rPr>
          <w:rFonts w:ascii="Book Antiqua" w:hAnsi="Book Antiqua"/>
          <w:b/>
          <w:bCs/>
        </w:rPr>
        <w:t>Hunger RE</w:t>
      </w:r>
      <w:r w:rsidRPr="00491D05">
        <w:rPr>
          <w:rFonts w:ascii="Book Antiqua" w:hAnsi="Book Antiqua"/>
        </w:rPr>
        <w:t>, Laffitte E, Läuchli S, Mainetti C, Mühlstädt M, Schiller P, Lapointe AK, Meschberger P, Navarini AA. Swiss Practice Recommendations for the Management of Hidradenitis Suppurativa/Acne Inversa. </w:t>
      </w:r>
      <w:r w:rsidRPr="00491D05">
        <w:rPr>
          <w:rFonts w:ascii="Book Antiqua" w:hAnsi="Book Antiqua"/>
          <w:i/>
          <w:iCs/>
        </w:rPr>
        <w:t>Dermatology</w:t>
      </w:r>
      <w:r w:rsidRPr="00491D05">
        <w:rPr>
          <w:rFonts w:ascii="Book Antiqua" w:hAnsi="Book Antiqua"/>
        </w:rPr>
        <w:t> 2017; </w:t>
      </w:r>
      <w:r w:rsidRPr="00491D05">
        <w:rPr>
          <w:rFonts w:ascii="Book Antiqua" w:hAnsi="Book Antiqua"/>
          <w:b/>
          <w:bCs/>
        </w:rPr>
        <w:t>233</w:t>
      </w:r>
      <w:r w:rsidRPr="00491D05">
        <w:rPr>
          <w:rFonts w:ascii="Book Antiqua" w:hAnsi="Book Antiqua"/>
        </w:rPr>
        <w:t>: 113-119 [PMID: 28683447 DOI: 10.1159/000477459]</w:t>
      </w:r>
    </w:p>
    <w:p w14:paraId="08C84AA4"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32 </w:t>
      </w:r>
      <w:r w:rsidRPr="00491D05">
        <w:rPr>
          <w:rFonts w:ascii="Book Antiqua" w:hAnsi="Book Antiqua"/>
          <w:b/>
          <w:bCs/>
        </w:rPr>
        <w:t>Lichtenstein GR</w:t>
      </w:r>
      <w:r w:rsidRPr="00491D05">
        <w:rPr>
          <w:rFonts w:ascii="Book Antiqua" w:hAnsi="Book Antiqua"/>
        </w:rPr>
        <w:t>, Loftus EV, Isaacs KL, Regueiro MD, Gerson LB, Sands BE. ACG Clinical Guideline: Management of Crohn's Disease in Adults. </w:t>
      </w:r>
      <w:r w:rsidRPr="00491D05">
        <w:rPr>
          <w:rFonts w:ascii="Book Antiqua" w:hAnsi="Book Antiqua"/>
          <w:i/>
          <w:iCs/>
        </w:rPr>
        <w:t>Am J Gastroenterol</w:t>
      </w:r>
      <w:r w:rsidRPr="00491D05">
        <w:rPr>
          <w:rFonts w:ascii="Book Antiqua" w:hAnsi="Book Antiqua"/>
        </w:rPr>
        <w:t> 2018; </w:t>
      </w:r>
      <w:r w:rsidRPr="00491D05">
        <w:rPr>
          <w:rFonts w:ascii="Book Antiqua" w:hAnsi="Book Antiqua"/>
          <w:b/>
          <w:bCs/>
        </w:rPr>
        <w:t>113</w:t>
      </w:r>
      <w:r w:rsidRPr="00491D05">
        <w:rPr>
          <w:rFonts w:ascii="Book Antiqua" w:hAnsi="Book Antiqua"/>
        </w:rPr>
        <w:t>: 481-517 [PMID: 29610508 DOI: 10.1038/ajg.2018.27]</w:t>
      </w:r>
    </w:p>
    <w:p w14:paraId="06E43C8A"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33 </w:t>
      </w:r>
      <w:r w:rsidRPr="00491D05">
        <w:rPr>
          <w:rFonts w:ascii="Book Antiqua" w:hAnsi="Book Antiqua"/>
          <w:b/>
          <w:bCs/>
        </w:rPr>
        <w:t>Dessinioti C</w:t>
      </w:r>
      <w:r w:rsidRPr="00491D05">
        <w:rPr>
          <w:rFonts w:ascii="Book Antiqua" w:hAnsi="Book Antiqua"/>
        </w:rPr>
        <w:t>, Zisimou C, Tzanetakou V, Stratigos A, Antoniou C. Oral clindamycin and rifampicin combination therapy for hidradenitis suppurativa: a prospective study and 1-year follow-up. </w:t>
      </w:r>
      <w:r w:rsidRPr="00491D05">
        <w:rPr>
          <w:rFonts w:ascii="Book Antiqua" w:hAnsi="Book Antiqua"/>
          <w:i/>
          <w:iCs/>
        </w:rPr>
        <w:t>Clin Exp Dermatol</w:t>
      </w:r>
      <w:r w:rsidRPr="00491D05">
        <w:rPr>
          <w:rFonts w:ascii="Book Antiqua" w:hAnsi="Book Antiqua"/>
        </w:rPr>
        <w:t> 2016; </w:t>
      </w:r>
      <w:r w:rsidRPr="00491D05">
        <w:rPr>
          <w:rFonts w:ascii="Book Antiqua" w:hAnsi="Book Antiqua"/>
          <w:b/>
          <w:bCs/>
        </w:rPr>
        <w:t>41</w:t>
      </w:r>
      <w:r w:rsidRPr="00491D05">
        <w:rPr>
          <w:rFonts w:ascii="Book Antiqua" w:hAnsi="Book Antiqua"/>
        </w:rPr>
        <w:t>: 852-857 [PMID: 27753139 DOI: 10.1111/ced.12933]</w:t>
      </w:r>
    </w:p>
    <w:p w14:paraId="7CF32E21"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34 </w:t>
      </w:r>
      <w:r w:rsidRPr="00491D05">
        <w:rPr>
          <w:rFonts w:ascii="Book Antiqua" w:hAnsi="Book Antiqua"/>
          <w:b/>
          <w:bCs/>
        </w:rPr>
        <w:t>Savage KT</w:t>
      </w:r>
      <w:r w:rsidRPr="00491D05">
        <w:rPr>
          <w:rFonts w:ascii="Book Antiqua" w:hAnsi="Book Antiqua"/>
        </w:rPr>
        <w:t>, Flood KS, Porter ML, Kimball AB. TNF-α inhibitors in the treatment of hidradenitis suppurativa. </w:t>
      </w:r>
      <w:r w:rsidRPr="00491D05">
        <w:rPr>
          <w:rFonts w:ascii="Book Antiqua" w:hAnsi="Book Antiqua"/>
          <w:i/>
          <w:iCs/>
        </w:rPr>
        <w:t>Ther Adv Chronic Dis</w:t>
      </w:r>
      <w:r w:rsidRPr="00491D05">
        <w:rPr>
          <w:rFonts w:ascii="Book Antiqua" w:hAnsi="Book Antiqua"/>
        </w:rPr>
        <w:t> 2019; </w:t>
      </w:r>
      <w:r w:rsidRPr="00491D05">
        <w:rPr>
          <w:rFonts w:ascii="Book Antiqua" w:hAnsi="Book Antiqua"/>
          <w:b/>
          <w:bCs/>
        </w:rPr>
        <w:t>10</w:t>
      </w:r>
      <w:r w:rsidRPr="00491D05">
        <w:rPr>
          <w:rFonts w:ascii="Book Antiqua" w:hAnsi="Book Antiqua"/>
        </w:rPr>
        <w:t>: 2040622319851640 [PMID: 31191873 DOI: 10.1177/2040622319851640]</w:t>
      </w:r>
    </w:p>
    <w:p w14:paraId="183DAA71"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35 </w:t>
      </w:r>
      <w:r w:rsidRPr="00491D05">
        <w:rPr>
          <w:rFonts w:ascii="Book Antiqua" w:hAnsi="Book Antiqua"/>
          <w:b/>
          <w:bCs/>
        </w:rPr>
        <w:t>Kelly G</w:t>
      </w:r>
      <w:r w:rsidRPr="00491D05">
        <w:rPr>
          <w:rFonts w:ascii="Book Antiqua" w:hAnsi="Book Antiqua"/>
        </w:rPr>
        <w:t>, Hughes R, McGarry T, van den Born M, Adamzik K, Fitzgerald R, Lawlor C, Tobin AM, Sweeney CM, Kirby B. Dysregulated cytokine expression in lesional and nonlesional skin in hidradenitis suppurativa. </w:t>
      </w:r>
      <w:r w:rsidRPr="00491D05">
        <w:rPr>
          <w:rFonts w:ascii="Book Antiqua" w:hAnsi="Book Antiqua"/>
          <w:i/>
          <w:iCs/>
        </w:rPr>
        <w:t>Br J Dermatol</w:t>
      </w:r>
      <w:r w:rsidRPr="00491D05">
        <w:rPr>
          <w:rFonts w:ascii="Book Antiqua" w:hAnsi="Book Antiqua"/>
        </w:rPr>
        <w:t> 2015; </w:t>
      </w:r>
      <w:r w:rsidRPr="00491D05">
        <w:rPr>
          <w:rFonts w:ascii="Book Antiqua" w:hAnsi="Book Antiqua"/>
          <w:b/>
          <w:bCs/>
        </w:rPr>
        <w:t>173</w:t>
      </w:r>
      <w:r w:rsidRPr="00491D05">
        <w:rPr>
          <w:rFonts w:ascii="Book Antiqua" w:hAnsi="Book Antiqua"/>
        </w:rPr>
        <w:t>: 1431-1439 [PMID: 26282467 DOI: 10.1111/bjd.14075]</w:t>
      </w:r>
    </w:p>
    <w:p w14:paraId="10C06DAC"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36 </w:t>
      </w:r>
      <w:r w:rsidRPr="00491D05">
        <w:rPr>
          <w:rFonts w:ascii="Book Antiqua" w:hAnsi="Book Antiqua"/>
          <w:b/>
          <w:bCs/>
        </w:rPr>
        <w:t>van der Zee HH</w:t>
      </w:r>
      <w:r w:rsidRPr="00491D05">
        <w:rPr>
          <w:rFonts w:ascii="Book Antiqua" w:hAnsi="Book Antiqua"/>
        </w:rPr>
        <w:t>, Laman JD, de Ruiter L, Dik WA, Prens EP. Adalimumab (antitumour necrosis factor-α) treatment of hidradenitis suppurativa ameliorates skin inflammation: an in situ and ex vivo study. </w:t>
      </w:r>
      <w:r w:rsidRPr="00491D05">
        <w:rPr>
          <w:rFonts w:ascii="Book Antiqua" w:hAnsi="Book Antiqua"/>
          <w:i/>
          <w:iCs/>
        </w:rPr>
        <w:t>Br J Dermatol</w:t>
      </w:r>
      <w:r w:rsidRPr="00491D05">
        <w:rPr>
          <w:rFonts w:ascii="Book Antiqua" w:hAnsi="Book Antiqua"/>
        </w:rPr>
        <w:t> 2012; </w:t>
      </w:r>
      <w:r w:rsidRPr="00491D05">
        <w:rPr>
          <w:rFonts w:ascii="Book Antiqua" w:hAnsi="Book Antiqua"/>
          <w:b/>
          <w:bCs/>
        </w:rPr>
        <w:t>166</w:t>
      </w:r>
      <w:r w:rsidRPr="00491D05">
        <w:rPr>
          <w:rFonts w:ascii="Book Antiqua" w:hAnsi="Book Antiqua"/>
        </w:rPr>
        <w:t>: 298-305 [PMID: 22013960 DOI: 10.1111/j.1365-2133.2011.10698.x]</w:t>
      </w:r>
    </w:p>
    <w:p w14:paraId="413C10F0"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37 </w:t>
      </w:r>
      <w:r w:rsidRPr="00491D05">
        <w:rPr>
          <w:rFonts w:ascii="Book Antiqua" w:hAnsi="Book Antiqua"/>
          <w:b/>
          <w:bCs/>
        </w:rPr>
        <w:t>Kimball AB</w:t>
      </w:r>
      <w:r w:rsidRPr="00491D05">
        <w:rPr>
          <w:rFonts w:ascii="Book Antiqua" w:hAnsi="Book Antiqua"/>
        </w:rPr>
        <w:t>, Okun MM, Williams DA, Gottlieb AB, Papp KA, Zouboulis CC, Armstrong AW, Kerdel F, Gold MH, Forman SB, Korman NJ, Giamarellos-Bourboulis EJ, Crowley JJ, Lynde C, Reguiai Z, Prens EP, Alwawi E, Mostafa NM, Pinsky B, Sundaram M, Gu Y, Carlson DM, Jemec GB. Two Phase 3 Trials of Adalimumab for Hidradenitis Suppurativa. </w:t>
      </w:r>
      <w:r w:rsidRPr="00491D05">
        <w:rPr>
          <w:rFonts w:ascii="Book Antiqua" w:hAnsi="Book Antiqua"/>
          <w:i/>
          <w:iCs/>
        </w:rPr>
        <w:t>N Engl J Med</w:t>
      </w:r>
      <w:r w:rsidRPr="00491D05">
        <w:rPr>
          <w:rFonts w:ascii="Book Antiqua" w:hAnsi="Book Antiqua"/>
        </w:rPr>
        <w:t> 2016; </w:t>
      </w:r>
      <w:r w:rsidRPr="00491D05">
        <w:rPr>
          <w:rFonts w:ascii="Book Antiqua" w:hAnsi="Book Antiqua"/>
          <w:b/>
          <w:bCs/>
        </w:rPr>
        <w:t>375</w:t>
      </w:r>
      <w:r w:rsidRPr="00491D05">
        <w:rPr>
          <w:rFonts w:ascii="Book Antiqua" w:hAnsi="Book Antiqua"/>
        </w:rPr>
        <w:t>: 422-434 [PMID: 27518661 DOI: 10.1056/NEJMoa1504370]</w:t>
      </w:r>
    </w:p>
    <w:p w14:paraId="38629C88"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38 </w:t>
      </w:r>
      <w:r w:rsidRPr="00491D05">
        <w:rPr>
          <w:rFonts w:ascii="Book Antiqua" w:hAnsi="Book Antiqua"/>
          <w:b/>
          <w:bCs/>
        </w:rPr>
        <w:t>Amano M</w:t>
      </w:r>
      <w:r w:rsidRPr="00491D05">
        <w:rPr>
          <w:rFonts w:ascii="Book Antiqua" w:hAnsi="Book Antiqua"/>
        </w:rPr>
        <w:t>, Grant A, Kerdel FA. A prospective open-label clinical trial of adalimumab for the treatment of hidradenitis suppurativa. </w:t>
      </w:r>
      <w:r w:rsidRPr="00491D05">
        <w:rPr>
          <w:rFonts w:ascii="Book Antiqua" w:hAnsi="Book Antiqua"/>
          <w:i/>
          <w:iCs/>
        </w:rPr>
        <w:t>Int J Dermatol</w:t>
      </w:r>
      <w:r w:rsidRPr="00491D05">
        <w:rPr>
          <w:rFonts w:ascii="Book Antiqua" w:hAnsi="Book Antiqua"/>
        </w:rPr>
        <w:t> 2010; </w:t>
      </w:r>
      <w:r w:rsidRPr="00491D05">
        <w:rPr>
          <w:rFonts w:ascii="Book Antiqua" w:hAnsi="Book Antiqua"/>
          <w:b/>
          <w:bCs/>
        </w:rPr>
        <w:t>49</w:t>
      </w:r>
      <w:r w:rsidRPr="00491D05">
        <w:rPr>
          <w:rFonts w:ascii="Book Antiqua" w:hAnsi="Book Antiqua"/>
        </w:rPr>
        <w:t>: 950-955 [PMID: 21128923 DOI: 10.1111/j.1365-4632.2010.04545.x]</w:t>
      </w:r>
    </w:p>
    <w:p w14:paraId="3A1BE2FA"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39 </w:t>
      </w:r>
      <w:r w:rsidRPr="00491D05">
        <w:rPr>
          <w:rFonts w:ascii="Book Antiqua" w:hAnsi="Book Antiqua"/>
          <w:b/>
          <w:bCs/>
        </w:rPr>
        <w:t>Miller I</w:t>
      </w:r>
      <w:r w:rsidRPr="00491D05">
        <w:rPr>
          <w:rFonts w:ascii="Book Antiqua" w:hAnsi="Book Antiqua"/>
        </w:rPr>
        <w:t>, Lynggaard CD, Lophaven S, Zachariae C, Dufour DN, Jemec GB. A double-blind placebo-controlled randomized trial of adalimumab in the treatment of hidradenitis suppurativa. </w:t>
      </w:r>
      <w:r w:rsidRPr="00491D05">
        <w:rPr>
          <w:rFonts w:ascii="Book Antiqua" w:hAnsi="Book Antiqua"/>
          <w:i/>
          <w:iCs/>
        </w:rPr>
        <w:t>Br J Dermatol</w:t>
      </w:r>
      <w:r w:rsidRPr="00491D05">
        <w:rPr>
          <w:rFonts w:ascii="Book Antiqua" w:hAnsi="Book Antiqua"/>
        </w:rPr>
        <w:t> 2011; </w:t>
      </w:r>
      <w:r w:rsidRPr="00491D05">
        <w:rPr>
          <w:rFonts w:ascii="Book Antiqua" w:hAnsi="Book Antiqua"/>
          <w:b/>
          <w:bCs/>
        </w:rPr>
        <w:t>165</w:t>
      </w:r>
      <w:r w:rsidRPr="00491D05">
        <w:rPr>
          <w:rFonts w:ascii="Book Antiqua" w:hAnsi="Book Antiqua"/>
        </w:rPr>
        <w:t>: 391-398 [PMID: 21457202 DOI: 10.1111/j.1365-2133.2011.10339.x]</w:t>
      </w:r>
    </w:p>
    <w:p w14:paraId="5ADF54EE"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40 </w:t>
      </w:r>
      <w:r w:rsidRPr="00491D05">
        <w:rPr>
          <w:rFonts w:ascii="Book Antiqua" w:hAnsi="Book Antiqua"/>
          <w:b/>
          <w:bCs/>
        </w:rPr>
        <w:t>Arenbergerova M</w:t>
      </w:r>
      <w:r w:rsidRPr="00491D05">
        <w:rPr>
          <w:rFonts w:ascii="Book Antiqua" w:hAnsi="Book Antiqua"/>
        </w:rPr>
        <w:t>, Gkalpakiotis S, Arenberger P. Effective long-term control of refractory hidradenitis suppurativa with adalimumab after failure of conventional therapy. </w:t>
      </w:r>
      <w:r w:rsidRPr="00491D05">
        <w:rPr>
          <w:rFonts w:ascii="Book Antiqua" w:hAnsi="Book Antiqua"/>
          <w:i/>
          <w:iCs/>
        </w:rPr>
        <w:t>Int J Dermatol</w:t>
      </w:r>
      <w:r w:rsidRPr="00491D05">
        <w:rPr>
          <w:rFonts w:ascii="Book Antiqua" w:hAnsi="Book Antiqua"/>
        </w:rPr>
        <w:t> 2010; </w:t>
      </w:r>
      <w:r w:rsidRPr="00491D05">
        <w:rPr>
          <w:rFonts w:ascii="Book Antiqua" w:hAnsi="Book Antiqua"/>
          <w:b/>
          <w:bCs/>
        </w:rPr>
        <w:t>49</w:t>
      </w:r>
      <w:r w:rsidRPr="00491D05">
        <w:rPr>
          <w:rFonts w:ascii="Book Antiqua" w:hAnsi="Book Antiqua"/>
        </w:rPr>
        <w:t>: 1445-1449 [PMID: 21091684 DOI: 10.1111/j.1365-4632.2010.04638.x]</w:t>
      </w:r>
    </w:p>
    <w:p w14:paraId="44CA0C92"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41 </w:t>
      </w:r>
      <w:r w:rsidRPr="00491D05">
        <w:rPr>
          <w:rFonts w:ascii="Book Antiqua" w:hAnsi="Book Antiqua"/>
          <w:b/>
          <w:bCs/>
        </w:rPr>
        <w:t>Kimball AB</w:t>
      </w:r>
      <w:r w:rsidRPr="00491D05">
        <w:rPr>
          <w:rFonts w:ascii="Book Antiqua" w:hAnsi="Book Antiqua"/>
        </w:rPr>
        <w:t>, Kerdel F, Adams D, Mrowietz U, Gelfand JM, Gniadecki R, Prens EP, Schlessinger J, Zouboulis CC, van der Zee HH, Rosenfeld M, Mulani P, Gu Y, Paulson S, Okun M, Jemec GB. Adalimumab for the treatment of moderate to severe Hidradenitis suppurativa: a parallel randomized trial. </w:t>
      </w:r>
      <w:r w:rsidRPr="00491D05">
        <w:rPr>
          <w:rFonts w:ascii="Book Antiqua" w:hAnsi="Book Antiqua"/>
          <w:i/>
          <w:iCs/>
        </w:rPr>
        <w:t>Ann Intern Med</w:t>
      </w:r>
      <w:r w:rsidRPr="00491D05">
        <w:rPr>
          <w:rFonts w:ascii="Book Antiqua" w:hAnsi="Book Antiqua"/>
        </w:rPr>
        <w:t> 2012; </w:t>
      </w:r>
      <w:r w:rsidRPr="00491D05">
        <w:rPr>
          <w:rFonts w:ascii="Book Antiqua" w:hAnsi="Book Antiqua"/>
          <w:b/>
          <w:bCs/>
        </w:rPr>
        <w:t>157</w:t>
      </w:r>
      <w:r w:rsidRPr="00491D05">
        <w:rPr>
          <w:rFonts w:ascii="Book Antiqua" w:hAnsi="Book Antiqua"/>
        </w:rPr>
        <w:t>: 846-855 [PMID: 23247938 DOI: 10.7326/0003-4819-157-12-201212180-00004]</w:t>
      </w:r>
    </w:p>
    <w:p w14:paraId="16511C47"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42 </w:t>
      </w:r>
      <w:r w:rsidRPr="00491D05">
        <w:rPr>
          <w:rFonts w:ascii="Book Antiqua" w:hAnsi="Book Antiqua"/>
          <w:b/>
          <w:bCs/>
        </w:rPr>
        <w:t>Kimball AB</w:t>
      </w:r>
      <w:r w:rsidRPr="00491D05">
        <w:rPr>
          <w:rFonts w:ascii="Book Antiqua" w:hAnsi="Book Antiqua"/>
        </w:rPr>
        <w:t>, Sundaram M, Shields AL, Hudgens S, Okun M, Foley C, Ganguli A. Adalimumab alleviates skin pain in patients with moderate-to-severe hidradenitis suppurativa: Secondary efficacy results from the PIONEER I and PIONEER II randomized controlled trials. </w:t>
      </w:r>
      <w:r w:rsidRPr="00491D05">
        <w:rPr>
          <w:rFonts w:ascii="Book Antiqua" w:hAnsi="Book Antiqua"/>
          <w:i/>
          <w:iCs/>
        </w:rPr>
        <w:t>J Am Acad Dermatol</w:t>
      </w:r>
      <w:r w:rsidRPr="00491D05">
        <w:rPr>
          <w:rFonts w:ascii="Book Antiqua" w:hAnsi="Book Antiqua"/>
        </w:rPr>
        <w:t> 2018; </w:t>
      </w:r>
      <w:r w:rsidRPr="00491D05">
        <w:rPr>
          <w:rFonts w:ascii="Book Antiqua" w:hAnsi="Book Antiqua"/>
          <w:b/>
          <w:bCs/>
        </w:rPr>
        <w:t>79</w:t>
      </w:r>
      <w:r w:rsidRPr="00491D05">
        <w:rPr>
          <w:rFonts w:ascii="Book Antiqua" w:hAnsi="Book Antiqua"/>
        </w:rPr>
        <w:t>: 1141-1143 [PMID: 29787843 DOI: 10.1016/j.jaad.2018.05.015]</w:t>
      </w:r>
    </w:p>
    <w:p w14:paraId="40B67E19"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43 </w:t>
      </w:r>
      <w:r w:rsidRPr="00491D05">
        <w:rPr>
          <w:rFonts w:ascii="Book Antiqua" w:hAnsi="Book Antiqua"/>
          <w:b/>
          <w:bCs/>
        </w:rPr>
        <w:t>Zouboulis CC</w:t>
      </w:r>
      <w:r w:rsidRPr="00491D05">
        <w:rPr>
          <w:rFonts w:ascii="Book Antiqua" w:hAnsi="Book Antiqua"/>
        </w:rPr>
        <w:t>, Okun MM, Prens EP, Gniadecki R, Foley PA, Lynde C, Weisman J, Gu Y, Williams DA, Jemec GBE. Long-term adalimumab efficacy in patients with moderate-to-severe hidradenitis suppurativa/acne inversa: 3-year results of a phase 3 open-label extension study. </w:t>
      </w:r>
      <w:r w:rsidRPr="00491D05">
        <w:rPr>
          <w:rFonts w:ascii="Book Antiqua" w:hAnsi="Book Antiqua"/>
          <w:i/>
          <w:iCs/>
        </w:rPr>
        <w:t>J Am Acad Dermatol</w:t>
      </w:r>
      <w:r w:rsidRPr="00491D05">
        <w:rPr>
          <w:rFonts w:ascii="Book Antiqua" w:hAnsi="Book Antiqua"/>
        </w:rPr>
        <w:t> 2019; </w:t>
      </w:r>
      <w:r w:rsidRPr="00491D05">
        <w:rPr>
          <w:rFonts w:ascii="Book Antiqua" w:hAnsi="Book Antiqua"/>
          <w:b/>
          <w:bCs/>
        </w:rPr>
        <w:t>80</w:t>
      </w:r>
      <w:r w:rsidRPr="00491D05">
        <w:rPr>
          <w:rFonts w:ascii="Book Antiqua" w:hAnsi="Book Antiqua"/>
        </w:rPr>
        <w:t>: 60-69.e2 [PMID: 29860040 DOI: 10.1016/j.jaad.2018.05.040]</w:t>
      </w:r>
    </w:p>
    <w:p w14:paraId="341068AA"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44 </w:t>
      </w:r>
      <w:r w:rsidRPr="00491D05">
        <w:rPr>
          <w:rFonts w:ascii="Book Antiqua" w:hAnsi="Book Antiqua"/>
          <w:b/>
          <w:bCs/>
        </w:rPr>
        <w:t>Grant A</w:t>
      </w:r>
      <w:r w:rsidRPr="00491D05">
        <w:rPr>
          <w:rFonts w:ascii="Book Antiqua" w:hAnsi="Book Antiqua"/>
        </w:rPr>
        <w:t>, Gonzalez T, Montgomery MO, Cardenas V, Kerdel FA. Infliximab therapy for patients with moderate to severe hidradenitis suppurativa: a randomized, double-blind, placebo-controlled crossover trial. </w:t>
      </w:r>
      <w:r w:rsidRPr="00491D05">
        <w:rPr>
          <w:rFonts w:ascii="Book Antiqua" w:hAnsi="Book Antiqua"/>
          <w:i/>
          <w:iCs/>
        </w:rPr>
        <w:t>J Am Acad Dermatol</w:t>
      </w:r>
      <w:r w:rsidRPr="00491D05">
        <w:rPr>
          <w:rFonts w:ascii="Book Antiqua" w:hAnsi="Book Antiqua"/>
        </w:rPr>
        <w:t> 2010; </w:t>
      </w:r>
      <w:r w:rsidRPr="00491D05">
        <w:rPr>
          <w:rFonts w:ascii="Book Antiqua" w:hAnsi="Book Antiqua"/>
          <w:b/>
          <w:bCs/>
        </w:rPr>
        <w:t>62</w:t>
      </w:r>
      <w:r w:rsidRPr="00491D05">
        <w:rPr>
          <w:rFonts w:ascii="Book Antiqua" w:hAnsi="Book Antiqua"/>
        </w:rPr>
        <w:t>: 205-217 [PMID: 20115947 DOI: 10.1016/j.jaad.2009.06.050]</w:t>
      </w:r>
    </w:p>
    <w:p w14:paraId="748C0497"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45 </w:t>
      </w:r>
      <w:r w:rsidRPr="00491D05">
        <w:rPr>
          <w:rFonts w:ascii="Book Antiqua" w:hAnsi="Book Antiqua"/>
          <w:b/>
          <w:bCs/>
        </w:rPr>
        <w:t>van Rappard DC</w:t>
      </w:r>
      <w:r w:rsidRPr="00491D05">
        <w:rPr>
          <w:rFonts w:ascii="Book Antiqua" w:hAnsi="Book Antiqua"/>
        </w:rPr>
        <w:t>, Leenarts MF, Meijerink-van 't Oost L, Mekkes JR. Comparing treatment outcome of infliximab and adalimumab in patients with severe hidradenitis suppurativa. </w:t>
      </w:r>
      <w:r w:rsidRPr="00491D05">
        <w:rPr>
          <w:rFonts w:ascii="Book Antiqua" w:hAnsi="Book Antiqua"/>
          <w:i/>
          <w:iCs/>
        </w:rPr>
        <w:t>J Dermatolog Treat</w:t>
      </w:r>
      <w:r w:rsidRPr="00491D05">
        <w:rPr>
          <w:rFonts w:ascii="Book Antiqua" w:hAnsi="Book Antiqua"/>
        </w:rPr>
        <w:t> 2012; </w:t>
      </w:r>
      <w:r w:rsidRPr="00491D05">
        <w:rPr>
          <w:rFonts w:ascii="Book Antiqua" w:hAnsi="Book Antiqua"/>
          <w:b/>
          <w:bCs/>
        </w:rPr>
        <w:t>23</w:t>
      </w:r>
      <w:r w:rsidRPr="00491D05">
        <w:rPr>
          <w:rFonts w:ascii="Book Antiqua" w:hAnsi="Book Antiqua"/>
        </w:rPr>
        <w:t>: 284-289 [PMID: 21756155 DOI: 10.3109/09546634.2011.571657]</w:t>
      </w:r>
    </w:p>
    <w:p w14:paraId="3A9915F5"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46 </w:t>
      </w:r>
      <w:r w:rsidRPr="00491D05">
        <w:rPr>
          <w:rFonts w:ascii="Book Antiqua" w:hAnsi="Book Antiqua"/>
          <w:b/>
          <w:bCs/>
        </w:rPr>
        <w:t>Cline A</w:t>
      </w:r>
      <w:r w:rsidRPr="00491D05">
        <w:rPr>
          <w:rFonts w:ascii="Book Antiqua" w:hAnsi="Book Antiqua"/>
        </w:rPr>
        <w:t>, Pichardo RO. Successful treatment of hidradenitis suppurativa in the setting of Crohn disease with combination adalimumab and ustekinumab. </w:t>
      </w:r>
      <w:r w:rsidRPr="00491D05">
        <w:rPr>
          <w:rFonts w:ascii="Book Antiqua" w:hAnsi="Book Antiqua"/>
          <w:i/>
          <w:iCs/>
        </w:rPr>
        <w:t>Dermatol Online J</w:t>
      </w:r>
      <w:r w:rsidRPr="00491D05">
        <w:rPr>
          <w:rFonts w:ascii="Book Antiqua" w:hAnsi="Book Antiqua"/>
        </w:rPr>
        <w:t> 2019; </w:t>
      </w:r>
      <w:r w:rsidRPr="00491D05">
        <w:rPr>
          <w:rFonts w:ascii="Book Antiqua" w:hAnsi="Book Antiqua"/>
          <w:b/>
          <w:bCs/>
        </w:rPr>
        <w:t>25</w:t>
      </w:r>
      <w:r w:rsidRPr="00491D05">
        <w:rPr>
          <w:rFonts w:ascii="Book Antiqua" w:hAnsi="Book Antiqua"/>
        </w:rPr>
        <w:t> [PMID: 31738849]</w:t>
      </w:r>
    </w:p>
    <w:p w14:paraId="1DEC30A5" w14:textId="77777777" w:rsidR="00E2234B" w:rsidRPr="00491D05"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47 </w:t>
      </w:r>
      <w:r w:rsidRPr="00491D05">
        <w:rPr>
          <w:rFonts w:ascii="Book Antiqua" w:hAnsi="Book Antiqua"/>
          <w:b/>
          <w:bCs/>
        </w:rPr>
        <w:t>Mehdizadeh A</w:t>
      </w:r>
      <w:r w:rsidRPr="00491D05">
        <w:rPr>
          <w:rFonts w:ascii="Book Antiqua" w:hAnsi="Book Antiqua"/>
        </w:rPr>
        <w:t>, Hazen PG, Bechara FG, Zwingerman N, Moazenzadeh M, Bashash M, Sibbald RG, Alavi A. Recurrence of hidradenitis suppurativa after surgical management: A systematic review and meta-analysis. </w:t>
      </w:r>
      <w:r w:rsidRPr="00491D05">
        <w:rPr>
          <w:rFonts w:ascii="Book Antiqua" w:hAnsi="Book Antiqua"/>
          <w:i/>
          <w:iCs/>
        </w:rPr>
        <w:t>J Am Acad Dermatol</w:t>
      </w:r>
      <w:r w:rsidRPr="00491D05">
        <w:rPr>
          <w:rFonts w:ascii="Book Antiqua" w:hAnsi="Book Antiqua"/>
        </w:rPr>
        <w:t> 2015; </w:t>
      </w:r>
      <w:r w:rsidRPr="00491D05">
        <w:rPr>
          <w:rFonts w:ascii="Book Antiqua" w:hAnsi="Book Antiqua"/>
          <w:b/>
          <w:bCs/>
        </w:rPr>
        <w:t>73</w:t>
      </w:r>
      <w:r w:rsidRPr="00491D05">
        <w:rPr>
          <w:rFonts w:ascii="Book Antiqua" w:hAnsi="Book Antiqua"/>
        </w:rPr>
        <w:t>: S70-S77 [PMID: 26470621 DOI: 10.1016/j.jaad.2015.07.044]</w:t>
      </w:r>
    </w:p>
    <w:p w14:paraId="0912FF37" w14:textId="77777777" w:rsidR="00E2234B" w:rsidRPr="00E2234B" w:rsidRDefault="00E2234B" w:rsidP="00E2234B">
      <w:pPr>
        <w:pStyle w:val="a6"/>
        <w:shd w:val="clear" w:color="auto" w:fill="FFFFFF"/>
        <w:adjustRightInd w:val="0"/>
        <w:snapToGrid w:val="0"/>
        <w:spacing w:before="0" w:beforeAutospacing="0" w:after="0" w:afterAutospacing="0" w:line="360" w:lineRule="auto"/>
        <w:jc w:val="both"/>
        <w:rPr>
          <w:rFonts w:ascii="Book Antiqua" w:hAnsi="Book Antiqua"/>
        </w:rPr>
      </w:pPr>
      <w:r w:rsidRPr="00491D05">
        <w:rPr>
          <w:rFonts w:ascii="Book Antiqua" w:hAnsi="Book Antiqua"/>
        </w:rPr>
        <w:t>48 </w:t>
      </w:r>
      <w:r w:rsidRPr="00491D05">
        <w:rPr>
          <w:rFonts w:ascii="Book Antiqua" w:hAnsi="Book Antiqua"/>
          <w:b/>
          <w:bCs/>
        </w:rPr>
        <w:t>DeFazio MV</w:t>
      </w:r>
      <w:r w:rsidRPr="00491D05">
        <w:rPr>
          <w:rFonts w:ascii="Book Antiqua" w:hAnsi="Book Antiqua"/>
        </w:rPr>
        <w:t>, Economides JM, King KS, Han KD, Shanmugam VK, Attinger CE, Evans KK. Outcomes After Combined Radical Resection and Targeted Biologic Therapy for the Management of Recalcitrant Hidradenitis Suppurativa. </w:t>
      </w:r>
      <w:r w:rsidRPr="00491D05">
        <w:rPr>
          <w:rFonts w:ascii="Book Antiqua" w:hAnsi="Book Antiqua"/>
          <w:i/>
          <w:iCs/>
        </w:rPr>
        <w:t>Ann Plast Surg</w:t>
      </w:r>
      <w:r w:rsidRPr="00491D05">
        <w:rPr>
          <w:rFonts w:ascii="Book Antiqua" w:hAnsi="Book Antiqua"/>
        </w:rPr>
        <w:t> 2016; </w:t>
      </w:r>
      <w:r w:rsidRPr="00491D05">
        <w:rPr>
          <w:rFonts w:ascii="Book Antiqua" w:hAnsi="Book Antiqua"/>
          <w:b/>
          <w:bCs/>
        </w:rPr>
        <w:t>77</w:t>
      </w:r>
      <w:r w:rsidRPr="00491D05">
        <w:rPr>
          <w:rFonts w:ascii="Book Antiqua" w:hAnsi="Book Antiqua"/>
        </w:rPr>
        <w:t>: 217-222 [PMID: 26559649 DOI: 10.1097/SAP.0000000000000584]</w:t>
      </w:r>
    </w:p>
    <w:p w14:paraId="38D589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2FDF192" w14:textId="77777777" w:rsidR="00A77B3E" w:rsidRDefault="000B7BA1">
      <w:pPr>
        <w:spacing w:line="360" w:lineRule="auto"/>
        <w:jc w:val="both"/>
      </w:pPr>
      <w:r>
        <w:rPr>
          <w:rFonts w:ascii="Book Antiqua" w:eastAsia="Book Antiqua" w:hAnsi="Book Antiqua" w:cs="Book Antiqua"/>
          <w:b/>
          <w:color w:val="000000"/>
        </w:rPr>
        <w:t>Footnotes</w:t>
      </w:r>
    </w:p>
    <w:p w14:paraId="13297224" w14:textId="77777777" w:rsidR="00A77B3E" w:rsidRDefault="000B7BA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rPr>
        <w:t>The authors declare no conflicts of interest.</w:t>
      </w:r>
    </w:p>
    <w:p w14:paraId="380C8B8C" w14:textId="77777777" w:rsidR="00A77B3E" w:rsidRDefault="00A77B3E">
      <w:pPr>
        <w:spacing w:line="360" w:lineRule="auto"/>
        <w:jc w:val="both"/>
      </w:pPr>
    </w:p>
    <w:p w14:paraId="545243BD" w14:textId="77777777" w:rsidR="00A77B3E" w:rsidRDefault="000B7BA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FD873E" w14:textId="77777777" w:rsidR="00A77B3E" w:rsidRDefault="00A77B3E">
      <w:pPr>
        <w:spacing w:line="360" w:lineRule="auto"/>
        <w:jc w:val="both"/>
      </w:pPr>
    </w:p>
    <w:p w14:paraId="033A50B6" w14:textId="77777777" w:rsidR="00A77B3E" w:rsidRDefault="000B7BA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B6E6C">
        <w:rPr>
          <w:rFonts w:ascii="Book Antiqua" w:eastAsia="Book Antiqua" w:hAnsi="Book Antiqua" w:cs="Book Antiqua"/>
          <w:color w:val="000000"/>
        </w:rPr>
        <w:t>manuscript</w:t>
      </w:r>
    </w:p>
    <w:p w14:paraId="6F36FAE8" w14:textId="77777777" w:rsidR="00A77B3E" w:rsidRDefault="00A77B3E">
      <w:pPr>
        <w:spacing w:line="360" w:lineRule="auto"/>
        <w:jc w:val="both"/>
      </w:pPr>
    </w:p>
    <w:p w14:paraId="2B44773E" w14:textId="77777777" w:rsidR="00A77B3E" w:rsidRDefault="000B7BA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19, 2021</w:t>
      </w:r>
    </w:p>
    <w:p w14:paraId="7C9F51B9" w14:textId="77777777" w:rsidR="00A77B3E" w:rsidRDefault="000B7BA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9, 2021</w:t>
      </w:r>
    </w:p>
    <w:p w14:paraId="070F1C00" w14:textId="15776A0C" w:rsidR="00A77B3E" w:rsidRDefault="000B7BA1">
      <w:pPr>
        <w:spacing w:line="360" w:lineRule="auto"/>
        <w:jc w:val="both"/>
      </w:pPr>
      <w:r>
        <w:rPr>
          <w:rFonts w:ascii="Book Antiqua" w:eastAsia="Book Antiqua" w:hAnsi="Book Antiqua" w:cs="Book Antiqua"/>
          <w:b/>
          <w:color w:val="000000"/>
        </w:rPr>
        <w:t xml:space="preserve">Article in press: </w:t>
      </w:r>
      <w:r w:rsidR="0020110F" w:rsidRPr="0043142E">
        <w:rPr>
          <w:rFonts w:ascii="Book Antiqua" w:eastAsia="Book Antiqua" w:hAnsi="Book Antiqua" w:cs="Book Antiqua"/>
          <w:color w:val="000000"/>
        </w:rPr>
        <w:t>March 17, 2021</w:t>
      </w:r>
    </w:p>
    <w:p w14:paraId="69B1CDCA" w14:textId="77777777" w:rsidR="00A77B3E" w:rsidRDefault="00A77B3E">
      <w:pPr>
        <w:spacing w:line="360" w:lineRule="auto"/>
        <w:jc w:val="both"/>
      </w:pPr>
    </w:p>
    <w:p w14:paraId="6530BB83" w14:textId="77777777" w:rsidR="00A77B3E" w:rsidRDefault="000B7BA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7B6E6C">
        <w:rPr>
          <w:rFonts w:ascii="Book Antiqua" w:eastAsia="Book Antiqua" w:hAnsi="Book Antiqua" w:cs="Book Antiqua"/>
          <w:color w:val="000000"/>
        </w:rPr>
        <w:t>hepatology</w:t>
      </w:r>
    </w:p>
    <w:p w14:paraId="19967778" w14:textId="77777777" w:rsidR="00A77B3E" w:rsidRDefault="000B7BA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C71F921" w14:textId="77777777" w:rsidR="00A77B3E" w:rsidRDefault="000B7BA1">
      <w:pPr>
        <w:spacing w:line="360" w:lineRule="auto"/>
        <w:jc w:val="both"/>
      </w:pPr>
      <w:r>
        <w:rPr>
          <w:rFonts w:ascii="Book Antiqua" w:eastAsia="Book Antiqua" w:hAnsi="Book Antiqua" w:cs="Book Antiqua"/>
          <w:b/>
          <w:color w:val="000000"/>
        </w:rPr>
        <w:t>Peer-review report’s scientific quality classification</w:t>
      </w:r>
    </w:p>
    <w:p w14:paraId="7B6F4C37" w14:textId="77777777" w:rsidR="00A77B3E" w:rsidRDefault="000B7BA1">
      <w:pPr>
        <w:spacing w:line="360" w:lineRule="auto"/>
        <w:jc w:val="both"/>
      </w:pPr>
      <w:r>
        <w:rPr>
          <w:rFonts w:ascii="Book Antiqua" w:eastAsia="Book Antiqua" w:hAnsi="Book Antiqua" w:cs="Book Antiqua"/>
          <w:color w:val="000000"/>
        </w:rPr>
        <w:t>Grade A (Excellent): 0</w:t>
      </w:r>
    </w:p>
    <w:p w14:paraId="77CBC307" w14:textId="77777777" w:rsidR="00A77B3E" w:rsidRDefault="000B7BA1">
      <w:pPr>
        <w:spacing w:line="360" w:lineRule="auto"/>
        <w:jc w:val="both"/>
      </w:pPr>
      <w:r>
        <w:rPr>
          <w:rFonts w:ascii="Book Antiqua" w:eastAsia="Book Antiqua" w:hAnsi="Book Antiqua" w:cs="Book Antiqua"/>
          <w:color w:val="000000"/>
        </w:rPr>
        <w:t>Grade B (Very good): 0</w:t>
      </w:r>
    </w:p>
    <w:p w14:paraId="5F05D6DB" w14:textId="77777777" w:rsidR="00A77B3E" w:rsidRDefault="000B7BA1">
      <w:pPr>
        <w:spacing w:line="360" w:lineRule="auto"/>
        <w:jc w:val="both"/>
      </w:pPr>
      <w:r>
        <w:rPr>
          <w:rFonts w:ascii="Book Antiqua" w:eastAsia="Book Antiqua" w:hAnsi="Book Antiqua" w:cs="Book Antiqua"/>
          <w:color w:val="000000"/>
        </w:rPr>
        <w:t>Grade C (Good): C</w:t>
      </w:r>
    </w:p>
    <w:p w14:paraId="7E107E60" w14:textId="77777777" w:rsidR="00A77B3E" w:rsidRDefault="000B7BA1">
      <w:pPr>
        <w:spacing w:line="360" w:lineRule="auto"/>
        <w:jc w:val="both"/>
      </w:pPr>
      <w:r>
        <w:rPr>
          <w:rFonts w:ascii="Book Antiqua" w:eastAsia="Book Antiqua" w:hAnsi="Book Antiqua" w:cs="Book Antiqua"/>
          <w:color w:val="000000"/>
        </w:rPr>
        <w:t>Grade D (Fair): 0</w:t>
      </w:r>
    </w:p>
    <w:p w14:paraId="59CD1B84" w14:textId="77777777" w:rsidR="00A77B3E" w:rsidRDefault="000B7BA1">
      <w:pPr>
        <w:spacing w:line="360" w:lineRule="auto"/>
        <w:jc w:val="both"/>
      </w:pPr>
      <w:r>
        <w:rPr>
          <w:rFonts w:ascii="Book Antiqua" w:eastAsia="Book Antiqua" w:hAnsi="Book Antiqua" w:cs="Book Antiqua"/>
          <w:color w:val="000000"/>
        </w:rPr>
        <w:t>Grade E (Poor): 0</w:t>
      </w:r>
    </w:p>
    <w:p w14:paraId="2CA56D7F" w14:textId="77777777" w:rsidR="00A77B3E" w:rsidRDefault="00A77B3E">
      <w:pPr>
        <w:spacing w:line="360" w:lineRule="auto"/>
        <w:jc w:val="both"/>
      </w:pPr>
    </w:p>
    <w:p w14:paraId="6166731B" w14:textId="52A244B1" w:rsidR="00A77B3E" w:rsidRPr="0020110F" w:rsidRDefault="000B7BA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Cheifetz AS</w:t>
      </w:r>
      <w:r>
        <w:rPr>
          <w:rFonts w:ascii="Book Antiqua" w:eastAsia="Book Antiqua" w:hAnsi="Book Antiqua" w:cs="Book Antiqua"/>
          <w:b/>
          <w:color w:val="000000"/>
        </w:rPr>
        <w:t xml:space="preserve"> S-Editor: </w:t>
      </w:r>
      <w:r w:rsidR="007B6E6C">
        <w:rPr>
          <w:rFonts w:ascii="Book Antiqua" w:hAnsi="Book Antiqua" w:cs="Book Antiqua" w:hint="eastAsia"/>
          <w:color w:val="000000"/>
          <w:lang w:eastAsia="zh-CN"/>
        </w:rPr>
        <w:t>Zhang H</w:t>
      </w:r>
      <w:r w:rsidR="007B6E6C">
        <w:rPr>
          <w:rFonts w:ascii="Book Antiqua" w:eastAsia="Book Antiqua" w:hAnsi="Book Antiqua" w:cs="Book Antiqua"/>
          <w:b/>
          <w:color w:val="000000"/>
        </w:rPr>
        <w:t xml:space="preserve"> L-Editor: </w:t>
      </w:r>
      <w:r w:rsidR="00B728EB" w:rsidRPr="006149F1">
        <w:rPr>
          <w:rFonts w:ascii="Book Antiqua" w:eastAsia="Book Antiqua" w:hAnsi="Book Antiqua" w:cs="Book Antiqua"/>
          <w:color w:val="000000"/>
        </w:rPr>
        <w:t>Wang TQ</w:t>
      </w:r>
      <w:r w:rsidR="00B728EB">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20110F" w:rsidRPr="0020110F">
        <w:rPr>
          <w:rFonts w:ascii="Book Antiqua" w:hAnsi="Book Antiqua" w:cs="Book Antiqua" w:hint="eastAsia"/>
          <w:color w:val="000000"/>
          <w:lang w:eastAsia="zh-CN"/>
        </w:rPr>
        <w:t>Liu JH</w:t>
      </w:r>
    </w:p>
    <w:p w14:paraId="212BF95F" w14:textId="77777777" w:rsidR="0020110F" w:rsidRPr="0020110F" w:rsidRDefault="0020110F">
      <w:pPr>
        <w:spacing w:line="360" w:lineRule="auto"/>
        <w:jc w:val="both"/>
        <w:rPr>
          <w:rFonts w:ascii="Book Antiqua" w:hAnsi="Book Antiqua" w:cs="Book Antiqua"/>
          <w:b/>
          <w:color w:val="000000"/>
          <w:lang w:eastAsia="zh-CN"/>
        </w:rPr>
      </w:pPr>
    </w:p>
    <w:p w14:paraId="6BA0D081" w14:textId="77777777" w:rsidR="00AF091A" w:rsidRDefault="00AF091A">
      <w:pPr>
        <w:spacing w:line="360" w:lineRule="auto"/>
        <w:jc w:val="both"/>
        <w:sectPr w:rsidR="00AF091A">
          <w:pgSz w:w="12240" w:h="15840"/>
          <w:pgMar w:top="1440" w:right="1440" w:bottom="1440" w:left="1440" w:header="720" w:footer="720" w:gutter="0"/>
          <w:cols w:space="720"/>
          <w:docGrid w:linePitch="360"/>
        </w:sectPr>
      </w:pPr>
    </w:p>
    <w:p w14:paraId="325AC813" w14:textId="77777777" w:rsidR="00A77B3E" w:rsidRDefault="000B7BA1">
      <w:pPr>
        <w:spacing w:line="360" w:lineRule="auto"/>
        <w:jc w:val="both"/>
      </w:pPr>
      <w:r>
        <w:rPr>
          <w:rFonts w:ascii="Book Antiqua" w:eastAsia="Book Antiqua" w:hAnsi="Book Antiqua" w:cs="Book Antiqua"/>
          <w:b/>
          <w:color w:val="000000"/>
        </w:rPr>
        <w:t>Figure Legends</w:t>
      </w:r>
    </w:p>
    <w:p w14:paraId="5FBA3EA4" w14:textId="77777777" w:rsidR="0071262B" w:rsidRDefault="0071262B">
      <w:pPr>
        <w:spacing w:line="360" w:lineRule="auto"/>
        <w:jc w:val="both"/>
        <w:rPr>
          <w:rFonts w:ascii="Book Antiqua" w:hAnsi="Book Antiqua" w:cs="Book Antiqua"/>
          <w:b/>
          <w:bCs/>
          <w:color w:val="000000"/>
          <w:szCs w:val="21"/>
          <w:lang w:eastAsia="zh-CN"/>
        </w:rPr>
      </w:pPr>
      <w:r>
        <w:rPr>
          <w:rFonts w:ascii="Book Antiqua" w:hAnsi="Book Antiqua" w:cs="Book Antiqua"/>
          <w:b/>
          <w:bCs/>
          <w:noProof/>
          <w:color w:val="000000"/>
          <w:szCs w:val="21"/>
          <w:lang w:eastAsia="zh-CN"/>
        </w:rPr>
        <w:drawing>
          <wp:inline distT="0" distB="0" distL="0" distR="0" wp14:anchorId="0D20299D" wp14:editId="25E9297A">
            <wp:extent cx="6010192" cy="20481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6908" cy="2047072"/>
                    </a:xfrm>
                    <a:prstGeom prst="rect">
                      <a:avLst/>
                    </a:prstGeom>
                    <a:noFill/>
                  </pic:spPr>
                </pic:pic>
              </a:graphicData>
            </a:graphic>
          </wp:inline>
        </w:drawing>
      </w:r>
    </w:p>
    <w:p w14:paraId="07020D32" w14:textId="36CB12BD" w:rsidR="00A77B3E" w:rsidRPr="008B59F4" w:rsidRDefault="008B59F4">
      <w:pPr>
        <w:spacing w:line="360" w:lineRule="auto"/>
        <w:jc w:val="both"/>
        <w:rPr>
          <w:lang w:eastAsia="zh-CN"/>
        </w:rPr>
      </w:pPr>
      <w:r>
        <w:rPr>
          <w:rFonts w:ascii="Book Antiqua" w:eastAsia="Book Antiqua" w:hAnsi="Book Antiqua" w:cs="Book Antiqua"/>
          <w:b/>
          <w:bCs/>
          <w:color w:val="000000"/>
          <w:szCs w:val="21"/>
        </w:rPr>
        <w:t>Figure 1</w:t>
      </w:r>
      <w:r w:rsidR="000B7BA1" w:rsidRPr="008B59F4">
        <w:rPr>
          <w:rFonts w:ascii="Book Antiqua" w:eastAsia="Book Antiqua" w:hAnsi="Book Antiqua" w:cs="Book Antiqua"/>
          <w:b/>
          <w:bCs/>
          <w:color w:val="000000"/>
          <w:szCs w:val="21"/>
        </w:rPr>
        <w:t xml:space="preserve"> </w:t>
      </w:r>
      <w:r w:rsidRPr="008B59F4">
        <w:rPr>
          <w:rFonts w:ascii="Book Antiqua" w:hAnsi="Book Antiqua" w:cs="Book Antiqua" w:hint="eastAsia"/>
          <w:b/>
          <w:color w:val="000000"/>
          <w:szCs w:val="21"/>
          <w:lang w:eastAsia="zh-CN"/>
        </w:rPr>
        <w:t>C</w:t>
      </w:r>
      <w:r w:rsidR="000B7BA1" w:rsidRPr="008B59F4">
        <w:rPr>
          <w:rFonts w:ascii="Book Antiqua" w:eastAsia="Book Antiqua" w:hAnsi="Book Antiqua" w:cs="Book Antiqua"/>
          <w:b/>
          <w:color w:val="000000"/>
          <w:szCs w:val="21"/>
        </w:rPr>
        <w:t xml:space="preserve">ommon immune mediated origins of hidradenitis suppurativa and </w:t>
      </w:r>
      <w:bookmarkStart w:id="17" w:name="OLE_LINK201"/>
      <w:r w:rsidR="000B7BA1" w:rsidRPr="008B59F4">
        <w:rPr>
          <w:rFonts w:ascii="Book Antiqua" w:eastAsia="Book Antiqua" w:hAnsi="Book Antiqua" w:cs="Book Antiqua"/>
          <w:b/>
          <w:color w:val="000000"/>
          <w:szCs w:val="21"/>
        </w:rPr>
        <w:t>Crohn’s disease</w:t>
      </w:r>
      <w:bookmarkEnd w:id="17"/>
      <w:r w:rsidR="000B7BA1" w:rsidRPr="008B59F4">
        <w:rPr>
          <w:rFonts w:ascii="Book Antiqua" w:eastAsia="Book Antiqua" w:hAnsi="Book Antiqua" w:cs="Book Antiqua"/>
          <w:b/>
          <w:color w:val="000000"/>
          <w:szCs w:val="21"/>
        </w:rPr>
        <w:t>.</w:t>
      </w:r>
      <w:r>
        <w:rPr>
          <w:rFonts w:ascii="Book Antiqua" w:eastAsia="Book Antiqua" w:hAnsi="Book Antiqua" w:cs="Book Antiqua"/>
          <w:color w:val="000000"/>
          <w:szCs w:val="21"/>
        </w:rPr>
        <w:t xml:space="preserve"> DC</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D</w:t>
      </w:r>
      <w:r>
        <w:rPr>
          <w:rFonts w:ascii="Book Antiqua" w:eastAsia="Book Antiqua" w:hAnsi="Book Antiqua" w:cs="Book Antiqua"/>
          <w:color w:val="000000"/>
          <w:szCs w:val="21"/>
        </w:rPr>
        <w:t>endritic cell;</w:t>
      </w:r>
      <w:bookmarkStart w:id="18" w:name="OLE_LINK202"/>
      <w:bookmarkStart w:id="19" w:name="OLE_LINK203"/>
      <w:r>
        <w:rPr>
          <w:rFonts w:ascii="Book Antiqua" w:eastAsia="Book Antiqua" w:hAnsi="Book Antiqua" w:cs="Book Antiqua"/>
          <w:color w:val="000000"/>
          <w:szCs w:val="21"/>
        </w:rPr>
        <w:t xml:space="preserve"> </w:t>
      </w:r>
      <w:r w:rsidR="00576919">
        <w:rPr>
          <w:rFonts w:ascii="Book Antiqua" w:hAnsi="Book Antiqua" w:cs="Book Antiqua" w:hint="eastAsia"/>
          <w:color w:val="000000"/>
          <w:szCs w:val="21"/>
          <w:lang w:eastAsia="zh-CN"/>
        </w:rPr>
        <w:t xml:space="preserve">CD: </w:t>
      </w:r>
      <w:r w:rsidR="00576919" w:rsidRPr="00576919">
        <w:rPr>
          <w:rFonts w:ascii="Book Antiqua" w:hAnsi="Book Antiqua" w:cs="Book Antiqua"/>
          <w:color w:val="000000"/>
          <w:szCs w:val="21"/>
          <w:lang w:eastAsia="zh-CN"/>
        </w:rPr>
        <w:t>Crohn’s disease</w:t>
      </w:r>
      <w:r w:rsidR="00576919">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Th</w:t>
      </w:r>
      <w:r>
        <w:rPr>
          <w:rFonts w:ascii="Book Antiqua" w:hAnsi="Book Antiqua" w:cs="Book Antiqua" w:hint="eastAsia"/>
          <w:color w:val="000000"/>
          <w:szCs w:val="21"/>
          <w:lang w:eastAsia="zh-CN"/>
        </w:rPr>
        <w:t>:</w:t>
      </w:r>
      <w:r w:rsidR="000B7BA1">
        <w:rPr>
          <w:rFonts w:ascii="Book Antiqua" w:eastAsia="Book Antiqua" w:hAnsi="Book Antiqua" w:cs="Book Antiqua"/>
          <w:color w:val="000000"/>
          <w:szCs w:val="21"/>
        </w:rPr>
        <w:t xml:space="preserve"> T help</w:t>
      </w:r>
      <w:r>
        <w:rPr>
          <w:rFonts w:ascii="Book Antiqua" w:eastAsia="Book Antiqua" w:hAnsi="Book Antiqua" w:cs="Book Antiqua"/>
          <w:color w:val="000000"/>
          <w:szCs w:val="21"/>
        </w:rPr>
        <w:t>er cell; IL</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I</w:t>
      </w:r>
      <w:r>
        <w:rPr>
          <w:rFonts w:ascii="Book Antiqua" w:eastAsia="Book Antiqua" w:hAnsi="Book Antiqua" w:cs="Book Antiqua"/>
          <w:color w:val="000000"/>
          <w:szCs w:val="21"/>
        </w:rPr>
        <w:t>nterleukin; TNF</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T</w:t>
      </w:r>
      <w:r w:rsidR="00576919">
        <w:rPr>
          <w:rFonts w:ascii="Book Antiqua" w:eastAsia="Book Antiqua" w:hAnsi="Book Antiqua" w:cs="Book Antiqua"/>
          <w:color w:val="000000"/>
          <w:szCs w:val="21"/>
        </w:rPr>
        <w:t>umor necrosis factor</w:t>
      </w:r>
      <w:r w:rsidR="00576919">
        <w:rPr>
          <w:rFonts w:ascii="Book Antiqua" w:hAnsi="Book Antiqua" w:cs="Book Antiqua" w:hint="eastAsia"/>
          <w:color w:val="000000"/>
          <w:szCs w:val="21"/>
          <w:lang w:eastAsia="zh-CN"/>
        </w:rPr>
        <w:t xml:space="preserve">; TGF: </w:t>
      </w:r>
      <w:r w:rsidR="00576919" w:rsidRPr="00576919">
        <w:rPr>
          <w:rFonts w:ascii="Book Antiqua" w:hAnsi="Book Antiqua" w:cs="Book Antiqua"/>
          <w:color w:val="000000"/>
          <w:szCs w:val="21"/>
          <w:lang w:eastAsia="zh-CN"/>
        </w:rPr>
        <w:t>Transforming growth factor</w:t>
      </w:r>
      <w:r w:rsidR="00576919">
        <w:rPr>
          <w:rFonts w:ascii="Book Antiqua" w:hAnsi="Book Antiqua" w:cs="Book Antiqua" w:hint="eastAsia"/>
          <w:color w:val="000000"/>
          <w:szCs w:val="21"/>
          <w:lang w:eastAsia="zh-CN"/>
        </w:rPr>
        <w:t xml:space="preserve">; IFN: </w:t>
      </w:r>
      <w:r w:rsidR="00576919" w:rsidRPr="00576919">
        <w:rPr>
          <w:rFonts w:ascii="Book Antiqua" w:hAnsi="Book Antiqua" w:cs="Book Antiqua"/>
          <w:color w:val="000000"/>
          <w:szCs w:val="21"/>
          <w:lang w:eastAsia="zh-CN"/>
        </w:rPr>
        <w:t>Interferon</w:t>
      </w:r>
      <w:r w:rsidR="00757CB2">
        <w:rPr>
          <w:rFonts w:ascii="Book Antiqua" w:hAnsi="Book Antiqua" w:cs="Book Antiqua" w:hint="eastAsia"/>
          <w:color w:val="000000"/>
          <w:szCs w:val="21"/>
          <w:lang w:eastAsia="zh-CN"/>
        </w:rPr>
        <w:t>; HS: H</w:t>
      </w:r>
      <w:r w:rsidR="00757CB2" w:rsidRPr="00757CB2">
        <w:rPr>
          <w:rFonts w:ascii="Book Antiqua" w:hAnsi="Book Antiqua" w:cs="Book Antiqua"/>
          <w:color w:val="000000"/>
          <w:szCs w:val="21"/>
          <w:lang w:eastAsia="zh-CN"/>
        </w:rPr>
        <w:t>idradenitis suppurativa</w:t>
      </w:r>
      <w:r w:rsidR="00576919">
        <w:rPr>
          <w:rFonts w:ascii="Book Antiqua" w:hAnsi="Book Antiqua" w:cs="Book Antiqua" w:hint="eastAsia"/>
          <w:color w:val="000000"/>
          <w:szCs w:val="21"/>
          <w:lang w:eastAsia="zh-CN"/>
        </w:rPr>
        <w:t>.</w:t>
      </w:r>
      <w:bookmarkEnd w:id="18"/>
      <w:bookmarkEnd w:id="19"/>
      <w:r w:rsidR="00576919">
        <w:rPr>
          <w:rFonts w:ascii="Book Antiqua" w:hAnsi="Book Antiqua" w:cs="Book Antiqua" w:hint="eastAsia"/>
          <w:color w:val="000000"/>
          <w:szCs w:val="21"/>
          <w:lang w:eastAsia="zh-CN"/>
        </w:rPr>
        <w:t xml:space="preserve"> </w:t>
      </w:r>
      <w:r w:rsidR="000B7BA1">
        <w:rPr>
          <w:rFonts w:ascii="Book Antiqua" w:eastAsia="Book Antiqua" w:hAnsi="Book Antiqua" w:cs="Book Antiqua"/>
          <w:color w:val="000000"/>
          <w:szCs w:val="21"/>
        </w:rPr>
        <w:t>Figure courtesy of Dr. Bo</w:t>
      </w:r>
      <w:r w:rsidR="00B728EB">
        <w:rPr>
          <w:rFonts w:ascii="Book Antiqua" w:eastAsia="Book Antiqua" w:hAnsi="Book Antiqua" w:cs="Book Antiqua"/>
          <w:color w:val="000000"/>
          <w:szCs w:val="21"/>
        </w:rPr>
        <w:t xml:space="preserve">-Lin </w:t>
      </w:r>
      <w:r w:rsidR="000B7BA1">
        <w:rPr>
          <w:rFonts w:ascii="Book Antiqua" w:eastAsia="Book Antiqua" w:hAnsi="Book Antiqua" w:cs="Book Antiqua"/>
          <w:color w:val="000000"/>
          <w:szCs w:val="21"/>
        </w:rPr>
        <w:t>Yang</w:t>
      </w:r>
      <w:r>
        <w:rPr>
          <w:rFonts w:ascii="Book Antiqua" w:hAnsi="Book Antiqua" w:cs="Book Antiqua" w:hint="eastAsia"/>
          <w:color w:val="000000"/>
          <w:szCs w:val="21"/>
          <w:lang w:eastAsia="zh-CN"/>
        </w:rPr>
        <w:t>.</w:t>
      </w:r>
    </w:p>
    <w:p w14:paraId="74C0F50D" w14:textId="77777777" w:rsidR="005657D1" w:rsidRDefault="0071262B">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5657D1">
        <w:rPr>
          <w:rFonts w:ascii="Book Antiqua" w:eastAsia="Book Antiqua" w:hAnsi="Book Antiqua" w:cs="Book Antiqua"/>
          <w:b/>
          <w:bCs/>
          <w:noProof/>
          <w:color w:val="000000"/>
          <w:szCs w:val="21"/>
          <w:lang w:eastAsia="zh-CN"/>
        </w:rPr>
        <w:drawing>
          <wp:inline distT="0" distB="0" distL="0" distR="0" wp14:anchorId="7CE9050F" wp14:editId="12740531">
            <wp:extent cx="3999230" cy="3066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230" cy="3066415"/>
                    </a:xfrm>
                    <a:prstGeom prst="rect">
                      <a:avLst/>
                    </a:prstGeom>
                    <a:noFill/>
                  </pic:spPr>
                </pic:pic>
              </a:graphicData>
            </a:graphic>
          </wp:inline>
        </w:drawing>
      </w:r>
    </w:p>
    <w:p w14:paraId="2985F546" w14:textId="13E121E6" w:rsidR="00A77B3E" w:rsidRPr="008B59F4" w:rsidRDefault="000B7BA1">
      <w:pPr>
        <w:spacing w:line="360" w:lineRule="auto"/>
        <w:jc w:val="both"/>
        <w:rPr>
          <w:lang w:eastAsia="zh-CN"/>
        </w:rPr>
      </w:pPr>
      <w:r>
        <w:rPr>
          <w:rFonts w:ascii="Book Antiqua" w:eastAsia="Book Antiqua" w:hAnsi="Book Antiqua" w:cs="Book Antiqua"/>
          <w:b/>
          <w:bCs/>
          <w:color w:val="000000"/>
          <w:szCs w:val="21"/>
        </w:rPr>
        <w:t>Figure 2</w:t>
      </w:r>
      <w:r>
        <w:rPr>
          <w:rFonts w:ascii="Book Antiqua" w:eastAsia="Book Antiqua" w:hAnsi="Book Antiqua" w:cs="Book Antiqua"/>
          <w:color w:val="000000"/>
          <w:szCs w:val="21"/>
        </w:rPr>
        <w:t xml:space="preserve"> </w:t>
      </w:r>
      <w:r w:rsidRPr="008B59F4">
        <w:rPr>
          <w:rFonts w:ascii="Book Antiqua" w:eastAsia="Book Antiqua" w:hAnsi="Book Antiqua" w:cs="Book Antiqua"/>
          <w:b/>
          <w:color w:val="000000"/>
          <w:szCs w:val="21"/>
        </w:rPr>
        <w:t xml:space="preserve">A 40-year-old </w:t>
      </w:r>
      <w:r w:rsidR="00B728EB" w:rsidRPr="008B59F4">
        <w:rPr>
          <w:rFonts w:ascii="Book Antiqua" w:eastAsia="Book Antiqua" w:hAnsi="Book Antiqua" w:cs="Book Antiqua"/>
          <w:b/>
          <w:color w:val="000000"/>
          <w:szCs w:val="21"/>
        </w:rPr>
        <w:t>ma</w:t>
      </w:r>
      <w:r w:rsidR="00B728EB">
        <w:rPr>
          <w:rFonts w:ascii="Book Antiqua" w:eastAsia="Book Antiqua" w:hAnsi="Book Antiqua" w:cs="Book Antiqua"/>
          <w:b/>
          <w:color w:val="000000"/>
          <w:szCs w:val="21"/>
        </w:rPr>
        <w:t>n</w:t>
      </w:r>
      <w:r w:rsidR="00B728EB" w:rsidRPr="008B59F4">
        <w:rPr>
          <w:rFonts w:ascii="Book Antiqua" w:eastAsia="Book Antiqua" w:hAnsi="Book Antiqua" w:cs="Book Antiqua"/>
          <w:b/>
          <w:color w:val="000000"/>
          <w:szCs w:val="21"/>
        </w:rPr>
        <w:t xml:space="preserve"> </w:t>
      </w:r>
      <w:r w:rsidRPr="008B59F4">
        <w:rPr>
          <w:rFonts w:ascii="Book Antiqua" w:eastAsia="Book Antiqua" w:hAnsi="Book Antiqua" w:cs="Book Antiqua"/>
          <w:b/>
          <w:color w:val="000000"/>
          <w:szCs w:val="21"/>
        </w:rPr>
        <w:t xml:space="preserve">with perianal </w:t>
      </w:r>
      <w:bookmarkStart w:id="20" w:name="OLE_LINK199"/>
      <w:bookmarkStart w:id="21" w:name="OLE_LINK200"/>
      <w:r w:rsidRPr="008B59F4">
        <w:rPr>
          <w:rFonts w:ascii="Book Antiqua" w:eastAsia="Book Antiqua" w:hAnsi="Book Antiqua" w:cs="Book Antiqua"/>
          <w:b/>
          <w:color w:val="000000"/>
          <w:szCs w:val="21"/>
        </w:rPr>
        <w:t>Crohn’s disease</w:t>
      </w:r>
      <w:bookmarkEnd w:id="20"/>
      <w:bookmarkEnd w:id="21"/>
      <w:r w:rsidRPr="008B59F4">
        <w:rPr>
          <w:rFonts w:ascii="Book Antiqua" w:eastAsia="Book Antiqua" w:hAnsi="Book Antiqua" w:cs="Book Antiqua"/>
          <w:b/>
          <w:color w:val="000000"/>
          <w:szCs w:val="21"/>
        </w:rPr>
        <w:t xml:space="preserve"> and lumbar hidradenitis suppurativa, Hurley stage </w:t>
      </w:r>
      <w:r w:rsidR="00B728EB">
        <w:rPr>
          <w:rFonts w:eastAsia="Book Antiqua"/>
          <w:b/>
          <w:color w:val="000000"/>
          <w:szCs w:val="21"/>
        </w:rPr>
        <w:t>III</w:t>
      </w:r>
      <w:r w:rsidRPr="008B59F4">
        <w:rPr>
          <w:rFonts w:ascii="Book Antiqua" w:eastAsia="Book Antiqua" w:hAnsi="Book Antiqua" w:cs="Book Antiqua"/>
          <w:b/>
          <w:color w:val="000000"/>
          <w:szCs w:val="21"/>
        </w:rPr>
        <w:t>.</w:t>
      </w:r>
      <w:r w:rsidR="008B59F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Photo courtesy of Dr. Bo</w:t>
      </w:r>
      <w:r w:rsidR="00B728EB">
        <w:rPr>
          <w:rFonts w:ascii="Book Antiqua" w:eastAsia="Book Antiqua" w:hAnsi="Book Antiqua" w:cs="Book Antiqua"/>
          <w:color w:val="000000"/>
          <w:szCs w:val="21"/>
        </w:rPr>
        <w:t xml:space="preserve">-Lin </w:t>
      </w:r>
      <w:r>
        <w:rPr>
          <w:rFonts w:ascii="Book Antiqua" w:eastAsia="Book Antiqua" w:hAnsi="Book Antiqua" w:cs="Book Antiqua"/>
          <w:color w:val="000000"/>
          <w:szCs w:val="21"/>
        </w:rPr>
        <w:t>Yang</w:t>
      </w:r>
      <w:r w:rsidR="008B59F4">
        <w:rPr>
          <w:rFonts w:ascii="Book Antiqua" w:hAnsi="Book Antiqua" w:cs="Book Antiqua" w:hint="eastAsia"/>
          <w:color w:val="000000"/>
          <w:szCs w:val="21"/>
          <w:lang w:eastAsia="zh-CN"/>
        </w:rPr>
        <w:t>.</w:t>
      </w:r>
    </w:p>
    <w:p w14:paraId="131F5A85" w14:textId="77777777" w:rsidR="005657D1" w:rsidRDefault="0071262B">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5657D1">
        <w:rPr>
          <w:rFonts w:ascii="Book Antiqua" w:eastAsia="Book Antiqua" w:hAnsi="Book Antiqua" w:cs="Book Antiqua"/>
          <w:b/>
          <w:bCs/>
          <w:noProof/>
          <w:color w:val="000000"/>
          <w:szCs w:val="21"/>
          <w:lang w:eastAsia="zh-CN"/>
        </w:rPr>
        <w:drawing>
          <wp:inline distT="0" distB="0" distL="0" distR="0" wp14:anchorId="07F7DC48" wp14:editId="4ACA6177">
            <wp:extent cx="4255135" cy="34080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5135" cy="3408045"/>
                    </a:xfrm>
                    <a:prstGeom prst="rect">
                      <a:avLst/>
                    </a:prstGeom>
                    <a:noFill/>
                  </pic:spPr>
                </pic:pic>
              </a:graphicData>
            </a:graphic>
          </wp:inline>
        </w:drawing>
      </w:r>
    </w:p>
    <w:p w14:paraId="34E05CDC" w14:textId="3EDE4268" w:rsidR="00A77B3E" w:rsidRPr="008B59F4" w:rsidRDefault="000B7BA1">
      <w:pPr>
        <w:spacing w:line="360" w:lineRule="auto"/>
        <w:jc w:val="both"/>
        <w:rPr>
          <w:lang w:eastAsia="zh-CN"/>
        </w:rPr>
      </w:pPr>
      <w:r>
        <w:rPr>
          <w:rFonts w:ascii="Book Antiqua" w:eastAsia="Book Antiqua" w:hAnsi="Book Antiqua" w:cs="Book Antiqua"/>
          <w:b/>
          <w:bCs/>
          <w:color w:val="000000"/>
          <w:szCs w:val="21"/>
        </w:rPr>
        <w:t>Figure 3</w:t>
      </w:r>
      <w:r>
        <w:rPr>
          <w:rFonts w:ascii="Book Antiqua" w:eastAsia="Book Antiqua" w:hAnsi="Book Antiqua" w:cs="Book Antiqua"/>
          <w:color w:val="000000"/>
          <w:szCs w:val="21"/>
        </w:rPr>
        <w:t xml:space="preserve"> </w:t>
      </w:r>
      <w:r w:rsidRPr="008B59F4">
        <w:rPr>
          <w:rFonts w:ascii="Book Antiqua" w:eastAsia="Book Antiqua" w:hAnsi="Book Antiqua" w:cs="Book Antiqua"/>
          <w:b/>
          <w:color w:val="000000"/>
          <w:szCs w:val="21"/>
        </w:rPr>
        <w:t xml:space="preserve">A 16-year-old female </w:t>
      </w:r>
      <w:r w:rsidR="00B728EB">
        <w:rPr>
          <w:rFonts w:ascii="Book Antiqua" w:eastAsia="Book Antiqua" w:hAnsi="Book Antiqua" w:cs="Book Antiqua"/>
          <w:b/>
          <w:color w:val="000000"/>
          <w:szCs w:val="21"/>
        </w:rPr>
        <w:t xml:space="preserve">patient </w:t>
      </w:r>
      <w:r w:rsidRPr="008B59F4">
        <w:rPr>
          <w:rFonts w:ascii="Book Antiqua" w:eastAsia="Book Antiqua" w:hAnsi="Book Antiqua" w:cs="Book Antiqua"/>
          <w:b/>
          <w:color w:val="000000"/>
          <w:szCs w:val="21"/>
        </w:rPr>
        <w:t xml:space="preserve">with Crohn’s disease and perineal hidradenitis </w:t>
      </w:r>
      <w:r w:rsidR="008B59F4" w:rsidRPr="008B59F4">
        <w:rPr>
          <w:rFonts w:ascii="Book Antiqua" w:eastAsia="Book Antiqua" w:hAnsi="Book Antiqua" w:cs="Book Antiqua"/>
          <w:b/>
          <w:color w:val="000000"/>
          <w:szCs w:val="21"/>
        </w:rPr>
        <w:t xml:space="preserve">suppurativa, Hurley stage III. </w:t>
      </w:r>
      <w:r>
        <w:rPr>
          <w:rFonts w:ascii="Book Antiqua" w:eastAsia="Book Antiqua" w:hAnsi="Book Antiqua" w:cs="Book Antiqua"/>
          <w:color w:val="000000"/>
          <w:szCs w:val="21"/>
        </w:rPr>
        <w:t>Photo courtesy of Dr. Bo</w:t>
      </w:r>
      <w:r w:rsidR="00B728EB">
        <w:rPr>
          <w:rFonts w:ascii="Book Antiqua" w:eastAsia="Book Antiqua" w:hAnsi="Book Antiqua" w:cs="Book Antiqua"/>
          <w:color w:val="000000"/>
          <w:szCs w:val="21"/>
        </w:rPr>
        <w:t xml:space="preserve">-Lin </w:t>
      </w:r>
      <w:r>
        <w:rPr>
          <w:rFonts w:ascii="Book Antiqua" w:eastAsia="Book Antiqua" w:hAnsi="Book Antiqua" w:cs="Book Antiqua"/>
          <w:color w:val="000000"/>
          <w:szCs w:val="21"/>
        </w:rPr>
        <w:t>Yang</w:t>
      </w:r>
      <w:r w:rsidR="008B59F4">
        <w:rPr>
          <w:rFonts w:ascii="Book Antiqua" w:hAnsi="Book Antiqua" w:cs="Book Antiqua" w:hint="eastAsia"/>
          <w:color w:val="000000"/>
          <w:szCs w:val="21"/>
          <w:lang w:eastAsia="zh-CN"/>
        </w:rPr>
        <w:t>.</w:t>
      </w:r>
    </w:p>
    <w:p w14:paraId="1E5734C6" w14:textId="77777777" w:rsidR="005657D1" w:rsidRDefault="0071262B">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5657D1">
        <w:rPr>
          <w:rFonts w:ascii="Book Antiqua" w:eastAsia="Book Antiqua" w:hAnsi="Book Antiqua" w:cs="Book Antiqua"/>
          <w:b/>
          <w:bCs/>
          <w:noProof/>
          <w:color w:val="000000"/>
          <w:szCs w:val="21"/>
          <w:lang w:eastAsia="zh-CN"/>
        </w:rPr>
        <w:drawing>
          <wp:inline distT="0" distB="0" distL="0" distR="0" wp14:anchorId="5109EB9F" wp14:editId="04A100FE">
            <wp:extent cx="5886450" cy="153276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3954" cy="1534718"/>
                    </a:xfrm>
                    <a:prstGeom prst="rect">
                      <a:avLst/>
                    </a:prstGeom>
                    <a:noFill/>
                  </pic:spPr>
                </pic:pic>
              </a:graphicData>
            </a:graphic>
          </wp:inline>
        </w:drawing>
      </w:r>
    </w:p>
    <w:p w14:paraId="12904309" w14:textId="07508B35" w:rsidR="00A77B3E" w:rsidRPr="008B59F4" w:rsidRDefault="000B7BA1">
      <w:pPr>
        <w:spacing w:line="360" w:lineRule="auto"/>
        <w:jc w:val="both"/>
        <w:rPr>
          <w:lang w:eastAsia="zh-CN"/>
        </w:rPr>
      </w:pPr>
      <w:r>
        <w:rPr>
          <w:rFonts w:ascii="Book Antiqua" w:eastAsia="Book Antiqua" w:hAnsi="Book Antiqua" w:cs="Book Antiqua"/>
          <w:b/>
          <w:bCs/>
          <w:color w:val="000000"/>
          <w:szCs w:val="21"/>
        </w:rPr>
        <w:t>Figure 4</w:t>
      </w:r>
      <w:r>
        <w:rPr>
          <w:rFonts w:ascii="Book Antiqua" w:eastAsia="Book Antiqua" w:hAnsi="Book Antiqua" w:cs="Book Antiqua"/>
          <w:color w:val="000000"/>
          <w:szCs w:val="21"/>
        </w:rPr>
        <w:t xml:space="preserve"> </w:t>
      </w:r>
      <w:r w:rsidRPr="008B59F4">
        <w:rPr>
          <w:rFonts w:ascii="Book Antiqua" w:eastAsia="Book Antiqua" w:hAnsi="Book Antiqua" w:cs="Book Antiqua"/>
          <w:b/>
          <w:color w:val="000000"/>
          <w:szCs w:val="21"/>
        </w:rPr>
        <w:t xml:space="preserve">Perianal </w:t>
      </w:r>
      <w:bookmarkStart w:id="22" w:name="OLE_LINK198"/>
      <w:r w:rsidR="008B59F4" w:rsidRPr="008B59F4">
        <w:rPr>
          <w:rFonts w:ascii="Book Antiqua" w:hAnsi="Book Antiqua" w:cs="Book Antiqua" w:hint="eastAsia"/>
          <w:b/>
          <w:color w:val="000000"/>
          <w:szCs w:val="20"/>
          <w:lang w:eastAsia="zh-CN"/>
        </w:rPr>
        <w:t>h</w:t>
      </w:r>
      <w:r w:rsidR="008B59F4" w:rsidRPr="008B59F4">
        <w:rPr>
          <w:rFonts w:ascii="Book Antiqua" w:eastAsia="Book Antiqua" w:hAnsi="Book Antiqua" w:cs="Book Antiqua"/>
          <w:b/>
          <w:color w:val="000000"/>
          <w:szCs w:val="20"/>
        </w:rPr>
        <w:t>idradenitis suppurativa</w:t>
      </w:r>
      <w:bookmarkEnd w:id="22"/>
      <w:r w:rsidRPr="008B59F4">
        <w:rPr>
          <w:rFonts w:ascii="Book Antiqua" w:eastAsia="Book Antiqua" w:hAnsi="Book Antiqua" w:cs="Book Antiqua"/>
          <w:b/>
          <w:color w:val="000000"/>
          <w:szCs w:val="21"/>
        </w:rPr>
        <w:t xml:space="preserve">, Hurley stage </w:t>
      </w:r>
      <w:r w:rsidR="00B728EB">
        <w:rPr>
          <w:rFonts w:ascii="Book Antiqua" w:eastAsia="Book Antiqua" w:hAnsi="Book Antiqua" w:cs="Book Antiqua"/>
          <w:b/>
          <w:color w:val="000000"/>
          <w:szCs w:val="21"/>
        </w:rPr>
        <w:t>III</w:t>
      </w:r>
      <w:r w:rsidRPr="008B59F4">
        <w:rPr>
          <w:rFonts w:ascii="Book Antiqua" w:eastAsia="Book Antiqua" w:hAnsi="Book Antiqua" w:cs="Book Antiqua"/>
          <w:b/>
          <w:color w:val="000000"/>
          <w:szCs w:val="21"/>
        </w:rPr>
        <w:t xml:space="preserve">. </w:t>
      </w:r>
      <w:r>
        <w:rPr>
          <w:rFonts w:ascii="Book Antiqua" w:eastAsia="Book Antiqua" w:hAnsi="Book Antiqua" w:cs="Book Antiqua"/>
          <w:color w:val="000000"/>
          <w:szCs w:val="21"/>
        </w:rPr>
        <w:t xml:space="preserve">Extensive incision, </w:t>
      </w:r>
      <w:r w:rsidR="00B77B74" w:rsidRPr="00153934">
        <w:rPr>
          <w:rFonts w:ascii="Book Antiqua" w:eastAsia="Book Antiqua" w:hAnsi="Book Antiqua" w:cs="Book Antiqua"/>
          <w:color w:val="000000"/>
          <w:szCs w:val="21"/>
        </w:rPr>
        <w:t>marsupialization</w:t>
      </w:r>
      <w:r w:rsidRPr="00153934">
        <w:rPr>
          <w:rFonts w:ascii="Book Antiqua" w:eastAsia="Book Antiqua" w:hAnsi="Book Antiqua" w:cs="Book Antiqua"/>
          <w:color w:val="000000"/>
          <w:szCs w:val="21"/>
        </w:rPr>
        <w:t xml:space="preserve"> of wound </w:t>
      </w:r>
      <w:r w:rsidR="008B59F4" w:rsidRPr="00153934">
        <w:rPr>
          <w:rFonts w:ascii="Book Antiqua" w:eastAsia="Book Antiqua" w:hAnsi="Book Antiqua" w:cs="Book Antiqua"/>
          <w:color w:val="000000"/>
          <w:szCs w:val="21"/>
        </w:rPr>
        <w:t>surface</w:t>
      </w:r>
      <w:r w:rsidR="00B728EB">
        <w:rPr>
          <w:rFonts w:ascii="Book Antiqua" w:eastAsia="Book Antiqua" w:hAnsi="Book Antiqua" w:cs="Book Antiqua"/>
          <w:color w:val="000000"/>
          <w:szCs w:val="21"/>
        </w:rPr>
        <w:t>,</w:t>
      </w:r>
      <w:r w:rsidR="008B59F4" w:rsidRPr="00153934">
        <w:rPr>
          <w:rFonts w:ascii="Book Antiqua" w:eastAsia="Book Antiqua" w:hAnsi="Book Antiqua" w:cs="Book Antiqua"/>
          <w:color w:val="000000"/>
          <w:szCs w:val="21"/>
        </w:rPr>
        <w:t xml:space="preserve"> and secondary healing. </w:t>
      </w:r>
      <w:r w:rsidRPr="00153934">
        <w:rPr>
          <w:rFonts w:ascii="Book Antiqua" w:eastAsia="Book Antiqua" w:hAnsi="Book Antiqua" w:cs="Book Antiqua"/>
          <w:color w:val="000000"/>
          <w:szCs w:val="21"/>
        </w:rPr>
        <w:t>Photo courtesy of Dr. Bo</w:t>
      </w:r>
      <w:r w:rsidR="00B728EB">
        <w:rPr>
          <w:rFonts w:ascii="Book Antiqua" w:eastAsia="Book Antiqua" w:hAnsi="Book Antiqua" w:cs="Book Antiqua"/>
          <w:color w:val="000000"/>
          <w:szCs w:val="21"/>
        </w:rPr>
        <w:t>-L</w:t>
      </w:r>
      <w:r w:rsidR="00B728EB" w:rsidRPr="00153934">
        <w:rPr>
          <w:rFonts w:ascii="Book Antiqua" w:eastAsia="Book Antiqua" w:hAnsi="Book Antiqua" w:cs="Book Antiqua"/>
          <w:color w:val="000000"/>
          <w:szCs w:val="21"/>
        </w:rPr>
        <w:t>in</w:t>
      </w:r>
      <w:r w:rsidR="00B728E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Yang</w:t>
      </w:r>
      <w:r w:rsidR="008B59F4">
        <w:rPr>
          <w:rFonts w:ascii="Book Antiqua" w:hAnsi="Book Antiqua" w:cs="Book Antiqua" w:hint="eastAsia"/>
          <w:color w:val="000000"/>
          <w:szCs w:val="21"/>
          <w:lang w:eastAsia="zh-CN"/>
        </w:rPr>
        <w:t>.</w:t>
      </w:r>
    </w:p>
    <w:p w14:paraId="43685F1A" w14:textId="77777777" w:rsidR="005657D1" w:rsidRDefault="0071262B">
      <w:pPr>
        <w:spacing w:line="360" w:lineRule="auto"/>
        <w:jc w:val="both"/>
        <w:rPr>
          <w:rFonts w:ascii="Book Antiqua" w:hAnsi="Book Antiqua" w:cs="Book Antiqua"/>
          <w:b/>
          <w:bCs/>
          <w:color w:val="000000"/>
          <w:szCs w:val="21"/>
          <w:lang w:eastAsia="zh-CN"/>
        </w:rPr>
      </w:pPr>
      <w:r>
        <w:rPr>
          <w:rFonts w:ascii="Book Antiqua" w:eastAsia="Book Antiqua" w:hAnsi="Book Antiqua" w:cs="Book Antiqua"/>
          <w:b/>
          <w:bCs/>
          <w:color w:val="000000"/>
          <w:szCs w:val="21"/>
        </w:rPr>
        <w:br w:type="page"/>
      </w:r>
      <w:r w:rsidR="005657D1">
        <w:rPr>
          <w:rFonts w:ascii="Book Antiqua" w:eastAsia="Book Antiqua" w:hAnsi="Book Antiqua" w:cs="Book Antiqua"/>
          <w:b/>
          <w:bCs/>
          <w:noProof/>
          <w:color w:val="000000"/>
          <w:szCs w:val="21"/>
          <w:lang w:eastAsia="zh-CN"/>
        </w:rPr>
        <w:drawing>
          <wp:inline distT="0" distB="0" distL="0" distR="0" wp14:anchorId="2FAFB5AA" wp14:editId="02D906BD">
            <wp:extent cx="5590540" cy="59137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540" cy="5913755"/>
                    </a:xfrm>
                    <a:prstGeom prst="rect">
                      <a:avLst/>
                    </a:prstGeom>
                    <a:noFill/>
                  </pic:spPr>
                </pic:pic>
              </a:graphicData>
            </a:graphic>
          </wp:inline>
        </w:drawing>
      </w:r>
    </w:p>
    <w:p w14:paraId="16153014" w14:textId="37F936FD" w:rsidR="00A77B3E" w:rsidRPr="008B59F4" w:rsidRDefault="008B59F4">
      <w:pPr>
        <w:spacing w:line="360" w:lineRule="auto"/>
        <w:jc w:val="both"/>
        <w:rPr>
          <w:lang w:eastAsia="zh-CN"/>
        </w:rPr>
      </w:pPr>
      <w:r>
        <w:rPr>
          <w:rFonts w:ascii="Book Antiqua" w:eastAsia="Book Antiqua" w:hAnsi="Book Antiqua" w:cs="Book Antiqua"/>
          <w:b/>
          <w:bCs/>
          <w:color w:val="000000"/>
          <w:szCs w:val="21"/>
        </w:rPr>
        <w:t>Figure 5</w:t>
      </w:r>
      <w:r w:rsidR="000B7BA1">
        <w:rPr>
          <w:rFonts w:ascii="Book Antiqua" w:eastAsia="Book Antiqua" w:hAnsi="Book Antiqua" w:cs="Book Antiqua"/>
          <w:b/>
          <w:bCs/>
          <w:color w:val="000000"/>
          <w:szCs w:val="21"/>
        </w:rPr>
        <w:t xml:space="preserve"> </w:t>
      </w:r>
      <w:r w:rsidR="000B7BA1" w:rsidRPr="008B59F4">
        <w:rPr>
          <w:rFonts w:ascii="Book Antiqua" w:eastAsia="Book Antiqua" w:hAnsi="Book Antiqua" w:cs="Book Antiqua"/>
          <w:b/>
          <w:color w:val="000000"/>
          <w:szCs w:val="21"/>
        </w:rPr>
        <w:t xml:space="preserve">Clinical strategy for </w:t>
      </w:r>
      <w:r w:rsidRPr="008B59F4">
        <w:rPr>
          <w:rFonts w:ascii="Book Antiqua" w:hAnsi="Book Antiqua" w:cs="Book Antiqua"/>
          <w:b/>
          <w:color w:val="000000"/>
          <w:szCs w:val="20"/>
          <w:lang w:eastAsia="zh-CN"/>
        </w:rPr>
        <w:t>h</w:t>
      </w:r>
      <w:r w:rsidRPr="008B59F4">
        <w:rPr>
          <w:rFonts w:ascii="Book Antiqua" w:eastAsia="Book Antiqua" w:hAnsi="Book Antiqua" w:cs="Book Antiqua"/>
          <w:b/>
          <w:color w:val="000000"/>
          <w:szCs w:val="20"/>
        </w:rPr>
        <w:t>idradenitis suppurativa</w:t>
      </w:r>
      <w:r w:rsidRPr="008B59F4">
        <w:rPr>
          <w:rFonts w:ascii="Book Antiqua" w:eastAsia="Book Antiqua" w:hAnsi="Book Antiqua" w:cs="Book Antiqua"/>
          <w:b/>
          <w:color w:val="000000"/>
          <w:szCs w:val="21"/>
        </w:rPr>
        <w:t xml:space="preserve"> </w:t>
      </w:r>
      <w:r w:rsidR="000B7BA1" w:rsidRPr="008B59F4">
        <w:rPr>
          <w:rFonts w:ascii="Book Antiqua" w:eastAsia="Book Antiqua" w:hAnsi="Book Antiqua" w:cs="Book Antiqua"/>
          <w:b/>
          <w:color w:val="000000"/>
          <w:szCs w:val="21"/>
        </w:rPr>
        <w:t xml:space="preserve">combined with </w:t>
      </w:r>
      <w:r>
        <w:rPr>
          <w:rFonts w:ascii="Book Antiqua" w:eastAsia="Book Antiqua" w:hAnsi="Book Antiqua" w:cs="Book Antiqua"/>
          <w:b/>
          <w:color w:val="000000"/>
          <w:szCs w:val="21"/>
        </w:rPr>
        <w:t>Crohn’s disease</w:t>
      </w:r>
      <w:r w:rsidR="000B7BA1" w:rsidRPr="008B59F4">
        <w:rPr>
          <w:rFonts w:ascii="Book Antiqua" w:eastAsia="Book Antiqua" w:hAnsi="Book Antiqua" w:cs="Book Antiqua"/>
          <w:b/>
          <w:color w:val="000000"/>
          <w:szCs w:val="21"/>
        </w:rPr>
        <w:t>.</w:t>
      </w:r>
      <w:r>
        <w:rPr>
          <w:rFonts w:ascii="Book Antiqua" w:eastAsia="Book Antiqua" w:hAnsi="Book Antiqua" w:cs="Book Antiqua"/>
          <w:color w:val="000000"/>
          <w:szCs w:val="21"/>
        </w:rPr>
        <w:t xml:space="preserve"> </w:t>
      </w:r>
      <w:r w:rsidR="005657D1">
        <w:rPr>
          <w:rFonts w:ascii="Book Antiqua" w:hAnsi="Book Antiqua" w:cs="Book Antiqua" w:hint="eastAsia"/>
          <w:color w:val="000000"/>
          <w:szCs w:val="21"/>
          <w:lang w:eastAsia="zh-CN"/>
        </w:rPr>
        <w:t xml:space="preserve">CD: </w:t>
      </w:r>
      <w:r w:rsidR="005657D1" w:rsidRPr="00576919">
        <w:rPr>
          <w:rFonts w:ascii="Book Antiqua" w:hAnsi="Book Antiqua" w:cs="Book Antiqua"/>
          <w:color w:val="000000"/>
          <w:szCs w:val="21"/>
          <w:lang w:eastAsia="zh-CN"/>
        </w:rPr>
        <w:t>Crohn’s disease</w:t>
      </w:r>
      <w:r w:rsidR="005657D1">
        <w:rPr>
          <w:rFonts w:ascii="Book Antiqua" w:hAnsi="Book Antiqua" w:cs="Book Antiqua" w:hint="eastAsia"/>
          <w:color w:val="000000"/>
          <w:szCs w:val="21"/>
          <w:lang w:eastAsia="zh-CN"/>
        </w:rPr>
        <w:t>;</w:t>
      </w:r>
      <w:r w:rsidR="005657D1">
        <w:rPr>
          <w:rFonts w:ascii="Book Antiqua" w:eastAsia="Book Antiqua" w:hAnsi="Book Antiqua" w:cs="Book Antiqua"/>
          <w:color w:val="000000"/>
          <w:szCs w:val="21"/>
        </w:rPr>
        <w:t xml:space="preserve"> TNF</w:t>
      </w:r>
      <w:r w:rsidR="005657D1">
        <w:rPr>
          <w:rFonts w:ascii="Book Antiqua" w:hAnsi="Book Antiqua" w:cs="Book Antiqua" w:hint="eastAsia"/>
          <w:color w:val="000000"/>
          <w:szCs w:val="21"/>
          <w:lang w:eastAsia="zh-CN"/>
        </w:rPr>
        <w:t>:</w:t>
      </w:r>
      <w:r w:rsidR="005657D1">
        <w:rPr>
          <w:rFonts w:ascii="Book Antiqua" w:eastAsia="Book Antiqua" w:hAnsi="Book Antiqua" w:cs="Book Antiqua"/>
          <w:color w:val="000000"/>
          <w:szCs w:val="21"/>
        </w:rPr>
        <w:t xml:space="preserve"> </w:t>
      </w:r>
      <w:r w:rsidR="005657D1">
        <w:rPr>
          <w:rFonts w:ascii="Book Antiqua" w:hAnsi="Book Antiqua" w:cs="Book Antiqua" w:hint="eastAsia"/>
          <w:color w:val="000000"/>
          <w:szCs w:val="21"/>
          <w:lang w:eastAsia="zh-CN"/>
        </w:rPr>
        <w:t>T</w:t>
      </w:r>
      <w:r w:rsidR="005657D1">
        <w:rPr>
          <w:rFonts w:ascii="Book Antiqua" w:eastAsia="Book Antiqua" w:hAnsi="Book Antiqua" w:cs="Book Antiqua"/>
          <w:color w:val="000000"/>
          <w:szCs w:val="21"/>
        </w:rPr>
        <w:t>umor necrosis factor</w:t>
      </w:r>
      <w:r w:rsidR="005657D1">
        <w:rPr>
          <w:rFonts w:ascii="Book Antiqua" w:hAnsi="Book Antiqua" w:cs="Book Antiqua" w:hint="eastAsia"/>
          <w:color w:val="000000"/>
          <w:szCs w:val="21"/>
          <w:lang w:eastAsia="zh-CN"/>
        </w:rPr>
        <w:t>; HS: H</w:t>
      </w:r>
      <w:r w:rsidR="005657D1" w:rsidRPr="00757CB2">
        <w:rPr>
          <w:rFonts w:ascii="Book Antiqua" w:hAnsi="Book Antiqua" w:cs="Book Antiqua"/>
          <w:color w:val="000000"/>
          <w:szCs w:val="21"/>
          <w:lang w:eastAsia="zh-CN"/>
        </w:rPr>
        <w:t>idradenitis suppurativa</w:t>
      </w:r>
      <w:r w:rsidR="005657D1">
        <w:rPr>
          <w:rFonts w:ascii="Book Antiqua" w:hAnsi="Book Antiqua" w:cs="Book Antiqua" w:hint="eastAsia"/>
          <w:color w:val="000000"/>
          <w:szCs w:val="21"/>
          <w:lang w:eastAsia="zh-CN"/>
        </w:rPr>
        <w:t xml:space="preserve">. </w:t>
      </w:r>
      <w:r w:rsidR="005657D1">
        <w:rPr>
          <w:rFonts w:ascii="Book Antiqua" w:eastAsia="Book Antiqua" w:hAnsi="Book Antiqua" w:cs="Book Antiqua"/>
          <w:color w:val="000000"/>
          <w:szCs w:val="21"/>
        </w:rPr>
        <w:t>Figure courtesy of Dr. Bo</w:t>
      </w:r>
      <w:r w:rsidR="00B728EB">
        <w:rPr>
          <w:rFonts w:ascii="Book Antiqua" w:eastAsia="Book Antiqua" w:hAnsi="Book Antiqua" w:cs="Book Antiqua"/>
          <w:color w:val="000000"/>
          <w:szCs w:val="21"/>
        </w:rPr>
        <w:t xml:space="preserve">-Lin </w:t>
      </w:r>
      <w:r w:rsidR="005657D1">
        <w:rPr>
          <w:rFonts w:ascii="Book Antiqua" w:eastAsia="Book Antiqua" w:hAnsi="Book Antiqua" w:cs="Book Antiqua"/>
          <w:color w:val="000000"/>
          <w:szCs w:val="21"/>
        </w:rPr>
        <w:t>Yang</w:t>
      </w:r>
      <w:r w:rsidR="005657D1">
        <w:rPr>
          <w:rFonts w:ascii="Book Antiqua" w:hAnsi="Book Antiqua" w:cs="Book Antiqua" w:hint="eastAsia"/>
          <w:color w:val="000000"/>
          <w:szCs w:val="21"/>
          <w:lang w:eastAsia="zh-CN"/>
        </w:rPr>
        <w:t>.</w:t>
      </w:r>
    </w:p>
    <w:p w14:paraId="1315F9C3" w14:textId="33BA19CB" w:rsidR="00897868" w:rsidRDefault="0071262B" w:rsidP="00153934">
      <w:pPr>
        <w:spacing w:line="360" w:lineRule="auto"/>
        <w:jc w:val="both"/>
        <w:rPr>
          <w:rFonts w:ascii="Book Antiqua" w:hAnsi="Book Antiqua" w:cs="Book Antiqua"/>
          <w:color w:val="000000"/>
          <w:szCs w:val="21"/>
          <w:lang w:eastAsia="zh-CN"/>
        </w:rPr>
      </w:pPr>
      <w:r>
        <w:rPr>
          <w:rFonts w:ascii="Book Antiqua" w:eastAsia="Book Antiqua" w:hAnsi="Book Antiqua" w:cs="Book Antiqua"/>
          <w:b/>
          <w:bCs/>
          <w:color w:val="000000"/>
          <w:szCs w:val="21"/>
        </w:rPr>
        <w:br w:type="page"/>
      </w:r>
    </w:p>
    <w:p w14:paraId="59D15113" w14:textId="17FC8DF6" w:rsidR="00C5357F" w:rsidRPr="00153934" w:rsidRDefault="00BA0C88">
      <w:pPr>
        <w:spacing w:line="360" w:lineRule="auto"/>
        <w:jc w:val="both"/>
        <w:rPr>
          <w:lang w:eastAsia="zh-CN"/>
        </w:rPr>
      </w:pPr>
      <w:r>
        <w:rPr>
          <w:noProof/>
          <w:lang w:eastAsia="zh-CN"/>
        </w:rPr>
        <w:drawing>
          <wp:inline distT="0" distB="0" distL="0" distR="0" wp14:anchorId="1CAC79D3" wp14:editId="20A527F9">
            <wp:extent cx="5944806" cy="2434856"/>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2611" cy="2438053"/>
                    </a:xfrm>
                    <a:prstGeom prst="rect">
                      <a:avLst/>
                    </a:prstGeom>
                    <a:noFill/>
                  </pic:spPr>
                </pic:pic>
              </a:graphicData>
            </a:graphic>
          </wp:inline>
        </w:drawing>
      </w:r>
    </w:p>
    <w:p w14:paraId="0CD379A2" w14:textId="1478ACF1" w:rsidR="00D53959" w:rsidRPr="00153934" w:rsidRDefault="00D53959" w:rsidP="00153934">
      <w:pPr>
        <w:adjustRightInd w:val="0"/>
        <w:snapToGrid w:val="0"/>
        <w:spacing w:line="360" w:lineRule="auto"/>
        <w:jc w:val="both"/>
        <w:rPr>
          <w:rFonts w:ascii="Book Antiqua" w:hAnsi="Book Antiqua"/>
          <w:lang w:eastAsia="zh-CN"/>
        </w:rPr>
      </w:pPr>
      <w:bookmarkStart w:id="23" w:name="OLE_LINK74"/>
      <w:bookmarkStart w:id="24" w:name="OLE_LINK75"/>
      <w:r w:rsidRPr="00153934">
        <w:rPr>
          <w:rFonts w:ascii="Book Antiqua" w:eastAsia="Book Antiqua" w:hAnsi="Book Antiqua" w:cs="Book Antiqua"/>
          <w:b/>
          <w:bCs/>
          <w:szCs w:val="21"/>
        </w:rPr>
        <w:t>Figure 6</w:t>
      </w:r>
      <w:bookmarkEnd w:id="23"/>
      <w:bookmarkEnd w:id="24"/>
      <w:r w:rsidRPr="00153934">
        <w:rPr>
          <w:rFonts w:ascii="Book Antiqua" w:eastAsia="Book Antiqua" w:hAnsi="Book Antiqua" w:cs="Book Antiqua"/>
          <w:b/>
          <w:bCs/>
          <w:szCs w:val="21"/>
        </w:rPr>
        <w:t xml:space="preserve"> A 37</w:t>
      </w:r>
      <w:r w:rsidR="00BC1129">
        <w:rPr>
          <w:rFonts w:ascii="Book Antiqua" w:eastAsia="Book Antiqua" w:hAnsi="Book Antiqua" w:cs="Book Antiqua"/>
          <w:b/>
          <w:bCs/>
          <w:szCs w:val="21"/>
        </w:rPr>
        <w:t>-</w:t>
      </w:r>
      <w:r w:rsidRPr="00153934">
        <w:rPr>
          <w:rFonts w:ascii="Book Antiqua" w:eastAsia="Book Antiqua" w:hAnsi="Book Antiqua" w:cs="Book Antiqua"/>
          <w:b/>
          <w:bCs/>
          <w:szCs w:val="21"/>
        </w:rPr>
        <w:t>year</w:t>
      </w:r>
      <w:r w:rsidR="00BC1129">
        <w:rPr>
          <w:rFonts w:ascii="Book Antiqua" w:eastAsia="Book Antiqua" w:hAnsi="Book Antiqua" w:cs="Book Antiqua"/>
          <w:b/>
          <w:bCs/>
          <w:szCs w:val="21"/>
        </w:rPr>
        <w:t>-</w:t>
      </w:r>
      <w:r w:rsidRPr="00153934">
        <w:rPr>
          <w:rFonts w:ascii="Book Antiqua" w:eastAsia="Book Antiqua" w:hAnsi="Book Antiqua" w:cs="Book Antiqua"/>
          <w:b/>
          <w:bCs/>
          <w:szCs w:val="21"/>
        </w:rPr>
        <w:t xml:space="preserve">old </w:t>
      </w:r>
      <w:r w:rsidR="00B728EB" w:rsidRPr="00153934">
        <w:rPr>
          <w:rFonts w:ascii="Book Antiqua" w:eastAsia="Book Antiqua" w:hAnsi="Book Antiqua" w:cs="Book Antiqua"/>
          <w:b/>
          <w:bCs/>
          <w:szCs w:val="21"/>
        </w:rPr>
        <w:t>ma</w:t>
      </w:r>
      <w:r w:rsidR="00B728EB">
        <w:rPr>
          <w:rFonts w:ascii="Book Antiqua" w:eastAsia="Book Antiqua" w:hAnsi="Book Antiqua" w:cs="Book Antiqua"/>
          <w:b/>
          <w:bCs/>
          <w:szCs w:val="21"/>
        </w:rPr>
        <w:t>n</w:t>
      </w:r>
      <w:r w:rsidR="00B728EB" w:rsidRPr="00153934">
        <w:rPr>
          <w:rFonts w:ascii="Book Antiqua" w:eastAsia="Book Antiqua" w:hAnsi="Book Antiqua" w:cs="Book Antiqua"/>
          <w:b/>
          <w:bCs/>
          <w:szCs w:val="21"/>
        </w:rPr>
        <w:t xml:space="preserve"> </w:t>
      </w:r>
      <w:r w:rsidRPr="00153934">
        <w:rPr>
          <w:rFonts w:ascii="Book Antiqua" w:eastAsia="Book Antiqua" w:hAnsi="Book Antiqua" w:cs="Book Antiqua"/>
          <w:b/>
          <w:bCs/>
          <w:szCs w:val="21"/>
        </w:rPr>
        <w:t>with Crohn's disease and hidradenitis suppurativa, Hurley stage</w:t>
      </w:r>
      <w:r w:rsidR="00B728EB">
        <w:rPr>
          <w:rFonts w:ascii="Book Antiqua" w:eastAsia="Book Antiqua" w:hAnsi="Book Antiqua" w:cs="Book Antiqua"/>
          <w:b/>
          <w:bCs/>
          <w:szCs w:val="21"/>
        </w:rPr>
        <w:t xml:space="preserve"> III</w:t>
      </w:r>
      <w:r w:rsidRPr="00153934">
        <w:rPr>
          <w:rFonts w:ascii="Book Antiqua" w:eastAsia="Book Antiqua" w:hAnsi="Book Antiqua" w:cs="Book Antiqua"/>
          <w:b/>
          <w:bCs/>
          <w:szCs w:val="21"/>
        </w:rPr>
        <w:t>.</w:t>
      </w:r>
      <w:r w:rsidRPr="00153934">
        <w:rPr>
          <w:rFonts w:ascii="Book Antiqua" w:hAnsi="Book Antiqua"/>
        </w:rPr>
        <w:t xml:space="preserve"> </w:t>
      </w:r>
      <w:r w:rsidR="00153934" w:rsidRPr="00153934">
        <w:rPr>
          <w:rFonts w:ascii="Book Antiqua" w:hAnsi="Book Antiqua"/>
          <w:lang w:eastAsia="zh-CN"/>
        </w:rPr>
        <w:t>A</w:t>
      </w:r>
      <w:r w:rsidR="00BA0C88">
        <w:rPr>
          <w:rFonts w:ascii="Book Antiqua" w:hAnsi="Book Antiqua" w:hint="eastAsia"/>
          <w:lang w:eastAsia="zh-CN"/>
        </w:rPr>
        <w:t xml:space="preserve">: </w:t>
      </w:r>
      <w:r w:rsidR="00611379" w:rsidRPr="00153934">
        <w:rPr>
          <w:rFonts w:ascii="Book Antiqua" w:hAnsi="Book Antiqua"/>
        </w:rPr>
        <w:t xml:space="preserve">Prior to treatment, the patient had multiple draining sinus tracts, abscesses, and pustules in the </w:t>
      </w:r>
      <w:r w:rsidR="00946AAB" w:rsidRPr="00153934">
        <w:rPr>
          <w:rFonts w:ascii="Book Antiqua" w:hAnsi="Book Antiqua"/>
          <w:lang w:eastAsia="zh-CN"/>
        </w:rPr>
        <w:t>p</w:t>
      </w:r>
      <w:r w:rsidR="00946AAB" w:rsidRPr="00153934">
        <w:rPr>
          <w:rFonts w:ascii="Book Antiqua" w:hAnsi="Book Antiqua"/>
        </w:rPr>
        <w:t>erianal and buttocks area</w:t>
      </w:r>
      <w:r w:rsidR="00153934" w:rsidRPr="00153934">
        <w:rPr>
          <w:rFonts w:ascii="Book Antiqua" w:hAnsi="Book Antiqua"/>
          <w:lang w:eastAsia="zh-CN"/>
        </w:rPr>
        <w:t>;</w:t>
      </w:r>
      <w:r w:rsidR="00611379" w:rsidRPr="00153934">
        <w:rPr>
          <w:rFonts w:ascii="Book Antiqua" w:hAnsi="Book Antiqua"/>
        </w:rPr>
        <w:t xml:space="preserve"> </w:t>
      </w:r>
      <w:r w:rsidR="00153934" w:rsidRPr="00153934">
        <w:rPr>
          <w:rFonts w:ascii="Book Antiqua" w:hAnsi="Book Antiqua"/>
          <w:lang w:eastAsia="zh-CN"/>
        </w:rPr>
        <w:t>B</w:t>
      </w:r>
      <w:r w:rsidR="00BA0C88">
        <w:rPr>
          <w:rFonts w:ascii="Book Antiqua" w:hAnsi="Book Antiqua" w:hint="eastAsia"/>
          <w:lang w:eastAsia="zh-CN"/>
        </w:rPr>
        <w:t xml:space="preserve">: </w:t>
      </w:r>
      <w:r w:rsidR="00565B40" w:rsidRPr="00153934">
        <w:rPr>
          <w:rFonts w:ascii="Book Antiqua" w:hAnsi="Book Antiqua"/>
        </w:rPr>
        <w:t>Seton drainage</w:t>
      </w:r>
      <w:r w:rsidR="00153934" w:rsidRPr="00153934">
        <w:rPr>
          <w:rFonts w:ascii="Book Antiqua" w:hAnsi="Book Antiqua"/>
          <w:lang w:eastAsia="zh-CN"/>
        </w:rPr>
        <w:t>;</w:t>
      </w:r>
      <w:r w:rsidR="00946AAB" w:rsidRPr="00153934">
        <w:rPr>
          <w:rFonts w:ascii="Book Antiqua" w:hAnsi="Book Antiqua"/>
        </w:rPr>
        <w:t xml:space="preserve"> </w:t>
      </w:r>
      <w:r w:rsidR="00153934" w:rsidRPr="00153934">
        <w:rPr>
          <w:rFonts w:ascii="Book Antiqua" w:hAnsi="Book Antiqua"/>
          <w:lang w:eastAsia="zh-CN"/>
        </w:rPr>
        <w:t>C</w:t>
      </w:r>
      <w:r w:rsidR="00BA0C88">
        <w:rPr>
          <w:rFonts w:ascii="Book Antiqua" w:hAnsi="Book Antiqua"/>
        </w:rPr>
        <w:t>:</w:t>
      </w:r>
      <w:r w:rsidR="00BA0C88">
        <w:rPr>
          <w:rFonts w:ascii="Book Antiqua" w:hAnsi="Book Antiqua" w:hint="eastAsia"/>
          <w:lang w:eastAsia="zh-CN"/>
        </w:rPr>
        <w:t xml:space="preserve"> </w:t>
      </w:r>
      <w:r w:rsidR="00946AAB" w:rsidRPr="00153934">
        <w:rPr>
          <w:rFonts w:ascii="Book Antiqua" w:hAnsi="Book Antiqua"/>
        </w:rPr>
        <w:t>One month after the operation (infliximab treatment was performed twice during the period), the fistula secretion was significantly reduced</w:t>
      </w:r>
      <w:r w:rsidR="00946AAB" w:rsidRPr="00153934">
        <w:rPr>
          <w:rFonts w:ascii="Book Antiqua" w:hAnsi="Book Antiqua"/>
          <w:lang w:eastAsia="zh-CN"/>
        </w:rPr>
        <w:t>.</w:t>
      </w:r>
      <w:r w:rsidRPr="00153934">
        <w:rPr>
          <w:rFonts w:ascii="Book Antiqua" w:hAnsi="Book Antiqua"/>
        </w:rPr>
        <w:t xml:space="preserve"> Photo courtesy of Dr. Bo</w:t>
      </w:r>
      <w:r w:rsidR="00B728EB">
        <w:rPr>
          <w:rFonts w:ascii="Book Antiqua" w:hAnsi="Book Antiqua"/>
        </w:rPr>
        <w:t>-L</w:t>
      </w:r>
      <w:r w:rsidR="00B728EB" w:rsidRPr="00153934">
        <w:rPr>
          <w:rFonts w:ascii="Book Antiqua" w:hAnsi="Book Antiqua"/>
        </w:rPr>
        <w:t xml:space="preserve">in </w:t>
      </w:r>
      <w:r w:rsidRPr="00153934">
        <w:rPr>
          <w:rFonts w:ascii="Book Antiqua" w:hAnsi="Book Antiqua"/>
        </w:rPr>
        <w:t>Yang</w:t>
      </w:r>
      <w:r w:rsidRPr="00153934">
        <w:rPr>
          <w:rFonts w:ascii="Book Antiqua" w:hAnsi="Book Antiqua"/>
          <w:lang w:eastAsia="zh-CN"/>
        </w:rPr>
        <w:t>.</w:t>
      </w:r>
    </w:p>
    <w:p w14:paraId="4D1B6DC1" w14:textId="77777777" w:rsidR="00A77B3E" w:rsidRDefault="00897868">
      <w:pPr>
        <w:spacing w:line="360" w:lineRule="auto"/>
        <w:jc w:val="both"/>
        <w:rPr>
          <w:rFonts w:ascii="Book Antiqua" w:hAnsi="Book Antiqua"/>
          <w:b/>
          <w:lang w:eastAsia="zh-CN"/>
        </w:rPr>
      </w:pPr>
      <w:r>
        <w:rPr>
          <w:lang w:eastAsia="zh-CN"/>
        </w:rPr>
        <w:br w:type="page"/>
      </w:r>
      <w:r w:rsidRPr="00897868">
        <w:rPr>
          <w:rFonts w:ascii="Book Antiqua" w:hAnsi="Book Antiqua"/>
          <w:b/>
          <w:lang w:eastAsia="zh-CN"/>
        </w:rPr>
        <w:t>Table 1 Hurley stages</w:t>
      </w:r>
    </w:p>
    <w:tbl>
      <w:tblPr>
        <w:tblW w:w="5000" w:type="pct"/>
        <w:tblBorders>
          <w:top w:val="single" w:sz="8" w:space="0" w:color="auto"/>
          <w:bottom w:val="single" w:sz="8" w:space="0" w:color="auto"/>
        </w:tblBorders>
        <w:tblCellMar>
          <w:left w:w="0" w:type="dxa"/>
          <w:right w:w="0" w:type="dxa"/>
        </w:tblCellMar>
        <w:tblLook w:val="0600" w:firstRow="0" w:lastRow="0" w:firstColumn="0" w:lastColumn="0" w:noHBand="1" w:noVBand="1"/>
      </w:tblPr>
      <w:tblGrid>
        <w:gridCol w:w="1603"/>
        <w:gridCol w:w="7973"/>
      </w:tblGrid>
      <w:tr w:rsidR="00897868" w:rsidRPr="00897868" w14:paraId="60FC6BD7" w14:textId="77777777" w:rsidTr="00897868">
        <w:trPr>
          <w:trHeight w:val="785"/>
        </w:trPr>
        <w:tc>
          <w:tcPr>
            <w:tcW w:w="837" w:type="pct"/>
            <w:tcBorders>
              <w:top w:val="single" w:sz="8" w:space="0" w:color="auto"/>
              <w:bottom w:val="single" w:sz="8" w:space="0" w:color="auto"/>
            </w:tcBorders>
            <w:shd w:val="clear" w:color="auto" w:fill="auto"/>
            <w:tcMar>
              <w:top w:w="15" w:type="dxa"/>
              <w:left w:w="108" w:type="dxa"/>
              <w:bottom w:w="0" w:type="dxa"/>
              <w:right w:w="108" w:type="dxa"/>
            </w:tcMar>
            <w:hideMark/>
          </w:tcPr>
          <w:p w14:paraId="304E5CA1" w14:textId="77777777" w:rsidR="00897868" w:rsidRPr="00897868" w:rsidRDefault="00897868" w:rsidP="00897868">
            <w:pPr>
              <w:adjustRightInd w:val="0"/>
              <w:snapToGrid w:val="0"/>
              <w:spacing w:line="360" w:lineRule="auto"/>
              <w:jc w:val="both"/>
              <w:rPr>
                <w:rFonts w:ascii="Book Antiqua" w:eastAsia="宋体" w:hAnsi="Book Antiqua" w:cs="Arial"/>
                <w:b/>
                <w:lang w:eastAsia="zh-CN"/>
              </w:rPr>
            </w:pPr>
          </w:p>
        </w:tc>
        <w:tc>
          <w:tcPr>
            <w:tcW w:w="4163" w:type="pct"/>
            <w:tcBorders>
              <w:top w:val="single" w:sz="8" w:space="0" w:color="auto"/>
              <w:bottom w:val="single" w:sz="8" w:space="0" w:color="auto"/>
            </w:tcBorders>
            <w:shd w:val="clear" w:color="auto" w:fill="auto"/>
            <w:tcMar>
              <w:top w:w="15" w:type="dxa"/>
              <w:left w:w="108" w:type="dxa"/>
              <w:bottom w:w="0" w:type="dxa"/>
              <w:right w:w="108" w:type="dxa"/>
            </w:tcMar>
            <w:hideMark/>
          </w:tcPr>
          <w:p w14:paraId="49446C52" w14:textId="77777777" w:rsidR="00897868" w:rsidRPr="00897868" w:rsidRDefault="00897868" w:rsidP="00897868">
            <w:pPr>
              <w:adjustRightInd w:val="0"/>
              <w:snapToGrid w:val="0"/>
              <w:spacing w:line="360" w:lineRule="auto"/>
              <w:jc w:val="both"/>
              <w:rPr>
                <w:rFonts w:ascii="Book Antiqua" w:eastAsia="宋体" w:hAnsi="Book Antiqua" w:cs="Arial"/>
                <w:b/>
                <w:lang w:eastAsia="zh-CN"/>
              </w:rPr>
            </w:pPr>
            <w:r w:rsidRPr="00897868">
              <w:rPr>
                <w:rFonts w:ascii="Book Antiqua" w:eastAsia="宋体" w:hAnsi="Book Antiqua"/>
                <w:b/>
                <w:color w:val="000000"/>
                <w:kern w:val="2"/>
                <w:lang w:eastAsia="zh-CN"/>
              </w:rPr>
              <w:t>Clinical manifestations</w:t>
            </w:r>
          </w:p>
        </w:tc>
      </w:tr>
      <w:tr w:rsidR="00897868" w:rsidRPr="00897868" w14:paraId="5D1AF2CB" w14:textId="77777777" w:rsidTr="00897868">
        <w:trPr>
          <w:trHeight w:val="831"/>
        </w:trPr>
        <w:tc>
          <w:tcPr>
            <w:tcW w:w="837" w:type="pct"/>
            <w:tcBorders>
              <w:top w:val="single" w:sz="8" w:space="0" w:color="auto"/>
            </w:tcBorders>
            <w:shd w:val="clear" w:color="auto" w:fill="auto"/>
            <w:tcMar>
              <w:top w:w="15" w:type="dxa"/>
              <w:left w:w="108" w:type="dxa"/>
              <w:bottom w:w="0" w:type="dxa"/>
              <w:right w:w="108" w:type="dxa"/>
            </w:tcMar>
            <w:hideMark/>
          </w:tcPr>
          <w:p w14:paraId="4EC20014" w14:textId="3AC3FD9C" w:rsidR="00897868" w:rsidRPr="00897868" w:rsidRDefault="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Grade</w:t>
            </w:r>
            <w:r w:rsidR="00B728EB">
              <w:rPr>
                <w:rFonts w:ascii="Book Antiqua" w:eastAsia="宋体" w:hAnsi="Book Antiqua"/>
                <w:color w:val="000000"/>
                <w:kern w:val="2"/>
                <w:lang w:eastAsia="zh-CN"/>
              </w:rPr>
              <w:t xml:space="preserve"> I</w:t>
            </w:r>
          </w:p>
        </w:tc>
        <w:tc>
          <w:tcPr>
            <w:tcW w:w="4163" w:type="pct"/>
            <w:tcBorders>
              <w:top w:val="single" w:sz="8" w:space="0" w:color="auto"/>
            </w:tcBorders>
            <w:shd w:val="clear" w:color="auto" w:fill="auto"/>
            <w:tcMar>
              <w:top w:w="15" w:type="dxa"/>
              <w:left w:w="108" w:type="dxa"/>
              <w:bottom w:w="0" w:type="dxa"/>
              <w:right w:w="108" w:type="dxa"/>
            </w:tcMar>
            <w:hideMark/>
          </w:tcPr>
          <w:p w14:paraId="0389EB77" w14:textId="77777777" w:rsidR="00897868" w:rsidRPr="00897868" w:rsidRDefault="00533F09" w:rsidP="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Abscess (single or multiple) without sinus tracts and cicatrization/scarring</w:t>
            </w:r>
          </w:p>
        </w:tc>
      </w:tr>
      <w:tr w:rsidR="00897868" w:rsidRPr="00897868" w14:paraId="0B068839" w14:textId="77777777" w:rsidTr="00897868">
        <w:trPr>
          <w:trHeight w:val="948"/>
        </w:trPr>
        <w:tc>
          <w:tcPr>
            <w:tcW w:w="837" w:type="pct"/>
            <w:shd w:val="clear" w:color="auto" w:fill="auto"/>
            <w:tcMar>
              <w:top w:w="15" w:type="dxa"/>
              <w:left w:w="108" w:type="dxa"/>
              <w:bottom w:w="0" w:type="dxa"/>
              <w:right w:w="108" w:type="dxa"/>
            </w:tcMar>
            <w:hideMark/>
          </w:tcPr>
          <w:p w14:paraId="6DE14948" w14:textId="0BE518BA" w:rsidR="00897868" w:rsidRPr="00897868" w:rsidRDefault="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 xml:space="preserve">Grade </w:t>
            </w:r>
            <w:r w:rsidR="00B728EB">
              <w:rPr>
                <w:rFonts w:ascii="Book Antiqua" w:eastAsia="宋体" w:hAnsi="Book Antiqua"/>
                <w:color w:val="000000"/>
                <w:kern w:val="2"/>
                <w:lang w:eastAsia="zh-CN"/>
              </w:rPr>
              <w:t>II</w:t>
            </w:r>
          </w:p>
        </w:tc>
        <w:tc>
          <w:tcPr>
            <w:tcW w:w="4163" w:type="pct"/>
            <w:shd w:val="clear" w:color="auto" w:fill="auto"/>
            <w:tcMar>
              <w:top w:w="15" w:type="dxa"/>
              <w:left w:w="108" w:type="dxa"/>
              <w:bottom w:w="0" w:type="dxa"/>
              <w:right w:w="108" w:type="dxa"/>
            </w:tcMar>
            <w:hideMark/>
          </w:tcPr>
          <w:p w14:paraId="76C552CD" w14:textId="77777777" w:rsidR="00897868" w:rsidRPr="00897868" w:rsidRDefault="00533F09" w:rsidP="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Recurrent abscess with sinus tracts and scarring, single or multiple widely separated lesions</w:t>
            </w:r>
          </w:p>
        </w:tc>
      </w:tr>
      <w:tr w:rsidR="00897868" w:rsidRPr="00897868" w14:paraId="565189E0" w14:textId="77777777" w:rsidTr="00BC1129">
        <w:trPr>
          <w:trHeight w:val="668"/>
        </w:trPr>
        <w:tc>
          <w:tcPr>
            <w:tcW w:w="837" w:type="pct"/>
            <w:shd w:val="clear" w:color="auto" w:fill="auto"/>
            <w:tcMar>
              <w:top w:w="15" w:type="dxa"/>
              <w:left w:w="108" w:type="dxa"/>
              <w:bottom w:w="0" w:type="dxa"/>
              <w:right w:w="108" w:type="dxa"/>
            </w:tcMar>
            <w:hideMark/>
          </w:tcPr>
          <w:p w14:paraId="14A4AF07" w14:textId="77777777" w:rsidR="00897868" w:rsidRPr="00897868" w:rsidRDefault="00897868" w:rsidP="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 xml:space="preserve">Grade </w:t>
            </w:r>
            <w:r w:rsidR="00533F09">
              <w:rPr>
                <w:rFonts w:ascii="Book Antiqua" w:eastAsia="宋体" w:hAnsi="Book Antiqua" w:cs="宋体"/>
                <w:color w:val="000000"/>
                <w:kern w:val="2"/>
                <w:lang w:eastAsia="zh-CN"/>
              </w:rPr>
              <w:t>Ш</w:t>
            </w:r>
          </w:p>
        </w:tc>
        <w:tc>
          <w:tcPr>
            <w:tcW w:w="4163" w:type="pct"/>
            <w:shd w:val="clear" w:color="auto" w:fill="auto"/>
            <w:tcMar>
              <w:top w:w="15" w:type="dxa"/>
              <w:left w:w="108" w:type="dxa"/>
              <w:bottom w:w="0" w:type="dxa"/>
              <w:right w:w="108" w:type="dxa"/>
            </w:tcMar>
            <w:hideMark/>
          </w:tcPr>
          <w:p w14:paraId="0CDB5B7D" w14:textId="77777777" w:rsidR="00897868" w:rsidRPr="00897868" w:rsidRDefault="00533F09" w:rsidP="00897868">
            <w:pPr>
              <w:adjustRightInd w:val="0"/>
              <w:snapToGrid w:val="0"/>
              <w:spacing w:line="360" w:lineRule="auto"/>
              <w:jc w:val="both"/>
              <w:rPr>
                <w:rFonts w:ascii="Book Antiqua" w:eastAsia="宋体" w:hAnsi="Book Antiqua" w:cs="Arial"/>
                <w:lang w:eastAsia="zh-CN"/>
              </w:rPr>
            </w:pPr>
            <w:r w:rsidRPr="00897868">
              <w:rPr>
                <w:rFonts w:ascii="Book Antiqua" w:eastAsia="宋体" w:hAnsi="Book Antiqua"/>
                <w:color w:val="000000"/>
                <w:kern w:val="2"/>
                <w:lang w:eastAsia="zh-CN"/>
              </w:rPr>
              <w:t>Diffuse or almost diffuse involvement, or multiple interconnected sinus tracts and abscesses across the entire area</w:t>
            </w:r>
          </w:p>
        </w:tc>
      </w:tr>
    </w:tbl>
    <w:p w14:paraId="11232A73" w14:textId="1D268C50" w:rsidR="00B34518" w:rsidRDefault="00B34518">
      <w:pPr>
        <w:spacing w:line="360" w:lineRule="auto"/>
        <w:jc w:val="both"/>
        <w:rPr>
          <w:rFonts w:ascii="Book Antiqua" w:hAnsi="Book Antiqua"/>
          <w:b/>
          <w:lang w:eastAsia="zh-CN"/>
        </w:rPr>
      </w:pPr>
    </w:p>
    <w:p w14:paraId="6AE1A723" w14:textId="77777777" w:rsidR="00B34518" w:rsidRDefault="00B34518">
      <w:pPr>
        <w:rPr>
          <w:rFonts w:ascii="Book Antiqua" w:hAnsi="Book Antiqua"/>
          <w:b/>
          <w:lang w:eastAsia="zh-CN"/>
        </w:rPr>
      </w:pPr>
      <w:r>
        <w:rPr>
          <w:rFonts w:ascii="Book Antiqua" w:hAnsi="Book Antiqua"/>
          <w:b/>
          <w:lang w:eastAsia="zh-CN"/>
        </w:rPr>
        <w:br w:type="page"/>
      </w:r>
    </w:p>
    <w:p w14:paraId="4730CDB6" w14:textId="77777777" w:rsidR="00B34518" w:rsidRDefault="00B34518" w:rsidP="00B34518">
      <w:pPr>
        <w:jc w:val="center"/>
        <w:rPr>
          <w:rFonts w:ascii="Book Antiqua" w:hAnsi="Book Antiqua"/>
          <w:lang w:eastAsia="zh-CN"/>
        </w:rPr>
      </w:pPr>
      <w:bookmarkStart w:id="25" w:name="OLE_LINK2"/>
    </w:p>
    <w:p w14:paraId="3650A805" w14:textId="77777777" w:rsidR="00B34518" w:rsidRDefault="00B34518" w:rsidP="00B34518">
      <w:pPr>
        <w:jc w:val="center"/>
        <w:rPr>
          <w:rFonts w:ascii="Book Antiqua" w:hAnsi="Book Antiqua"/>
          <w:lang w:eastAsia="zh-CN"/>
        </w:rPr>
      </w:pPr>
    </w:p>
    <w:p w14:paraId="4F4A9225" w14:textId="77777777" w:rsidR="00B34518" w:rsidRDefault="00B34518" w:rsidP="00B34518">
      <w:pPr>
        <w:jc w:val="center"/>
        <w:rPr>
          <w:rFonts w:ascii="Book Antiqua" w:hAnsi="Book Antiqua"/>
          <w:lang w:eastAsia="zh-CN"/>
        </w:rPr>
      </w:pPr>
    </w:p>
    <w:p w14:paraId="7AD57678" w14:textId="77777777" w:rsidR="00B34518" w:rsidRDefault="00B34518" w:rsidP="00B34518">
      <w:pPr>
        <w:jc w:val="center"/>
        <w:rPr>
          <w:rFonts w:ascii="Book Antiqua" w:hAnsi="Book Antiqua"/>
          <w:lang w:eastAsia="zh-CN"/>
        </w:rPr>
      </w:pPr>
    </w:p>
    <w:p w14:paraId="6A2EE269" w14:textId="77777777" w:rsidR="00B34518" w:rsidRDefault="00B34518" w:rsidP="00B34518">
      <w:pPr>
        <w:jc w:val="center"/>
        <w:rPr>
          <w:rFonts w:ascii="Book Antiqua" w:hAnsi="Book Antiqua"/>
          <w:lang w:eastAsia="zh-CN"/>
        </w:rPr>
      </w:pPr>
    </w:p>
    <w:p w14:paraId="23B0C9E9" w14:textId="77777777" w:rsidR="00B34518" w:rsidRDefault="00B34518" w:rsidP="00B34518">
      <w:pPr>
        <w:jc w:val="center"/>
        <w:rPr>
          <w:rFonts w:ascii="Book Antiqua" w:hAnsi="Book Antiqua"/>
          <w:lang w:eastAsia="zh-CN"/>
        </w:rPr>
      </w:pPr>
      <w:r>
        <w:rPr>
          <w:rFonts w:ascii="Book Antiqua" w:hAnsi="Book Antiqua"/>
          <w:noProof/>
          <w:lang w:eastAsia="zh-CN"/>
        </w:rPr>
        <w:drawing>
          <wp:inline distT="0" distB="0" distL="0" distR="0" wp14:anchorId="12CCF7CD" wp14:editId="5C4B266C">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3EBB79" w14:textId="77777777" w:rsidR="00B34518" w:rsidRDefault="00B34518" w:rsidP="00B34518">
      <w:pPr>
        <w:jc w:val="center"/>
        <w:rPr>
          <w:rFonts w:ascii="Book Antiqua" w:hAnsi="Book Antiqua"/>
          <w:lang w:eastAsia="zh-CN"/>
        </w:rPr>
      </w:pPr>
    </w:p>
    <w:p w14:paraId="11AAE3E8" w14:textId="77777777" w:rsidR="00B34518" w:rsidRPr="00763D22" w:rsidRDefault="00B34518" w:rsidP="00B3451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3F5F1AD" w14:textId="77777777" w:rsidR="00B34518" w:rsidRPr="00763D22" w:rsidRDefault="00B34518" w:rsidP="00B3451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D45751A" w14:textId="77777777" w:rsidR="00B34518" w:rsidRPr="00763D22" w:rsidRDefault="00B34518" w:rsidP="00B3451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CAA5EEF" w14:textId="77777777" w:rsidR="00B34518" w:rsidRPr="00763D22" w:rsidRDefault="00B34518" w:rsidP="00B3451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F08AD4C" w14:textId="77777777" w:rsidR="00B34518" w:rsidRPr="00763D22" w:rsidRDefault="00B34518" w:rsidP="00B3451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ED1879" w14:textId="77777777" w:rsidR="00B34518" w:rsidRPr="00763D22" w:rsidRDefault="00B34518" w:rsidP="00B3451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4D0A7F6" w14:textId="77777777" w:rsidR="00B34518" w:rsidRDefault="00B34518" w:rsidP="00B34518">
      <w:pPr>
        <w:jc w:val="center"/>
        <w:rPr>
          <w:rFonts w:ascii="Book Antiqua" w:hAnsi="Book Antiqua"/>
          <w:lang w:eastAsia="zh-CN"/>
        </w:rPr>
      </w:pPr>
    </w:p>
    <w:p w14:paraId="23C83F37" w14:textId="77777777" w:rsidR="00B34518" w:rsidRDefault="00B34518" w:rsidP="00B34518">
      <w:pPr>
        <w:jc w:val="center"/>
        <w:rPr>
          <w:rFonts w:ascii="Book Antiqua" w:hAnsi="Book Antiqua"/>
          <w:lang w:eastAsia="zh-CN"/>
        </w:rPr>
      </w:pPr>
    </w:p>
    <w:p w14:paraId="542DF952" w14:textId="77777777" w:rsidR="00B34518" w:rsidRDefault="00B34518" w:rsidP="00B34518">
      <w:pPr>
        <w:jc w:val="center"/>
        <w:rPr>
          <w:rFonts w:ascii="Book Antiqua" w:hAnsi="Book Antiqua"/>
          <w:lang w:eastAsia="zh-CN"/>
        </w:rPr>
      </w:pPr>
    </w:p>
    <w:p w14:paraId="02C29E8D" w14:textId="77777777" w:rsidR="00B34518" w:rsidRDefault="00B34518" w:rsidP="00B34518">
      <w:pPr>
        <w:jc w:val="center"/>
        <w:rPr>
          <w:rFonts w:ascii="Book Antiqua" w:hAnsi="Book Antiqua"/>
          <w:lang w:eastAsia="zh-CN"/>
        </w:rPr>
      </w:pPr>
      <w:r>
        <w:rPr>
          <w:rFonts w:ascii="Book Antiqua" w:hAnsi="Book Antiqua"/>
          <w:noProof/>
          <w:lang w:eastAsia="zh-CN"/>
        </w:rPr>
        <w:drawing>
          <wp:inline distT="0" distB="0" distL="0" distR="0" wp14:anchorId="4A0DEADB" wp14:editId="12F7A36F">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F493FF1" w14:textId="77777777" w:rsidR="00B34518" w:rsidRDefault="00B34518" w:rsidP="00B34518">
      <w:pPr>
        <w:jc w:val="center"/>
        <w:rPr>
          <w:rFonts w:ascii="Book Antiqua" w:hAnsi="Book Antiqua"/>
          <w:lang w:eastAsia="zh-CN"/>
        </w:rPr>
      </w:pPr>
    </w:p>
    <w:p w14:paraId="3826EDA6" w14:textId="77777777" w:rsidR="00B34518" w:rsidRDefault="00B34518" w:rsidP="00B34518">
      <w:pPr>
        <w:jc w:val="center"/>
        <w:rPr>
          <w:rFonts w:ascii="Book Antiqua" w:hAnsi="Book Antiqua"/>
          <w:lang w:eastAsia="zh-CN"/>
        </w:rPr>
      </w:pPr>
    </w:p>
    <w:p w14:paraId="4877D5B1" w14:textId="77777777" w:rsidR="00B34518" w:rsidRDefault="00B34518" w:rsidP="00B34518">
      <w:pPr>
        <w:jc w:val="center"/>
        <w:rPr>
          <w:rFonts w:ascii="Book Antiqua" w:hAnsi="Book Antiqua"/>
          <w:lang w:eastAsia="zh-CN"/>
        </w:rPr>
      </w:pPr>
    </w:p>
    <w:p w14:paraId="384DBFB8" w14:textId="77777777" w:rsidR="00B34518" w:rsidRDefault="00B34518" w:rsidP="00B34518">
      <w:pPr>
        <w:jc w:val="center"/>
        <w:rPr>
          <w:rFonts w:ascii="Book Antiqua" w:hAnsi="Book Antiqua"/>
          <w:lang w:eastAsia="zh-CN"/>
        </w:rPr>
      </w:pPr>
    </w:p>
    <w:p w14:paraId="19C0B636" w14:textId="77777777" w:rsidR="00B34518" w:rsidRDefault="00B34518" w:rsidP="00B34518">
      <w:pPr>
        <w:jc w:val="center"/>
        <w:rPr>
          <w:rFonts w:ascii="Book Antiqua" w:hAnsi="Book Antiqua"/>
          <w:lang w:eastAsia="zh-CN"/>
        </w:rPr>
      </w:pPr>
    </w:p>
    <w:p w14:paraId="111AEA38" w14:textId="77777777" w:rsidR="00B34518" w:rsidRDefault="00B34518" w:rsidP="00B34518">
      <w:pPr>
        <w:jc w:val="center"/>
        <w:rPr>
          <w:rFonts w:ascii="Book Antiqua" w:hAnsi="Book Antiqua"/>
          <w:lang w:eastAsia="zh-CN"/>
        </w:rPr>
      </w:pPr>
    </w:p>
    <w:p w14:paraId="50982D73" w14:textId="77777777" w:rsidR="00B34518" w:rsidRDefault="00B34518" w:rsidP="00B34518">
      <w:pPr>
        <w:jc w:val="center"/>
        <w:rPr>
          <w:rFonts w:ascii="Book Antiqua" w:hAnsi="Book Antiqua"/>
          <w:lang w:eastAsia="zh-CN"/>
        </w:rPr>
      </w:pPr>
    </w:p>
    <w:p w14:paraId="79147D13" w14:textId="77777777" w:rsidR="00B34518" w:rsidRDefault="00B34518" w:rsidP="00B34518">
      <w:pPr>
        <w:jc w:val="center"/>
        <w:rPr>
          <w:rFonts w:ascii="Book Antiqua" w:hAnsi="Book Antiqua"/>
          <w:lang w:eastAsia="zh-CN"/>
        </w:rPr>
      </w:pPr>
    </w:p>
    <w:p w14:paraId="220F3C1D" w14:textId="77777777" w:rsidR="00B34518" w:rsidRDefault="00B34518" w:rsidP="00B34518">
      <w:pPr>
        <w:jc w:val="center"/>
        <w:rPr>
          <w:rFonts w:ascii="Book Antiqua" w:hAnsi="Book Antiqua"/>
          <w:lang w:eastAsia="zh-CN"/>
        </w:rPr>
      </w:pPr>
    </w:p>
    <w:p w14:paraId="3D81E1E7" w14:textId="77777777" w:rsidR="00B34518" w:rsidRPr="00763D22" w:rsidRDefault="00B34518" w:rsidP="00B34518">
      <w:pPr>
        <w:jc w:val="right"/>
        <w:rPr>
          <w:rFonts w:ascii="Book Antiqua" w:hAnsi="Book Antiqua"/>
          <w:color w:val="000000" w:themeColor="text1"/>
          <w:lang w:eastAsia="zh-CN"/>
        </w:rPr>
      </w:pPr>
    </w:p>
    <w:p w14:paraId="3AC42BB1" w14:textId="77777777" w:rsidR="00B34518" w:rsidRPr="00763D22" w:rsidRDefault="00B34518" w:rsidP="00B3451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5"/>
    </w:p>
    <w:p w14:paraId="312615FE" w14:textId="77777777" w:rsidR="00897868" w:rsidRPr="00B34518" w:rsidRDefault="00897868">
      <w:pPr>
        <w:spacing w:line="360" w:lineRule="auto"/>
        <w:jc w:val="both"/>
        <w:rPr>
          <w:rFonts w:ascii="Book Antiqua" w:hAnsi="Book Antiqua"/>
          <w:b/>
          <w:lang w:eastAsia="zh-CN"/>
        </w:rPr>
      </w:pPr>
      <w:bookmarkStart w:id="26" w:name="_GoBack"/>
      <w:bookmarkEnd w:id="26"/>
    </w:p>
    <w:sectPr w:rsidR="00897868" w:rsidRPr="00B345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E95E6" w14:textId="77777777" w:rsidR="00302F1B" w:rsidRDefault="00302F1B" w:rsidP="00422281">
      <w:r>
        <w:separator/>
      </w:r>
    </w:p>
  </w:endnote>
  <w:endnote w:type="continuationSeparator" w:id="0">
    <w:p w14:paraId="3F00A4C6" w14:textId="77777777" w:rsidR="00302F1B" w:rsidRDefault="00302F1B" w:rsidP="00422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72148"/>
      <w:docPartObj>
        <w:docPartGallery w:val="Page Numbers (Bottom of Page)"/>
        <w:docPartUnique/>
      </w:docPartObj>
    </w:sdtPr>
    <w:sdtEndPr/>
    <w:sdtContent>
      <w:sdt>
        <w:sdtPr>
          <w:id w:val="860082579"/>
          <w:docPartObj>
            <w:docPartGallery w:val="Page Numbers (Top of Page)"/>
            <w:docPartUnique/>
          </w:docPartObj>
        </w:sdtPr>
        <w:sdtEndPr/>
        <w:sdtContent>
          <w:p w14:paraId="58BDBA6E" w14:textId="77777777" w:rsidR="00656E7B" w:rsidRDefault="00656E7B">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02F1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02F1B">
              <w:rPr>
                <w:b/>
                <w:bCs/>
                <w:noProof/>
              </w:rPr>
              <w:t>1</w:t>
            </w:r>
            <w:r>
              <w:rPr>
                <w:b/>
                <w:bCs/>
                <w:sz w:val="24"/>
                <w:szCs w:val="24"/>
              </w:rPr>
              <w:fldChar w:fldCharType="end"/>
            </w:r>
          </w:p>
        </w:sdtContent>
      </w:sdt>
    </w:sdtContent>
  </w:sdt>
  <w:p w14:paraId="01A5EEFF" w14:textId="77777777" w:rsidR="00656E7B" w:rsidRDefault="00656E7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F0A00" w14:textId="77777777" w:rsidR="00302F1B" w:rsidRDefault="00302F1B" w:rsidP="00422281">
      <w:r>
        <w:separator/>
      </w:r>
    </w:p>
  </w:footnote>
  <w:footnote w:type="continuationSeparator" w:id="0">
    <w:p w14:paraId="14B35441" w14:textId="77777777" w:rsidR="00302F1B" w:rsidRDefault="00302F1B" w:rsidP="004222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37B"/>
    <w:rsid w:val="0003453C"/>
    <w:rsid w:val="00096F31"/>
    <w:rsid w:val="000A3FB5"/>
    <w:rsid w:val="000B7BA1"/>
    <w:rsid w:val="000F65E5"/>
    <w:rsid w:val="00132D1A"/>
    <w:rsid w:val="00144503"/>
    <w:rsid w:val="00153934"/>
    <w:rsid w:val="00197CC2"/>
    <w:rsid w:val="001C24BE"/>
    <w:rsid w:val="001C5DD5"/>
    <w:rsid w:val="001D76A5"/>
    <w:rsid w:val="0020110F"/>
    <w:rsid w:val="00222BFB"/>
    <w:rsid w:val="00275FE6"/>
    <w:rsid w:val="00302F1B"/>
    <w:rsid w:val="003369E4"/>
    <w:rsid w:val="00336C52"/>
    <w:rsid w:val="0037301C"/>
    <w:rsid w:val="00394269"/>
    <w:rsid w:val="003A5E8D"/>
    <w:rsid w:val="003F4F7A"/>
    <w:rsid w:val="003F7B69"/>
    <w:rsid w:val="0042117A"/>
    <w:rsid w:val="00422281"/>
    <w:rsid w:val="0043142E"/>
    <w:rsid w:val="00436F75"/>
    <w:rsid w:val="00441F89"/>
    <w:rsid w:val="0046522D"/>
    <w:rsid w:val="00491D05"/>
    <w:rsid w:val="005011FB"/>
    <w:rsid w:val="00504CEC"/>
    <w:rsid w:val="0051540F"/>
    <w:rsid w:val="00533F09"/>
    <w:rsid w:val="005657D1"/>
    <w:rsid w:val="00565B40"/>
    <w:rsid w:val="005721B3"/>
    <w:rsid w:val="00576919"/>
    <w:rsid w:val="005C20BC"/>
    <w:rsid w:val="005E127D"/>
    <w:rsid w:val="005F4A3A"/>
    <w:rsid w:val="00601A07"/>
    <w:rsid w:val="00611379"/>
    <w:rsid w:val="006149F1"/>
    <w:rsid w:val="0063397D"/>
    <w:rsid w:val="00656E7B"/>
    <w:rsid w:val="00667694"/>
    <w:rsid w:val="006C7D48"/>
    <w:rsid w:val="006D2525"/>
    <w:rsid w:val="0071262B"/>
    <w:rsid w:val="00722F65"/>
    <w:rsid w:val="00755D2F"/>
    <w:rsid w:val="00757CB2"/>
    <w:rsid w:val="00770DFF"/>
    <w:rsid w:val="0077616C"/>
    <w:rsid w:val="007B6E6C"/>
    <w:rsid w:val="007C5431"/>
    <w:rsid w:val="007E2206"/>
    <w:rsid w:val="007F2537"/>
    <w:rsid w:val="00813A4A"/>
    <w:rsid w:val="008750BA"/>
    <w:rsid w:val="00897868"/>
    <w:rsid w:val="008B59F4"/>
    <w:rsid w:val="008C60FD"/>
    <w:rsid w:val="008E5594"/>
    <w:rsid w:val="008E74ED"/>
    <w:rsid w:val="00946AAB"/>
    <w:rsid w:val="009658DF"/>
    <w:rsid w:val="009A1B3C"/>
    <w:rsid w:val="00A37B20"/>
    <w:rsid w:val="00A45CF5"/>
    <w:rsid w:val="00A45DD9"/>
    <w:rsid w:val="00A510CB"/>
    <w:rsid w:val="00A725E8"/>
    <w:rsid w:val="00A77B3E"/>
    <w:rsid w:val="00AF091A"/>
    <w:rsid w:val="00AF56AB"/>
    <w:rsid w:val="00B34518"/>
    <w:rsid w:val="00B36007"/>
    <w:rsid w:val="00B377DB"/>
    <w:rsid w:val="00B5680A"/>
    <w:rsid w:val="00B6787D"/>
    <w:rsid w:val="00B728EB"/>
    <w:rsid w:val="00B77B74"/>
    <w:rsid w:val="00BA0C88"/>
    <w:rsid w:val="00BC1129"/>
    <w:rsid w:val="00BF64BD"/>
    <w:rsid w:val="00C026B5"/>
    <w:rsid w:val="00C06748"/>
    <w:rsid w:val="00C2025F"/>
    <w:rsid w:val="00C30E9A"/>
    <w:rsid w:val="00C4619F"/>
    <w:rsid w:val="00C5357F"/>
    <w:rsid w:val="00C83B78"/>
    <w:rsid w:val="00CA2A55"/>
    <w:rsid w:val="00CD1D2E"/>
    <w:rsid w:val="00CD47B1"/>
    <w:rsid w:val="00CF57D4"/>
    <w:rsid w:val="00D53959"/>
    <w:rsid w:val="00D97B5F"/>
    <w:rsid w:val="00DA4BA4"/>
    <w:rsid w:val="00DB4AD0"/>
    <w:rsid w:val="00DB7CE5"/>
    <w:rsid w:val="00DE3B30"/>
    <w:rsid w:val="00DE6118"/>
    <w:rsid w:val="00E1099B"/>
    <w:rsid w:val="00E2234B"/>
    <w:rsid w:val="00E96416"/>
    <w:rsid w:val="00F0304C"/>
    <w:rsid w:val="00F10AFE"/>
    <w:rsid w:val="00F367BB"/>
    <w:rsid w:val="00F44759"/>
    <w:rsid w:val="00F452D6"/>
    <w:rsid w:val="00F603CC"/>
    <w:rsid w:val="00F76E24"/>
    <w:rsid w:val="00F778B9"/>
    <w:rsid w:val="00F86355"/>
    <w:rsid w:val="00FC7829"/>
    <w:rsid w:val="00FD7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29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222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22281"/>
    <w:rPr>
      <w:sz w:val="18"/>
      <w:szCs w:val="18"/>
    </w:rPr>
  </w:style>
  <w:style w:type="paragraph" w:styleId="a4">
    <w:name w:val="footer"/>
    <w:basedOn w:val="a"/>
    <w:link w:val="Char0"/>
    <w:uiPriority w:val="99"/>
    <w:rsid w:val="00422281"/>
    <w:pPr>
      <w:tabs>
        <w:tab w:val="center" w:pos="4153"/>
        <w:tab w:val="right" w:pos="8306"/>
      </w:tabs>
      <w:snapToGrid w:val="0"/>
    </w:pPr>
    <w:rPr>
      <w:sz w:val="18"/>
      <w:szCs w:val="18"/>
    </w:rPr>
  </w:style>
  <w:style w:type="character" w:customStyle="1" w:styleId="Char0">
    <w:name w:val="页脚 Char"/>
    <w:basedOn w:val="a0"/>
    <w:link w:val="a4"/>
    <w:uiPriority w:val="99"/>
    <w:rsid w:val="00422281"/>
    <w:rPr>
      <w:sz w:val="18"/>
      <w:szCs w:val="18"/>
    </w:rPr>
  </w:style>
  <w:style w:type="paragraph" w:styleId="a5">
    <w:name w:val="Balloon Text"/>
    <w:basedOn w:val="a"/>
    <w:link w:val="Char1"/>
    <w:rsid w:val="00436F75"/>
    <w:rPr>
      <w:sz w:val="18"/>
      <w:szCs w:val="18"/>
    </w:rPr>
  </w:style>
  <w:style w:type="character" w:customStyle="1" w:styleId="Char1">
    <w:name w:val="批注框文本 Char"/>
    <w:basedOn w:val="a0"/>
    <w:link w:val="a5"/>
    <w:rsid w:val="00436F75"/>
    <w:rPr>
      <w:sz w:val="18"/>
      <w:szCs w:val="18"/>
    </w:rPr>
  </w:style>
  <w:style w:type="paragraph" w:styleId="a6">
    <w:name w:val="Normal (Web)"/>
    <w:basedOn w:val="a"/>
    <w:uiPriority w:val="99"/>
    <w:unhideWhenUsed/>
    <w:rsid w:val="007B6E6C"/>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4222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22281"/>
    <w:rPr>
      <w:sz w:val="18"/>
      <w:szCs w:val="18"/>
    </w:rPr>
  </w:style>
  <w:style w:type="paragraph" w:styleId="a4">
    <w:name w:val="footer"/>
    <w:basedOn w:val="a"/>
    <w:link w:val="Char0"/>
    <w:uiPriority w:val="99"/>
    <w:rsid w:val="00422281"/>
    <w:pPr>
      <w:tabs>
        <w:tab w:val="center" w:pos="4153"/>
        <w:tab w:val="right" w:pos="8306"/>
      </w:tabs>
      <w:snapToGrid w:val="0"/>
    </w:pPr>
    <w:rPr>
      <w:sz w:val="18"/>
      <w:szCs w:val="18"/>
    </w:rPr>
  </w:style>
  <w:style w:type="character" w:customStyle="1" w:styleId="Char0">
    <w:name w:val="页脚 Char"/>
    <w:basedOn w:val="a0"/>
    <w:link w:val="a4"/>
    <w:uiPriority w:val="99"/>
    <w:rsid w:val="00422281"/>
    <w:rPr>
      <w:sz w:val="18"/>
      <w:szCs w:val="18"/>
    </w:rPr>
  </w:style>
  <w:style w:type="paragraph" w:styleId="a5">
    <w:name w:val="Balloon Text"/>
    <w:basedOn w:val="a"/>
    <w:link w:val="Char1"/>
    <w:rsid w:val="00436F75"/>
    <w:rPr>
      <w:sz w:val="18"/>
      <w:szCs w:val="18"/>
    </w:rPr>
  </w:style>
  <w:style w:type="character" w:customStyle="1" w:styleId="Char1">
    <w:name w:val="批注框文本 Char"/>
    <w:basedOn w:val="a0"/>
    <w:link w:val="a5"/>
    <w:rsid w:val="00436F75"/>
    <w:rPr>
      <w:sz w:val="18"/>
      <w:szCs w:val="18"/>
    </w:rPr>
  </w:style>
  <w:style w:type="paragraph" w:styleId="a6">
    <w:name w:val="Normal (Web)"/>
    <w:basedOn w:val="a"/>
    <w:uiPriority w:val="99"/>
    <w:unhideWhenUsed/>
    <w:rsid w:val="007B6E6C"/>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0479">
      <w:bodyDiv w:val="1"/>
      <w:marLeft w:val="0"/>
      <w:marRight w:val="0"/>
      <w:marTop w:val="0"/>
      <w:marBottom w:val="0"/>
      <w:divBdr>
        <w:top w:val="none" w:sz="0" w:space="0" w:color="auto"/>
        <w:left w:val="none" w:sz="0" w:space="0" w:color="auto"/>
        <w:bottom w:val="none" w:sz="0" w:space="0" w:color="auto"/>
        <w:right w:val="none" w:sz="0" w:space="0" w:color="auto"/>
      </w:divBdr>
    </w:div>
    <w:div w:id="692727542">
      <w:bodyDiv w:val="1"/>
      <w:marLeft w:val="0"/>
      <w:marRight w:val="0"/>
      <w:marTop w:val="0"/>
      <w:marBottom w:val="0"/>
      <w:divBdr>
        <w:top w:val="none" w:sz="0" w:space="0" w:color="auto"/>
        <w:left w:val="none" w:sz="0" w:space="0" w:color="auto"/>
        <w:bottom w:val="none" w:sz="0" w:space="0" w:color="auto"/>
        <w:right w:val="none" w:sz="0" w:space="0" w:color="auto"/>
      </w:divBdr>
    </w:div>
    <w:div w:id="1382289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6174</Words>
  <Characters>35196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弋五</dc:creator>
  <cp:lastModifiedBy>liujihong2008@qq.con</cp:lastModifiedBy>
  <cp:revision>12</cp:revision>
  <dcterms:created xsi:type="dcterms:W3CDTF">2021-03-29T02:16:00Z</dcterms:created>
  <dcterms:modified xsi:type="dcterms:W3CDTF">2021-05-07T06:13:00Z</dcterms:modified>
</cp:coreProperties>
</file>