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1640B"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 xml:space="preserve">Name of Journal: </w:t>
      </w:r>
      <w:r w:rsidRPr="009D4018">
        <w:rPr>
          <w:rFonts w:ascii="Book Antiqua" w:eastAsia="Book Antiqua" w:hAnsi="Book Antiqua" w:cs="Book Antiqua"/>
          <w:i/>
          <w:color w:val="000000"/>
        </w:rPr>
        <w:t>World Journal of Clinical Cases</w:t>
      </w:r>
    </w:p>
    <w:p w14:paraId="0F47A169"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 xml:space="preserve">Manuscript NO: </w:t>
      </w:r>
      <w:r w:rsidRPr="009D4018">
        <w:rPr>
          <w:rFonts w:ascii="Book Antiqua" w:eastAsia="Book Antiqua" w:hAnsi="Book Antiqua" w:cs="Book Antiqua"/>
          <w:color w:val="000000"/>
        </w:rPr>
        <w:t>62693</w:t>
      </w:r>
    </w:p>
    <w:p w14:paraId="4A080173"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 xml:space="preserve">Manuscript Type: </w:t>
      </w:r>
      <w:r w:rsidRPr="009D4018">
        <w:rPr>
          <w:rFonts w:ascii="Book Antiqua" w:eastAsia="Book Antiqua" w:hAnsi="Book Antiqua" w:cs="Book Antiqua"/>
          <w:color w:val="000000"/>
        </w:rPr>
        <w:t>CASE REPORT</w:t>
      </w:r>
    </w:p>
    <w:p w14:paraId="302C7D7B" w14:textId="77777777" w:rsidR="00A77B3E" w:rsidRPr="009D4018" w:rsidRDefault="00A77B3E">
      <w:pPr>
        <w:spacing w:line="360" w:lineRule="auto"/>
        <w:jc w:val="both"/>
        <w:rPr>
          <w:rFonts w:ascii="Book Antiqua" w:hAnsi="Book Antiqua"/>
        </w:rPr>
      </w:pPr>
    </w:p>
    <w:p w14:paraId="35D6B652" w14:textId="2EF5F907" w:rsidR="00A77B3E" w:rsidRPr="009D4018" w:rsidRDefault="00766A26">
      <w:pPr>
        <w:spacing w:line="360" w:lineRule="auto"/>
        <w:jc w:val="both"/>
        <w:rPr>
          <w:rFonts w:ascii="Book Antiqua" w:hAnsi="Book Antiqua"/>
        </w:rPr>
      </w:pPr>
      <w:r w:rsidRPr="009D4018">
        <w:rPr>
          <w:rStyle w:val="tlid-translation"/>
          <w:rFonts w:ascii="Book Antiqua" w:eastAsia="Book Antiqua" w:hAnsi="Book Antiqua" w:cs="Book Antiqua"/>
          <w:b/>
          <w:bCs/>
          <w:color w:val="000000"/>
        </w:rPr>
        <w:t>Liver injury associated with the use of selective androgen receptor modulators and post-cycle therapy</w:t>
      </w:r>
      <w:r w:rsidR="00E86865" w:rsidRPr="009D4018">
        <w:rPr>
          <w:rStyle w:val="tlid-translation"/>
          <w:rFonts w:ascii="Book Antiqua" w:eastAsia="Book Antiqua" w:hAnsi="Book Antiqua" w:cs="Book Antiqua"/>
          <w:b/>
          <w:bCs/>
          <w:color w:val="000000"/>
        </w:rPr>
        <w:t xml:space="preserve">: </w:t>
      </w:r>
      <w:r w:rsidR="00E86865" w:rsidRPr="009D4018">
        <w:rPr>
          <w:rStyle w:val="tlid-translation"/>
          <w:rFonts w:ascii="Book Antiqua" w:eastAsia="Book Antiqua" w:hAnsi="Book Antiqua" w:cs="Book Antiqua"/>
          <w:b/>
          <w:bCs/>
          <w:caps/>
          <w:color w:val="000000"/>
        </w:rPr>
        <w:t>t</w:t>
      </w:r>
      <w:r w:rsidR="00E86865" w:rsidRPr="009D4018">
        <w:rPr>
          <w:rStyle w:val="tlid-translation"/>
          <w:rFonts w:ascii="Book Antiqua" w:eastAsia="Book Antiqua" w:hAnsi="Book Antiqua" w:cs="Book Antiqua"/>
          <w:b/>
          <w:bCs/>
          <w:color w:val="000000"/>
        </w:rPr>
        <w:t>wo case report</w:t>
      </w:r>
      <w:r w:rsidR="0067206B" w:rsidRPr="009D4018">
        <w:rPr>
          <w:rStyle w:val="tlid-translation"/>
          <w:rFonts w:ascii="Book Antiqua" w:eastAsia="Book Antiqua" w:hAnsi="Book Antiqua" w:cs="Book Antiqua"/>
          <w:b/>
          <w:bCs/>
          <w:color w:val="000000"/>
        </w:rPr>
        <w:t xml:space="preserve">s and </w:t>
      </w:r>
      <w:r w:rsidR="001A5191" w:rsidRPr="009D4018">
        <w:rPr>
          <w:rStyle w:val="tlid-translation"/>
          <w:rFonts w:ascii="Book Antiqua" w:eastAsia="Book Antiqua" w:hAnsi="Book Antiqua" w:cs="Book Antiqua"/>
          <w:b/>
          <w:bCs/>
          <w:color w:val="000000"/>
        </w:rPr>
        <w:t xml:space="preserve">literature </w:t>
      </w:r>
      <w:r w:rsidR="0067206B" w:rsidRPr="008F69FE">
        <w:rPr>
          <w:rStyle w:val="tlid-translation"/>
          <w:rFonts w:ascii="Book Antiqua" w:eastAsia="Book Antiqua" w:hAnsi="Book Antiqua" w:cs="Book Antiqua"/>
          <w:b/>
          <w:bCs/>
          <w:color w:val="000000"/>
        </w:rPr>
        <w:t xml:space="preserve">review </w:t>
      </w:r>
    </w:p>
    <w:p w14:paraId="091D2B14" w14:textId="77777777" w:rsidR="00A77B3E" w:rsidRPr="009D4018" w:rsidRDefault="00A77B3E">
      <w:pPr>
        <w:spacing w:line="360" w:lineRule="auto"/>
        <w:jc w:val="both"/>
        <w:rPr>
          <w:rFonts w:ascii="Book Antiqua" w:hAnsi="Book Antiqua"/>
        </w:rPr>
      </w:pPr>
    </w:p>
    <w:p w14:paraId="3F0A5616" w14:textId="2D5F4834" w:rsidR="00A77B3E" w:rsidRPr="009D4018" w:rsidRDefault="00310CCF">
      <w:pPr>
        <w:spacing w:line="360" w:lineRule="auto"/>
        <w:jc w:val="both"/>
        <w:rPr>
          <w:rFonts w:ascii="Book Antiqua" w:hAnsi="Book Antiqua"/>
        </w:rPr>
      </w:pPr>
      <w:r w:rsidRPr="009D4018">
        <w:rPr>
          <w:rFonts w:ascii="Book Antiqua" w:eastAsia="Book Antiqua" w:hAnsi="Book Antiqua" w:cs="Book Antiqua"/>
          <w:color w:val="000000"/>
        </w:rPr>
        <w:t xml:space="preserve">Koller T </w:t>
      </w:r>
      <w:r w:rsidRPr="009D4018">
        <w:rPr>
          <w:rFonts w:ascii="Book Antiqua" w:eastAsia="Book Antiqua" w:hAnsi="Book Antiqua" w:cs="Book Antiqua"/>
          <w:i/>
          <w:color w:val="000000"/>
        </w:rPr>
        <w:t>et al</w:t>
      </w:r>
      <w:r w:rsidRPr="009D4018">
        <w:rPr>
          <w:rFonts w:ascii="Book Antiqua" w:eastAsia="Book Antiqua" w:hAnsi="Book Antiqua" w:cs="Book Antiqua"/>
          <w:color w:val="000000"/>
        </w:rPr>
        <w:t xml:space="preserve">. </w:t>
      </w:r>
      <w:r w:rsidR="00766A26" w:rsidRPr="009D4018">
        <w:rPr>
          <w:rFonts w:ascii="Book Antiqua" w:eastAsia="Book Antiqua" w:hAnsi="Book Antiqua" w:cs="Book Antiqua"/>
          <w:color w:val="000000"/>
        </w:rPr>
        <w:t>SARMs and PCT</w:t>
      </w:r>
      <w:r w:rsidR="001A5191" w:rsidRPr="009D4018">
        <w:rPr>
          <w:rFonts w:ascii="Book Antiqua" w:eastAsia="Book Antiqua" w:hAnsi="Book Antiqua" w:cs="Book Antiqua"/>
          <w:color w:val="000000"/>
        </w:rPr>
        <w:t>-</w:t>
      </w:r>
      <w:r w:rsidR="00766A26" w:rsidRPr="009D4018">
        <w:rPr>
          <w:rFonts w:ascii="Book Antiqua" w:eastAsia="Book Antiqua" w:hAnsi="Book Antiqua" w:cs="Book Antiqua"/>
          <w:color w:val="000000"/>
        </w:rPr>
        <w:t>induced liver injury</w:t>
      </w:r>
    </w:p>
    <w:p w14:paraId="0A957033" w14:textId="77777777" w:rsidR="00A77B3E" w:rsidRPr="009D4018" w:rsidRDefault="00A77B3E">
      <w:pPr>
        <w:spacing w:line="360" w:lineRule="auto"/>
        <w:jc w:val="both"/>
        <w:rPr>
          <w:rFonts w:ascii="Book Antiqua" w:hAnsi="Book Antiqua"/>
        </w:rPr>
      </w:pPr>
    </w:p>
    <w:p w14:paraId="21FDFEB7"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Tomas Koller, Petra Vrbova, Iveta Meciarova, Pavol Molcan, Michal Smitka, Svetlana Adamcova Selcanova, Lubomir Skladany</w:t>
      </w:r>
    </w:p>
    <w:p w14:paraId="28217013" w14:textId="77777777" w:rsidR="00A77B3E" w:rsidRPr="009D4018" w:rsidRDefault="00A77B3E">
      <w:pPr>
        <w:spacing w:line="360" w:lineRule="auto"/>
        <w:jc w:val="both"/>
        <w:rPr>
          <w:rFonts w:ascii="Book Antiqua" w:hAnsi="Book Antiqua"/>
        </w:rPr>
      </w:pPr>
    </w:p>
    <w:p w14:paraId="25D54838" w14:textId="69026E3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Tomas Koller, Petra Vrbova, </w:t>
      </w:r>
      <w:r w:rsidRPr="009D4018">
        <w:rPr>
          <w:rFonts w:ascii="Book Antiqua" w:eastAsia="Book Antiqua" w:hAnsi="Book Antiqua" w:cs="Book Antiqua"/>
          <w:color w:val="000000"/>
        </w:rPr>
        <w:t>Gastroenterology and Hepatology Subdiv. 5</w:t>
      </w:r>
      <w:r w:rsidRPr="009D4018">
        <w:rPr>
          <w:rFonts w:ascii="Book Antiqua" w:eastAsia="Book Antiqua" w:hAnsi="Book Antiqua" w:cs="Book Antiqua"/>
          <w:color w:val="000000"/>
          <w:vertAlign w:val="superscript"/>
        </w:rPr>
        <w:t>th</w:t>
      </w:r>
      <w:r w:rsidRPr="009D4018">
        <w:rPr>
          <w:rFonts w:ascii="Book Antiqua" w:eastAsia="Book Antiqua" w:hAnsi="Book Antiqua" w:cs="Book Antiqua"/>
          <w:color w:val="000000"/>
        </w:rPr>
        <w:t xml:space="preserve"> </w:t>
      </w:r>
      <w:r w:rsidR="00F61D22" w:rsidRPr="009D4018">
        <w:rPr>
          <w:rFonts w:ascii="Book Antiqua" w:eastAsia="Book Antiqua" w:hAnsi="Book Antiqua" w:cs="Book Antiqua"/>
          <w:color w:val="000000"/>
        </w:rPr>
        <w:t xml:space="preserve">Department </w:t>
      </w:r>
      <w:r w:rsidRPr="009D4018">
        <w:rPr>
          <w:rFonts w:ascii="Book Antiqua" w:eastAsia="Book Antiqua" w:hAnsi="Book Antiqua" w:cs="Book Antiqua"/>
          <w:color w:val="000000"/>
        </w:rPr>
        <w:t xml:space="preserve">of Internal Medicine, Comenius University Faculty of Medicine, </w:t>
      </w:r>
      <w:r w:rsidR="00290885" w:rsidRPr="009D4018">
        <w:rPr>
          <w:rFonts w:ascii="Book Antiqua" w:eastAsia="Book Antiqua" w:hAnsi="Book Antiqua" w:cs="Book Antiqua"/>
          <w:color w:val="000000"/>
        </w:rPr>
        <w:t xml:space="preserve">University Hospital </w:t>
      </w:r>
      <w:r w:rsidRPr="009D4018">
        <w:rPr>
          <w:rFonts w:ascii="Book Antiqua" w:eastAsia="Book Antiqua" w:hAnsi="Book Antiqua" w:cs="Book Antiqua"/>
          <w:color w:val="000000"/>
        </w:rPr>
        <w:t>Bratislava</w:t>
      </w:r>
      <w:r w:rsidR="00290885" w:rsidRPr="009D4018">
        <w:rPr>
          <w:rFonts w:ascii="Book Antiqua" w:eastAsia="Book Antiqua" w:hAnsi="Book Antiqua" w:cs="Book Antiqua"/>
          <w:color w:val="000000"/>
        </w:rPr>
        <w:t>,</w:t>
      </w:r>
      <w:r w:rsidRPr="009D4018">
        <w:rPr>
          <w:rFonts w:ascii="Book Antiqua" w:eastAsia="Book Antiqua" w:hAnsi="Book Antiqua" w:cs="Book Antiqua"/>
          <w:color w:val="000000"/>
        </w:rPr>
        <w:t xml:space="preserve"> 82606, Slovakia</w:t>
      </w:r>
    </w:p>
    <w:p w14:paraId="0240527B" w14:textId="77777777" w:rsidR="00A77B3E" w:rsidRPr="009D4018" w:rsidRDefault="00A77B3E">
      <w:pPr>
        <w:spacing w:line="360" w:lineRule="auto"/>
        <w:jc w:val="both"/>
        <w:rPr>
          <w:rFonts w:ascii="Book Antiqua" w:hAnsi="Book Antiqua"/>
        </w:rPr>
      </w:pPr>
    </w:p>
    <w:p w14:paraId="78A8ECC1"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Iveta Meciarova, </w:t>
      </w:r>
      <w:r w:rsidRPr="009D4018">
        <w:rPr>
          <w:rFonts w:ascii="Book Antiqua" w:eastAsia="Book Antiqua" w:hAnsi="Book Antiqua" w:cs="Book Antiqua"/>
          <w:color w:val="000000"/>
        </w:rPr>
        <w:t>Department of Pathology, Alpha medical Patológia s.r.o., Bratislava 82606, Slovakia</w:t>
      </w:r>
    </w:p>
    <w:p w14:paraId="038FB18A" w14:textId="77777777" w:rsidR="00A77B3E" w:rsidRPr="009D4018" w:rsidRDefault="00A77B3E">
      <w:pPr>
        <w:spacing w:line="360" w:lineRule="auto"/>
        <w:jc w:val="both"/>
        <w:rPr>
          <w:rFonts w:ascii="Book Antiqua" w:hAnsi="Book Antiqua"/>
        </w:rPr>
      </w:pPr>
    </w:p>
    <w:p w14:paraId="3A9AA445" w14:textId="3B61B162"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Pavol Molcan, Svetlana Adamcova Selcanova, Lubomir Skladany, </w:t>
      </w:r>
      <w:r w:rsidRPr="009D4018">
        <w:rPr>
          <w:rFonts w:ascii="Book Antiqua" w:eastAsia="Book Antiqua" w:hAnsi="Book Antiqua" w:cs="Book Antiqua"/>
          <w:color w:val="000000"/>
        </w:rPr>
        <w:t xml:space="preserve">HEGITO (Division of Hepatology, </w:t>
      </w:r>
      <w:r w:rsidR="00F873D9" w:rsidRPr="009D4018">
        <w:rPr>
          <w:rFonts w:ascii="Book Antiqua" w:eastAsia="Book Antiqua" w:hAnsi="Book Antiqua" w:cs="Book Antiqua"/>
          <w:color w:val="000000"/>
        </w:rPr>
        <w:t>Gastroenterology</w:t>
      </w:r>
      <w:r w:rsidRPr="009D4018">
        <w:rPr>
          <w:rFonts w:ascii="Book Antiqua" w:eastAsia="Book Antiqua" w:hAnsi="Book Antiqua" w:cs="Book Antiqua"/>
          <w:color w:val="000000"/>
        </w:rPr>
        <w:t xml:space="preserve"> and Liver Transplantation), Department of Internal Medicine II of Slovak Medical University,</w:t>
      </w:r>
      <w:r w:rsidR="002F4419"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F.D.</w:t>
      </w:r>
      <w:r w:rsidR="00627DE4"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Roosevelt University Hospital, Banska Bystrica 97517, Slovakia</w:t>
      </w:r>
    </w:p>
    <w:p w14:paraId="599CBA30" w14:textId="77777777" w:rsidR="00A77B3E" w:rsidRPr="009D4018" w:rsidRDefault="00A77B3E">
      <w:pPr>
        <w:spacing w:line="360" w:lineRule="auto"/>
        <w:jc w:val="both"/>
        <w:rPr>
          <w:rFonts w:ascii="Book Antiqua" w:hAnsi="Book Antiqua"/>
        </w:rPr>
      </w:pPr>
    </w:p>
    <w:p w14:paraId="6C9FBC72"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Michal Smitka, </w:t>
      </w:r>
      <w:r w:rsidRPr="009D4018">
        <w:rPr>
          <w:rFonts w:ascii="Book Antiqua" w:eastAsia="Book Antiqua" w:hAnsi="Book Antiqua" w:cs="Book Antiqua"/>
          <w:color w:val="000000"/>
        </w:rPr>
        <w:t>Department of Pathology, FD Roosevelt Hospital, Banska</w:t>
      </w:r>
      <w:r w:rsidR="00A71B6D"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Bystrica 97517, Slovakia</w:t>
      </w:r>
    </w:p>
    <w:p w14:paraId="470D48AA" w14:textId="77777777" w:rsidR="00A77B3E" w:rsidRPr="009D4018" w:rsidRDefault="00A77B3E">
      <w:pPr>
        <w:spacing w:line="360" w:lineRule="auto"/>
        <w:jc w:val="both"/>
        <w:rPr>
          <w:rFonts w:ascii="Book Antiqua" w:hAnsi="Book Antiqua"/>
        </w:rPr>
      </w:pPr>
    </w:p>
    <w:p w14:paraId="63A98749" w14:textId="5348FE34"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Author contributions: </w:t>
      </w:r>
      <w:r w:rsidRPr="009D4018">
        <w:rPr>
          <w:rFonts w:ascii="Book Antiqua" w:eastAsia="Book Antiqua" w:hAnsi="Book Antiqua" w:cs="Book Antiqua"/>
          <w:color w:val="000000"/>
        </w:rPr>
        <w:t>Koller T, Skladany L</w:t>
      </w:r>
      <w:r w:rsidR="001A5191" w:rsidRPr="009D4018">
        <w:rPr>
          <w:rFonts w:ascii="Book Antiqua" w:eastAsia="Book Antiqua" w:hAnsi="Book Antiqua" w:cs="Book Antiqua"/>
          <w:color w:val="000000"/>
        </w:rPr>
        <w:t>,</w:t>
      </w:r>
      <w:r w:rsidRPr="009D4018">
        <w:rPr>
          <w:rFonts w:ascii="Book Antiqua" w:eastAsia="Book Antiqua" w:hAnsi="Book Antiqua" w:cs="Book Antiqua"/>
          <w:color w:val="000000"/>
        </w:rPr>
        <w:t xml:space="preserve"> and Adamcova Selcanova S were </w:t>
      </w:r>
      <w:r w:rsidR="001A5191" w:rsidRPr="009D4018">
        <w:rPr>
          <w:rFonts w:ascii="Book Antiqua" w:eastAsia="Book Antiqua" w:hAnsi="Book Antiqua" w:cs="Book Antiqua"/>
          <w:color w:val="000000"/>
        </w:rPr>
        <w:t xml:space="preserve">the </w:t>
      </w:r>
      <w:r w:rsidRPr="009D4018">
        <w:rPr>
          <w:rFonts w:ascii="Book Antiqua" w:eastAsia="Book Antiqua" w:hAnsi="Book Antiqua" w:cs="Book Antiqua"/>
          <w:color w:val="000000"/>
        </w:rPr>
        <w:t>patient´s treating physicians</w:t>
      </w:r>
      <w:r w:rsidR="00FD7E69" w:rsidRPr="009D4018">
        <w:rPr>
          <w:rFonts w:ascii="Book Antiqua" w:eastAsia="Book Antiqua" w:hAnsi="Book Antiqua" w:cs="Book Antiqua"/>
          <w:color w:val="000000"/>
        </w:rPr>
        <w:t>;</w:t>
      </w:r>
      <w:r w:rsidRPr="009D4018">
        <w:rPr>
          <w:rFonts w:ascii="Book Antiqua" w:eastAsia="Book Antiqua" w:hAnsi="Book Antiqua" w:cs="Book Antiqua"/>
          <w:color w:val="000000"/>
        </w:rPr>
        <w:t xml:space="preserve"> Vrbova P and Molcan P draft</w:t>
      </w:r>
      <w:r w:rsidR="001A5191" w:rsidRPr="009D4018">
        <w:rPr>
          <w:rFonts w:ascii="Book Antiqua" w:eastAsia="Book Antiqua" w:hAnsi="Book Antiqua" w:cs="Book Antiqua"/>
          <w:color w:val="000000"/>
        </w:rPr>
        <w:t>ed</w:t>
      </w:r>
      <w:r w:rsidRPr="009D4018">
        <w:rPr>
          <w:rFonts w:ascii="Book Antiqua" w:eastAsia="Book Antiqua" w:hAnsi="Book Antiqua" w:cs="Book Antiqua"/>
          <w:color w:val="000000"/>
        </w:rPr>
        <w:t xml:space="preserve"> the manuscript</w:t>
      </w:r>
      <w:r w:rsidR="00FD7E69" w:rsidRPr="009D4018">
        <w:rPr>
          <w:rFonts w:ascii="Book Antiqua" w:eastAsia="Book Antiqua" w:hAnsi="Book Antiqua" w:cs="Book Antiqua"/>
          <w:color w:val="000000"/>
        </w:rPr>
        <w:t>;</w:t>
      </w:r>
      <w:r w:rsidRPr="009D4018">
        <w:rPr>
          <w:rFonts w:ascii="Book Antiqua" w:eastAsia="Book Antiqua" w:hAnsi="Book Antiqua" w:cs="Book Antiqua"/>
          <w:color w:val="000000"/>
        </w:rPr>
        <w:t xml:space="preserve"> </w:t>
      </w:r>
      <w:r w:rsidR="00D92995" w:rsidRPr="009D4018">
        <w:rPr>
          <w:rFonts w:ascii="Book Antiqua" w:eastAsia="Book Antiqua" w:hAnsi="Book Antiqua" w:cs="Book Antiqua"/>
          <w:color w:val="000000"/>
        </w:rPr>
        <w:t xml:space="preserve">Koller </w:t>
      </w:r>
      <w:r w:rsidRPr="009D4018">
        <w:rPr>
          <w:rFonts w:ascii="Book Antiqua" w:eastAsia="Book Antiqua" w:hAnsi="Book Antiqua" w:cs="Book Antiqua"/>
          <w:color w:val="000000"/>
        </w:rPr>
        <w:t>T</w:t>
      </w:r>
      <w:r w:rsidR="00D92995"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lastRenderedPageBreak/>
        <w:t xml:space="preserve">and </w:t>
      </w:r>
      <w:r w:rsidR="00D92995" w:rsidRPr="009D4018">
        <w:rPr>
          <w:rFonts w:ascii="Book Antiqua" w:eastAsia="Book Antiqua" w:hAnsi="Book Antiqua" w:cs="Book Antiqua"/>
          <w:color w:val="000000"/>
        </w:rPr>
        <w:t xml:space="preserve">Skladany </w:t>
      </w:r>
      <w:r w:rsidRPr="009D4018">
        <w:rPr>
          <w:rFonts w:ascii="Book Antiqua" w:eastAsia="Book Antiqua" w:hAnsi="Book Antiqua" w:cs="Book Antiqua"/>
          <w:color w:val="000000"/>
        </w:rPr>
        <w:t>L</w:t>
      </w:r>
      <w:r w:rsidR="00D92995" w:rsidRPr="009D4018">
        <w:rPr>
          <w:rFonts w:ascii="Book Antiqua" w:eastAsia="Book Antiqua" w:hAnsi="Book Antiqua" w:cs="Book Antiqua"/>
          <w:color w:val="000000"/>
        </w:rPr>
        <w:t xml:space="preserve"> </w:t>
      </w:r>
      <w:r w:rsidR="001A5191" w:rsidRPr="009D4018">
        <w:rPr>
          <w:rFonts w:ascii="Book Antiqua" w:eastAsia="Book Antiqua" w:hAnsi="Book Antiqua" w:cs="Book Antiqua"/>
          <w:color w:val="000000"/>
        </w:rPr>
        <w:t>wrote</w:t>
      </w:r>
      <w:r w:rsidRPr="009D4018">
        <w:rPr>
          <w:rFonts w:ascii="Book Antiqua" w:eastAsia="Book Antiqua" w:hAnsi="Book Antiqua" w:cs="Book Antiqua"/>
          <w:color w:val="000000"/>
        </w:rPr>
        <w:t xml:space="preserve"> the discussion and have approved the final text</w:t>
      </w:r>
      <w:r w:rsidR="00FD7E69" w:rsidRPr="009D4018">
        <w:rPr>
          <w:rFonts w:ascii="Book Antiqua" w:eastAsia="Book Antiqua" w:hAnsi="Book Antiqua" w:cs="Book Antiqua"/>
          <w:color w:val="000000"/>
        </w:rPr>
        <w:t>;</w:t>
      </w:r>
      <w:r w:rsidRPr="009D4018">
        <w:rPr>
          <w:rFonts w:ascii="Book Antiqua" w:eastAsia="Book Antiqua" w:hAnsi="Book Antiqua" w:cs="Book Antiqua"/>
          <w:color w:val="000000"/>
        </w:rPr>
        <w:t xml:space="preserve"> </w:t>
      </w:r>
      <w:r w:rsidR="00EA19DC" w:rsidRPr="009D4018">
        <w:rPr>
          <w:rFonts w:ascii="Book Antiqua" w:eastAsia="Book Antiqua" w:hAnsi="Book Antiqua" w:cs="Book Antiqua"/>
          <w:color w:val="000000"/>
        </w:rPr>
        <w:t xml:space="preserve">Meciarova </w:t>
      </w:r>
      <w:r w:rsidRPr="009D4018">
        <w:rPr>
          <w:rFonts w:ascii="Book Antiqua" w:eastAsia="Book Antiqua" w:hAnsi="Book Antiqua" w:cs="Book Antiqua"/>
          <w:color w:val="000000"/>
        </w:rPr>
        <w:t>I</w:t>
      </w:r>
      <w:r w:rsidR="00EA19DC"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 xml:space="preserve">and </w:t>
      </w:r>
      <w:r w:rsidR="00EA19DC" w:rsidRPr="009D4018">
        <w:rPr>
          <w:rFonts w:ascii="Book Antiqua" w:eastAsia="Book Antiqua" w:hAnsi="Book Antiqua" w:cs="Book Antiqua"/>
          <w:color w:val="000000"/>
        </w:rPr>
        <w:t xml:space="preserve">Smitka </w:t>
      </w:r>
      <w:r w:rsidRPr="009D4018">
        <w:rPr>
          <w:rFonts w:ascii="Book Antiqua" w:eastAsia="Book Antiqua" w:hAnsi="Book Antiqua" w:cs="Book Antiqua"/>
          <w:color w:val="000000"/>
        </w:rPr>
        <w:t>M</w:t>
      </w:r>
      <w:r w:rsidR="00EA19DC" w:rsidRPr="009D4018">
        <w:rPr>
          <w:rFonts w:ascii="Book Antiqua" w:eastAsia="Book Antiqua" w:hAnsi="Book Antiqua" w:cs="Book Antiqua"/>
          <w:color w:val="000000"/>
        </w:rPr>
        <w:t xml:space="preserve"> </w:t>
      </w:r>
      <w:r w:rsidR="001A5191" w:rsidRPr="009D4018">
        <w:rPr>
          <w:rFonts w:ascii="Book Antiqua" w:eastAsia="Book Antiqua" w:hAnsi="Book Antiqua" w:cs="Book Antiqua"/>
          <w:color w:val="000000"/>
        </w:rPr>
        <w:t>conducted</w:t>
      </w:r>
      <w:r w:rsidRPr="009D4018">
        <w:rPr>
          <w:rFonts w:ascii="Book Antiqua" w:eastAsia="Book Antiqua" w:hAnsi="Book Antiqua" w:cs="Book Antiqua"/>
          <w:color w:val="000000"/>
        </w:rPr>
        <w:t xml:space="preserve"> the analys</w:t>
      </w:r>
      <w:r w:rsidR="001A5191" w:rsidRPr="009D4018">
        <w:rPr>
          <w:rFonts w:ascii="Book Antiqua" w:eastAsia="Book Antiqua" w:hAnsi="Book Antiqua" w:cs="Book Antiqua"/>
          <w:color w:val="000000"/>
        </w:rPr>
        <w:t>e</w:t>
      </w:r>
      <w:r w:rsidRPr="009D4018">
        <w:rPr>
          <w:rFonts w:ascii="Book Antiqua" w:eastAsia="Book Antiqua" w:hAnsi="Book Antiqua" w:cs="Book Antiqua"/>
          <w:color w:val="000000"/>
        </w:rPr>
        <w:t xml:space="preserve">s of </w:t>
      </w:r>
      <w:r w:rsidR="001A5191" w:rsidRPr="009D4018">
        <w:rPr>
          <w:rFonts w:ascii="Book Antiqua" w:eastAsia="Book Antiqua" w:hAnsi="Book Antiqua" w:cs="Book Antiqua"/>
          <w:color w:val="000000"/>
        </w:rPr>
        <w:t xml:space="preserve">the </w:t>
      </w:r>
      <w:r w:rsidRPr="009D4018">
        <w:rPr>
          <w:rFonts w:ascii="Book Antiqua" w:eastAsia="Book Antiqua" w:hAnsi="Book Antiqua" w:cs="Book Antiqua"/>
          <w:color w:val="000000"/>
        </w:rPr>
        <w:t>liver tissue</w:t>
      </w:r>
      <w:r w:rsidR="00A71B6D" w:rsidRPr="009D4018">
        <w:rPr>
          <w:rFonts w:ascii="Book Antiqua" w:eastAsia="Book Antiqua" w:hAnsi="Book Antiqua" w:cs="Book Antiqua"/>
          <w:color w:val="000000"/>
        </w:rPr>
        <w:t>.</w:t>
      </w:r>
    </w:p>
    <w:p w14:paraId="79B7DA13" w14:textId="77777777" w:rsidR="00A77B3E" w:rsidRPr="009D4018" w:rsidRDefault="00A77B3E">
      <w:pPr>
        <w:spacing w:line="360" w:lineRule="auto"/>
        <w:jc w:val="both"/>
        <w:rPr>
          <w:rFonts w:ascii="Book Antiqua" w:hAnsi="Book Antiqua"/>
        </w:rPr>
      </w:pPr>
    </w:p>
    <w:p w14:paraId="1D3613F3"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Corresponding author: Tomas Koller, MD, PhD, Associate Professor, </w:t>
      </w:r>
      <w:r w:rsidRPr="009D4018">
        <w:rPr>
          <w:rFonts w:ascii="Book Antiqua" w:eastAsia="Book Antiqua" w:hAnsi="Book Antiqua" w:cs="Book Antiqua"/>
          <w:color w:val="000000"/>
        </w:rPr>
        <w:t>Gastroenterology and Hepatology Subdiv. 5</w:t>
      </w:r>
      <w:r w:rsidRPr="009D4018">
        <w:rPr>
          <w:rFonts w:ascii="Book Antiqua" w:eastAsia="Book Antiqua" w:hAnsi="Book Antiqua" w:cs="Book Antiqua"/>
          <w:color w:val="000000"/>
          <w:vertAlign w:val="superscript"/>
        </w:rPr>
        <w:t>th</w:t>
      </w:r>
      <w:r w:rsidRPr="009D4018">
        <w:rPr>
          <w:rFonts w:ascii="Book Antiqua" w:eastAsia="Book Antiqua" w:hAnsi="Book Antiqua" w:cs="Book Antiqua"/>
          <w:color w:val="000000"/>
        </w:rPr>
        <w:t xml:space="preserve"> </w:t>
      </w:r>
      <w:r w:rsidR="004A4F70" w:rsidRPr="009D4018">
        <w:rPr>
          <w:rFonts w:ascii="Book Antiqua" w:eastAsia="Book Antiqua" w:hAnsi="Book Antiqua" w:cs="Book Antiqua"/>
          <w:color w:val="000000"/>
        </w:rPr>
        <w:t xml:space="preserve">Department </w:t>
      </w:r>
      <w:r w:rsidRPr="009D4018">
        <w:rPr>
          <w:rFonts w:ascii="Book Antiqua" w:eastAsia="Book Antiqua" w:hAnsi="Book Antiqua" w:cs="Book Antiqua"/>
          <w:color w:val="000000"/>
        </w:rPr>
        <w:t>of Internal Medicine, Comenius University Faculty of Medicine, Ruzinovska 6, Bratislava 82606, Slovakia. tomas.koller@fmed.uniba.sk</w:t>
      </w:r>
    </w:p>
    <w:p w14:paraId="3EA80D4C" w14:textId="77777777" w:rsidR="00A77B3E" w:rsidRPr="009D4018" w:rsidRDefault="00A77B3E">
      <w:pPr>
        <w:spacing w:line="360" w:lineRule="auto"/>
        <w:jc w:val="both"/>
        <w:rPr>
          <w:rFonts w:ascii="Book Antiqua" w:hAnsi="Book Antiqua"/>
        </w:rPr>
      </w:pPr>
    </w:p>
    <w:p w14:paraId="5012E30B"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Received: </w:t>
      </w:r>
      <w:r w:rsidRPr="009D4018">
        <w:rPr>
          <w:rFonts w:ascii="Book Antiqua" w:eastAsia="Book Antiqua" w:hAnsi="Book Antiqua" w:cs="Book Antiqua"/>
          <w:color w:val="000000"/>
        </w:rPr>
        <w:t>January 20, 2021</w:t>
      </w:r>
    </w:p>
    <w:p w14:paraId="7F9CECF1"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Revised: </w:t>
      </w:r>
      <w:r w:rsidRPr="009D4018">
        <w:rPr>
          <w:rFonts w:ascii="Book Antiqua" w:eastAsia="Book Antiqua" w:hAnsi="Book Antiqua" w:cs="Book Antiqua"/>
          <w:color w:val="000000"/>
        </w:rPr>
        <w:t>February 28, 2021</w:t>
      </w:r>
    </w:p>
    <w:p w14:paraId="423AD27C" w14:textId="16A10EAB"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Accepted: </w:t>
      </w:r>
      <w:r w:rsidR="002D1D09" w:rsidRPr="009D4018">
        <w:rPr>
          <w:rFonts w:ascii="Book Antiqua" w:eastAsia="Book Antiqua" w:hAnsi="Book Antiqua" w:cs="Book Antiqua"/>
          <w:color w:val="000000"/>
        </w:rPr>
        <w:t>March 25, 2021</w:t>
      </w:r>
    </w:p>
    <w:p w14:paraId="65A9BF7A"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Published online: </w:t>
      </w:r>
    </w:p>
    <w:p w14:paraId="3C23A2C2" w14:textId="77777777" w:rsidR="00A77B3E" w:rsidRPr="009D4018" w:rsidRDefault="00A77B3E">
      <w:pPr>
        <w:spacing w:line="360" w:lineRule="auto"/>
        <w:jc w:val="both"/>
        <w:rPr>
          <w:rFonts w:ascii="Book Antiqua" w:hAnsi="Book Antiqua"/>
        </w:rPr>
        <w:sectPr w:rsidR="00A77B3E" w:rsidRPr="009D4018">
          <w:footerReference w:type="default" r:id="rId6"/>
          <w:pgSz w:w="12240" w:h="15840"/>
          <w:pgMar w:top="1440" w:right="1440" w:bottom="1440" w:left="1440" w:header="720" w:footer="720" w:gutter="0"/>
          <w:cols w:space="720"/>
          <w:docGrid w:linePitch="360"/>
        </w:sectPr>
      </w:pPr>
    </w:p>
    <w:p w14:paraId="3E27B47C" w14:textId="77777777" w:rsidR="00A77B3E" w:rsidRPr="00CA24B6" w:rsidRDefault="00766A26">
      <w:pPr>
        <w:spacing w:line="360" w:lineRule="auto"/>
        <w:jc w:val="both"/>
        <w:rPr>
          <w:rFonts w:ascii="Book Antiqua" w:hAnsi="Book Antiqua"/>
        </w:rPr>
      </w:pPr>
      <w:r w:rsidRPr="009D4018">
        <w:rPr>
          <w:rFonts w:ascii="Book Antiqua" w:eastAsia="Book Antiqua" w:hAnsi="Book Antiqua" w:cs="Book Antiqua"/>
          <w:b/>
          <w:color w:val="000000"/>
        </w:rPr>
        <w:lastRenderedPageBreak/>
        <w:t>Abstract</w:t>
      </w:r>
    </w:p>
    <w:p w14:paraId="1443C1E1"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BACKGROUND</w:t>
      </w:r>
    </w:p>
    <w:p w14:paraId="06719D7F" w14:textId="7687AD7A"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Muscle growth promoters are being developed for the treatment of disease-induced loss of muscle mass. Ligandrol and ostarine are selective androgen receptor modulators (SARMs) with a non-steroidal structure </w:t>
      </w:r>
      <w:r w:rsidR="009D4018" w:rsidRPr="009D4018">
        <w:rPr>
          <w:rFonts w:ascii="Book Antiqua" w:eastAsia="Book Antiqua" w:hAnsi="Book Antiqua" w:cs="Book Antiqua"/>
          <w:color w:val="000000"/>
        </w:rPr>
        <w:t xml:space="preserve">and a </w:t>
      </w:r>
      <w:r w:rsidRPr="009D4018">
        <w:rPr>
          <w:rFonts w:ascii="Book Antiqua" w:eastAsia="Book Antiqua" w:hAnsi="Book Antiqua" w:cs="Book Antiqua"/>
          <w:color w:val="000000"/>
        </w:rPr>
        <w:t>presumably more favorable side</w:t>
      </w:r>
      <w:r w:rsidR="009D4018"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effect profile. In recent years, these substances with or without “post-cycle therapy” (PCT) are often misused by amateur athletes aiming to promote muscle growth. At the same time, reports on their toxic effects on organ systems are emerging.</w:t>
      </w:r>
    </w:p>
    <w:p w14:paraId="4FB3D2EC" w14:textId="77777777" w:rsidR="00A77B3E" w:rsidRPr="009D4018" w:rsidRDefault="00A77B3E">
      <w:pPr>
        <w:spacing w:line="360" w:lineRule="auto"/>
        <w:jc w:val="both"/>
        <w:rPr>
          <w:rFonts w:ascii="Book Antiqua" w:hAnsi="Book Antiqua"/>
        </w:rPr>
      </w:pPr>
    </w:p>
    <w:p w14:paraId="40AF9402"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CASE SUMMARY</w:t>
      </w:r>
    </w:p>
    <w:p w14:paraId="2ACDD643" w14:textId="3C32518F"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We report two cases of liver injury in young men who used ligandrol and/or ostarine for a few weeks followed by the use of substances for PCT. </w:t>
      </w:r>
      <w:r w:rsidR="009D4018">
        <w:rPr>
          <w:rFonts w:ascii="Book Antiqua" w:eastAsia="Book Antiqua" w:hAnsi="Book Antiqua" w:cs="Book Antiqua"/>
          <w:color w:val="000000"/>
        </w:rPr>
        <w:t>A</w:t>
      </w:r>
      <w:r w:rsidRPr="009D4018">
        <w:rPr>
          <w:rFonts w:ascii="Book Antiqua" w:eastAsia="Book Antiqua" w:hAnsi="Book Antiqua" w:cs="Book Antiqua"/>
          <w:color w:val="000000"/>
        </w:rPr>
        <w:t xml:space="preserve">cute liver injury occurred in both cases after stopping SARMs while on PCT. The clinical picture was dominated by jaundice and fatigue. The biochemical pattern showed a mixed type of injury with normal alkaline phosphatase and </w:t>
      </w:r>
      <w:r w:rsidRPr="00CA24B6">
        <w:rPr>
          <w:rFonts w:ascii="Book Antiqua" w:eastAsia="Book Antiqua" w:hAnsi="Book Antiqua" w:cs="Book Antiqua"/>
          <w:color w:val="000000"/>
        </w:rPr>
        <w:t>high concentrations of bilirubin and serum bile acids. Histological evidence showed predominantly cholestatic injury with canalicular bile plugs, ductopenia, and mild hepatocellular damage without significant fibrosis. The patients recovered from the condition after 3 mo. The off</w:t>
      </w:r>
      <w:r w:rsid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 xml:space="preserve">target effects of SARMs were likely idiosyncratic, but our report </w:t>
      </w:r>
      <w:r w:rsidR="009D4018">
        <w:rPr>
          <w:rFonts w:ascii="Book Antiqua" w:eastAsia="Book Antiqua" w:hAnsi="Book Antiqua" w:cs="Book Antiqua"/>
          <w:color w:val="000000"/>
        </w:rPr>
        <w:t>highlights</w:t>
      </w:r>
      <w:r w:rsidR="009D4018"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the yet unrecognized effect</w:t>
      </w:r>
      <w:r w:rsidR="009D4018">
        <w:rPr>
          <w:rFonts w:ascii="Book Antiqua" w:eastAsia="Book Antiqua" w:hAnsi="Book Antiqua" w:cs="Book Antiqua"/>
          <w:color w:val="000000"/>
        </w:rPr>
        <w:t>s</w:t>
      </w:r>
      <w:r w:rsidRPr="009D4018">
        <w:rPr>
          <w:rFonts w:ascii="Book Antiqua" w:eastAsia="Book Antiqua" w:hAnsi="Book Antiqua" w:cs="Book Antiqua"/>
          <w:color w:val="000000"/>
        </w:rPr>
        <w:t xml:space="preserve"> of other toxic substances used for PCT, supra-therapeutic doses, and the complete absence of monitoring for adverse effects.</w:t>
      </w:r>
    </w:p>
    <w:p w14:paraId="35A19165" w14:textId="77777777" w:rsidR="00A77B3E" w:rsidRPr="00CA24B6" w:rsidRDefault="00A77B3E">
      <w:pPr>
        <w:spacing w:line="360" w:lineRule="auto"/>
        <w:jc w:val="both"/>
        <w:rPr>
          <w:rFonts w:ascii="Book Antiqua" w:hAnsi="Book Antiqua"/>
        </w:rPr>
      </w:pPr>
    </w:p>
    <w:p w14:paraId="1253AD5B"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CONCLUSION</w:t>
      </w:r>
    </w:p>
    <w:p w14:paraId="2F2E317C" w14:textId="716FA892"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Among muscle-building amateur</w:t>
      </w:r>
      <w:r w:rsidR="009D4018">
        <w:rPr>
          <w:rFonts w:ascii="Book Antiqua" w:eastAsia="Book Antiqua" w:hAnsi="Book Antiqua" w:cs="Book Antiqua"/>
          <w:color w:val="000000"/>
        </w:rPr>
        <w:t xml:space="preserve"> athletes</w:t>
      </w:r>
      <w:r w:rsidRPr="009D4018">
        <w:rPr>
          <w:rFonts w:ascii="Book Antiqua" w:eastAsia="Book Antiqua" w:hAnsi="Book Antiqua" w:cs="Book Antiqua"/>
          <w:color w:val="000000"/>
        </w:rPr>
        <w:t>, SARMs (ligandrol or ostarine) and/or substances in PCT may cause cholestatic liver injury with prolonged recovery.</w:t>
      </w:r>
    </w:p>
    <w:p w14:paraId="1A2D2915" w14:textId="77777777" w:rsidR="00A77B3E" w:rsidRPr="009D4018" w:rsidRDefault="00A77B3E">
      <w:pPr>
        <w:spacing w:line="360" w:lineRule="auto"/>
        <w:jc w:val="both"/>
        <w:rPr>
          <w:rFonts w:ascii="Book Antiqua" w:hAnsi="Book Antiqua"/>
        </w:rPr>
      </w:pPr>
    </w:p>
    <w:p w14:paraId="518DC599"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Key Words: </w:t>
      </w:r>
      <w:r w:rsidRPr="009D4018">
        <w:rPr>
          <w:rFonts w:ascii="Book Antiqua" w:eastAsia="Book Antiqua" w:hAnsi="Book Antiqua" w:cs="Book Antiqua"/>
          <w:caps/>
          <w:color w:val="000000"/>
        </w:rPr>
        <w:t>d</w:t>
      </w:r>
      <w:r w:rsidRPr="009D4018">
        <w:rPr>
          <w:rFonts w:ascii="Book Antiqua" w:eastAsia="Book Antiqua" w:hAnsi="Book Antiqua" w:cs="Book Antiqua"/>
          <w:color w:val="000000"/>
        </w:rPr>
        <w:t xml:space="preserve">rug induced liver injury; </w:t>
      </w:r>
      <w:r w:rsidRPr="009D4018">
        <w:rPr>
          <w:rFonts w:ascii="Book Antiqua" w:eastAsia="Book Antiqua" w:hAnsi="Book Antiqua" w:cs="Book Antiqua"/>
          <w:caps/>
          <w:color w:val="000000"/>
        </w:rPr>
        <w:t>l</w:t>
      </w:r>
      <w:r w:rsidRPr="009D4018">
        <w:rPr>
          <w:rFonts w:ascii="Book Antiqua" w:eastAsia="Book Antiqua" w:hAnsi="Book Antiqua" w:cs="Book Antiqua"/>
          <w:color w:val="000000"/>
        </w:rPr>
        <w:t xml:space="preserve">igandrol; </w:t>
      </w:r>
      <w:r w:rsidRPr="009D4018">
        <w:rPr>
          <w:rFonts w:ascii="Book Antiqua" w:eastAsia="Book Antiqua" w:hAnsi="Book Antiqua" w:cs="Book Antiqua"/>
          <w:caps/>
          <w:color w:val="000000"/>
        </w:rPr>
        <w:t>o</w:t>
      </w:r>
      <w:r w:rsidRPr="009D4018">
        <w:rPr>
          <w:rFonts w:ascii="Book Antiqua" w:eastAsia="Book Antiqua" w:hAnsi="Book Antiqua" w:cs="Book Antiqua"/>
          <w:color w:val="000000"/>
        </w:rPr>
        <w:t xml:space="preserve">starine; </w:t>
      </w:r>
      <w:r w:rsidRPr="009D4018">
        <w:rPr>
          <w:rFonts w:ascii="Book Antiqua" w:eastAsia="Book Antiqua" w:hAnsi="Book Antiqua" w:cs="Book Antiqua"/>
          <w:caps/>
          <w:color w:val="000000"/>
        </w:rPr>
        <w:t>c</w:t>
      </w:r>
      <w:r w:rsidRPr="009D4018">
        <w:rPr>
          <w:rFonts w:ascii="Book Antiqua" w:eastAsia="Book Antiqua" w:hAnsi="Book Antiqua" w:cs="Book Antiqua"/>
          <w:color w:val="000000"/>
        </w:rPr>
        <w:t xml:space="preserve">holestasis; </w:t>
      </w:r>
      <w:r w:rsidRPr="009D4018">
        <w:rPr>
          <w:rFonts w:ascii="Book Antiqua" w:eastAsia="Book Antiqua" w:hAnsi="Book Antiqua" w:cs="Book Antiqua"/>
          <w:caps/>
          <w:color w:val="000000"/>
        </w:rPr>
        <w:t>a</w:t>
      </w:r>
      <w:r w:rsidRPr="009D4018">
        <w:rPr>
          <w:rFonts w:ascii="Book Antiqua" w:eastAsia="Book Antiqua" w:hAnsi="Book Antiqua" w:cs="Book Antiqua"/>
          <w:color w:val="000000"/>
        </w:rPr>
        <w:t xml:space="preserve">nabolic substances; </w:t>
      </w:r>
      <w:r w:rsidRPr="009D4018">
        <w:rPr>
          <w:rFonts w:ascii="Book Antiqua" w:eastAsia="Book Antiqua" w:hAnsi="Book Antiqua" w:cs="Book Antiqua"/>
          <w:caps/>
          <w:color w:val="000000"/>
        </w:rPr>
        <w:t>d</w:t>
      </w:r>
      <w:r w:rsidRPr="009D4018">
        <w:rPr>
          <w:rFonts w:ascii="Book Antiqua" w:eastAsia="Book Antiqua" w:hAnsi="Book Antiqua" w:cs="Book Antiqua"/>
          <w:color w:val="000000"/>
        </w:rPr>
        <w:t>uctopenia</w:t>
      </w:r>
      <w:r w:rsidR="00CC28A0" w:rsidRPr="009D4018">
        <w:rPr>
          <w:rFonts w:ascii="Book Antiqua" w:eastAsia="Book Antiqua" w:hAnsi="Book Antiqua" w:cs="Book Antiqua"/>
          <w:color w:val="000000"/>
        </w:rPr>
        <w:t>; Case report</w:t>
      </w:r>
    </w:p>
    <w:p w14:paraId="46E2568C" w14:textId="77777777" w:rsidR="00A77B3E" w:rsidRPr="009D4018" w:rsidRDefault="00A77B3E">
      <w:pPr>
        <w:spacing w:line="360" w:lineRule="auto"/>
        <w:jc w:val="both"/>
        <w:rPr>
          <w:rFonts w:ascii="Book Antiqua" w:hAnsi="Book Antiqua"/>
        </w:rPr>
      </w:pPr>
    </w:p>
    <w:p w14:paraId="741F1C23" w14:textId="63A2F022" w:rsidR="00A77B3E" w:rsidRPr="009D4018" w:rsidRDefault="00766A26">
      <w:pPr>
        <w:spacing w:line="360" w:lineRule="auto"/>
        <w:jc w:val="both"/>
        <w:rPr>
          <w:rFonts w:ascii="Book Antiqua" w:hAnsi="Book Antiqua"/>
        </w:rPr>
      </w:pPr>
      <w:bookmarkStart w:id="0" w:name="OLE_LINK2690"/>
      <w:bookmarkStart w:id="1" w:name="OLE_LINK2691"/>
      <w:r w:rsidRPr="009D4018">
        <w:rPr>
          <w:rFonts w:ascii="Book Antiqua" w:eastAsia="Book Antiqua" w:hAnsi="Book Antiqua" w:cs="Book Antiqua"/>
          <w:color w:val="000000"/>
        </w:rPr>
        <w:lastRenderedPageBreak/>
        <w:t xml:space="preserve">Koller T, Vrbova P, Meciarova I, Molcan P, Smitka M, Adamcova Selcanova S, Skladany L. </w:t>
      </w:r>
      <w:r w:rsidR="00810913" w:rsidRPr="009D4018">
        <w:rPr>
          <w:rFonts w:ascii="Book Antiqua" w:eastAsia="Book Antiqua" w:hAnsi="Book Antiqua" w:cs="Book Antiqua"/>
          <w:color w:val="000000"/>
        </w:rPr>
        <w:t>Liver injury associated with the use of selective androgen receptor modulators and post-cycle therapy: Two case report</w:t>
      </w:r>
      <w:r w:rsidR="0067206B" w:rsidRPr="009D4018">
        <w:rPr>
          <w:rFonts w:ascii="Book Antiqua" w:eastAsia="Book Antiqua" w:hAnsi="Book Antiqua" w:cs="Book Antiqua"/>
          <w:color w:val="000000"/>
        </w:rPr>
        <w:t xml:space="preserve">s </w:t>
      </w:r>
      <w:r w:rsidR="0067206B" w:rsidRPr="009D4018">
        <w:rPr>
          <w:rStyle w:val="tlid-translation"/>
          <w:rFonts w:ascii="Book Antiqua" w:eastAsia="Book Antiqua" w:hAnsi="Book Antiqua" w:cs="Book Antiqua"/>
          <w:color w:val="000000"/>
        </w:rPr>
        <w:t xml:space="preserve">and </w:t>
      </w:r>
      <w:r w:rsidR="009D4018">
        <w:rPr>
          <w:rStyle w:val="tlid-translation"/>
          <w:rFonts w:ascii="Book Antiqua" w:eastAsia="Book Antiqua" w:hAnsi="Book Antiqua" w:cs="Book Antiqua"/>
          <w:color w:val="000000"/>
        </w:rPr>
        <w:t xml:space="preserve">literature </w:t>
      </w:r>
      <w:r w:rsidR="0067206B" w:rsidRPr="009D4018">
        <w:rPr>
          <w:rStyle w:val="tlid-translation"/>
          <w:rFonts w:ascii="Book Antiqua" w:eastAsia="Book Antiqua" w:hAnsi="Book Antiqua" w:cs="Book Antiqua"/>
          <w:color w:val="000000"/>
        </w:rPr>
        <w:t>review</w:t>
      </w:r>
      <w:r w:rsidRPr="009D4018">
        <w:rPr>
          <w:rFonts w:ascii="Book Antiqua" w:eastAsia="Book Antiqua" w:hAnsi="Book Antiqua" w:cs="Book Antiqua"/>
          <w:color w:val="000000"/>
        </w:rPr>
        <w:t>.</w:t>
      </w:r>
      <w:r w:rsidR="00810913" w:rsidRPr="009D4018">
        <w:rPr>
          <w:rFonts w:ascii="Book Antiqua" w:eastAsia="Book Antiqua" w:hAnsi="Book Antiqua" w:cs="Book Antiqua"/>
          <w:color w:val="000000"/>
        </w:rPr>
        <w:t xml:space="preserve"> </w:t>
      </w:r>
      <w:r w:rsidRPr="009D4018">
        <w:rPr>
          <w:rFonts w:ascii="Book Antiqua" w:eastAsia="Book Antiqua" w:hAnsi="Book Antiqua" w:cs="Book Antiqua"/>
          <w:i/>
          <w:iCs/>
          <w:color w:val="000000"/>
        </w:rPr>
        <w:t>World J Clin Cases</w:t>
      </w:r>
      <w:r w:rsidRPr="009D4018">
        <w:rPr>
          <w:rFonts w:ascii="Book Antiqua" w:eastAsia="Book Antiqua" w:hAnsi="Book Antiqua" w:cs="Book Antiqua"/>
          <w:color w:val="000000"/>
        </w:rPr>
        <w:t xml:space="preserve"> 2021; In press</w:t>
      </w:r>
    </w:p>
    <w:bookmarkEnd w:id="0"/>
    <w:bookmarkEnd w:id="1"/>
    <w:p w14:paraId="68875E67" w14:textId="77777777" w:rsidR="00A77B3E" w:rsidRPr="00CA24B6" w:rsidRDefault="00A77B3E">
      <w:pPr>
        <w:spacing w:line="360" w:lineRule="auto"/>
        <w:jc w:val="both"/>
        <w:rPr>
          <w:rFonts w:ascii="Book Antiqua" w:hAnsi="Book Antiqua"/>
        </w:rPr>
      </w:pPr>
    </w:p>
    <w:p w14:paraId="2C3D80A4" w14:textId="057105AE"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Core Tip: </w:t>
      </w:r>
      <w:r w:rsidRPr="009D4018">
        <w:rPr>
          <w:rFonts w:ascii="Book Antiqua" w:eastAsia="Book Antiqua" w:hAnsi="Book Antiqua" w:cs="Book Antiqua"/>
          <w:color w:val="000000"/>
        </w:rPr>
        <w:t xml:space="preserve">Ligandrol and ostarine are selective androgen receptor modulators </w:t>
      </w:r>
      <w:r w:rsidR="009D4018">
        <w:rPr>
          <w:rFonts w:ascii="Book Antiqua" w:eastAsia="Book Antiqua" w:hAnsi="Book Antiqua" w:cs="Book Antiqua"/>
          <w:color w:val="000000"/>
        </w:rPr>
        <w:t xml:space="preserve">with a </w:t>
      </w:r>
      <w:r w:rsidRPr="009D4018">
        <w:rPr>
          <w:rFonts w:ascii="Book Antiqua" w:eastAsia="Book Antiqua" w:hAnsi="Book Antiqua" w:cs="Book Antiqua"/>
          <w:color w:val="000000"/>
        </w:rPr>
        <w:t xml:space="preserve">presumably </w:t>
      </w:r>
      <w:r w:rsidR="009D4018">
        <w:rPr>
          <w:rFonts w:ascii="Book Antiqua" w:eastAsia="Book Antiqua" w:hAnsi="Book Antiqua" w:cs="Book Antiqua"/>
          <w:color w:val="000000"/>
        </w:rPr>
        <w:t>more</w:t>
      </w:r>
      <w:r w:rsidRPr="009D4018">
        <w:rPr>
          <w:rFonts w:ascii="Book Antiqua" w:eastAsia="Book Antiqua" w:hAnsi="Book Antiqua" w:cs="Book Antiqua"/>
          <w:color w:val="000000"/>
        </w:rPr>
        <w:t xml:space="preserve"> favorable side</w:t>
      </w:r>
      <w:r w:rsid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effect profile. They are often misused by amateur body builders aiming to promote muscle growth. Reports on the toxic effects on organ systems are emerging. We report the liver injury in two young men who used ligandrol and/or ostarine in addition to other muscle</w:t>
      </w:r>
      <w:r w:rsidR="009D4018">
        <w:rPr>
          <w:rFonts w:ascii="Book Antiqua" w:eastAsia="Book Antiqua" w:hAnsi="Book Antiqua" w:cs="Book Antiqua"/>
          <w:color w:val="000000"/>
        </w:rPr>
        <w:t>-</w:t>
      </w:r>
      <w:r w:rsidRPr="009D4018">
        <w:rPr>
          <w:rFonts w:ascii="Book Antiqua" w:eastAsia="Book Antiqua" w:hAnsi="Book Antiqua" w:cs="Book Antiqua"/>
          <w:color w:val="000000"/>
        </w:rPr>
        <w:t>promoting substances known as post</w:t>
      </w:r>
      <w:r w:rsidR="009D4018">
        <w:rPr>
          <w:rFonts w:ascii="Book Antiqua" w:eastAsia="Book Antiqua" w:hAnsi="Book Antiqua" w:cs="Book Antiqua"/>
          <w:color w:val="000000"/>
        </w:rPr>
        <w:t>-</w:t>
      </w:r>
      <w:r w:rsidRPr="009D4018">
        <w:rPr>
          <w:rFonts w:ascii="Book Antiqua" w:eastAsia="Book Antiqua" w:hAnsi="Book Antiqua" w:cs="Book Antiqua"/>
          <w:color w:val="000000"/>
        </w:rPr>
        <w:t xml:space="preserve">cycle therapy. They showed jaundice and fatigue, a mixed type of injury, normal alkaline phosphatase, and high </w:t>
      </w:r>
      <w:r w:rsidR="009D4018">
        <w:rPr>
          <w:rFonts w:ascii="Book Antiqua" w:eastAsia="Book Antiqua" w:hAnsi="Book Antiqua" w:cs="Book Antiqua"/>
          <w:color w:val="000000"/>
        </w:rPr>
        <w:t xml:space="preserve">levels of </w:t>
      </w:r>
      <w:r w:rsidRPr="009D4018">
        <w:rPr>
          <w:rFonts w:ascii="Book Antiqua" w:eastAsia="Book Antiqua" w:hAnsi="Book Antiqua" w:cs="Book Antiqua"/>
          <w:color w:val="000000"/>
        </w:rPr>
        <w:t>bilirubin and bile acids. Histological evidence showed cholestatic injury, canalicular bile plugs, and ductopenia. The patients recovered after</w:t>
      </w:r>
      <w:r w:rsidR="009D4018">
        <w:rPr>
          <w:rFonts w:ascii="Book Antiqua" w:eastAsia="Book Antiqua" w:hAnsi="Book Antiqua" w:cs="Book Antiqua"/>
          <w:color w:val="000000"/>
        </w:rPr>
        <w:t xml:space="preserve"> only</w:t>
      </w:r>
      <w:r w:rsidRPr="009D4018">
        <w:rPr>
          <w:rFonts w:ascii="Book Antiqua" w:eastAsia="Book Antiqua" w:hAnsi="Book Antiqua" w:cs="Book Antiqua"/>
          <w:color w:val="000000"/>
        </w:rPr>
        <w:t xml:space="preserve"> 3 mo.</w:t>
      </w:r>
    </w:p>
    <w:p w14:paraId="4E7CEAA5" w14:textId="77777777" w:rsidR="00A77B3E" w:rsidRPr="00CA24B6" w:rsidRDefault="00A77B3E">
      <w:pPr>
        <w:spacing w:line="360" w:lineRule="auto"/>
        <w:jc w:val="both"/>
        <w:rPr>
          <w:rFonts w:ascii="Book Antiqua" w:hAnsi="Book Antiqua"/>
        </w:rPr>
      </w:pPr>
    </w:p>
    <w:p w14:paraId="29429854" w14:textId="77777777" w:rsidR="00A77B3E" w:rsidRPr="009D4018" w:rsidRDefault="00886D08">
      <w:pPr>
        <w:spacing w:line="360" w:lineRule="auto"/>
        <w:jc w:val="both"/>
        <w:rPr>
          <w:rFonts w:ascii="Book Antiqua" w:hAnsi="Book Antiqua"/>
        </w:rPr>
      </w:pPr>
      <w:r w:rsidRPr="009D4018">
        <w:rPr>
          <w:rFonts w:ascii="Book Antiqua" w:eastAsia="Book Antiqua" w:hAnsi="Book Antiqua" w:cs="Book Antiqua"/>
          <w:b/>
          <w:caps/>
          <w:color w:val="000000"/>
          <w:u w:val="single"/>
        </w:rPr>
        <w:br w:type="page"/>
      </w:r>
      <w:r w:rsidR="00766A26" w:rsidRPr="009D4018">
        <w:rPr>
          <w:rFonts w:ascii="Book Antiqua" w:eastAsia="Book Antiqua" w:hAnsi="Book Antiqua" w:cs="Book Antiqua"/>
          <w:b/>
          <w:caps/>
          <w:color w:val="000000"/>
          <w:u w:val="single"/>
        </w:rPr>
        <w:lastRenderedPageBreak/>
        <w:t>INTRODUCTION</w:t>
      </w:r>
    </w:p>
    <w:p w14:paraId="33EA64B4" w14:textId="76BC3D6D" w:rsidR="008F69FE" w:rsidRDefault="00766A26">
      <w:pPr>
        <w:spacing w:line="360" w:lineRule="auto"/>
        <w:jc w:val="both"/>
        <w:rPr>
          <w:rStyle w:val="tlid-translation"/>
          <w:rFonts w:ascii="Book Antiqua" w:eastAsia="Book Antiqua" w:hAnsi="Book Antiqua" w:cs="Book Antiqua"/>
          <w:color w:val="000000"/>
        </w:rPr>
      </w:pPr>
      <w:r w:rsidRPr="009D4018">
        <w:rPr>
          <w:rFonts w:ascii="Book Antiqua" w:eastAsia="Book Antiqua" w:hAnsi="Book Antiqua" w:cs="Book Antiqua"/>
          <w:color w:val="000000"/>
        </w:rPr>
        <w:t xml:space="preserve">Muscle growth promoters and anabolic substances </w:t>
      </w:r>
      <w:r w:rsidR="009D4018">
        <w:rPr>
          <w:rFonts w:ascii="Book Antiqua" w:eastAsia="Book Antiqua" w:hAnsi="Book Antiqua" w:cs="Book Antiqua"/>
          <w:color w:val="000000"/>
        </w:rPr>
        <w:t>have been</w:t>
      </w:r>
      <w:r w:rsidRPr="009D4018">
        <w:rPr>
          <w:rFonts w:ascii="Book Antiqua" w:eastAsia="Book Antiqua" w:hAnsi="Book Antiqua" w:cs="Book Antiqua"/>
          <w:color w:val="000000"/>
        </w:rPr>
        <w:t xml:space="preserve"> developed for the treatment of disease-induced muscle loss and impaired functional status</w:t>
      </w:r>
      <w:r w:rsidRPr="009D4018">
        <w:rPr>
          <w:rFonts w:ascii="Book Antiqua" w:eastAsia="Book Antiqua" w:hAnsi="Book Antiqua" w:cs="Book Antiqua"/>
          <w:color w:val="000000"/>
          <w:vertAlign w:val="superscript"/>
        </w:rPr>
        <w:t>[1,2]</w:t>
      </w:r>
      <w:r w:rsidRPr="009D4018">
        <w:rPr>
          <w:rFonts w:ascii="Book Antiqua" w:eastAsia="Book Antiqua" w:hAnsi="Book Antiqua" w:cs="Book Antiqua"/>
          <w:color w:val="000000"/>
        </w:rPr>
        <w:t xml:space="preserve">. They include a </w:t>
      </w:r>
      <w:r w:rsidR="009D4018">
        <w:rPr>
          <w:rFonts w:ascii="Book Antiqua" w:eastAsia="Book Antiqua" w:hAnsi="Book Antiqua" w:cs="Book Antiqua"/>
          <w:color w:val="000000"/>
        </w:rPr>
        <w:t>variety</w:t>
      </w:r>
      <w:r w:rsidR="009D4018"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 xml:space="preserve">of anabolic substances such as testosterone, anabolic androgenic steroids (AAS), selective androgen receptor modulators (SARMs), </w:t>
      </w:r>
      <w:r w:rsidR="009D4018">
        <w:rPr>
          <w:rFonts w:ascii="Book Antiqua" w:eastAsia="Book Antiqua" w:hAnsi="Book Antiqua" w:cs="Book Antiqua"/>
          <w:color w:val="000000"/>
        </w:rPr>
        <w:t>and</w:t>
      </w:r>
      <w:r w:rsidR="009D4018"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growth hormone. Their use in clinical practice is currently limited, but the</w:t>
      </w:r>
      <w:r w:rsidR="008F69FE">
        <w:rPr>
          <w:rFonts w:ascii="Book Antiqua" w:eastAsia="Book Antiqua" w:hAnsi="Book Antiqua" w:cs="Book Antiqua"/>
          <w:color w:val="000000"/>
        </w:rPr>
        <w:t>ir</w:t>
      </w:r>
      <w:r w:rsidRPr="009D4018">
        <w:rPr>
          <w:rFonts w:ascii="Book Antiqua" w:eastAsia="Book Antiqua" w:hAnsi="Book Antiqua" w:cs="Book Antiqua"/>
          <w:color w:val="000000"/>
        </w:rPr>
        <w:t xml:space="preserve"> benefit </w:t>
      </w:r>
      <w:r w:rsidR="008F69FE">
        <w:rPr>
          <w:rFonts w:ascii="Book Antiqua" w:eastAsia="Book Antiqua" w:hAnsi="Book Antiqua" w:cs="Book Antiqua"/>
          <w:color w:val="000000"/>
        </w:rPr>
        <w:t>in</w:t>
      </w:r>
      <w:r w:rsidR="008F69FE"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 xml:space="preserve">treating sarcopenia and frailty </w:t>
      </w:r>
      <w:r w:rsidR="008F69FE">
        <w:rPr>
          <w:rFonts w:ascii="Book Antiqua" w:eastAsia="Book Antiqua" w:hAnsi="Book Antiqua" w:cs="Book Antiqua"/>
          <w:color w:val="000000"/>
        </w:rPr>
        <w:t>c</w:t>
      </w:r>
      <w:r w:rsidRPr="009D4018">
        <w:rPr>
          <w:rFonts w:ascii="Book Antiqua" w:eastAsia="Book Antiqua" w:hAnsi="Book Antiqua" w:cs="Book Antiqua"/>
          <w:color w:val="000000"/>
        </w:rPr>
        <w:t xml:space="preserve">ould be </w:t>
      </w:r>
      <w:r w:rsidR="008F69FE">
        <w:rPr>
          <w:rFonts w:ascii="Book Antiqua" w:eastAsia="Book Antiqua" w:hAnsi="Book Antiqua" w:cs="Book Antiqua"/>
          <w:color w:val="000000"/>
        </w:rPr>
        <w:t>substantial</w:t>
      </w:r>
      <w:r w:rsidRPr="009D4018">
        <w:rPr>
          <w:rFonts w:ascii="Book Antiqua" w:eastAsia="Book Antiqua" w:hAnsi="Book Antiqua" w:cs="Book Antiqua"/>
          <w:color w:val="000000"/>
          <w:vertAlign w:val="superscript"/>
        </w:rPr>
        <w:t>[3]</w:t>
      </w:r>
      <w:r w:rsidRPr="009D4018">
        <w:rPr>
          <w:rFonts w:ascii="Book Antiqua" w:eastAsia="Book Antiqua" w:hAnsi="Book Antiqua" w:cs="Book Antiqua"/>
          <w:color w:val="000000"/>
        </w:rPr>
        <w:t>. Unfortunately, the</w:t>
      </w:r>
      <w:r w:rsidR="008F69FE">
        <w:rPr>
          <w:rFonts w:ascii="Book Antiqua" w:eastAsia="Book Antiqua" w:hAnsi="Book Antiqua" w:cs="Book Antiqua"/>
          <w:color w:val="000000"/>
        </w:rPr>
        <w:t>se</w:t>
      </w:r>
      <w:r w:rsidRPr="009D4018">
        <w:rPr>
          <w:rFonts w:ascii="Book Antiqua" w:eastAsia="Book Antiqua" w:hAnsi="Book Antiqua" w:cs="Book Antiqua"/>
          <w:color w:val="000000"/>
        </w:rPr>
        <w:t xml:space="preserve"> substances have not escaped the attention of muscle-building enthusiasts</w:t>
      </w:r>
      <w:r w:rsidRPr="009D4018">
        <w:rPr>
          <w:rFonts w:ascii="Book Antiqua" w:eastAsia="Book Antiqua" w:hAnsi="Book Antiqua" w:cs="Book Antiqua"/>
          <w:color w:val="000000"/>
          <w:vertAlign w:val="superscript"/>
        </w:rPr>
        <w:t>[4]</w:t>
      </w:r>
      <w:r w:rsidRPr="009D4018">
        <w:rPr>
          <w:rFonts w:ascii="Book Antiqua" w:eastAsia="Book Antiqua" w:hAnsi="Book Antiqua" w:cs="Book Antiqua"/>
          <w:color w:val="000000"/>
        </w:rPr>
        <w:t xml:space="preserve">. </w:t>
      </w:r>
      <w:r w:rsidR="008F69FE">
        <w:rPr>
          <w:rFonts w:ascii="Book Antiqua" w:eastAsia="Book Antiqua" w:hAnsi="Book Antiqua" w:cs="Book Antiqua"/>
          <w:color w:val="000000"/>
        </w:rPr>
        <w:t>Although</w:t>
      </w:r>
      <w:r w:rsidRPr="009D4018">
        <w:rPr>
          <w:rFonts w:ascii="Book Antiqua" w:eastAsia="Book Antiqua" w:hAnsi="Book Antiqua" w:cs="Book Antiqua"/>
          <w:color w:val="000000"/>
        </w:rPr>
        <w:t xml:space="preserve"> banned in professional sport, their use is significantly widespread since they are available for online purchase as nutritional supplements</w:t>
      </w:r>
      <w:r w:rsidRPr="008F69FE">
        <w:rPr>
          <w:rFonts w:ascii="Book Antiqua" w:eastAsia="Book Antiqua" w:hAnsi="Book Antiqua" w:cs="Book Antiqua"/>
          <w:color w:val="000000"/>
          <w:vertAlign w:val="superscript"/>
        </w:rPr>
        <w:t>[5]</w:t>
      </w:r>
      <w:r w:rsidRPr="008F69FE">
        <w:rPr>
          <w:rFonts w:ascii="Book Antiqua" w:eastAsia="Book Antiqua" w:hAnsi="Book Antiqua" w:cs="Book Antiqua"/>
          <w:color w:val="000000"/>
        </w:rPr>
        <w:t>. Although they are hormonal preparations, their selection, form of administration, dosage, and co-administration with other substances are currently unregulated and left entirely to the general public</w:t>
      </w:r>
      <w:r w:rsidRPr="008F69FE">
        <w:rPr>
          <w:rFonts w:ascii="Book Antiqua" w:eastAsia="Book Antiqua" w:hAnsi="Book Antiqua" w:cs="Book Antiqua"/>
          <w:color w:val="000000"/>
          <w:vertAlign w:val="superscript"/>
        </w:rPr>
        <w:t>[6,7]</w:t>
      </w:r>
      <w:r w:rsidRPr="008F69FE">
        <w:rPr>
          <w:rFonts w:ascii="Book Antiqua" w:eastAsia="Book Antiqua" w:hAnsi="Book Antiqua" w:cs="Book Antiqua"/>
          <w:color w:val="000000"/>
        </w:rPr>
        <w:t xml:space="preserve">. </w:t>
      </w:r>
      <w:r w:rsidR="008F69FE">
        <w:rPr>
          <w:rFonts w:ascii="Book Antiqua" w:eastAsia="Book Antiqua" w:hAnsi="Book Antiqua" w:cs="Book Antiqua"/>
          <w:color w:val="000000"/>
        </w:rPr>
        <w:t>T</w:t>
      </w:r>
      <w:r w:rsidRPr="008F69FE">
        <w:rPr>
          <w:rFonts w:ascii="Book Antiqua" w:eastAsia="Book Antiqua" w:hAnsi="Book Antiqua" w:cs="Book Antiqua"/>
          <w:color w:val="000000"/>
        </w:rPr>
        <w:t xml:space="preserve">he potential toxicity of </w:t>
      </w:r>
      <w:r w:rsidR="00F873D9" w:rsidRPr="008F69FE">
        <w:rPr>
          <w:rFonts w:ascii="Book Antiqua" w:eastAsia="Book Antiqua" w:hAnsi="Book Antiqua" w:cs="Book Antiqua"/>
          <w:color w:val="000000"/>
        </w:rPr>
        <w:t>anabolic</w:t>
      </w:r>
      <w:r w:rsidRPr="008F69FE">
        <w:rPr>
          <w:rFonts w:ascii="Book Antiqua" w:eastAsia="Book Antiqua" w:hAnsi="Book Antiqua" w:cs="Book Antiqua"/>
          <w:color w:val="000000"/>
        </w:rPr>
        <w:t xml:space="preserve"> </w:t>
      </w:r>
      <w:r w:rsidR="008F69FE">
        <w:rPr>
          <w:rFonts w:ascii="Book Antiqua" w:eastAsia="Book Antiqua" w:hAnsi="Book Antiqua" w:cs="Book Antiqua"/>
          <w:color w:val="000000"/>
        </w:rPr>
        <w:t>affects</w:t>
      </w:r>
      <w:r w:rsidRPr="008F69FE">
        <w:rPr>
          <w:rFonts w:ascii="Book Antiqua" w:eastAsia="Book Antiqua" w:hAnsi="Book Antiqua" w:cs="Book Antiqua"/>
          <w:color w:val="000000"/>
        </w:rPr>
        <w:t xml:space="preserve"> cardiovascular, hepatic, renal, </w:t>
      </w:r>
      <w:r w:rsidR="008F69FE">
        <w:rPr>
          <w:rFonts w:ascii="Book Antiqua" w:eastAsia="Book Antiqua" w:hAnsi="Book Antiqua" w:cs="Book Antiqua"/>
          <w:color w:val="000000"/>
        </w:rPr>
        <w:t>and</w:t>
      </w:r>
      <w:r w:rsidR="008F69FE" w:rsidRPr="008F69FE">
        <w:rPr>
          <w:rFonts w:ascii="Book Antiqua" w:eastAsia="Book Antiqua" w:hAnsi="Book Antiqua" w:cs="Book Antiqua"/>
          <w:color w:val="000000"/>
        </w:rPr>
        <w:t xml:space="preserve"> </w:t>
      </w:r>
      <w:r w:rsidRPr="008F69FE">
        <w:rPr>
          <w:rFonts w:ascii="Book Antiqua" w:eastAsia="Book Antiqua" w:hAnsi="Book Antiqua" w:cs="Book Antiqua"/>
          <w:color w:val="000000"/>
        </w:rPr>
        <w:t>central nervous systems</w:t>
      </w:r>
      <w:r w:rsidRPr="008F69FE">
        <w:rPr>
          <w:rFonts w:ascii="Book Antiqua" w:eastAsia="Book Antiqua" w:hAnsi="Book Antiqua" w:cs="Book Antiqua"/>
          <w:color w:val="000000"/>
          <w:vertAlign w:val="superscript"/>
        </w:rPr>
        <w:t>[8,9]</w:t>
      </w:r>
      <w:r w:rsidRPr="008F69FE">
        <w:rPr>
          <w:rFonts w:ascii="Book Antiqua" w:eastAsia="Book Antiqua" w:hAnsi="Book Antiqua" w:cs="Book Antiqua"/>
          <w:color w:val="000000"/>
        </w:rPr>
        <w:t xml:space="preserve">. </w:t>
      </w:r>
      <w:r w:rsidRPr="008F69FE">
        <w:rPr>
          <w:rStyle w:val="tlid-translation"/>
          <w:rFonts w:ascii="Book Antiqua" w:eastAsia="Book Antiqua" w:hAnsi="Book Antiqua" w:cs="Book Antiqua"/>
          <w:color w:val="000000"/>
        </w:rPr>
        <w:t xml:space="preserve">Concerns about the side effects of anabolic steroids have contributed to the </w:t>
      </w:r>
      <w:r w:rsidR="008F69FE">
        <w:rPr>
          <w:rStyle w:val="tlid-translation"/>
          <w:rFonts w:ascii="Book Antiqua" w:eastAsia="Book Antiqua" w:hAnsi="Book Antiqua" w:cs="Book Antiqua"/>
          <w:color w:val="000000"/>
        </w:rPr>
        <w:t>development</w:t>
      </w:r>
      <w:r w:rsidR="008F69FE" w:rsidRPr="008F69FE">
        <w:rPr>
          <w:rStyle w:val="tlid-translation"/>
          <w:rFonts w:ascii="Book Antiqua" w:eastAsia="Book Antiqua" w:hAnsi="Book Antiqua" w:cs="Book Antiqua"/>
          <w:color w:val="000000"/>
        </w:rPr>
        <w:t xml:space="preserve"> </w:t>
      </w:r>
      <w:r w:rsidRPr="008F69FE">
        <w:rPr>
          <w:rStyle w:val="tlid-translation"/>
          <w:rFonts w:ascii="Book Antiqua" w:eastAsia="Book Antiqua" w:hAnsi="Book Antiqua" w:cs="Book Antiqua"/>
          <w:color w:val="000000"/>
        </w:rPr>
        <w:t>of SARMSs that have a non-steroidal structure (</w:t>
      </w:r>
      <w:r w:rsidRPr="008F69FE">
        <w:rPr>
          <w:rStyle w:val="tlid-translation"/>
          <w:rFonts w:ascii="Book Antiqua" w:eastAsia="Book Antiqua" w:hAnsi="Book Antiqua" w:cs="Book Antiqua"/>
          <w:i/>
          <w:color w:val="000000"/>
        </w:rPr>
        <w:t>e.g</w:t>
      </w:r>
      <w:r w:rsidRPr="008F69FE">
        <w:rPr>
          <w:rStyle w:val="tlid-translation"/>
          <w:rFonts w:ascii="Book Antiqua" w:eastAsia="Book Antiqua" w:hAnsi="Book Antiqua" w:cs="Book Antiqua"/>
          <w:color w:val="000000"/>
        </w:rPr>
        <w:t>.</w:t>
      </w:r>
      <w:r w:rsidR="004C552F" w:rsidRPr="008F69FE">
        <w:rPr>
          <w:rStyle w:val="tlid-translation"/>
          <w:rFonts w:ascii="Book Antiqua" w:eastAsia="Book Antiqua" w:hAnsi="Book Antiqua" w:cs="Book Antiqua"/>
          <w:color w:val="000000"/>
        </w:rPr>
        <w:t xml:space="preserve">, </w:t>
      </w:r>
      <w:r w:rsidRPr="008F69FE">
        <w:rPr>
          <w:rStyle w:val="tlid-translation"/>
          <w:rFonts w:ascii="Book Antiqua" w:eastAsia="Book Antiqua" w:hAnsi="Book Antiqua" w:cs="Book Antiqua"/>
          <w:color w:val="000000"/>
        </w:rPr>
        <w:t>ostarine also known as enobosarm, ligandrol, or RAD140)</w:t>
      </w:r>
      <w:r w:rsidRPr="008F69FE">
        <w:rPr>
          <w:rStyle w:val="tlid-translation"/>
          <w:rFonts w:ascii="Book Antiqua" w:eastAsia="Book Antiqua" w:hAnsi="Book Antiqua" w:cs="Book Antiqua"/>
          <w:color w:val="000000"/>
          <w:vertAlign w:val="superscript"/>
        </w:rPr>
        <w:t>[10]</w:t>
      </w:r>
      <w:r w:rsidRPr="008F69FE">
        <w:rPr>
          <w:rStyle w:val="tlid-translation"/>
          <w:rFonts w:ascii="Book Antiqua" w:eastAsia="Book Antiqua" w:hAnsi="Book Antiqua" w:cs="Book Antiqua"/>
          <w:color w:val="000000"/>
        </w:rPr>
        <w:t xml:space="preserve">. They activate the cytoplasmic androgen receptor in muscles and bone while having </w:t>
      </w:r>
      <w:r w:rsidRPr="009D4018">
        <w:rPr>
          <w:rStyle w:val="tlid-translation"/>
          <w:rFonts w:ascii="Book Antiqua" w:eastAsia="Book Antiqua" w:hAnsi="Book Antiqua" w:cs="Book Antiqua"/>
          <w:color w:val="000000"/>
        </w:rPr>
        <w:t>marginal effect</w:t>
      </w:r>
      <w:r w:rsidR="008F69FE">
        <w:rPr>
          <w:rStyle w:val="tlid-translation"/>
          <w:rFonts w:ascii="Book Antiqua" w:eastAsia="Book Antiqua" w:hAnsi="Book Antiqua" w:cs="Book Antiqua"/>
          <w:color w:val="000000"/>
        </w:rPr>
        <w:t>s</w:t>
      </w:r>
      <w:r w:rsidRPr="008F69FE">
        <w:rPr>
          <w:rStyle w:val="tlid-translation"/>
          <w:rFonts w:ascii="Book Antiqua" w:eastAsia="Book Antiqua" w:hAnsi="Book Antiqua" w:cs="Book Antiqua"/>
          <w:color w:val="000000"/>
        </w:rPr>
        <w:t xml:space="preserve"> on the prostate and seminal vesicles. Emerging clinical indications for SARMs are the treatment of functional limitations associated with physiological aging and/or chronic disease</w:t>
      </w:r>
      <w:r w:rsidRPr="00CA24B6">
        <w:rPr>
          <w:rStyle w:val="tlid-translation"/>
          <w:rFonts w:ascii="Book Antiqua" w:eastAsia="Book Antiqua" w:hAnsi="Book Antiqua" w:cs="Book Antiqua"/>
          <w:color w:val="000000"/>
          <w:vertAlign w:val="superscript"/>
        </w:rPr>
        <w:t>[11,12]</w:t>
      </w:r>
      <w:r w:rsidRPr="00271A7B">
        <w:rPr>
          <w:rStyle w:val="tlid-translation"/>
          <w:rFonts w:ascii="Book Antiqua" w:eastAsia="Book Antiqua" w:hAnsi="Book Antiqua" w:cs="Book Antiqua"/>
          <w:color w:val="000000"/>
        </w:rPr>
        <w:t xml:space="preserve">. In 2017, the widespread use of SARMs in the form of nutritional supplements led the </w:t>
      </w:r>
      <w:r w:rsidRPr="008F69FE">
        <w:rPr>
          <w:rStyle w:val="tlid-translation"/>
          <w:rFonts w:ascii="Book Antiqua" w:eastAsia="Book Antiqua" w:hAnsi="Book Antiqua" w:cs="Book Antiqua"/>
          <w:color w:val="000000"/>
        </w:rPr>
        <w:t>United States Food and Drug Administration (FDA) to issue a warning after reports of their serious health risks including heart attack, stroke, and liver damage. The FDA has also encouraged the reporting of all such cases</w:t>
      </w:r>
      <w:r w:rsidRPr="00CA24B6">
        <w:rPr>
          <w:rStyle w:val="tlid-translation"/>
          <w:rFonts w:ascii="Book Antiqua" w:eastAsia="Book Antiqua" w:hAnsi="Book Antiqua" w:cs="Book Antiqua"/>
          <w:color w:val="000000"/>
          <w:vertAlign w:val="superscript"/>
        </w:rPr>
        <w:t>[13]</w:t>
      </w:r>
      <w:r w:rsidRPr="00271A7B">
        <w:rPr>
          <w:rStyle w:val="tlid-translation"/>
          <w:rFonts w:ascii="Book Antiqua" w:eastAsia="Book Antiqua" w:hAnsi="Book Antiqua" w:cs="Book Antiqua"/>
          <w:color w:val="000000"/>
        </w:rPr>
        <w:t>. To date, two cases of liver injury associated with ligandrol and one with RAD 140 have been reported in the literature</w:t>
      </w:r>
      <w:r w:rsidRPr="009D4018">
        <w:rPr>
          <w:rStyle w:val="tlid-translation"/>
          <w:rFonts w:ascii="Book Antiqua" w:eastAsia="Book Antiqua" w:hAnsi="Book Antiqua" w:cs="Book Antiqua"/>
          <w:color w:val="000000"/>
          <w:vertAlign w:val="superscript"/>
        </w:rPr>
        <w:t>[14,15]</w:t>
      </w:r>
      <w:r w:rsidRPr="009D4018">
        <w:rPr>
          <w:rStyle w:val="tlid-translation"/>
          <w:rFonts w:ascii="Book Antiqua" w:eastAsia="Book Antiqua" w:hAnsi="Book Antiqua" w:cs="Book Antiqua"/>
          <w:color w:val="000000"/>
        </w:rPr>
        <w:t xml:space="preserve">. </w:t>
      </w:r>
    </w:p>
    <w:p w14:paraId="7ADAA6EE" w14:textId="019A5A70" w:rsidR="00A77B3E" w:rsidRPr="008F69FE" w:rsidRDefault="00766A26" w:rsidP="002D1B33">
      <w:pPr>
        <w:spacing w:line="360" w:lineRule="auto"/>
        <w:ind w:firstLine="270"/>
        <w:jc w:val="both"/>
        <w:rPr>
          <w:rFonts w:ascii="Book Antiqua" w:hAnsi="Book Antiqua"/>
        </w:rPr>
      </w:pPr>
      <w:r w:rsidRPr="008F69FE">
        <w:rPr>
          <w:rStyle w:val="tlid-translation"/>
          <w:rFonts w:ascii="Book Antiqua" w:eastAsia="Book Antiqua" w:hAnsi="Book Antiqua" w:cs="Book Antiqua"/>
          <w:color w:val="000000"/>
        </w:rPr>
        <w:t xml:space="preserve">In this report, we present two recently observed cases with distinct biochemical and histological phenotypes. </w:t>
      </w:r>
    </w:p>
    <w:p w14:paraId="3142DF30" w14:textId="77777777" w:rsidR="00A77B3E" w:rsidRPr="008F69FE" w:rsidRDefault="00A77B3E">
      <w:pPr>
        <w:spacing w:line="360" w:lineRule="auto"/>
        <w:jc w:val="both"/>
        <w:rPr>
          <w:rFonts w:ascii="Book Antiqua" w:hAnsi="Book Antiqua"/>
        </w:rPr>
      </w:pPr>
    </w:p>
    <w:p w14:paraId="6D790F79" w14:textId="77777777" w:rsidR="00A77B3E" w:rsidRPr="00271A7B" w:rsidRDefault="00766A26">
      <w:pPr>
        <w:spacing w:line="360" w:lineRule="auto"/>
        <w:jc w:val="both"/>
        <w:rPr>
          <w:rFonts w:ascii="Book Antiqua" w:hAnsi="Book Antiqua"/>
        </w:rPr>
      </w:pPr>
      <w:r w:rsidRPr="00CA24B6">
        <w:rPr>
          <w:rFonts w:ascii="Book Antiqua" w:eastAsia="Book Antiqua" w:hAnsi="Book Antiqua" w:cs="Book Antiqua"/>
          <w:b/>
          <w:caps/>
          <w:color w:val="000000"/>
          <w:u w:val="single"/>
        </w:rPr>
        <w:t>CASE PRESENTATION</w:t>
      </w:r>
    </w:p>
    <w:p w14:paraId="58538965"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i/>
          <w:color w:val="000000"/>
        </w:rPr>
        <w:t>Chief complaints</w:t>
      </w:r>
    </w:p>
    <w:p w14:paraId="17CACC06"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Case</w:t>
      </w:r>
      <w:r w:rsidR="004C552F" w:rsidRPr="009D4018">
        <w:rPr>
          <w:rFonts w:ascii="Book Antiqua" w:eastAsia="Book Antiqua" w:hAnsi="Book Antiqua" w:cs="Book Antiqua"/>
          <w:b/>
          <w:color w:val="000000"/>
        </w:rPr>
        <w:t xml:space="preserve"> </w:t>
      </w:r>
      <w:r w:rsidRPr="009D4018">
        <w:rPr>
          <w:rFonts w:ascii="Book Antiqua" w:eastAsia="Book Antiqua" w:hAnsi="Book Antiqua" w:cs="Book Antiqua"/>
          <w:b/>
          <w:color w:val="000000"/>
        </w:rPr>
        <w:t>1</w:t>
      </w:r>
      <w:r w:rsidR="004C552F" w:rsidRPr="009D4018">
        <w:rPr>
          <w:rFonts w:ascii="Book Antiqua" w:eastAsia="Book Antiqua" w:hAnsi="Book Antiqua" w:cs="Book Antiqua"/>
          <w:b/>
          <w:color w:val="000000"/>
        </w:rPr>
        <w:t xml:space="preserve">: </w:t>
      </w:r>
      <w:r w:rsidRPr="009D4018">
        <w:rPr>
          <w:rFonts w:ascii="Book Antiqua" w:eastAsia="Book Antiqua" w:hAnsi="Book Antiqua" w:cs="Book Antiqua"/>
          <w:color w:val="000000"/>
        </w:rPr>
        <w:t xml:space="preserve">A 19-year-old performance athlete was hospitalized for recent jaundice. </w:t>
      </w:r>
    </w:p>
    <w:p w14:paraId="5A01BDF9" w14:textId="77777777" w:rsidR="004C552F" w:rsidRPr="009D4018" w:rsidRDefault="004C552F">
      <w:pPr>
        <w:spacing w:line="360" w:lineRule="auto"/>
        <w:jc w:val="both"/>
        <w:rPr>
          <w:rFonts w:ascii="Book Antiqua" w:eastAsia="Book Antiqua" w:hAnsi="Book Antiqua" w:cs="Book Antiqua"/>
          <w:color w:val="000000"/>
        </w:rPr>
      </w:pPr>
    </w:p>
    <w:p w14:paraId="0FE1D15A" w14:textId="6C736210"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Case 2</w:t>
      </w:r>
      <w:r w:rsidR="004C552F" w:rsidRPr="009D4018">
        <w:rPr>
          <w:rFonts w:ascii="Book Antiqua" w:eastAsia="Book Antiqua" w:hAnsi="Book Antiqua" w:cs="Book Antiqua"/>
          <w:b/>
          <w:color w:val="000000"/>
        </w:rPr>
        <w:t>:</w:t>
      </w:r>
      <w:r w:rsidR="004C552F"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A 28-year</w:t>
      </w:r>
      <w:r w:rsidR="00FD7E69" w:rsidRPr="009D4018">
        <w:rPr>
          <w:rFonts w:ascii="Book Antiqua" w:eastAsia="Book Antiqua" w:hAnsi="Book Antiqua" w:cs="Book Antiqua"/>
          <w:color w:val="000000"/>
        </w:rPr>
        <w:t>-</w:t>
      </w:r>
      <w:r w:rsidRPr="009D4018">
        <w:rPr>
          <w:rFonts w:ascii="Book Antiqua" w:eastAsia="Book Antiqua" w:hAnsi="Book Antiqua" w:cs="Book Antiqua"/>
          <w:color w:val="000000"/>
        </w:rPr>
        <w:t xml:space="preserve">old man with an interest in body-building without any significant medical or family history was referred to a liver transplantation center for jaundice. </w:t>
      </w:r>
    </w:p>
    <w:p w14:paraId="65291FA4" w14:textId="77777777" w:rsidR="00A77B3E" w:rsidRPr="009D4018" w:rsidRDefault="00A77B3E">
      <w:pPr>
        <w:spacing w:line="360" w:lineRule="auto"/>
        <w:jc w:val="both"/>
        <w:rPr>
          <w:rFonts w:ascii="Book Antiqua" w:hAnsi="Book Antiqua"/>
        </w:rPr>
      </w:pPr>
    </w:p>
    <w:p w14:paraId="75AFCE63"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i/>
          <w:color w:val="000000"/>
        </w:rPr>
        <w:t>History of present illness</w:t>
      </w:r>
    </w:p>
    <w:p w14:paraId="748D96CF" w14:textId="52E305F9" w:rsidR="00A77B3E" w:rsidRPr="008F69FE" w:rsidRDefault="00766A26">
      <w:pPr>
        <w:spacing w:line="360" w:lineRule="auto"/>
        <w:jc w:val="both"/>
        <w:rPr>
          <w:rFonts w:ascii="Book Antiqua" w:hAnsi="Book Antiqua"/>
        </w:rPr>
      </w:pPr>
      <w:r w:rsidRPr="009D4018">
        <w:rPr>
          <w:rFonts w:ascii="Book Antiqua" w:eastAsia="Book Antiqua" w:hAnsi="Book Antiqua" w:cs="Book Antiqua"/>
          <w:b/>
          <w:color w:val="000000"/>
        </w:rPr>
        <w:t>Case 1</w:t>
      </w:r>
      <w:r w:rsidR="00074662" w:rsidRPr="009D4018">
        <w:rPr>
          <w:rFonts w:ascii="Book Antiqua" w:eastAsia="Book Antiqua" w:hAnsi="Book Antiqua" w:cs="Book Antiqua"/>
          <w:b/>
          <w:color w:val="000000"/>
        </w:rPr>
        <w:t xml:space="preserve">: </w:t>
      </w:r>
      <w:r w:rsidRPr="009D4018">
        <w:rPr>
          <w:rFonts w:ascii="Book Antiqua" w:eastAsia="Book Antiqua" w:hAnsi="Book Antiqua" w:cs="Book Antiqua"/>
          <w:color w:val="000000"/>
        </w:rPr>
        <w:t xml:space="preserve">To </w:t>
      </w:r>
      <w:r w:rsidR="008F69FE">
        <w:rPr>
          <w:rFonts w:ascii="Book Antiqua" w:eastAsia="Book Antiqua" w:hAnsi="Book Antiqua" w:cs="Book Antiqua"/>
          <w:color w:val="000000"/>
        </w:rPr>
        <w:t>build</w:t>
      </w:r>
      <w:r w:rsidR="008F69FE" w:rsidRPr="008F69FE">
        <w:rPr>
          <w:rFonts w:ascii="Book Antiqua" w:eastAsia="Book Antiqua" w:hAnsi="Book Antiqua" w:cs="Book Antiqua"/>
          <w:color w:val="000000"/>
        </w:rPr>
        <w:t xml:space="preserve"> </w:t>
      </w:r>
      <w:r w:rsidRPr="008F69FE">
        <w:rPr>
          <w:rFonts w:ascii="Book Antiqua" w:eastAsia="Book Antiqua" w:hAnsi="Book Antiqua" w:cs="Book Antiqua"/>
          <w:color w:val="000000"/>
        </w:rPr>
        <w:t>muscle mass, his friend recommended ligandrol</w:t>
      </w:r>
      <w:r w:rsidR="008F69FE">
        <w:rPr>
          <w:rFonts w:ascii="Book Antiqua" w:eastAsia="Book Antiqua" w:hAnsi="Book Antiqua" w:cs="Book Antiqua"/>
          <w:color w:val="000000"/>
        </w:rPr>
        <w:t>,</w:t>
      </w:r>
      <w:r w:rsidRPr="008F69FE">
        <w:rPr>
          <w:rFonts w:ascii="Book Antiqua" w:eastAsia="Book Antiqua" w:hAnsi="Book Antiqua" w:cs="Book Antiqua"/>
          <w:color w:val="000000"/>
        </w:rPr>
        <w:t xml:space="preserve"> which he purchased online. He took one capsule daily for 4 wk following the package recommendation, but he did not know the exact amount of the active substance. After </w:t>
      </w:r>
      <w:r w:rsidR="008F69FE">
        <w:rPr>
          <w:rFonts w:ascii="Book Antiqua" w:eastAsia="Book Antiqua" w:hAnsi="Book Antiqua" w:cs="Book Antiqua"/>
          <w:color w:val="000000"/>
        </w:rPr>
        <w:t>4 wk</w:t>
      </w:r>
      <w:r w:rsidRPr="008F69FE">
        <w:rPr>
          <w:rFonts w:ascii="Book Antiqua" w:eastAsia="Book Antiqua" w:hAnsi="Book Antiqua" w:cs="Book Antiqua"/>
          <w:color w:val="000000"/>
        </w:rPr>
        <w:t>, he started using the so-called “post</w:t>
      </w:r>
      <w:r w:rsidR="008F69FE">
        <w:rPr>
          <w:rFonts w:ascii="Book Antiqua" w:eastAsia="Book Antiqua" w:hAnsi="Book Antiqua" w:cs="Book Antiqua"/>
          <w:color w:val="000000"/>
        </w:rPr>
        <w:t>-</w:t>
      </w:r>
      <w:r w:rsidRPr="008F69FE">
        <w:rPr>
          <w:rFonts w:ascii="Book Antiqua" w:eastAsia="Book Antiqua" w:hAnsi="Book Antiqua" w:cs="Book Antiqua"/>
          <w:color w:val="000000"/>
        </w:rPr>
        <w:t>cycle therapy“</w:t>
      </w:r>
      <w:r w:rsidR="00C015A4" w:rsidRPr="008F69FE">
        <w:rPr>
          <w:rFonts w:ascii="Book Antiqua" w:eastAsia="Book Antiqua" w:hAnsi="Book Antiqua" w:cs="Book Antiqua"/>
          <w:color w:val="000000"/>
        </w:rPr>
        <w:t xml:space="preserve"> </w:t>
      </w:r>
      <w:r w:rsidRPr="008F69FE">
        <w:rPr>
          <w:rFonts w:ascii="Book Antiqua" w:eastAsia="Book Antiqua" w:hAnsi="Book Antiqua" w:cs="Book Antiqua"/>
          <w:color w:val="000000"/>
        </w:rPr>
        <w:t xml:space="preserve">(PCT), again, not recalling the exact names of the substances. He stopped taking the PCT after 3 wk </w:t>
      </w:r>
      <w:r w:rsidR="008F69FE">
        <w:rPr>
          <w:rFonts w:ascii="Book Antiqua" w:eastAsia="Book Antiqua" w:hAnsi="Book Antiqua" w:cs="Book Antiqua"/>
          <w:color w:val="000000"/>
        </w:rPr>
        <w:t>after</w:t>
      </w:r>
      <w:r w:rsidR="008F69FE" w:rsidRPr="008F69FE">
        <w:rPr>
          <w:rFonts w:ascii="Book Antiqua" w:eastAsia="Book Antiqua" w:hAnsi="Book Antiqua" w:cs="Book Antiqua"/>
          <w:color w:val="000000"/>
        </w:rPr>
        <w:t xml:space="preserve"> </w:t>
      </w:r>
      <w:r w:rsidRPr="008F69FE">
        <w:rPr>
          <w:rFonts w:ascii="Book Antiqua" w:eastAsia="Book Antiqua" w:hAnsi="Book Antiqua" w:cs="Book Antiqua"/>
          <w:color w:val="000000"/>
        </w:rPr>
        <w:t xml:space="preserve">noticing dark urine, yellow sclera, and thinner light-colored stools. </w:t>
      </w:r>
    </w:p>
    <w:p w14:paraId="76DF844C" w14:textId="77777777" w:rsidR="00074662" w:rsidRPr="008F69FE" w:rsidRDefault="00074662">
      <w:pPr>
        <w:spacing w:line="360" w:lineRule="auto"/>
        <w:jc w:val="both"/>
        <w:rPr>
          <w:rFonts w:ascii="Book Antiqua" w:eastAsia="Book Antiqua" w:hAnsi="Book Antiqua" w:cs="Book Antiqua"/>
          <w:color w:val="000000"/>
        </w:rPr>
      </w:pPr>
    </w:p>
    <w:p w14:paraId="77E3569C" w14:textId="5B1116A3" w:rsidR="00A77B3E" w:rsidRPr="008F69FE" w:rsidRDefault="00766A26">
      <w:pPr>
        <w:spacing w:line="360" w:lineRule="auto"/>
        <w:jc w:val="both"/>
        <w:rPr>
          <w:rFonts w:ascii="Book Antiqua" w:hAnsi="Book Antiqua"/>
        </w:rPr>
      </w:pPr>
      <w:r w:rsidRPr="008F69FE">
        <w:rPr>
          <w:rFonts w:ascii="Book Antiqua" w:eastAsia="Book Antiqua" w:hAnsi="Book Antiqua" w:cs="Book Antiqua"/>
          <w:b/>
          <w:color w:val="000000"/>
        </w:rPr>
        <w:t>Case 2</w:t>
      </w:r>
      <w:r w:rsidR="00074662" w:rsidRPr="008F69FE">
        <w:rPr>
          <w:rFonts w:ascii="Book Antiqua" w:eastAsia="Book Antiqua" w:hAnsi="Book Antiqua" w:cs="Book Antiqua"/>
          <w:b/>
          <w:color w:val="000000"/>
        </w:rPr>
        <w:t>:</w:t>
      </w:r>
      <w:r w:rsidR="00074662" w:rsidRPr="008F69FE">
        <w:rPr>
          <w:rFonts w:ascii="Book Antiqua" w:eastAsia="Book Antiqua" w:hAnsi="Book Antiqua" w:cs="Book Antiqua"/>
          <w:color w:val="000000"/>
        </w:rPr>
        <w:t xml:space="preserve"> </w:t>
      </w:r>
      <w:r w:rsidR="008F69FE">
        <w:rPr>
          <w:rFonts w:ascii="Book Antiqua" w:eastAsia="Book Antiqua" w:hAnsi="Book Antiqua" w:cs="Book Antiqua"/>
          <w:color w:val="000000"/>
        </w:rPr>
        <w:t>At 3 mo</w:t>
      </w:r>
      <w:r w:rsidRPr="008F69FE">
        <w:rPr>
          <w:rFonts w:ascii="Book Antiqua" w:eastAsia="Book Antiqua" w:hAnsi="Book Antiqua" w:cs="Book Antiqua"/>
          <w:color w:val="000000"/>
        </w:rPr>
        <w:t xml:space="preserve"> before admission</w:t>
      </w:r>
      <w:r w:rsidR="008F69FE">
        <w:rPr>
          <w:rFonts w:ascii="Book Antiqua" w:eastAsia="Book Antiqua" w:hAnsi="Book Antiqua" w:cs="Book Antiqua"/>
          <w:color w:val="000000"/>
        </w:rPr>
        <w:t>,</w:t>
      </w:r>
      <w:r w:rsidRPr="008F69FE">
        <w:rPr>
          <w:rFonts w:ascii="Book Antiqua" w:eastAsia="Book Antiqua" w:hAnsi="Book Antiqua" w:cs="Book Antiqua"/>
          <w:color w:val="000000"/>
        </w:rPr>
        <w:t xml:space="preserve"> his liver tests were normal. The patient was exercising several times weekly while taking protein supplements, amino acids, and fat burners for a long</w:t>
      </w:r>
      <w:r w:rsidR="008F69FE">
        <w:rPr>
          <w:rFonts w:ascii="Book Antiqua" w:eastAsia="Book Antiqua" w:hAnsi="Book Antiqua" w:cs="Book Antiqua"/>
          <w:color w:val="000000"/>
        </w:rPr>
        <w:t xml:space="preserve"> period of</w:t>
      </w:r>
      <w:r w:rsidRPr="008F69FE">
        <w:rPr>
          <w:rFonts w:ascii="Book Antiqua" w:eastAsia="Book Antiqua" w:hAnsi="Book Antiqua" w:cs="Book Antiqua"/>
          <w:color w:val="000000"/>
        </w:rPr>
        <w:t xml:space="preserve"> time. Over </w:t>
      </w:r>
      <w:r w:rsidR="008F69FE">
        <w:rPr>
          <w:rFonts w:ascii="Book Antiqua" w:eastAsia="Book Antiqua" w:hAnsi="Book Antiqua" w:cs="Book Antiqua"/>
          <w:color w:val="000000"/>
        </w:rPr>
        <w:t xml:space="preserve">the course of </w:t>
      </w:r>
      <w:r w:rsidRPr="008F69FE">
        <w:rPr>
          <w:rFonts w:ascii="Book Antiqua" w:eastAsia="Book Antiqua" w:hAnsi="Book Antiqua" w:cs="Book Antiqua"/>
          <w:color w:val="000000"/>
        </w:rPr>
        <w:t>3 mo, he took a combination of ligandrol and ostarine for an unknown period.</w:t>
      </w:r>
      <w:r w:rsidR="00DD4A09" w:rsidRPr="008F69FE">
        <w:rPr>
          <w:rFonts w:ascii="Book Antiqua" w:eastAsia="Book Antiqua" w:hAnsi="Book Antiqua" w:cs="Book Antiqua"/>
          <w:color w:val="000000"/>
        </w:rPr>
        <w:t xml:space="preserve"> </w:t>
      </w:r>
      <w:r w:rsidR="008F69FE">
        <w:rPr>
          <w:rFonts w:ascii="Book Antiqua" w:eastAsia="Book Antiqua" w:hAnsi="Book Antiqua" w:cs="Book Antiqua"/>
          <w:color w:val="000000"/>
        </w:rPr>
        <w:t>At 3 wk</w:t>
      </w:r>
      <w:r w:rsidRPr="008F69FE">
        <w:rPr>
          <w:rFonts w:ascii="Book Antiqua" w:eastAsia="Book Antiqua" w:hAnsi="Book Antiqua" w:cs="Book Antiqua"/>
          <w:color w:val="000000"/>
        </w:rPr>
        <w:t xml:space="preserve"> after stopping their intake, he started using the PCT preparation sold under the commercial name of </w:t>
      </w:r>
      <w:r w:rsidR="00FD7E69" w:rsidRPr="008F69FE">
        <w:rPr>
          <w:rFonts w:ascii="Book Antiqua" w:eastAsia="Book Antiqua" w:hAnsi="Book Antiqua" w:cs="Book Antiqua"/>
          <w:color w:val="000000"/>
        </w:rPr>
        <w:t>“</w:t>
      </w:r>
      <w:r w:rsidRPr="008F69FE">
        <w:rPr>
          <w:rFonts w:ascii="Book Antiqua" w:eastAsia="Book Antiqua" w:hAnsi="Book Antiqua" w:cs="Book Antiqua"/>
          <w:color w:val="000000"/>
        </w:rPr>
        <w:t xml:space="preserve">Spartan” (Warrior Labs, </w:t>
      </w:r>
      <w:bookmarkStart w:id="2" w:name="OLE_LINK2692"/>
      <w:bookmarkStart w:id="3" w:name="OLE_LINK2693"/>
      <w:r w:rsidR="008F69FE">
        <w:rPr>
          <w:rFonts w:ascii="Book Antiqua" w:eastAsia="Book Antiqua" w:hAnsi="Book Antiqua" w:cs="Book Antiqua"/>
          <w:color w:val="000000"/>
        </w:rPr>
        <w:t xml:space="preserve">Fernley, </w:t>
      </w:r>
      <w:r w:rsidRPr="008F69FE">
        <w:rPr>
          <w:rFonts w:ascii="Book Antiqua" w:eastAsia="Book Antiqua" w:hAnsi="Book Antiqua" w:cs="Book Antiqua"/>
          <w:color w:val="000000"/>
        </w:rPr>
        <w:t>N</w:t>
      </w:r>
      <w:bookmarkEnd w:id="2"/>
      <w:bookmarkEnd w:id="3"/>
      <w:r w:rsidR="00FD7E69" w:rsidRPr="008F69FE">
        <w:rPr>
          <w:rFonts w:ascii="Book Antiqua" w:eastAsia="Book Antiqua" w:hAnsi="Book Antiqua" w:cs="Book Antiqua"/>
          <w:color w:val="000000"/>
        </w:rPr>
        <w:t>V</w:t>
      </w:r>
      <w:r w:rsidRPr="008F69FE">
        <w:rPr>
          <w:rFonts w:ascii="Book Antiqua" w:eastAsia="Book Antiqua" w:hAnsi="Book Antiqua" w:cs="Book Antiqua"/>
          <w:color w:val="000000"/>
        </w:rPr>
        <w:t>, U</w:t>
      </w:r>
      <w:r w:rsidR="00FD7E69" w:rsidRPr="008F69FE">
        <w:rPr>
          <w:rFonts w:ascii="Book Antiqua" w:eastAsia="Book Antiqua" w:hAnsi="Book Antiqua" w:cs="Book Antiqua"/>
          <w:color w:val="000000"/>
        </w:rPr>
        <w:t>nited States</w:t>
      </w:r>
      <w:r w:rsidRPr="008F69FE">
        <w:rPr>
          <w:rFonts w:ascii="Book Antiqua" w:eastAsia="Book Antiqua" w:hAnsi="Book Antiqua" w:cs="Book Antiqua"/>
          <w:color w:val="000000"/>
        </w:rPr>
        <w:t>). After the 4</w:t>
      </w:r>
      <w:r w:rsidRPr="008F69FE">
        <w:rPr>
          <w:rFonts w:ascii="Book Antiqua" w:eastAsia="Book Antiqua" w:hAnsi="Book Antiqua" w:cs="Book Antiqua"/>
          <w:color w:val="000000"/>
          <w:vertAlign w:val="superscript"/>
        </w:rPr>
        <w:t>th</w:t>
      </w:r>
      <w:r w:rsidRPr="008F69FE">
        <w:rPr>
          <w:rFonts w:ascii="Book Antiqua" w:eastAsia="Book Antiqua" w:hAnsi="Book Antiqua" w:cs="Book Antiqua"/>
          <w:color w:val="000000"/>
        </w:rPr>
        <w:t xml:space="preserve"> dose, he started complaining of nausea and fatigue. Overall, the patient took 6 tablets. </w:t>
      </w:r>
    </w:p>
    <w:p w14:paraId="677E9A60" w14:textId="77777777" w:rsidR="00A77B3E" w:rsidRPr="008F69FE" w:rsidRDefault="00A77B3E">
      <w:pPr>
        <w:spacing w:line="360" w:lineRule="auto"/>
        <w:jc w:val="both"/>
        <w:rPr>
          <w:rFonts w:ascii="Book Antiqua" w:hAnsi="Book Antiqua"/>
        </w:rPr>
      </w:pPr>
    </w:p>
    <w:p w14:paraId="7EF550E1" w14:textId="77777777" w:rsidR="00A77B3E" w:rsidRPr="00CA24B6" w:rsidRDefault="00766A26">
      <w:pPr>
        <w:spacing w:line="360" w:lineRule="auto"/>
        <w:jc w:val="both"/>
        <w:rPr>
          <w:rFonts w:ascii="Book Antiqua" w:hAnsi="Book Antiqua"/>
        </w:rPr>
      </w:pPr>
      <w:r w:rsidRPr="008F69FE">
        <w:rPr>
          <w:rFonts w:ascii="Book Antiqua" w:eastAsia="Book Antiqua" w:hAnsi="Book Antiqua" w:cs="Book Antiqua"/>
          <w:b/>
          <w:i/>
          <w:color w:val="000000"/>
        </w:rPr>
        <w:t>History of past illness</w:t>
      </w:r>
    </w:p>
    <w:p w14:paraId="242CB92F"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Case 1</w:t>
      </w:r>
      <w:r w:rsidR="00DD4A09" w:rsidRPr="009D4018">
        <w:rPr>
          <w:rFonts w:ascii="Book Antiqua" w:eastAsia="Book Antiqua" w:hAnsi="Book Antiqua" w:cs="Book Antiqua"/>
          <w:b/>
          <w:color w:val="000000"/>
        </w:rPr>
        <w:t xml:space="preserve">: </w:t>
      </w:r>
      <w:r w:rsidRPr="009D4018">
        <w:rPr>
          <w:rFonts w:ascii="Book Antiqua" w:eastAsia="Book Antiqua" w:hAnsi="Book Antiqua" w:cs="Book Antiqua"/>
          <w:color w:val="000000"/>
        </w:rPr>
        <w:t xml:space="preserve">The patient did not report any significant medical or family history, alcohol, or illicit drug use. </w:t>
      </w:r>
    </w:p>
    <w:p w14:paraId="62C8F3D9" w14:textId="77777777" w:rsidR="00DD4A09" w:rsidRPr="009D4018" w:rsidRDefault="00DD4A09">
      <w:pPr>
        <w:spacing w:line="360" w:lineRule="auto"/>
        <w:jc w:val="both"/>
        <w:rPr>
          <w:rFonts w:ascii="Book Antiqua" w:eastAsia="Book Antiqua" w:hAnsi="Book Antiqua" w:cs="Book Antiqua"/>
          <w:color w:val="000000"/>
        </w:rPr>
      </w:pPr>
    </w:p>
    <w:p w14:paraId="523FB960"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Case 2</w:t>
      </w:r>
      <w:r w:rsidR="00DD4A09" w:rsidRPr="009D4018">
        <w:rPr>
          <w:rFonts w:ascii="Book Antiqua" w:eastAsia="Book Antiqua" w:hAnsi="Book Antiqua" w:cs="Book Antiqua"/>
          <w:b/>
          <w:color w:val="000000"/>
        </w:rPr>
        <w:t>:</w:t>
      </w:r>
      <w:r w:rsidR="00DD4A09"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No significant medical history.</w:t>
      </w:r>
    </w:p>
    <w:p w14:paraId="71B78724" w14:textId="77777777" w:rsidR="00A77B3E" w:rsidRPr="009D4018" w:rsidRDefault="00A77B3E">
      <w:pPr>
        <w:spacing w:line="360" w:lineRule="auto"/>
        <w:jc w:val="both"/>
        <w:rPr>
          <w:rFonts w:ascii="Book Antiqua" w:hAnsi="Book Antiqua"/>
        </w:rPr>
      </w:pPr>
    </w:p>
    <w:p w14:paraId="28C8662B"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i/>
          <w:color w:val="000000"/>
        </w:rPr>
        <w:t>Physical examination</w:t>
      </w:r>
    </w:p>
    <w:p w14:paraId="2B043D4A"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Case 1</w:t>
      </w:r>
      <w:r w:rsidR="00DD4A09" w:rsidRPr="009D4018">
        <w:rPr>
          <w:rFonts w:ascii="Book Antiqua" w:eastAsia="Book Antiqua" w:hAnsi="Book Antiqua" w:cs="Book Antiqua"/>
          <w:b/>
          <w:color w:val="000000"/>
        </w:rPr>
        <w:t xml:space="preserve">: </w:t>
      </w:r>
      <w:r w:rsidRPr="009D4018">
        <w:rPr>
          <w:rFonts w:ascii="Book Antiqua" w:eastAsia="Book Antiqua" w:hAnsi="Book Antiqua" w:cs="Book Antiqua"/>
          <w:color w:val="000000"/>
        </w:rPr>
        <w:t>At the initial clinical examination, he did not report weight loss, abdominal pain, or nausea nor did he present any signs of chronic liver disease or portal hypertension. His body mass index (BMI) was 21 kg/m</w:t>
      </w:r>
      <w:r w:rsidRPr="009D4018">
        <w:rPr>
          <w:rFonts w:ascii="Book Antiqua" w:eastAsia="Book Antiqua" w:hAnsi="Book Antiqua" w:cs="Book Antiqua"/>
          <w:color w:val="000000"/>
          <w:vertAlign w:val="superscript"/>
        </w:rPr>
        <w:t>2</w:t>
      </w:r>
      <w:r w:rsidRPr="009D4018">
        <w:rPr>
          <w:rFonts w:ascii="Book Antiqua" w:eastAsia="Book Antiqua" w:hAnsi="Book Antiqua" w:cs="Book Antiqua"/>
          <w:color w:val="000000"/>
        </w:rPr>
        <w:t xml:space="preserve">. </w:t>
      </w:r>
    </w:p>
    <w:p w14:paraId="67E961A1"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lastRenderedPageBreak/>
        <w:t>Case 2</w:t>
      </w:r>
      <w:r w:rsidR="00DD4A09" w:rsidRPr="009D4018">
        <w:rPr>
          <w:rFonts w:ascii="Book Antiqua" w:eastAsia="Book Antiqua" w:hAnsi="Book Antiqua" w:cs="Book Antiqua"/>
          <w:b/>
          <w:color w:val="000000"/>
        </w:rPr>
        <w:t xml:space="preserve">: </w:t>
      </w:r>
      <w:r w:rsidRPr="009D4018">
        <w:rPr>
          <w:rFonts w:ascii="Book Antiqua" w:eastAsia="Book Antiqua" w:hAnsi="Book Antiqua" w:cs="Book Antiqua"/>
          <w:color w:val="000000"/>
        </w:rPr>
        <w:t>On transfer from a secondary care hospital, his BMI was 27.5 kg/m</w:t>
      </w:r>
      <w:r w:rsidRPr="009D4018">
        <w:rPr>
          <w:rFonts w:ascii="Book Antiqua" w:eastAsia="Book Antiqua" w:hAnsi="Book Antiqua" w:cs="Book Antiqua"/>
          <w:color w:val="000000"/>
          <w:vertAlign w:val="superscript"/>
        </w:rPr>
        <w:t>2</w:t>
      </w:r>
    </w:p>
    <w:p w14:paraId="7F535EA9" w14:textId="77777777" w:rsidR="00A77B3E" w:rsidRPr="009D4018" w:rsidRDefault="00A77B3E">
      <w:pPr>
        <w:spacing w:line="360" w:lineRule="auto"/>
        <w:jc w:val="both"/>
        <w:rPr>
          <w:rFonts w:ascii="Book Antiqua" w:hAnsi="Book Antiqua"/>
        </w:rPr>
      </w:pPr>
    </w:p>
    <w:p w14:paraId="3C637F4B"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i/>
          <w:color w:val="000000"/>
        </w:rPr>
        <w:t>Laboratory examinations</w:t>
      </w:r>
    </w:p>
    <w:p w14:paraId="50172A80" w14:textId="09DDB48E" w:rsidR="00A77B3E" w:rsidRPr="008F69FE" w:rsidRDefault="00766A26">
      <w:pPr>
        <w:spacing w:line="360" w:lineRule="auto"/>
        <w:jc w:val="both"/>
        <w:rPr>
          <w:rFonts w:ascii="Book Antiqua" w:hAnsi="Book Antiqua"/>
        </w:rPr>
      </w:pPr>
      <w:r w:rsidRPr="009D4018">
        <w:rPr>
          <w:rFonts w:ascii="Book Antiqua" w:eastAsia="Book Antiqua" w:hAnsi="Book Antiqua" w:cs="Book Antiqua"/>
          <w:b/>
          <w:color w:val="000000"/>
        </w:rPr>
        <w:t>Case 1</w:t>
      </w:r>
      <w:r w:rsidR="007169DF" w:rsidRPr="009D4018">
        <w:rPr>
          <w:rFonts w:ascii="Book Antiqua" w:eastAsia="Book Antiqua" w:hAnsi="Book Antiqua" w:cs="Book Antiqua"/>
          <w:b/>
          <w:color w:val="000000"/>
        </w:rPr>
        <w:t xml:space="preserve">: </w:t>
      </w:r>
      <w:r w:rsidRPr="009D4018">
        <w:rPr>
          <w:rFonts w:ascii="Book Antiqua" w:eastAsia="Book Antiqua" w:hAnsi="Book Antiqua" w:cs="Book Antiqua"/>
          <w:color w:val="000000"/>
        </w:rPr>
        <w:t>The total serum bilirubin concentration was 238 µmol/L (normal range 3.4-17.1), conjugated bilirubin 197.5 µmol/L (0-5.0), alanine aminotransferase (ALT) 2.2 µkat/L (0.2-0.80), gamma-glutamyl transferase 0.41 µkat/L (0.18- 1.02), alkaline phosphatase (ALP) 1.54 µkat/L (0.67-2.15), serum bile acids 299 µmol/L (2-10), total cholesterol 4.77 mmol/L (3.1-5.0)</w:t>
      </w:r>
      <w:r w:rsidR="008F69FE">
        <w:rPr>
          <w:rFonts w:ascii="Book Antiqua" w:eastAsia="Book Antiqua" w:hAnsi="Book Antiqua" w:cs="Book Antiqua"/>
          <w:color w:val="000000"/>
        </w:rPr>
        <w:t>,</w:t>
      </w:r>
      <w:r w:rsidRPr="008F69FE">
        <w:rPr>
          <w:rFonts w:ascii="Book Antiqua" w:eastAsia="Book Antiqua" w:hAnsi="Book Antiqua" w:cs="Book Antiqua"/>
          <w:color w:val="000000"/>
        </w:rPr>
        <w:t xml:space="preserve"> and </w:t>
      </w:r>
      <w:r w:rsidR="008F69FE">
        <w:rPr>
          <w:rFonts w:ascii="Book Antiqua" w:eastAsia="Book Antiqua" w:hAnsi="Book Antiqua" w:cs="Book Antiqua"/>
          <w:color w:val="000000"/>
        </w:rPr>
        <w:t>high-density lipoprotein (</w:t>
      </w:r>
      <w:r w:rsidRPr="008F69FE">
        <w:rPr>
          <w:rFonts w:ascii="Book Antiqua" w:eastAsia="Book Antiqua" w:hAnsi="Book Antiqua" w:cs="Book Antiqua"/>
          <w:color w:val="000000"/>
        </w:rPr>
        <w:t>HDL</w:t>
      </w:r>
      <w:r w:rsidR="008F69FE">
        <w:rPr>
          <w:rFonts w:ascii="Book Antiqua" w:eastAsia="Book Antiqua" w:hAnsi="Book Antiqua" w:cs="Book Antiqua"/>
          <w:color w:val="000000"/>
        </w:rPr>
        <w:t>)</w:t>
      </w:r>
      <w:r w:rsidRPr="008F69FE">
        <w:rPr>
          <w:rFonts w:ascii="Book Antiqua" w:eastAsia="Book Antiqua" w:hAnsi="Book Antiqua" w:cs="Book Antiqua"/>
          <w:color w:val="000000"/>
        </w:rPr>
        <w:t xml:space="preserve"> cholesterol 0.21 (1.0-2.7). Testing for serum antibodies ruled out viral hepatitis A, B, C, E, </w:t>
      </w:r>
      <w:r w:rsidR="008F69FE">
        <w:rPr>
          <w:rFonts w:ascii="Book Antiqua" w:eastAsia="Book Antiqua" w:hAnsi="Book Antiqua" w:cs="Book Antiqua"/>
          <w:color w:val="000000"/>
        </w:rPr>
        <w:t xml:space="preserve">and </w:t>
      </w:r>
      <w:r w:rsidRPr="008F69FE">
        <w:rPr>
          <w:rFonts w:ascii="Book Antiqua" w:eastAsia="Book Antiqua" w:hAnsi="Book Antiqua" w:cs="Book Antiqua"/>
          <w:color w:val="000000"/>
        </w:rPr>
        <w:t>the patient did not present any clinical signs of E</w:t>
      </w:r>
      <w:r w:rsidR="008F69FE">
        <w:rPr>
          <w:rFonts w:ascii="Book Antiqua" w:eastAsia="Book Antiqua" w:hAnsi="Book Antiqua" w:cs="Book Antiqua"/>
          <w:color w:val="000000"/>
        </w:rPr>
        <w:t>pstein–</w:t>
      </w:r>
      <w:r w:rsidRPr="008F69FE">
        <w:rPr>
          <w:rFonts w:ascii="Book Antiqua" w:eastAsia="Book Antiqua" w:hAnsi="Book Antiqua" w:cs="Book Antiqua"/>
          <w:color w:val="000000"/>
        </w:rPr>
        <w:t>B</w:t>
      </w:r>
      <w:r w:rsidR="008F69FE">
        <w:rPr>
          <w:rFonts w:ascii="Book Antiqua" w:eastAsia="Book Antiqua" w:hAnsi="Book Antiqua" w:cs="Book Antiqua"/>
          <w:color w:val="000000"/>
        </w:rPr>
        <w:t>arr virus (EBV)</w:t>
      </w:r>
      <w:r w:rsidRPr="008F69FE">
        <w:rPr>
          <w:rFonts w:ascii="Book Antiqua" w:eastAsia="Book Antiqua" w:hAnsi="Book Antiqua" w:cs="Book Antiqua"/>
          <w:color w:val="000000"/>
        </w:rPr>
        <w:t xml:space="preserve">, </w:t>
      </w:r>
      <w:r w:rsidR="008F69FE">
        <w:rPr>
          <w:rFonts w:ascii="Book Antiqua" w:eastAsia="Book Antiqua" w:hAnsi="Book Antiqua" w:cs="Book Antiqua"/>
          <w:color w:val="000000"/>
        </w:rPr>
        <w:t>cytomegalovirus (</w:t>
      </w:r>
      <w:r w:rsidRPr="008F69FE">
        <w:rPr>
          <w:rFonts w:ascii="Book Antiqua" w:eastAsia="Book Antiqua" w:hAnsi="Book Antiqua" w:cs="Book Antiqua"/>
          <w:color w:val="000000"/>
        </w:rPr>
        <w:t>CMV</w:t>
      </w:r>
      <w:r w:rsidR="008F69FE">
        <w:rPr>
          <w:rFonts w:ascii="Book Antiqua" w:eastAsia="Book Antiqua" w:hAnsi="Book Antiqua" w:cs="Book Antiqua"/>
          <w:color w:val="000000"/>
        </w:rPr>
        <w:t>)</w:t>
      </w:r>
      <w:r w:rsidRPr="008F69FE">
        <w:rPr>
          <w:rFonts w:ascii="Book Antiqua" w:eastAsia="Book Antiqua" w:hAnsi="Book Antiqua" w:cs="Book Antiqua"/>
          <w:color w:val="000000"/>
        </w:rPr>
        <w:t xml:space="preserve">, or </w:t>
      </w:r>
      <w:r w:rsidR="008F69FE">
        <w:rPr>
          <w:rFonts w:ascii="Book Antiqua" w:eastAsia="Book Antiqua" w:hAnsi="Book Antiqua" w:cs="Book Antiqua"/>
          <w:color w:val="000000"/>
        </w:rPr>
        <w:t>herpes simplex virus (</w:t>
      </w:r>
      <w:r w:rsidRPr="008F69FE">
        <w:rPr>
          <w:rFonts w:ascii="Book Antiqua" w:eastAsia="Book Antiqua" w:hAnsi="Book Antiqua" w:cs="Book Antiqua"/>
          <w:color w:val="000000"/>
        </w:rPr>
        <w:t>HSV</w:t>
      </w:r>
      <w:r w:rsidR="008F69FE">
        <w:rPr>
          <w:rFonts w:ascii="Book Antiqua" w:eastAsia="Book Antiqua" w:hAnsi="Book Antiqua" w:cs="Book Antiqua"/>
          <w:color w:val="000000"/>
        </w:rPr>
        <w:t>)</w:t>
      </w:r>
      <w:r w:rsidRPr="008F69FE">
        <w:rPr>
          <w:rFonts w:ascii="Book Antiqua" w:eastAsia="Book Antiqua" w:hAnsi="Book Antiqua" w:cs="Book Antiqua"/>
          <w:color w:val="000000"/>
        </w:rPr>
        <w:t xml:space="preserve"> infections. Abdominal ultrasound showed normal liver and spleen size, with no apparent bile duct dilation. The character</w:t>
      </w:r>
      <w:r w:rsidR="008F69FE">
        <w:rPr>
          <w:rFonts w:ascii="Book Antiqua" w:eastAsia="Book Antiqua" w:hAnsi="Book Antiqua" w:cs="Book Antiqua"/>
          <w:color w:val="000000"/>
        </w:rPr>
        <w:t>istics</w:t>
      </w:r>
      <w:r w:rsidRPr="008F69FE">
        <w:rPr>
          <w:rFonts w:ascii="Book Antiqua" w:eastAsia="Book Antiqua" w:hAnsi="Book Antiqua" w:cs="Book Antiqua"/>
          <w:color w:val="000000"/>
        </w:rPr>
        <w:t xml:space="preserve"> of drug-induced liver injury expressed in the R score (</w:t>
      </w:r>
      <w:r w:rsidRPr="008F69FE">
        <w:rPr>
          <w:rFonts w:ascii="Book Antiqua" w:eastAsia="Book Antiqua" w:hAnsi="Book Antiqua" w:cs="Book Antiqua"/>
          <w:i/>
          <w:iCs/>
          <w:color w:val="000000"/>
        </w:rPr>
        <w:t>r</w:t>
      </w:r>
      <w:r w:rsidRPr="008F69FE">
        <w:rPr>
          <w:rFonts w:ascii="Book Antiqua" w:eastAsia="Book Antiqua" w:hAnsi="Book Antiqua" w:cs="Book Antiqua"/>
          <w:color w:val="000000"/>
        </w:rPr>
        <w:t xml:space="preserve"> = 3.9) w</w:t>
      </w:r>
      <w:r w:rsidR="008F69FE">
        <w:rPr>
          <w:rFonts w:ascii="Book Antiqua" w:eastAsia="Book Antiqua" w:hAnsi="Book Antiqua" w:cs="Book Antiqua"/>
          <w:color w:val="000000"/>
        </w:rPr>
        <w:t>ere</w:t>
      </w:r>
      <w:r w:rsidRPr="008F69FE">
        <w:rPr>
          <w:rFonts w:ascii="Book Antiqua" w:eastAsia="Book Antiqua" w:hAnsi="Book Antiqua" w:cs="Book Antiqua"/>
          <w:color w:val="000000"/>
        </w:rPr>
        <w:t xml:space="preserve"> consistent with a mixed type of injury. The causality assessment of ligandrol or PCT as being the cause of the condition assessed by the </w:t>
      </w:r>
      <w:r w:rsidR="008F69FE">
        <w:rPr>
          <w:rFonts w:ascii="Book Antiqua" w:eastAsia="Book Antiqua" w:hAnsi="Book Antiqua" w:cs="Book Antiqua"/>
          <w:color w:val="000000"/>
        </w:rPr>
        <w:t xml:space="preserve">Roussel Uclaf </w:t>
      </w:r>
      <w:r w:rsidR="00A36A6B">
        <w:rPr>
          <w:rFonts w:ascii="Book Antiqua" w:eastAsia="Book Antiqua" w:hAnsi="Book Antiqua" w:cs="Book Antiqua"/>
          <w:color w:val="000000"/>
        </w:rPr>
        <w:t>Causality Assessment Method (</w:t>
      </w:r>
      <w:r w:rsidRPr="008F69FE">
        <w:rPr>
          <w:rFonts w:ascii="Book Antiqua" w:eastAsia="Book Antiqua" w:hAnsi="Book Antiqua" w:cs="Book Antiqua"/>
          <w:color w:val="000000"/>
        </w:rPr>
        <w:t>RUCAM</w:t>
      </w:r>
      <w:r w:rsidR="00A36A6B">
        <w:rPr>
          <w:rFonts w:ascii="Book Antiqua" w:eastAsia="Book Antiqua" w:hAnsi="Book Antiqua" w:cs="Book Antiqua"/>
          <w:color w:val="000000"/>
        </w:rPr>
        <w:t>)</w:t>
      </w:r>
      <w:r w:rsidRPr="008F69FE">
        <w:rPr>
          <w:rFonts w:ascii="Book Antiqua" w:eastAsia="Book Antiqua" w:hAnsi="Book Antiqua" w:cs="Book Antiqua"/>
          <w:color w:val="000000"/>
        </w:rPr>
        <w:t xml:space="preserve"> score (6 points) suggested a probable association</w:t>
      </w:r>
      <w:r w:rsidRPr="008F69FE">
        <w:rPr>
          <w:rFonts w:ascii="Book Antiqua" w:eastAsia="Book Antiqua" w:hAnsi="Book Antiqua" w:cs="Book Antiqua"/>
          <w:color w:val="000000"/>
          <w:vertAlign w:val="superscript"/>
        </w:rPr>
        <w:t>[16]</w:t>
      </w:r>
      <w:r w:rsidRPr="008F69FE">
        <w:rPr>
          <w:rFonts w:ascii="Book Antiqua" w:eastAsia="Book Antiqua" w:hAnsi="Book Antiqua" w:cs="Book Antiqua"/>
          <w:color w:val="000000"/>
        </w:rPr>
        <w:t xml:space="preserve">. </w:t>
      </w:r>
    </w:p>
    <w:p w14:paraId="23C64A91" w14:textId="77777777" w:rsidR="007169DF" w:rsidRPr="009D4018" w:rsidRDefault="007169DF">
      <w:pPr>
        <w:spacing w:line="360" w:lineRule="auto"/>
        <w:jc w:val="both"/>
        <w:rPr>
          <w:rFonts w:ascii="Book Antiqua" w:eastAsia="Book Antiqua" w:hAnsi="Book Antiqua" w:cs="Book Antiqua"/>
          <w:color w:val="000000"/>
        </w:rPr>
      </w:pPr>
    </w:p>
    <w:p w14:paraId="09275CE5" w14:textId="1E0EBA9A"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Case 2</w:t>
      </w:r>
      <w:r w:rsidR="007169DF" w:rsidRPr="009D4018">
        <w:rPr>
          <w:rFonts w:ascii="Book Antiqua" w:eastAsia="Book Antiqua" w:hAnsi="Book Antiqua" w:cs="Book Antiqua"/>
          <w:b/>
          <w:color w:val="000000"/>
        </w:rPr>
        <w:t>:</w:t>
      </w:r>
      <w:r w:rsidR="007169DF"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The total serum bilirubin was 401 µmol/L, conjugated bilirubin 256 µmol/L, ALT 2.4 µkat/L, ALP 1.54 µkat/L, and HDL cholesterol 0.53 mmol/L. Viral hepatitis A, B, C, E as well as HSV, EBV, and CMV infections were excluded. The R</w:t>
      </w:r>
      <w:r w:rsidR="008F69FE">
        <w:rPr>
          <w:rFonts w:ascii="Book Antiqua" w:eastAsia="Book Antiqua" w:hAnsi="Book Antiqua" w:cs="Book Antiqua"/>
          <w:color w:val="000000"/>
        </w:rPr>
        <w:t xml:space="preserve"> </w:t>
      </w:r>
      <w:r w:rsidRPr="009D4018">
        <w:rPr>
          <w:rFonts w:ascii="Book Antiqua" w:eastAsia="Book Antiqua" w:hAnsi="Book Antiqua" w:cs="Book Antiqua"/>
          <w:color w:val="000000"/>
        </w:rPr>
        <w:t>score was 3.3 confirming a mixed type of injury, whil</w:t>
      </w:r>
      <w:r w:rsidR="008F69FE">
        <w:rPr>
          <w:rFonts w:ascii="Book Antiqua" w:eastAsia="Book Antiqua" w:hAnsi="Book Antiqua" w:cs="Book Antiqua"/>
          <w:color w:val="000000"/>
        </w:rPr>
        <w:t>e</w:t>
      </w:r>
      <w:r w:rsidRPr="009D4018">
        <w:rPr>
          <w:rFonts w:ascii="Book Antiqua" w:eastAsia="Book Antiqua" w:hAnsi="Book Antiqua" w:cs="Book Antiqua"/>
          <w:color w:val="000000"/>
        </w:rPr>
        <w:t xml:space="preserve"> the </w:t>
      </w:r>
      <w:r w:rsidRPr="008F69FE">
        <w:rPr>
          <w:rFonts w:ascii="Book Antiqua" w:eastAsia="Book Antiqua" w:hAnsi="Book Antiqua" w:cs="Book Antiqua"/>
          <w:color w:val="000000"/>
        </w:rPr>
        <w:t xml:space="preserve">RUCAM score suggested </w:t>
      </w:r>
      <w:r w:rsidR="008F69FE">
        <w:rPr>
          <w:rFonts w:ascii="Book Antiqua" w:eastAsia="Book Antiqua" w:hAnsi="Book Antiqua" w:cs="Book Antiqua"/>
          <w:color w:val="000000"/>
        </w:rPr>
        <w:t>a</w:t>
      </w:r>
      <w:r w:rsidRPr="008F69FE">
        <w:rPr>
          <w:rFonts w:ascii="Book Antiqua" w:eastAsia="Book Antiqua" w:hAnsi="Book Antiqua" w:cs="Book Antiqua"/>
          <w:color w:val="000000"/>
        </w:rPr>
        <w:t xml:space="preserve"> role of ligandrol/ostarine and PCT in the hepatotoxicity</w:t>
      </w:r>
      <w:r w:rsidRPr="009D4018">
        <w:rPr>
          <w:rFonts w:ascii="Book Antiqua" w:eastAsia="Book Antiqua" w:hAnsi="Book Antiqua" w:cs="Book Antiqua"/>
          <w:color w:val="000000"/>
        </w:rPr>
        <w:t xml:space="preserve">. </w:t>
      </w:r>
    </w:p>
    <w:p w14:paraId="462363DB" w14:textId="77777777" w:rsidR="00A77B3E" w:rsidRPr="009D4018" w:rsidRDefault="00A77B3E">
      <w:pPr>
        <w:spacing w:line="360" w:lineRule="auto"/>
        <w:jc w:val="both"/>
        <w:rPr>
          <w:rFonts w:ascii="Book Antiqua" w:hAnsi="Book Antiqua"/>
        </w:rPr>
      </w:pPr>
    </w:p>
    <w:p w14:paraId="56BA97E8"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i/>
          <w:color w:val="000000"/>
        </w:rPr>
        <w:t>Imaging examinations</w:t>
      </w:r>
    </w:p>
    <w:p w14:paraId="4F6286D5" w14:textId="36196BB4" w:rsidR="00A77B3E" w:rsidRPr="00A36A6B" w:rsidRDefault="00766A26">
      <w:pPr>
        <w:spacing w:line="360" w:lineRule="auto"/>
        <w:jc w:val="both"/>
        <w:rPr>
          <w:rFonts w:ascii="Book Antiqua" w:hAnsi="Book Antiqua"/>
        </w:rPr>
      </w:pPr>
      <w:r w:rsidRPr="009D4018">
        <w:rPr>
          <w:rFonts w:ascii="Book Antiqua" w:eastAsia="Book Antiqua" w:hAnsi="Book Antiqua" w:cs="Book Antiqua"/>
          <w:b/>
          <w:color w:val="000000"/>
        </w:rPr>
        <w:t>Case 1</w:t>
      </w:r>
      <w:r w:rsidR="002470CB" w:rsidRPr="009D4018">
        <w:rPr>
          <w:rFonts w:ascii="Book Antiqua" w:eastAsia="Book Antiqua" w:hAnsi="Book Antiqua" w:cs="Book Antiqua"/>
          <w:b/>
          <w:color w:val="000000"/>
        </w:rPr>
        <w:t xml:space="preserve">: </w:t>
      </w:r>
      <w:r w:rsidRPr="009D4018">
        <w:rPr>
          <w:rFonts w:ascii="Book Antiqua" w:eastAsia="Book Antiqua" w:hAnsi="Book Antiqua" w:cs="Book Antiqua"/>
          <w:color w:val="000000"/>
        </w:rPr>
        <w:t xml:space="preserve">Abdominal ultrasound showed normal liver and spleen size, with no apparent bile duct dilation. A transcutaneous liver biopsy was performed and histological examination of the tissue showed mild septal fibrosis, canalicular cholestasis in the hepatocytes with numerous biliary plugs in the ducts, between hepatocytes, and in the Kupffer cells. The cholestasis was accompanied by few necrotic hepatocytes, </w:t>
      </w:r>
      <w:r w:rsidRPr="009D4018">
        <w:rPr>
          <w:rFonts w:ascii="Book Antiqua" w:eastAsia="Book Antiqua" w:hAnsi="Book Antiqua" w:cs="Book Antiqua"/>
          <w:color w:val="000000"/>
        </w:rPr>
        <w:lastRenderedPageBreak/>
        <w:t xml:space="preserve">centrilobular mostly lymphocytic infiltrate, and ductopenia with almost complete loss of bile ducts in </w:t>
      </w:r>
      <w:r w:rsidR="00A36A6B">
        <w:rPr>
          <w:rFonts w:ascii="Book Antiqua" w:eastAsia="Book Antiqua" w:hAnsi="Book Antiqua" w:cs="Book Antiqua"/>
          <w:color w:val="000000"/>
        </w:rPr>
        <w:t xml:space="preserve">the </w:t>
      </w:r>
      <w:r w:rsidRPr="00A36A6B">
        <w:rPr>
          <w:rFonts w:ascii="Book Antiqua" w:eastAsia="Book Antiqua" w:hAnsi="Book Antiqua" w:cs="Book Antiqua"/>
          <w:color w:val="000000"/>
        </w:rPr>
        <w:t>portal spaces (Figure 1).</w:t>
      </w:r>
    </w:p>
    <w:p w14:paraId="11DB7445" w14:textId="77777777" w:rsidR="002470CB" w:rsidRPr="00F873D9" w:rsidRDefault="002470CB">
      <w:pPr>
        <w:spacing w:line="360" w:lineRule="auto"/>
        <w:jc w:val="both"/>
        <w:rPr>
          <w:rFonts w:ascii="Book Antiqua" w:eastAsia="Book Antiqua" w:hAnsi="Book Antiqua" w:cs="Book Antiqua"/>
          <w:color w:val="000000"/>
        </w:rPr>
      </w:pPr>
    </w:p>
    <w:p w14:paraId="2B083B35" w14:textId="0845B65B" w:rsidR="00A77B3E" w:rsidRPr="00F873D9" w:rsidRDefault="00766A26">
      <w:pPr>
        <w:spacing w:line="360" w:lineRule="auto"/>
        <w:jc w:val="both"/>
        <w:rPr>
          <w:rFonts w:ascii="Book Antiqua" w:hAnsi="Book Antiqua"/>
        </w:rPr>
      </w:pPr>
      <w:r w:rsidRPr="009D4018">
        <w:rPr>
          <w:rFonts w:ascii="Book Antiqua" w:eastAsia="Book Antiqua" w:hAnsi="Book Antiqua" w:cs="Book Antiqua"/>
          <w:b/>
          <w:color w:val="000000"/>
        </w:rPr>
        <w:t>Case 2</w:t>
      </w:r>
      <w:r w:rsidR="002470CB" w:rsidRPr="009D4018">
        <w:rPr>
          <w:rFonts w:ascii="Book Antiqua" w:eastAsia="Book Antiqua" w:hAnsi="Book Antiqua" w:cs="Book Antiqua"/>
          <w:b/>
          <w:color w:val="000000"/>
        </w:rPr>
        <w:t xml:space="preserve">: </w:t>
      </w:r>
      <w:r w:rsidR="008B0FAB">
        <w:rPr>
          <w:rFonts w:ascii="Book Antiqua" w:eastAsia="Book Antiqua" w:hAnsi="Book Antiqua" w:cs="Book Antiqua"/>
          <w:color w:val="000000"/>
        </w:rPr>
        <w:t>Magnetic resonance imaging</w:t>
      </w:r>
      <w:r w:rsidRPr="008B0FAB">
        <w:rPr>
          <w:rFonts w:ascii="Book Antiqua" w:eastAsia="Book Antiqua" w:hAnsi="Book Antiqua" w:cs="Book Antiqua"/>
          <w:color w:val="000000"/>
        </w:rPr>
        <w:t xml:space="preserve"> showed hepatomegaly without biliary pathology. A transjugular liver biopsy was performed and histological examination of the tissue showed mild bridging fibrosis, destruction of bile ducts, centrilobular canalicular cholestasis with numerous bile plugs in the canaliculi, phagocytosis of the plugs in the Kupffer cells, hepatocellular apoptosis</w:t>
      </w:r>
      <w:r w:rsidR="008B0FAB">
        <w:rPr>
          <w:rFonts w:ascii="Book Antiqua" w:eastAsia="Book Antiqua" w:hAnsi="Book Antiqua" w:cs="Book Antiqua"/>
          <w:color w:val="000000"/>
        </w:rPr>
        <w:t>,</w:t>
      </w:r>
      <w:r w:rsidRPr="008B0FAB">
        <w:rPr>
          <w:rFonts w:ascii="Book Antiqua" w:eastAsia="Book Antiqua" w:hAnsi="Book Antiqua" w:cs="Book Antiqua"/>
          <w:color w:val="000000"/>
        </w:rPr>
        <w:t xml:space="preserve"> and perivenular necrosis (Figure</w:t>
      </w:r>
      <w:r w:rsidR="00D57DE0" w:rsidRPr="008B0FAB">
        <w:rPr>
          <w:rFonts w:ascii="Book Antiqua" w:eastAsia="Book Antiqua" w:hAnsi="Book Antiqua" w:cs="Book Antiqua"/>
          <w:color w:val="000000"/>
        </w:rPr>
        <w:t>s</w:t>
      </w:r>
      <w:r w:rsidRPr="008B0FAB">
        <w:rPr>
          <w:rFonts w:ascii="Book Antiqua" w:eastAsia="Book Antiqua" w:hAnsi="Book Antiqua" w:cs="Book Antiqua"/>
          <w:color w:val="000000"/>
        </w:rPr>
        <w:t xml:space="preserve"> 2</w:t>
      </w:r>
      <w:r w:rsidR="00D57DE0" w:rsidRPr="00CA24B6">
        <w:rPr>
          <w:rFonts w:ascii="Book Antiqua" w:eastAsia="Book Antiqua" w:hAnsi="Book Antiqua" w:cs="Book Antiqua"/>
          <w:color w:val="000000"/>
        </w:rPr>
        <w:t xml:space="preserve"> and </w:t>
      </w:r>
      <w:r w:rsidRPr="00271A7B">
        <w:rPr>
          <w:rFonts w:ascii="Book Antiqua" w:eastAsia="Book Antiqua" w:hAnsi="Book Antiqua" w:cs="Book Antiqua"/>
          <w:color w:val="000000"/>
        </w:rPr>
        <w:t>3).</w:t>
      </w:r>
    </w:p>
    <w:p w14:paraId="75D4264F" w14:textId="77777777" w:rsidR="00A77B3E" w:rsidRPr="009D4018" w:rsidRDefault="00A77B3E">
      <w:pPr>
        <w:spacing w:line="360" w:lineRule="auto"/>
        <w:jc w:val="both"/>
        <w:rPr>
          <w:rFonts w:ascii="Book Antiqua" w:hAnsi="Book Antiqua"/>
        </w:rPr>
      </w:pPr>
    </w:p>
    <w:p w14:paraId="66CE9E88"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aps/>
          <w:color w:val="000000"/>
          <w:u w:val="single"/>
        </w:rPr>
        <w:t>FINAL DIAGNOSIS</w:t>
      </w:r>
    </w:p>
    <w:p w14:paraId="1FA4AEBC" w14:textId="77777777" w:rsidR="00C316B0" w:rsidRPr="009D4018" w:rsidRDefault="00766A26">
      <w:pPr>
        <w:spacing w:line="360" w:lineRule="auto"/>
        <w:jc w:val="both"/>
        <w:rPr>
          <w:rFonts w:ascii="Book Antiqua" w:eastAsia="Book Antiqua" w:hAnsi="Book Antiqua" w:cs="Book Antiqua"/>
          <w:b/>
          <w:i/>
          <w:color w:val="000000"/>
        </w:rPr>
      </w:pPr>
      <w:r w:rsidRPr="009D4018">
        <w:rPr>
          <w:rFonts w:ascii="Book Antiqua" w:eastAsia="Book Antiqua" w:hAnsi="Book Antiqua" w:cs="Book Antiqua"/>
          <w:b/>
          <w:i/>
          <w:color w:val="000000"/>
        </w:rPr>
        <w:t>Case 1</w:t>
      </w:r>
    </w:p>
    <w:p w14:paraId="0BD02849"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Mixed type of drug-induced liver injury (cholestasis and hepatitis) with ductopenia and mild fibrosis.</w:t>
      </w:r>
    </w:p>
    <w:p w14:paraId="4BA61EA8" w14:textId="77777777" w:rsidR="00C316B0" w:rsidRPr="009D4018" w:rsidRDefault="00C316B0">
      <w:pPr>
        <w:spacing w:line="360" w:lineRule="auto"/>
        <w:jc w:val="both"/>
        <w:rPr>
          <w:rFonts w:ascii="Book Antiqua" w:eastAsia="Book Antiqua" w:hAnsi="Book Antiqua" w:cs="Book Antiqua"/>
          <w:color w:val="000000"/>
        </w:rPr>
      </w:pPr>
    </w:p>
    <w:p w14:paraId="3EF2FE54" w14:textId="77777777" w:rsidR="00C316B0" w:rsidRPr="009D4018" w:rsidRDefault="00766A26">
      <w:pPr>
        <w:spacing w:line="360" w:lineRule="auto"/>
        <w:jc w:val="both"/>
        <w:rPr>
          <w:rFonts w:ascii="Book Antiqua" w:eastAsia="Book Antiqua" w:hAnsi="Book Antiqua" w:cs="Book Antiqua"/>
          <w:b/>
          <w:i/>
          <w:color w:val="000000"/>
        </w:rPr>
      </w:pPr>
      <w:r w:rsidRPr="009D4018">
        <w:rPr>
          <w:rFonts w:ascii="Book Antiqua" w:eastAsia="Book Antiqua" w:hAnsi="Book Antiqua" w:cs="Book Antiqua"/>
          <w:b/>
          <w:i/>
          <w:color w:val="000000"/>
        </w:rPr>
        <w:t>Case 2</w:t>
      </w:r>
    </w:p>
    <w:p w14:paraId="0B13BA8E"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Mixed type of drug-induced liver injury (cholestasis and hepatitis) with bile duct destruction and mild fibrosis</w:t>
      </w:r>
    </w:p>
    <w:p w14:paraId="0EE88B7E" w14:textId="77777777" w:rsidR="00A77B3E" w:rsidRPr="009D4018" w:rsidRDefault="00A77B3E">
      <w:pPr>
        <w:spacing w:line="360" w:lineRule="auto"/>
        <w:jc w:val="both"/>
        <w:rPr>
          <w:rFonts w:ascii="Book Antiqua" w:hAnsi="Book Antiqua"/>
        </w:rPr>
      </w:pPr>
    </w:p>
    <w:p w14:paraId="0A3C1334"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aps/>
          <w:color w:val="000000"/>
          <w:u w:val="single"/>
        </w:rPr>
        <w:t>TREATMENT</w:t>
      </w:r>
    </w:p>
    <w:p w14:paraId="3DB96EBC" w14:textId="77777777" w:rsidR="00C316B0" w:rsidRPr="009D4018" w:rsidRDefault="00766A26">
      <w:pPr>
        <w:spacing w:line="360" w:lineRule="auto"/>
        <w:jc w:val="both"/>
        <w:rPr>
          <w:rFonts w:ascii="Book Antiqua" w:eastAsia="Book Antiqua" w:hAnsi="Book Antiqua" w:cs="Book Antiqua"/>
          <w:b/>
          <w:i/>
          <w:color w:val="000000"/>
        </w:rPr>
      </w:pPr>
      <w:r w:rsidRPr="009D4018">
        <w:rPr>
          <w:rFonts w:ascii="Book Antiqua" w:eastAsia="Book Antiqua" w:hAnsi="Book Antiqua" w:cs="Book Antiqua"/>
          <w:b/>
          <w:i/>
          <w:color w:val="000000"/>
        </w:rPr>
        <w:t>Case 1</w:t>
      </w:r>
    </w:p>
    <w:p w14:paraId="0DD9E8A8" w14:textId="75716BFD"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1000 mg ursodeoxycholic acid (UDCA) daily for 2 mo.</w:t>
      </w:r>
    </w:p>
    <w:p w14:paraId="7BBF3E02" w14:textId="77777777" w:rsidR="00C316B0" w:rsidRPr="009D4018" w:rsidRDefault="00C316B0">
      <w:pPr>
        <w:spacing w:line="360" w:lineRule="auto"/>
        <w:jc w:val="both"/>
        <w:rPr>
          <w:rFonts w:ascii="Book Antiqua" w:eastAsia="Book Antiqua" w:hAnsi="Book Antiqua" w:cs="Book Antiqua"/>
          <w:color w:val="000000"/>
        </w:rPr>
      </w:pPr>
    </w:p>
    <w:p w14:paraId="72BACFC7" w14:textId="77777777" w:rsidR="00A77B3E" w:rsidRPr="009D4018" w:rsidRDefault="00766A26">
      <w:pPr>
        <w:spacing w:line="360" w:lineRule="auto"/>
        <w:jc w:val="both"/>
        <w:rPr>
          <w:rFonts w:ascii="Book Antiqua" w:hAnsi="Book Antiqua"/>
          <w:b/>
          <w:i/>
        </w:rPr>
      </w:pPr>
      <w:r w:rsidRPr="009D4018">
        <w:rPr>
          <w:rFonts w:ascii="Book Antiqua" w:eastAsia="Book Antiqua" w:hAnsi="Book Antiqua" w:cs="Book Antiqua"/>
          <w:b/>
          <w:i/>
          <w:color w:val="000000"/>
        </w:rPr>
        <w:t>Case 2</w:t>
      </w:r>
    </w:p>
    <w:p w14:paraId="03C20BA5" w14:textId="455ED329"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The initial treatment included 300 mg intravenous N-acetyl cysteine 4 times daily, 1000 mg oral UDCA daily, and 450 mg silymarin daily.</w:t>
      </w:r>
    </w:p>
    <w:p w14:paraId="46456047" w14:textId="77777777" w:rsidR="00A77B3E" w:rsidRPr="009D4018" w:rsidRDefault="00A77B3E">
      <w:pPr>
        <w:spacing w:line="360" w:lineRule="auto"/>
        <w:jc w:val="both"/>
        <w:rPr>
          <w:rFonts w:ascii="Book Antiqua" w:hAnsi="Book Antiqua"/>
        </w:rPr>
      </w:pPr>
    </w:p>
    <w:p w14:paraId="6E8B6B7E"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aps/>
          <w:color w:val="000000"/>
          <w:u w:val="single"/>
        </w:rPr>
        <w:t>OUTCOME AND FOLLOW-UP</w:t>
      </w:r>
    </w:p>
    <w:p w14:paraId="75A7A998" w14:textId="77777777" w:rsidR="00917405" w:rsidRPr="009D4018" w:rsidRDefault="00766A26">
      <w:pPr>
        <w:spacing w:line="360" w:lineRule="auto"/>
        <w:jc w:val="both"/>
        <w:rPr>
          <w:rFonts w:ascii="Book Antiqua" w:eastAsia="Book Antiqua" w:hAnsi="Book Antiqua" w:cs="Book Antiqua"/>
          <w:b/>
          <w:i/>
          <w:color w:val="000000"/>
        </w:rPr>
      </w:pPr>
      <w:r w:rsidRPr="009D4018">
        <w:rPr>
          <w:rFonts w:ascii="Book Antiqua" w:eastAsia="Book Antiqua" w:hAnsi="Book Antiqua" w:cs="Book Antiqua"/>
          <w:b/>
          <w:i/>
          <w:color w:val="000000"/>
        </w:rPr>
        <w:t>Case 1</w:t>
      </w:r>
    </w:p>
    <w:p w14:paraId="3C2230EB" w14:textId="3FE7CC3D"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We observed a decrease in serum bilirubin levels below entry levels after 7 d. The clinical course remained favorable and the patient was discharged after 11 d. Without further </w:t>
      </w:r>
      <w:r w:rsidRPr="009D4018">
        <w:rPr>
          <w:rFonts w:ascii="Book Antiqua" w:eastAsia="Book Antiqua" w:hAnsi="Book Antiqua" w:cs="Book Antiqua"/>
          <w:color w:val="000000"/>
        </w:rPr>
        <w:lastRenderedPageBreak/>
        <w:t>intervention, the serum parameters normalized within 3 mo. The patient did not report any adverse events related to the treatment. The laboratory findings are summarized in Table 1.</w:t>
      </w:r>
    </w:p>
    <w:p w14:paraId="06BB753A" w14:textId="77777777" w:rsidR="00917405" w:rsidRPr="009D4018" w:rsidRDefault="00917405">
      <w:pPr>
        <w:spacing w:line="360" w:lineRule="auto"/>
        <w:jc w:val="both"/>
        <w:rPr>
          <w:rFonts w:ascii="Book Antiqua" w:eastAsia="Book Antiqua" w:hAnsi="Book Antiqua" w:cs="Book Antiqua"/>
          <w:color w:val="000000"/>
        </w:rPr>
      </w:pPr>
    </w:p>
    <w:p w14:paraId="608CDAFB" w14:textId="77777777" w:rsidR="00A77B3E" w:rsidRPr="009D4018" w:rsidRDefault="00766A26">
      <w:pPr>
        <w:spacing w:line="360" w:lineRule="auto"/>
        <w:jc w:val="both"/>
        <w:rPr>
          <w:rFonts w:ascii="Book Antiqua" w:hAnsi="Book Antiqua"/>
          <w:b/>
          <w:i/>
        </w:rPr>
      </w:pPr>
      <w:r w:rsidRPr="009D4018">
        <w:rPr>
          <w:rFonts w:ascii="Book Antiqua" w:eastAsia="Book Antiqua" w:hAnsi="Book Antiqua" w:cs="Book Antiqua"/>
          <w:b/>
          <w:i/>
          <w:color w:val="000000"/>
        </w:rPr>
        <w:t>Case 2</w:t>
      </w:r>
    </w:p>
    <w:p w14:paraId="16B9AFC5"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The patient remained in the hospital for 13 d</w:t>
      </w:r>
      <w:r w:rsidR="00C50818"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and did not report any adverse events related to the treatment. After 3 mo, he was seen at the clinic reporting a good clinical condition with a total serum bilirubin 25 µmol/L, ALT 1.6 µmol/L, and ALP 1.56 µmol/L. The summary of laboratory findings is displayed in Table 1.</w:t>
      </w:r>
    </w:p>
    <w:p w14:paraId="6C98D136" w14:textId="77777777" w:rsidR="00A77B3E" w:rsidRPr="009D4018" w:rsidRDefault="00A77B3E">
      <w:pPr>
        <w:spacing w:line="360" w:lineRule="auto"/>
        <w:jc w:val="both"/>
        <w:rPr>
          <w:rFonts w:ascii="Book Antiqua" w:hAnsi="Book Antiqua"/>
        </w:rPr>
      </w:pPr>
    </w:p>
    <w:p w14:paraId="3D9EEABF"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aps/>
          <w:color w:val="000000"/>
          <w:u w:val="single"/>
        </w:rPr>
        <w:t>DISCUSSION</w:t>
      </w:r>
    </w:p>
    <w:p w14:paraId="14A06B0B" w14:textId="47BA0269" w:rsidR="00A77B3E" w:rsidRPr="00CA24B6" w:rsidRDefault="00766A26">
      <w:pPr>
        <w:spacing w:line="360" w:lineRule="auto"/>
        <w:jc w:val="both"/>
        <w:rPr>
          <w:rFonts w:ascii="Book Antiqua" w:hAnsi="Book Antiqua"/>
        </w:rPr>
      </w:pPr>
      <w:r w:rsidRPr="009D4018">
        <w:rPr>
          <w:rStyle w:val="tlid-translation"/>
          <w:rFonts w:ascii="Book Antiqua" w:eastAsia="Book Antiqua" w:hAnsi="Book Antiqua" w:cs="Book Antiqua"/>
          <w:color w:val="000000"/>
        </w:rPr>
        <w:t>We report two cases of SARMs and PCT toxicity</w:t>
      </w:r>
      <w:r w:rsidR="008B0FAB">
        <w:rPr>
          <w:rStyle w:val="tlid-translation"/>
          <w:rFonts w:ascii="Book Antiqua" w:eastAsia="Book Antiqua" w:hAnsi="Book Antiqua" w:cs="Book Antiqua"/>
          <w:color w:val="000000"/>
        </w:rPr>
        <w:t>,</w:t>
      </w:r>
      <w:r w:rsidRPr="008B0FAB">
        <w:rPr>
          <w:rStyle w:val="tlid-translation"/>
          <w:rFonts w:ascii="Book Antiqua" w:eastAsia="Book Antiqua" w:hAnsi="Book Antiqua" w:cs="Book Antiqua"/>
          <w:color w:val="000000"/>
        </w:rPr>
        <w:t xml:space="preserve"> which </w:t>
      </w:r>
      <w:r w:rsidR="008B0FAB">
        <w:rPr>
          <w:rStyle w:val="tlid-translation"/>
          <w:rFonts w:ascii="Book Antiqua" w:eastAsia="Book Antiqua" w:hAnsi="Book Antiqua" w:cs="Book Antiqua"/>
          <w:color w:val="000000"/>
        </w:rPr>
        <w:t xml:space="preserve">showed </w:t>
      </w:r>
      <w:r w:rsidRPr="008B0FAB">
        <w:rPr>
          <w:rStyle w:val="tlid-translation"/>
          <w:rFonts w:ascii="Book Antiqua" w:eastAsia="Book Antiqua" w:hAnsi="Book Antiqua" w:cs="Book Antiqua"/>
          <w:color w:val="000000"/>
        </w:rPr>
        <w:t xml:space="preserve">some unique observations. We provide evidence of bile duct loss or destruction </w:t>
      </w:r>
      <w:r w:rsidR="008B0FAB">
        <w:rPr>
          <w:rStyle w:val="tlid-translation"/>
          <w:rFonts w:ascii="Book Antiqua" w:eastAsia="Book Antiqua" w:hAnsi="Book Antiqua" w:cs="Book Antiqua"/>
          <w:color w:val="000000"/>
        </w:rPr>
        <w:t xml:space="preserve">that has </w:t>
      </w:r>
      <w:r w:rsidRPr="008B0FAB">
        <w:rPr>
          <w:rStyle w:val="tlid-translation"/>
          <w:rFonts w:ascii="Book Antiqua" w:eastAsia="Book Antiqua" w:hAnsi="Book Antiqua" w:cs="Book Antiqua"/>
          <w:color w:val="000000"/>
        </w:rPr>
        <w:t xml:space="preserve">not </w:t>
      </w:r>
      <w:r w:rsidR="008B0FAB">
        <w:rPr>
          <w:rStyle w:val="tlid-translation"/>
          <w:rFonts w:ascii="Book Antiqua" w:eastAsia="Book Antiqua" w:hAnsi="Book Antiqua" w:cs="Book Antiqua"/>
          <w:color w:val="000000"/>
        </w:rPr>
        <w:t>been previously</w:t>
      </w:r>
      <w:r w:rsidR="008B0FAB" w:rsidRPr="008B0FAB">
        <w:rPr>
          <w:rStyle w:val="tlid-translation"/>
          <w:rFonts w:ascii="Book Antiqua" w:eastAsia="Book Antiqua" w:hAnsi="Book Antiqua" w:cs="Book Antiqua"/>
          <w:color w:val="000000"/>
        </w:rPr>
        <w:t xml:space="preserve"> </w:t>
      </w:r>
      <w:r w:rsidRPr="008B0FAB">
        <w:rPr>
          <w:rStyle w:val="tlid-translation"/>
          <w:rFonts w:ascii="Book Antiqua" w:eastAsia="Book Antiqua" w:hAnsi="Book Antiqua" w:cs="Book Antiqua"/>
          <w:color w:val="000000"/>
        </w:rPr>
        <w:t>reported in th</w:t>
      </w:r>
      <w:r w:rsidR="008B0FAB">
        <w:rPr>
          <w:rStyle w:val="tlid-translation"/>
          <w:rFonts w:ascii="Book Antiqua" w:eastAsia="Book Antiqua" w:hAnsi="Book Antiqua" w:cs="Book Antiqua"/>
          <w:color w:val="000000"/>
        </w:rPr>
        <w:t>is</w:t>
      </w:r>
      <w:r w:rsidRPr="008B0FAB">
        <w:rPr>
          <w:rStyle w:val="tlid-translation"/>
          <w:rFonts w:ascii="Book Antiqua" w:eastAsia="Book Antiqua" w:hAnsi="Book Antiqua" w:cs="Book Antiqua"/>
          <w:color w:val="000000"/>
        </w:rPr>
        <w:t xml:space="preserve"> context. Also, despite high bilirubin, histological evidence of cholestasis</w:t>
      </w:r>
      <w:r w:rsidR="008B0FAB">
        <w:rPr>
          <w:rStyle w:val="tlid-translation"/>
          <w:rFonts w:ascii="Book Antiqua" w:eastAsia="Book Antiqua" w:hAnsi="Book Antiqua" w:cs="Book Antiqua"/>
          <w:color w:val="000000"/>
        </w:rPr>
        <w:t>,</w:t>
      </w:r>
      <w:r w:rsidRPr="008B0FAB">
        <w:rPr>
          <w:rStyle w:val="tlid-translation"/>
          <w:rFonts w:ascii="Book Antiqua" w:eastAsia="Book Antiqua" w:hAnsi="Book Antiqua" w:cs="Book Antiqua"/>
          <w:color w:val="000000"/>
        </w:rPr>
        <w:t xml:space="preserve"> and significantly elevated serum bile acids, we consistently observed normal or mildly elevated alkaline phosphatase. In both cases, patients did not develop symptoms or clinical signs while using ligandrol or ostarine</w:t>
      </w:r>
      <w:r w:rsidR="008B0FAB">
        <w:rPr>
          <w:rStyle w:val="tlid-translation"/>
          <w:rFonts w:ascii="Book Antiqua" w:eastAsia="Book Antiqua" w:hAnsi="Book Antiqua" w:cs="Book Antiqua"/>
          <w:color w:val="000000"/>
        </w:rPr>
        <w:t>,</w:t>
      </w:r>
      <w:r w:rsidRPr="008B0FAB">
        <w:rPr>
          <w:rStyle w:val="tlid-translation"/>
          <w:rFonts w:ascii="Book Antiqua" w:eastAsia="Book Antiqua" w:hAnsi="Book Antiqua" w:cs="Book Antiqua"/>
          <w:color w:val="000000"/>
        </w:rPr>
        <w:t xml:space="preserve"> and those signs only appeared after stopping SARMs and taking PCT for 4 d</w:t>
      </w:r>
      <w:r w:rsidR="000709B1" w:rsidRPr="008B0FAB">
        <w:rPr>
          <w:rStyle w:val="tlid-translation"/>
          <w:rFonts w:ascii="Book Antiqua" w:eastAsia="Book Antiqua" w:hAnsi="Book Antiqua" w:cs="Book Antiqua"/>
          <w:color w:val="000000"/>
        </w:rPr>
        <w:t xml:space="preserve"> </w:t>
      </w:r>
      <w:r w:rsidRPr="008B0FAB">
        <w:rPr>
          <w:rStyle w:val="tlid-translation"/>
          <w:rFonts w:ascii="Book Antiqua" w:eastAsia="Book Antiqua" w:hAnsi="Book Antiqua" w:cs="Book Antiqua"/>
          <w:color w:val="000000"/>
        </w:rPr>
        <w:t>or</w:t>
      </w:r>
      <w:r w:rsidRPr="00CA24B6">
        <w:rPr>
          <w:rStyle w:val="tlid-translation"/>
          <w:rFonts w:ascii="Book Antiqua" w:eastAsia="Book Antiqua" w:hAnsi="Book Antiqua" w:cs="Book Antiqua"/>
          <w:color w:val="000000"/>
        </w:rPr>
        <w:t xml:space="preserve"> 3 wk.</w:t>
      </w:r>
    </w:p>
    <w:p w14:paraId="69374DAD" w14:textId="45FB51A2" w:rsidR="00A77B3E" w:rsidRPr="009D4018" w:rsidRDefault="00766A26" w:rsidP="000709B1">
      <w:pPr>
        <w:spacing w:line="360" w:lineRule="auto"/>
        <w:ind w:firstLineChars="100" w:firstLine="240"/>
        <w:jc w:val="both"/>
        <w:rPr>
          <w:rFonts w:ascii="Book Antiqua" w:hAnsi="Book Antiqua"/>
        </w:rPr>
      </w:pPr>
      <w:r w:rsidRPr="00F873D9">
        <w:rPr>
          <w:rFonts w:ascii="Book Antiqua" w:eastAsia="Book Antiqua" w:hAnsi="Book Antiqua" w:cs="Book Antiqua"/>
          <w:color w:val="000000"/>
        </w:rPr>
        <w:t xml:space="preserve">Liver injury induced by the use of anabolic substances has been reported in the Spanish registry, where they were implicated in 8% of all </w:t>
      </w:r>
      <w:r w:rsidR="003A443B" w:rsidRPr="009D4018">
        <w:rPr>
          <w:rFonts w:ascii="Book Antiqua" w:eastAsia="Book Antiqua" w:hAnsi="Book Antiqua" w:cs="Book Antiqua"/>
          <w:color w:val="000000"/>
        </w:rPr>
        <w:t>drug</w:t>
      </w:r>
      <w:r w:rsidR="00C3359C" w:rsidRPr="009D4018">
        <w:rPr>
          <w:rFonts w:ascii="Book Antiqua" w:eastAsia="Book Antiqua" w:hAnsi="Book Antiqua" w:cs="Book Antiqua"/>
          <w:color w:val="000000"/>
        </w:rPr>
        <w:t>-</w:t>
      </w:r>
      <w:r w:rsidR="003A443B" w:rsidRPr="009D4018">
        <w:rPr>
          <w:rFonts w:ascii="Book Antiqua" w:eastAsia="Book Antiqua" w:hAnsi="Book Antiqua" w:cs="Book Antiqua"/>
          <w:color w:val="000000"/>
        </w:rPr>
        <w:t>induced liver injury (</w:t>
      </w:r>
      <w:r w:rsidRPr="009D4018">
        <w:rPr>
          <w:rFonts w:ascii="Book Antiqua" w:eastAsia="Book Antiqua" w:hAnsi="Book Antiqua" w:cs="Book Antiqua"/>
          <w:color w:val="000000"/>
        </w:rPr>
        <w:t>DILI</w:t>
      </w:r>
      <w:r w:rsidR="003A443B" w:rsidRPr="009D4018">
        <w:rPr>
          <w:rFonts w:ascii="Book Antiqua" w:eastAsia="Book Antiqua" w:hAnsi="Book Antiqua" w:cs="Book Antiqua"/>
          <w:color w:val="000000"/>
        </w:rPr>
        <w:t>)</w:t>
      </w:r>
      <w:r w:rsidR="00C3359C"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between years 2010-2013</w:t>
      </w:r>
      <w:r w:rsidRPr="009D4018">
        <w:rPr>
          <w:rFonts w:ascii="Book Antiqua" w:eastAsia="Book Antiqua" w:hAnsi="Book Antiqua" w:cs="Book Antiqua"/>
          <w:color w:val="000000"/>
          <w:vertAlign w:val="superscript"/>
        </w:rPr>
        <w:t>[9]</w:t>
      </w:r>
      <w:r w:rsidRPr="009D4018">
        <w:rPr>
          <w:rFonts w:ascii="Book Antiqua" w:eastAsia="Book Antiqua" w:hAnsi="Book Antiqua" w:cs="Book Antiqua"/>
          <w:color w:val="000000"/>
        </w:rPr>
        <w:t>. In most cases, they led to hospitalization and in some cases, a molecular adsorbent recirculating system</w:t>
      </w:r>
      <w:r w:rsidR="004D6259"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 xml:space="preserve">therapy was required. The content of nutritional supplements available online has been investigated and confirmed presence of </w:t>
      </w:r>
      <w:r w:rsidRPr="009D4018">
        <w:rPr>
          <w:rStyle w:val="tlid-translation"/>
          <w:rFonts w:ascii="Book Antiqua" w:eastAsia="Book Antiqua" w:hAnsi="Book Antiqua" w:cs="Book Antiqua"/>
          <w:color w:val="000000"/>
        </w:rPr>
        <w:t>the active substance</w:t>
      </w:r>
      <w:r w:rsidRPr="009D4018">
        <w:rPr>
          <w:rStyle w:val="tlid-translation"/>
          <w:rFonts w:ascii="Book Antiqua" w:eastAsia="Book Antiqua" w:hAnsi="Book Antiqua" w:cs="Book Antiqua"/>
          <w:color w:val="000000"/>
          <w:vertAlign w:val="superscript"/>
        </w:rPr>
        <w:t>[15,17]</w:t>
      </w:r>
      <w:r w:rsidRPr="009D4018">
        <w:rPr>
          <w:rStyle w:val="tlid-translation"/>
          <w:rFonts w:ascii="Book Antiqua" w:eastAsia="Book Antiqua" w:hAnsi="Book Antiqua" w:cs="Book Antiqua"/>
          <w:color w:val="000000"/>
        </w:rPr>
        <w:t>. The effect</w:t>
      </w:r>
      <w:r w:rsidR="00CA24B6">
        <w:rPr>
          <w:rStyle w:val="tlid-translation"/>
          <w:rFonts w:ascii="Book Antiqua" w:eastAsia="Book Antiqua" w:hAnsi="Book Antiqua" w:cs="Book Antiqua"/>
          <w:color w:val="000000"/>
        </w:rPr>
        <w:t>s</w:t>
      </w:r>
      <w:r w:rsidRPr="00CA24B6">
        <w:rPr>
          <w:rStyle w:val="tlid-translation"/>
          <w:rFonts w:ascii="Book Antiqua" w:eastAsia="Book Antiqua" w:hAnsi="Book Antiqua" w:cs="Book Antiqua"/>
          <w:color w:val="000000"/>
        </w:rPr>
        <w:t xml:space="preserve"> of 1.0 or 3.0 mg of ostarine (enobosarm) on lean body mass has been studied in a randomized, controlled phase 2 trial</w:t>
      </w:r>
      <w:r w:rsidRPr="00F873D9">
        <w:rPr>
          <w:rStyle w:val="tlid-translation"/>
          <w:rFonts w:ascii="Book Antiqua" w:eastAsia="Book Antiqua" w:hAnsi="Book Antiqua" w:cs="Book Antiqua"/>
          <w:color w:val="000000"/>
          <w:vertAlign w:val="superscript"/>
        </w:rPr>
        <w:t>[12]</w:t>
      </w:r>
      <w:r w:rsidRPr="009D4018">
        <w:rPr>
          <w:rStyle w:val="tlid-translation"/>
          <w:rFonts w:ascii="Book Antiqua" w:eastAsia="Book Antiqua" w:hAnsi="Book Antiqua" w:cs="Book Antiqua"/>
          <w:color w:val="000000"/>
        </w:rPr>
        <w:t>. The study did not report any particular liver-related adverse events. The effect</w:t>
      </w:r>
      <w:r w:rsidR="00CA24B6">
        <w:rPr>
          <w:rStyle w:val="tlid-translation"/>
          <w:rFonts w:ascii="Book Antiqua" w:eastAsia="Book Antiqua" w:hAnsi="Book Antiqua" w:cs="Book Antiqua"/>
          <w:color w:val="000000"/>
        </w:rPr>
        <w:t>s</w:t>
      </w:r>
      <w:r w:rsidRPr="00CA24B6">
        <w:rPr>
          <w:rStyle w:val="tlid-translation"/>
          <w:rFonts w:ascii="Book Antiqua" w:eastAsia="Book Antiqua" w:hAnsi="Book Antiqua" w:cs="Book Antiqua"/>
          <w:color w:val="000000"/>
        </w:rPr>
        <w:t xml:space="preserve"> of 0.1 to 1.0 mg of ligandrol daily (LGD-4033 or VK5211) on muscle growth ha</w:t>
      </w:r>
      <w:r w:rsidR="00CA24B6">
        <w:rPr>
          <w:rStyle w:val="tlid-translation"/>
          <w:rFonts w:ascii="Book Antiqua" w:eastAsia="Book Antiqua" w:hAnsi="Book Antiqua" w:cs="Book Antiqua"/>
          <w:color w:val="000000"/>
        </w:rPr>
        <w:t>ve</w:t>
      </w:r>
      <w:r w:rsidRPr="009D4018">
        <w:rPr>
          <w:rStyle w:val="tlid-translation"/>
          <w:rFonts w:ascii="Book Antiqua" w:eastAsia="Book Antiqua" w:hAnsi="Book Antiqua" w:cs="Book Antiqua"/>
          <w:color w:val="000000"/>
        </w:rPr>
        <w:t xml:space="preserve"> been studied in a randomized, double-blind, placebo-controlled phase II study</w:t>
      </w:r>
      <w:r w:rsidRPr="009D4018">
        <w:rPr>
          <w:rStyle w:val="tlid-translation"/>
          <w:rFonts w:ascii="Book Antiqua" w:eastAsia="Book Antiqua" w:hAnsi="Book Antiqua" w:cs="Book Antiqua"/>
          <w:color w:val="000000"/>
          <w:vertAlign w:val="superscript"/>
        </w:rPr>
        <w:t>[18]</w:t>
      </w:r>
      <w:r w:rsidRPr="009D4018">
        <w:rPr>
          <w:rStyle w:val="tlid-translation"/>
          <w:rFonts w:ascii="Book Antiqua" w:eastAsia="Book Antiqua" w:hAnsi="Book Antiqua" w:cs="Book Antiqua"/>
          <w:color w:val="000000"/>
        </w:rPr>
        <w:t xml:space="preserve">. Likewise, the study did not report any significant difference in liver-related adverse events in patients receiving ligandrol compared to the placebo. Two cases of liver-related adverse effects of ligandrol </w:t>
      </w:r>
      <w:r w:rsidRPr="009D4018">
        <w:rPr>
          <w:rStyle w:val="tlid-translation"/>
          <w:rFonts w:ascii="Book Antiqua" w:eastAsia="Book Antiqua" w:hAnsi="Book Antiqua" w:cs="Book Antiqua"/>
          <w:color w:val="000000"/>
        </w:rPr>
        <w:lastRenderedPageBreak/>
        <w:t>have been reported in the context of its misuse. Flores</w:t>
      </w:r>
      <w:r w:rsidR="00886D08" w:rsidRPr="009D4018">
        <w:rPr>
          <w:rStyle w:val="tlid-translation"/>
          <w:rFonts w:ascii="Book Antiqua" w:eastAsia="Book Antiqua" w:hAnsi="Book Antiqua" w:cs="Book Antiqua"/>
          <w:color w:val="000000"/>
        </w:rPr>
        <w:t xml:space="preserve"> </w:t>
      </w:r>
      <w:r w:rsidRPr="009D4018">
        <w:rPr>
          <w:rStyle w:val="tlid-translation"/>
          <w:rFonts w:ascii="Book Antiqua" w:eastAsia="Book Antiqua" w:hAnsi="Book Antiqua" w:cs="Book Antiqua"/>
          <w:i/>
          <w:iCs/>
          <w:color w:val="000000"/>
        </w:rPr>
        <w:t>et al</w:t>
      </w:r>
      <w:r w:rsidRPr="009D4018">
        <w:rPr>
          <w:rStyle w:val="tlid-translation"/>
          <w:rFonts w:ascii="Book Antiqua" w:eastAsia="Book Antiqua" w:hAnsi="Book Antiqua" w:cs="Book Antiqua"/>
          <w:color w:val="000000"/>
          <w:vertAlign w:val="superscript"/>
        </w:rPr>
        <w:t>[14]</w:t>
      </w:r>
      <w:r w:rsidRPr="009D4018">
        <w:rPr>
          <w:rStyle w:val="tlid-translation"/>
          <w:rFonts w:ascii="Book Antiqua" w:eastAsia="Book Antiqua" w:hAnsi="Book Antiqua" w:cs="Book Antiqua"/>
          <w:color w:val="000000"/>
        </w:rPr>
        <w:t xml:space="preserve"> described a 24-year-old man presenting with jaundice, anorexia, and weight loss. He took 1 capsule of ligandrol as a dietary supplement for 9 wk. The patient also reported binge drinking once a week. His complaints appeared 1 wk after stopping ligandrol, while the use of PCT was not reported. The R-ratio was 8.2 indicating a hepatocellular injury. Histological examination of the liver tissue was not reported. Liver tests normalized within 4 mo. The authors also analyzed the composition of the capsules and have confirmed that they contained ligandrol a no anabolic steroids. The biochemical pattern of liver injury was distinct from our two patients. However, the time delay between stopping ligandrol and onset of symptoms and the recovery time was similar. Barbara</w:t>
      </w:r>
      <w:r w:rsidR="0026226B" w:rsidRPr="009D4018">
        <w:rPr>
          <w:rStyle w:val="tlid-translation"/>
          <w:rFonts w:ascii="Book Antiqua" w:eastAsia="Book Antiqua" w:hAnsi="Book Antiqua" w:cs="Book Antiqua"/>
          <w:color w:val="000000"/>
        </w:rPr>
        <w:t xml:space="preserve"> </w:t>
      </w:r>
      <w:r w:rsidRPr="009D4018">
        <w:rPr>
          <w:rStyle w:val="tlid-translation"/>
          <w:rFonts w:ascii="Book Antiqua" w:eastAsia="Book Antiqua" w:hAnsi="Book Antiqua" w:cs="Book Antiqua"/>
          <w:i/>
          <w:iCs/>
          <w:color w:val="000000"/>
        </w:rPr>
        <w:t>et al</w:t>
      </w:r>
      <w:r w:rsidRPr="009D4018">
        <w:rPr>
          <w:rStyle w:val="tlid-translation"/>
          <w:rFonts w:ascii="Book Antiqua" w:eastAsia="Book Antiqua" w:hAnsi="Book Antiqua" w:cs="Book Antiqua"/>
          <w:color w:val="000000"/>
          <w:vertAlign w:val="superscript"/>
        </w:rPr>
        <w:t>[15]</w:t>
      </w:r>
      <w:r w:rsidRPr="009D4018">
        <w:rPr>
          <w:rStyle w:val="tlid-translation"/>
          <w:rFonts w:ascii="Book Antiqua" w:eastAsia="Book Antiqua" w:hAnsi="Book Antiqua" w:cs="Book Antiqua"/>
          <w:color w:val="000000"/>
        </w:rPr>
        <w:t xml:space="preserve"> reported a case of a 32-year-old man without previous chronic diseases who was admitted for jaundice and severe weight loss. Weight loss, fatigue</w:t>
      </w:r>
      <w:r w:rsidR="00CA24B6">
        <w:rPr>
          <w:rStyle w:val="tlid-translation"/>
          <w:rFonts w:ascii="Book Antiqua" w:eastAsia="Book Antiqua" w:hAnsi="Book Antiqua" w:cs="Book Antiqua"/>
          <w:color w:val="000000"/>
        </w:rPr>
        <w:t>,</w:t>
      </w:r>
      <w:r w:rsidRPr="00CA24B6">
        <w:rPr>
          <w:rStyle w:val="tlid-translation"/>
          <w:rFonts w:ascii="Book Antiqua" w:eastAsia="Book Antiqua" w:hAnsi="Book Antiqua" w:cs="Book Antiqua"/>
          <w:color w:val="000000"/>
        </w:rPr>
        <w:t xml:space="preserve"> and pruritus started approximately 50 d</w:t>
      </w:r>
      <w:r w:rsidR="0026226B" w:rsidRPr="00271A7B">
        <w:rPr>
          <w:rStyle w:val="tlid-translation"/>
          <w:rFonts w:ascii="Book Antiqua" w:eastAsia="Book Antiqua" w:hAnsi="Book Antiqua" w:cs="Book Antiqua"/>
          <w:color w:val="000000"/>
        </w:rPr>
        <w:t xml:space="preserve"> </w:t>
      </w:r>
      <w:r w:rsidRPr="00222623">
        <w:rPr>
          <w:rStyle w:val="tlid-translation"/>
          <w:rFonts w:ascii="Book Antiqua" w:eastAsia="Book Antiqua" w:hAnsi="Book Antiqua" w:cs="Book Antiqua"/>
          <w:color w:val="000000"/>
        </w:rPr>
        <w:t>before presentation. For muscle building, he reported taking 10 mg da</w:t>
      </w:r>
      <w:r w:rsidRPr="009D4018">
        <w:rPr>
          <w:rStyle w:val="tlid-translation"/>
          <w:rFonts w:ascii="Book Antiqua" w:eastAsia="Book Antiqua" w:hAnsi="Book Antiqua" w:cs="Book Antiqua"/>
          <w:color w:val="000000"/>
        </w:rPr>
        <w:t>ily of a liquid preparation of ligandrol for 2 wk. The use of PCT nor other substances was not reported. Laboratory parameters showed hyperbilirubinemia at 38 times the upper limit of normal, and later in the course, an elevated alkaline phosphatase (ALP 425 U/L). A transjugular liver biopsy revealed liver parenchyma containing canalicular bile plugs with preserved ductal structure and a chronic, mild, predominantly lymphocytic infiltrate. Although the initial biochemical signature showed normal alkaline phosphatase, it later evolved into a typical cholestatic pattern. Histological findings were very similar to our two cases but there was no evidence of ductopenia. During follow-up, they reported a gradual decrease in bilirubin and alkaline phosphatase, but the parameters did not normalize even after 84 d.</w:t>
      </w:r>
    </w:p>
    <w:p w14:paraId="09ABC709" w14:textId="6BF17F2C" w:rsidR="00A77B3E" w:rsidRPr="009D4018" w:rsidRDefault="00766A26" w:rsidP="0026226B">
      <w:pPr>
        <w:spacing w:line="360" w:lineRule="auto"/>
        <w:ind w:firstLineChars="100" w:firstLine="240"/>
        <w:jc w:val="both"/>
        <w:rPr>
          <w:rStyle w:val="tlid-translation"/>
          <w:rFonts w:ascii="Book Antiqua" w:eastAsia="Book Antiqua" w:hAnsi="Book Antiqua" w:cs="Book Antiqua"/>
          <w:color w:val="000000"/>
        </w:rPr>
      </w:pPr>
      <w:r w:rsidRPr="009D4018">
        <w:rPr>
          <w:rStyle w:val="tlid-translation"/>
          <w:rFonts w:ascii="Book Antiqua" w:eastAsia="Book Antiqua" w:hAnsi="Book Antiqua" w:cs="Book Antiqua"/>
          <w:color w:val="000000"/>
        </w:rPr>
        <w:t xml:space="preserve">All </w:t>
      </w:r>
      <w:r w:rsidR="00CA24B6">
        <w:rPr>
          <w:rStyle w:val="tlid-translation"/>
          <w:rFonts w:ascii="Book Antiqua" w:eastAsia="Book Antiqua" w:hAnsi="Book Antiqua" w:cs="Book Antiqua"/>
          <w:color w:val="000000"/>
        </w:rPr>
        <w:t xml:space="preserve">of </w:t>
      </w:r>
      <w:r w:rsidRPr="00CA24B6">
        <w:rPr>
          <w:rStyle w:val="tlid-translation"/>
          <w:rFonts w:ascii="Book Antiqua" w:eastAsia="Book Antiqua" w:hAnsi="Book Antiqua" w:cs="Book Antiqua"/>
          <w:color w:val="000000"/>
        </w:rPr>
        <w:t>the reported cases of SARMSs toxicity had in common the clinical presentation of jaundice, and in three out of four cases, a predominantly cholestatic histological pattern with or without bile duct dest</w:t>
      </w:r>
      <w:r w:rsidRPr="009D4018">
        <w:rPr>
          <w:rStyle w:val="tlid-translation"/>
          <w:rFonts w:ascii="Book Antiqua" w:eastAsia="Book Antiqua" w:hAnsi="Book Antiqua" w:cs="Book Antiqua"/>
          <w:color w:val="000000"/>
        </w:rPr>
        <w:t>ruction. Duration of SARMs intake varied from 2 to 12 wk, the time delay between stopping of SARMs and the appearance of symptoms varied from 0 to 3 wk. The evidence is therefore very similar to the pattern of DILI which was reported among users of</w:t>
      </w:r>
      <w:r w:rsidR="00451905" w:rsidRPr="009D4018">
        <w:rPr>
          <w:rStyle w:val="tlid-translation"/>
          <w:rFonts w:ascii="Book Antiqua" w:eastAsia="Book Antiqua" w:hAnsi="Book Antiqua" w:cs="Book Antiqua"/>
          <w:color w:val="000000"/>
        </w:rPr>
        <w:t xml:space="preserve"> AAS</w:t>
      </w:r>
      <w:r w:rsidRPr="009D4018">
        <w:rPr>
          <w:rStyle w:val="tlid-translation"/>
          <w:rFonts w:ascii="Book Antiqua" w:eastAsia="Book Antiqua" w:hAnsi="Book Antiqua" w:cs="Book Antiqua"/>
          <w:color w:val="000000"/>
        </w:rPr>
        <w:t xml:space="preserve">. However, in contrast to the previous reports, our two patients reported the use of PCT. This </w:t>
      </w:r>
      <w:r w:rsidRPr="009D4018">
        <w:rPr>
          <w:rFonts w:ascii="Book Antiqua" w:eastAsia="Book Antiqua" w:hAnsi="Book Antiqua" w:cs="Book Antiqua"/>
          <w:color w:val="000000"/>
        </w:rPr>
        <w:t xml:space="preserve">usually means a sequential self-administration of one or </w:t>
      </w:r>
      <w:r w:rsidRPr="009D4018">
        <w:rPr>
          <w:rFonts w:ascii="Book Antiqua" w:eastAsia="Book Antiqua" w:hAnsi="Book Antiqua" w:cs="Book Antiqua"/>
          <w:color w:val="000000"/>
        </w:rPr>
        <w:lastRenderedPageBreak/>
        <w:t>more substances after a cycle or SARMs or steroids</w:t>
      </w:r>
      <w:r w:rsidRPr="009D4018">
        <w:rPr>
          <w:rFonts w:ascii="Book Antiqua" w:eastAsia="Book Antiqua" w:hAnsi="Book Antiqua" w:cs="Book Antiqua"/>
          <w:color w:val="000000"/>
          <w:vertAlign w:val="superscript"/>
        </w:rPr>
        <w:t>[19]</w:t>
      </w:r>
      <w:r w:rsidRPr="009D4018">
        <w:rPr>
          <w:rFonts w:ascii="Book Antiqua" w:eastAsia="Book Antiqua" w:hAnsi="Book Antiqua" w:cs="Book Antiqua"/>
          <w:color w:val="000000"/>
        </w:rPr>
        <w:t>. PCT aims to prevent anabolic users from the rebound effect while enabling the return of spontaneous testosterone secretion. Substances taken as PCT may include inhibitors of aromatase converting testosterone to estrogens, selective estrogen receptor modulators (tamoxifen, clomiphene), human chorionic gonadotropin, and/or several steroid mixtures or plant extracts containing synthetic or naturally occurring androgens. Some of the drugs have a proven hepatotoxic potential</w:t>
      </w:r>
      <w:r w:rsidRPr="009D4018">
        <w:rPr>
          <w:rFonts w:ascii="Book Antiqua" w:eastAsia="Book Antiqua" w:hAnsi="Book Antiqua" w:cs="Book Antiqua"/>
          <w:color w:val="000000"/>
          <w:vertAlign w:val="superscript"/>
        </w:rPr>
        <w:t>[20,21]</w:t>
      </w:r>
      <w:r w:rsidRPr="009D4018">
        <w:rPr>
          <w:rFonts w:ascii="Book Antiqua" w:eastAsia="Book Antiqua" w:hAnsi="Book Antiqua" w:cs="Book Antiqua"/>
          <w:color w:val="000000"/>
        </w:rPr>
        <w:t xml:space="preserve"> and the effect of newer “designer steroids” is yet unknown</w:t>
      </w:r>
      <w:r w:rsidRPr="009D4018">
        <w:rPr>
          <w:rFonts w:ascii="Book Antiqua" w:eastAsia="Book Antiqua" w:hAnsi="Book Antiqua" w:cs="Book Antiqua"/>
          <w:color w:val="000000"/>
          <w:vertAlign w:val="superscript"/>
        </w:rPr>
        <w:t>[22]</w:t>
      </w:r>
      <w:r w:rsidRPr="009D4018">
        <w:rPr>
          <w:rFonts w:ascii="Book Antiqua" w:eastAsia="Book Antiqua" w:hAnsi="Book Antiqua" w:cs="Book Antiqua"/>
          <w:color w:val="000000"/>
        </w:rPr>
        <w:t>. The second patient used a preparation containing a mixture of substances displayed on the label: epistane, DMZ, halodrol, and max LMG. In 2020, our Public Health Authority (Úrad Verejného Zdravotníctva SR) has issued a warning that the particular package also contained testosterone and anabolic hormones</w:t>
      </w:r>
      <w:r w:rsidRPr="009D4018">
        <w:rPr>
          <w:rFonts w:ascii="Book Antiqua" w:eastAsia="Book Antiqua" w:hAnsi="Book Antiqua" w:cs="Book Antiqua"/>
          <w:color w:val="000000"/>
          <w:vertAlign w:val="superscript"/>
        </w:rPr>
        <w:t>[23]</w:t>
      </w:r>
      <w:r w:rsidRPr="009D4018">
        <w:rPr>
          <w:rFonts w:ascii="Book Antiqua" w:eastAsia="Book Antiqua" w:hAnsi="Book Antiqua" w:cs="Book Antiqua"/>
          <w:color w:val="000000"/>
        </w:rPr>
        <w:t xml:space="preserve">. In this context, it is of interest that despite the frequency of the use of PCT in muscle builders, most case reports on the hepatotoxicity of anabolic substances (SARMs or steroids) lacked any mention of PCT. Many patients are afraid of being reported and deliberately fail to recall taking illegal substances or do not give much detail on their nature. Thus, drugs used in the PCT (or their contaminants) likely play a significant role in the pathogenesis of SARM induced liver injury and set the stage for future investigations on their true impact. </w:t>
      </w:r>
      <w:r w:rsidRPr="009D4018">
        <w:rPr>
          <w:rStyle w:val="tlid-translation"/>
          <w:rFonts w:ascii="Book Antiqua" w:eastAsia="Book Antiqua" w:hAnsi="Book Antiqua" w:cs="Book Antiqua"/>
          <w:color w:val="000000"/>
        </w:rPr>
        <w:t xml:space="preserve">Thus, the exact role of ligandrol/ostarine in the pathogenesis of liver injury in our two case reports cannot be differentiated from the role of PCT. </w:t>
      </w:r>
    </w:p>
    <w:p w14:paraId="1DFF47F0" w14:textId="77777777" w:rsidR="00CA7C11" w:rsidRPr="009D4018" w:rsidRDefault="00CA7C11" w:rsidP="0026226B">
      <w:pPr>
        <w:spacing w:line="360" w:lineRule="auto"/>
        <w:ind w:firstLineChars="100" w:firstLine="240"/>
        <w:jc w:val="both"/>
        <w:rPr>
          <w:rFonts w:ascii="Book Antiqua" w:hAnsi="Book Antiqua"/>
        </w:rPr>
      </w:pPr>
    </w:p>
    <w:p w14:paraId="65778758" w14:textId="77777777" w:rsidR="00A77B3E" w:rsidRPr="009D4018" w:rsidRDefault="00766A26">
      <w:pPr>
        <w:spacing w:line="360" w:lineRule="auto"/>
        <w:jc w:val="both"/>
        <w:rPr>
          <w:rFonts w:ascii="Book Antiqua" w:hAnsi="Book Antiqua"/>
          <w:i/>
        </w:rPr>
      </w:pPr>
      <w:r w:rsidRPr="009D4018">
        <w:rPr>
          <w:rStyle w:val="tlid-translation"/>
          <w:rFonts w:ascii="Book Antiqua" w:eastAsia="Book Antiqua" w:hAnsi="Book Antiqua" w:cs="Book Antiqua"/>
          <w:b/>
          <w:bCs/>
          <w:i/>
          <w:caps/>
          <w:color w:val="000000"/>
        </w:rPr>
        <w:t>P</w:t>
      </w:r>
      <w:r w:rsidR="00CA7C11" w:rsidRPr="009D4018">
        <w:rPr>
          <w:rStyle w:val="tlid-translation"/>
          <w:rFonts w:ascii="Book Antiqua" w:eastAsia="Book Antiqua" w:hAnsi="Book Antiqua" w:cs="Book Antiqua"/>
          <w:b/>
          <w:bCs/>
          <w:i/>
          <w:color w:val="000000"/>
        </w:rPr>
        <w:t>ossible mechanisms of hepatotoxicity</w:t>
      </w:r>
    </w:p>
    <w:p w14:paraId="35902DE9" w14:textId="0FD58FFC" w:rsidR="00A77B3E" w:rsidRPr="009D4018" w:rsidRDefault="00766A26">
      <w:pPr>
        <w:spacing w:line="360" w:lineRule="auto"/>
        <w:jc w:val="both"/>
        <w:rPr>
          <w:rFonts w:ascii="Book Antiqua" w:hAnsi="Book Antiqua"/>
        </w:rPr>
      </w:pPr>
      <w:r w:rsidRPr="009D4018">
        <w:rPr>
          <w:rStyle w:val="tlid-translation"/>
          <w:rFonts w:ascii="Book Antiqua" w:eastAsia="Book Antiqua" w:hAnsi="Book Antiqua" w:cs="Book Antiqua"/>
          <w:color w:val="000000"/>
        </w:rPr>
        <w:t>The precise mechanisms of liver injury caused by SARMs are yet to be deciphered. However, several possible mechanisms involved need to be highlighted. Analogically to the effect of anabolic steroids, idiosyncrasy likely plays a major role</w:t>
      </w:r>
      <w:r w:rsidRPr="009D4018">
        <w:rPr>
          <w:rStyle w:val="tlid-translation"/>
          <w:rFonts w:ascii="Book Antiqua" w:eastAsia="Book Antiqua" w:hAnsi="Book Antiqua" w:cs="Book Antiqua"/>
          <w:color w:val="000000"/>
          <w:vertAlign w:val="superscript"/>
        </w:rPr>
        <w:t>[24]</w:t>
      </w:r>
      <w:r w:rsidRPr="009D4018">
        <w:rPr>
          <w:rStyle w:val="tlid-translation"/>
          <w:rFonts w:ascii="Book Antiqua" w:eastAsia="Book Antiqua" w:hAnsi="Book Antiqua" w:cs="Book Antiqua"/>
          <w:color w:val="000000"/>
        </w:rPr>
        <w:t xml:space="preserve">. The idiosyncratic immune response is suggested by the relative rarity of the reported cases relative to the extent of misuse, a predominantly lymphocytic infiltrate in the liver tissue and no association between the length of use and the severity of the liver injury. The biochemical pattern of mixed-type injury and histological findings in all reported cases suggest that hepatocytes and cholangiocytes were targeted by the immune response. </w:t>
      </w:r>
      <w:r w:rsidRPr="002D1B33">
        <w:rPr>
          <w:rFonts w:ascii="Book Antiqua" w:eastAsia="Book Antiqua" w:hAnsi="Book Antiqua" w:cs="Book Antiqua"/>
          <w:i/>
          <w:iCs/>
          <w:color w:val="000000"/>
        </w:rPr>
        <w:t>In vitro</w:t>
      </w:r>
      <w:r w:rsidRPr="00872744">
        <w:rPr>
          <w:rFonts w:ascii="Book Antiqua" w:eastAsia="Book Antiqua" w:hAnsi="Book Antiqua" w:cs="Book Antiqua"/>
          <w:color w:val="000000"/>
        </w:rPr>
        <w:t xml:space="preserve"> and </w:t>
      </w:r>
      <w:r w:rsidRPr="00271A7B">
        <w:rPr>
          <w:rFonts w:ascii="Book Antiqua" w:eastAsia="Book Antiqua" w:hAnsi="Book Antiqua" w:cs="Book Antiqua"/>
          <w:i/>
          <w:iCs/>
          <w:color w:val="000000"/>
        </w:rPr>
        <w:t>in vivo</w:t>
      </w:r>
      <w:r w:rsidRPr="00222623">
        <w:rPr>
          <w:rFonts w:ascii="Book Antiqua" w:eastAsia="Book Antiqua" w:hAnsi="Book Antiqua" w:cs="Book Antiqua"/>
          <w:color w:val="000000"/>
        </w:rPr>
        <w:t xml:space="preserve"> studies have shown that ligandrol is exten</w:t>
      </w:r>
      <w:r w:rsidRPr="009D4018">
        <w:rPr>
          <w:rFonts w:ascii="Book Antiqua" w:eastAsia="Book Antiqua" w:hAnsi="Book Antiqua" w:cs="Book Antiqua"/>
          <w:color w:val="000000"/>
        </w:rPr>
        <w:t xml:space="preserve">sively metabolized by hydroxylation </w:t>
      </w:r>
      <w:r w:rsidRPr="009D4018">
        <w:rPr>
          <w:rFonts w:ascii="Book Antiqua" w:eastAsia="Book Antiqua" w:hAnsi="Book Antiqua" w:cs="Book Antiqua"/>
          <w:color w:val="000000"/>
        </w:rPr>
        <w:lastRenderedPageBreak/>
        <w:t>combined with keto</w:t>
      </w:r>
      <w:r w:rsidR="00222623">
        <w:rPr>
          <w:rFonts w:ascii="Book Antiqua" w:eastAsia="Book Antiqua" w:hAnsi="Book Antiqua" w:cs="Book Antiqua"/>
          <w:color w:val="000000"/>
        </w:rPr>
        <w:t xml:space="preserve"> </w:t>
      </w:r>
      <w:r w:rsidRPr="009D4018">
        <w:rPr>
          <w:rFonts w:ascii="Book Antiqua" w:eastAsia="Book Antiqua" w:hAnsi="Book Antiqua" w:cs="Book Antiqua"/>
          <w:color w:val="000000"/>
        </w:rPr>
        <w:t>formation or cleavage of the pyrrolidine ring, dihydroxylation, and hydroxylation combined with methylation</w:t>
      </w:r>
      <w:r w:rsidRPr="009D4018">
        <w:rPr>
          <w:rFonts w:ascii="Book Antiqua" w:eastAsia="Book Antiqua" w:hAnsi="Book Antiqua" w:cs="Book Antiqua"/>
          <w:color w:val="000000"/>
          <w:vertAlign w:val="superscript"/>
        </w:rPr>
        <w:t>[17,25,26]</w:t>
      </w:r>
      <w:r w:rsidRPr="009D4018">
        <w:rPr>
          <w:rFonts w:ascii="Book Antiqua" w:eastAsia="Book Antiqua" w:hAnsi="Book Antiqua" w:cs="Book Antiqua"/>
          <w:color w:val="000000"/>
        </w:rPr>
        <w:t xml:space="preserve">. </w:t>
      </w:r>
      <w:r w:rsidRPr="009D4018">
        <w:rPr>
          <w:rStyle w:val="tlid-translation"/>
          <w:rFonts w:ascii="Book Antiqua" w:eastAsia="Book Antiqua" w:hAnsi="Book Antiqua" w:cs="Book Antiqua"/>
          <w:color w:val="000000"/>
        </w:rPr>
        <w:t>Ligandrol has</w:t>
      </w:r>
      <w:r w:rsidRPr="00073A55">
        <w:rPr>
          <w:rStyle w:val="tlid-translation"/>
          <w:rFonts w:ascii="Book Antiqua" w:eastAsia="Book Antiqua" w:hAnsi="Book Antiqua" w:cs="Book Antiqua"/>
          <w:color w:val="000000"/>
        </w:rPr>
        <w:t xml:space="preserve"> a prolonged elimination half-life of 24-36 h and linear pharmacokin</w:t>
      </w:r>
      <w:r w:rsidRPr="002643A5">
        <w:rPr>
          <w:rStyle w:val="tlid-translation"/>
          <w:rFonts w:ascii="Book Antiqua" w:eastAsia="Book Antiqua" w:hAnsi="Book Antiqua" w:cs="Book Antiqua"/>
          <w:color w:val="000000"/>
        </w:rPr>
        <w:t>etics</w:t>
      </w:r>
      <w:r w:rsidRPr="009D4018">
        <w:rPr>
          <w:rStyle w:val="tlid-translation"/>
          <w:rFonts w:ascii="Book Antiqua" w:eastAsia="Book Antiqua" w:hAnsi="Book Antiqua" w:cs="Book Antiqua"/>
          <w:color w:val="000000"/>
          <w:vertAlign w:val="superscript"/>
        </w:rPr>
        <w:t>[18]</w:t>
      </w:r>
      <w:r w:rsidRPr="009D4018">
        <w:rPr>
          <w:rStyle w:val="tlid-translation"/>
          <w:rFonts w:ascii="Book Antiqua" w:eastAsia="Book Antiqua" w:hAnsi="Book Antiqua" w:cs="Book Antiqua"/>
          <w:color w:val="000000"/>
        </w:rPr>
        <w:t xml:space="preserve">. Serum concentrations increased almost </w:t>
      </w:r>
      <w:r w:rsidR="00073A55">
        <w:rPr>
          <w:rStyle w:val="tlid-translation"/>
          <w:rFonts w:ascii="Book Antiqua" w:eastAsia="Book Antiqua" w:hAnsi="Book Antiqua" w:cs="Book Antiqua"/>
          <w:color w:val="000000"/>
        </w:rPr>
        <w:t>3-</w:t>
      </w:r>
      <w:r w:rsidRPr="00073A55">
        <w:rPr>
          <w:rStyle w:val="tlid-translation"/>
          <w:rFonts w:ascii="Book Antiqua" w:eastAsia="Book Antiqua" w:hAnsi="Book Antiqua" w:cs="Book Antiqua"/>
          <w:color w:val="000000"/>
        </w:rPr>
        <w:t>fold after 21 d of use and the difference in the area under the curve between 1.0 mg and 0.1 mg per day was more than 13-fold. Subjects abusing ligandrol usually ingest 10 mg daily, the dose included in one tablet of commonly sold preparations which is 10-fold higher than the highest dose used in the clinical study. Lay recommendations suggest taking up to 13-20 mg per day</w:t>
      </w:r>
      <w:r w:rsidRPr="009D4018">
        <w:rPr>
          <w:rStyle w:val="tlid-translation"/>
          <w:rFonts w:ascii="Book Antiqua" w:eastAsia="Book Antiqua" w:hAnsi="Book Antiqua" w:cs="Book Antiqua"/>
          <w:color w:val="000000"/>
          <w:vertAlign w:val="superscript"/>
        </w:rPr>
        <w:t>[15]</w:t>
      </w:r>
      <w:r w:rsidRPr="009D4018">
        <w:rPr>
          <w:rStyle w:val="tlid-translation"/>
          <w:rFonts w:ascii="Book Antiqua" w:eastAsia="Book Antiqua" w:hAnsi="Book Antiqua" w:cs="Book Antiqua"/>
          <w:color w:val="000000"/>
        </w:rPr>
        <w:t xml:space="preserve">. Thus, extensive metabolism and longer exposure to very high doses likely </w:t>
      </w:r>
      <w:r w:rsidRPr="009D4018">
        <w:rPr>
          <w:rFonts w:ascii="Book Antiqua" w:eastAsia="Book Antiqua" w:hAnsi="Book Antiqua" w:cs="Book Antiqua"/>
          <w:color w:val="000000"/>
        </w:rPr>
        <w:t>generate a myriad of potential metabolites susceptible to haptenization and secondary immune response</w:t>
      </w:r>
      <w:r w:rsidRPr="009D4018">
        <w:rPr>
          <w:rStyle w:val="tlid-translation"/>
          <w:rFonts w:ascii="Book Antiqua" w:eastAsia="Book Antiqua" w:hAnsi="Book Antiqua" w:cs="Book Antiqua"/>
          <w:color w:val="000000"/>
          <w:vertAlign w:val="superscript"/>
        </w:rPr>
        <w:t>[27]</w:t>
      </w:r>
      <w:r w:rsidRPr="009D4018">
        <w:rPr>
          <w:rStyle w:val="tlid-translation"/>
          <w:rFonts w:ascii="Book Antiqua" w:eastAsia="Book Antiqua" w:hAnsi="Book Antiqua" w:cs="Book Antiqua"/>
          <w:color w:val="000000"/>
        </w:rPr>
        <w:t>. Also, hepatocytes and cholangiocytes express HLA class I, and in some functional states, HLA class II molecules, possessing some antigen-presenting function</w:t>
      </w:r>
      <w:r w:rsidRPr="009D4018">
        <w:rPr>
          <w:rStyle w:val="tlid-translation"/>
          <w:rFonts w:ascii="Book Antiqua" w:eastAsia="Book Antiqua" w:hAnsi="Book Antiqua" w:cs="Book Antiqua"/>
          <w:color w:val="000000"/>
          <w:vertAlign w:val="superscript"/>
        </w:rPr>
        <w:t>[28,29]</w:t>
      </w:r>
      <w:r w:rsidRPr="009D4018">
        <w:rPr>
          <w:rStyle w:val="tlid-translation"/>
          <w:rFonts w:ascii="Book Antiqua" w:eastAsia="Book Antiqua" w:hAnsi="Book Antiqua" w:cs="Book Antiqua"/>
          <w:color w:val="000000"/>
        </w:rPr>
        <w:t>.</w:t>
      </w:r>
    </w:p>
    <w:p w14:paraId="773E0F8B" w14:textId="47D3D13E" w:rsidR="00A77B3E" w:rsidRPr="009D4018" w:rsidRDefault="00766A26" w:rsidP="009617E1">
      <w:pPr>
        <w:spacing w:line="360" w:lineRule="auto"/>
        <w:ind w:firstLineChars="100" w:firstLine="240"/>
        <w:jc w:val="both"/>
        <w:rPr>
          <w:rFonts w:ascii="Book Antiqua" w:hAnsi="Book Antiqua"/>
        </w:rPr>
      </w:pPr>
      <w:r w:rsidRPr="009D4018">
        <w:rPr>
          <w:rStyle w:val="tlid-translation"/>
          <w:rFonts w:ascii="Book Antiqua" w:eastAsia="Book Antiqua" w:hAnsi="Book Antiqua" w:cs="Book Antiqua"/>
          <w:color w:val="000000"/>
        </w:rPr>
        <w:t>Cholangiocytes express androgenic receptors in animal models</w:t>
      </w:r>
      <w:r w:rsidR="00431BC1">
        <w:rPr>
          <w:rStyle w:val="tlid-translation"/>
          <w:rFonts w:ascii="Book Antiqua" w:eastAsia="Book Antiqua" w:hAnsi="Book Antiqua" w:cs="Book Antiqua"/>
          <w:color w:val="000000"/>
        </w:rPr>
        <w:t>,</w:t>
      </w:r>
      <w:r w:rsidRPr="00431BC1">
        <w:rPr>
          <w:rStyle w:val="tlid-translation"/>
          <w:rFonts w:ascii="Book Antiqua" w:eastAsia="Book Antiqua" w:hAnsi="Book Antiqua" w:cs="Book Antiqua"/>
          <w:color w:val="000000"/>
        </w:rPr>
        <w:t xml:space="preserve"> which modulate cholangiocyte proliferation and secretion</w:t>
      </w:r>
      <w:r w:rsidRPr="00431BC1">
        <w:rPr>
          <w:rStyle w:val="tlid-translation"/>
          <w:rFonts w:ascii="Book Antiqua" w:eastAsia="Book Antiqua" w:hAnsi="Book Antiqua" w:cs="Book Antiqua"/>
          <w:color w:val="000000"/>
          <w:vertAlign w:val="superscript"/>
        </w:rPr>
        <w:t>[30]</w:t>
      </w:r>
      <w:r w:rsidRPr="00431BC1">
        <w:rPr>
          <w:rStyle w:val="tlid-translation"/>
          <w:rFonts w:ascii="Book Antiqua" w:eastAsia="Book Antiqua" w:hAnsi="Book Antiqua" w:cs="Book Antiqua"/>
          <w:color w:val="000000"/>
        </w:rPr>
        <w:t>. In the absence of androgenic signaling after rat castration, cholangiocyte proliferation has been impa</w:t>
      </w:r>
      <w:r w:rsidRPr="009D4018">
        <w:rPr>
          <w:rStyle w:val="tlid-translation"/>
          <w:rFonts w:ascii="Book Antiqua" w:eastAsia="Book Antiqua" w:hAnsi="Book Antiqua" w:cs="Book Antiqua"/>
          <w:color w:val="000000"/>
        </w:rPr>
        <w:t>ired. However, data from human studies on the effect</w:t>
      </w:r>
      <w:r w:rsidR="00431BC1">
        <w:rPr>
          <w:rStyle w:val="tlid-translation"/>
          <w:rFonts w:ascii="Book Antiqua" w:eastAsia="Book Antiqua" w:hAnsi="Book Antiqua" w:cs="Book Antiqua"/>
          <w:color w:val="000000"/>
        </w:rPr>
        <w:t>s</w:t>
      </w:r>
      <w:r w:rsidRPr="00431BC1">
        <w:rPr>
          <w:rStyle w:val="tlid-translation"/>
          <w:rFonts w:ascii="Book Antiqua" w:eastAsia="Book Antiqua" w:hAnsi="Book Antiqua" w:cs="Book Antiqua"/>
          <w:color w:val="000000"/>
        </w:rPr>
        <w:t xml:space="preserve"> of androgen receptor signaling in cholangiocytes </w:t>
      </w:r>
      <w:r w:rsidR="00431BC1">
        <w:rPr>
          <w:rStyle w:val="tlid-translation"/>
          <w:rFonts w:ascii="Book Antiqua" w:eastAsia="Book Antiqua" w:hAnsi="Book Antiqua" w:cs="Book Antiqua"/>
          <w:color w:val="000000"/>
        </w:rPr>
        <w:t>are</w:t>
      </w:r>
      <w:r w:rsidR="00431BC1" w:rsidRPr="00431BC1">
        <w:rPr>
          <w:rStyle w:val="tlid-translation"/>
          <w:rFonts w:ascii="Book Antiqua" w:eastAsia="Book Antiqua" w:hAnsi="Book Antiqua" w:cs="Book Antiqua"/>
          <w:color w:val="000000"/>
        </w:rPr>
        <w:t xml:space="preserve"> </w:t>
      </w:r>
      <w:r w:rsidRPr="00431BC1">
        <w:rPr>
          <w:rStyle w:val="tlid-translation"/>
          <w:rFonts w:ascii="Book Antiqua" w:eastAsia="Book Antiqua" w:hAnsi="Book Antiqua" w:cs="Book Antiqua"/>
          <w:color w:val="000000"/>
        </w:rPr>
        <w:t>lacking and should be investigated in the future</w:t>
      </w:r>
      <w:r w:rsidRPr="009D4018">
        <w:rPr>
          <w:rStyle w:val="tlid-translation"/>
          <w:rFonts w:ascii="Book Antiqua" w:eastAsia="Book Antiqua" w:hAnsi="Book Antiqua" w:cs="Book Antiqua"/>
          <w:color w:val="000000"/>
          <w:vertAlign w:val="superscript"/>
        </w:rPr>
        <w:t>[31]</w:t>
      </w:r>
      <w:r w:rsidRPr="009D4018">
        <w:rPr>
          <w:rStyle w:val="tlid-translation"/>
          <w:rFonts w:ascii="Book Antiqua" w:eastAsia="Book Antiqua" w:hAnsi="Book Antiqua" w:cs="Book Antiqua"/>
          <w:color w:val="000000"/>
        </w:rPr>
        <w:t>.</w:t>
      </w:r>
    </w:p>
    <w:p w14:paraId="22E747C7" w14:textId="672C7175" w:rsidR="00A77B3E" w:rsidRPr="009D4018" w:rsidRDefault="00766A26" w:rsidP="009617E1">
      <w:pPr>
        <w:spacing w:line="360" w:lineRule="auto"/>
        <w:ind w:firstLineChars="100" w:firstLine="240"/>
        <w:jc w:val="both"/>
        <w:rPr>
          <w:rFonts w:ascii="Book Antiqua" w:hAnsi="Book Antiqua"/>
        </w:rPr>
      </w:pPr>
      <w:r w:rsidRPr="009D4018">
        <w:rPr>
          <w:rStyle w:val="tlid-translation"/>
          <w:rFonts w:ascii="Book Antiqua" w:eastAsia="Book Antiqua" w:hAnsi="Book Antiqua" w:cs="Book Antiqua"/>
          <w:color w:val="000000"/>
        </w:rPr>
        <w:t xml:space="preserve">Ligandrol metabolism may be affected by genetic or drug-induced </w:t>
      </w:r>
      <w:r w:rsidRPr="009D4018">
        <w:rPr>
          <w:rFonts w:ascii="Book Antiqua" w:eastAsia="Book Antiqua" w:hAnsi="Book Antiqua" w:cs="Book Antiqua"/>
          <w:color w:val="000000"/>
        </w:rPr>
        <w:t>alterations in the mechanisms of xenobiotic biotransformation (CYP450) or the activity of hepatocyte surface membrane proteins. Functional polymorphisms of transport proteins have been reported</w:t>
      </w:r>
      <w:r w:rsidRPr="009D4018">
        <w:rPr>
          <w:rFonts w:ascii="Book Antiqua" w:eastAsia="Book Antiqua" w:hAnsi="Book Antiqua" w:cs="Book Antiqua"/>
          <w:color w:val="000000"/>
          <w:vertAlign w:val="superscript"/>
        </w:rPr>
        <w:t>[32]</w:t>
      </w:r>
      <w:r w:rsidRPr="009D4018">
        <w:rPr>
          <w:rFonts w:ascii="Book Antiqua" w:eastAsia="Book Antiqua" w:hAnsi="Book Antiqua" w:cs="Book Antiqua"/>
          <w:color w:val="000000"/>
        </w:rPr>
        <w:t xml:space="preserve"> in two patients with androgen-induced cholestatic liver injury in whom the activity of</w:t>
      </w:r>
      <w:r w:rsidR="009617E1" w:rsidRPr="009D4018">
        <w:rPr>
          <w:rFonts w:ascii="Book Antiqua" w:eastAsia="Book Antiqua" w:hAnsi="Book Antiqua" w:cs="Book Antiqua"/>
          <w:color w:val="000000"/>
        </w:rPr>
        <w:t xml:space="preserve"> canalicular ectoenzymes ATP8B1/</w:t>
      </w:r>
      <w:r w:rsidRPr="009D4018">
        <w:rPr>
          <w:rFonts w:ascii="Book Antiqua" w:eastAsia="Book Antiqua" w:hAnsi="Book Antiqua" w:cs="Book Antiqua"/>
          <w:color w:val="000000"/>
        </w:rPr>
        <w:t>ABCB11 was decreased. In humans, the spontaneous e</w:t>
      </w:r>
      <w:r w:rsidRPr="009D4018">
        <w:rPr>
          <w:rStyle w:val="tlid-translation"/>
          <w:rFonts w:ascii="Book Antiqua" w:eastAsia="Book Antiqua" w:hAnsi="Book Antiqua" w:cs="Book Antiqua"/>
          <w:color w:val="000000"/>
        </w:rPr>
        <w:t>xpression of biliary transporters varies greatly even among healthy individuals with up</w:t>
      </w:r>
      <w:r w:rsidR="00271A7B">
        <w:rPr>
          <w:rStyle w:val="tlid-translation"/>
          <w:rFonts w:ascii="Book Antiqua" w:eastAsia="Book Antiqua" w:hAnsi="Book Antiqua" w:cs="Book Antiqua"/>
          <w:color w:val="000000"/>
        </w:rPr>
        <w:t xml:space="preserve"> </w:t>
      </w:r>
      <w:r w:rsidRPr="009D4018">
        <w:rPr>
          <w:rStyle w:val="tlid-translation"/>
          <w:rFonts w:ascii="Book Antiqua" w:eastAsia="Book Antiqua" w:hAnsi="Book Antiqua" w:cs="Book Antiqua"/>
          <w:color w:val="000000"/>
        </w:rPr>
        <w:t>to 300-fold differences</w:t>
      </w:r>
      <w:r w:rsidRPr="009D4018">
        <w:rPr>
          <w:rStyle w:val="tlid-translation"/>
          <w:rFonts w:ascii="Book Antiqua" w:eastAsia="Book Antiqua" w:hAnsi="Book Antiqua" w:cs="Book Antiqua"/>
          <w:color w:val="000000"/>
          <w:vertAlign w:val="superscript"/>
        </w:rPr>
        <w:t>[33]</w:t>
      </w:r>
      <w:r w:rsidRPr="009D4018">
        <w:rPr>
          <w:rStyle w:val="tlid-translation"/>
          <w:rFonts w:ascii="Book Antiqua" w:eastAsia="Book Antiqua" w:hAnsi="Book Antiqua" w:cs="Book Antiqua"/>
          <w:color w:val="000000"/>
        </w:rPr>
        <w:t xml:space="preserve">. </w:t>
      </w:r>
    </w:p>
    <w:p w14:paraId="1DB94F93" w14:textId="7D463DA4" w:rsidR="00A77B3E" w:rsidRPr="009D4018" w:rsidRDefault="00766A26" w:rsidP="00DD2636">
      <w:pPr>
        <w:spacing w:line="360" w:lineRule="auto"/>
        <w:ind w:firstLineChars="100" w:firstLine="240"/>
        <w:jc w:val="both"/>
        <w:rPr>
          <w:rFonts w:ascii="Book Antiqua" w:hAnsi="Book Antiqua"/>
        </w:rPr>
      </w:pPr>
      <w:r w:rsidRPr="009D4018">
        <w:rPr>
          <w:rFonts w:ascii="Book Antiqua" w:eastAsia="Book Antiqua" w:hAnsi="Book Antiqua" w:cs="Book Antiqua"/>
          <w:color w:val="000000"/>
        </w:rPr>
        <w:t xml:space="preserve">Substances used in PCT have also been implicated in causing DILI. Apart from </w:t>
      </w:r>
      <w:r w:rsidR="00451905" w:rsidRPr="009D4018">
        <w:rPr>
          <w:rStyle w:val="tlid-translation"/>
          <w:rFonts w:ascii="Book Antiqua" w:eastAsia="Book Antiqua" w:hAnsi="Book Antiqua" w:cs="Book Antiqua"/>
          <w:color w:val="000000"/>
        </w:rPr>
        <w:t>AAS</w:t>
      </w:r>
      <w:r w:rsidRPr="009D4018">
        <w:rPr>
          <w:rFonts w:ascii="Book Antiqua" w:eastAsia="Book Antiqua" w:hAnsi="Book Antiqua" w:cs="Book Antiqua"/>
          <w:color w:val="000000"/>
          <w:vertAlign w:val="superscript"/>
        </w:rPr>
        <w:t>[9,24]</w:t>
      </w:r>
      <w:r w:rsidRPr="009D4018">
        <w:rPr>
          <w:rFonts w:ascii="Book Antiqua" w:eastAsia="Book Antiqua" w:hAnsi="Book Antiqua" w:cs="Book Antiqua"/>
          <w:color w:val="000000"/>
        </w:rPr>
        <w:t xml:space="preserve">, a recent study reported that after </w:t>
      </w:r>
      <w:r w:rsidRPr="002D1B33">
        <w:rPr>
          <w:rFonts w:ascii="Book Antiqua" w:eastAsia="Book Antiqua" w:hAnsi="Book Antiqua" w:cs="Book Antiqua"/>
          <w:i/>
          <w:iCs/>
          <w:color w:val="000000"/>
        </w:rPr>
        <w:t>in</w:t>
      </w:r>
      <w:r w:rsidR="00271A7B" w:rsidRPr="002D1B33">
        <w:rPr>
          <w:rFonts w:ascii="Book Antiqua" w:eastAsia="Book Antiqua" w:hAnsi="Book Antiqua" w:cs="Book Antiqua"/>
          <w:i/>
          <w:iCs/>
          <w:color w:val="000000"/>
        </w:rPr>
        <w:t xml:space="preserve"> </w:t>
      </w:r>
      <w:r w:rsidRPr="002D1B33">
        <w:rPr>
          <w:rFonts w:ascii="Book Antiqua" w:eastAsia="Book Antiqua" w:hAnsi="Book Antiqua" w:cs="Book Antiqua"/>
          <w:i/>
          <w:iCs/>
          <w:color w:val="000000"/>
        </w:rPr>
        <w:t>vitro</w:t>
      </w:r>
      <w:r w:rsidRPr="00271A7B">
        <w:rPr>
          <w:rFonts w:ascii="Book Antiqua" w:eastAsia="Book Antiqua" w:hAnsi="Book Antiqua" w:cs="Book Antiqua"/>
          <w:color w:val="000000"/>
        </w:rPr>
        <w:t xml:space="preserve"> hepatocyte androgen receptor stimulation with epistane, there is a significant increase in the intracellular concentrati</w:t>
      </w:r>
      <w:r w:rsidRPr="009D4018">
        <w:rPr>
          <w:rFonts w:ascii="Book Antiqua" w:eastAsia="Book Antiqua" w:hAnsi="Book Antiqua" w:cs="Book Antiqua"/>
          <w:color w:val="000000"/>
        </w:rPr>
        <w:t>on of primary conjugated bile acids</w:t>
      </w:r>
      <w:r w:rsidRPr="009D4018">
        <w:rPr>
          <w:rFonts w:ascii="Book Antiqua" w:eastAsia="Book Antiqua" w:hAnsi="Book Antiqua" w:cs="Book Antiqua"/>
          <w:color w:val="000000"/>
          <w:vertAlign w:val="superscript"/>
        </w:rPr>
        <w:t>[33]</w:t>
      </w:r>
      <w:r w:rsidRPr="009D4018">
        <w:rPr>
          <w:rFonts w:ascii="Book Antiqua" w:eastAsia="Book Antiqua" w:hAnsi="Book Antiqua" w:cs="Book Antiqua"/>
          <w:color w:val="000000"/>
        </w:rPr>
        <w:t xml:space="preserve">. The increase was attributed to upregulated bile acid synthesis by a mechanism of increased expression of CYP8B1. Also, low HDL cholesterol </w:t>
      </w:r>
      <w:r w:rsidRPr="009D4018">
        <w:rPr>
          <w:rFonts w:ascii="Book Antiqua" w:eastAsia="Book Antiqua" w:hAnsi="Book Antiqua" w:cs="Book Antiqua"/>
          <w:color w:val="000000"/>
        </w:rPr>
        <w:lastRenderedPageBreak/>
        <w:t>levels in both reported cases likely indicate the shift of cholesterol transport towards bile acid synthesis, thus contributing to increased intracellular content of toxic bile</w:t>
      </w:r>
      <w:r w:rsidR="002643A5">
        <w:rPr>
          <w:rFonts w:ascii="Book Antiqua" w:eastAsia="Book Antiqua" w:hAnsi="Book Antiqua" w:cs="Book Antiqua"/>
          <w:color w:val="000000"/>
        </w:rPr>
        <w:t xml:space="preserve"> </w:t>
      </w:r>
      <w:r w:rsidRPr="009D4018">
        <w:rPr>
          <w:rFonts w:ascii="Book Antiqua" w:eastAsia="Book Antiqua" w:hAnsi="Book Antiqua" w:cs="Book Antiqua"/>
          <w:color w:val="000000"/>
        </w:rPr>
        <w:t>acids.</w:t>
      </w:r>
    </w:p>
    <w:p w14:paraId="692E694E" w14:textId="77777777" w:rsidR="00A77B3E" w:rsidRPr="009D4018" w:rsidRDefault="00766A26" w:rsidP="004E12CB">
      <w:pPr>
        <w:spacing w:line="360" w:lineRule="auto"/>
        <w:ind w:firstLineChars="100" w:firstLine="240"/>
        <w:jc w:val="both"/>
        <w:rPr>
          <w:rFonts w:ascii="Book Antiqua" w:hAnsi="Book Antiqua"/>
        </w:rPr>
      </w:pPr>
      <w:r w:rsidRPr="009D4018">
        <w:rPr>
          <w:rFonts w:ascii="Book Antiqua" w:eastAsia="Book Antiqua" w:hAnsi="Book Antiqua" w:cs="Book Antiqua"/>
          <w:color w:val="000000"/>
        </w:rPr>
        <w:t>Monitoring for possible side effects is completely absent when such substances are being used by body builders. Analogically to the therapeutic use of hormonal preparations elsewhere, persisting or progressive liver test abnormalities might have identified patients with SARM induced toxicity. Early drug discontinuation could have prevented further injury.</w:t>
      </w:r>
    </w:p>
    <w:p w14:paraId="348ACA4D" w14:textId="77777777" w:rsidR="00A77B3E" w:rsidRPr="009D4018" w:rsidRDefault="00A77B3E" w:rsidP="00BA3F82">
      <w:pPr>
        <w:spacing w:line="360" w:lineRule="auto"/>
        <w:jc w:val="both"/>
        <w:rPr>
          <w:rFonts w:ascii="Book Antiqua" w:hAnsi="Book Antiqua"/>
        </w:rPr>
      </w:pPr>
    </w:p>
    <w:p w14:paraId="4B7FB434" w14:textId="77777777" w:rsidR="00A77B3E" w:rsidRPr="009D4018" w:rsidRDefault="00766A26">
      <w:pPr>
        <w:spacing w:line="360" w:lineRule="auto"/>
        <w:jc w:val="both"/>
        <w:rPr>
          <w:rFonts w:ascii="Book Antiqua" w:hAnsi="Book Antiqua"/>
          <w:i/>
        </w:rPr>
      </w:pPr>
      <w:r w:rsidRPr="009D4018">
        <w:rPr>
          <w:rFonts w:ascii="Book Antiqua" w:eastAsia="Book Antiqua" w:hAnsi="Book Antiqua" w:cs="Book Antiqua"/>
          <w:b/>
          <w:bCs/>
          <w:i/>
          <w:caps/>
          <w:color w:val="000000"/>
        </w:rPr>
        <w:t>L</w:t>
      </w:r>
      <w:r w:rsidR="00BA3F82" w:rsidRPr="009D4018">
        <w:rPr>
          <w:rFonts w:ascii="Book Antiqua" w:eastAsia="Book Antiqua" w:hAnsi="Book Antiqua" w:cs="Book Antiqua"/>
          <w:b/>
          <w:bCs/>
          <w:i/>
          <w:color w:val="000000"/>
        </w:rPr>
        <w:t>imitations of the study</w:t>
      </w:r>
    </w:p>
    <w:p w14:paraId="7D310C9F" w14:textId="366C13AE"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Due to the significant time delay from the intake of incriminated medication to the delivery of specialist medical care, drug packages and specimens were not available for exact chemical analysis. In the first patient, the time delay might suggest the effect of PCT rather than ligandrol, but the exact substances were not identified. In the second patient, PCT substances were known to cause hepatotoxicity, but they were only taken for 4 d, suggesting a less likely role in causing DILI compared with SARMs.</w:t>
      </w:r>
    </w:p>
    <w:p w14:paraId="5DBE38E1" w14:textId="476A1101" w:rsidR="00A77B3E" w:rsidRPr="009D4018" w:rsidRDefault="00766A26" w:rsidP="009F1AE7">
      <w:pPr>
        <w:spacing w:line="360" w:lineRule="auto"/>
        <w:ind w:firstLineChars="100" w:firstLine="240"/>
        <w:jc w:val="both"/>
        <w:rPr>
          <w:rFonts w:ascii="Book Antiqua" w:hAnsi="Book Antiqua"/>
        </w:rPr>
      </w:pPr>
      <w:r w:rsidRPr="009D4018">
        <w:rPr>
          <w:rFonts w:ascii="Book Antiqua" w:eastAsia="Book Antiqua" w:hAnsi="Book Antiqua" w:cs="Book Antiqua"/>
          <w:color w:val="000000"/>
        </w:rPr>
        <w:t xml:space="preserve">The unique character of liver injury in the presented cases is beyond the traditional definition of DILI or liver-related adverse events in the </w:t>
      </w:r>
      <w:r w:rsidR="00BE53A4" w:rsidRPr="009D4018">
        <w:rPr>
          <w:rFonts w:ascii="Book Antiqua" w:eastAsia="Book Antiqua" w:hAnsi="Book Antiqua" w:cs="Book Antiqua"/>
          <w:color w:val="000000"/>
        </w:rPr>
        <w:t>c</w:t>
      </w:r>
      <w:r w:rsidRPr="009D4018">
        <w:rPr>
          <w:rFonts w:ascii="Book Antiqua" w:eastAsia="Book Antiqua" w:hAnsi="Book Antiqua" w:cs="Book Antiqua"/>
          <w:color w:val="000000"/>
        </w:rPr>
        <w:t>ommon terminology criteria for adverse events (CTCAE)</w:t>
      </w:r>
      <w:r w:rsidRPr="009D4018">
        <w:rPr>
          <w:rFonts w:ascii="Book Antiqua" w:eastAsia="Book Antiqua" w:hAnsi="Book Antiqua" w:cs="Book Antiqua"/>
          <w:color w:val="000000"/>
          <w:vertAlign w:val="superscript"/>
        </w:rPr>
        <w:t>[34]</w:t>
      </w:r>
      <w:r w:rsidRPr="009D4018">
        <w:rPr>
          <w:rFonts w:ascii="Book Antiqua" w:eastAsia="Book Antiqua" w:hAnsi="Book Antiqua" w:cs="Book Antiqua"/>
          <w:color w:val="000000"/>
        </w:rPr>
        <w:t>. Both require ALT elevation superior to three-times the upper limit of normal (ULN) and ALP elevation &gt;</w:t>
      </w:r>
      <w:r w:rsidR="000C3C84"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2.5</w:t>
      </w:r>
      <w:r w:rsidR="000C3C84" w:rsidRPr="009D4018">
        <w:rPr>
          <w:rFonts w:ascii="Book Antiqua" w:eastAsia="Book Antiqua" w:hAnsi="Book Antiqua" w:cs="Book Antiqua"/>
          <w:color w:val="000000"/>
        </w:rPr>
        <w:t xml:space="preserve"> </w:t>
      </w:r>
      <w:r w:rsidR="000C3C84" w:rsidRPr="002D1B33">
        <w:rPr>
          <w:rFonts w:ascii="Book Antiqua" w:hAnsi="Book Antiqua"/>
        </w:rPr>
        <w:t>×</w:t>
      </w:r>
      <w:r w:rsidR="000C3C84"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ULN, which were not observed. However, both our patients had serum bilirubin levels increased more than ten-times the ULN, which according to the CTCAE v 5.0 corresponds to Grade 4 injury. Besides, due to normal alkaline phosphatase and low ALT values (&lt;</w:t>
      </w:r>
      <w:r w:rsidR="000C3C84"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3</w:t>
      </w:r>
      <w:r w:rsidR="000C3C84" w:rsidRPr="009D4018">
        <w:rPr>
          <w:rFonts w:ascii="Book Antiqua" w:eastAsia="Book Antiqua" w:hAnsi="Book Antiqua" w:cs="Book Antiqua"/>
          <w:color w:val="000000"/>
        </w:rPr>
        <w:t xml:space="preserve"> </w:t>
      </w:r>
      <w:r w:rsidR="000C3C84" w:rsidRPr="002D1B33">
        <w:rPr>
          <w:rFonts w:ascii="Book Antiqua" w:hAnsi="Book Antiqua"/>
        </w:rPr>
        <w:t>×</w:t>
      </w:r>
      <w:r w:rsidR="000C3C84"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ULN), the type of liver injury according to R-value should be interpreted with caution. The biochemical pattern corresponded to a mixed-type injury (hepatocellular and cholestatic). However, even though the histological findings confirmed a mixed-type of injury, it was dominantly cholestatic with hepatocellular injury being much less significant.</w:t>
      </w:r>
    </w:p>
    <w:p w14:paraId="6598F929" w14:textId="77777777" w:rsidR="00A77B3E" w:rsidRPr="009D4018" w:rsidRDefault="00A77B3E">
      <w:pPr>
        <w:spacing w:line="360" w:lineRule="auto"/>
        <w:jc w:val="both"/>
        <w:rPr>
          <w:rFonts w:ascii="Book Antiqua" w:hAnsi="Book Antiqua"/>
        </w:rPr>
      </w:pPr>
    </w:p>
    <w:p w14:paraId="389B898A"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aps/>
          <w:color w:val="000000"/>
          <w:u w:val="single"/>
        </w:rPr>
        <w:t>CONCLUSION</w:t>
      </w:r>
    </w:p>
    <w:p w14:paraId="41F83F56" w14:textId="0AB7AEEC"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Ligandrol and ostarine are SARMs with hepatotoxic potential. To date, all the reported cases of drug-induced liver injury were the consequence of their misuse in the form of </w:t>
      </w:r>
      <w:r w:rsidRPr="009D4018">
        <w:rPr>
          <w:rFonts w:ascii="Book Antiqua" w:eastAsia="Book Antiqua" w:hAnsi="Book Antiqua" w:cs="Book Antiqua"/>
          <w:color w:val="000000"/>
        </w:rPr>
        <w:lastRenderedPageBreak/>
        <w:t>nutritional supplements. In our case series, we are highlighting that its use is often followed by the use of various substances in the post-cycle therapy, whose role in causing liver injury cannot be separated from the effect of SARMs. We provide unique histological evidence for a predominantly cholestatic liver injury with consistently normal alkaline phosphatase. The histological features of bile</w:t>
      </w:r>
      <w:r w:rsidR="00271A7B">
        <w:rPr>
          <w:rFonts w:ascii="Book Antiqua" w:eastAsia="Book Antiqua" w:hAnsi="Book Antiqua" w:cs="Book Antiqua"/>
          <w:color w:val="000000"/>
        </w:rPr>
        <w:t xml:space="preserve"> </w:t>
      </w:r>
      <w:r w:rsidRPr="009D4018">
        <w:rPr>
          <w:rFonts w:ascii="Book Antiqua" w:eastAsia="Book Antiqua" w:hAnsi="Book Antiqua" w:cs="Book Antiqua"/>
          <w:color w:val="000000"/>
        </w:rPr>
        <w:t>duct injury are similar to the pattern described previously for anabolic steroids. In addition to an innate predisposition to idiosyncratic reactions, high-doses, and the absence of monitoring for adverse effects likely contributed to the injury. It is up to regulators and public health authorities to remedy these aspects and to prevent the general public from having unrestricted access to these potentially dangerous substances through stricter regulation. These measures would likely prevent the adverse events and provide an opportunity for identifying the possible clinical benefit of SARMs in patients with frailty and/or sarcopenia.</w:t>
      </w:r>
    </w:p>
    <w:p w14:paraId="6BA295AA" w14:textId="77777777" w:rsidR="00A77B3E" w:rsidRPr="009D4018" w:rsidRDefault="00A77B3E">
      <w:pPr>
        <w:spacing w:line="360" w:lineRule="auto"/>
        <w:jc w:val="both"/>
        <w:rPr>
          <w:rFonts w:ascii="Book Antiqua" w:hAnsi="Book Antiqua"/>
        </w:rPr>
      </w:pPr>
    </w:p>
    <w:p w14:paraId="57548947"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REFERENCES</w:t>
      </w:r>
    </w:p>
    <w:p w14:paraId="61233FA2" w14:textId="77777777" w:rsidR="00A77B3E" w:rsidRPr="009D4018" w:rsidRDefault="00766A26">
      <w:pPr>
        <w:spacing w:line="360" w:lineRule="auto"/>
        <w:jc w:val="both"/>
        <w:rPr>
          <w:rFonts w:ascii="Book Antiqua" w:hAnsi="Book Antiqua"/>
        </w:rPr>
      </w:pPr>
      <w:bookmarkStart w:id="4" w:name="OLE_LINK2688"/>
      <w:bookmarkStart w:id="5" w:name="OLE_LINK2689"/>
      <w:r w:rsidRPr="009D4018">
        <w:rPr>
          <w:rFonts w:ascii="Book Antiqua" w:eastAsia="Book Antiqua" w:hAnsi="Book Antiqua" w:cs="Book Antiqua"/>
          <w:color w:val="000000"/>
        </w:rPr>
        <w:t xml:space="preserve">1 </w:t>
      </w:r>
      <w:r w:rsidRPr="009D4018">
        <w:rPr>
          <w:rFonts w:ascii="Book Antiqua" w:eastAsia="Book Antiqua" w:hAnsi="Book Antiqua" w:cs="Book Antiqua"/>
          <w:b/>
          <w:bCs/>
          <w:color w:val="000000"/>
        </w:rPr>
        <w:t>Tournadre A</w:t>
      </w:r>
      <w:r w:rsidRPr="009D4018">
        <w:rPr>
          <w:rFonts w:ascii="Book Antiqua" w:eastAsia="Book Antiqua" w:hAnsi="Book Antiqua" w:cs="Book Antiqua"/>
          <w:color w:val="000000"/>
        </w:rPr>
        <w:t xml:space="preserve">, Vial G, Capel F, Soubrier M, Boirie Y. Sarcopenia. </w:t>
      </w:r>
      <w:r w:rsidRPr="009D4018">
        <w:rPr>
          <w:rFonts w:ascii="Book Antiqua" w:eastAsia="Book Antiqua" w:hAnsi="Book Antiqua" w:cs="Book Antiqua"/>
          <w:i/>
          <w:iCs/>
          <w:color w:val="000000"/>
        </w:rPr>
        <w:t>Joint Bone Spine</w:t>
      </w:r>
      <w:r w:rsidRPr="009D4018">
        <w:rPr>
          <w:rFonts w:ascii="Book Antiqua" w:eastAsia="Book Antiqua" w:hAnsi="Book Antiqua" w:cs="Book Antiqua"/>
          <w:color w:val="000000"/>
        </w:rPr>
        <w:t xml:space="preserve"> 2019; </w:t>
      </w:r>
      <w:r w:rsidRPr="009D4018">
        <w:rPr>
          <w:rFonts w:ascii="Book Antiqua" w:eastAsia="Book Antiqua" w:hAnsi="Book Antiqua" w:cs="Book Antiqua"/>
          <w:b/>
          <w:bCs/>
          <w:color w:val="000000"/>
        </w:rPr>
        <w:t>86</w:t>
      </w:r>
      <w:r w:rsidRPr="009D4018">
        <w:rPr>
          <w:rFonts w:ascii="Book Antiqua" w:eastAsia="Book Antiqua" w:hAnsi="Book Antiqua" w:cs="Book Antiqua"/>
          <w:color w:val="000000"/>
        </w:rPr>
        <w:t>: 309-314 [PMID: 30098424 DOI: 10.1016/j.jbspin.2018.08.001]</w:t>
      </w:r>
    </w:p>
    <w:p w14:paraId="204D17B3"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2 </w:t>
      </w:r>
      <w:r w:rsidRPr="009D4018">
        <w:rPr>
          <w:rFonts w:ascii="Book Antiqua" w:eastAsia="Book Antiqua" w:hAnsi="Book Antiqua" w:cs="Book Antiqua"/>
          <w:b/>
          <w:bCs/>
          <w:color w:val="000000"/>
        </w:rPr>
        <w:t>Davis MP</w:t>
      </w:r>
      <w:r w:rsidRPr="009D4018">
        <w:rPr>
          <w:rFonts w:ascii="Book Antiqua" w:eastAsia="Book Antiqua" w:hAnsi="Book Antiqua" w:cs="Book Antiqua"/>
          <w:color w:val="000000"/>
        </w:rPr>
        <w:t xml:space="preserve">, Panikkar R. Sarcopenia associated with chemotherapy and targeted agents for cancer therapy. </w:t>
      </w:r>
      <w:r w:rsidRPr="009D4018">
        <w:rPr>
          <w:rFonts w:ascii="Book Antiqua" w:eastAsia="Book Antiqua" w:hAnsi="Book Antiqua" w:cs="Book Antiqua"/>
          <w:i/>
          <w:iCs/>
          <w:color w:val="000000"/>
        </w:rPr>
        <w:t>Ann Palliat Med</w:t>
      </w:r>
      <w:r w:rsidRPr="009D4018">
        <w:rPr>
          <w:rFonts w:ascii="Book Antiqua" w:eastAsia="Book Antiqua" w:hAnsi="Book Antiqua" w:cs="Book Antiqua"/>
          <w:color w:val="000000"/>
        </w:rPr>
        <w:t xml:space="preserve"> 2019; </w:t>
      </w:r>
      <w:r w:rsidRPr="009D4018">
        <w:rPr>
          <w:rFonts w:ascii="Book Antiqua" w:eastAsia="Book Antiqua" w:hAnsi="Book Antiqua" w:cs="Book Antiqua"/>
          <w:b/>
          <w:bCs/>
          <w:color w:val="000000"/>
        </w:rPr>
        <w:t>8</w:t>
      </w:r>
      <w:r w:rsidRPr="009D4018">
        <w:rPr>
          <w:rFonts w:ascii="Book Antiqua" w:eastAsia="Book Antiqua" w:hAnsi="Book Antiqua" w:cs="Book Antiqua"/>
          <w:color w:val="000000"/>
        </w:rPr>
        <w:t>: 86-101 [PMID: 30525762 DOI: 10.21037/apm.2018.08.02]</w:t>
      </w:r>
    </w:p>
    <w:p w14:paraId="4892EC71"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3 </w:t>
      </w:r>
      <w:r w:rsidRPr="009D4018">
        <w:rPr>
          <w:rFonts w:ascii="Book Antiqua" w:eastAsia="Book Antiqua" w:hAnsi="Book Antiqua" w:cs="Book Antiqua"/>
          <w:b/>
          <w:bCs/>
          <w:color w:val="000000"/>
        </w:rPr>
        <w:t>Cruz-Jentoft AJ</w:t>
      </w:r>
      <w:r w:rsidRPr="009D4018">
        <w:rPr>
          <w:rFonts w:ascii="Book Antiqua" w:eastAsia="Book Antiqua" w:hAnsi="Book Antiqua" w:cs="Book Antiqua"/>
          <w:color w:val="000000"/>
        </w:rPr>
        <w:t xml:space="preserve">, Bahat G, Bauer J, Boirie Y, Bruyère O, Cederholm T, Cooper C, Landi F, Rolland Y, Sayer AA, Schneider SM, Sieber CC, Topinkova E, Vandewoude M, Visser M, Zamboni M; Writing Group for the European Working Group on Sarcopenia in Older People 2 (EWGSOP2), and the Extended Group for EWGSOP2. Sarcopenia: revised European consensus on definition and diagnosis. </w:t>
      </w:r>
      <w:r w:rsidRPr="009D4018">
        <w:rPr>
          <w:rFonts w:ascii="Book Antiqua" w:eastAsia="Book Antiqua" w:hAnsi="Book Antiqua" w:cs="Book Antiqua"/>
          <w:i/>
          <w:iCs/>
          <w:color w:val="000000"/>
        </w:rPr>
        <w:t>Age Ageing</w:t>
      </w:r>
      <w:r w:rsidRPr="009D4018">
        <w:rPr>
          <w:rFonts w:ascii="Book Antiqua" w:eastAsia="Book Antiqua" w:hAnsi="Book Antiqua" w:cs="Book Antiqua"/>
          <w:color w:val="000000"/>
        </w:rPr>
        <w:t xml:space="preserve"> 2019; </w:t>
      </w:r>
      <w:r w:rsidRPr="009D4018">
        <w:rPr>
          <w:rFonts w:ascii="Book Antiqua" w:eastAsia="Book Antiqua" w:hAnsi="Book Antiqua" w:cs="Book Antiqua"/>
          <w:b/>
          <w:bCs/>
          <w:color w:val="000000"/>
        </w:rPr>
        <w:t>48</w:t>
      </w:r>
      <w:r w:rsidRPr="009D4018">
        <w:rPr>
          <w:rFonts w:ascii="Book Antiqua" w:eastAsia="Book Antiqua" w:hAnsi="Book Antiqua" w:cs="Book Antiqua"/>
          <w:color w:val="000000"/>
        </w:rPr>
        <w:t>: 16-31 [PMID: 30312372 DOI: 10.1093/ageing/afy169]</w:t>
      </w:r>
    </w:p>
    <w:p w14:paraId="478590A7"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4 </w:t>
      </w:r>
      <w:r w:rsidRPr="009D4018">
        <w:rPr>
          <w:rFonts w:ascii="Book Antiqua" w:eastAsia="Book Antiqua" w:hAnsi="Book Antiqua" w:cs="Book Antiqua"/>
          <w:b/>
          <w:bCs/>
          <w:color w:val="000000"/>
        </w:rPr>
        <w:t>Wood RI</w:t>
      </w:r>
      <w:r w:rsidRPr="009D4018">
        <w:rPr>
          <w:rFonts w:ascii="Book Antiqua" w:eastAsia="Book Antiqua" w:hAnsi="Book Antiqua" w:cs="Book Antiqua"/>
          <w:color w:val="000000"/>
        </w:rPr>
        <w:t xml:space="preserve">, Stanton SJ. Testosterone and sport: current perspectives. </w:t>
      </w:r>
      <w:r w:rsidRPr="009D4018">
        <w:rPr>
          <w:rFonts w:ascii="Book Antiqua" w:eastAsia="Book Antiqua" w:hAnsi="Book Antiqua" w:cs="Book Antiqua"/>
          <w:i/>
          <w:iCs/>
          <w:color w:val="000000"/>
        </w:rPr>
        <w:t>Horm Behav</w:t>
      </w:r>
      <w:r w:rsidRPr="009D4018">
        <w:rPr>
          <w:rFonts w:ascii="Book Antiqua" w:eastAsia="Book Antiqua" w:hAnsi="Book Antiqua" w:cs="Book Antiqua"/>
          <w:color w:val="000000"/>
        </w:rPr>
        <w:t xml:space="preserve"> 2012; </w:t>
      </w:r>
      <w:r w:rsidRPr="009D4018">
        <w:rPr>
          <w:rFonts w:ascii="Book Antiqua" w:eastAsia="Book Antiqua" w:hAnsi="Book Antiqua" w:cs="Book Antiqua"/>
          <w:b/>
          <w:bCs/>
          <w:color w:val="000000"/>
        </w:rPr>
        <w:t>61</w:t>
      </w:r>
      <w:r w:rsidRPr="009D4018">
        <w:rPr>
          <w:rFonts w:ascii="Book Antiqua" w:eastAsia="Book Antiqua" w:hAnsi="Book Antiqua" w:cs="Book Antiqua"/>
          <w:color w:val="000000"/>
        </w:rPr>
        <w:t>: 147-155 [PMID: 21983229 DOI: 10.1016/j.yhbeh.2011.09.010]</w:t>
      </w:r>
    </w:p>
    <w:p w14:paraId="6A0B3C32"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5 </w:t>
      </w:r>
      <w:r w:rsidRPr="009D4018">
        <w:rPr>
          <w:rFonts w:ascii="Book Antiqua" w:eastAsia="Book Antiqua" w:hAnsi="Book Antiqua" w:cs="Book Antiqua"/>
          <w:b/>
          <w:bCs/>
          <w:color w:val="000000"/>
        </w:rPr>
        <w:t>Tsarouhas K</w:t>
      </w:r>
      <w:r w:rsidRPr="009D4018">
        <w:rPr>
          <w:rFonts w:ascii="Book Antiqua" w:eastAsia="Book Antiqua" w:hAnsi="Book Antiqua" w:cs="Book Antiqua"/>
          <w:color w:val="000000"/>
        </w:rPr>
        <w:t xml:space="preserve">, Kioukia-Fougia N, Papalexis P, Tsatsakis A, Kouretas D, Bacopoulou F, Tsitsimpikou C. Use of nutritional supplements contaminated with banned doping </w:t>
      </w:r>
      <w:r w:rsidRPr="009D4018">
        <w:rPr>
          <w:rFonts w:ascii="Book Antiqua" w:eastAsia="Book Antiqua" w:hAnsi="Book Antiqua" w:cs="Book Antiqua"/>
          <w:color w:val="000000"/>
        </w:rPr>
        <w:lastRenderedPageBreak/>
        <w:t xml:space="preserve">substances by recreational adolescent athletes in Athens, Greece. </w:t>
      </w:r>
      <w:r w:rsidRPr="009D4018">
        <w:rPr>
          <w:rFonts w:ascii="Book Antiqua" w:eastAsia="Book Antiqua" w:hAnsi="Book Antiqua" w:cs="Book Antiqua"/>
          <w:i/>
          <w:iCs/>
          <w:color w:val="000000"/>
        </w:rPr>
        <w:t>Food Chem Toxicol</w:t>
      </w:r>
      <w:r w:rsidRPr="009D4018">
        <w:rPr>
          <w:rFonts w:ascii="Book Antiqua" w:eastAsia="Book Antiqua" w:hAnsi="Book Antiqua" w:cs="Book Antiqua"/>
          <w:color w:val="000000"/>
        </w:rPr>
        <w:t xml:space="preserve"> 2018; </w:t>
      </w:r>
      <w:r w:rsidRPr="009D4018">
        <w:rPr>
          <w:rFonts w:ascii="Book Antiqua" w:eastAsia="Book Antiqua" w:hAnsi="Book Antiqua" w:cs="Book Antiqua"/>
          <w:b/>
          <w:bCs/>
          <w:color w:val="000000"/>
        </w:rPr>
        <w:t>115</w:t>
      </w:r>
      <w:r w:rsidRPr="009D4018">
        <w:rPr>
          <w:rFonts w:ascii="Book Antiqua" w:eastAsia="Book Antiqua" w:hAnsi="Book Antiqua" w:cs="Book Antiqua"/>
          <w:color w:val="000000"/>
        </w:rPr>
        <w:t>: 447-450 [PMID: 29621580 DOI: 10.1016/j.fct.2018.03.043]</w:t>
      </w:r>
    </w:p>
    <w:p w14:paraId="4C1128B9"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6 </w:t>
      </w:r>
      <w:r w:rsidRPr="009D4018">
        <w:rPr>
          <w:rFonts w:ascii="Book Antiqua" w:eastAsia="Book Antiqua" w:hAnsi="Book Antiqua" w:cs="Book Antiqua"/>
          <w:b/>
          <w:bCs/>
          <w:color w:val="000000"/>
        </w:rPr>
        <w:t>Harvey O</w:t>
      </w:r>
      <w:r w:rsidRPr="009D4018">
        <w:rPr>
          <w:rFonts w:ascii="Book Antiqua" w:eastAsia="Book Antiqua" w:hAnsi="Book Antiqua" w:cs="Book Antiqua"/>
          <w:color w:val="000000"/>
        </w:rPr>
        <w:t xml:space="preserve">, Keen S, Parrish M, van Teijlingen E. Support for people who use Anabolic Androgenic Steroids: A Systematic Scoping Review into what they want and what they access. </w:t>
      </w:r>
      <w:r w:rsidRPr="009D4018">
        <w:rPr>
          <w:rFonts w:ascii="Book Antiqua" w:eastAsia="Book Antiqua" w:hAnsi="Book Antiqua" w:cs="Book Antiqua"/>
          <w:i/>
          <w:iCs/>
          <w:color w:val="000000"/>
        </w:rPr>
        <w:t>BMC Public Health</w:t>
      </w:r>
      <w:r w:rsidRPr="009D4018">
        <w:rPr>
          <w:rFonts w:ascii="Book Antiqua" w:eastAsia="Book Antiqua" w:hAnsi="Book Antiqua" w:cs="Book Antiqua"/>
          <w:color w:val="000000"/>
        </w:rPr>
        <w:t xml:space="preserve"> 2019; </w:t>
      </w:r>
      <w:r w:rsidRPr="009D4018">
        <w:rPr>
          <w:rFonts w:ascii="Book Antiqua" w:eastAsia="Book Antiqua" w:hAnsi="Book Antiqua" w:cs="Book Antiqua"/>
          <w:b/>
          <w:bCs/>
          <w:color w:val="000000"/>
        </w:rPr>
        <w:t>19</w:t>
      </w:r>
      <w:r w:rsidRPr="009D4018">
        <w:rPr>
          <w:rFonts w:ascii="Book Antiqua" w:eastAsia="Book Antiqua" w:hAnsi="Book Antiqua" w:cs="Book Antiqua"/>
          <w:color w:val="000000"/>
        </w:rPr>
        <w:t>: 1024 [PMID: 31366349 DOI: 10.1186/s12889-019-7288-x]</w:t>
      </w:r>
    </w:p>
    <w:p w14:paraId="495423E3"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7 </w:t>
      </w:r>
      <w:r w:rsidRPr="009D4018">
        <w:rPr>
          <w:rFonts w:ascii="Book Antiqua" w:eastAsia="Book Antiqua" w:hAnsi="Book Antiqua" w:cs="Book Antiqua"/>
          <w:b/>
          <w:bCs/>
          <w:color w:val="000000"/>
        </w:rPr>
        <w:t>Auchus RJ</w:t>
      </w:r>
      <w:r w:rsidRPr="009D4018">
        <w:rPr>
          <w:rFonts w:ascii="Book Antiqua" w:eastAsia="Book Antiqua" w:hAnsi="Book Antiqua" w:cs="Book Antiqua"/>
          <w:color w:val="000000"/>
        </w:rPr>
        <w:t xml:space="preserve">, Brower KJ. The Public Health Consequences of Performance-Enhancing Substances: Who Bears Responsibility? </w:t>
      </w:r>
      <w:r w:rsidRPr="009D4018">
        <w:rPr>
          <w:rFonts w:ascii="Book Antiqua" w:eastAsia="Book Antiqua" w:hAnsi="Book Antiqua" w:cs="Book Antiqua"/>
          <w:i/>
          <w:iCs/>
          <w:color w:val="000000"/>
        </w:rPr>
        <w:t>JAMA</w:t>
      </w:r>
      <w:r w:rsidRPr="009D4018">
        <w:rPr>
          <w:rFonts w:ascii="Book Antiqua" w:eastAsia="Book Antiqua" w:hAnsi="Book Antiqua" w:cs="Book Antiqua"/>
          <w:color w:val="000000"/>
        </w:rPr>
        <w:t xml:space="preserve"> 2017; </w:t>
      </w:r>
      <w:r w:rsidRPr="009D4018">
        <w:rPr>
          <w:rFonts w:ascii="Book Antiqua" w:eastAsia="Book Antiqua" w:hAnsi="Book Antiqua" w:cs="Book Antiqua"/>
          <w:b/>
          <w:bCs/>
          <w:color w:val="000000"/>
        </w:rPr>
        <w:t>318</w:t>
      </w:r>
      <w:r w:rsidRPr="009D4018">
        <w:rPr>
          <w:rFonts w:ascii="Book Antiqua" w:eastAsia="Book Antiqua" w:hAnsi="Book Antiqua" w:cs="Book Antiqua"/>
          <w:color w:val="000000"/>
        </w:rPr>
        <w:t>: 1983-1984 [PMID: 29183050 DOI: 10.1001/jama.2017.17111]</w:t>
      </w:r>
    </w:p>
    <w:p w14:paraId="3BF19DC5"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8 </w:t>
      </w:r>
      <w:r w:rsidRPr="009D4018">
        <w:rPr>
          <w:rFonts w:ascii="Book Antiqua" w:eastAsia="Book Antiqua" w:hAnsi="Book Antiqua" w:cs="Book Antiqua"/>
          <w:b/>
          <w:bCs/>
          <w:color w:val="000000"/>
        </w:rPr>
        <w:t>Piacentino D</w:t>
      </w:r>
      <w:r w:rsidRPr="009D4018">
        <w:rPr>
          <w:rFonts w:ascii="Book Antiqua" w:eastAsia="Book Antiqua" w:hAnsi="Book Antiqua" w:cs="Book Antiqua"/>
          <w:color w:val="000000"/>
        </w:rPr>
        <w:t xml:space="preserve">, Kotzalidis GD, Del Casale A, Aromatario MR, Pomara C, Girardi P, Sani G. Anabolic-androgenic steroid use and psychopathology in athletes. A systematic review. </w:t>
      </w:r>
      <w:r w:rsidRPr="009D4018">
        <w:rPr>
          <w:rFonts w:ascii="Book Antiqua" w:eastAsia="Book Antiqua" w:hAnsi="Book Antiqua" w:cs="Book Antiqua"/>
          <w:i/>
          <w:iCs/>
          <w:color w:val="000000"/>
        </w:rPr>
        <w:t>Curr Neuropharmacol</w:t>
      </w:r>
      <w:r w:rsidRPr="009D4018">
        <w:rPr>
          <w:rFonts w:ascii="Book Antiqua" w:eastAsia="Book Antiqua" w:hAnsi="Book Antiqua" w:cs="Book Antiqua"/>
          <w:color w:val="000000"/>
        </w:rPr>
        <w:t xml:space="preserve"> 2015; </w:t>
      </w:r>
      <w:r w:rsidRPr="009D4018">
        <w:rPr>
          <w:rFonts w:ascii="Book Antiqua" w:eastAsia="Book Antiqua" w:hAnsi="Book Antiqua" w:cs="Book Antiqua"/>
          <w:b/>
          <w:bCs/>
          <w:color w:val="000000"/>
        </w:rPr>
        <w:t>13</w:t>
      </w:r>
      <w:r w:rsidRPr="009D4018">
        <w:rPr>
          <w:rFonts w:ascii="Book Antiqua" w:eastAsia="Book Antiqua" w:hAnsi="Book Antiqua" w:cs="Book Antiqua"/>
          <w:color w:val="000000"/>
        </w:rPr>
        <w:t>: 101-121 [PMID: 26074746 DOI: 10.2174/1570159X13666141210222725]</w:t>
      </w:r>
    </w:p>
    <w:p w14:paraId="3F3E7465"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9 </w:t>
      </w:r>
      <w:r w:rsidRPr="009D4018">
        <w:rPr>
          <w:rFonts w:ascii="Book Antiqua" w:eastAsia="Book Antiqua" w:hAnsi="Book Antiqua" w:cs="Book Antiqua"/>
          <w:b/>
          <w:bCs/>
          <w:color w:val="000000"/>
        </w:rPr>
        <w:t>Robles-Diaz M</w:t>
      </w:r>
      <w:r w:rsidRPr="009D4018">
        <w:rPr>
          <w:rFonts w:ascii="Book Antiqua" w:eastAsia="Book Antiqua" w:hAnsi="Book Antiqua" w:cs="Book Antiqua"/>
          <w:color w:val="000000"/>
        </w:rPr>
        <w:t xml:space="preserve">, Gonzalez-Jimenez A, Medina-Caliz I, Stephens C, García-Cortes M, García-Muñoz B, Ortega-Alonso A, Blanco-Reina E, Gonzalez-Grande R, Jimenez-Perez M, Rendón P, Navarro JM, Gines P, Prieto M, Garcia-Eliz M, Bessone F, Brahm JR, Paraná R, Lucena MI, Andrade RJ; Spanish DILI Registry; SLatinDILI Network. Distinct phenotype of hepatotoxicity associated with illicit use of anabolic androgenic steroids. </w:t>
      </w:r>
      <w:r w:rsidRPr="009D4018">
        <w:rPr>
          <w:rFonts w:ascii="Book Antiqua" w:eastAsia="Book Antiqua" w:hAnsi="Book Antiqua" w:cs="Book Antiqua"/>
          <w:i/>
          <w:iCs/>
          <w:color w:val="000000"/>
        </w:rPr>
        <w:t>Aliment Pharmacol Ther</w:t>
      </w:r>
      <w:r w:rsidRPr="009D4018">
        <w:rPr>
          <w:rFonts w:ascii="Book Antiqua" w:eastAsia="Book Antiqua" w:hAnsi="Book Antiqua" w:cs="Book Antiqua"/>
          <w:color w:val="000000"/>
        </w:rPr>
        <w:t xml:space="preserve"> 2015; </w:t>
      </w:r>
      <w:r w:rsidRPr="009D4018">
        <w:rPr>
          <w:rFonts w:ascii="Book Antiqua" w:eastAsia="Book Antiqua" w:hAnsi="Book Antiqua" w:cs="Book Antiqua"/>
          <w:b/>
          <w:bCs/>
          <w:color w:val="000000"/>
        </w:rPr>
        <w:t>41</w:t>
      </w:r>
      <w:r w:rsidRPr="009D4018">
        <w:rPr>
          <w:rFonts w:ascii="Book Antiqua" w:eastAsia="Book Antiqua" w:hAnsi="Book Antiqua" w:cs="Book Antiqua"/>
          <w:color w:val="000000"/>
        </w:rPr>
        <w:t>: 116-125 [PMID: 25394890 DOI: 10.1111/apt.13023]</w:t>
      </w:r>
    </w:p>
    <w:p w14:paraId="5A041AC2"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10 </w:t>
      </w:r>
      <w:r w:rsidRPr="009D4018">
        <w:rPr>
          <w:rFonts w:ascii="Book Antiqua" w:eastAsia="Book Antiqua" w:hAnsi="Book Antiqua" w:cs="Book Antiqua"/>
          <w:b/>
          <w:bCs/>
          <w:color w:val="000000"/>
        </w:rPr>
        <w:t>Narayanan R</w:t>
      </w:r>
      <w:r w:rsidRPr="009D4018">
        <w:rPr>
          <w:rFonts w:ascii="Book Antiqua" w:eastAsia="Book Antiqua" w:hAnsi="Book Antiqua" w:cs="Book Antiqua"/>
          <w:color w:val="000000"/>
        </w:rPr>
        <w:t xml:space="preserve">, Coss CC, Dalton JT. Development of selective androgen receptor modulators (SARMs). </w:t>
      </w:r>
      <w:r w:rsidRPr="009D4018">
        <w:rPr>
          <w:rFonts w:ascii="Book Antiqua" w:eastAsia="Book Antiqua" w:hAnsi="Book Antiqua" w:cs="Book Antiqua"/>
          <w:i/>
          <w:iCs/>
          <w:color w:val="000000"/>
        </w:rPr>
        <w:t>Mol Cell Endocrinol</w:t>
      </w:r>
      <w:r w:rsidRPr="009D4018">
        <w:rPr>
          <w:rFonts w:ascii="Book Antiqua" w:eastAsia="Book Antiqua" w:hAnsi="Book Antiqua" w:cs="Book Antiqua"/>
          <w:color w:val="000000"/>
        </w:rPr>
        <w:t xml:space="preserve"> 2018; </w:t>
      </w:r>
      <w:r w:rsidRPr="009D4018">
        <w:rPr>
          <w:rFonts w:ascii="Book Antiqua" w:eastAsia="Book Antiqua" w:hAnsi="Book Antiqua" w:cs="Book Antiqua"/>
          <w:b/>
          <w:bCs/>
          <w:color w:val="000000"/>
        </w:rPr>
        <w:t>465</w:t>
      </w:r>
      <w:r w:rsidRPr="009D4018">
        <w:rPr>
          <w:rFonts w:ascii="Book Antiqua" w:eastAsia="Book Antiqua" w:hAnsi="Book Antiqua" w:cs="Book Antiqua"/>
          <w:color w:val="000000"/>
        </w:rPr>
        <w:t>: 134-142 [PMID: 28624515 DOI: 10.1016/j.mce.2017.06.013]</w:t>
      </w:r>
    </w:p>
    <w:p w14:paraId="6A837D09"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11 </w:t>
      </w:r>
      <w:r w:rsidRPr="009D4018">
        <w:rPr>
          <w:rFonts w:ascii="Book Antiqua" w:eastAsia="Book Antiqua" w:hAnsi="Book Antiqua" w:cs="Book Antiqua"/>
          <w:b/>
          <w:bCs/>
          <w:color w:val="000000"/>
        </w:rPr>
        <w:t>Solomon ZJ</w:t>
      </w:r>
      <w:r w:rsidRPr="009D4018">
        <w:rPr>
          <w:rFonts w:ascii="Book Antiqua" w:eastAsia="Book Antiqua" w:hAnsi="Book Antiqua" w:cs="Book Antiqua"/>
          <w:color w:val="000000"/>
        </w:rPr>
        <w:t xml:space="preserve">, Mirabal JR, Mazur DJ, Kohn TP, Lipshultz LI, Pastuszak AW. Selective Androgen Receptor Modulators: Current Knowledge and Clinical Applications. </w:t>
      </w:r>
      <w:r w:rsidRPr="009D4018">
        <w:rPr>
          <w:rFonts w:ascii="Book Antiqua" w:eastAsia="Book Antiqua" w:hAnsi="Book Antiqua" w:cs="Book Antiqua"/>
          <w:i/>
          <w:iCs/>
          <w:color w:val="000000"/>
        </w:rPr>
        <w:t>Sex Med Rev</w:t>
      </w:r>
      <w:r w:rsidRPr="009D4018">
        <w:rPr>
          <w:rFonts w:ascii="Book Antiqua" w:eastAsia="Book Antiqua" w:hAnsi="Book Antiqua" w:cs="Book Antiqua"/>
          <w:color w:val="000000"/>
        </w:rPr>
        <w:t xml:space="preserve"> 2019; </w:t>
      </w:r>
      <w:r w:rsidRPr="009D4018">
        <w:rPr>
          <w:rFonts w:ascii="Book Antiqua" w:eastAsia="Book Antiqua" w:hAnsi="Book Antiqua" w:cs="Book Antiqua"/>
          <w:b/>
          <w:bCs/>
          <w:color w:val="000000"/>
        </w:rPr>
        <w:t>7</w:t>
      </w:r>
      <w:r w:rsidRPr="009D4018">
        <w:rPr>
          <w:rFonts w:ascii="Book Antiqua" w:eastAsia="Book Antiqua" w:hAnsi="Book Antiqua" w:cs="Book Antiqua"/>
          <w:color w:val="000000"/>
        </w:rPr>
        <w:t>: 84-94 [PMID: 30503797 DOI: 10.1016/j.sxmr.2018.09.006]</w:t>
      </w:r>
    </w:p>
    <w:p w14:paraId="5160A613"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12 </w:t>
      </w:r>
      <w:r w:rsidRPr="009D4018">
        <w:rPr>
          <w:rFonts w:ascii="Book Antiqua" w:eastAsia="Book Antiqua" w:hAnsi="Book Antiqua" w:cs="Book Antiqua"/>
          <w:b/>
          <w:bCs/>
          <w:color w:val="000000"/>
        </w:rPr>
        <w:t>Dobs AS</w:t>
      </w:r>
      <w:r w:rsidRPr="009D4018">
        <w:rPr>
          <w:rFonts w:ascii="Book Antiqua" w:eastAsia="Book Antiqua" w:hAnsi="Book Antiqua" w:cs="Book Antiqua"/>
          <w:color w:val="000000"/>
        </w:rPr>
        <w:t xml:space="preserve">, Boccia RV, Croot CC, Gabrail NY, Dalton JT, Hancock ML, Johnston MA, Steiner MS. Effects of enobosarm on muscle wasting and physical function in patients with cancer: a double-blind, randomised controlled phase 2 trial. </w:t>
      </w:r>
      <w:r w:rsidRPr="009D4018">
        <w:rPr>
          <w:rFonts w:ascii="Book Antiqua" w:eastAsia="Book Antiqua" w:hAnsi="Book Antiqua" w:cs="Book Antiqua"/>
          <w:i/>
          <w:iCs/>
          <w:color w:val="000000"/>
        </w:rPr>
        <w:t>Lancet Oncol</w:t>
      </w:r>
      <w:r w:rsidRPr="009D4018">
        <w:rPr>
          <w:rFonts w:ascii="Book Antiqua" w:eastAsia="Book Antiqua" w:hAnsi="Book Antiqua" w:cs="Book Antiqua"/>
          <w:color w:val="000000"/>
        </w:rPr>
        <w:t xml:space="preserve"> 2013; </w:t>
      </w:r>
      <w:r w:rsidRPr="009D4018">
        <w:rPr>
          <w:rFonts w:ascii="Book Antiqua" w:eastAsia="Book Antiqua" w:hAnsi="Book Antiqua" w:cs="Book Antiqua"/>
          <w:b/>
          <w:bCs/>
          <w:color w:val="000000"/>
        </w:rPr>
        <w:t>14</w:t>
      </w:r>
      <w:r w:rsidRPr="009D4018">
        <w:rPr>
          <w:rFonts w:ascii="Book Antiqua" w:eastAsia="Book Antiqua" w:hAnsi="Book Antiqua" w:cs="Book Antiqua"/>
          <w:color w:val="000000"/>
        </w:rPr>
        <w:t>: 335-345 [PMID: 23499390 DOI: 10.1016/S1470-2045(13)70055-X]</w:t>
      </w:r>
    </w:p>
    <w:p w14:paraId="03CFFEA6" w14:textId="1FF41109"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highlight w:val="yellow"/>
        </w:rPr>
        <w:lastRenderedPageBreak/>
        <w:t>13</w:t>
      </w:r>
      <w:r w:rsidR="005E24FC" w:rsidRPr="009D4018">
        <w:rPr>
          <w:rFonts w:ascii="Book Antiqua" w:eastAsia="Book Antiqua" w:hAnsi="Book Antiqua" w:cs="Book Antiqua"/>
          <w:color w:val="000000"/>
          <w:highlight w:val="yellow"/>
        </w:rPr>
        <w:t xml:space="preserve"> </w:t>
      </w:r>
      <w:r w:rsidRPr="009D4018">
        <w:rPr>
          <w:rFonts w:ascii="Book Antiqua" w:eastAsia="Book Antiqua" w:hAnsi="Book Antiqua" w:cs="Book Antiqua"/>
          <w:b/>
          <w:color w:val="000000"/>
          <w:highlight w:val="yellow"/>
        </w:rPr>
        <w:t>US Food and Drug Administration</w:t>
      </w:r>
      <w:r w:rsidRPr="009D4018">
        <w:rPr>
          <w:rFonts w:ascii="Book Antiqua" w:eastAsia="Book Antiqua" w:hAnsi="Book Antiqua" w:cs="Book Antiqua"/>
          <w:color w:val="000000"/>
          <w:highlight w:val="yellow"/>
        </w:rPr>
        <w:t>. FDA In Brief: FDA warns against using SARMs in body-building products.</w:t>
      </w:r>
      <w:r w:rsidR="00F152D1" w:rsidRPr="009D4018">
        <w:rPr>
          <w:rFonts w:ascii="Book Antiqua" w:eastAsia="Book Antiqua" w:hAnsi="Book Antiqua" w:cs="Book Antiqua"/>
          <w:color w:val="000000"/>
          <w:highlight w:val="yellow"/>
        </w:rPr>
        <w:t xml:space="preserve"> </w:t>
      </w:r>
      <w:r w:rsidR="00A05D66" w:rsidRPr="009D4018">
        <w:rPr>
          <w:rFonts w:ascii="Book Antiqua" w:eastAsia="Book Antiqua" w:hAnsi="Book Antiqua" w:cs="Book Antiqua"/>
          <w:color w:val="000000"/>
          <w:highlight w:val="yellow"/>
        </w:rPr>
        <w:t>2017.</w:t>
      </w:r>
      <w:r w:rsidR="00F152D1" w:rsidRPr="009D4018">
        <w:rPr>
          <w:rFonts w:ascii="Book Antiqua" w:eastAsia="Book Antiqua" w:hAnsi="Book Antiqua" w:cs="Book Antiqua"/>
          <w:color w:val="000000"/>
          <w:highlight w:val="yellow"/>
        </w:rPr>
        <w:t xml:space="preserve"> </w:t>
      </w:r>
      <w:r w:rsidR="00A05D66" w:rsidRPr="009D4018">
        <w:rPr>
          <w:rFonts w:ascii="Book Antiqua" w:eastAsia="Book Antiqua" w:hAnsi="Book Antiqua" w:cs="Book Antiqua"/>
          <w:color w:val="000000"/>
          <w:highlight w:val="yellow"/>
        </w:rPr>
        <w:t>[cited</w:t>
      </w:r>
      <w:r w:rsidR="00230DD5" w:rsidRPr="009D4018">
        <w:rPr>
          <w:highlight w:val="yellow"/>
        </w:rPr>
        <w:t xml:space="preserve"> </w:t>
      </w:r>
      <w:r w:rsidR="00FD7E69" w:rsidRPr="009D4018">
        <w:rPr>
          <w:highlight w:val="yellow"/>
        </w:rPr>
        <w:t xml:space="preserve">20 </w:t>
      </w:r>
      <w:r w:rsidR="00A05D66" w:rsidRPr="009D4018">
        <w:rPr>
          <w:rFonts w:ascii="Book Antiqua" w:eastAsia="Book Antiqua" w:hAnsi="Book Antiqua" w:cs="Book Antiqua"/>
          <w:color w:val="000000"/>
          <w:highlight w:val="yellow"/>
        </w:rPr>
        <w:t>January 2021]</w:t>
      </w:r>
      <w:r w:rsidR="00FD7E69" w:rsidRPr="009D4018">
        <w:rPr>
          <w:rFonts w:ascii="Book Antiqua" w:eastAsia="Book Antiqua" w:hAnsi="Book Antiqua" w:cs="Book Antiqua"/>
          <w:color w:val="000000"/>
          <w:highlight w:val="yellow"/>
        </w:rPr>
        <w:t>.</w:t>
      </w:r>
      <w:r w:rsidRPr="009D4018">
        <w:rPr>
          <w:rFonts w:ascii="Book Antiqua" w:eastAsia="Book Antiqua" w:hAnsi="Book Antiqua" w:cs="Book Antiqua"/>
          <w:color w:val="000000"/>
          <w:highlight w:val="yellow"/>
        </w:rPr>
        <w:t xml:space="preserve"> Available from: https://www.fda.gov/news-events/fda-brief/fda-brief-fda-warns-against-using-sarms-body-building-products</w:t>
      </w:r>
    </w:p>
    <w:p w14:paraId="5D68CE51"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14 </w:t>
      </w:r>
      <w:r w:rsidRPr="009D4018">
        <w:rPr>
          <w:rFonts w:ascii="Book Antiqua" w:eastAsia="Book Antiqua" w:hAnsi="Book Antiqua" w:cs="Book Antiqua"/>
          <w:b/>
          <w:bCs/>
          <w:color w:val="000000"/>
        </w:rPr>
        <w:t>Flores JE</w:t>
      </w:r>
      <w:r w:rsidRPr="009D4018">
        <w:rPr>
          <w:rFonts w:ascii="Book Antiqua" w:eastAsia="Book Antiqua" w:hAnsi="Book Antiqua" w:cs="Book Antiqua"/>
          <w:color w:val="000000"/>
        </w:rPr>
        <w:t xml:space="preserve">, Chitturi S, Walker S. Drug-Induced Liver Injury by Selective Androgenic Receptor Modulators. </w:t>
      </w:r>
      <w:r w:rsidRPr="009D4018">
        <w:rPr>
          <w:rFonts w:ascii="Book Antiqua" w:eastAsia="Book Antiqua" w:hAnsi="Book Antiqua" w:cs="Book Antiqua"/>
          <w:i/>
          <w:iCs/>
          <w:color w:val="000000"/>
        </w:rPr>
        <w:t>Hepatol Commun</w:t>
      </w:r>
      <w:r w:rsidRPr="009D4018">
        <w:rPr>
          <w:rFonts w:ascii="Book Antiqua" w:eastAsia="Book Antiqua" w:hAnsi="Book Antiqua" w:cs="Book Antiqua"/>
          <w:color w:val="000000"/>
        </w:rPr>
        <w:t xml:space="preserve"> 2020; </w:t>
      </w:r>
      <w:r w:rsidRPr="009D4018">
        <w:rPr>
          <w:rFonts w:ascii="Book Antiqua" w:eastAsia="Book Antiqua" w:hAnsi="Book Antiqua" w:cs="Book Antiqua"/>
          <w:b/>
          <w:bCs/>
          <w:color w:val="000000"/>
        </w:rPr>
        <w:t>4</w:t>
      </w:r>
      <w:r w:rsidRPr="009D4018">
        <w:rPr>
          <w:rFonts w:ascii="Book Antiqua" w:eastAsia="Book Antiqua" w:hAnsi="Book Antiqua" w:cs="Book Antiqua"/>
          <w:color w:val="000000"/>
        </w:rPr>
        <w:t>: 450-452 [PMID: 32140660 DOI: 10.1002/hep4.1456]</w:t>
      </w:r>
    </w:p>
    <w:p w14:paraId="18BFD31E"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15 </w:t>
      </w:r>
      <w:r w:rsidRPr="009D4018">
        <w:rPr>
          <w:rFonts w:ascii="Book Antiqua" w:eastAsia="Book Antiqua" w:hAnsi="Book Antiqua" w:cs="Book Antiqua"/>
          <w:b/>
          <w:bCs/>
          <w:color w:val="000000"/>
        </w:rPr>
        <w:t>Barbara M</w:t>
      </w:r>
      <w:r w:rsidRPr="009D4018">
        <w:rPr>
          <w:rFonts w:ascii="Book Antiqua" w:eastAsia="Book Antiqua" w:hAnsi="Book Antiqua" w:cs="Book Antiqua"/>
          <w:color w:val="000000"/>
        </w:rPr>
        <w:t xml:space="preserve">, Dhingra S, Mindikoglu AL. Ligandrol (LGD-4033)-Induced Liver Injury. </w:t>
      </w:r>
      <w:r w:rsidRPr="009D4018">
        <w:rPr>
          <w:rFonts w:ascii="Book Antiqua" w:eastAsia="Book Antiqua" w:hAnsi="Book Antiqua" w:cs="Book Antiqua"/>
          <w:i/>
          <w:iCs/>
          <w:color w:val="000000"/>
        </w:rPr>
        <w:t>ACG Case Rep J</w:t>
      </w:r>
      <w:r w:rsidRPr="009D4018">
        <w:rPr>
          <w:rFonts w:ascii="Book Antiqua" w:eastAsia="Book Antiqua" w:hAnsi="Book Antiqua" w:cs="Book Antiqua"/>
          <w:color w:val="000000"/>
        </w:rPr>
        <w:t xml:space="preserve"> 2020; </w:t>
      </w:r>
      <w:r w:rsidRPr="009D4018">
        <w:rPr>
          <w:rFonts w:ascii="Book Antiqua" w:eastAsia="Book Antiqua" w:hAnsi="Book Antiqua" w:cs="Book Antiqua"/>
          <w:b/>
          <w:bCs/>
          <w:color w:val="000000"/>
        </w:rPr>
        <w:t>7</w:t>
      </w:r>
      <w:r w:rsidRPr="009D4018">
        <w:rPr>
          <w:rFonts w:ascii="Book Antiqua" w:eastAsia="Book Antiqua" w:hAnsi="Book Antiqua" w:cs="Book Antiqua"/>
          <w:color w:val="000000"/>
        </w:rPr>
        <w:t>: e00370 [PMID: 32637435 DOI: 10.14309/crj.0000000000000370]</w:t>
      </w:r>
    </w:p>
    <w:p w14:paraId="1212E9A3"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16 </w:t>
      </w:r>
      <w:r w:rsidRPr="009D4018">
        <w:rPr>
          <w:rFonts w:ascii="Book Antiqua" w:eastAsia="Book Antiqua" w:hAnsi="Book Antiqua" w:cs="Book Antiqua"/>
          <w:b/>
          <w:bCs/>
          <w:color w:val="000000"/>
        </w:rPr>
        <w:t>Danan G</w:t>
      </w:r>
      <w:r w:rsidRPr="009D4018">
        <w:rPr>
          <w:rFonts w:ascii="Book Antiqua" w:eastAsia="Book Antiqua" w:hAnsi="Book Antiqua" w:cs="Book Antiqua"/>
          <w:color w:val="000000"/>
        </w:rPr>
        <w:t xml:space="preserve">, Benichou C. Causality assessment of adverse reactions to drugs--I. A novel method based on the conclusions of international consensus meetings: application to drug-induced liver injuries. </w:t>
      </w:r>
      <w:r w:rsidRPr="009D4018">
        <w:rPr>
          <w:rFonts w:ascii="Book Antiqua" w:eastAsia="Book Antiqua" w:hAnsi="Book Antiqua" w:cs="Book Antiqua"/>
          <w:i/>
          <w:iCs/>
          <w:color w:val="000000"/>
        </w:rPr>
        <w:t>J Clin Epidemiol</w:t>
      </w:r>
      <w:r w:rsidRPr="009D4018">
        <w:rPr>
          <w:rFonts w:ascii="Book Antiqua" w:eastAsia="Book Antiqua" w:hAnsi="Book Antiqua" w:cs="Book Antiqua"/>
          <w:color w:val="000000"/>
        </w:rPr>
        <w:t xml:space="preserve"> 1993; </w:t>
      </w:r>
      <w:r w:rsidRPr="009D4018">
        <w:rPr>
          <w:rFonts w:ascii="Book Antiqua" w:eastAsia="Book Antiqua" w:hAnsi="Book Antiqua" w:cs="Book Antiqua"/>
          <w:b/>
          <w:bCs/>
          <w:color w:val="000000"/>
        </w:rPr>
        <w:t>46</w:t>
      </w:r>
      <w:r w:rsidRPr="009D4018">
        <w:rPr>
          <w:rFonts w:ascii="Book Antiqua" w:eastAsia="Book Antiqua" w:hAnsi="Book Antiqua" w:cs="Book Antiqua"/>
          <w:color w:val="000000"/>
        </w:rPr>
        <w:t>: 1323-1330 [PMID: 8229110 DOI: 10.1016/0895-4356(93)90101-6]</w:t>
      </w:r>
    </w:p>
    <w:p w14:paraId="7A99CD7B"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17 </w:t>
      </w:r>
      <w:r w:rsidRPr="009D4018">
        <w:rPr>
          <w:rFonts w:ascii="Book Antiqua" w:eastAsia="Book Antiqua" w:hAnsi="Book Antiqua" w:cs="Book Antiqua"/>
          <w:b/>
          <w:bCs/>
          <w:color w:val="000000"/>
        </w:rPr>
        <w:t>Fragkaki AG</w:t>
      </w:r>
      <w:r w:rsidRPr="009D4018">
        <w:rPr>
          <w:rFonts w:ascii="Book Antiqua" w:eastAsia="Book Antiqua" w:hAnsi="Book Antiqua" w:cs="Book Antiqua"/>
          <w:color w:val="000000"/>
        </w:rPr>
        <w:t xml:space="preserve">, Sakellariou P, Kiousi P, Kioukia-Fougia N, Tsivou M, Petrou M, Angelis Y. Human </w:t>
      </w:r>
      <w:r w:rsidRPr="009D4018">
        <w:rPr>
          <w:rFonts w:ascii="Book Antiqua" w:eastAsia="Book Antiqua" w:hAnsi="Book Antiqua" w:cs="Book Antiqua"/>
          <w:i/>
          <w:iCs/>
          <w:color w:val="000000"/>
        </w:rPr>
        <w:t>in vivo</w:t>
      </w:r>
      <w:r w:rsidRPr="009D4018">
        <w:rPr>
          <w:rFonts w:ascii="Book Antiqua" w:eastAsia="Book Antiqua" w:hAnsi="Book Antiqua" w:cs="Book Antiqua"/>
          <w:color w:val="000000"/>
        </w:rPr>
        <w:t xml:space="preserve"> metabolism study of LGD-4033. </w:t>
      </w:r>
      <w:r w:rsidRPr="009D4018">
        <w:rPr>
          <w:rFonts w:ascii="Book Antiqua" w:eastAsia="Book Antiqua" w:hAnsi="Book Antiqua" w:cs="Book Antiqua"/>
          <w:i/>
          <w:iCs/>
          <w:color w:val="000000"/>
        </w:rPr>
        <w:t>Drug Test Anal</w:t>
      </w:r>
      <w:r w:rsidRPr="009D4018">
        <w:rPr>
          <w:rFonts w:ascii="Book Antiqua" w:eastAsia="Book Antiqua" w:hAnsi="Book Antiqua" w:cs="Book Antiqua"/>
          <w:color w:val="000000"/>
        </w:rPr>
        <w:t xml:space="preserve"> 2018; </w:t>
      </w:r>
      <w:r w:rsidRPr="009D4018">
        <w:rPr>
          <w:rFonts w:ascii="Book Antiqua" w:eastAsia="Book Antiqua" w:hAnsi="Book Antiqua" w:cs="Book Antiqua"/>
          <w:b/>
          <w:bCs/>
          <w:color w:val="000000"/>
        </w:rPr>
        <w:t>10</w:t>
      </w:r>
      <w:r w:rsidRPr="009D4018">
        <w:rPr>
          <w:rFonts w:ascii="Book Antiqua" w:eastAsia="Book Antiqua" w:hAnsi="Book Antiqua" w:cs="Book Antiqua"/>
          <w:color w:val="000000"/>
        </w:rPr>
        <w:t>: 1635-1645 [PMID: 30255601 DOI: 10.1002/dta.2512]</w:t>
      </w:r>
    </w:p>
    <w:p w14:paraId="796CDB85"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18 </w:t>
      </w:r>
      <w:r w:rsidRPr="009D4018">
        <w:rPr>
          <w:rFonts w:ascii="Book Antiqua" w:eastAsia="Book Antiqua" w:hAnsi="Book Antiqua" w:cs="Book Antiqua"/>
          <w:b/>
          <w:bCs/>
          <w:color w:val="000000"/>
        </w:rPr>
        <w:t>Basaria S</w:t>
      </w:r>
      <w:r w:rsidRPr="009D4018">
        <w:rPr>
          <w:rFonts w:ascii="Book Antiqua" w:eastAsia="Book Antiqua" w:hAnsi="Book Antiqua" w:cs="Book Antiqua"/>
          <w:color w:val="000000"/>
        </w:rPr>
        <w:t xml:space="preserve">, Collins L, Dillon EL, Orwoll K, Storer TW, Miciek R, Ulloor J, Zhang A, Eder R, Zientek H, Gordon G, Kazmi S, Sheffield-Moore M, Bhasin S. The safety, pharmacokinetics, and effects of LGD-4033, a novel nonsteroidal oral, selective androgen receptor modulator, in healthy young men. </w:t>
      </w:r>
      <w:r w:rsidRPr="009D4018">
        <w:rPr>
          <w:rFonts w:ascii="Book Antiqua" w:eastAsia="Book Antiqua" w:hAnsi="Book Antiqua" w:cs="Book Antiqua"/>
          <w:i/>
          <w:iCs/>
          <w:color w:val="000000"/>
        </w:rPr>
        <w:t>J Gerontol A Biol Sci Med Sci</w:t>
      </w:r>
      <w:r w:rsidRPr="009D4018">
        <w:rPr>
          <w:rFonts w:ascii="Book Antiqua" w:eastAsia="Book Antiqua" w:hAnsi="Book Antiqua" w:cs="Book Antiqua"/>
          <w:color w:val="000000"/>
        </w:rPr>
        <w:t xml:space="preserve"> 2013; </w:t>
      </w:r>
      <w:r w:rsidRPr="009D4018">
        <w:rPr>
          <w:rFonts w:ascii="Book Antiqua" w:eastAsia="Book Antiqua" w:hAnsi="Book Antiqua" w:cs="Book Antiqua"/>
          <w:b/>
          <w:bCs/>
          <w:color w:val="000000"/>
        </w:rPr>
        <w:t>68</w:t>
      </w:r>
      <w:r w:rsidRPr="009D4018">
        <w:rPr>
          <w:rFonts w:ascii="Book Antiqua" w:eastAsia="Book Antiqua" w:hAnsi="Book Antiqua" w:cs="Book Antiqua"/>
          <w:color w:val="000000"/>
        </w:rPr>
        <w:t>: 87-95 [PMID: 22459616 DOI: 10.1093/gerona/gls078]</w:t>
      </w:r>
    </w:p>
    <w:p w14:paraId="602E76A0"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19 </w:t>
      </w:r>
      <w:r w:rsidRPr="009D4018">
        <w:rPr>
          <w:rFonts w:ascii="Book Antiqua" w:eastAsia="Book Antiqua" w:hAnsi="Book Antiqua" w:cs="Book Antiqua"/>
          <w:b/>
          <w:bCs/>
          <w:color w:val="000000"/>
        </w:rPr>
        <w:t>Griffiths S</w:t>
      </w:r>
      <w:r w:rsidRPr="009D4018">
        <w:rPr>
          <w:rFonts w:ascii="Book Antiqua" w:eastAsia="Book Antiqua" w:hAnsi="Book Antiqua" w:cs="Book Antiqua"/>
          <w:color w:val="000000"/>
        </w:rPr>
        <w:t xml:space="preserve">, Henshaw R, Mckay FH, Dunn M. Post-cycle therapy for performance and image enhancing drug users: A qualitative investigation. </w:t>
      </w:r>
      <w:r w:rsidRPr="009D4018">
        <w:rPr>
          <w:rFonts w:ascii="Book Antiqua" w:eastAsia="Book Antiqua" w:hAnsi="Book Antiqua" w:cs="Book Antiqua"/>
          <w:i/>
          <w:color w:val="000000"/>
        </w:rPr>
        <w:t>Perform Enhanc Heal</w:t>
      </w:r>
      <w:r w:rsidR="007D6309" w:rsidRPr="009D4018">
        <w:rPr>
          <w:rFonts w:ascii="Book Antiqua" w:eastAsia="Book Antiqua" w:hAnsi="Book Antiqua" w:cs="Book Antiqua"/>
          <w:i/>
          <w:color w:val="000000"/>
        </w:rPr>
        <w:t xml:space="preserve"> </w:t>
      </w:r>
      <w:r w:rsidRPr="009D4018">
        <w:rPr>
          <w:rFonts w:ascii="Book Antiqua" w:eastAsia="Book Antiqua" w:hAnsi="Book Antiqua" w:cs="Book Antiqua"/>
          <w:color w:val="000000"/>
        </w:rPr>
        <w:t>2017;</w:t>
      </w:r>
      <w:r w:rsidR="002C2454" w:rsidRPr="009D4018">
        <w:rPr>
          <w:rFonts w:ascii="Book Antiqua" w:eastAsia="Book Antiqua" w:hAnsi="Book Antiqua" w:cs="Book Antiqua"/>
          <w:color w:val="000000"/>
        </w:rPr>
        <w:t xml:space="preserve"> </w:t>
      </w:r>
      <w:r w:rsidRPr="009D4018">
        <w:rPr>
          <w:rFonts w:ascii="Book Antiqua" w:eastAsia="Book Antiqua" w:hAnsi="Book Antiqua" w:cs="Book Antiqua"/>
          <w:b/>
          <w:color w:val="000000"/>
        </w:rPr>
        <w:t>5</w:t>
      </w:r>
      <w:r w:rsidRPr="009D4018">
        <w:rPr>
          <w:rFonts w:ascii="Book Antiqua" w:eastAsia="Book Antiqua" w:hAnsi="Book Antiqua" w:cs="Book Antiqua"/>
          <w:color w:val="000000"/>
        </w:rPr>
        <w:t>:</w:t>
      </w:r>
      <w:r w:rsidR="002C2454"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103</w:t>
      </w:r>
      <w:r w:rsidR="005B4B31" w:rsidRPr="009D4018">
        <w:rPr>
          <w:rFonts w:ascii="Book Antiqua" w:eastAsia="Book Antiqua" w:hAnsi="Book Antiqua" w:cs="Book Antiqua"/>
          <w:color w:val="000000"/>
        </w:rPr>
        <w:t>-</w:t>
      </w:r>
      <w:r w:rsidR="002C2454" w:rsidRPr="009D4018">
        <w:rPr>
          <w:rFonts w:ascii="Book Antiqua" w:eastAsia="Book Antiqua" w:hAnsi="Book Antiqua" w:cs="Book Antiqua"/>
          <w:color w:val="000000"/>
        </w:rPr>
        <w:t>10</w:t>
      </w:r>
      <w:r w:rsidRPr="009D4018">
        <w:rPr>
          <w:rFonts w:ascii="Book Antiqua" w:eastAsia="Book Antiqua" w:hAnsi="Book Antiqua" w:cs="Book Antiqua"/>
          <w:color w:val="000000"/>
        </w:rPr>
        <w:t>7 [DOI: 10.1016/j.peh.2016.11.002]</w:t>
      </w:r>
    </w:p>
    <w:p w14:paraId="7189B4F5" w14:textId="592E5756"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highlight w:val="yellow"/>
        </w:rPr>
        <w:t>20</w:t>
      </w:r>
      <w:r w:rsidR="007D6309" w:rsidRPr="009D4018">
        <w:rPr>
          <w:rFonts w:ascii="Book Antiqua" w:eastAsia="Book Antiqua" w:hAnsi="Book Antiqua" w:cs="Book Antiqua"/>
          <w:color w:val="000000"/>
          <w:highlight w:val="yellow"/>
        </w:rPr>
        <w:t xml:space="preserve"> </w:t>
      </w:r>
      <w:r w:rsidRPr="009D4018">
        <w:rPr>
          <w:rFonts w:ascii="Book Antiqua" w:eastAsia="Book Antiqua" w:hAnsi="Book Antiqua" w:cs="Book Antiqua"/>
          <w:b/>
          <w:color w:val="000000"/>
          <w:highlight w:val="yellow"/>
        </w:rPr>
        <w:t>Chaillet P</w:t>
      </w:r>
      <w:r w:rsidRPr="009D4018">
        <w:rPr>
          <w:rFonts w:ascii="Book Antiqua" w:eastAsia="Book Antiqua" w:hAnsi="Book Antiqua" w:cs="Book Antiqua"/>
          <w:color w:val="000000"/>
          <w:highlight w:val="yellow"/>
        </w:rPr>
        <w:t>. Hepatox version 1.8.5. 2020</w:t>
      </w:r>
      <w:r w:rsidR="00D55B9E" w:rsidRPr="009D4018">
        <w:rPr>
          <w:rFonts w:ascii="Book Antiqua" w:eastAsia="Book Antiqua" w:hAnsi="Book Antiqua" w:cs="Book Antiqua"/>
          <w:color w:val="000000"/>
          <w:highlight w:val="yellow"/>
        </w:rPr>
        <w:t>.</w:t>
      </w:r>
      <w:r w:rsidR="007D6309" w:rsidRPr="009D4018">
        <w:rPr>
          <w:rFonts w:ascii="Book Antiqua" w:eastAsia="Book Antiqua" w:hAnsi="Book Antiqua" w:cs="Book Antiqua"/>
          <w:color w:val="000000"/>
          <w:highlight w:val="yellow"/>
        </w:rPr>
        <w:t xml:space="preserve"> </w:t>
      </w:r>
      <w:bookmarkStart w:id="6" w:name="OLE_LINK2694"/>
      <w:bookmarkStart w:id="7" w:name="OLE_LINK2695"/>
      <w:r w:rsidR="00FD7E69" w:rsidRPr="009D4018">
        <w:rPr>
          <w:rFonts w:ascii="Book Antiqua" w:eastAsia="Book Antiqua" w:hAnsi="Book Antiqua" w:cs="Book Antiqua"/>
          <w:color w:val="000000"/>
          <w:highlight w:val="yellow"/>
        </w:rPr>
        <w:t>[cited</w:t>
      </w:r>
      <w:r w:rsidR="00FD7E69" w:rsidRPr="009D4018">
        <w:rPr>
          <w:highlight w:val="yellow"/>
        </w:rPr>
        <w:t xml:space="preserve"> 20 </w:t>
      </w:r>
      <w:r w:rsidR="00FD7E69" w:rsidRPr="009D4018">
        <w:rPr>
          <w:rFonts w:ascii="Book Antiqua" w:eastAsia="Book Antiqua" w:hAnsi="Book Antiqua" w:cs="Book Antiqua"/>
          <w:color w:val="000000"/>
          <w:highlight w:val="yellow"/>
        </w:rPr>
        <w:t xml:space="preserve">January 2021]. </w:t>
      </w:r>
      <w:bookmarkEnd w:id="6"/>
      <w:bookmarkEnd w:id="7"/>
      <w:r w:rsidR="007E5DDD" w:rsidRPr="009D4018">
        <w:rPr>
          <w:rFonts w:ascii="Book Antiqua" w:eastAsia="Book Antiqua" w:hAnsi="Book Antiqua" w:cs="Book Antiqua"/>
          <w:color w:val="000000"/>
          <w:highlight w:val="yellow"/>
        </w:rPr>
        <w:t xml:space="preserve">Available from: </w:t>
      </w:r>
      <w:r w:rsidRPr="009D4018">
        <w:rPr>
          <w:rFonts w:ascii="Book Antiqua" w:eastAsia="Book Antiqua" w:hAnsi="Book Antiqua" w:cs="Book Antiqua"/>
          <w:color w:val="000000"/>
          <w:highlight w:val="yellow"/>
        </w:rPr>
        <w:t>https://itunes.apple.com/us/app/hepatox/id48973847</w:t>
      </w:r>
    </w:p>
    <w:p w14:paraId="4AF01D3B" w14:textId="63AC107D"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highlight w:val="yellow"/>
        </w:rPr>
        <w:t>21</w:t>
      </w:r>
      <w:r w:rsidR="005D40CC" w:rsidRPr="009D4018">
        <w:rPr>
          <w:rFonts w:ascii="Book Antiqua" w:eastAsia="Book Antiqua" w:hAnsi="Book Antiqua" w:cs="Book Antiqua"/>
          <w:color w:val="000000"/>
          <w:highlight w:val="yellow"/>
        </w:rPr>
        <w:t xml:space="preserve"> </w:t>
      </w:r>
      <w:bookmarkStart w:id="8" w:name="OLE_LINK2696"/>
      <w:bookmarkStart w:id="9" w:name="OLE_LINK2697"/>
      <w:r w:rsidRPr="009D4018">
        <w:rPr>
          <w:rFonts w:ascii="Book Antiqua" w:eastAsia="Book Antiqua" w:hAnsi="Book Antiqua" w:cs="Book Antiqua"/>
          <w:b/>
          <w:bCs/>
          <w:color w:val="000000"/>
          <w:highlight w:val="yellow"/>
        </w:rPr>
        <w:t>Livertox</w:t>
      </w:r>
      <w:bookmarkEnd w:id="8"/>
      <w:bookmarkEnd w:id="9"/>
      <w:r w:rsidRPr="009D4018">
        <w:rPr>
          <w:rFonts w:ascii="Book Antiqua" w:eastAsia="Book Antiqua" w:hAnsi="Book Antiqua" w:cs="Book Antiqua"/>
          <w:color w:val="000000"/>
          <w:highlight w:val="yellow"/>
        </w:rPr>
        <w:t xml:space="preserve">. </w:t>
      </w:r>
      <w:r w:rsidR="00F12F0F" w:rsidRPr="009D4018">
        <w:rPr>
          <w:rFonts w:ascii="Book Antiqua" w:eastAsia="Book Antiqua" w:hAnsi="Book Antiqua" w:cs="Book Antiqua"/>
          <w:color w:val="000000"/>
          <w:highlight w:val="yellow"/>
        </w:rPr>
        <w:t xml:space="preserve">LiverTox: Clinical and Research Information on Drug-Induced Liver Injury. </w:t>
      </w:r>
      <w:r w:rsidRPr="009D4018">
        <w:rPr>
          <w:rFonts w:ascii="Book Antiqua" w:eastAsia="Book Antiqua" w:hAnsi="Book Antiqua" w:cs="Book Antiqua"/>
          <w:color w:val="000000"/>
          <w:highlight w:val="yellow"/>
        </w:rPr>
        <w:t>[cited</w:t>
      </w:r>
      <w:r w:rsidR="005D40CC" w:rsidRPr="009D4018">
        <w:rPr>
          <w:rFonts w:ascii="Book Antiqua" w:eastAsia="Book Antiqua" w:hAnsi="Book Antiqua" w:cs="Book Antiqua"/>
          <w:color w:val="000000"/>
          <w:highlight w:val="yellow"/>
        </w:rPr>
        <w:t xml:space="preserve"> </w:t>
      </w:r>
      <w:r w:rsidR="00FD7E69" w:rsidRPr="009D4018">
        <w:rPr>
          <w:rFonts w:ascii="Book Antiqua" w:eastAsia="Book Antiqua" w:hAnsi="Book Antiqua" w:cs="Book Antiqua"/>
          <w:color w:val="000000"/>
          <w:highlight w:val="yellow"/>
        </w:rPr>
        <w:t xml:space="preserve">15 </w:t>
      </w:r>
      <w:r w:rsidRPr="009D4018">
        <w:rPr>
          <w:rFonts w:ascii="Book Antiqua" w:eastAsia="Book Antiqua" w:hAnsi="Book Antiqua" w:cs="Book Antiqua"/>
          <w:color w:val="000000"/>
          <w:highlight w:val="yellow"/>
        </w:rPr>
        <w:t>Sep</w:t>
      </w:r>
      <w:r w:rsidR="00FD7E69" w:rsidRPr="009D4018">
        <w:rPr>
          <w:rFonts w:ascii="Book Antiqua" w:eastAsia="Book Antiqua" w:hAnsi="Book Antiqua" w:cs="Book Antiqua"/>
          <w:color w:val="000000"/>
          <w:highlight w:val="yellow"/>
        </w:rPr>
        <w:t>tember</w:t>
      </w:r>
      <w:r w:rsidR="005B2B53" w:rsidRPr="009D4018">
        <w:rPr>
          <w:rFonts w:ascii="Book Antiqua" w:eastAsia="Book Antiqua" w:hAnsi="Book Antiqua" w:cs="Book Antiqua"/>
          <w:color w:val="000000"/>
          <w:highlight w:val="yellow"/>
        </w:rPr>
        <w:t xml:space="preserve"> 2020</w:t>
      </w:r>
      <w:r w:rsidRPr="009D4018">
        <w:rPr>
          <w:rFonts w:ascii="Book Antiqua" w:eastAsia="Book Antiqua" w:hAnsi="Book Antiqua" w:cs="Book Antiqua"/>
          <w:color w:val="000000"/>
          <w:highlight w:val="yellow"/>
        </w:rPr>
        <w:t>]</w:t>
      </w:r>
      <w:r w:rsidR="00FD7E69" w:rsidRPr="009D4018">
        <w:rPr>
          <w:rFonts w:ascii="Book Antiqua" w:eastAsia="Book Antiqua" w:hAnsi="Book Antiqua" w:cs="Book Antiqua"/>
          <w:color w:val="000000"/>
          <w:highlight w:val="yellow"/>
        </w:rPr>
        <w:t>.</w:t>
      </w:r>
      <w:r w:rsidR="005B2B53" w:rsidRPr="009D4018">
        <w:rPr>
          <w:rFonts w:ascii="Book Antiqua" w:eastAsia="Book Antiqua" w:hAnsi="Book Antiqua" w:cs="Book Antiqua"/>
          <w:color w:val="000000"/>
          <w:highlight w:val="yellow"/>
        </w:rPr>
        <w:t xml:space="preserve"> </w:t>
      </w:r>
      <w:r w:rsidRPr="009D4018">
        <w:rPr>
          <w:rFonts w:ascii="Book Antiqua" w:eastAsia="Book Antiqua" w:hAnsi="Book Antiqua" w:cs="Book Antiqua"/>
          <w:color w:val="000000"/>
          <w:highlight w:val="yellow"/>
        </w:rPr>
        <w:t xml:space="preserve">Available from: </w:t>
      </w:r>
      <w:r w:rsidR="005B2B53" w:rsidRPr="009D4018">
        <w:rPr>
          <w:rFonts w:ascii="Book Antiqua" w:eastAsia="Book Antiqua" w:hAnsi="Book Antiqua" w:cs="Book Antiqua"/>
          <w:color w:val="000000"/>
          <w:highlight w:val="yellow"/>
        </w:rPr>
        <w:t>https://</w:t>
      </w:r>
      <w:r w:rsidRPr="009D4018">
        <w:rPr>
          <w:rFonts w:ascii="Book Antiqua" w:eastAsia="Book Antiqua" w:hAnsi="Book Antiqua" w:cs="Book Antiqua"/>
          <w:color w:val="000000"/>
          <w:highlight w:val="yellow"/>
        </w:rPr>
        <w:t>LiverTox.nih.gov</w:t>
      </w:r>
    </w:p>
    <w:p w14:paraId="789E2E95"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22 </w:t>
      </w:r>
      <w:r w:rsidRPr="009D4018">
        <w:rPr>
          <w:rFonts w:ascii="Book Antiqua" w:eastAsia="Book Antiqua" w:hAnsi="Book Antiqua" w:cs="Book Antiqua"/>
          <w:b/>
          <w:bCs/>
          <w:color w:val="000000"/>
        </w:rPr>
        <w:t>Martinez Brito D</w:t>
      </w:r>
      <w:r w:rsidRPr="009D4018">
        <w:rPr>
          <w:rFonts w:ascii="Book Antiqua" w:eastAsia="Book Antiqua" w:hAnsi="Book Antiqua" w:cs="Book Antiqua"/>
          <w:color w:val="000000"/>
        </w:rPr>
        <w:t xml:space="preserve">, de la Torre X, Botrè F. Detection of urinary metabolites of arimistane in humans by gas chromatography coupled to high-accuracy mass spectrometry for </w:t>
      </w:r>
      <w:r w:rsidRPr="009D4018">
        <w:rPr>
          <w:rFonts w:ascii="Book Antiqua" w:eastAsia="Book Antiqua" w:hAnsi="Book Antiqua" w:cs="Book Antiqua"/>
          <w:color w:val="000000"/>
        </w:rPr>
        <w:lastRenderedPageBreak/>
        <w:t xml:space="preserve">antidoping analyses. </w:t>
      </w:r>
      <w:r w:rsidRPr="009D4018">
        <w:rPr>
          <w:rFonts w:ascii="Book Antiqua" w:eastAsia="Book Antiqua" w:hAnsi="Book Antiqua" w:cs="Book Antiqua"/>
          <w:i/>
          <w:iCs/>
          <w:color w:val="000000"/>
        </w:rPr>
        <w:t>Rapid Commun Mass Spectrom</w:t>
      </w:r>
      <w:r w:rsidRPr="009D4018">
        <w:rPr>
          <w:rFonts w:ascii="Book Antiqua" w:eastAsia="Book Antiqua" w:hAnsi="Book Antiqua" w:cs="Book Antiqua"/>
          <w:color w:val="000000"/>
        </w:rPr>
        <w:t xml:space="preserve"> 2019; </w:t>
      </w:r>
      <w:r w:rsidRPr="009D4018">
        <w:rPr>
          <w:rFonts w:ascii="Book Antiqua" w:eastAsia="Book Antiqua" w:hAnsi="Book Antiqua" w:cs="Book Antiqua"/>
          <w:b/>
          <w:bCs/>
          <w:color w:val="000000"/>
        </w:rPr>
        <w:t>33</w:t>
      </w:r>
      <w:r w:rsidRPr="009D4018">
        <w:rPr>
          <w:rFonts w:ascii="Book Antiqua" w:eastAsia="Book Antiqua" w:hAnsi="Book Antiqua" w:cs="Book Antiqua"/>
          <w:color w:val="000000"/>
        </w:rPr>
        <w:t>: 1894-1905 [PMID: 31295379 DOI: 10.1002/rcm.8529]</w:t>
      </w:r>
    </w:p>
    <w:p w14:paraId="676DF546" w14:textId="7A2970AD" w:rsidR="00A77B3E" w:rsidRPr="008F69FE" w:rsidRDefault="00766A26">
      <w:pPr>
        <w:spacing w:line="360" w:lineRule="auto"/>
        <w:jc w:val="both"/>
        <w:rPr>
          <w:rFonts w:ascii="Book Antiqua" w:hAnsi="Book Antiqua"/>
        </w:rPr>
      </w:pPr>
      <w:r w:rsidRPr="009D4018">
        <w:rPr>
          <w:rFonts w:ascii="Book Antiqua" w:eastAsia="Book Antiqua" w:hAnsi="Book Antiqua" w:cs="Book Antiqua"/>
          <w:color w:val="000000"/>
          <w:highlight w:val="yellow"/>
        </w:rPr>
        <w:t>23</w:t>
      </w:r>
      <w:r w:rsidR="003759A7" w:rsidRPr="009D4018">
        <w:rPr>
          <w:rFonts w:ascii="Book Antiqua" w:eastAsia="Book Antiqua" w:hAnsi="Book Antiqua" w:cs="Book Antiqua"/>
          <w:color w:val="000000"/>
          <w:highlight w:val="yellow"/>
        </w:rPr>
        <w:t xml:space="preserve"> </w:t>
      </w:r>
      <w:r w:rsidR="003759A7" w:rsidRPr="009D4018">
        <w:rPr>
          <w:rFonts w:ascii="Book Antiqua" w:eastAsia="Book Antiqua" w:hAnsi="Book Antiqua" w:cs="Book Antiqua"/>
          <w:b/>
          <w:color w:val="000000"/>
          <w:highlight w:val="yellow"/>
        </w:rPr>
        <w:t xml:space="preserve">Úradu </w:t>
      </w:r>
      <w:r w:rsidR="003759A7" w:rsidRPr="009D4018">
        <w:rPr>
          <w:rFonts w:ascii="Book Antiqua" w:eastAsia="Book Antiqua" w:hAnsi="Book Antiqua" w:cs="Book Antiqua"/>
          <w:b/>
          <w:caps/>
          <w:color w:val="000000"/>
          <w:highlight w:val="yellow"/>
        </w:rPr>
        <w:t>v</w:t>
      </w:r>
      <w:r w:rsidR="003759A7" w:rsidRPr="009D4018">
        <w:rPr>
          <w:rFonts w:ascii="Book Antiqua" w:eastAsia="Book Antiqua" w:hAnsi="Book Antiqua" w:cs="Book Antiqua"/>
          <w:b/>
          <w:color w:val="000000"/>
          <w:highlight w:val="yellow"/>
        </w:rPr>
        <w:t xml:space="preserve">erejného </w:t>
      </w:r>
      <w:r w:rsidR="003759A7" w:rsidRPr="009D4018">
        <w:rPr>
          <w:rFonts w:ascii="Book Antiqua" w:eastAsia="Book Antiqua" w:hAnsi="Book Antiqua" w:cs="Book Antiqua"/>
          <w:b/>
          <w:caps/>
          <w:color w:val="000000"/>
          <w:highlight w:val="yellow"/>
        </w:rPr>
        <w:t>z</w:t>
      </w:r>
      <w:r w:rsidR="003759A7" w:rsidRPr="009D4018">
        <w:rPr>
          <w:rFonts w:ascii="Book Antiqua" w:eastAsia="Book Antiqua" w:hAnsi="Book Antiqua" w:cs="Book Antiqua"/>
          <w:b/>
          <w:color w:val="000000"/>
          <w:highlight w:val="yellow"/>
        </w:rPr>
        <w:t xml:space="preserve">dravotníctva Slovenskej </w:t>
      </w:r>
      <w:r w:rsidR="003759A7" w:rsidRPr="009D4018">
        <w:rPr>
          <w:rFonts w:ascii="Book Antiqua" w:eastAsia="Book Antiqua" w:hAnsi="Book Antiqua" w:cs="Book Antiqua"/>
          <w:b/>
          <w:caps/>
          <w:color w:val="000000"/>
          <w:highlight w:val="yellow"/>
        </w:rPr>
        <w:t>r</w:t>
      </w:r>
      <w:r w:rsidR="003759A7" w:rsidRPr="009D4018">
        <w:rPr>
          <w:rFonts w:ascii="Book Antiqua" w:eastAsia="Book Antiqua" w:hAnsi="Book Antiqua" w:cs="Book Antiqua"/>
          <w:b/>
          <w:color w:val="000000"/>
          <w:highlight w:val="yellow"/>
        </w:rPr>
        <w:t>epubliky</w:t>
      </w:r>
      <w:r w:rsidRPr="009D4018">
        <w:rPr>
          <w:rFonts w:ascii="Book Antiqua" w:eastAsia="Book Antiqua" w:hAnsi="Book Antiqua" w:cs="Book Antiqua"/>
          <w:color w:val="000000"/>
          <w:highlight w:val="yellow"/>
        </w:rPr>
        <w:t>. Informácia o výskyte škodlivého výrobku – výživový doplnok obsahujúci anabolické steroidy. 2020</w:t>
      </w:r>
      <w:r w:rsidR="003759A7" w:rsidRPr="009D4018">
        <w:rPr>
          <w:rFonts w:ascii="Book Antiqua" w:eastAsia="Book Antiqua" w:hAnsi="Book Antiqua" w:cs="Book Antiqua"/>
          <w:color w:val="000000"/>
          <w:highlight w:val="yellow"/>
        </w:rPr>
        <w:t xml:space="preserve">. </w:t>
      </w:r>
      <w:r w:rsidR="00FD7E69" w:rsidRPr="009D4018">
        <w:rPr>
          <w:rFonts w:ascii="Book Antiqua" w:eastAsia="Book Antiqua" w:hAnsi="Book Antiqua" w:cs="Book Antiqua"/>
          <w:color w:val="000000"/>
          <w:highlight w:val="yellow"/>
        </w:rPr>
        <w:t>[cited</w:t>
      </w:r>
      <w:r w:rsidR="00FD7E69" w:rsidRPr="009D4018">
        <w:rPr>
          <w:highlight w:val="yellow"/>
        </w:rPr>
        <w:t xml:space="preserve"> 20 </w:t>
      </w:r>
      <w:r w:rsidR="00FD7E69" w:rsidRPr="009D4018">
        <w:rPr>
          <w:rFonts w:ascii="Book Antiqua" w:eastAsia="Book Antiqua" w:hAnsi="Book Antiqua" w:cs="Book Antiqua"/>
          <w:color w:val="000000"/>
          <w:highlight w:val="yellow"/>
        </w:rPr>
        <w:t xml:space="preserve">January 2021]. </w:t>
      </w:r>
      <w:r w:rsidRPr="009D4018">
        <w:rPr>
          <w:rFonts w:ascii="Book Antiqua" w:eastAsia="Book Antiqua" w:hAnsi="Book Antiqua" w:cs="Book Antiqua"/>
          <w:color w:val="000000"/>
          <w:highlight w:val="yellow"/>
        </w:rPr>
        <w:t xml:space="preserve">Available from: </w:t>
      </w:r>
      <w:hyperlink r:id="rId7" w:history="1">
        <w:r w:rsidR="003915D7" w:rsidRPr="008F69FE">
          <w:rPr>
            <w:rStyle w:val="Hyperlink"/>
            <w:rFonts w:ascii="Book Antiqua" w:eastAsia="Book Antiqua" w:hAnsi="Book Antiqua" w:cs="Book Antiqua"/>
            <w:highlight w:val="yellow"/>
          </w:rPr>
          <w:t>https://www.uvzsr.sk/index.php?option=com_content&amp;view=article&amp;id=4248:informacia-o-vyskyte-kodliveho-vyrobku-vyivovy-doplnok-obsahujuci-anabolicke-steroidy&amp;catid=95:informacie-pre-spotrebiteov</w:t>
        </w:r>
      </w:hyperlink>
      <w:r w:rsidR="003915D7" w:rsidRPr="009D4018">
        <w:rPr>
          <w:rFonts w:ascii="Book Antiqua" w:eastAsia="Book Antiqua" w:hAnsi="Book Antiqua" w:cs="Book Antiqua"/>
          <w:color w:val="000000"/>
        </w:rPr>
        <w:t xml:space="preserve"> </w:t>
      </w:r>
    </w:p>
    <w:p w14:paraId="0067750C"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24 </w:t>
      </w:r>
      <w:r w:rsidRPr="009D4018">
        <w:rPr>
          <w:rFonts w:ascii="Book Antiqua" w:eastAsia="Book Antiqua" w:hAnsi="Book Antiqua" w:cs="Book Antiqua"/>
          <w:b/>
          <w:bCs/>
          <w:color w:val="000000"/>
        </w:rPr>
        <w:t>Kolarić TO</w:t>
      </w:r>
      <w:r w:rsidRPr="009D4018">
        <w:rPr>
          <w:rFonts w:ascii="Book Antiqua" w:eastAsia="Book Antiqua" w:hAnsi="Book Antiqua" w:cs="Book Antiqua"/>
          <w:color w:val="000000"/>
        </w:rPr>
        <w:t xml:space="preserve">, Ninčević V, Smolić R, Smolić M, Wu GY. Mechanisms of Hepatic Cholestatic Drug Injury. </w:t>
      </w:r>
      <w:r w:rsidRPr="009D4018">
        <w:rPr>
          <w:rFonts w:ascii="Book Antiqua" w:eastAsia="Book Antiqua" w:hAnsi="Book Antiqua" w:cs="Book Antiqua"/>
          <w:i/>
          <w:iCs/>
          <w:color w:val="000000"/>
        </w:rPr>
        <w:t>J Clin Transl Hepatol</w:t>
      </w:r>
      <w:r w:rsidRPr="009D4018">
        <w:rPr>
          <w:rFonts w:ascii="Book Antiqua" w:eastAsia="Book Antiqua" w:hAnsi="Book Antiqua" w:cs="Book Antiqua"/>
          <w:color w:val="000000"/>
        </w:rPr>
        <w:t xml:space="preserve"> 2019; </w:t>
      </w:r>
      <w:r w:rsidRPr="009D4018">
        <w:rPr>
          <w:rFonts w:ascii="Book Antiqua" w:eastAsia="Book Antiqua" w:hAnsi="Book Antiqua" w:cs="Book Antiqua"/>
          <w:b/>
          <w:bCs/>
          <w:color w:val="000000"/>
        </w:rPr>
        <w:t>7</w:t>
      </w:r>
      <w:r w:rsidRPr="009D4018">
        <w:rPr>
          <w:rFonts w:ascii="Book Antiqua" w:eastAsia="Book Antiqua" w:hAnsi="Book Antiqua" w:cs="Book Antiqua"/>
          <w:color w:val="000000"/>
        </w:rPr>
        <w:t>: 86-92 [PMID: 30944824 DOI: 10.14218/JCTH.2018.00042]</w:t>
      </w:r>
    </w:p>
    <w:p w14:paraId="1C01EF14"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25 </w:t>
      </w:r>
      <w:r w:rsidRPr="009D4018">
        <w:rPr>
          <w:rFonts w:ascii="Book Antiqua" w:eastAsia="Book Antiqua" w:hAnsi="Book Antiqua" w:cs="Book Antiqua"/>
          <w:b/>
          <w:bCs/>
          <w:color w:val="000000"/>
        </w:rPr>
        <w:t>Geldof L</w:t>
      </w:r>
      <w:r w:rsidRPr="009D4018">
        <w:rPr>
          <w:rFonts w:ascii="Book Antiqua" w:eastAsia="Book Antiqua" w:hAnsi="Book Antiqua" w:cs="Book Antiqua"/>
          <w:color w:val="000000"/>
        </w:rPr>
        <w:t xml:space="preserve">, Pozo OJ, Lootens L, Morthier W, Van Eenoo P, Deventer K. In vitro metabolism study of a black market product containing SARM LGD-4033. </w:t>
      </w:r>
      <w:r w:rsidRPr="009D4018">
        <w:rPr>
          <w:rFonts w:ascii="Book Antiqua" w:eastAsia="Book Antiqua" w:hAnsi="Book Antiqua" w:cs="Book Antiqua"/>
          <w:i/>
          <w:iCs/>
          <w:color w:val="000000"/>
        </w:rPr>
        <w:t>Drug Test Anal</w:t>
      </w:r>
      <w:r w:rsidRPr="009D4018">
        <w:rPr>
          <w:rFonts w:ascii="Book Antiqua" w:eastAsia="Book Antiqua" w:hAnsi="Book Antiqua" w:cs="Book Antiqua"/>
          <w:color w:val="000000"/>
        </w:rPr>
        <w:t xml:space="preserve"> 2017; </w:t>
      </w:r>
      <w:r w:rsidRPr="009D4018">
        <w:rPr>
          <w:rFonts w:ascii="Book Antiqua" w:eastAsia="Book Antiqua" w:hAnsi="Book Antiqua" w:cs="Book Antiqua"/>
          <w:b/>
          <w:bCs/>
          <w:color w:val="000000"/>
        </w:rPr>
        <w:t>9</w:t>
      </w:r>
      <w:r w:rsidRPr="009D4018">
        <w:rPr>
          <w:rFonts w:ascii="Book Antiqua" w:eastAsia="Book Antiqua" w:hAnsi="Book Antiqua" w:cs="Book Antiqua"/>
          <w:color w:val="000000"/>
        </w:rPr>
        <w:t>: 168-178 [PMID: 26767942 DOI: 10.1002/dta.1930]</w:t>
      </w:r>
    </w:p>
    <w:p w14:paraId="113DA212" w14:textId="3C2EA428"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highlight w:val="yellow"/>
        </w:rPr>
        <w:t>26</w:t>
      </w:r>
      <w:r w:rsidR="001C2962" w:rsidRPr="009D4018">
        <w:rPr>
          <w:rFonts w:ascii="Book Antiqua" w:eastAsia="Book Antiqua" w:hAnsi="Book Antiqua" w:cs="Book Antiqua"/>
          <w:color w:val="000000"/>
          <w:highlight w:val="yellow"/>
        </w:rPr>
        <w:t xml:space="preserve"> </w:t>
      </w:r>
      <w:r w:rsidRPr="009D4018">
        <w:rPr>
          <w:rFonts w:ascii="Book Antiqua" w:eastAsia="Book Antiqua" w:hAnsi="Book Antiqua" w:cs="Book Antiqua"/>
          <w:b/>
          <w:color w:val="000000"/>
          <w:highlight w:val="yellow"/>
        </w:rPr>
        <w:t>Holderbaum A</w:t>
      </w:r>
      <w:r w:rsidRPr="009D4018">
        <w:rPr>
          <w:rFonts w:ascii="Book Antiqua" w:eastAsia="Book Antiqua" w:hAnsi="Book Antiqua" w:cs="Book Antiqua"/>
          <w:color w:val="000000"/>
          <w:highlight w:val="yellow"/>
        </w:rPr>
        <w:t xml:space="preserve">. Emerging Anabolic Drugs - Investigation of the </w:t>
      </w:r>
      <w:r w:rsidRPr="009D4018">
        <w:rPr>
          <w:rFonts w:ascii="Book Antiqua" w:eastAsia="Book Antiqua" w:hAnsi="Book Antiqua" w:cs="Book Antiqua"/>
          <w:i/>
          <w:iCs/>
          <w:color w:val="000000"/>
          <w:highlight w:val="yellow"/>
        </w:rPr>
        <w:t>in vitro</w:t>
      </w:r>
      <w:r w:rsidRPr="009D4018">
        <w:rPr>
          <w:rFonts w:ascii="Book Antiqua" w:eastAsia="Book Antiqua" w:hAnsi="Book Antiqua" w:cs="Book Antiqua"/>
          <w:color w:val="000000"/>
          <w:highlight w:val="yellow"/>
        </w:rPr>
        <w:t xml:space="preserve"> and </w:t>
      </w:r>
      <w:r w:rsidRPr="009D4018">
        <w:rPr>
          <w:rFonts w:ascii="Book Antiqua" w:eastAsia="Book Antiqua" w:hAnsi="Book Antiqua" w:cs="Book Antiqua"/>
          <w:i/>
          <w:iCs/>
          <w:color w:val="000000"/>
          <w:highlight w:val="yellow"/>
        </w:rPr>
        <w:t>in vivo</w:t>
      </w:r>
      <w:r w:rsidRPr="009D4018">
        <w:rPr>
          <w:rFonts w:ascii="Book Antiqua" w:eastAsia="Book Antiqua" w:hAnsi="Book Antiqua" w:cs="Book Antiqua"/>
          <w:color w:val="000000"/>
          <w:highlight w:val="yellow"/>
        </w:rPr>
        <w:t xml:space="preserve"> Metabolism of Selective Androgen Receptor Modulators.</w:t>
      </w:r>
      <w:r w:rsidR="003A40F6" w:rsidRPr="009D4018">
        <w:rPr>
          <w:rFonts w:ascii="Book Antiqua" w:eastAsia="Book Antiqua" w:hAnsi="Book Antiqua" w:cs="Book Antiqua"/>
          <w:color w:val="000000"/>
          <w:highlight w:val="yellow"/>
        </w:rPr>
        <w:t xml:space="preserve"> 2020</w:t>
      </w:r>
      <w:r w:rsidR="00FD7E69" w:rsidRPr="009D4018">
        <w:rPr>
          <w:rFonts w:ascii="Book Antiqua" w:eastAsia="Book Antiqua" w:hAnsi="Book Antiqua" w:cs="Book Antiqua"/>
          <w:color w:val="000000"/>
          <w:highlight w:val="yellow"/>
        </w:rPr>
        <w:t>. [cited</w:t>
      </w:r>
      <w:r w:rsidR="00FD7E69" w:rsidRPr="009D4018">
        <w:rPr>
          <w:highlight w:val="yellow"/>
        </w:rPr>
        <w:t xml:space="preserve"> 20 </w:t>
      </w:r>
      <w:r w:rsidR="00FD7E69" w:rsidRPr="009D4018">
        <w:rPr>
          <w:rFonts w:ascii="Book Antiqua" w:eastAsia="Book Antiqua" w:hAnsi="Book Antiqua" w:cs="Book Antiqua"/>
          <w:color w:val="000000"/>
          <w:highlight w:val="yellow"/>
        </w:rPr>
        <w:t>January 2021].</w:t>
      </w:r>
      <w:r w:rsidR="003A40F6" w:rsidRPr="009D4018">
        <w:rPr>
          <w:rFonts w:ascii="Book Antiqua" w:eastAsia="Book Antiqua" w:hAnsi="Book Antiqua" w:cs="Book Antiqua"/>
          <w:color w:val="000000"/>
          <w:highlight w:val="yellow"/>
        </w:rPr>
        <w:t xml:space="preserve"> Available from: https://pure.qub.ac.uk/en/studentTheses/emerging-anabolic-drugs-investigation-of-the-in-vitro-and-in-vivo</w:t>
      </w:r>
    </w:p>
    <w:p w14:paraId="047F3933"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27 </w:t>
      </w:r>
      <w:r w:rsidRPr="009D4018">
        <w:rPr>
          <w:rFonts w:ascii="Book Antiqua" w:eastAsia="Book Antiqua" w:hAnsi="Book Antiqua" w:cs="Book Antiqua"/>
          <w:b/>
          <w:bCs/>
          <w:color w:val="000000"/>
        </w:rPr>
        <w:t>Lammert C</w:t>
      </w:r>
      <w:r w:rsidRPr="009D4018">
        <w:rPr>
          <w:rFonts w:ascii="Book Antiqua" w:eastAsia="Book Antiqua" w:hAnsi="Book Antiqua" w:cs="Book Antiqua"/>
          <w:color w:val="000000"/>
        </w:rPr>
        <w:t xml:space="preserve">, Einarsson S, Saha C, Niklasson A, Bjornsson E, Chalasani N. Relationship between daily dose of oral medications and idiosyncratic drug-induced liver injury: search for signals. </w:t>
      </w:r>
      <w:r w:rsidRPr="009D4018">
        <w:rPr>
          <w:rFonts w:ascii="Book Antiqua" w:eastAsia="Book Antiqua" w:hAnsi="Book Antiqua" w:cs="Book Antiqua"/>
          <w:i/>
          <w:iCs/>
          <w:color w:val="000000"/>
        </w:rPr>
        <w:t>Hepatology</w:t>
      </w:r>
      <w:r w:rsidRPr="009D4018">
        <w:rPr>
          <w:rFonts w:ascii="Book Antiqua" w:eastAsia="Book Antiqua" w:hAnsi="Book Antiqua" w:cs="Book Antiqua"/>
          <w:color w:val="000000"/>
        </w:rPr>
        <w:t xml:space="preserve"> 2008; </w:t>
      </w:r>
      <w:r w:rsidRPr="009D4018">
        <w:rPr>
          <w:rFonts w:ascii="Book Antiqua" w:eastAsia="Book Antiqua" w:hAnsi="Book Antiqua" w:cs="Book Antiqua"/>
          <w:b/>
          <w:bCs/>
          <w:color w:val="000000"/>
        </w:rPr>
        <w:t>47</w:t>
      </w:r>
      <w:r w:rsidRPr="009D4018">
        <w:rPr>
          <w:rFonts w:ascii="Book Antiqua" w:eastAsia="Book Antiqua" w:hAnsi="Book Antiqua" w:cs="Book Antiqua"/>
          <w:color w:val="000000"/>
        </w:rPr>
        <w:t>: 2003-2009 [PMID: 18454504 DOI: 10.1002/hep.22272]</w:t>
      </w:r>
    </w:p>
    <w:p w14:paraId="1FC216E5"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28 </w:t>
      </w:r>
      <w:r w:rsidRPr="009D4018">
        <w:rPr>
          <w:rFonts w:ascii="Book Antiqua" w:eastAsia="Book Antiqua" w:hAnsi="Book Antiqua" w:cs="Book Antiqua"/>
          <w:b/>
          <w:bCs/>
          <w:color w:val="000000"/>
        </w:rPr>
        <w:t>Visentin M</w:t>
      </w:r>
      <w:r w:rsidRPr="009D4018">
        <w:rPr>
          <w:rFonts w:ascii="Book Antiqua" w:eastAsia="Book Antiqua" w:hAnsi="Book Antiqua" w:cs="Book Antiqua"/>
          <w:color w:val="000000"/>
        </w:rPr>
        <w:t xml:space="preserve">, Lenggenhager D, Gai Z, Kullak-Ublick GA. Drug-induced bile duct injury. </w:t>
      </w:r>
      <w:r w:rsidRPr="009D4018">
        <w:rPr>
          <w:rFonts w:ascii="Book Antiqua" w:eastAsia="Book Antiqua" w:hAnsi="Book Antiqua" w:cs="Book Antiqua"/>
          <w:i/>
          <w:iCs/>
          <w:color w:val="000000"/>
        </w:rPr>
        <w:t>Biochim Biophys Acta Mol Basis Dis</w:t>
      </w:r>
      <w:r w:rsidRPr="009D4018">
        <w:rPr>
          <w:rFonts w:ascii="Book Antiqua" w:eastAsia="Book Antiqua" w:hAnsi="Book Antiqua" w:cs="Book Antiqua"/>
          <w:color w:val="000000"/>
        </w:rPr>
        <w:t xml:space="preserve"> 2018; </w:t>
      </w:r>
      <w:r w:rsidRPr="009D4018">
        <w:rPr>
          <w:rFonts w:ascii="Book Antiqua" w:eastAsia="Book Antiqua" w:hAnsi="Book Antiqua" w:cs="Book Antiqua"/>
          <w:b/>
          <w:bCs/>
          <w:color w:val="000000"/>
        </w:rPr>
        <w:t>1864</w:t>
      </w:r>
      <w:r w:rsidRPr="009D4018">
        <w:rPr>
          <w:rFonts w:ascii="Book Antiqua" w:eastAsia="Book Antiqua" w:hAnsi="Book Antiqua" w:cs="Book Antiqua"/>
          <w:color w:val="000000"/>
        </w:rPr>
        <w:t>: 1498-1506 [PMID: 28882625 DOI: 10.1016/j.bbadis.2017.08.033]</w:t>
      </w:r>
    </w:p>
    <w:p w14:paraId="73F51FF6"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29 </w:t>
      </w:r>
      <w:r w:rsidRPr="009D4018">
        <w:rPr>
          <w:rFonts w:ascii="Book Antiqua" w:eastAsia="Book Antiqua" w:hAnsi="Book Antiqua" w:cs="Book Antiqua"/>
          <w:b/>
          <w:bCs/>
          <w:color w:val="000000"/>
        </w:rPr>
        <w:t>Herkel J</w:t>
      </w:r>
      <w:r w:rsidRPr="009D4018">
        <w:rPr>
          <w:rFonts w:ascii="Book Antiqua" w:eastAsia="Book Antiqua" w:hAnsi="Book Antiqua" w:cs="Book Antiqua"/>
          <w:color w:val="000000"/>
        </w:rPr>
        <w:t xml:space="preserve">, Jagemann B, Wiegard C, Lazaro JF, Lueth S, Kanzler S, Blessing M, Schmitt E, Lohse AW. MHC class II-expressing hepatocytes function as antigen-presenting cells and activate specific CD4 T lymphocyutes. </w:t>
      </w:r>
      <w:r w:rsidRPr="009D4018">
        <w:rPr>
          <w:rFonts w:ascii="Book Antiqua" w:eastAsia="Book Antiqua" w:hAnsi="Book Antiqua" w:cs="Book Antiqua"/>
          <w:i/>
          <w:iCs/>
          <w:color w:val="000000"/>
        </w:rPr>
        <w:t>Hepatology</w:t>
      </w:r>
      <w:r w:rsidRPr="009D4018">
        <w:rPr>
          <w:rFonts w:ascii="Book Antiqua" w:eastAsia="Book Antiqua" w:hAnsi="Book Antiqua" w:cs="Book Antiqua"/>
          <w:color w:val="000000"/>
        </w:rPr>
        <w:t xml:space="preserve"> 2003; </w:t>
      </w:r>
      <w:r w:rsidRPr="009D4018">
        <w:rPr>
          <w:rFonts w:ascii="Book Antiqua" w:eastAsia="Book Antiqua" w:hAnsi="Book Antiqua" w:cs="Book Antiqua"/>
          <w:b/>
          <w:bCs/>
          <w:color w:val="000000"/>
        </w:rPr>
        <w:t>37</w:t>
      </w:r>
      <w:r w:rsidRPr="009D4018">
        <w:rPr>
          <w:rFonts w:ascii="Book Antiqua" w:eastAsia="Book Antiqua" w:hAnsi="Book Antiqua" w:cs="Book Antiqua"/>
          <w:color w:val="000000"/>
        </w:rPr>
        <w:t>: 1079-1085 [PMID: 12717388 DOI: 10.1053/jhep.2003.50191]</w:t>
      </w:r>
    </w:p>
    <w:p w14:paraId="1DD8193B"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lastRenderedPageBreak/>
        <w:t xml:space="preserve">30 </w:t>
      </w:r>
      <w:r w:rsidRPr="009D4018">
        <w:rPr>
          <w:rFonts w:ascii="Book Antiqua" w:eastAsia="Book Antiqua" w:hAnsi="Book Antiqua" w:cs="Book Antiqua"/>
          <w:b/>
          <w:bCs/>
          <w:color w:val="000000"/>
        </w:rPr>
        <w:t>Franchitto A</w:t>
      </w:r>
      <w:r w:rsidRPr="009D4018">
        <w:rPr>
          <w:rFonts w:ascii="Book Antiqua" w:eastAsia="Book Antiqua" w:hAnsi="Book Antiqua" w:cs="Book Antiqua"/>
          <w:color w:val="000000"/>
        </w:rPr>
        <w:t xml:space="preserve">, Onori P, Renzi A, Carpino G, Mancinelli R, Alvaro D, Gaudio E. Recent advances on the mechanisms regulating cholangiocyte proliferation and the significance of the neuroendocrine regulation of cholangiocyte pathophysiology. </w:t>
      </w:r>
      <w:r w:rsidRPr="009D4018">
        <w:rPr>
          <w:rFonts w:ascii="Book Antiqua" w:eastAsia="Book Antiqua" w:hAnsi="Book Antiqua" w:cs="Book Antiqua"/>
          <w:i/>
          <w:iCs/>
          <w:color w:val="000000"/>
        </w:rPr>
        <w:t>Ann Transl Med</w:t>
      </w:r>
      <w:r w:rsidRPr="009D4018">
        <w:rPr>
          <w:rFonts w:ascii="Book Antiqua" w:eastAsia="Book Antiqua" w:hAnsi="Book Antiqua" w:cs="Book Antiqua"/>
          <w:color w:val="000000"/>
        </w:rPr>
        <w:t xml:space="preserve"> 2013; </w:t>
      </w:r>
      <w:r w:rsidRPr="009D4018">
        <w:rPr>
          <w:rFonts w:ascii="Book Antiqua" w:eastAsia="Book Antiqua" w:hAnsi="Book Antiqua" w:cs="Book Antiqua"/>
          <w:b/>
          <w:bCs/>
          <w:color w:val="000000"/>
        </w:rPr>
        <w:t>1</w:t>
      </w:r>
      <w:r w:rsidRPr="009D4018">
        <w:rPr>
          <w:rFonts w:ascii="Book Antiqua" w:eastAsia="Book Antiqua" w:hAnsi="Book Antiqua" w:cs="Book Antiqua"/>
          <w:color w:val="000000"/>
        </w:rPr>
        <w:t>: 27 [PMID: 25332971 DOI: 10.3978/j.issn.2305-5839.2012.10.03]</w:t>
      </w:r>
    </w:p>
    <w:p w14:paraId="064C9F77"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31 </w:t>
      </w:r>
      <w:r w:rsidRPr="009D4018">
        <w:rPr>
          <w:rFonts w:ascii="Book Antiqua" w:eastAsia="Book Antiqua" w:hAnsi="Book Antiqua" w:cs="Book Antiqua"/>
          <w:b/>
          <w:bCs/>
          <w:color w:val="000000"/>
        </w:rPr>
        <w:t>Kur P</w:t>
      </w:r>
      <w:r w:rsidRPr="009D4018">
        <w:rPr>
          <w:rFonts w:ascii="Book Antiqua" w:eastAsia="Book Antiqua" w:hAnsi="Book Antiqua" w:cs="Book Antiqua"/>
          <w:color w:val="000000"/>
        </w:rPr>
        <w:t xml:space="preserve">, Kolasa-Wołosiuk A, Misiakiewicz-Has K, Wiszniewska B. Sex Hormone-Dependent Physiology and Diseases of Liver. </w:t>
      </w:r>
      <w:r w:rsidRPr="009D4018">
        <w:rPr>
          <w:rFonts w:ascii="Book Antiqua" w:eastAsia="Book Antiqua" w:hAnsi="Book Antiqua" w:cs="Book Antiqua"/>
          <w:i/>
          <w:iCs/>
          <w:color w:val="000000"/>
        </w:rPr>
        <w:t>Int J Environ Res Public Health</w:t>
      </w:r>
      <w:r w:rsidRPr="009D4018">
        <w:rPr>
          <w:rFonts w:ascii="Book Antiqua" w:eastAsia="Book Antiqua" w:hAnsi="Book Antiqua" w:cs="Book Antiqua"/>
          <w:color w:val="000000"/>
        </w:rPr>
        <w:t xml:space="preserve"> 2020; </w:t>
      </w:r>
      <w:r w:rsidRPr="009D4018">
        <w:rPr>
          <w:rFonts w:ascii="Book Antiqua" w:eastAsia="Book Antiqua" w:hAnsi="Book Antiqua" w:cs="Book Antiqua"/>
          <w:b/>
          <w:bCs/>
          <w:color w:val="000000"/>
        </w:rPr>
        <w:t>17</w:t>
      </w:r>
      <w:r w:rsidRPr="009D4018">
        <w:rPr>
          <w:rFonts w:ascii="Book Antiqua" w:eastAsia="Book Antiqua" w:hAnsi="Book Antiqua" w:cs="Book Antiqua"/>
          <w:color w:val="000000"/>
        </w:rPr>
        <w:t xml:space="preserve"> [PMID: 32290381 DOI: 10.3390/ijerph17082620]</w:t>
      </w:r>
    </w:p>
    <w:p w14:paraId="448E4018" w14:textId="48462F3A"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32 </w:t>
      </w:r>
      <w:r w:rsidRPr="009D4018">
        <w:rPr>
          <w:rFonts w:ascii="Book Antiqua" w:eastAsia="Book Antiqua" w:hAnsi="Book Antiqua" w:cs="Book Antiqua"/>
          <w:b/>
          <w:bCs/>
          <w:color w:val="000000"/>
        </w:rPr>
        <w:t>El Sherrif Y</w:t>
      </w:r>
      <w:r w:rsidRPr="009D4018">
        <w:rPr>
          <w:rFonts w:ascii="Book Antiqua" w:eastAsia="Book Antiqua" w:hAnsi="Book Antiqua" w:cs="Book Antiqua"/>
          <w:color w:val="000000"/>
        </w:rPr>
        <w:t xml:space="preserve">, Potts JR, Howard MR, Barnardo A, Cairns S, Knisely AS, Verma S. Hepatotoxicity from anabolic androgenic steroids marketed as dietary supplements: contribution from ATP8B1/ABCB11 mutations? </w:t>
      </w:r>
      <w:r w:rsidRPr="009D4018">
        <w:rPr>
          <w:rFonts w:ascii="Book Antiqua" w:eastAsia="Book Antiqua" w:hAnsi="Book Antiqua" w:cs="Book Antiqua"/>
          <w:i/>
          <w:iCs/>
          <w:color w:val="000000"/>
        </w:rPr>
        <w:t>Liver Int</w:t>
      </w:r>
      <w:r w:rsidRPr="009D4018">
        <w:rPr>
          <w:rFonts w:ascii="Book Antiqua" w:eastAsia="Book Antiqua" w:hAnsi="Book Antiqua" w:cs="Book Antiqua"/>
          <w:color w:val="000000"/>
        </w:rPr>
        <w:t xml:space="preserve"> 2013; </w:t>
      </w:r>
      <w:r w:rsidRPr="009D4018">
        <w:rPr>
          <w:rFonts w:ascii="Book Antiqua" w:eastAsia="Book Antiqua" w:hAnsi="Book Antiqua" w:cs="Book Antiqua"/>
          <w:b/>
          <w:bCs/>
          <w:color w:val="000000"/>
        </w:rPr>
        <w:t>33</w:t>
      </w:r>
      <w:r w:rsidRPr="009D4018">
        <w:rPr>
          <w:rFonts w:ascii="Book Antiqua" w:eastAsia="Book Antiqua" w:hAnsi="Book Antiqua" w:cs="Book Antiqua"/>
          <w:color w:val="000000"/>
        </w:rPr>
        <w:t>: 1266-1270 [PMID: 23750872 DOI: 10.1111/</w:t>
      </w:r>
      <w:r w:rsidR="00FD7E69" w:rsidRPr="009D4018">
        <w:rPr>
          <w:rFonts w:ascii="Book Antiqua" w:eastAsia="Book Antiqua" w:hAnsi="Book Antiqua" w:cs="Book Antiqua"/>
          <w:color w:val="000000"/>
        </w:rPr>
        <w:t>l</w:t>
      </w:r>
      <w:r w:rsidRPr="009D4018">
        <w:rPr>
          <w:rFonts w:ascii="Book Antiqua" w:eastAsia="Book Antiqua" w:hAnsi="Book Antiqua" w:cs="Book Antiqua"/>
          <w:color w:val="000000"/>
        </w:rPr>
        <w:t>iv.12216]</w:t>
      </w:r>
    </w:p>
    <w:p w14:paraId="203DA479"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 xml:space="preserve">33 </w:t>
      </w:r>
      <w:r w:rsidRPr="009D4018">
        <w:rPr>
          <w:rFonts w:ascii="Book Antiqua" w:eastAsia="Book Antiqua" w:hAnsi="Book Antiqua" w:cs="Book Antiqua"/>
          <w:b/>
          <w:bCs/>
          <w:color w:val="000000"/>
        </w:rPr>
        <w:t>Petrov PD</w:t>
      </w:r>
      <w:r w:rsidRPr="009D4018">
        <w:rPr>
          <w:rFonts w:ascii="Book Antiqua" w:eastAsia="Book Antiqua" w:hAnsi="Book Antiqua" w:cs="Book Antiqua"/>
          <w:color w:val="000000"/>
        </w:rPr>
        <w:t xml:space="preserve">, Fernández-Murga L, Conde I, Martínez-Sena T, Guzmán C, Castell JV, Jover R. Epistane, an anabolic steroid used for recreational purposes, causes cholestasis with elevated levels of cholic acid conjugates, by upregulating bile acid synthesis (CYP8B1) and cross-talking with nuclear receptors in human hepatocytes. </w:t>
      </w:r>
      <w:r w:rsidRPr="009D4018">
        <w:rPr>
          <w:rFonts w:ascii="Book Antiqua" w:eastAsia="Book Antiqua" w:hAnsi="Book Antiqua" w:cs="Book Antiqua"/>
          <w:i/>
          <w:iCs/>
          <w:color w:val="000000"/>
        </w:rPr>
        <w:t>Arch Toxicol</w:t>
      </w:r>
      <w:r w:rsidRPr="009D4018">
        <w:rPr>
          <w:rFonts w:ascii="Book Antiqua" w:eastAsia="Book Antiqua" w:hAnsi="Book Antiqua" w:cs="Book Antiqua"/>
          <w:color w:val="000000"/>
        </w:rPr>
        <w:t xml:space="preserve"> 2020; </w:t>
      </w:r>
      <w:r w:rsidRPr="009D4018">
        <w:rPr>
          <w:rFonts w:ascii="Book Antiqua" w:eastAsia="Book Antiqua" w:hAnsi="Book Antiqua" w:cs="Book Antiqua"/>
          <w:b/>
          <w:bCs/>
          <w:color w:val="000000"/>
        </w:rPr>
        <w:t>94</w:t>
      </w:r>
      <w:r w:rsidRPr="009D4018">
        <w:rPr>
          <w:rFonts w:ascii="Book Antiqua" w:eastAsia="Book Antiqua" w:hAnsi="Book Antiqua" w:cs="Book Antiqua"/>
          <w:color w:val="000000"/>
        </w:rPr>
        <w:t>: 589-607 [PMID: 31894354 DOI: 10.1007/s00204-019-02643-y]</w:t>
      </w:r>
    </w:p>
    <w:p w14:paraId="77DB81EE" w14:textId="52188780"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highlight w:val="yellow"/>
        </w:rPr>
        <w:t>34</w:t>
      </w:r>
      <w:r w:rsidR="009542CE" w:rsidRPr="009D4018">
        <w:rPr>
          <w:rFonts w:ascii="Book Antiqua" w:eastAsia="Book Antiqua" w:hAnsi="Book Antiqua" w:cs="Book Antiqua"/>
          <w:color w:val="000000"/>
          <w:highlight w:val="yellow"/>
        </w:rPr>
        <w:t xml:space="preserve"> </w:t>
      </w:r>
      <w:r w:rsidRPr="009D4018">
        <w:rPr>
          <w:rFonts w:ascii="Book Antiqua" w:eastAsia="Book Antiqua" w:hAnsi="Book Antiqua" w:cs="Book Antiqua"/>
          <w:b/>
          <w:color w:val="000000"/>
          <w:highlight w:val="yellow"/>
        </w:rPr>
        <w:t>US Department of Health and Humran Services</w:t>
      </w:r>
      <w:r w:rsidRPr="009D4018">
        <w:rPr>
          <w:rFonts w:ascii="Book Antiqua" w:eastAsia="Book Antiqua" w:hAnsi="Book Antiqua" w:cs="Book Antiqua"/>
          <w:color w:val="000000"/>
          <w:highlight w:val="yellow"/>
        </w:rPr>
        <w:t>. Common Terminolog</w:t>
      </w:r>
      <w:r w:rsidR="009542CE" w:rsidRPr="009D4018">
        <w:rPr>
          <w:rFonts w:ascii="Book Antiqua" w:eastAsia="Book Antiqua" w:hAnsi="Book Antiqua" w:cs="Book Antiqua"/>
          <w:color w:val="000000"/>
          <w:highlight w:val="yellow"/>
        </w:rPr>
        <w:t>y Criteria for Adverse Events (CTCAE) v</w:t>
      </w:r>
      <w:r w:rsidRPr="009D4018">
        <w:rPr>
          <w:rFonts w:ascii="Book Antiqua" w:eastAsia="Book Antiqua" w:hAnsi="Book Antiqua" w:cs="Book Antiqua"/>
          <w:color w:val="000000"/>
          <w:highlight w:val="yellow"/>
        </w:rPr>
        <w:t xml:space="preserve">5.0 [Internet]. 2017. </w:t>
      </w:r>
      <w:r w:rsidR="00A05D66" w:rsidRPr="009D4018">
        <w:rPr>
          <w:rFonts w:ascii="Book Antiqua" w:eastAsia="Book Antiqua" w:hAnsi="Book Antiqua" w:cs="Book Antiqua"/>
          <w:color w:val="000000"/>
          <w:highlight w:val="yellow"/>
        </w:rPr>
        <w:t>[cited</w:t>
      </w:r>
      <w:r w:rsidR="00A05D66" w:rsidRPr="009D4018">
        <w:rPr>
          <w:highlight w:val="yellow"/>
        </w:rPr>
        <w:t xml:space="preserve"> </w:t>
      </w:r>
      <w:r w:rsidR="00FD7E69" w:rsidRPr="009D4018">
        <w:rPr>
          <w:highlight w:val="yellow"/>
        </w:rPr>
        <w:t xml:space="preserve">20 </w:t>
      </w:r>
      <w:r w:rsidR="00A05D66" w:rsidRPr="009D4018">
        <w:rPr>
          <w:rFonts w:ascii="Book Antiqua" w:eastAsia="Book Antiqua" w:hAnsi="Book Antiqua" w:cs="Book Antiqua"/>
          <w:color w:val="000000"/>
          <w:highlight w:val="yellow"/>
        </w:rPr>
        <w:t>January 2021]</w:t>
      </w:r>
      <w:r w:rsidR="00FD7E69" w:rsidRPr="009D4018">
        <w:rPr>
          <w:rFonts w:ascii="Book Antiqua" w:eastAsia="Book Antiqua" w:hAnsi="Book Antiqua" w:cs="Book Antiqua"/>
          <w:color w:val="000000"/>
          <w:highlight w:val="yellow"/>
        </w:rPr>
        <w:t>.</w:t>
      </w:r>
      <w:r w:rsidR="00A05D66" w:rsidRPr="009D4018">
        <w:rPr>
          <w:rFonts w:ascii="Book Antiqua" w:eastAsia="Book Antiqua" w:hAnsi="Book Antiqua" w:cs="Book Antiqua"/>
          <w:color w:val="000000"/>
          <w:highlight w:val="yellow"/>
        </w:rPr>
        <w:t xml:space="preserve"> </w:t>
      </w:r>
      <w:r w:rsidRPr="009D4018">
        <w:rPr>
          <w:rFonts w:ascii="Book Antiqua" w:eastAsia="Book Antiqua" w:hAnsi="Book Antiqua" w:cs="Book Antiqua"/>
          <w:color w:val="000000"/>
          <w:highlight w:val="yellow"/>
        </w:rPr>
        <w:t>Available from: https://ctep.cancer.gov/protocoldevelopment/electronic_applications/docs/CTCAE_v5_Quick_Reference_8.5x11.pdf</w:t>
      </w:r>
    </w:p>
    <w:bookmarkEnd w:id="4"/>
    <w:bookmarkEnd w:id="5"/>
    <w:p w14:paraId="3B148EB5" w14:textId="77777777" w:rsidR="00A77B3E" w:rsidRPr="009D4018" w:rsidRDefault="00A77B3E">
      <w:pPr>
        <w:spacing w:line="360" w:lineRule="auto"/>
        <w:jc w:val="both"/>
        <w:rPr>
          <w:rFonts w:ascii="Book Antiqua" w:hAnsi="Book Antiqua"/>
        </w:rPr>
        <w:sectPr w:rsidR="00A77B3E" w:rsidRPr="009D4018">
          <w:pgSz w:w="12240" w:h="15840"/>
          <w:pgMar w:top="1440" w:right="1440" w:bottom="1440" w:left="1440" w:header="720" w:footer="720" w:gutter="0"/>
          <w:cols w:space="720"/>
          <w:docGrid w:linePitch="360"/>
        </w:sectPr>
      </w:pPr>
    </w:p>
    <w:p w14:paraId="1EB38A5A"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lastRenderedPageBreak/>
        <w:t>Footnotes</w:t>
      </w:r>
    </w:p>
    <w:p w14:paraId="68CF54F1"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Informed consent statement: </w:t>
      </w:r>
      <w:r w:rsidRPr="009D4018">
        <w:rPr>
          <w:rFonts w:ascii="Book Antiqua" w:eastAsia="Book Antiqua" w:hAnsi="Book Antiqua" w:cs="Book Antiqua"/>
          <w:color w:val="000000"/>
        </w:rPr>
        <w:t xml:space="preserve">The patients signed informed consent before any procedure and agreed with the anonymized publication of data. Our institutions do not require ethics committee approval for case reports of adverse effects of drugs or nutritional supplements. </w:t>
      </w:r>
    </w:p>
    <w:p w14:paraId="74FA8EDE" w14:textId="77777777" w:rsidR="00A77B3E" w:rsidRPr="009D4018" w:rsidRDefault="00A77B3E">
      <w:pPr>
        <w:spacing w:line="360" w:lineRule="auto"/>
        <w:jc w:val="both"/>
        <w:rPr>
          <w:rFonts w:ascii="Book Antiqua" w:hAnsi="Book Antiqua"/>
        </w:rPr>
      </w:pPr>
    </w:p>
    <w:p w14:paraId="4B47DB60"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Conflict-of-interest statement: </w:t>
      </w:r>
      <w:r w:rsidRPr="009D4018">
        <w:rPr>
          <w:rFonts w:ascii="Book Antiqua" w:eastAsia="Book Antiqua" w:hAnsi="Book Antiqua" w:cs="Book Antiqua"/>
          <w:color w:val="000000"/>
        </w:rPr>
        <w:t>The authors declare having no conflict of interest concerning the submitted manuscript.</w:t>
      </w:r>
    </w:p>
    <w:p w14:paraId="1EB7CE1D" w14:textId="77777777" w:rsidR="00A77B3E" w:rsidRPr="009D4018" w:rsidRDefault="00A77B3E">
      <w:pPr>
        <w:spacing w:line="360" w:lineRule="auto"/>
        <w:jc w:val="both"/>
        <w:rPr>
          <w:rFonts w:ascii="Book Antiqua" w:hAnsi="Book Antiqua"/>
        </w:rPr>
      </w:pPr>
    </w:p>
    <w:p w14:paraId="0C6AF904"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CARE Checklist (2016) statement: </w:t>
      </w:r>
      <w:r w:rsidRPr="009D4018">
        <w:rPr>
          <w:rFonts w:ascii="Book Antiqua" w:eastAsia="Book Antiqua" w:hAnsi="Book Antiqua" w:cs="Book Antiqua"/>
          <w:color w:val="000000"/>
        </w:rPr>
        <w:t>The authors have read the CARE Checklist and the manuscript was prepared and revised to include all items of the CARE Checklist (2016).</w:t>
      </w:r>
    </w:p>
    <w:p w14:paraId="7EDFD70E" w14:textId="77777777" w:rsidR="00A77B3E" w:rsidRPr="009D4018" w:rsidRDefault="00A77B3E">
      <w:pPr>
        <w:spacing w:line="360" w:lineRule="auto"/>
        <w:jc w:val="both"/>
        <w:rPr>
          <w:rFonts w:ascii="Book Antiqua" w:hAnsi="Book Antiqua"/>
        </w:rPr>
      </w:pPr>
    </w:p>
    <w:p w14:paraId="6C4A34A9"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bCs/>
          <w:color w:val="000000"/>
        </w:rPr>
        <w:t xml:space="preserve">Open-Access: </w:t>
      </w:r>
      <w:r w:rsidRPr="009D401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D32BE8" w14:textId="77777777" w:rsidR="00A77B3E" w:rsidRPr="009D4018" w:rsidRDefault="00A77B3E">
      <w:pPr>
        <w:spacing w:line="360" w:lineRule="auto"/>
        <w:jc w:val="both"/>
        <w:rPr>
          <w:rFonts w:ascii="Book Antiqua" w:hAnsi="Book Antiqua"/>
        </w:rPr>
      </w:pPr>
    </w:p>
    <w:p w14:paraId="41484E81" w14:textId="77777777" w:rsidR="00A77B3E" w:rsidRPr="009D4018" w:rsidRDefault="00766A26">
      <w:pPr>
        <w:spacing w:line="360" w:lineRule="auto"/>
        <w:jc w:val="both"/>
        <w:rPr>
          <w:rFonts w:ascii="Book Antiqua" w:eastAsia="Book Antiqua" w:hAnsi="Book Antiqua" w:cs="Book Antiqua"/>
          <w:color w:val="000000"/>
        </w:rPr>
      </w:pPr>
      <w:r w:rsidRPr="009D4018">
        <w:rPr>
          <w:rFonts w:ascii="Book Antiqua" w:eastAsia="Book Antiqua" w:hAnsi="Book Antiqua" w:cs="Book Antiqua"/>
          <w:b/>
          <w:color w:val="000000"/>
        </w:rPr>
        <w:t xml:space="preserve">Manuscript source: </w:t>
      </w:r>
      <w:r w:rsidRPr="009D4018">
        <w:rPr>
          <w:rFonts w:ascii="Book Antiqua" w:eastAsia="Book Antiqua" w:hAnsi="Book Antiqua" w:cs="Book Antiqua"/>
          <w:color w:val="000000"/>
        </w:rPr>
        <w:t xml:space="preserve">Unsolicited </w:t>
      </w:r>
      <w:r w:rsidR="004258E9" w:rsidRPr="009D4018">
        <w:rPr>
          <w:rFonts w:ascii="Book Antiqua" w:eastAsia="Book Antiqua" w:hAnsi="Book Antiqua" w:cs="Book Antiqua"/>
          <w:color w:val="000000"/>
        </w:rPr>
        <w:t>m</w:t>
      </w:r>
      <w:r w:rsidRPr="009D4018">
        <w:rPr>
          <w:rFonts w:ascii="Book Antiqua" w:eastAsia="Book Antiqua" w:hAnsi="Book Antiqua" w:cs="Book Antiqua"/>
          <w:color w:val="000000"/>
        </w:rPr>
        <w:t>anuscript</w:t>
      </w:r>
    </w:p>
    <w:p w14:paraId="0DF88202" w14:textId="77777777" w:rsidR="004258E9" w:rsidRPr="009D4018" w:rsidRDefault="004258E9">
      <w:pPr>
        <w:spacing w:line="360" w:lineRule="auto"/>
        <w:jc w:val="both"/>
        <w:rPr>
          <w:rFonts w:ascii="Book Antiqua" w:hAnsi="Book Antiqua"/>
        </w:rPr>
      </w:pPr>
    </w:p>
    <w:p w14:paraId="11A043B9"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 xml:space="preserve">Corresponding Author's Membership in Professional Societies: </w:t>
      </w:r>
      <w:r w:rsidRPr="009D4018">
        <w:rPr>
          <w:rFonts w:ascii="Book Antiqua" w:eastAsia="Book Antiqua" w:hAnsi="Book Antiqua" w:cs="Book Antiqua"/>
          <w:color w:val="000000"/>
        </w:rPr>
        <w:t>Slov</w:t>
      </w:r>
      <w:r w:rsidR="004258E9" w:rsidRPr="009D4018">
        <w:rPr>
          <w:rFonts w:ascii="Book Antiqua" w:eastAsia="Book Antiqua" w:hAnsi="Book Antiqua" w:cs="Book Antiqua"/>
          <w:color w:val="000000"/>
        </w:rPr>
        <w:t>ak Gastroenterological Society; Slovak Hepatological Society</w:t>
      </w:r>
      <w:r w:rsidRPr="009D4018">
        <w:rPr>
          <w:rFonts w:ascii="Book Antiqua" w:eastAsia="Book Antiqua" w:hAnsi="Book Antiqua" w:cs="Book Antiqua"/>
          <w:color w:val="000000"/>
        </w:rPr>
        <w:t xml:space="preserve">; </w:t>
      </w:r>
      <w:r w:rsidR="004258E9" w:rsidRPr="009D4018">
        <w:rPr>
          <w:rFonts w:ascii="Book Antiqua" w:eastAsia="Book Antiqua" w:hAnsi="Book Antiqua" w:cs="Book Antiqua"/>
          <w:color w:val="000000"/>
        </w:rPr>
        <w:t xml:space="preserve">and </w:t>
      </w:r>
      <w:r w:rsidRPr="009D4018">
        <w:rPr>
          <w:rFonts w:ascii="Book Antiqua" w:eastAsia="Book Antiqua" w:hAnsi="Book Antiqua" w:cs="Book Antiqua"/>
          <w:color w:val="000000"/>
        </w:rPr>
        <w:t xml:space="preserve">Societe Francaise d'Hepatologie - AFEF, </w:t>
      </w:r>
      <w:r w:rsidR="004258E9" w:rsidRPr="009D4018">
        <w:rPr>
          <w:rFonts w:ascii="Book Antiqua" w:eastAsia="Book Antiqua" w:hAnsi="Book Antiqua" w:cs="Book Antiqua"/>
          <w:color w:val="000000"/>
        </w:rPr>
        <w:t xml:space="preserve">No. </w:t>
      </w:r>
      <w:r w:rsidRPr="009D4018">
        <w:rPr>
          <w:rFonts w:ascii="Book Antiqua" w:eastAsia="Book Antiqua" w:hAnsi="Book Antiqua" w:cs="Book Antiqua"/>
          <w:color w:val="000000"/>
        </w:rPr>
        <w:t>50688868.</w:t>
      </w:r>
    </w:p>
    <w:p w14:paraId="4C52BE23" w14:textId="77777777" w:rsidR="00A77B3E" w:rsidRPr="009D4018" w:rsidRDefault="00A77B3E">
      <w:pPr>
        <w:spacing w:line="360" w:lineRule="auto"/>
        <w:jc w:val="both"/>
        <w:rPr>
          <w:rFonts w:ascii="Book Antiqua" w:hAnsi="Book Antiqua"/>
        </w:rPr>
      </w:pPr>
    </w:p>
    <w:p w14:paraId="1D552BD2"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 xml:space="preserve">Peer-review started: </w:t>
      </w:r>
      <w:r w:rsidRPr="009D4018">
        <w:rPr>
          <w:rFonts w:ascii="Book Antiqua" w:eastAsia="Book Antiqua" w:hAnsi="Book Antiqua" w:cs="Book Antiqua"/>
          <w:color w:val="000000"/>
        </w:rPr>
        <w:t>January 20, 2021</w:t>
      </w:r>
    </w:p>
    <w:p w14:paraId="677EC85D"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 xml:space="preserve">First decision: </w:t>
      </w:r>
      <w:r w:rsidRPr="009D4018">
        <w:rPr>
          <w:rFonts w:ascii="Book Antiqua" w:eastAsia="Book Antiqua" w:hAnsi="Book Antiqua" w:cs="Book Antiqua"/>
          <w:color w:val="000000"/>
        </w:rPr>
        <w:t>February 24, 2021</w:t>
      </w:r>
    </w:p>
    <w:p w14:paraId="05D99704"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 xml:space="preserve">Article in press: </w:t>
      </w:r>
    </w:p>
    <w:p w14:paraId="07833844" w14:textId="77777777" w:rsidR="00A77B3E" w:rsidRPr="009D4018" w:rsidRDefault="00A77B3E">
      <w:pPr>
        <w:spacing w:line="360" w:lineRule="auto"/>
        <w:jc w:val="both"/>
        <w:rPr>
          <w:rFonts w:ascii="Book Antiqua" w:hAnsi="Book Antiqua"/>
        </w:rPr>
      </w:pPr>
    </w:p>
    <w:p w14:paraId="50124AF0"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 xml:space="preserve">Specialty type: </w:t>
      </w:r>
      <w:r w:rsidRPr="009D4018">
        <w:rPr>
          <w:rFonts w:ascii="Book Antiqua" w:eastAsia="Book Antiqua" w:hAnsi="Book Antiqua" w:cs="Book Antiqua"/>
          <w:color w:val="000000"/>
        </w:rPr>
        <w:t xml:space="preserve">Gastroenterology and </w:t>
      </w:r>
      <w:r w:rsidR="00AE52CE" w:rsidRPr="009D4018">
        <w:rPr>
          <w:rFonts w:ascii="Book Antiqua" w:eastAsia="Book Antiqua" w:hAnsi="Book Antiqua" w:cs="Book Antiqua"/>
          <w:color w:val="000000"/>
        </w:rPr>
        <w:t>h</w:t>
      </w:r>
      <w:r w:rsidRPr="009D4018">
        <w:rPr>
          <w:rFonts w:ascii="Book Antiqua" w:eastAsia="Book Antiqua" w:hAnsi="Book Antiqua" w:cs="Book Antiqua"/>
          <w:color w:val="000000"/>
        </w:rPr>
        <w:t>epatology</w:t>
      </w:r>
    </w:p>
    <w:p w14:paraId="68D1C8E7"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lastRenderedPageBreak/>
        <w:t xml:space="preserve">Country/Territory of origin: </w:t>
      </w:r>
      <w:r w:rsidRPr="009D4018">
        <w:rPr>
          <w:rFonts w:ascii="Book Antiqua" w:eastAsia="Book Antiqua" w:hAnsi="Book Antiqua" w:cs="Book Antiqua"/>
          <w:color w:val="000000"/>
        </w:rPr>
        <w:t>Slovakia</w:t>
      </w:r>
    </w:p>
    <w:p w14:paraId="53153F73"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b/>
          <w:color w:val="000000"/>
        </w:rPr>
        <w:t>Peer-review report’s scientific quality classification</w:t>
      </w:r>
    </w:p>
    <w:p w14:paraId="71301071"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Grade A (Excellent): 0</w:t>
      </w:r>
    </w:p>
    <w:p w14:paraId="5BF3ADF1"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Grade B (Very good): 0</w:t>
      </w:r>
    </w:p>
    <w:p w14:paraId="2E64F029" w14:textId="2F708086"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Grade C (Good): C</w:t>
      </w:r>
      <w:r w:rsidR="00FD7E69" w:rsidRPr="009D4018">
        <w:rPr>
          <w:rFonts w:ascii="Book Antiqua" w:eastAsia="Book Antiqua" w:hAnsi="Book Antiqua" w:cs="Book Antiqua"/>
          <w:color w:val="000000"/>
        </w:rPr>
        <w:t>, C</w:t>
      </w:r>
    </w:p>
    <w:p w14:paraId="715E272A"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Grade D (Fair): 0</w:t>
      </w:r>
    </w:p>
    <w:p w14:paraId="44116108" w14:textId="77777777" w:rsidR="00A77B3E" w:rsidRPr="009D4018" w:rsidRDefault="00766A26">
      <w:pPr>
        <w:spacing w:line="360" w:lineRule="auto"/>
        <w:jc w:val="both"/>
        <w:rPr>
          <w:rFonts w:ascii="Book Antiqua" w:hAnsi="Book Antiqua"/>
        </w:rPr>
      </w:pPr>
      <w:r w:rsidRPr="009D4018">
        <w:rPr>
          <w:rFonts w:ascii="Book Antiqua" w:eastAsia="Book Antiqua" w:hAnsi="Book Antiqua" w:cs="Book Antiqua"/>
          <w:color w:val="000000"/>
        </w:rPr>
        <w:t>Grade E (Poor): 0</w:t>
      </w:r>
    </w:p>
    <w:p w14:paraId="69C44399" w14:textId="77777777" w:rsidR="00A77B3E" w:rsidRPr="009D4018" w:rsidRDefault="00A77B3E">
      <w:pPr>
        <w:spacing w:line="360" w:lineRule="auto"/>
        <w:jc w:val="both"/>
        <w:rPr>
          <w:rFonts w:ascii="Book Antiqua" w:hAnsi="Book Antiqua"/>
        </w:rPr>
      </w:pPr>
    </w:p>
    <w:p w14:paraId="296240AA" w14:textId="492E316C" w:rsidR="00A77B3E" w:rsidRPr="009D4018" w:rsidRDefault="00766A26">
      <w:pPr>
        <w:spacing w:line="360" w:lineRule="auto"/>
        <w:jc w:val="both"/>
        <w:rPr>
          <w:rFonts w:ascii="Book Antiqua" w:eastAsia="Book Antiqua" w:hAnsi="Book Antiqua" w:cs="Book Antiqua"/>
          <w:b/>
          <w:color w:val="000000"/>
        </w:rPr>
      </w:pPr>
      <w:r w:rsidRPr="009D4018">
        <w:rPr>
          <w:rFonts w:ascii="Book Antiqua" w:eastAsia="Book Antiqua" w:hAnsi="Book Antiqua" w:cs="Book Antiqua"/>
          <w:b/>
          <w:color w:val="000000"/>
        </w:rPr>
        <w:t xml:space="preserve">P-Reviewer: </w:t>
      </w:r>
      <w:r w:rsidRPr="009D4018">
        <w:rPr>
          <w:rFonts w:ascii="Book Antiqua" w:eastAsia="Book Antiqua" w:hAnsi="Book Antiqua" w:cs="Book Antiqua"/>
          <w:color w:val="000000"/>
        </w:rPr>
        <w:t>Stephens C</w:t>
      </w:r>
      <w:r w:rsidRPr="009D4018">
        <w:rPr>
          <w:rFonts w:ascii="Book Antiqua" w:eastAsia="Book Antiqua" w:hAnsi="Book Antiqua" w:cs="Book Antiqua"/>
          <w:b/>
          <w:color w:val="000000"/>
        </w:rPr>
        <w:t xml:space="preserve"> S-Editor: </w:t>
      </w:r>
      <w:r w:rsidRPr="009D4018">
        <w:rPr>
          <w:rFonts w:ascii="Book Antiqua" w:eastAsia="Book Antiqua" w:hAnsi="Book Antiqua" w:cs="Book Antiqua"/>
          <w:color w:val="000000"/>
        </w:rPr>
        <w:t>Gong ZM</w:t>
      </w:r>
      <w:r w:rsidRPr="009D4018">
        <w:rPr>
          <w:rFonts w:ascii="Book Antiqua" w:eastAsia="Book Antiqua" w:hAnsi="Book Antiqua" w:cs="Book Antiqua"/>
          <w:b/>
          <w:color w:val="000000"/>
        </w:rPr>
        <w:t xml:space="preserve"> L-Editor: </w:t>
      </w:r>
      <w:r w:rsidR="00906806" w:rsidRPr="009D4018">
        <w:rPr>
          <w:rFonts w:ascii="Book Antiqua" w:eastAsia="Book Antiqua" w:hAnsi="Book Antiqua" w:cs="Book Antiqua"/>
          <w:bCs/>
          <w:color w:val="000000"/>
        </w:rPr>
        <w:t>Filipodia</w:t>
      </w:r>
      <w:r w:rsidRPr="009D4018">
        <w:rPr>
          <w:rFonts w:ascii="Book Antiqua" w:eastAsia="Book Antiqua" w:hAnsi="Book Antiqua" w:cs="Book Antiqua"/>
          <w:b/>
          <w:color w:val="000000"/>
        </w:rPr>
        <w:t xml:space="preserve"> P-Editor: </w:t>
      </w:r>
    </w:p>
    <w:p w14:paraId="39578BCE" w14:textId="77777777" w:rsidR="00AE52CE" w:rsidRPr="009D4018" w:rsidRDefault="00AE52CE">
      <w:pPr>
        <w:spacing w:line="360" w:lineRule="auto"/>
        <w:jc w:val="both"/>
        <w:rPr>
          <w:rFonts w:ascii="Book Antiqua" w:hAnsi="Book Antiqua"/>
        </w:rPr>
        <w:sectPr w:rsidR="00AE52CE" w:rsidRPr="009D4018">
          <w:pgSz w:w="12240" w:h="15840"/>
          <w:pgMar w:top="1440" w:right="1440" w:bottom="1440" w:left="1440" w:header="720" w:footer="720" w:gutter="0"/>
          <w:cols w:space="720"/>
          <w:docGrid w:linePitch="360"/>
        </w:sectPr>
      </w:pPr>
    </w:p>
    <w:p w14:paraId="6E9B33B4" w14:textId="77777777" w:rsidR="00A77B3E" w:rsidRPr="009D4018" w:rsidRDefault="00766A26">
      <w:pPr>
        <w:spacing w:line="360" w:lineRule="auto"/>
        <w:jc w:val="both"/>
        <w:rPr>
          <w:rFonts w:ascii="Book Antiqua" w:eastAsia="Book Antiqua" w:hAnsi="Book Antiqua" w:cs="Book Antiqua"/>
          <w:b/>
          <w:color w:val="000000"/>
        </w:rPr>
      </w:pPr>
      <w:r w:rsidRPr="009D4018">
        <w:rPr>
          <w:rFonts w:ascii="Book Antiqua" w:eastAsia="Book Antiqua" w:hAnsi="Book Antiqua" w:cs="Book Antiqua"/>
          <w:b/>
          <w:color w:val="000000"/>
        </w:rPr>
        <w:lastRenderedPageBreak/>
        <w:t>Figure Legends</w:t>
      </w:r>
    </w:p>
    <w:p w14:paraId="531B605F" w14:textId="77777777" w:rsidR="00325C67" w:rsidRPr="009D4018" w:rsidRDefault="00515FC2">
      <w:pPr>
        <w:spacing w:line="360" w:lineRule="auto"/>
        <w:jc w:val="both"/>
        <w:rPr>
          <w:rFonts w:ascii="Book Antiqua" w:hAnsi="Book Antiqua"/>
        </w:rPr>
      </w:pPr>
      <w:r w:rsidRPr="009D4018">
        <w:rPr>
          <w:rFonts w:ascii="Book Antiqua" w:hAnsi="Book Antiqua"/>
          <w:noProof/>
          <w:lang w:eastAsia="zh-CN"/>
        </w:rPr>
        <w:drawing>
          <wp:inline distT="0" distB="0" distL="0" distR="0" wp14:anchorId="1C875753" wp14:editId="0F2DC0E1">
            <wp:extent cx="4239134" cy="3175858"/>
            <wp:effectExtent l="0" t="0" r="3175" b="0"/>
            <wp:docPr id="1" name="Picture 1" descr="A close - up of a person's s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 up of a person's skin&#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4250409" cy="3184305"/>
                    </a:xfrm>
                    <a:prstGeom prst="rect">
                      <a:avLst/>
                    </a:prstGeom>
                  </pic:spPr>
                </pic:pic>
              </a:graphicData>
            </a:graphic>
          </wp:inline>
        </w:drawing>
      </w:r>
    </w:p>
    <w:p w14:paraId="5C4D1093" w14:textId="02230AE9" w:rsidR="00A77B3E" w:rsidRPr="009D4018" w:rsidRDefault="00766A26">
      <w:pPr>
        <w:spacing w:line="360" w:lineRule="auto"/>
        <w:jc w:val="both"/>
        <w:rPr>
          <w:rFonts w:ascii="Book Antiqua" w:hAnsi="Book Antiqua"/>
        </w:rPr>
      </w:pPr>
      <w:r w:rsidRPr="00F873D9">
        <w:rPr>
          <w:rFonts w:ascii="Book Antiqua" w:eastAsia="Book Antiqua" w:hAnsi="Book Antiqua" w:cs="Book Antiqua"/>
          <w:b/>
          <w:bCs/>
          <w:color w:val="000000"/>
        </w:rPr>
        <w:t xml:space="preserve">Figure 1 The liver biopsy specimen of </w:t>
      </w:r>
      <w:r w:rsidR="00FD7E69" w:rsidRPr="00F873D9">
        <w:rPr>
          <w:rFonts w:ascii="Book Antiqua" w:eastAsia="Book Antiqua" w:hAnsi="Book Antiqua" w:cs="Book Antiqua"/>
          <w:b/>
          <w:bCs/>
          <w:color w:val="000000"/>
        </w:rPr>
        <w:t>c</w:t>
      </w:r>
      <w:r w:rsidRPr="00F873D9">
        <w:rPr>
          <w:rFonts w:ascii="Book Antiqua" w:eastAsia="Book Antiqua" w:hAnsi="Book Antiqua" w:cs="Book Antiqua"/>
          <w:b/>
          <w:bCs/>
          <w:color w:val="000000"/>
        </w:rPr>
        <w:t>ase 1.</w:t>
      </w:r>
      <w:r w:rsidRPr="00F873D9">
        <w:rPr>
          <w:rFonts w:ascii="Book Antiqua" w:eastAsia="Book Antiqua" w:hAnsi="Book Antiqua" w:cs="Book Antiqua"/>
          <w:color w:val="000000"/>
        </w:rPr>
        <w:t xml:space="preserve"> Hematox</w:t>
      </w:r>
      <w:r w:rsidR="00F873D9">
        <w:rPr>
          <w:rFonts w:ascii="Book Antiqua" w:eastAsia="Book Antiqua" w:hAnsi="Book Antiqua" w:cs="Book Antiqua"/>
          <w:color w:val="000000"/>
        </w:rPr>
        <w:t>y</w:t>
      </w:r>
      <w:r w:rsidRPr="009D4018">
        <w:rPr>
          <w:rFonts w:ascii="Book Antiqua" w:eastAsia="Book Antiqua" w:hAnsi="Book Antiqua" w:cs="Book Antiqua"/>
          <w:color w:val="000000"/>
        </w:rPr>
        <w:t>lin</w:t>
      </w:r>
      <w:r w:rsidR="00F873D9">
        <w:rPr>
          <w:rFonts w:ascii="Book Antiqua" w:eastAsia="Book Antiqua" w:hAnsi="Book Antiqua" w:cs="Book Antiqua"/>
          <w:color w:val="000000"/>
        </w:rPr>
        <w:t xml:space="preserve"> and </w:t>
      </w:r>
      <w:r w:rsidRPr="009D4018">
        <w:rPr>
          <w:rFonts w:ascii="Book Antiqua" w:eastAsia="Book Antiqua" w:hAnsi="Book Antiqua" w:cs="Book Antiqua"/>
          <w:color w:val="000000"/>
        </w:rPr>
        <w:t>eosin-stained histological evidence showing cholestatic injury, ductopenia, and chronic hepatitis with mild fibrosis after ligandrol and post-cycle therapy misuse. In the lobules</w:t>
      </w:r>
      <w:r w:rsidR="00F873D9">
        <w:rPr>
          <w:rFonts w:ascii="Book Antiqua" w:eastAsia="Book Antiqua" w:hAnsi="Book Antiqua" w:cs="Book Antiqua"/>
          <w:color w:val="000000"/>
        </w:rPr>
        <w:t>,</w:t>
      </w:r>
      <w:r w:rsidRPr="00F873D9">
        <w:rPr>
          <w:rFonts w:ascii="Book Antiqua" w:eastAsia="Book Antiqua" w:hAnsi="Book Antiqua" w:cs="Book Antiqua"/>
          <w:color w:val="000000"/>
        </w:rPr>
        <w:t xml:space="preserve"> there is predominantly canalicular cholestasis, dilation and nu</w:t>
      </w:r>
      <w:r w:rsidRPr="009D4018">
        <w:rPr>
          <w:rFonts w:ascii="Book Antiqua" w:eastAsia="Book Antiqua" w:hAnsi="Book Antiqua" w:cs="Book Antiqua"/>
          <w:color w:val="000000"/>
        </w:rPr>
        <w:t xml:space="preserve">merous biliary plugs between hepatocytes, in the Kupffer cells and fewer in the cytoplasm of centrilobular hepatocytes. There are focal degenerative signs of hepatocytes with vacuolization, without steatosis, with some spotty necrosis. In the portobiliary areas, there is a moderately dense inflammatory infiltrate with lymphocytes </w:t>
      </w:r>
      <w:r w:rsidR="00F873D9">
        <w:rPr>
          <w:rFonts w:ascii="Book Antiqua" w:eastAsia="Book Antiqua" w:hAnsi="Book Antiqua" w:cs="Book Antiqua"/>
          <w:color w:val="000000"/>
        </w:rPr>
        <w:t>cluster of differentiation 3+ (</w:t>
      </w:r>
      <w:r w:rsidRPr="00F873D9">
        <w:rPr>
          <w:rFonts w:ascii="Book Antiqua" w:eastAsia="Book Antiqua" w:hAnsi="Book Antiqua" w:cs="Book Antiqua"/>
          <w:color w:val="000000"/>
        </w:rPr>
        <w:t>CD3+</w:t>
      </w:r>
      <w:r w:rsidR="00F873D9">
        <w:rPr>
          <w:rFonts w:ascii="Book Antiqua" w:eastAsia="Book Antiqua" w:hAnsi="Book Antiqua" w:cs="Book Antiqua"/>
          <w:color w:val="000000"/>
        </w:rPr>
        <w:t>)</w:t>
      </w:r>
      <w:r w:rsidRPr="00F873D9">
        <w:rPr>
          <w:rFonts w:ascii="Book Antiqua" w:eastAsia="Book Antiqua" w:hAnsi="Book Antiqua" w:cs="Book Antiqua"/>
          <w:color w:val="000000"/>
        </w:rPr>
        <w:t>, CD20 focally+, CD138 +/-, sketchy mild interface hepatitis, ductopenia, almost complete loss of biliary ducts, and peripheral ductular metaplasia of periportal hepatocytes (cytokeratin7+). Mild mononuclear inflammatory infiltrates in the sinusoids, markedly multiplied Kupffer cells with cholestasis. Mild portal fibrosis</w:t>
      </w:r>
      <w:r w:rsidR="00782CF9" w:rsidRPr="00F873D9">
        <w:rPr>
          <w:rFonts w:ascii="Book Antiqua" w:eastAsia="Book Antiqua" w:hAnsi="Book Antiqua" w:cs="Book Antiqua"/>
          <w:color w:val="000000"/>
        </w:rPr>
        <w:t xml:space="preserve"> (Dr. Meciarova).</w:t>
      </w:r>
    </w:p>
    <w:p w14:paraId="1381BF1B" w14:textId="77777777" w:rsidR="00A77B3E" w:rsidRPr="009D4018" w:rsidRDefault="00325C67">
      <w:pPr>
        <w:spacing w:line="360" w:lineRule="auto"/>
        <w:jc w:val="both"/>
        <w:rPr>
          <w:rFonts w:ascii="Book Antiqua" w:hAnsi="Book Antiqua"/>
        </w:rPr>
      </w:pPr>
      <w:r w:rsidRPr="009D4018">
        <w:rPr>
          <w:rFonts w:ascii="Book Antiqua" w:hAnsi="Book Antiqua"/>
        </w:rPr>
        <w:br w:type="page"/>
      </w:r>
      <w:r w:rsidR="00A545AD" w:rsidRPr="009D4018">
        <w:rPr>
          <w:rFonts w:ascii="Book Antiqua" w:hAnsi="Book Antiqua"/>
          <w:noProof/>
          <w:lang w:eastAsia="zh-CN"/>
        </w:rPr>
        <w:lastRenderedPageBreak/>
        <w:drawing>
          <wp:inline distT="0" distB="0" distL="0" distR="0" wp14:anchorId="694D3447" wp14:editId="51DB7F01">
            <wp:extent cx="4159885" cy="3119914"/>
            <wp:effectExtent l="0" t="0" r="5715" b="4445"/>
            <wp:docPr id="4" name="Picture 4" descr="A picture containing purple, coo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urple, cooke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4163687" cy="3122765"/>
                    </a:xfrm>
                    <a:prstGeom prst="rect">
                      <a:avLst/>
                    </a:prstGeom>
                  </pic:spPr>
                </pic:pic>
              </a:graphicData>
            </a:graphic>
          </wp:inline>
        </w:drawing>
      </w:r>
    </w:p>
    <w:p w14:paraId="738D3144" w14:textId="4BCDA3E3" w:rsidR="00A77B3E" w:rsidRPr="009D4018" w:rsidRDefault="00766A26">
      <w:pPr>
        <w:spacing w:line="360" w:lineRule="auto"/>
        <w:jc w:val="both"/>
        <w:rPr>
          <w:rFonts w:ascii="Book Antiqua" w:hAnsi="Book Antiqua"/>
        </w:rPr>
      </w:pPr>
      <w:r w:rsidRPr="00F873D9">
        <w:rPr>
          <w:rFonts w:ascii="Book Antiqua" w:eastAsia="Book Antiqua" w:hAnsi="Book Antiqua" w:cs="Book Antiqua"/>
          <w:b/>
          <w:bCs/>
          <w:color w:val="000000"/>
        </w:rPr>
        <w:t>Figure 2</w:t>
      </w:r>
      <w:r w:rsidRPr="00F873D9">
        <w:rPr>
          <w:rFonts w:ascii="Book Antiqua" w:eastAsia="Book Antiqua" w:hAnsi="Book Antiqua" w:cs="Book Antiqua"/>
          <w:color w:val="000000"/>
        </w:rPr>
        <w:t xml:space="preserve"> </w:t>
      </w:r>
      <w:r w:rsidRPr="00F873D9">
        <w:rPr>
          <w:rFonts w:ascii="Book Antiqua" w:eastAsia="Book Antiqua" w:hAnsi="Book Antiqua" w:cs="Book Antiqua"/>
          <w:b/>
          <w:bCs/>
          <w:color w:val="000000"/>
        </w:rPr>
        <w:t xml:space="preserve">The liver biopsy specimen of </w:t>
      </w:r>
      <w:r w:rsidR="00FD7E69" w:rsidRPr="00F873D9">
        <w:rPr>
          <w:rFonts w:ascii="Book Antiqua" w:eastAsia="Book Antiqua" w:hAnsi="Book Antiqua" w:cs="Book Antiqua"/>
          <w:b/>
          <w:bCs/>
          <w:color w:val="000000"/>
        </w:rPr>
        <w:t>c</w:t>
      </w:r>
      <w:r w:rsidRPr="00F873D9">
        <w:rPr>
          <w:rFonts w:ascii="Book Antiqua" w:eastAsia="Book Antiqua" w:hAnsi="Book Antiqua" w:cs="Book Antiqua"/>
          <w:b/>
          <w:bCs/>
          <w:color w:val="000000"/>
        </w:rPr>
        <w:t>ase 2</w:t>
      </w:r>
      <w:r w:rsidRPr="002D1B33">
        <w:rPr>
          <w:rFonts w:ascii="Book Antiqua" w:eastAsia="Book Antiqua" w:hAnsi="Book Antiqua" w:cs="Book Antiqua"/>
          <w:b/>
          <w:bCs/>
          <w:color w:val="000000"/>
        </w:rPr>
        <w:t>.</w:t>
      </w:r>
      <w:r w:rsidRPr="00F873D9">
        <w:rPr>
          <w:rFonts w:ascii="Book Antiqua" w:eastAsia="Book Antiqua" w:hAnsi="Book Antiqua" w:cs="Book Antiqua"/>
          <w:color w:val="000000"/>
        </w:rPr>
        <w:t xml:space="preserve"> Hematox</w:t>
      </w:r>
      <w:r w:rsidR="00F873D9">
        <w:rPr>
          <w:rFonts w:ascii="Book Antiqua" w:eastAsia="Book Antiqua" w:hAnsi="Book Antiqua" w:cs="Book Antiqua"/>
          <w:color w:val="000000"/>
        </w:rPr>
        <w:t>yl</w:t>
      </w:r>
      <w:r w:rsidRPr="009D4018">
        <w:rPr>
          <w:rFonts w:ascii="Book Antiqua" w:eastAsia="Book Antiqua" w:hAnsi="Book Antiqua" w:cs="Book Antiqua"/>
          <w:color w:val="000000"/>
        </w:rPr>
        <w:t>in</w:t>
      </w:r>
      <w:r w:rsidR="00F873D9">
        <w:rPr>
          <w:rFonts w:ascii="Book Antiqua" w:eastAsia="Book Antiqua" w:hAnsi="Book Antiqua" w:cs="Book Antiqua"/>
          <w:color w:val="000000"/>
        </w:rPr>
        <w:t xml:space="preserve"> and </w:t>
      </w:r>
      <w:r w:rsidRPr="009D4018">
        <w:rPr>
          <w:rFonts w:ascii="Book Antiqua" w:eastAsia="Book Antiqua" w:hAnsi="Book Antiqua" w:cs="Book Antiqua"/>
          <w:color w:val="000000"/>
        </w:rPr>
        <w:t xml:space="preserve">eosin-stained histological evidence showing acute cholestasis with mild fibrosis after ligandrol and post-cycle therapy misuse. Hepatocyte architecture is preserved without nodularity with some hepatocyte apoptosis and perivenular hepatocyte necrosis, or patches of swollen hepatocytes with double nuclei. No apparent signs of significant steatosis, Mallory-Denk bodies, or hemosiderin content. Porto-biliary areas have distinct band-like enlargement, with some thin threads of bridging fibrosis together with destruction of bile ducts with anisokaryosis and focally overlapping lines of biliary epithelial cell nuclei with ductular reaction and a mixed inflammatory infiltrate with focal neutrophil content. There is a marked centroacinar canalicular cholestasis with numerous bile-plugs in the canaliculi with abundant phagocytosis by the Kupffer cells (Schmorl reaction). Immunohistochemistry stains: cytokeratin 7+ in the bile ducts, ductules, and robust biliary metaplasia, cytokeratin 8/18+ and factor VIII in endothelial cells, </w:t>
      </w:r>
      <w:r w:rsidR="00F873D9">
        <w:rPr>
          <w:rFonts w:ascii="Book Antiqua" w:eastAsia="Book Antiqua" w:hAnsi="Book Antiqua" w:cs="Book Antiqua"/>
          <w:color w:val="000000"/>
        </w:rPr>
        <w:t>cluster of differentiation 34+ (</w:t>
      </w:r>
      <w:r w:rsidRPr="00F873D9">
        <w:rPr>
          <w:rFonts w:ascii="Book Antiqua" w:eastAsia="Book Antiqua" w:hAnsi="Book Antiqua" w:cs="Book Antiqua"/>
          <w:color w:val="000000"/>
        </w:rPr>
        <w:t>CD34+</w:t>
      </w:r>
      <w:r w:rsidR="00F873D9">
        <w:rPr>
          <w:rFonts w:ascii="Book Antiqua" w:eastAsia="Book Antiqua" w:hAnsi="Book Antiqua" w:cs="Book Antiqua"/>
          <w:color w:val="000000"/>
        </w:rPr>
        <w:t>)</w:t>
      </w:r>
      <w:r w:rsidRPr="00F873D9">
        <w:rPr>
          <w:rFonts w:ascii="Book Antiqua" w:eastAsia="Book Antiqua" w:hAnsi="Book Antiqua" w:cs="Book Antiqua"/>
          <w:color w:val="000000"/>
        </w:rPr>
        <w:t xml:space="preserve"> in the periportal capilarized sinusoids, ubiquitin glutamine synthetase + in the centroacinar foci, CD15+ in neutrophils and macrophages, and LCA in the lymphocytes (Dr.</w:t>
      </w:r>
      <w:r w:rsidR="00E01435" w:rsidRPr="00F873D9">
        <w:rPr>
          <w:rFonts w:ascii="Book Antiqua" w:eastAsia="Book Antiqua" w:hAnsi="Book Antiqua" w:cs="Book Antiqua"/>
          <w:color w:val="000000"/>
        </w:rPr>
        <w:t xml:space="preserve"> </w:t>
      </w:r>
      <w:r w:rsidRPr="00F873D9">
        <w:rPr>
          <w:rFonts w:ascii="Book Antiqua" w:eastAsia="Book Antiqua" w:hAnsi="Book Antiqua" w:cs="Book Antiqua"/>
          <w:color w:val="000000"/>
        </w:rPr>
        <w:t>Smitka)</w:t>
      </w:r>
      <w:r w:rsidR="00A22746" w:rsidRPr="00F873D9">
        <w:rPr>
          <w:rFonts w:ascii="Book Antiqua" w:eastAsia="Book Antiqua" w:hAnsi="Book Antiqua" w:cs="Book Antiqua"/>
          <w:color w:val="000000"/>
        </w:rPr>
        <w:t>.</w:t>
      </w:r>
    </w:p>
    <w:p w14:paraId="0AA80254" w14:textId="77777777" w:rsidR="00A77B3E" w:rsidRPr="009D4018" w:rsidRDefault="00325C67">
      <w:pPr>
        <w:spacing w:line="360" w:lineRule="auto"/>
        <w:jc w:val="both"/>
        <w:rPr>
          <w:rFonts w:ascii="Book Antiqua" w:hAnsi="Book Antiqua"/>
        </w:rPr>
      </w:pPr>
      <w:r w:rsidRPr="009D4018">
        <w:rPr>
          <w:rFonts w:ascii="Book Antiqua" w:hAnsi="Book Antiqua"/>
        </w:rPr>
        <w:br w:type="page"/>
      </w:r>
      <w:r w:rsidR="005F1B3B" w:rsidRPr="009D4018">
        <w:rPr>
          <w:rFonts w:ascii="Book Antiqua" w:hAnsi="Book Antiqua"/>
          <w:noProof/>
          <w:lang w:eastAsia="zh-CN"/>
        </w:rPr>
        <w:lastRenderedPageBreak/>
        <w:drawing>
          <wp:inline distT="0" distB="0" distL="0" distR="0" wp14:anchorId="6CA422D3" wp14:editId="6FD8F435">
            <wp:extent cx="4122087" cy="3091468"/>
            <wp:effectExtent l="0" t="0" r="5715" b="0"/>
            <wp:docPr id="3" name="Picture 3"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abric&#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4126941" cy="3095108"/>
                    </a:xfrm>
                    <a:prstGeom prst="rect">
                      <a:avLst/>
                    </a:prstGeom>
                  </pic:spPr>
                </pic:pic>
              </a:graphicData>
            </a:graphic>
          </wp:inline>
        </w:drawing>
      </w:r>
    </w:p>
    <w:p w14:paraId="6A6E1778" w14:textId="2A898925" w:rsidR="00A77B3E" w:rsidRPr="009D4018" w:rsidRDefault="00766A26">
      <w:pPr>
        <w:spacing w:line="360" w:lineRule="auto"/>
        <w:jc w:val="both"/>
        <w:rPr>
          <w:rFonts w:ascii="Book Antiqua" w:eastAsia="Book Antiqua" w:hAnsi="Book Antiqua" w:cs="Book Antiqua"/>
          <w:color w:val="000000"/>
        </w:rPr>
      </w:pPr>
      <w:r w:rsidRPr="009D4018">
        <w:rPr>
          <w:rFonts w:ascii="Book Antiqua" w:eastAsia="Book Antiqua" w:hAnsi="Book Antiqua" w:cs="Book Antiqua"/>
          <w:b/>
          <w:bCs/>
          <w:color w:val="000000"/>
        </w:rPr>
        <w:t xml:space="preserve">Figure 3 The liver biopsy specimen of </w:t>
      </w:r>
      <w:r w:rsidR="00FD7E69" w:rsidRPr="009D4018">
        <w:rPr>
          <w:rFonts w:ascii="Book Antiqua" w:eastAsia="Book Antiqua" w:hAnsi="Book Antiqua" w:cs="Book Antiqua"/>
          <w:b/>
          <w:bCs/>
          <w:color w:val="000000"/>
        </w:rPr>
        <w:t>c</w:t>
      </w:r>
      <w:r w:rsidRPr="009D4018">
        <w:rPr>
          <w:rFonts w:ascii="Book Antiqua" w:eastAsia="Book Antiqua" w:hAnsi="Book Antiqua" w:cs="Book Antiqua"/>
          <w:b/>
          <w:bCs/>
          <w:color w:val="000000"/>
        </w:rPr>
        <w:t>ase 2 patient, special staining.</w:t>
      </w:r>
      <w:r w:rsidRPr="009D4018">
        <w:rPr>
          <w:rFonts w:ascii="Book Antiqua" w:eastAsia="Book Antiqua" w:hAnsi="Book Antiqua" w:cs="Book Antiqua"/>
          <w:color w:val="000000"/>
        </w:rPr>
        <w:t xml:space="preserve"> Schmorl stained histological evidence showing acute cholestasis after ligandrol and post-cycle therapy misuse. Deposition of blue-stained bile salts in various locations in the liver parenchyma (Dr.</w:t>
      </w:r>
      <w:r w:rsidR="005F1B3B" w:rsidRPr="009D4018">
        <w:rPr>
          <w:rFonts w:ascii="Book Antiqua" w:eastAsia="Book Antiqua" w:hAnsi="Book Antiqua" w:cs="Book Antiqua"/>
          <w:color w:val="000000"/>
        </w:rPr>
        <w:t xml:space="preserve"> </w:t>
      </w:r>
      <w:r w:rsidRPr="009D4018">
        <w:rPr>
          <w:rFonts w:ascii="Book Antiqua" w:eastAsia="Book Antiqua" w:hAnsi="Book Antiqua" w:cs="Book Antiqua"/>
          <w:color w:val="000000"/>
        </w:rPr>
        <w:t>Smitka)</w:t>
      </w:r>
      <w:r w:rsidR="00325C67" w:rsidRPr="009D4018">
        <w:rPr>
          <w:rFonts w:ascii="Book Antiqua" w:eastAsia="Book Antiqua" w:hAnsi="Book Antiqua" w:cs="Book Antiqua"/>
          <w:color w:val="000000"/>
        </w:rPr>
        <w:t>.</w:t>
      </w:r>
    </w:p>
    <w:p w14:paraId="4BB4DA40" w14:textId="2B151023" w:rsidR="00C51F66" w:rsidRPr="009D4018" w:rsidRDefault="00DD73D3">
      <w:pPr>
        <w:spacing w:line="360" w:lineRule="auto"/>
        <w:jc w:val="both"/>
        <w:rPr>
          <w:rFonts w:ascii="Book Antiqua" w:eastAsia="Book Antiqua" w:hAnsi="Book Antiqua" w:cs="Book Antiqua"/>
          <w:color w:val="000000"/>
        </w:rPr>
      </w:pPr>
      <w:r w:rsidRPr="009D4018">
        <w:rPr>
          <w:rFonts w:ascii="Book Antiqua" w:eastAsia="Book Antiqua" w:hAnsi="Book Antiqua" w:cs="Book Antiqua"/>
          <w:color w:val="000000"/>
        </w:rPr>
        <w:br w:type="page"/>
      </w:r>
      <w:r w:rsidR="00A80091" w:rsidRPr="002D1B33">
        <w:rPr>
          <w:rFonts w:ascii="Book Antiqua" w:hAnsi="Book Antiqua"/>
          <w:b/>
          <w:bCs/>
          <w:color w:val="000000"/>
        </w:rPr>
        <w:lastRenderedPageBreak/>
        <w:t>Table 1</w:t>
      </w:r>
      <w:r w:rsidR="00686DB1" w:rsidRPr="002D1B33">
        <w:rPr>
          <w:rFonts w:ascii="Book Antiqua" w:hAnsi="Book Antiqua"/>
          <w:b/>
          <w:bCs/>
          <w:color w:val="000000"/>
        </w:rPr>
        <w:t xml:space="preserve"> </w:t>
      </w:r>
      <w:r w:rsidR="00A80091" w:rsidRPr="002D1B33">
        <w:rPr>
          <w:rFonts w:ascii="Book Antiqua" w:hAnsi="Book Antiqua"/>
          <w:b/>
          <w:bCs/>
          <w:color w:val="000000"/>
        </w:rPr>
        <w:t xml:space="preserve">Summary of the relevant serum laboratory parameters in patients with ligandrol/ostarine and post-cycle therapy use: </w:t>
      </w:r>
      <w:r w:rsidR="00F873D9">
        <w:rPr>
          <w:rFonts w:ascii="Book Antiqua" w:hAnsi="Book Antiqua"/>
          <w:b/>
          <w:bCs/>
          <w:caps/>
          <w:color w:val="000000"/>
        </w:rPr>
        <w:t>O</w:t>
      </w:r>
      <w:r w:rsidR="00A80091" w:rsidRPr="002D1B33">
        <w:rPr>
          <w:rFonts w:ascii="Book Antiqua" w:hAnsi="Book Antiqua"/>
          <w:b/>
          <w:bCs/>
          <w:color w:val="000000"/>
        </w:rPr>
        <w:t>n admission, after 7 d, and 3 mo</w:t>
      </w:r>
    </w:p>
    <w:tbl>
      <w:tblPr>
        <w:tblW w:w="9803" w:type="dxa"/>
        <w:tblInd w:w="108" w:type="dxa"/>
        <w:tblLook w:val="04A0" w:firstRow="1" w:lastRow="0" w:firstColumn="1" w:lastColumn="0" w:noHBand="0" w:noVBand="1"/>
      </w:tblPr>
      <w:tblGrid>
        <w:gridCol w:w="3911"/>
        <w:gridCol w:w="1479"/>
        <w:gridCol w:w="1740"/>
        <w:gridCol w:w="1294"/>
        <w:gridCol w:w="1379"/>
      </w:tblGrid>
      <w:tr w:rsidR="00C51F66" w:rsidRPr="009D4018" w14:paraId="03EB7D9F" w14:textId="77777777" w:rsidTr="00F058F3">
        <w:trPr>
          <w:trHeight w:val="297"/>
        </w:trPr>
        <w:tc>
          <w:tcPr>
            <w:tcW w:w="3911" w:type="dxa"/>
            <w:tcBorders>
              <w:top w:val="single" w:sz="4" w:space="0" w:color="auto"/>
              <w:left w:val="nil"/>
              <w:bottom w:val="single" w:sz="4" w:space="0" w:color="auto"/>
              <w:right w:val="nil"/>
            </w:tcBorders>
            <w:shd w:val="clear" w:color="auto" w:fill="auto"/>
            <w:noWrap/>
            <w:vAlign w:val="bottom"/>
            <w:hideMark/>
          </w:tcPr>
          <w:p w14:paraId="33E17F72" w14:textId="77777777" w:rsidR="00C51F66" w:rsidRPr="002D1B33" w:rsidRDefault="00C51F66" w:rsidP="00DD7887">
            <w:pPr>
              <w:spacing w:line="480" w:lineRule="auto"/>
              <w:rPr>
                <w:rFonts w:ascii="Book Antiqua" w:hAnsi="Book Antiqua"/>
                <w:color w:val="000000"/>
              </w:rPr>
            </w:pPr>
          </w:p>
        </w:tc>
        <w:tc>
          <w:tcPr>
            <w:tcW w:w="1479" w:type="dxa"/>
            <w:tcBorders>
              <w:top w:val="single" w:sz="4" w:space="0" w:color="auto"/>
              <w:left w:val="nil"/>
              <w:bottom w:val="single" w:sz="4" w:space="0" w:color="auto"/>
              <w:right w:val="nil"/>
            </w:tcBorders>
            <w:shd w:val="clear" w:color="auto" w:fill="auto"/>
            <w:noWrap/>
            <w:vAlign w:val="bottom"/>
            <w:hideMark/>
          </w:tcPr>
          <w:p w14:paraId="6CE31446" w14:textId="77777777" w:rsidR="00C51F66" w:rsidRPr="002D1B33" w:rsidRDefault="00C51F66" w:rsidP="00DD7887">
            <w:pPr>
              <w:spacing w:line="480" w:lineRule="auto"/>
              <w:jc w:val="center"/>
              <w:rPr>
                <w:rFonts w:ascii="Book Antiqua" w:hAnsi="Book Antiqua"/>
                <w:b/>
                <w:color w:val="000000"/>
              </w:rPr>
            </w:pPr>
            <w:r w:rsidRPr="002D1B33">
              <w:rPr>
                <w:rFonts w:ascii="Book Antiqua" w:hAnsi="Book Antiqua"/>
                <w:b/>
                <w:caps/>
                <w:color w:val="000000"/>
              </w:rPr>
              <w:t>n</w:t>
            </w:r>
            <w:r w:rsidRPr="002D1B33">
              <w:rPr>
                <w:rFonts w:ascii="Book Antiqua" w:hAnsi="Book Antiqua"/>
                <w:b/>
                <w:color w:val="000000"/>
              </w:rPr>
              <w:t>ormal range</w:t>
            </w:r>
          </w:p>
        </w:tc>
        <w:tc>
          <w:tcPr>
            <w:tcW w:w="1740" w:type="dxa"/>
            <w:tcBorders>
              <w:top w:val="single" w:sz="4" w:space="0" w:color="auto"/>
              <w:left w:val="nil"/>
              <w:bottom w:val="single" w:sz="4" w:space="0" w:color="auto"/>
              <w:right w:val="nil"/>
            </w:tcBorders>
            <w:shd w:val="clear" w:color="auto" w:fill="auto"/>
            <w:noWrap/>
            <w:vAlign w:val="bottom"/>
            <w:hideMark/>
          </w:tcPr>
          <w:p w14:paraId="5E8DB5CB" w14:textId="77777777" w:rsidR="00C51F66" w:rsidRPr="002D1B33" w:rsidRDefault="00C51F66" w:rsidP="00DD7887">
            <w:pPr>
              <w:spacing w:line="480" w:lineRule="auto"/>
              <w:jc w:val="center"/>
              <w:rPr>
                <w:rFonts w:ascii="Book Antiqua" w:hAnsi="Book Antiqua"/>
                <w:b/>
                <w:color w:val="000000"/>
              </w:rPr>
            </w:pPr>
            <w:r w:rsidRPr="002D1B33">
              <w:rPr>
                <w:rFonts w:ascii="Book Antiqua" w:hAnsi="Book Antiqua"/>
                <w:b/>
                <w:caps/>
                <w:color w:val="000000"/>
              </w:rPr>
              <w:t>o</w:t>
            </w:r>
            <w:r w:rsidRPr="002D1B33">
              <w:rPr>
                <w:rFonts w:ascii="Book Antiqua" w:hAnsi="Book Antiqua"/>
                <w:b/>
                <w:color w:val="000000"/>
              </w:rPr>
              <w:t>n admission</w:t>
            </w:r>
          </w:p>
        </w:tc>
        <w:tc>
          <w:tcPr>
            <w:tcW w:w="1294" w:type="dxa"/>
            <w:tcBorders>
              <w:top w:val="single" w:sz="4" w:space="0" w:color="auto"/>
              <w:left w:val="nil"/>
              <w:bottom w:val="single" w:sz="4" w:space="0" w:color="auto"/>
              <w:right w:val="nil"/>
            </w:tcBorders>
            <w:shd w:val="clear" w:color="auto" w:fill="auto"/>
            <w:noWrap/>
            <w:vAlign w:val="bottom"/>
            <w:hideMark/>
          </w:tcPr>
          <w:p w14:paraId="7D840A07" w14:textId="2E01E8F9" w:rsidR="00C51F66" w:rsidRPr="002D1B33" w:rsidRDefault="00C51F66" w:rsidP="00E01EC9">
            <w:pPr>
              <w:spacing w:line="480" w:lineRule="auto"/>
              <w:jc w:val="center"/>
              <w:rPr>
                <w:rFonts w:ascii="Book Antiqua" w:hAnsi="Book Antiqua"/>
                <w:b/>
                <w:color w:val="000000"/>
              </w:rPr>
            </w:pPr>
            <w:r w:rsidRPr="002D1B33">
              <w:rPr>
                <w:rFonts w:ascii="Book Antiqua" w:hAnsi="Book Antiqua"/>
                <w:b/>
                <w:color w:val="000000"/>
              </w:rPr>
              <w:t>7 d</w:t>
            </w:r>
          </w:p>
        </w:tc>
        <w:tc>
          <w:tcPr>
            <w:tcW w:w="1379" w:type="dxa"/>
            <w:tcBorders>
              <w:top w:val="single" w:sz="4" w:space="0" w:color="auto"/>
              <w:left w:val="nil"/>
              <w:bottom w:val="single" w:sz="4" w:space="0" w:color="auto"/>
              <w:right w:val="nil"/>
            </w:tcBorders>
            <w:shd w:val="clear" w:color="auto" w:fill="auto"/>
            <w:noWrap/>
            <w:vAlign w:val="bottom"/>
            <w:hideMark/>
          </w:tcPr>
          <w:p w14:paraId="4D81B437" w14:textId="1A536ABB" w:rsidR="00C51F66" w:rsidRPr="002D1B33" w:rsidRDefault="00C51F66" w:rsidP="00E01EC9">
            <w:pPr>
              <w:spacing w:line="480" w:lineRule="auto"/>
              <w:jc w:val="center"/>
              <w:rPr>
                <w:rFonts w:ascii="Book Antiqua" w:hAnsi="Book Antiqua"/>
                <w:b/>
                <w:color w:val="000000"/>
              </w:rPr>
            </w:pPr>
            <w:r w:rsidRPr="002D1B33">
              <w:rPr>
                <w:rFonts w:ascii="Book Antiqua" w:hAnsi="Book Antiqua"/>
                <w:b/>
                <w:color w:val="000000"/>
              </w:rPr>
              <w:t>3 mo</w:t>
            </w:r>
          </w:p>
        </w:tc>
      </w:tr>
      <w:tr w:rsidR="00C51F66" w:rsidRPr="009D4018" w14:paraId="1BC513AA" w14:textId="77777777" w:rsidTr="00F058F3">
        <w:trPr>
          <w:trHeight w:val="297"/>
        </w:trPr>
        <w:tc>
          <w:tcPr>
            <w:tcW w:w="3911" w:type="dxa"/>
            <w:tcBorders>
              <w:top w:val="single" w:sz="4" w:space="0" w:color="auto"/>
              <w:left w:val="nil"/>
              <w:bottom w:val="nil"/>
              <w:right w:val="nil"/>
            </w:tcBorders>
            <w:shd w:val="clear" w:color="auto" w:fill="auto"/>
            <w:noWrap/>
            <w:vAlign w:val="bottom"/>
            <w:hideMark/>
          </w:tcPr>
          <w:p w14:paraId="7C3EF5DB" w14:textId="141BAE51" w:rsidR="00C51F66" w:rsidRPr="002D1B33" w:rsidRDefault="00C51F66" w:rsidP="00B67306">
            <w:pPr>
              <w:spacing w:line="480" w:lineRule="auto"/>
              <w:rPr>
                <w:rFonts w:ascii="Book Antiqua" w:hAnsi="Book Antiqua"/>
                <w:iCs/>
                <w:color w:val="000000"/>
              </w:rPr>
            </w:pPr>
            <w:r w:rsidRPr="002D1B33">
              <w:rPr>
                <w:rFonts w:ascii="Book Antiqua" w:hAnsi="Book Antiqua"/>
                <w:iCs/>
                <w:color w:val="000000"/>
              </w:rPr>
              <w:t>Case 1</w:t>
            </w:r>
            <w:r w:rsidR="00B67306" w:rsidRPr="002D1B33">
              <w:rPr>
                <w:rFonts w:ascii="Book Antiqua" w:hAnsi="Book Antiqua"/>
                <w:iCs/>
                <w:color w:val="000000"/>
              </w:rPr>
              <w:t>,</w:t>
            </w:r>
            <w:r w:rsidR="00C357DE" w:rsidRPr="002D1B33">
              <w:rPr>
                <w:rFonts w:ascii="Book Antiqua" w:hAnsi="Book Antiqua"/>
                <w:iCs/>
                <w:color w:val="000000"/>
              </w:rPr>
              <w:t xml:space="preserve"> man, 19 y</w:t>
            </w:r>
            <w:r w:rsidRPr="002D1B33">
              <w:rPr>
                <w:rFonts w:ascii="Book Antiqua" w:hAnsi="Book Antiqua"/>
                <w:iCs/>
                <w:color w:val="000000"/>
              </w:rPr>
              <w:t>r</w:t>
            </w:r>
          </w:p>
        </w:tc>
        <w:tc>
          <w:tcPr>
            <w:tcW w:w="1479" w:type="dxa"/>
            <w:tcBorders>
              <w:top w:val="single" w:sz="4" w:space="0" w:color="auto"/>
              <w:left w:val="nil"/>
              <w:bottom w:val="nil"/>
              <w:right w:val="nil"/>
            </w:tcBorders>
            <w:shd w:val="clear" w:color="auto" w:fill="auto"/>
            <w:noWrap/>
            <w:vAlign w:val="bottom"/>
            <w:hideMark/>
          </w:tcPr>
          <w:p w14:paraId="166ABC23" w14:textId="77777777" w:rsidR="00C51F66" w:rsidRPr="002D1B33" w:rsidRDefault="00C51F66" w:rsidP="00DD7887">
            <w:pPr>
              <w:spacing w:line="480" w:lineRule="auto"/>
              <w:rPr>
                <w:rFonts w:ascii="Book Antiqua" w:hAnsi="Book Antiqua"/>
                <w:b/>
                <w:bCs/>
                <w:i/>
                <w:iCs/>
                <w:color w:val="000000"/>
              </w:rPr>
            </w:pPr>
          </w:p>
        </w:tc>
        <w:tc>
          <w:tcPr>
            <w:tcW w:w="1740" w:type="dxa"/>
            <w:tcBorders>
              <w:top w:val="single" w:sz="4" w:space="0" w:color="auto"/>
              <w:left w:val="nil"/>
              <w:bottom w:val="nil"/>
              <w:right w:val="nil"/>
            </w:tcBorders>
            <w:shd w:val="clear" w:color="auto" w:fill="auto"/>
            <w:noWrap/>
            <w:vAlign w:val="bottom"/>
            <w:hideMark/>
          </w:tcPr>
          <w:p w14:paraId="17C03BA5" w14:textId="77777777" w:rsidR="00C51F66" w:rsidRPr="002D1B33" w:rsidRDefault="00C51F66" w:rsidP="00DD7887">
            <w:pPr>
              <w:spacing w:line="480" w:lineRule="auto"/>
              <w:jc w:val="center"/>
              <w:rPr>
                <w:rFonts w:ascii="Book Antiqua" w:hAnsi="Book Antiqua"/>
              </w:rPr>
            </w:pPr>
          </w:p>
        </w:tc>
        <w:tc>
          <w:tcPr>
            <w:tcW w:w="1294" w:type="dxa"/>
            <w:tcBorders>
              <w:top w:val="single" w:sz="4" w:space="0" w:color="auto"/>
              <w:left w:val="nil"/>
              <w:bottom w:val="nil"/>
              <w:right w:val="nil"/>
            </w:tcBorders>
            <w:shd w:val="clear" w:color="auto" w:fill="auto"/>
            <w:noWrap/>
            <w:vAlign w:val="bottom"/>
            <w:hideMark/>
          </w:tcPr>
          <w:p w14:paraId="44BCF3DF" w14:textId="77777777" w:rsidR="00C51F66" w:rsidRPr="002D1B33" w:rsidRDefault="00C51F66" w:rsidP="00DD7887">
            <w:pPr>
              <w:spacing w:line="480" w:lineRule="auto"/>
              <w:jc w:val="center"/>
              <w:rPr>
                <w:rFonts w:ascii="Book Antiqua" w:hAnsi="Book Antiqua"/>
              </w:rPr>
            </w:pPr>
          </w:p>
        </w:tc>
        <w:tc>
          <w:tcPr>
            <w:tcW w:w="1379" w:type="dxa"/>
            <w:tcBorders>
              <w:top w:val="single" w:sz="4" w:space="0" w:color="auto"/>
              <w:left w:val="nil"/>
              <w:bottom w:val="nil"/>
              <w:right w:val="nil"/>
            </w:tcBorders>
            <w:shd w:val="clear" w:color="auto" w:fill="auto"/>
            <w:noWrap/>
            <w:vAlign w:val="bottom"/>
            <w:hideMark/>
          </w:tcPr>
          <w:p w14:paraId="1FE47E11" w14:textId="77777777" w:rsidR="00C51F66" w:rsidRPr="002D1B33" w:rsidRDefault="00C51F66" w:rsidP="00DD7887">
            <w:pPr>
              <w:spacing w:line="480" w:lineRule="auto"/>
              <w:jc w:val="center"/>
              <w:rPr>
                <w:rFonts w:ascii="Book Antiqua" w:hAnsi="Book Antiqua"/>
              </w:rPr>
            </w:pPr>
          </w:p>
        </w:tc>
      </w:tr>
      <w:tr w:rsidR="00C51F66" w:rsidRPr="009D4018" w14:paraId="6293A270" w14:textId="77777777" w:rsidTr="00F058F3">
        <w:trPr>
          <w:trHeight w:val="297"/>
        </w:trPr>
        <w:tc>
          <w:tcPr>
            <w:tcW w:w="3911" w:type="dxa"/>
            <w:tcBorders>
              <w:top w:val="nil"/>
              <w:left w:val="nil"/>
              <w:bottom w:val="nil"/>
              <w:right w:val="nil"/>
            </w:tcBorders>
            <w:shd w:val="clear" w:color="auto" w:fill="auto"/>
            <w:noWrap/>
            <w:vAlign w:val="bottom"/>
            <w:hideMark/>
          </w:tcPr>
          <w:p w14:paraId="72903127" w14:textId="2947A3C7"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Total bilirubin</w:t>
            </w:r>
            <w:r w:rsidR="00FB0DF7" w:rsidRPr="002D1B33">
              <w:rPr>
                <w:rFonts w:ascii="Book Antiqua" w:hAnsi="Book Antiqua"/>
                <w:color w:val="000000"/>
                <w:lang w:eastAsia="zh-CN"/>
              </w:rPr>
              <w:t>, µmol/</w:t>
            </w:r>
            <w:r w:rsidR="00FB0DF7" w:rsidRPr="002D1B33">
              <w:rPr>
                <w:rFonts w:ascii="Book Antiqua" w:hAnsi="Book Antiqua"/>
                <w:caps/>
                <w:color w:val="000000"/>
                <w:lang w:eastAsia="zh-CN"/>
              </w:rPr>
              <w:t>l</w:t>
            </w:r>
          </w:p>
        </w:tc>
        <w:tc>
          <w:tcPr>
            <w:tcW w:w="1479" w:type="dxa"/>
            <w:tcBorders>
              <w:top w:val="nil"/>
              <w:left w:val="nil"/>
              <w:bottom w:val="nil"/>
              <w:right w:val="nil"/>
            </w:tcBorders>
            <w:shd w:val="clear" w:color="auto" w:fill="auto"/>
            <w:noWrap/>
            <w:vAlign w:val="bottom"/>
            <w:hideMark/>
          </w:tcPr>
          <w:p w14:paraId="20BAA18D" w14:textId="383D0A1D"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3.4-17.1</w:t>
            </w:r>
          </w:p>
        </w:tc>
        <w:tc>
          <w:tcPr>
            <w:tcW w:w="1740" w:type="dxa"/>
            <w:tcBorders>
              <w:top w:val="nil"/>
              <w:left w:val="nil"/>
              <w:bottom w:val="nil"/>
              <w:right w:val="nil"/>
            </w:tcBorders>
            <w:shd w:val="clear" w:color="auto" w:fill="auto"/>
            <w:noWrap/>
            <w:vAlign w:val="bottom"/>
            <w:hideMark/>
          </w:tcPr>
          <w:p w14:paraId="32D465C8"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238</w:t>
            </w:r>
          </w:p>
        </w:tc>
        <w:tc>
          <w:tcPr>
            <w:tcW w:w="1294" w:type="dxa"/>
            <w:tcBorders>
              <w:top w:val="nil"/>
              <w:left w:val="nil"/>
              <w:bottom w:val="nil"/>
              <w:right w:val="nil"/>
            </w:tcBorders>
            <w:shd w:val="clear" w:color="auto" w:fill="auto"/>
            <w:noWrap/>
            <w:vAlign w:val="bottom"/>
            <w:hideMark/>
          </w:tcPr>
          <w:p w14:paraId="19516F0B"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221</w:t>
            </w:r>
          </w:p>
        </w:tc>
        <w:tc>
          <w:tcPr>
            <w:tcW w:w="1379" w:type="dxa"/>
            <w:tcBorders>
              <w:top w:val="nil"/>
              <w:left w:val="nil"/>
              <w:bottom w:val="nil"/>
              <w:right w:val="nil"/>
            </w:tcBorders>
            <w:shd w:val="clear" w:color="auto" w:fill="auto"/>
            <w:noWrap/>
            <w:vAlign w:val="bottom"/>
            <w:hideMark/>
          </w:tcPr>
          <w:p w14:paraId="641DB41D"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12</w:t>
            </w:r>
          </w:p>
        </w:tc>
      </w:tr>
      <w:tr w:rsidR="00C51F66" w:rsidRPr="009D4018" w14:paraId="3E57907D" w14:textId="77777777" w:rsidTr="00F058F3">
        <w:trPr>
          <w:trHeight w:val="297"/>
        </w:trPr>
        <w:tc>
          <w:tcPr>
            <w:tcW w:w="3911" w:type="dxa"/>
            <w:tcBorders>
              <w:top w:val="nil"/>
              <w:left w:val="nil"/>
              <w:bottom w:val="nil"/>
              <w:right w:val="nil"/>
            </w:tcBorders>
            <w:shd w:val="clear" w:color="auto" w:fill="auto"/>
            <w:noWrap/>
            <w:vAlign w:val="bottom"/>
            <w:hideMark/>
          </w:tcPr>
          <w:p w14:paraId="54CB7DB9" w14:textId="460CB7BE"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Conjugated bilirubin</w:t>
            </w:r>
            <w:r w:rsidR="00FB0DF7" w:rsidRPr="002D1B33">
              <w:rPr>
                <w:rFonts w:ascii="Book Antiqua" w:hAnsi="Book Antiqua"/>
                <w:color w:val="000000"/>
                <w:lang w:eastAsia="zh-CN"/>
              </w:rPr>
              <w:t>, µmol/</w:t>
            </w:r>
            <w:r w:rsidR="00FB0DF7" w:rsidRPr="002D1B33">
              <w:rPr>
                <w:rFonts w:ascii="Book Antiqua" w:hAnsi="Book Antiqua"/>
                <w:caps/>
                <w:color w:val="000000"/>
                <w:lang w:eastAsia="zh-CN"/>
              </w:rPr>
              <w:t>l</w:t>
            </w:r>
          </w:p>
        </w:tc>
        <w:tc>
          <w:tcPr>
            <w:tcW w:w="1479" w:type="dxa"/>
            <w:tcBorders>
              <w:top w:val="nil"/>
              <w:left w:val="nil"/>
              <w:bottom w:val="nil"/>
              <w:right w:val="nil"/>
            </w:tcBorders>
            <w:shd w:val="clear" w:color="auto" w:fill="auto"/>
            <w:noWrap/>
            <w:vAlign w:val="bottom"/>
            <w:hideMark/>
          </w:tcPr>
          <w:p w14:paraId="1DA316A6" w14:textId="3377657D"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0-5 </w:t>
            </w:r>
          </w:p>
        </w:tc>
        <w:tc>
          <w:tcPr>
            <w:tcW w:w="1740" w:type="dxa"/>
            <w:tcBorders>
              <w:top w:val="nil"/>
              <w:left w:val="nil"/>
              <w:bottom w:val="nil"/>
              <w:right w:val="nil"/>
            </w:tcBorders>
            <w:shd w:val="clear" w:color="auto" w:fill="auto"/>
            <w:noWrap/>
            <w:vAlign w:val="bottom"/>
            <w:hideMark/>
          </w:tcPr>
          <w:p w14:paraId="14A89C20"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197</w:t>
            </w:r>
          </w:p>
        </w:tc>
        <w:tc>
          <w:tcPr>
            <w:tcW w:w="1294" w:type="dxa"/>
            <w:tcBorders>
              <w:top w:val="nil"/>
              <w:left w:val="nil"/>
              <w:bottom w:val="nil"/>
              <w:right w:val="nil"/>
            </w:tcBorders>
            <w:shd w:val="clear" w:color="auto" w:fill="auto"/>
            <w:noWrap/>
            <w:vAlign w:val="bottom"/>
            <w:hideMark/>
          </w:tcPr>
          <w:p w14:paraId="237A257C"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184</w:t>
            </w:r>
          </w:p>
        </w:tc>
        <w:tc>
          <w:tcPr>
            <w:tcW w:w="1379" w:type="dxa"/>
            <w:tcBorders>
              <w:top w:val="nil"/>
              <w:left w:val="nil"/>
              <w:bottom w:val="nil"/>
              <w:right w:val="nil"/>
            </w:tcBorders>
            <w:shd w:val="clear" w:color="auto" w:fill="auto"/>
            <w:noWrap/>
            <w:vAlign w:val="bottom"/>
            <w:hideMark/>
          </w:tcPr>
          <w:p w14:paraId="1FFCBFD2" w14:textId="77777777" w:rsidR="00C51F66" w:rsidRPr="002D1B33" w:rsidRDefault="00C51F66" w:rsidP="00DD7887">
            <w:pPr>
              <w:spacing w:line="480" w:lineRule="auto"/>
              <w:jc w:val="center"/>
              <w:rPr>
                <w:rFonts w:ascii="Book Antiqua" w:hAnsi="Book Antiqua"/>
                <w:color w:val="000000"/>
              </w:rPr>
            </w:pPr>
          </w:p>
        </w:tc>
      </w:tr>
      <w:tr w:rsidR="00C51F66" w:rsidRPr="009D4018" w14:paraId="51107D03" w14:textId="77777777" w:rsidTr="00F058F3">
        <w:trPr>
          <w:trHeight w:val="297"/>
        </w:trPr>
        <w:tc>
          <w:tcPr>
            <w:tcW w:w="3911" w:type="dxa"/>
            <w:tcBorders>
              <w:top w:val="nil"/>
              <w:left w:val="nil"/>
              <w:bottom w:val="nil"/>
              <w:right w:val="nil"/>
            </w:tcBorders>
            <w:shd w:val="clear" w:color="auto" w:fill="auto"/>
            <w:noWrap/>
            <w:vAlign w:val="bottom"/>
            <w:hideMark/>
          </w:tcPr>
          <w:p w14:paraId="404EE3E7" w14:textId="1279D253"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Alanine aminotransferase</w:t>
            </w:r>
            <w:r w:rsidR="00FB0DF7" w:rsidRPr="002D1B33">
              <w:rPr>
                <w:rFonts w:ascii="Book Antiqua" w:hAnsi="Book Antiqua"/>
                <w:color w:val="000000"/>
              </w:rPr>
              <w:t xml:space="preserve">, </w:t>
            </w:r>
            <w:r w:rsidR="00FB0DF7" w:rsidRPr="002D1B33">
              <w:rPr>
                <w:rFonts w:ascii="Book Antiqua" w:hAnsi="Book Antiqua"/>
                <w:iCs/>
                <w:color w:val="000000"/>
              </w:rPr>
              <w:t>µkat/</w:t>
            </w:r>
            <w:r w:rsidR="00FB0DF7" w:rsidRPr="002D1B33">
              <w:rPr>
                <w:rFonts w:ascii="Book Antiqua" w:hAnsi="Book Antiqua"/>
                <w:iCs/>
                <w:caps/>
                <w:color w:val="000000"/>
              </w:rPr>
              <w:t>l</w:t>
            </w:r>
          </w:p>
        </w:tc>
        <w:tc>
          <w:tcPr>
            <w:tcW w:w="1479" w:type="dxa"/>
            <w:tcBorders>
              <w:top w:val="nil"/>
              <w:left w:val="nil"/>
              <w:bottom w:val="nil"/>
              <w:right w:val="nil"/>
            </w:tcBorders>
            <w:shd w:val="clear" w:color="auto" w:fill="auto"/>
            <w:noWrap/>
            <w:vAlign w:val="bottom"/>
            <w:hideMark/>
          </w:tcPr>
          <w:p w14:paraId="2D89DC40" w14:textId="4725DC1B"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0.2-0.8 </w:t>
            </w:r>
          </w:p>
        </w:tc>
        <w:tc>
          <w:tcPr>
            <w:tcW w:w="1740" w:type="dxa"/>
            <w:tcBorders>
              <w:top w:val="nil"/>
              <w:left w:val="nil"/>
              <w:bottom w:val="nil"/>
              <w:right w:val="nil"/>
            </w:tcBorders>
            <w:shd w:val="clear" w:color="auto" w:fill="auto"/>
            <w:noWrap/>
            <w:vAlign w:val="bottom"/>
            <w:hideMark/>
          </w:tcPr>
          <w:p w14:paraId="1CD35A18" w14:textId="26A5E267"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2</w:t>
            </w:r>
            <w:r w:rsidR="00FB0DF7" w:rsidRPr="002D1B33">
              <w:rPr>
                <w:rFonts w:ascii="Book Antiqua" w:hAnsi="Book Antiqua"/>
                <w:color w:val="000000"/>
              </w:rPr>
              <w:t>.</w:t>
            </w:r>
            <w:r w:rsidRPr="002D1B33">
              <w:rPr>
                <w:rFonts w:ascii="Book Antiqua" w:hAnsi="Book Antiqua"/>
                <w:color w:val="000000"/>
              </w:rPr>
              <w:t>21</w:t>
            </w:r>
          </w:p>
        </w:tc>
        <w:tc>
          <w:tcPr>
            <w:tcW w:w="1294" w:type="dxa"/>
            <w:tcBorders>
              <w:top w:val="nil"/>
              <w:left w:val="nil"/>
              <w:bottom w:val="nil"/>
              <w:right w:val="nil"/>
            </w:tcBorders>
            <w:shd w:val="clear" w:color="auto" w:fill="auto"/>
            <w:noWrap/>
            <w:vAlign w:val="bottom"/>
            <w:hideMark/>
          </w:tcPr>
          <w:p w14:paraId="73341233" w14:textId="6922BFA6"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57</w:t>
            </w:r>
          </w:p>
        </w:tc>
        <w:tc>
          <w:tcPr>
            <w:tcW w:w="1379" w:type="dxa"/>
            <w:tcBorders>
              <w:top w:val="nil"/>
              <w:left w:val="nil"/>
              <w:bottom w:val="nil"/>
              <w:right w:val="nil"/>
            </w:tcBorders>
            <w:shd w:val="clear" w:color="auto" w:fill="auto"/>
            <w:noWrap/>
            <w:vAlign w:val="bottom"/>
            <w:hideMark/>
          </w:tcPr>
          <w:p w14:paraId="2FAB134F" w14:textId="4BB4CD78"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0</w:t>
            </w:r>
            <w:r w:rsidR="00FB0DF7" w:rsidRPr="002D1B33">
              <w:rPr>
                <w:rFonts w:ascii="Book Antiqua" w:hAnsi="Book Antiqua"/>
                <w:color w:val="000000"/>
              </w:rPr>
              <w:t>.</w:t>
            </w:r>
            <w:r w:rsidRPr="002D1B33">
              <w:rPr>
                <w:rFonts w:ascii="Book Antiqua" w:hAnsi="Book Antiqua"/>
                <w:color w:val="000000"/>
              </w:rPr>
              <w:t>38</w:t>
            </w:r>
          </w:p>
        </w:tc>
      </w:tr>
      <w:tr w:rsidR="00C51F66" w:rsidRPr="009D4018" w14:paraId="2DC6EF10" w14:textId="77777777" w:rsidTr="00F058F3">
        <w:trPr>
          <w:trHeight w:val="297"/>
        </w:trPr>
        <w:tc>
          <w:tcPr>
            <w:tcW w:w="3911" w:type="dxa"/>
            <w:tcBorders>
              <w:top w:val="nil"/>
              <w:left w:val="nil"/>
              <w:bottom w:val="nil"/>
              <w:right w:val="nil"/>
            </w:tcBorders>
            <w:shd w:val="clear" w:color="auto" w:fill="auto"/>
            <w:noWrap/>
            <w:vAlign w:val="bottom"/>
            <w:hideMark/>
          </w:tcPr>
          <w:p w14:paraId="0098C897" w14:textId="2D85C214"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Alkaline phosphatase</w:t>
            </w:r>
            <w:r w:rsidR="00FB0DF7" w:rsidRPr="002D1B33">
              <w:rPr>
                <w:rFonts w:ascii="Book Antiqua" w:hAnsi="Book Antiqua"/>
                <w:color w:val="000000"/>
              </w:rPr>
              <w:t xml:space="preserve">, </w:t>
            </w:r>
            <w:r w:rsidR="00FB0DF7" w:rsidRPr="002D1B33">
              <w:rPr>
                <w:rFonts w:ascii="Book Antiqua" w:hAnsi="Book Antiqua"/>
                <w:iCs/>
                <w:color w:val="000000"/>
              </w:rPr>
              <w:t>µkat/</w:t>
            </w:r>
            <w:r w:rsidR="00FB0DF7" w:rsidRPr="002D1B33">
              <w:rPr>
                <w:rFonts w:ascii="Book Antiqua" w:hAnsi="Book Antiqua"/>
                <w:iCs/>
                <w:caps/>
                <w:color w:val="000000"/>
              </w:rPr>
              <w:t>l</w:t>
            </w:r>
          </w:p>
        </w:tc>
        <w:tc>
          <w:tcPr>
            <w:tcW w:w="1479" w:type="dxa"/>
            <w:tcBorders>
              <w:top w:val="nil"/>
              <w:left w:val="nil"/>
              <w:bottom w:val="nil"/>
              <w:right w:val="nil"/>
            </w:tcBorders>
            <w:shd w:val="clear" w:color="auto" w:fill="auto"/>
            <w:noWrap/>
            <w:vAlign w:val="bottom"/>
            <w:hideMark/>
          </w:tcPr>
          <w:p w14:paraId="0053FCEF" w14:textId="2E2838F5"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0.67-2.15 </w:t>
            </w:r>
          </w:p>
        </w:tc>
        <w:tc>
          <w:tcPr>
            <w:tcW w:w="1740" w:type="dxa"/>
            <w:tcBorders>
              <w:top w:val="nil"/>
              <w:left w:val="nil"/>
              <w:bottom w:val="nil"/>
              <w:right w:val="nil"/>
            </w:tcBorders>
            <w:shd w:val="clear" w:color="auto" w:fill="auto"/>
            <w:noWrap/>
            <w:vAlign w:val="bottom"/>
            <w:hideMark/>
          </w:tcPr>
          <w:p w14:paraId="311B1985" w14:textId="134EE38B"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54</w:t>
            </w:r>
          </w:p>
        </w:tc>
        <w:tc>
          <w:tcPr>
            <w:tcW w:w="1294" w:type="dxa"/>
            <w:tcBorders>
              <w:top w:val="nil"/>
              <w:left w:val="nil"/>
              <w:bottom w:val="nil"/>
              <w:right w:val="nil"/>
            </w:tcBorders>
            <w:shd w:val="clear" w:color="auto" w:fill="auto"/>
            <w:noWrap/>
            <w:vAlign w:val="bottom"/>
            <w:hideMark/>
          </w:tcPr>
          <w:p w14:paraId="77AEC73C" w14:textId="47F84BBB"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37</w:t>
            </w:r>
          </w:p>
        </w:tc>
        <w:tc>
          <w:tcPr>
            <w:tcW w:w="1379" w:type="dxa"/>
            <w:tcBorders>
              <w:top w:val="nil"/>
              <w:left w:val="nil"/>
              <w:bottom w:val="nil"/>
              <w:right w:val="nil"/>
            </w:tcBorders>
            <w:shd w:val="clear" w:color="auto" w:fill="auto"/>
            <w:noWrap/>
            <w:vAlign w:val="bottom"/>
            <w:hideMark/>
          </w:tcPr>
          <w:p w14:paraId="071E3AEB" w14:textId="0D5D8362"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2</w:t>
            </w:r>
          </w:p>
        </w:tc>
      </w:tr>
      <w:tr w:rsidR="00C51F66" w:rsidRPr="009D4018" w14:paraId="2384ED05" w14:textId="77777777" w:rsidTr="00F058F3">
        <w:trPr>
          <w:trHeight w:val="297"/>
        </w:trPr>
        <w:tc>
          <w:tcPr>
            <w:tcW w:w="3911" w:type="dxa"/>
            <w:tcBorders>
              <w:top w:val="nil"/>
              <w:left w:val="nil"/>
              <w:bottom w:val="nil"/>
              <w:right w:val="nil"/>
            </w:tcBorders>
            <w:shd w:val="clear" w:color="auto" w:fill="auto"/>
            <w:noWrap/>
            <w:vAlign w:val="bottom"/>
            <w:hideMark/>
          </w:tcPr>
          <w:p w14:paraId="43CDFA4D" w14:textId="70F1C877"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Total bile acids</w:t>
            </w:r>
            <w:r w:rsidR="00FB0DF7" w:rsidRPr="002D1B33">
              <w:rPr>
                <w:rFonts w:ascii="Book Antiqua" w:hAnsi="Book Antiqua"/>
                <w:color w:val="000000"/>
                <w:lang w:eastAsia="zh-CN"/>
              </w:rPr>
              <w:t>, µmol/</w:t>
            </w:r>
            <w:r w:rsidR="00FB0DF7" w:rsidRPr="002D1B33">
              <w:rPr>
                <w:rFonts w:ascii="Book Antiqua" w:hAnsi="Book Antiqua"/>
                <w:caps/>
                <w:color w:val="000000"/>
                <w:lang w:eastAsia="zh-CN"/>
              </w:rPr>
              <w:t>l</w:t>
            </w:r>
          </w:p>
        </w:tc>
        <w:tc>
          <w:tcPr>
            <w:tcW w:w="1479" w:type="dxa"/>
            <w:tcBorders>
              <w:top w:val="nil"/>
              <w:left w:val="nil"/>
              <w:bottom w:val="nil"/>
              <w:right w:val="nil"/>
            </w:tcBorders>
            <w:shd w:val="clear" w:color="auto" w:fill="auto"/>
            <w:noWrap/>
            <w:vAlign w:val="bottom"/>
            <w:hideMark/>
          </w:tcPr>
          <w:p w14:paraId="50082C5F" w14:textId="3DF2FEDD"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2-10 </w:t>
            </w:r>
          </w:p>
        </w:tc>
        <w:tc>
          <w:tcPr>
            <w:tcW w:w="1740" w:type="dxa"/>
            <w:tcBorders>
              <w:top w:val="nil"/>
              <w:left w:val="nil"/>
              <w:bottom w:val="nil"/>
              <w:right w:val="nil"/>
            </w:tcBorders>
            <w:shd w:val="clear" w:color="auto" w:fill="auto"/>
            <w:noWrap/>
            <w:vAlign w:val="bottom"/>
            <w:hideMark/>
          </w:tcPr>
          <w:p w14:paraId="649B0E87"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299</w:t>
            </w:r>
          </w:p>
        </w:tc>
        <w:tc>
          <w:tcPr>
            <w:tcW w:w="1294" w:type="dxa"/>
            <w:tcBorders>
              <w:top w:val="nil"/>
              <w:left w:val="nil"/>
              <w:bottom w:val="nil"/>
              <w:right w:val="nil"/>
            </w:tcBorders>
            <w:shd w:val="clear" w:color="auto" w:fill="auto"/>
            <w:noWrap/>
            <w:vAlign w:val="bottom"/>
            <w:hideMark/>
          </w:tcPr>
          <w:p w14:paraId="2B893EF7"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226</w:t>
            </w:r>
          </w:p>
        </w:tc>
        <w:tc>
          <w:tcPr>
            <w:tcW w:w="1379" w:type="dxa"/>
            <w:tcBorders>
              <w:top w:val="nil"/>
              <w:left w:val="nil"/>
              <w:bottom w:val="nil"/>
              <w:right w:val="nil"/>
            </w:tcBorders>
            <w:shd w:val="clear" w:color="auto" w:fill="auto"/>
            <w:noWrap/>
            <w:vAlign w:val="bottom"/>
            <w:hideMark/>
          </w:tcPr>
          <w:p w14:paraId="4B414F1D" w14:textId="67E9D03A"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8</w:t>
            </w:r>
            <w:r w:rsidR="00FB0DF7" w:rsidRPr="002D1B33">
              <w:rPr>
                <w:rFonts w:ascii="Book Antiqua" w:hAnsi="Book Antiqua"/>
                <w:color w:val="000000"/>
              </w:rPr>
              <w:t>.</w:t>
            </w:r>
            <w:r w:rsidRPr="002D1B33">
              <w:rPr>
                <w:rFonts w:ascii="Book Antiqua" w:hAnsi="Book Antiqua"/>
                <w:color w:val="000000"/>
              </w:rPr>
              <w:t>6</w:t>
            </w:r>
          </w:p>
        </w:tc>
      </w:tr>
      <w:tr w:rsidR="00C51F66" w:rsidRPr="009D4018" w14:paraId="534FFE60" w14:textId="77777777" w:rsidTr="00F058F3">
        <w:trPr>
          <w:trHeight w:val="297"/>
        </w:trPr>
        <w:tc>
          <w:tcPr>
            <w:tcW w:w="3911" w:type="dxa"/>
            <w:tcBorders>
              <w:top w:val="nil"/>
              <w:left w:val="nil"/>
              <w:bottom w:val="nil"/>
              <w:right w:val="nil"/>
            </w:tcBorders>
            <w:shd w:val="clear" w:color="auto" w:fill="auto"/>
            <w:noWrap/>
            <w:vAlign w:val="bottom"/>
            <w:hideMark/>
          </w:tcPr>
          <w:p w14:paraId="3D85985B" w14:textId="06A47246"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Serum creatinine</w:t>
            </w:r>
            <w:r w:rsidR="00FB0DF7" w:rsidRPr="002D1B33">
              <w:rPr>
                <w:rFonts w:ascii="Book Antiqua" w:hAnsi="Book Antiqua"/>
                <w:color w:val="000000"/>
                <w:lang w:eastAsia="zh-CN"/>
              </w:rPr>
              <w:t>, µmol/</w:t>
            </w:r>
            <w:r w:rsidR="00FB0DF7" w:rsidRPr="002D1B33">
              <w:rPr>
                <w:rFonts w:ascii="Book Antiqua" w:hAnsi="Book Antiqua"/>
                <w:caps/>
                <w:color w:val="000000"/>
                <w:lang w:eastAsia="zh-CN"/>
              </w:rPr>
              <w:t>l</w:t>
            </w:r>
          </w:p>
        </w:tc>
        <w:tc>
          <w:tcPr>
            <w:tcW w:w="1479" w:type="dxa"/>
            <w:tcBorders>
              <w:top w:val="nil"/>
              <w:left w:val="nil"/>
              <w:bottom w:val="nil"/>
              <w:right w:val="nil"/>
            </w:tcBorders>
            <w:shd w:val="clear" w:color="auto" w:fill="auto"/>
            <w:noWrap/>
            <w:vAlign w:val="bottom"/>
            <w:hideMark/>
          </w:tcPr>
          <w:p w14:paraId="4932B619" w14:textId="0F0B4216"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62-106 </w:t>
            </w:r>
          </w:p>
        </w:tc>
        <w:tc>
          <w:tcPr>
            <w:tcW w:w="1740" w:type="dxa"/>
            <w:tcBorders>
              <w:top w:val="nil"/>
              <w:left w:val="nil"/>
              <w:bottom w:val="nil"/>
              <w:right w:val="nil"/>
            </w:tcBorders>
            <w:shd w:val="clear" w:color="auto" w:fill="auto"/>
            <w:noWrap/>
            <w:vAlign w:val="bottom"/>
            <w:hideMark/>
          </w:tcPr>
          <w:p w14:paraId="3980AB28" w14:textId="00D14233"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113</w:t>
            </w:r>
            <w:r w:rsidR="00FB0DF7" w:rsidRPr="002D1B33">
              <w:rPr>
                <w:rFonts w:ascii="Book Antiqua" w:hAnsi="Book Antiqua"/>
                <w:color w:val="000000"/>
              </w:rPr>
              <w:t>.</w:t>
            </w:r>
            <w:r w:rsidRPr="002D1B33">
              <w:rPr>
                <w:rFonts w:ascii="Book Antiqua" w:hAnsi="Book Antiqua"/>
                <w:color w:val="000000"/>
              </w:rPr>
              <w:t>8</w:t>
            </w:r>
          </w:p>
        </w:tc>
        <w:tc>
          <w:tcPr>
            <w:tcW w:w="1294" w:type="dxa"/>
            <w:tcBorders>
              <w:top w:val="nil"/>
              <w:left w:val="nil"/>
              <w:bottom w:val="nil"/>
              <w:right w:val="nil"/>
            </w:tcBorders>
            <w:shd w:val="clear" w:color="auto" w:fill="auto"/>
            <w:noWrap/>
            <w:vAlign w:val="bottom"/>
            <w:hideMark/>
          </w:tcPr>
          <w:p w14:paraId="183301B7" w14:textId="58A9E977"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113</w:t>
            </w:r>
            <w:r w:rsidR="00FB0DF7" w:rsidRPr="002D1B33">
              <w:rPr>
                <w:rFonts w:ascii="Book Antiqua" w:hAnsi="Book Antiqua"/>
                <w:color w:val="000000"/>
              </w:rPr>
              <w:t>.</w:t>
            </w:r>
            <w:r w:rsidRPr="002D1B33">
              <w:rPr>
                <w:rFonts w:ascii="Book Antiqua" w:hAnsi="Book Antiqua"/>
                <w:color w:val="000000"/>
              </w:rPr>
              <w:t>3</w:t>
            </w:r>
          </w:p>
        </w:tc>
        <w:tc>
          <w:tcPr>
            <w:tcW w:w="1379" w:type="dxa"/>
            <w:tcBorders>
              <w:top w:val="nil"/>
              <w:left w:val="nil"/>
              <w:bottom w:val="nil"/>
              <w:right w:val="nil"/>
            </w:tcBorders>
            <w:shd w:val="clear" w:color="auto" w:fill="auto"/>
            <w:noWrap/>
            <w:vAlign w:val="bottom"/>
            <w:hideMark/>
          </w:tcPr>
          <w:p w14:paraId="77D57755" w14:textId="77777777" w:rsidR="00C51F66" w:rsidRPr="002D1B33" w:rsidRDefault="00C51F66" w:rsidP="00DD7887">
            <w:pPr>
              <w:spacing w:line="480" w:lineRule="auto"/>
              <w:jc w:val="center"/>
              <w:rPr>
                <w:rFonts w:ascii="Book Antiqua" w:hAnsi="Book Antiqua"/>
                <w:color w:val="000000"/>
              </w:rPr>
            </w:pPr>
          </w:p>
        </w:tc>
      </w:tr>
      <w:tr w:rsidR="00C51F66" w:rsidRPr="009D4018" w14:paraId="00980C12" w14:textId="77777777" w:rsidTr="00F058F3">
        <w:trPr>
          <w:trHeight w:val="297"/>
        </w:trPr>
        <w:tc>
          <w:tcPr>
            <w:tcW w:w="3911" w:type="dxa"/>
            <w:tcBorders>
              <w:top w:val="nil"/>
              <w:left w:val="nil"/>
              <w:bottom w:val="nil"/>
              <w:right w:val="nil"/>
            </w:tcBorders>
            <w:shd w:val="clear" w:color="auto" w:fill="auto"/>
            <w:noWrap/>
            <w:vAlign w:val="bottom"/>
            <w:hideMark/>
          </w:tcPr>
          <w:p w14:paraId="3EDE8483" w14:textId="77777777"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INR</w:t>
            </w:r>
          </w:p>
        </w:tc>
        <w:tc>
          <w:tcPr>
            <w:tcW w:w="1479" w:type="dxa"/>
            <w:tcBorders>
              <w:top w:val="nil"/>
              <w:left w:val="nil"/>
              <w:bottom w:val="nil"/>
              <w:right w:val="nil"/>
            </w:tcBorders>
            <w:shd w:val="clear" w:color="auto" w:fill="auto"/>
            <w:noWrap/>
            <w:vAlign w:val="bottom"/>
            <w:hideMark/>
          </w:tcPr>
          <w:p w14:paraId="798E750C" w14:textId="77777777" w:rsidR="00C51F66" w:rsidRPr="002D1B33" w:rsidRDefault="00C51F66" w:rsidP="00DD7887">
            <w:pPr>
              <w:spacing w:line="480" w:lineRule="auto"/>
              <w:jc w:val="center"/>
              <w:rPr>
                <w:rFonts w:ascii="Book Antiqua" w:hAnsi="Book Antiqua"/>
                <w:iCs/>
                <w:color w:val="000000"/>
              </w:rPr>
            </w:pPr>
            <w:r w:rsidRPr="002D1B33">
              <w:rPr>
                <w:rFonts w:ascii="Book Antiqua" w:hAnsi="Book Antiqua"/>
                <w:iCs/>
                <w:color w:val="000000"/>
              </w:rPr>
              <w:t>0.8-1.2</w:t>
            </w:r>
          </w:p>
        </w:tc>
        <w:tc>
          <w:tcPr>
            <w:tcW w:w="1740" w:type="dxa"/>
            <w:tcBorders>
              <w:top w:val="nil"/>
              <w:left w:val="nil"/>
              <w:bottom w:val="nil"/>
              <w:right w:val="nil"/>
            </w:tcBorders>
            <w:shd w:val="clear" w:color="auto" w:fill="auto"/>
            <w:noWrap/>
            <w:vAlign w:val="bottom"/>
            <w:hideMark/>
          </w:tcPr>
          <w:p w14:paraId="692D36EE" w14:textId="33F44800"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0</w:t>
            </w:r>
            <w:r w:rsidR="00FB0DF7" w:rsidRPr="002D1B33">
              <w:rPr>
                <w:rFonts w:ascii="Book Antiqua" w:hAnsi="Book Antiqua"/>
                <w:color w:val="000000"/>
              </w:rPr>
              <w:t>.</w:t>
            </w:r>
            <w:r w:rsidRPr="002D1B33">
              <w:rPr>
                <w:rFonts w:ascii="Book Antiqua" w:hAnsi="Book Antiqua"/>
                <w:color w:val="000000"/>
              </w:rPr>
              <w:t>98</w:t>
            </w:r>
          </w:p>
        </w:tc>
        <w:tc>
          <w:tcPr>
            <w:tcW w:w="1294" w:type="dxa"/>
            <w:tcBorders>
              <w:top w:val="nil"/>
              <w:left w:val="nil"/>
              <w:bottom w:val="nil"/>
              <w:right w:val="nil"/>
            </w:tcBorders>
            <w:shd w:val="clear" w:color="auto" w:fill="auto"/>
            <w:noWrap/>
            <w:vAlign w:val="bottom"/>
            <w:hideMark/>
          </w:tcPr>
          <w:p w14:paraId="06A1461F" w14:textId="789A3602"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0</w:t>
            </w:r>
            <w:r w:rsidR="00FB0DF7" w:rsidRPr="002D1B33">
              <w:rPr>
                <w:rFonts w:ascii="Book Antiqua" w:hAnsi="Book Antiqua"/>
                <w:color w:val="000000"/>
              </w:rPr>
              <w:t>.</w:t>
            </w:r>
            <w:r w:rsidRPr="002D1B33">
              <w:rPr>
                <w:rFonts w:ascii="Book Antiqua" w:hAnsi="Book Antiqua"/>
                <w:color w:val="000000"/>
              </w:rPr>
              <w:t>98</w:t>
            </w:r>
          </w:p>
        </w:tc>
        <w:tc>
          <w:tcPr>
            <w:tcW w:w="1379" w:type="dxa"/>
            <w:tcBorders>
              <w:top w:val="nil"/>
              <w:left w:val="nil"/>
              <w:bottom w:val="nil"/>
              <w:right w:val="nil"/>
            </w:tcBorders>
            <w:shd w:val="clear" w:color="auto" w:fill="auto"/>
            <w:noWrap/>
            <w:vAlign w:val="bottom"/>
            <w:hideMark/>
          </w:tcPr>
          <w:p w14:paraId="740BB7D3" w14:textId="77777777" w:rsidR="00C51F66" w:rsidRPr="002D1B33" w:rsidRDefault="00C51F66" w:rsidP="00DD7887">
            <w:pPr>
              <w:spacing w:line="480" w:lineRule="auto"/>
              <w:jc w:val="center"/>
              <w:rPr>
                <w:rFonts w:ascii="Book Antiqua" w:hAnsi="Book Antiqua"/>
                <w:color w:val="000000"/>
              </w:rPr>
            </w:pPr>
          </w:p>
        </w:tc>
      </w:tr>
      <w:tr w:rsidR="00C51F66" w:rsidRPr="009D4018" w14:paraId="0C8E9425" w14:textId="77777777" w:rsidTr="00F058F3">
        <w:trPr>
          <w:trHeight w:val="297"/>
        </w:trPr>
        <w:tc>
          <w:tcPr>
            <w:tcW w:w="3911" w:type="dxa"/>
            <w:tcBorders>
              <w:top w:val="nil"/>
              <w:left w:val="nil"/>
              <w:bottom w:val="nil"/>
              <w:right w:val="nil"/>
            </w:tcBorders>
            <w:shd w:val="clear" w:color="auto" w:fill="auto"/>
            <w:noWrap/>
            <w:vAlign w:val="bottom"/>
            <w:hideMark/>
          </w:tcPr>
          <w:p w14:paraId="6413D019" w14:textId="4C1AF214" w:rsidR="00C51F66" w:rsidRPr="002D1B33" w:rsidRDefault="00C51F66" w:rsidP="00B67306">
            <w:pPr>
              <w:spacing w:line="480" w:lineRule="auto"/>
              <w:rPr>
                <w:rFonts w:ascii="Book Antiqua" w:hAnsi="Book Antiqua"/>
                <w:iCs/>
                <w:color w:val="000000"/>
              </w:rPr>
            </w:pPr>
            <w:r w:rsidRPr="002D1B33">
              <w:rPr>
                <w:rFonts w:ascii="Book Antiqua" w:hAnsi="Book Antiqua"/>
                <w:iCs/>
                <w:color w:val="000000"/>
              </w:rPr>
              <w:t>Case 2</w:t>
            </w:r>
            <w:r w:rsidR="00B67306" w:rsidRPr="002D1B33">
              <w:rPr>
                <w:rFonts w:ascii="Book Antiqua" w:hAnsi="Book Antiqua"/>
                <w:iCs/>
                <w:color w:val="000000"/>
              </w:rPr>
              <w:t>,</w:t>
            </w:r>
            <w:r w:rsidR="00C357DE" w:rsidRPr="002D1B33">
              <w:rPr>
                <w:rFonts w:ascii="Book Antiqua" w:hAnsi="Book Antiqua"/>
                <w:iCs/>
                <w:color w:val="000000"/>
              </w:rPr>
              <w:t xml:space="preserve"> man, 28 y</w:t>
            </w:r>
            <w:r w:rsidRPr="002D1B33">
              <w:rPr>
                <w:rFonts w:ascii="Book Antiqua" w:hAnsi="Book Antiqua"/>
                <w:iCs/>
                <w:color w:val="000000"/>
              </w:rPr>
              <w:t>r</w:t>
            </w:r>
          </w:p>
        </w:tc>
        <w:tc>
          <w:tcPr>
            <w:tcW w:w="1479" w:type="dxa"/>
            <w:tcBorders>
              <w:top w:val="nil"/>
              <w:left w:val="nil"/>
              <w:bottom w:val="nil"/>
              <w:right w:val="nil"/>
            </w:tcBorders>
            <w:shd w:val="clear" w:color="auto" w:fill="auto"/>
            <w:noWrap/>
            <w:vAlign w:val="bottom"/>
            <w:hideMark/>
          </w:tcPr>
          <w:p w14:paraId="67234CD0" w14:textId="77777777" w:rsidR="00C51F66" w:rsidRPr="002D1B33" w:rsidRDefault="00C51F66" w:rsidP="00DD7887">
            <w:pPr>
              <w:spacing w:line="480" w:lineRule="auto"/>
              <w:rPr>
                <w:rFonts w:ascii="Book Antiqua" w:hAnsi="Book Antiqua"/>
                <w:b/>
                <w:bCs/>
                <w:iCs/>
                <w:color w:val="000000"/>
              </w:rPr>
            </w:pPr>
          </w:p>
        </w:tc>
        <w:tc>
          <w:tcPr>
            <w:tcW w:w="1740" w:type="dxa"/>
            <w:tcBorders>
              <w:top w:val="nil"/>
              <w:left w:val="nil"/>
              <w:bottom w:val="nil"/>
              <w:right w:val="nil"/>
            </w:tcBorders>
            <w:shd w:val="clear" w:color="auto" w:fill="auto"/>
            <w:noWrap/>
            <w:vAlign w:val="bottom"/>
            <w:hideMark/>
          </w:tcPr>
          <w:p w14:paraId="5046A4EC" w14:textId="77777777" w:rsidR="00C51F66" w:rsidRPr="002D1B33" w:rsidRDefault="00C51F66" w:rsidP="00DD7887">
            <w:pPr>
              <w:spacing w:line="480" w:lineRule="auto"/>
              <w:jc w:val="center"/>
              <w:rPr>
                <w:rFonts w:ascii="Book Antiqua" w:hAnsi="Book Antiqua"/>
              </w:rPr>
            </w:pPr>
          </w:p>
        </w:tc>
        <w:tc>
          <w:tcPr>
            <w:tcW w:w="1294" w:type="dxa"/>
            <w:tcBorders>
              <w:top w:val="nil"/>
              <w:left w:val="nil"/>
              <w:bottom w:val="nil"/>
              <w:right w:val="nil"/>
            </w:tcBorders>
            <w:shd w:val="clear" w:color="auto" w:fill="auto"/>
            <w:noWrap/>
            <w:vAlign w:val="bottom"/>
            <w:hideMark/>
          </w:tcPr>
          <w:p w14:paraId="4131D803" w14:textId="77777777" w:rsidR="00C51F66" w:rsidRPr="002D1B33" w:rsidRDefault="00C51F66" w:rsidP="00DD7887">
            <w:pPr>
              <w:spacing w:line="480" w:lineRule="auto"/>
              <w:jc w:val="center"/>
              <w:rPr>
                <w:rFonts w:ascii="Book Antiqua" w:hAnsi="Book Antiqua"/>
              </w:rPr>
            </w:pPr>
          </w:p>
        </w:tc>
        <w:tc>
          <w:tcPr>
            <w:tcW w:w="1379" w:type="dxa"/>
            <w:tcBorders>
              <w:top w:val="nil"/>
              <w:left w:val="nil"/>
              <w:bottom w:val="nil"/>
              <w:right w:val="nil"/>
            </w:tcBorders>
            <w:shd w:val="clear" w:color="auto" w:fill="auto"/>
            <w:noWrap/>
            <w:vAlign w:val="bottom"/>
            <w:hideMark/>
          </w:tcPr>
          <w:p w14:paraId="3038C29B" w14:textId="77777777" w:rsidR="00C51F66" w:rsidRPr="002D1B33" w:rsidRDefault="00C51F66" w:rsidP="00DD7887">
            <w:pPr>
              <w:spacing w:line="480" w:lineRule="auto"/>
              <w:jc w:val="center"/>
              <w:rPr>
                <w:rFonts w:ascii="Book Antiqua" w:hAnsi="Book Antiqua"/>
              </w:rPr>
            </w:pPr>
          </w:p>
        </w:tc>
      </w:tr>
      <w:tr w:rsidR="00C51F66" w:rsidRPr="009D4018" w14:paraId="517AB62F" w14:textId="77777777" w:rsidTr="00F058F3">
        <w:trPr>
          <w:trHeight w:val="297"/>
        </w:trPr>
        <w:tc>
          <w:tcPr>
            <w:tcW w:w="3911" w:type="dxa"/>
            <w:tcBorders>
              <w:top w:val="nil"/>
              <w:left w:val="nil"/>
              <w:bottom w:val="nil"/>
              <w:right w:val="nil"/>
            </w:tcBorders>
            <w:shd w:val="clear" w:color="auto" w:fill="auto"/>
            <w:noWrap/>
            <w:vAlign w:val="bottom"/>
            <w:hideMark/>
          </w:tcPr>
          <w:p w14:paraId="54D60F21" w14:textId="6DC0906A"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Total bilirubin</w:t>
            </w:r>
            <w:r w:rsidR="00FB0DF7" w:rsidRPr="002D1B33">
              <w:rPr>
                <w:rFonts w:ascii="Book Antiqua" w:hAnsi="Book Antiqua"/>
                <w:color w:val="000000"/>
                <w:lang w:eastAsia="zh-CN"/>
              </w:rPr>
              <w:t>, µmol/</w:t>
            </w:r>
            <w:r w:rsidR="00FB0DF7" w:rsidRPr="002D1B33">
              <w:rPr>
                <w:rFonts w:ascii="Book Antiqua" w:hAnsi="Book Antiqua"/>
                <w:caps/>
                <w:color w:val="000000"/>
                <w:lang w:eastAsia="zh-CN"/>
              </w:rPr>
              <w:t>l</w:t>
            </w:r>
          </w:p>
        </w:tc>
        <w:tc>
          <w:tcPr>
            <w:tcW w:w="1479" w:type="dxa"/>
            <w:tcBorders>
              <w:top w:val="nil"/>
              <w:left w:val="nil"/>
              <w:bottom w:val="nil"/>
              <w:right w:val="nil"/>
            </w:tcBorders>
            <w:shd w:val="clear" w:color="auto" w:fill="auto"/>
            <w:noWrap/>
            <w:vAlign w:val="bottom"/>
            <w:hideMark/>
          </w:tcPr>
          <w:p w14:paraId="330F4DF7" w14:textId="7148C06E"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5.1-19 </w:t>
            </w:r>
          </w:p>
        </w:tc>
        <w:tc>
          <w:tcPr>
            <w:tcW w:w="1740" w:type="dxa"/>
            <w:tcBorders>
              <w:top w:val="nil"/>
              <w:left w:val="nil"/>
              <w:bottom w:val="nil"/>
              <w:right w:val="nil"/>
            </w:tcBorders>
            <w:shd w:val="clear" w:color="auto" w:fill="auto"/>
            <w:noWrap/>
            <w:vAlign w:val="bottom"/>
            <w:hideMark/>
          </w:tcPr>
          <w:p w14:paraId="6D2EC290"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401</w:t>
            </w:r>
          </w:p>
        </w:tc>
        <w:tc>
          <w:tcPr>
            <w:tcW w:w="1294" w:type="dxa"/>
            <w:tcBorders>
              <w:top w:val="nil"/>
              <w:left w:val="nil"/>
              <w:bottom w:val="nil"/>
              <w:right w:val="nil"/>
            </w:tcBorders>
            <w:shd w:val="clear" w:color="auto" w:fill="auto"/>
            <w:noWrap/>
            <w:vAlign w:val="bottom"/>
            <w:hideMark/>
          </w:tcPr>
          <w:p w14:paraId="35EAF33E"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394</w:t>
            </w:r>
          </w:p>
        </w:tc>
        <w:tc>
          <w:tcPr>
            <w:tcW w:w="1379" w:type="dxa"/>
            <w:tcBorders>
              <w:top w:val="nil"/>
              <w:left w:val="nil"/>
              <w:bottom w:val="nil"/>
              <w:right w:val="nil"/>
            </w:tcBorders>
            <w:shd w:val="clear" w:color="auto" w:fill="auto"/>
            <w:noWrap/>
            <w:vAlign w:val="bottom"/>
            <w:hideMark/>
          </w:tcPr>
          <w:p w14:paraId="11825EC7" w14:textId="6102FCFF"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25</w:t>
            </w:r>
            <w:r w:rsidR="00FB0DF7" w:rsidRPr="002D1B33">
              <w:rPr>
                <w:rFonts w:ascii="Book Antiqua" w:hAnsi="Book Antiqua"/>
                <w:color w:val="000000"/>
              </w:rPr>
              <w:t>.</w:t>
            </w:r>
            <w:r w:rsidRPr="002D1B33">
              <w:rPr>
                <w:rFonts w:ascii="Book Antiqua" w:hAnsi="Book Antiqua"/>
                <w:color w:val="000000"/>
              </w:rPr>
              <w:t>1</w:t>
            </w:r>
          </w:p>
        </w:tc>
      </w:tr>
      <w:tr w:rsidR="00C51F66" w:rsidRPr="009D4018" w14:paraId="59FB3407" w14:textId="77777777" w:rsidTr="00F058F3">
        <w:trPr>
          <w:trHeight w:val="297"/>
        </w:trPr>
        <w:tc>
          <w:tcPr>
            <w:tcW w:w="3911" w:type="dxa"/>
            <w:tcBorders>
              <w:top w:val="nil"/>
              <w:left w:val="nil"/>
              <w:bottom w:val="nil"/>
              <w:right w:val="nil"/>
            </w:tcBorders>
            <w:shd w:val="clear" w:color="auto" w:fill="auto"/>
            <w:noWrap/>
            <w:vAlign w:val="bottom"/>
            <w:hideMark/>
          </w:tcPr>
          <w:p w14:paraId="6BAC0442" w14:textId="0F711A10"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Conjugated bilirubin</w:t>
            </w:r>
            <w:r w:rsidR="00FB0DF7" w:rsidRPr="002D1B33">
              <w:rPr>
                <w:rFonts w:ascii="Book Antiqua" w:hAnsi="Book Antiqua"/>
                <w:color w:val="000000"/>
                <w:lang w:eastAsia="zh-CN"/>
              </w:rPr>
              <w:t>, µmol/</w:t>
            </w:r>
            <w:r w:rsidR="00FB0DF7" w:rsidRPr="002D1B33">
              <w:rPr>
                <w:rFonts w:ascii="Book Antiqua" w:hAnsi="Book Antiqua"/>
                <w:caps/>
                <w:color w:val="000000"/>
                <w:lang w:eastAsia="zh-CN"/>
              </w:rPr>
              <w:t>l</w:t>
            </w:r>
          </w:p>
        </w:tc>
        <w:tc>
          <w:tcPr>
            <w:tcW w:w="1479" w:type="dxa"/>
            <w:tcBorders>
              <w:top w:val="nil"/>
              <w:left w:val="nil"/>
              <w:bottom w:val="nil"/>
              <w:right w:val="nil"/>
            </w:tcBorders>
            <w:shd w:val="clear" w:color="auto" w:fill="auto"/>
            <w:noWrap/>
            <w:vAlign w:val="bottom"/>
            <w:hideMark/>
          </w:tcPr>
          <w:p w14:paraId="412C5A5A" w14:textId="03C9D6F9"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0.8-5.1 </w:t>
            </w:r>
          </w:p>
        </w:tc>
        <w:tc>
          <w:tcPr>
            <w:tcW w:w="1740" w:type="dxa"/>
            <w:tcBorders>
              <w:top w:val="nil"/>
              <w:left w:val="nil"/>
              <w:bottom w:val="nil"/>
              <w:right w:val="nil"/>
            </w:tcBorders>
            <w:shd w:val="clear" w:color="auto" w:fill="auto"/>
            <w:noWrap/>
            <w:vAlign w:val="bottom"/>
            <w:hideMark/>
          </w:tcPr>
          <w:p w14:paraId="5D930AA1"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244</w:t>
            </w:r>
          </w:p>
        </w:tc>
        <w:tc>
          <w:tcPr>
            <w:tcW w:w="1294" w:type="dxa"/>
            <w:tcBorders>
              <w:top w:val="nil"/>
              <w:left w:val="nil"/>
              <w:bottom w:val="nil"/>
              <w:right w:val="nil"/>
            </w:tcBorders>
            <w:shd w:val="clear" w:color="auto" w:fill="auto"/>
            <w:noWrap/>
            <w:vAlign w:val="bottom"/>
            <w:hideMark/>
          </w:tcPr>
          <w:p w14:paraId="6D0BBDD1"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238</w:t>
            </w:r>
          </w:p>
        </w:tc>
        <w:tc>
          <w:tcPr>
            <w:tcW w:w="1379" w:type="dxa"/>
            <w:tcBorders>
              <w:top w:val="nil"/>
              <w:left w:val="nil"/>
              <w:bottom w:val="nil"/>
              <w:right w:val="nil"/>
            </w:tcBorders>
            <w:shd w:val="clear" w:color="auto" w:fill="auto"/>
            <w:noWrap/>
            <w:vAlign w:val="bottom"/>
            <w:hideMark/>
          </w:tcPr>
          <w:p w14:paraId="767DFA60" w14:textId="31023B97"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4</w:t>
            </w:r>
            <w:r w:rsidR="00FB0DF7" w:rsidRPr="002D1B33">
              <w:rPr>
                <w:rFonts w:ascii="Book Antiqua" w:hAnsi="Book Antiqua"/>
                <w:color w:val="000000"/>
              </w:rPr>
              <w:t>.</w:t>
            </w:r>
            <w:r w:rsidRPr="002D1B33">
              <w:rPr>
                <w:rFonts w:ascii="Book Antiqua" w:hAnsi="Book Antiqua"/>
                <w:color w:val="000000"/>
              </w:rPr>
              <w:t>6</w:t>
            </w:r>
          </w:p>
        </w:tc>
      </w:tr>
      <w:tr w:rsidR="00C51F66" w:rsidRPr="009D4018" w14:paraId="212337F2" w14:textId="77777777" w:rsidTr="00F058F3">
        <w:trPr>
          <w:trHeight w:val="297"/>
        </w:trPr>
        <w:tc>
          <w:tcPr>
            <w:tcW w:w="3911" w:type="dxa"/>
            <w:tcBorders>
              <w:top w:val="nil"/>
              <w:left w:val="nil"/>
              <w:bottom w:val="nil"/>
              <w:right w:val="nil"/>
            </w:tcBorders>
            <w:shd w:val="clear" w:color="auto" w:fill="auto"/>
            <w:noWrap/>
            <w:vAlign w:val="bottom"/>
            <w:hideMark/>
          </w:tcPr>
          <w:p w14:paraId="1507D3D3" w14:textId="7F7352E1"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Alanine aminotransferase</w:t>
            </w:r>
            <w:r w:rsidR="00FB0DF7" w:rsidRPr="002D1B33">
              <w:rPr>
                <w:rFonts w:ascii="Book Antiqua" w:hAnsi="Book Antiqua"/>
                <w:color w:val="000000"/>
              </w:rPr>
              <w:t xml:space="preserve">, </w:t>
            </w:r>
            <w:r w:rsidR="00FB0DF7" w:rsidRPr="002D1B33">
              <w:rPr>
                <w:rFonts w:ascii="Book Antiqua" w:hAnsi="Book Antiqua"/>
                <w:iCs/>
                <w:color w:val="000000"/>
              </w:rPr>
              <w:t>µkat/</w:t>
            </w:r>
            <w:r w:rsidR="00FB0DF7" w:rsidRPr="002D1B33">
              <w:rPr>
                <w:rFonts w:ascii="Book Antiqua" w:hAnsi="Book Antiqua"/>
                <w:iCs/>
                <w:caps/>
                <w:color w:val="000000"/>
              </w:rPr>
              <w:t>l</w:t>
            </w:r>
          </w:p>
        </w:tc>
        <w:tc>
          <w:tcPr>
            <w:tcW w:w="1479" w:type="dxa"/>
            <w:tcBorders>
              <w:top w:val="nil"/>
              <w:left w:val="nil"/>
              <w:bottom w:val="nil"/>
              <w:right w:val="nil"/>
            </w:tcBorders>
            <w:shd w:val="clear" w:color="auto" w:fill="auto"/>
            <w:noWrap/>
            <w:vAlign w:val="bottom"/>
            <w:hideMark/>
          </w:tcPr>
          <w:p w14:paraId="685612FA" w14:textId="49F980AA"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0.0-0.8 </w:t>
            </w:r>
          </w:p>
        </w:tc>
        <w:tc>
          <w:tcPr>
            <w:tcW w:w="1740" w:type="dxa"/>
            <w:tcBorders>
              <w:top w:val="nil"/>
              <w:left w:val="nil"/>
              <w:bottom w:val="nil"/>
              <w:right w:val="nil"/>
            </w:tcBorders>
            <w:shd w:val="clear" w:color="auto" w:fill="auto"/>
            <w:noWrap/>
            <w:vAlign w:val="bottom"/>
            <w:hideMark/>
          </w:tcPr>
          <w:p w14:paraId="4922EC0B" w14:textId="32530EAB"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2</w:t>
            </w:r>
            <w:r w:rsidR="00FB0DF7" w:rsidRPr="002D1B33">
              <w:rPr>
                <w:rFonts w:ascii="Book Antiqua" w:hAnsi="Book Antiqua"/>
                <w:color w:val="000000"/>
              </w:rPr>
              <w:t>.</w:t>
            </w:r>
            <w:r w:rsidRPr="002D1B33">
              <w:rPr>
                <w:rFonts w:ascii="Book Antiqua" w:hAnsi="Book Antiqua"/>
                <w:color w:val="000000"/>
              </w:rPr>
              <w:t>42</w:t>
            </w:r>
          </w:p>
        </w:tc>
        <w:tc>
          <w:tcPr>
            <w:tcW w:w="1294" w:type="dxa"/>
            <w:tcBorders>
              <w:top w:val="nil"/>
              <w:left w:val="nil"/>
              <w:bottom w:val="nil"/>
              <w:right w:val="nil"/>
            </w:tcBorders>
            <w:shd w:val="clear" w:color="auto" w:fill="auto"/>
            <w:noWrap/>
            <w:vAlign w:val="bottom"/>
            <w:hideMark/>
          </w:tcPr>
          <w:p w14:paraId="5BC63910" w14:textId="1160FFC0"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74</w:t>
            </w:r>
          </w:p>
        </w:tc>
        <w:tc>
          <w:tcPr>
            <w:tcW w:w="1379" w:type="dxa"/>
            <w:tcBorders>
              <w:top w:val="nil"/>
              <w:left w:val="nil"/>
              <w:bottom w:val="nil"/>
              <w:right w:val="nil"/>
            </w:tcBorders>
            <w:shd w:val="clear" w:color="auto" w:fill="auto"/>
            <w:noWrap/>
            <w:vAlign w:val="bottom"/>
            <w:hideMark/>
          </w:tcPr>
          <w:p w14:paraId="5E87F733" w14:textId="249302B8"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6</w:t>
            </w:r>
          </w:p>
        </w:tc>
      </w:tr>
      <w:tr w:rsidR="00C51F66" w:rsidRPr="009D4018" w14:paraId="1A2BBF7E" w14:textId="77777777" w:rsidTr="00F058F3">
        <w:trPr>
          <w:trHeight w:val="297"/>
        </w:trPr>
        <w:tc>
          <w:tcPr>
            <w:tcW w:w="3911" w:type="dxa"/>
            <w:tcBorders>
              <w:top w:val="nil"/>
              <w:left w:val="nil"/>
              <w:bottom w:val="nil"/>
              <w:right w:val="nil"/>
            </w:tcBorders>
            <w:shd w:val="clear" w:color="auto" w:fill="auto"/>
            <w:noWrap/>
            <w:vAlign w:val="bottom"/>
            <w:hideMark/>
          </w:tcPr>
          <w:p w14:paraId="5F25FF47" w14:textId="063F7BE0"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Alkaline phosphatase</w:t>
            </w:r>
            <w:r w:rsidR="00FB0DF7" w:rsidRPr="002D1B33">
              <w:rPr>
                <w:rFonts w:ascii="Book Antiqua" w:hAnsi="Book Antiqua"/>
                <w:color w:val="000000"/>
              </w:rPr>
              <w:t xml:space="preserve">, </w:t>
            </w:r>
            <w:r w:rsidR="00FB0DF7" w:rsidRPr="002D1B33">
              <w:rPr>
                <w:rFonts w:ascii="Book Antiqua" w:hAnsi="Book Antiqua"/>
                <w:iCs/>
                <w:color w:val="000000"/>
              </w:rPr>
              <w:t>µkat/</w:t>
            </w:r>
            <w:r w:rsidR="00FB0DF7" w:rsidRPr="002D1B33">
              <w:rPr>
                <w:rFonts w:ascii="Book Antiqua" w:hAnsi="Book Antiqua"/>
                <w:iCs/>
                <w:caps/>
                <w:color w:val="000000"/>
              </w:rPr>
              <w:t>l</w:t>
            </w:r>
          </w:p>
        </w:tc>
        <w:tc>
          <w:tcPr>
            <w:tcW w:w="1479" w:type="dxa"/>
            <w:tcBorders>
              <w:top w:val="nil"/>
              <w:left w:val="nil"/>
              <w:bottom w:val="nil"/>
              <w:right w:val="nil"/>
            </w:tcBorders>
            <w:shd w:val="clear" w:color="auto" w:fill="auto"/>
            <w:noWrap/>
            <w:vAlign w:val="bottom"/>
            <w:hideMark/>
          </w:tcPr>
          <w:p w14:paraId="4FBF21C1" w14:textId="642DBEB1"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0.5-2.0 </w:t>
            </w:r>
          </w:p>
        </w:tc>
        <w:tc>
          <w:tcPr>
            <w:tcW w:w="1740" w:type="dxa"/>
            <w:tcBorders>
              <w:top w:val="nil"/>
              <w:left w:val="nil"/>
              <w:bottom w:val="nil"/>
              <w:right w:val="nil"/>
            </w:tcBorders>
            <w:shd w:val="clear" w:color="auto" w:fill="auto"/>
            <w:noWrap/>
            <w:vAlign w:val="bottom"/>
            <w:hideMark/>
          </w:tcPr>
          <w:p w14:paraId="727ED695" w14:textId="720A206E"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54</w:t>
            </w:r>
          </w:p>
        </w:tc>
        <w:tc>
          <w:tcPr>
            <w:tcW w:w="1294" w:type="dxa"/>
            <w:tcBorders>
              <w:top w:val="nil"/>
              <w:left w:val="nil"/>
              <w:bottom w:val="nil"/>
              <w:right w:val="nil"/>
            </w:tcBorders>
            <w:shd w:val="clear" w:color="auto" w:fill="auto"/>
            <w:noWrap/>
            <w:vAlign w:val="bottom"/>
            <w:hideMark/>
          </w:tcPr>
          <w:p w14:paraId="06FAFA6F" w14:textId="435EE9F1"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2</w:t>
            </w:r>
            <w:r w:rsidR="00FB0DF7" w:rsidRPr="002D1B33">
              <w:rPr>
                <w:rFonts w:ascii="Book Antiqua" w:hAnsi="Book Antiqua"/>
                <w:color w:val="000000"/>
              </w:rPr>
              <w:t>.</w:t>
            </w:r>
            <w:r w:rsidRPr="002D1B33">
              <w:rPr>
                <w:rFonts w:ascii="Book Antiqua" w:hAnsi="Book Antiqua"/>
                <w:color w:val="000000"/>
              </w:rPr>
              <w:t>19</w:t>
            </w:r>
          </w:p>
        </w:tc>
        <w:tc>
          <w:tcPr>
            <w:tcW w:w="1379" w:type="dxa"/>
            <w:tcBorders>
              <w:top w:val="nil"/>
              <w:left w:val="nil"/>
              <w:bottom w:val="nil"/>
              <w:right w:val="nil"/>
            </w:tcBorders>
            <w:shd w:val="clear" w:color="auto" w:fill="auto"/>
            <w:noWrap/>
            <w:vAlign w:val="bottom"/>
            <w:hideMark/>
          </w:tcPr>
          <w:p w14:paraId="656621CE" w14:textId="1A237C62"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56</w:t>
            </w:r>
          </w:p>
        </w:tc>
      </w:tr>
      <w:tr w:rsidR="00C51F66" w:rsidRPr="009D4018" w14:paraId="7BA5C6A8" w14:textId="77777777" w:rsidTr="00F058F3">
        <w:trPr>
          <w:trHeight w:val="297"/>
        </w:trPr>
        <w:tc>
          <w:tcPr>
            <w:tcW w:w="3911" w:type="dxa"/>
            <w:tcBorders>
              <w:top w:val="nil"/>
              <w:left w:val="nil"/>
              <w:bottom w:val="nil"/>
              <w:right w:val="nil"/>
            </w:tcBorders>
            <w:shd w:val="clear" w:color="auto" w:fill="auto"/>
            <w:noWrap/>
            <w:vAlign w:val="bottom"/>
            <w:hideMark/>
          </w:tcPr>
          <w:p w14:paraId="1B5E0E95" w14:textId="77777777"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INR</w:t>
            </w:r>
          </w:p>
        </w:tc>
        <w:tc>
          <w:tcPr>
            <w:tcW w:w="1479" w:type="dxa"/>
            <w:tcBorders>
              <w:top w:val="nil"/>
              <w:left w:val="nil"/>
              <w:bottom w:val="nil"/>
              <w:right w:val="nil"/>
            </w:tcBorders>
            <w:shd w:val="clear" w:color="auto" w:fill="auto"/>
            <w:noWrap/>
            <w:vAlign w:val="bottom"/>
            <w:hideMark/>
          </w:tcPr>
          <w:p w14:paraId="02621A63" w14:textId="77777777" w:rsidR="00C51F66" w:rsidRPr="002D1B33" w:rsidRDefault="00C51F66" w:rsidP="00DD7887">
            <w:pPr>
              <w:spacing w:line="480" w:lineRule="auto"/>
              <w:jc w:val="center"/>
              <w:rPr>
                <w:rFonts w:ascii="Book Antiqua" w:hAnsi="Book Antiqua"/>
                <w:iCs/>
                <w:color w:val="000000"/>
              </w:rPr>
            </w:pPr>
            <w:r w:rsidRPr="002D1B33">
              <w:rPr>
                <w:rFonts w:ascii="Book Antiqua" w:hAnsi="Book Antiqua"/>
                <w:iCs/>
                <w:color w:val="000000"/>
              </w:rPr>
              <w:t>0.8-1.2</w:t>
            </w:r>
          </w:p>
        </w:tc>
        <w:tc>
          <w:tcPr>
            <w:tcW w:w="1740" w:type="dxa"/>
            <w:tcBorders>
              <w:top w:val="nil"/>
              <w:left w:val="nil"/>
              <w:bottom w:val="nil"/>
              <w:right w:val="nil"/>
            </w:tcBorders>
            <w:shd w:val="clear" w:color="auto" w:fill="auto"/>
            <w:noWrap/>
            <w:vAlign w:val="bottom"/>
            <w:hideMark/>
          </w:tcPr>
          <w:p w14:paraId="089AFA8C" w14:textId="345A9BE8"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1</w:t>
            </w:r>
            <w:r w:rsidR="00FB0DF7" w:rsidRPr="002D1B33">
              <w:rPr>
                <w:rFonts w:ascii="Book Antiqua" w:hAnsi="Book Antiqua"/>
                <w:color w:val="000000"/>
              </w:rPr>
              <w:t>.</w:t>
            </w:r>
            <w:r w:rsidRPr="002D1B33">
              <w:rPr>
                <w:rFonts w:ascii="Book Antiqua" w:hAnsi="Book Antiqua"/>
                <w:color w:val="000000"/>
              </w:rPr>
              <w:t>07</w:t>
            </w:r>
          </w:p>
        </w:tc>
        <w:tc>
          <w:tcPr>
            <w:tcW w:w="1294" w:type="dxa"/>
            <w:tcBorders>
              <w:top w:val="nil"/>
              <w:left w:val="nil"/>
              <w:bottom w:val="nil"/>
              <w:right w:val="nil"/>
            </w:tcBorders>
            <w:shd w:val="clear" w:color="auto" w:fill="auto"/>
            <w:noWrap/>
            <w:vAlign w:val="bottom"/>
            <w:hideMark/>
          </w:tcPr>
          <w:p w14:paraId="3C8A7147" w14:textId="2EE94C84"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0</w:t>
            </w:r>
            <w:r w:rsidR="00FB0DF7" w:rsidRPr="002D1B33">
              <w:rPr>
                <w:rFonts w:ascii="Book Antiqua" w:hAnsi="Book Antiqua"/>
                <w:color w:val="000000"/>
              </w:rPr>
              <w:t>.</w:t>
            </w:r>
            <w:r w:rsidRPr="002D1B33">
              <w:rPr>
                <w:rFonts w:ascii="Book Antiqua" w:hAnsi="Book Antiqua"/>
                <w:color w:val="000000"/>
              </w:rPr>
              <w:t>93</w:t>
            </w:r>
          </w:p>
        </w:tc>
        <w:tc>
          <w:tcPr>
            <w:tcW w:w="1379" w:type="dxa"/>
            <w:tcBorders>
              <w:top w:val="nil"/>
              <w:left w:val="nil"/>
              <w:bottom w:val="nil"/>
              <w:right w:val="nil"/>
            </w:tcBorders>
            <w:shd w:val="clear" w:color="auto" w:fill="auto"/>
            <w:noWrap/>
            <w:vAlign w:val="bottom"/>
            <w:hideMark/>
          </w:tcPr>
          <w:p w14:paraId="262885E7" w14:textId="12A4D866" w:rsidR="00C51F66" w:rsidRPr="002D1B33" w:rsidRDefault="00C51F66" w:rsidP="00FB0DF7">
            <w:pPr>
              <w:spacing w:line="480" w:lineRule="auto"/>
              <w:jc w:val="center"/>
              <w:rPr>
                <w:rFonts w:ascii="Book Antiqua" w:hAnsi="Book Antiqua"/>
                <w:color w:val="000000"/>
              </w:rPr>
            </w:pPr>
            <w:r w:rsidRPr="002D1B33">
              <w:rPr>
                <w:rFonts w:ascii="Book Antiqua" w:hAnsi="Book Antiqua"/>
                <w:color w:val="000000"/>
              </w:rPr>
              <w:t>0</w:t>
            </w:r>
            <w:r w:rsidR="00FB0DF7" w:rsidRPr="002D1B33">
              <w:rPr>
                <w:rFonts w:ascii="Book Antiqua" w:hAnsi="Book Antiqua"/>
                <w:color w:val="000000"/>
              </w:rPr>
              <w:t>.</w:t>
            </w:r>
            <w:r w:rsidRPr="002D1B33">
              <w:rPr>
                <w:rFonts w:ascii="Book Antiqua" w:hAnsi="Book Antiqua"/>
                <w:color w:val="000000"/>
              </w:rPr>
              <w:t>96</w:t>
            </w:r>
          </w:p>
        </w:tc>
      </w:tr>
      <w:tr w:rsidR="00C51F66" w:rsidRPr="009D4018" w14:paraId="6DEACD79" w14:textId="77777777" w:rsidTr="00F058F3">
        <w:trPr>
          <w:trHeight w:val="297"/>
        </w:trPr>
        <w:tc>
          <w:tcPr>
            <w:tcW w:w="3911" w:type="dxa"/>
            <w:tcBorders>
              <w:top w:val="nil"/>
              <w:left w:val="nil"/>
              <w:bottom w:val="single" w:sz="4" w:space="0" w:color="auto"/>
              <w:right w:val="nil"/>
            </w:tcBorders>
            <w:shd w:val="clear" w:color="auto" w:fill="auto"/>
            <w:noWrap/>
            <w:vAlign w:val="bottom"/>
            <w:hideMark/>
          </w:tcPr>
          <w:p w14:paraId="21C30FC6" w14:textId="01018C7E" w:rsidR="00C51F66" w:rsidRPr="002D1B33" w:rsidRDefault="00C51F66" w:rsidP="002D1B33">
            <w:pPr>
              <w:spacing w:line="480" w:lineRule="auto"/>
              <w:ind w:left="288"/>
              <w:rPr>
                <w:rFonts w:ascii="Book Antiqua" w:hAnsi="Book Antiqua"/>
                <w:color w:val="000000"/>
              </w:rPr>
            </w:pPr>
            <w:r w:rsidRPr="002D1B33">
              <w:rPr>
                <w:rFonts w:ascii="Book Antiqua" w:hAnsi="Book Antiqua"/>
                <w:color w:val="000000"/>
              </w:rPr>
              <w:t>Serum creatinine</w:t>
            </w:r>
            <w:r w:rsidR="00FB0DF7" w:rsidRPr="002D1B33">
              <w:rPr>
                <w:rFonts w:ascii="Book Antiqua" w:hAnsi="Book Antiqua"/>
                <w:color w:val="000000"/>
                <w:lang w:eastAsia="zh-CN"/>
              </w:rPr>
              <w:t>, µmol/</w:t>
            </w:r>
            <w:r w:rsidR="00FB0DF7" w:rsidRPr="002D1B33">
              <w:rPr>
                <w:rFonts w:ascii="Book Antiqua" w:hAnsi="Book Antiqua"/>
                <w:caps/>
                <w:color w:val="000000"/>
                <w:lang w:eastAsia="zh-CN"/>
              </w:rPr>
              <w:t>l</w:t>
            </w:r>
          </w:p>
        </w:tc>
        <w:tc>
          <w:tcPr>
            <w:tcW w:w="1479" w:type="dxa"/>
            <w:tcBorders>
              <w:top w:val="nil"/>
              <w:left w:val="nil"/>
              <w:bottom w:val="single" w:sz="4" w:space="0" w:color="auto"/>
              <w:right w:val="nil"/>
            </w:tcBorders>
            <w:shd w:val="clear" w:color="auto" w:fill="auto"/>
            <w:noWrap/>
            <w:vAlign w:val="bottom"/>
            <w:hideMark/>
          </w:tcPr>
          <w:p w14:paraId="5340D268" w14:textId="4C7FF6D9" w:rsidR="00C51F66" w:rsidRPr="002D1B33" w:rsidRDefault="00C51F66" w:rsidP="00FB0DF7">
            <w:pPr>
              <w:spacing w:line="480" w:lineRule="auto"/>
              <w:jc w:val="center"/>
              <w:rPr>
                <w:rFonts w:ascii="Book Antiqua" w:hAnsi="Book Antiqua"/>
                <w:iCs/>
                <w:color w:val="000000"/>
              </w:rPr>
            </w:pPr>
            <w:r w:rsidRPr="002D1B33">
              <w:rPr>
                <w:rFonts w:ascii="Book Antiqua" w:hAnsi="Book Antiqua"/>
                <w:iCs/>
                <w:color w:val="000000"/>
              </w:rPr>
              <w:t xml:space="preserve">64-104 </w:t>
            </w:r>
          </w:p>
        </w:tc>
        <w:tc>
          <w:tcPr>
            <w:tcW w:w="1740" w:type="dxa"/>
            <w:tcBorders>
              <w:top w:val="nil"/>
              <w:left w:val="nil"/>
              <w:bottom w:val="single" w:sz="4" w:space="0" w:color="auto"/>
              <w:right w:val="nil"/>
            </w:tcBorders>
            <w:shd w:val="clear" w:color="auto" w:fill="auto"/>
            <w:noWrap/>
            <w:vAlign w:val="bottom"/>
            <w:hideMark/>
          </w:tcPr>
          <w:p w14:paraId="78D4B173"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90</w:t>
            </w:r>
          </w:p>
        </w:tc>
        <w:tc>
          <w:tcPr>
            <w:tcW w:w="1294" w:type="dxa"/>
            <w:tcBorders>
              <w:top w:val="nil"/>
              <w:left w:val="nil"/>
              <w:bottom w:val="single" w:sz="4" w:space="0" w:color="auto"/>
              <w:right w:val="nil"/>
            </w:tcBorders>
            <w:shd w:val="clear" w:color="auto" w:fill="auto"/>
            <w:noWrap/>
            <w:vAlign w:val="bottom"/>
            <w:hideMark/>
          </w:tcPr>
          <w:p w14:paraId="12A88888"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87</w:t>
            </w:r>
          </w:p>
        </w:tc>
        <w:tc>
          <w:tcPr>
            <w:tcW w:w="1379" w:type="dxa"/>
            <w:tcBorders>
              <w:top w:val="nil"/>
              <w:left w:val="nil"/>
              <w:bottom w:val="single" w:sz="4" w:space="0" w:color="auto"/>
              <w:right w:val="nil"/>
            </w:tcBorders>
            <w:shd w:val="clear" w:color="auto" w:fill="auto"/>
            <w:noWrap/>
            <w:vAlign w:val="bottom"/>
            <w:hideMark/>
          </w:tcPr>
          <w:p w14:paraId="668A97B4" w14:textId="77777777" w:rsidR="00C51F66" w:rsidRPr="002D1B33" w:rsidRDefault="00C51F66" w:rsidP="00DD7887">
            <w:pPr>
              <w:spacing w:line="480" w:lineRule="auto"/>
              <w:jc w:val="center"/>
              <w:rPr>
                <w:rFonts w:ascii="Book Antiqua" w:hAnsi="Book Antiqua"/>
                <w:color w:val="000000"/>
              </w:rPr>
            </w:pPr>
            <w:r w:rsidRPr="002D1B33">
              <w:rPr>
                <w:rFonts w:ascii="Book Antiqua" w:hAnsi="Book Antiqua"/>
                <w:color w:val="000000"/>
              </w:rPr>
              <w:t>80</w:t>
            </w:r>
          </w:p>
        </w:tc>
      </w:tr>
    </w:tbl>
    <w:p w14:paraId="63D9892D" w14:textId="5031241B" w:rsidR="00C51F66" w:rsidRPr="002D1B33" w:rsidRDefault="00BC405C" w:rsidP="00C51F66">
      <w:pPr>
        <w:spacing w:line="480" w:lineRule="auto"/>
        <w:rPr>
          <w:rFonts w:ascii="Book Antiqua" w:hAnsi="Book Antiqua"/>
          <w:b/>
          <w:bCs/>
          <w:caps/>
        </w:rPr>
      </w:pPr>
      <w:r w:rsidRPr="002D1B33">
        <w:rPr>
          <w:rFonts w:ascii="Book Antiqua" w:hAnsi="Book Antiqua"/>
          <w:color w:val="000000"/>
        </w:rPr>
        <w:t xml:space="preserve">INR: </w:t>
      </w:r>
      <w:r w:rsidRPr="002D1B33">
        <w:rPr>
          <w:rFonts w:ascii="Book Antiqua" w:hAnsi="Book Antiqua"/>
          <w:caps/>
          <w:color w:val="000000"/>
        </w:rPr>
        <w:t>i</w:t>
      </w:r>
      <w:r w:rsidRPr="002D1B33">
        <w:rPr>
          <w:rFonts w:ascii="Book Antiqua" w:hAnsi="Book Antiqua"/>
          <w:color w:val="000000"/>
        </w:rPr>
        <w:t>nternational normalized ratio.</w:t>
      </w:r>
    </w:p>
    <w:sectPr w:rsidR="00C51F66" w:rsidRPr="002D1B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2306D" w14:textId="77777777" w:rsidR="00D12336" w:rsidRDefault="00D12336" w:rsidP="00E86865">
      <w:r>
        <w:separator/>
      </w:r>
    </w:p>
  </w:endnote>
  <w:endnote w:type="continuationSeparator" w:id="0">
    <w:p w14:paraId="6D954ED1" w14:textId="77777777" w:rsidR="00D12336" w:rsidRDefault="00D12336" w:rsidP="00E86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3392547"/>
      <w:docPartObj>
        <w:docPartGallery w:val="Page Numbers (Bottom of Page)"/>
        <w:docPartUnique/>
      </w:docPartObj>
    </w:sdtPr>
    <w:sdtEndPr>
      <w:rPr>
        <w:rFonts w:ascii="Book Antiqua" w:hAnsi="Book Antiqua"/>
      </w:rPr>
    </w:sdtEndPr>
    <w:sdtContent>
      <w:sdt>
        <w:sdtPr>
          <w:id w:val="-1705238520"/>
          <w:docPartObj>
            <w:docPartGallery w:val="Page Numbers (Top of Page)"/>
            <w:docPartUnique/>
          </w:docPartObj>
        </w:sdtPr>
        <w:sdtEndPr>
          <w:rPr>
            <w:rFonts w:ascii="Book Antiqua" w:hAnsi="Book Antiqua"/>
          </w:rPr>
        </w:sdtEndPr>
        <w:sdtContent>
          <w:p w14:paraId="434D80CA" w14:textId="77777777" w:rsidR="00515FC2" w:rsidRPr="002D1B33" w:rsidRDefault="00515FC2" w:rsidP="00515FC2">
            <w:pPr>
              <w:pStyle w:val="Footer"/>
              <w:jc w:val="right"/>
              <w:rPr>
                <w:rFonts w:ascii="Book Antiqua" w:hAnsi="Book Antiqua"/>
              </w:rPr>
            </w:pPr>
            <w:r w:rsidRPr="00515FC2">
              <w:rPr>
                <w:sz w:val="24"/>
                <w:szCs w:val="24"/>
                <w:lang w:val="zh-CN" w:eastAsia="zh-CN"/>
              </w:rPr>
              <w:t xml:space="preserve"> </w:t>
            </w:r>
            <w:r w:rsidRPr="002D1B33">
              <w:rPr>
                <w:rFonts w:ascii="Book Antiqua" w:hAnsi="Book Antiqua"/>
                <w:sz w:val="24"/>
                <w:szCs w:val="24"/>
              </w:rPr>
              <w:fldChar w:fldCharType="begin"/>
            </w:r>
            <w:r w:rsidRPr="002D1B33">
              <w:rPr>
                <w:rFonts w:ascii="Book Antiqua" w:hAnsi="Book Antiqua"/>
                <w:sz w:val="24"/>
                <w:szCs w:val="24"/>
              </w:rPr>
              <w:instrText>PAGE</w:instrText>
            </w:r>
            <w:r w:rsidRPr="002D1B33">
              <w:rPr>
                <w:rFonts w:ascii="Book Antiqua" w:hAnsi="Book Antiqua"/>
                <w:sz w:val="24"/>
                <w:szCs w:val="24"/>
              </w:rPr>
              <w:fldChar w:fldCharType="separate"/>
            </w:r>
            <w:r w:rsidR="00C3359C" w:rsidRPr="002D1B33">
              <w:rPr>
                <w:rFonts w:ascii="Book Antiqua" w:hAnsi="Book Antiqua"/>
                <w:noProof/>
                <w:sz w:val="24"/>
                <w:szCs w:val="24"/>
              </w:rPr>
              <w:t>21</w:t>
            </w:r>
            <w:r w:rsidRPr="002D1B33">
              <w:rPr>
                <w:rFonts w:ascii="Book Antiqua" w:hAnsi="Book Antiqua"/>
                <w:sz w:val="24"/>
                <w:szCs w:val="24"/>
              </w:rPr>
              <w:fldChar w:fldCharType="end"/>
            </w:r>
            <w:r w:rsidRPr="002D1B33">
              <w:rPr>
                <w:rFonts w:ascii="Book Antiqua" w:hAnsi="Book Antiqua"/>
                <w:sz w:val="24"/>
                <w:szCs w:val="24"/>
                <w:lang w:val="zh-CN" w:eastAsia="zh-CN"/>
              </w:rPr>
              <w:t xml:space="preserve"> / </w:t>
            </w:r>
            <w:r w:rsidRPr="002D1B33">
              <w:rPr>
                <w:rFonts w:ascii="Book Antiqua" w:hAnsi="Book Antiqua"/>
                <w:sz w:val="24"/>
                <w:szCs w:val="24"/>
              </w:rPr>
              <w:fldChar w:fldCharType="begin"/>
            </w:r>
            <w:r w:rsidRPr="002D1B33">
              <w:rPr>
                <w:rFonts w:ascii="Book Antiqua" w:hAnsi="Book Antiqua"/>
                <w:sz w:val="24"/>
                <w:szCs w:val="24"/>
              </w:rPr>
              <w:instrText>NUMPAGES</w:instrText>
            </w:r>
            <w:r w:rsidRPr="002D1B33">
              <w:rPr>
                <w:rFonts w:ascii="Book Antiqua" w:hAnsi="Book Antiqua"/>
                <w:sz w:val="24"/>
                <w:szCs w:val="24"/>
              </w:rPr>
              <w:fldChar w:fldCharType="separate"/>
            </w:r>
            <w:r w:rsidR="00C3359C" w:rsidRPr="002D1B33">
              <w:rPr>
                <w:rFonts w:ascii="Book Antiqua" w:hAnsi="Book Antiqua"/>
                <w:noProof/>
                <w:sz w:val="24"/>
                <w:szCs w:val="24"/>
              </w:rPr>
              <w:t>25</w:t>
            </w:r>
            <w:r w:rsidRPr="002D1B33">
              <w:rPr>
                <w:rFonts w:ascii="Book Antiqua" w:hAnsi="Book Antiqua"/>
                <w:sz w:val="24"/>
                <w:szCs w:val="24"/>
              </w:rPr>
              <w:fldChar w:fldCharType="end"/>
            </w:r>
          </w:p>
        </w:sdtContent>
      </w:sdt>
    </w:sdtContent>
  </w:sdt>
  <w:p w14:paraId="0F52AEE3" w14:textId="77777777" w:rsidR="00515FC2" w:rsidRDefault="00515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3B6188" w14:textId="77777777" w:rsidR="00D12336" w:rsidRDefault="00D12336" w:rsidP="00E86865">
      <w:r>
        <w:separator/>
      </w:r>
    </w:p>
  </w:footnote>
  <w:footnote w:type="continuationSeparator" w:id="0">
    <w:p w14:paraId="43B156E2" w14:textId="77777777" w:rsidR="00D12336" w:rsidRDefault="00D12336" w:rsidP="00E868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045"/>
    <w:rsid w:val="00033FCE"/>
    <w:rsid w:val="000448B8"/>
    <w:rsid w:val="00061F17"/>
    <w:rsid w:val="000709B1"/>
    <w:rsid w:val="00073A55"/>
    <w:rsid w:val="00074662"/>
    <w:rsid w:val="000757F3"/>
    <w:rsid w:val="000A07FC"/>
    <w:rsid w:val="000B6118"/>
    <w:rsid w:val="000C3C84"/>
    <w:rsid w:val="000D687F"/>
    <w:rsid w:val="000F4831"/>
    <w:rsid w:val="00124A64"/>
    <w:rsid w:val="00140DBC"/>
    <w:rsid w:val="00190E77"/>
    <w:rsid w:val="001A2F9F"/>
    <w:rsid w:val="001A5191"/>
    <w:rsid w:val="001C2962"/>
    <w:rsid w:val="001C56FE"/>
    <w:rsid w:val="00212F23"/>
    <w:rsid w:val="00222623"/>
    <w:rsid w:val="00230DD5"/>
    <w:rsid w:val="00232439"/>
    <w:rsid w:val="002359C1"/>
    <w:rsid w:val="0024431F"/>
    <w:rsid w:val="002470CB"/>
    <w:rsid w:val="00247DA7"/>
    <w:rsid w:val="0026226B"/>
    <w:rsid w:val="002643A5"/>
    <w:rsid w:val="00271A7B"/>
    <w:rsid w:val="002752A2"/>
    <w:rsid w:val="002823F2"/>
    <w:rsid w:val="00290885"/>
    <w:rsid w:val="0029160D"/>
    <w:rsid w:val="002C2454"/>
    <w:rsid w:val="002D1B33"/>
    <w:rsid w:val="002D1D09"/>
    <w:rsid w:val="002D2813"/>
    <w:rsid w:val="002F4419"/>
    <w:rsid w:val="002F6037"/>
    <w:rsid w:val="00304AF9"/>
    <w:rsid w:val="00310CCF"/>
    <w:rsid w:val="0032291F"/>
    <w:rsid w:val="00325C67"/>
    <w:rsid w:val="00330C7A"/>
    <w:rsid w:val="003755B0"/>
    <w:rsid w:val="003759A7"/>
    <w:rsid w:val="003915D7"/>
    <w:rsid w:val="003A24C3"/>
    <w:rsid w:val="003A40F6"/>
    <w:rsid w:val="003A443B"/>
    <w:rsid w:val="003D7F9D"/>
    <w:rsid w:val="00402186"/>
    <w:rsid w:val="00411B32"/>
    <w:rsid w:val="004258E9"/>
    <w:rsid w:val="00431BC1"/>
    <w:rsid w:val="00451905"/>
    <w:rsid w:val="0047189B"/>
    <w:rsid w:val="0047787C"/>
    <w:rsid w:val="00487F16"/>
    <w:rsid w:val="004A4F70"/>
    <w:rsid w:val="004C1B85"/>
    <w:rsid w:val="004C4F06"/>
    <w:rsid w:val="004C552F"/>
    <w:rsid w:val="004D6259"/>
    <w:rsid w:val="004E12CB"/>
    <w:rsid w:val="00515FC2"/>
    <w:rsid w:val="0058661D"/>
    <w:rsid w:val="005B2B53"/>
    <w:rsid w:val="005B4B31"/>
    <w:rsid w:val="005C263E"/>
    <w:rsid w:val="005D40CC"/>
    <w:rsid w:val="005E24FC"/>
    <w:rsid w:val="005F1B3B"/>
    <w:rsid w:val="0060206D"/>
    <w:rsid w:val="00612FEC"/>
    <w:rsid w:val="00627DE4"/>
    <w:rsid w:val="0067206B"/>
    <w:rsid w:val="00686DB1"/>
    <w:rsid w:val="006C34C1"/>
    <w:rsid w:val="006C788C"/>
    <w:rsid w:val="006D07B8"/>
    <w:rsid w:val="006F516F"/>
    <w:rsid w:val="0070580E"/>
    <w:rsid w:val="007169DF"/>
    <w:rsid w:val="00725748"/>
    <w:rsid w:val="00726788"/>
    <w:rsid w:val="00726B02"/>
    <w:rsid w:val="00765A12"/>
    <w:rsid w:val="00766A26"/>
    <w:rsid w:val="00782CF9"/>
    <w:rsid w:val="007A446C"/>
    <w:rsid w:val="007C61FA"/>
    <w:rsid w:val="007D3F0E"/>
    <w:rsid w:val="007D6309"/>
    <w:rsid w:val="007E5DDD"/>
    <w:rsid w:val="00810913"/>
    <w:rsid w:val="00872744"/>
    <w:rsid w:val="008863EC"/>
    <w:rsid w:val="00886D08"/>
    <w:rsid w:val="008B0FAB"/>
    <w:rsid w:val="008C0FD4"/>
    <w:rsid w:val="008C472A"/>
    <w:rsid w:val="008C4F7D"/>
    <w:rsid w:val="008D3108"/>
    <w:rsid w:val="008F69FE"/>
    <w:rsid w:val="00906806"/>
    <w:rsid w:val="00917405"/>
    <w:rsid w:val="009329FD"/>
    <w:rsid w:val="009542CE"/>
    <w:rsid w:val="009617E1"/>
    <w:rsid w:val="0099058A"/>
    <w:rsid w:val="00990F68"/>
    <w:rsid w:val="009A4553"/>
    <w:rsid w:val="009B686B"/>
    <w:rsid w:val="009C5A11"/>
    <w:rsid w:val="009C6999"/>
    <w:rsid w:val="009C7007"/>
    <w:rsid w:val="009C73B3"/>
    <w:rsid w:val="009D4018"/>
    <w:rsid w:val="009F1AE7"/>
    <w:rsid w:val="00A05D66"/>
    <w:rsid w:val="00A14763"/>
    <w:rsid w:val="00A22746"/>
    <w:rsid w:val="00A3185A"/>
    <w:rsid w:val="00A36A6B"/>
    <w:rsid w:val="00A545AD"/>
    <w:rsid w:val="00A71B6D"/>
    <w:rsid w:val="00A77B3E"/>
    <w:rsid w:val="00A80091"/>
    <w:rsid w:val="00AA673F"/>
    <w:rsid w:val="00AE52CE"/>
    <w:rsid w:val="00AE75E9"/>
    <w:rsid w:val="00AE7C4B"/>
    <w:rsid w:val="00B01081"/>
    <w:rsid w:val="00B2286A"/>
    <w:rsid w:val="00B344A2"/>
    <w:rsid w:val="00B67306"/>
    <w:rsid w:val="00B73038"/>
    <w:rsid w:val="00BA3F82"/>
    <w:rsid w:val="00BC405C"/>
    <w:rsid w:val="00BE2504"/>
    <w:rsid w:val="00BE53A4"/>
    <w:rsid w:val="00C015A4"/>
    <w:rsid w:val="00C01CF4"/>
    <w:rsid w:val="00C16EF4"/>
    <w:rsid w:val="00C316B0"/>
    <w:rsid w:val="00C3359C"/>
    <w:rsid w:val="00C357DE"/>
    <w:rsid w:val="00C37D37"/>
    <w:rsid w:val="00C50818"/>
    <w:rsid w:val="00C51F66"/>
    <w:rsid w:val="00CA24B6"/>
    <w:rsid w:val="00CA2A55"/>
    <w:rsid w:val="00CA7C11"/>
    <w:rsid w:val="00CC28A0"/>
    <w:rsid w:val="00CE7683"/>
    <w:rsid w:val="00CF3743"/>
    <w:rsid w:val="00D0689C"/>
    <w:rsid w:val="00D12336"/>
    <w:rsid w:val="00D542BB"/>
    <w:rsid w:val="00D55B9E"/>
    <w:rsid w:val="00D57DE0"/>
    <w:rsid w:val="00D7633C"/>
    <w:rsid w:val="00D92995"/>
    <w:rsid w:val="00D9654D"/>
    <w:rsid w:val="00DA3036"/>
    <w:rsid w:val="00DB4C83"/>
    <w:rsid w:val="00DD2636"/>
    <w:rsid w:val="00DD4A09"/>
    <w:rsid w:val="00DD73D3"/>
    <w:rsid w:val="00E01435"/>
    <w:rsid w:val="00E01EC9"/>
    <w:rsid w:val="00E167D6"/>
    <w:rsid w:val="00E359AE"/>
    <w:rsid w:val="00E36953"/>
    <w:rsid w:val="00E70D1E"/>
    <w:rsid w:val="00E86865"/>
    <w:rsid w:val="00E938C6"/>
    <w:rsid w:val="00EA19DC"/>
    <w:rsid w:val="00EB316F"/>
    <w:rsid w:val="00EB773E"/>
    <w:rsid w:val="00ED4CC3"/>
    <w:rsid w:val="00EE1F29"/>
    <w:rsid w:val="00F058F3"/>
    <w:rsid w:val="00F10293"/>
    <w:rsid w:val="00F12F0F"/>
    <w:rsid w:val="00F152D1"/>
    <w:rsid w:val="00F22B00"/>
    <w:rsid w:val="00F46CDF"/>
    <w:rsid w:val="00F61D22"/>
    <w:rsid w:val="00F678EA"/>
    <w:rsid w:val="00F873D9"/>
    <w:rsid w:val="00F87FC8"/>
    <w:rsid w:val="00F90BBD"/>
    <w:rsid w:val="00FA09DB"/>
    <w:rsid w:val="00FB0DF7"/>
    <w:rsid w:val="00FC1A6C"/>
    <w:rsid w:val="00FC6CE5"/>
    <w:rsid w:val="00FD65BA"/>
    <w:rsid w:val="00FD7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DCF19"/>
  <w15:docId w15:val="{CD3D626A-B638-484F-AF9F-9315B2B54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style>
  <w:style w:type="paragraph" w:styleId="Header">
    <w:name w:val="header"/>
    <w:basedOn w:val="Normal"/>
    <w:link w:val="HeaderChar"/>
    <w:unhideWhenUsed/>
    <w:rsid w:val="00E8686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86865"/>
    <w:rPr>
      <w:sz w:val="18"/>
      <w:szCs w:val="18"/>
    </w:rPr>
  </w:style>
  <w:style w:type="paragraph" w:styleId="Footer">
    <w:name w:val="footer"/>
    <w:basedOn w:val="Normal"/>
    <w:link w:val="FooterChar"/>
    <w:uiPriority w:val="99"/>
    <w:unhideWhenUsed/>
    <w:rsid w:val="00E8686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86865"/>
    <w:rPr>
      <w:sz w:val="18"/>
      <w:szCs w:val="18"/>
    </w:rPr>
  </w:style>
  <w:style w:type="character" w:styleId="Hyperlink">
    <w:name w:val="Hyperlink"/>
    <w:basedOn w:val="DefaultParagraphFont"/>
    <w:unhideWhenUsed/>
    <w:rsid w:val="003915D7"/>
    <w:rPr>
      <w:color w:val="0000FF" w:themeColor="hyperlink"/>
      <w:u w:val="single"/>
    </w:rPr>
  </w:style>
  <w:style w:type="paragraph" w:styleId="BalloonText">
    <w:name w:val="Balloon Text"/>
    <w:basedOn w:val="Normal"/>
    <w:link w:val="BalloonTextChar"/>
    <w:semiHidden/>
    <w:unhideWhenUsed/>
    <w:rsid w:val="00A80091"/>
    <w:rPr>
      <w:sz w:val="18"/>
      <w:szCs w:val="18"/>
    </w:rPr>
  </w:style>
  <w:style w:type="character" w:customStyle="1" w:styleId="BalloonTextChar">
    <w:name w:val="Balloon Text Char"/>
    <w:basedOn w:val="DefaultParagraphFont"/>
    <w:link w:val="BalloonText"/>
    <w:semiHidden/>
    <w:rsid w:val="00A8009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s://www.uvzsr.sk/index.php?option=com_content&amp;view=article&amp;id=4248:informacia-o-vyskyte-kodliveho-vyrobku-vyivovy-doplnok-obsahujuci-anabolicke-steroidy&amp;catid=95:informacie-pre-spotrebiteov"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5445</Words>
  <Characters>32944</Characters>
  <Application>Microsoft Office Word</Application>
  <DocSecurity>0</DocSecurity>
  <Lines>514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2021-04-02T21:44:00Z</dcterms:created>
  <dcterms:modified xsi:type="dcterms:W3CDTF">2021-04-02T21:44:00Z</dcterms:modified>
</cp:coreProperties>
</file>