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0A31" w14:textId="77777777" w:rsidR="00A77B3E" w:rsidRDefault="00D140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744B6CB" w14:textId="77777777" w:rsidR="00A77B3E" w:rsidRDefault="00D140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62705</w:t>
      </w:r>
    </w:p>
    <w:p w14:paraId="12255E0B" w14:textId="77777777" w:rsidR="00A77B3E" w:rsidRDefault="00D140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958CBC" w14:textId="77777777" w:rsidR="00A77B3E" w:rsidRDefault="00A77B3E">
      <w:pPr>
        <w:spacing w:line="360" w:lineRule="auto"/>
        <w:jc w:val="both"/>
      </w:pPr>
    </w:p>
    <w:p w14:paraId="0A44DFBE" w14:textId="77777777" w:rsidR="00A77B3E" w:rsidRDefault="00D14015">
      <w:pPr>
        <w:spacing w:line="360" w:lineRule="auto"/>
        <w:jc w:val="both"/>
      </w:pPr>
      <w:r>
        <w:rPr>
          <w:rFonts w:ascii="Book Antiqua" w:eastAsia="Book Antiqua" w:hAnsi="Book Antiqua" w:cs="Book Antiqua"/>
          <w:b/>
          <w:i/>
          <w:color w:val="000000"/>
        </w:rPr>
        <w:t>Case Control Study</w:t>
      </w:r>
    </w:p>
    <w:p w14:paraId="0F482E87" w14:textId="7A6D0012" w:rsidR="00A77B3E" w:rsidRDefault="00D14015">
      <w:pPr>
        <w:spacing w:line="360" w:lineRule="auto"/>
        <w:jc w:val="both"/>
      </w:pPr>
      <w:r>
        <w:rPr>
          <w:rFonts w:ascii="Book Antiqua" w:eastAsia="Book Antiqua" w:hAnsi="Book Antiqua" w:cs="Book Antiqua"/>
          <w:b/>
          <w:color w:val="000000"/>
        </w:rPr>
        <w:t>Significance of highly phosphorylated insulin-like growth factor binding protein-1 and cervical length for prediction of preterm delivery in twin pregnancies</w:t>
      </w:r>
    </w:p>
    <w:p w14:paraId="5F2DB4DA" w14:textId="77777777" w:rsidR="00A77B3E" w:rsidRDefault="00A77B3E">
      <w:pPr>
        <w:spacing w:line="360" w:lineRule="auto"/>
        <w:jc w:val="both"/>
      </w:pPr>
    </w:p>
    <w:p w14:paraId="777FF7CB" w14:textId="1B5B5707" w:rsidR="00A77B3E" w:rsidRDefault="008D173C">
      <w:pPr>
        <w:spacing w:line="360" w:lineRule="auto"/>
        <w:jc w:val="both"/>
      </w:pPr>
      <w:r>
        <w:rPr>
          <w:rFonts w:ascii="Book Antiqua" w:eastAsia="Book Antiqua" w:hAnsi="Book Antiqua" w:cs="Book Antiqua"/>
          <w:color w:val="000000"/>
        </w:rPr>
        <w:t xml:space="preserve">Lan RH </w:t>
      </w:r>
      <w:r w:rsidRPr="008D173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14015">
        <w:rPr>
          <w:rFonts w:ascii="Book Antiqua" w:eastAsia="Book Antiqua" w:hAnsi="Book Antiqua" w:cs="Book Antiqua"/>
          <w:color w:val="000000"/>
        </w:rPr>
        <w:t>Preterm delivery in twin pregnancies</w:t>
      </w:r>
    </w:p>
    <w:p w14:paraId="03521678" w14:textId="77777777" w:rsidR="00A77B3E" w:rsidRDefault="00A77B3E">
      <w:pPr>
        <w:spacing w:line="360" w:lineRule="auto"/>
        <w:jc w:val="both"/>
      </w:pPr>
    </w:p>
    <w:p w14:paraId="7F34A679" w14:textId="77777777" w:rsidR="00A77B3E" w:rsidRDefault="00D14015">
      <w:pPr>
        <w:spacing w:line="360" w:lineRule="auto"/>
        <w:jc w:val="both"/>
      </w:pPr>
      <w:r>
        <w:rPr>
          <w:rFonts w:ascii="Book Antiqua" w:eastAsia="Book Antiqua" w:hAnsi="Book Antiqua" w:cs="Book Antiqua"/>
          <w:color w:val="000000"/>
        </w:rPr>
        <w:t>Rui-Hong Lan, Jie Song, Hu-Min Gong, Yang Yang, Hong Yang, Lin-Mei Zheng</w:t>
      </w:r>
    </w:p>
    <w:p w14:paraId="21E36899" w14:textId="77777777" w:rsidR="00A77B3E" w:rsidRDefault="00A77B3E">
      <w:pPr>
        <w:spacing w:line="360" w:lineRule="auto"/>
        <w:jc w:val="both"/>
      </w:pPr>
    </w:p>
    <w:p w14:paraId="2C306AB5" w14:textId="77777777" w:rsidR="00A77B3E" w:rsidRDefault="00D14015">
      <w:pPr>
        <w:spacing w:line="360" w:lineRule="auto"/>
        <w:jc w:val="both"/>
      </w:pPr>
      <w:r>
        <w:rPr>
          <w:rFonts w:ascii="Book Antiqua" w:eastAsia="Book Antiqua" w:hAnsi="Book Antiqua" w:cs="Book Antiqua"/>
          <w:b/>
          <w:bCs/>
          <w:color w:val="000000"/>
        </w:rPr>
        <w:t xml:space="preserve">Rui-Hong Lan, Jie Song, Hu-Min Gong, Yang Yang, Hong Yang, Lin-Mei Zheng, </w:t>
      </w:r>
      <w:r>
        <w:rPr>
          <w:rFonts w:ascii="Book Antiqua" w:eastAsia="Book Antiqua" w:hAnsi="Book Antiqua" w:cs="Book Antiqua"/>
          <w:color w:val="000000"/>
        </w:rPr>
        <w:t>Department of Obstetrics, Hainan General Hospital, Hainan Affiliated Hospital of Hainan Medical University, Haikou 570311, Hainan Province, China</w:t>
      </w:r>
    </w:p>
    <w:p w14:paraId="587A7346" w14:textId="77777777" w:rsidR="00A77B3E" w:rsidRDefault="00A77B3E">
      <w:pPr>
        <w:spacing w:line="360" w:lineRule="auto"/>
        <w:jc w:val="both"/>
      </w:pPr>
    </w:p>
    <w:p w14:paraId="6CA5363E" w14:textId="72905742" w:rsidR="00A77B3E" w:rsidRDefault="00D14015">
      <w:pPr>
        <w:spacing w:line="360" w:lineRule="auto"/>
        <w:jc w:val="both"/>
      </w:pPr>
      <w:r>
        <w:rPr>
          <w:rFonts w:ascii="Book Antiqua" w:eastAsia="Book Antiqua" w:hAnsi="Book Antiqua" w:cs="Book Antiqua"/>
          <w:b/>
          <w:bCs/>
          <w:color w:val="000000"/>
          <w:szCs w:val="21"/>
        </w:rPr>
        <w:t xml:space="preserve">Author contributions: </w:t>
      </w:r>
      <w:r>
        <w:rPr>
          <w:rStyle w:val="dxebaseoffice2010blue"/>
          <w:rFonts w:ascii="Book Antiqua" w:eastAsia="Book Antiqua" w:hAnsi="Book Antiqua" w:cs="Book Antiqua"/>
          <w:color w:val="000000"/>
          <w:szCs w:val="21"/>
        </w:rPr>
        <w:t>Lan RH and Zheng LM</w:t>
      </w:r>
      <w:r>
        <w:rPr>
          <w:rFonts w:ascii="Book Antiqua" w:eastAsia="Book Antiqua" w:hAnsi="Book Antiqua" w:cs="Book Antiqua"/>
          <w:color w:val="000000"/>
          <w:szCs w:val="21"/>
        </w:rPr>
        <w:t xml:space="preserve"> the designed this study</w:t>
      </w:r>
      <w:r w:rsidR="008D173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Lan RH wrote the manuscript; </w:t>
      </w:r>
      <w:r>
        <w:rPr>
          <w:rStyle w:val="dxebaseoffice2010blue"/>
          <w:rFonts w:ascii="Book Antiqua" w:eastAsia="Book Antiqua" w:hAnsi="Book Antiqua" w:cs="Book Antiqua"/>
          <w:color w:val="000000"/>
          <w:szCs w:val="21"/>
        </w:rPr>
        <w:t>Lan RH, Song J, Gong HM, Yang Y, Yang H</w:t>
      </w:r>
      <w:r w:rsidR="007E2DA1">
        <w:rPr>
          <w:rStyle w:val="dxebaseoffice2010blue"/>
          <w:rFonts w:ascii="Book Antiqua" w:eastAsia="Book Antiqua" w:hAnsi="Book Antiqua" w:cs="Book Antiqua"/>
          <w:color w:val="000000"/>
          <w:szCs w:val="21"/>
        </w:rPr>
        <w:t>,</w:t>
      </w:r>
      <w:r w:rsidR="008D173C">
        <w:rPr>
          <w:rStyle w:val="dxebaseoffice2010blue"/>
          <w:rFonts w:ascii="Book Antiqua" w:eastAsia="Book Antiqua" w:hAnsi="Book Antiqua" w:cs="Book Antiqua"/>
          <w:color w:val="000000"/>
          <w:szCs w:val="21"/>
        </w:rPr>
        <w:t xml:space="preserve"> and</w:t>
      </w:r>
      <w:r>
        <w:rPr>
          <w:rStyle w:val="dxebaseoffice2010blue"/>
          <w:rFonts w:ascii="Book Antiqua" w:eastAsia="Book Antiqua" w:hAnsi="Book Antiqua" w:cs="Book Antiqua"/>
          <w:color w:val="000000"/>
          <w:szCs w:val="21"/>
        </w:rPr>
        <w:t xml:space="preserve"> Zheng LM contributed to the data collection; </w:t>
      </w:r>
      <w:r w:rsidR="007E2DA1">
        <w:rPr>
          <w:rStyle w:val="dxebaseoffice2010blue"/>
          <w:rFonts w:ascii="Book Antiqua" w:eastAsia="Book Antiqua" w:hAnsi="Book Antiqua" w:cs="Book Antiqua"/>
          <w:color w:val="000000"/>
          <w:szCs w:val="21"/>
        </w:rPr>
        <w:t>A</w:t>
      </w:r>
      <w:r>
        <w:rPr>
          <w:rStyle w:val="dxebaseoffice2010blue"/>
          <w:rFonts w:ascii="Book Antiqua" w:eastAsia="Book Antiqua" w:hAnsi="Book Antiqua" w:cs="Book Antiqua"/>
          <w:color w:val="000000"/>
          <w:szCs w:val="21"/>
        </w:rPr>
        <w:t>ll authors proof</w:t>
      </w:r>
      <w:r w:rsidR="00047C26">
        <w:rPr>
          <w:rStyle w:val="dxebaseoffice2010blue"/>
          <w:rFonts w:ascii="Book Antiqua" w:eastAsia="Book Antiqua" w:hAnsi="Book Antiqua" w:cs="Book Antiqua"/>
          <w:color w:val="000000"/>
          <w:szCs w:val="21"/>
        </w:rPr>
        <w:t>r</w:t>
      </w:r>
      <w:r>
        <w:rPr>
          <w:rStyle w:val="dxebaseoffice2010blue"/>
          <w:rFonts w:ascii="Book Antiqua" w:eastAsia="Book Antiqua" w:hAnsi="Book Antiqua" w:cs="Book Antiqua"/>
          <w:color w:val="000000"/>
          <w:szCs w:val="21"/>
        </w:rPr>
        <w:t>e</w:t>
      </w:r>
      <w:r w:rsidR="00047C26">
        <w:rPr>
          <w:rStyle w:val="dxebaseoffice2010blue"/>
          <w:rFonts w:ascii="Book Antiqua" w:eastAsia="Book Antiqua" w:hAnsi="Book Antiqua" w:cs="Book Antiqua"/>
          <w:color w:val="000000"/>
          <w:szCs w:val="21"/>
        </w:rPr>
        <w:t>a</w:t>
      </w:r>
      <w:r>
        <w:rPr>
          <w:rStyle w:val="dxebaseoffice2010blue"/>
          <w:rFonts w:ascii="Book Antiqua" w:eastAsia="Book Antiqua" w:hAnsi="Book Antiqua" w:cs="Book Antiqua"/>
          <w:color w:val="000000"/>
          <w:szCs w:val="21"/>
        </w:rPr>
        <w:t>d the revised manuscript.</w:t>
      </w:r>
    </w:p>
    <w:p w14:paraId="191EE55B" w14:textId="77777777" w:rsidR="00A77B3E" w:rsidRDefault="00A77B3E">
      <w:pPr>
        <w:spacing w:line="360" w:lineRule="auto"/>
        <w:jc w:val="both"/>
      </w:pPr>
    </w:p>
    <w:p w14:paraId="51519F36" w14:textId="77777777" w:rsidR="00A77B3E" w:rsidRDefault="00D14015">
      <w:pPr>
        <w:spacing w:line="360" w:lineRule="auto"/>
        <w:jc w:val="both"/>
      </w:pPr>
      <w:r>
        <w:rPr>
          <w:rFonts w:ascii="Book Antiqua" w:eastAsia="Book Antiqua" w:hAnsi="Book Antiqua" w:cs="Book Antiqua"/>
          <w:b/>
          <w:bCs/>
          <w:color w:val="000000"/>
        </w:rPr>
        <w:t xml:space="preserve">Corresponding author: Hu-Min Gong, MM, Chief Physician, </w:t>
      </w:r>
      <w:r>
        <w:rPr>
          <w:rFonts w:ascii="Book Antiqua" w:eastAsia="Book Antiqua" w:hAnsi="Book Antiqua" w:cs="Book Antiqua"/>
          <w:color w:val="000000"/>
        </w:rPr>
        <w:t>Department of Obstetrics, Hainan General Hospital, Hainan Affiliated Hospital of Hainan Medical University, No. 19 Xiuhua Road, Xiuying District, Haikou 570311, Hainan Province, China. 15595895588@163.com</w:t>
      </w:r>
    </w:p>
    <w:p w14:paraId="4355BB93" w14:textId="77777777" w:rsidR="00A77B3E" w:rsidRDefault="00A77B3E">
      <w:pPr>
        <w:spacing w:line="360" w:lineRule="auto"/>
        <w:jc w:val="both"/>
      </w:pPr>
    </w:p>
    <w:p w14:paraId="4B09D1E4" w14:textId="77777777" w:rsidR="00A77B3E" w:rsidRDefault="00D140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16, 2021</w:t>
      </w:r>
    </w:p>
    <w:p w14:paraId="52C5E959" w14:textId="77777777" w:rsidR="00A77B3E" w:rsidRDefault="00D140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22, 2021</w:t>
      </w:r>
    </w:p>
    <w:p w14:paraId="0D95ED27" w14:textId="23D5A0A8" w:rsidR="00A77B3E" w:rsidRDefault="00D14015">
      <w:pPr>
        <w:spacing w:line="360" w:lineRule="auto"/>
        <w:jc w:val="both"/>
      </w:pPr>
      <w:r>
        <w:rPr>
          <w:rFonts w:ascii="Book Antiqua" w:eastAsia="Book Antiqua" w:hAnsi="Book Antiqua" w:cs="Book Antiqua"/>
          <w:b/>
          <w:bCs/>
          <w:color w:val="000000"/>
        </w:rPr>
        <w:t xml:space="preserve">Accepted: </w:t>
      </w:r>
      <w:r w:rsidR="00CE6BC6" w:rsidRPr="00CE6BC6">
        <w:rPr>
          <w:rFonts w:ascii="Book Antiqua" w:eastAsia="Book Antiqua" w:hAnsi="Book Antiqua" w:cs="Book Antiqua"/>
          <w:color w:val="000000"/>
        </w:rPr>
        <w:t>March 4, 2021</w:t>
      </w:r>
    </w:p>
    <w:p w14:paraId="4BB7A146" w14:textId="66BFA354" w:rsidR="00A77B3E" w:rsidRDefault="00D1401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BB0C42" w:rsidRPr="00BB0C42">
        <w:rPr>
          <w:rFonts w:ascii="Book Antiqua" w:eastAsia="Book Antiqua" w:hAnsi="Book Antiqua" w:cs="Book Antiqua"/>
          <w:color w:val="000000"/>
        </w:rPr>
        <w:t>June 26, 2021</w:t>
      </w:r>
    </w:p>
    <w:p w14:paraId="4A7F88FB" w14:textId="77777777" w:rsidR="00BB0C42" w:rsidRDefault="00BB0C42">
      <w:pPr>
        <w:spacing w:line="360" w:lineRule="auto"/>
        <w:jc w:val="both"/>
      </w:pPr>
    </w:p>
    <w:p w14:paraId="5EB2C56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B4D0659" w14:textId="77777777" w:rsidR="00A77B3E" w:rsidRDefault="00D14015">
      <w:pPr>
        <w:spacing w:line="360" w:lineRule="auto"/>
        <w:jc w:val="both"/>
      </w:pPr>
      <w:r>
        <w:rPr>
          <w:rFonts w:ascii="Book Antiqua" w:eastAsia="Book Antiqua" w:hAnsi="Book Antiqua" w:cs="Book Antiqua"/>
          <w:b/>
          <w:color w:val="000000"/>
        </w:rPr>
        <w:lastRenderedPageBreak/>
        <w:t>Abstract</w:t>
      </w:r>
    </w:p>
    <w:p w14:paraId="24F941B3" w14:textId="77777777" w:rsidR="00A77B3E" w:rsidRDefault="00D14015">
      <w:pPr>
        <w:spacing w:line="360" w:lineRule="auto"/>
        <w:jc w:val="both"/>
      </w:pPr>
      <w:r>
        <w:rPr>
          <w:rFonts w:ascii="Book Antiqua" w:eastAsia="Book Antiqua" w:hAnsi="Book Antiqua" w:cs="Book Antiqua"/>
          <w:color w:val="000000"/>
        </w:rPr>
        <w:t>BACKGROUND</w:t>
      </w:r>
    </w:p>
    <w:p w14:paraId="095A40CE" w14:textId="612991C8" w:rsidR="00A77B3E" w:rsidRDefault="00D14015">
      <w:pPr>
        <w:spacing w:line="360" w:lineRule="auto"/>
        <w:jc w:val="both"/>
      </w:pPr>
      <w:r>
        <w:rPr>
          <w:rFonts w:ascii="Book Antiqua" w:eastAsia="Book Antiqua" w:hAnsi="Book Antiqua" w:cs="Book Antiqua"/>
          <w:color w:val="000000"/>
          <w:szCs w:val="21"/>
        </w:rPr>
        <w:t xml:space="preserve">A twin pregnancy can carry greater risks than singleton pregnancies. </w:t>
      </w:r>
      <w:r w:rsidR="007E2DA1">
        <w:rPr>
          <w:rFonts w:ascii="Book Antiqua" w:eastAsia="Book Antiqua" w:hAnsi="Book Antiqua" w:cs="Book Antiqua"/>
          <w:color w:val="000000"/>
          <w:szCs w:val="21"/>
        </w:rPr>
        <w:t>A</w:t>
      </w:r>
      <w:r>
        <w:rPr>
          <w:rFonts w:ascii="Book Antiqua" w:eastAsia="Book Antiqua" w:hAnsi="Book Antiqua" w:cs="Book Antiqua"/>
          <w:color w:val="000000"/>
          <w:szCs w:val="21"/>
        </w:rPr>
        <w:t>bout 60 in 100 twin pregnancies result in spontaneous birth before 37 wk</w:t>
      </w:r>
      <w:r w:rsidR="007E2DA1">
        <w:rPr>
          <w:rFonts w:ascii="Book Antiqua" w:eastAsia="Book Antiqua" w:hAnsi="Book Antiqua" w:cs="Book Antiqua"/>
          <w:color w:val="000000"/>
          <w:szCs w:val="21"/>
        </w:rPr>
        <w:t>, which is</w:t>
      </w:r>
      <w:r>
        <w:rPr>
          <w:rFonts w:ascii="Book Antiqua" w:eastAsia="Book Antiqua" w:hAnsi="Book Antiqua" w:cs="Book Antiqua"/>
          <w:color w:val="000000"/>
          <w:szCs w:val="21"/>
        </w:rPr>
        <w:t xml:space="preserve"> associated with several complications in the premature babies. Clinical detection of biomarkers may help to predict the possibility of premature birth so that corresponding interventions can be given to the pregnant women </w:t>
      </w:r>
      <w:r w:rsidR="007E2DA1">
        <w:rPr>
          <w:rFonts w:ascii="Book Antiqua" w:eastAsia="Book Antiqua" w:hAnsi="Book Antiqua" w:cs="Book Antiqua"/>
          <w:color w:val="000000"/>
          <w:szCs w:val="21"/>
        </w:rPr>
        <w:t xml:space="preserve">in a </w:t>
      </w:r>
      <w:r>
        <w:rPr>
          <w:rFonts w:ascii="Book Antiqua" w:eastAsia="Book Antiqua" w:hAnsi="Book Antiqua" w:cs="Book Antiqua"/>
          <w:color w:val="000000"/>
          <w:szCs w:val="21"/>
        </w:rPr>
        <w:t xml:space="preserve">timely </w:t>
      </w:r>
      <w:r w:rsidR="007E2DA1">
        <w:rPr>
          <w:rFonts w:ascii="Book Antiqua" w:eastAsia="Book Antiqua" w:hAnsi="Book Antiqua" w:cs="Book Antiqua"/>
          <w:color w:val="000000"/>
          <w:szCs w:val="21"/>
        </w:rPr>
        <w:t>manner</w:t>
      </w:r>
      <w:r w:rsidR="007B2BB5">
        <w:rPr>
          <w:rFonts w:ascii="Book Antiqua" w:eastAsia="Book Antiqua" w:hAnsi="Book Antiqua" w:cs="Book Antiqua"/>
          <w:color w:val="000000"/>
          <w:szCs w:val="21"/>
        </w:rPr>
        <w:t>, in order</w:t>
      </w:r>
      <w:r w:rsidR="007E2DA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 reduce the risk of preterm birth and improve the outcomes of the newborn infants.</w:t>
      </w:r>
    </w:p>
    <w:p w14:paraId="6674CAF7" w14:textId="77777777" w:rsidR="00A77B3E" w:rsidRDefault="00A77B3E">
      <w:pPr>
        <w:spacing w:line="360" w:lineRule="auto"/>
        <w:jc w:val="both"/>
      </w:pPr>
    </w:p>
    <w:p w14:paraId="299B6569" w14:textId="77777777" w:rsidR="00A77B3E" w:rsidRDefault="00D14015">
      <w:pPr>
        <w:spacing w:line="360" w:lineRule="auto"/>
        <w:jc w:val="both"/>
      </w:pPr>
      <w:r>
        <w:rPr>
          <w:rFonts w:ascii="Book Antiqua" w:eastAsia="Book Antiqua" w:hAnsi="Book Antiqua" w:cs="Book Antiqua"/>
          <w:color w:val="000000"/>
        </w:rPr>
        <w:t>AIM</w:t>
      </w:r>
    </w:p>
    <w:p w14:paraId="498E3467" w14:textId="77777777" w:rsidR="00A77B3E" w:rsidRDefault="00D14015">
      <w:pPr>
        <w:spacing w:line="360" w:lineRule="auto"/>
        <w:jc w:val="both"/>
      </w:pPr>
      <w:r>
        <w:rPr>
          <w:rFonts w:ascii="Book Antiqua" w:eastAsia="Book Antiqua" w:hAnsi="Book Antiqua" w:cs="Book Antiqua"/>
          <w:color w:val="000000"/>
          <w:szCs w:val="21"/>
        </w:rPr>
        <w:t>To explore the clinical value of transvaginal ultrasound measurement of cervical length combined with insulin-like growth factor binding protein-1 (IGFBP-1) hyperphosphorylation</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in cervical secretions as predictors of preterm delivery in twin pregnancies.</w:t>
      </w:r>
    </w:p>
    <w:p w14:paraId="6F7D234A" w14:textId="77777777" w:rsidR="00A77B3E" w:rsidRDefault="00A77B3E">
      <w:pPr>
        <w:spacing w:line="360" w:lineRule="auto"/>
        <w:jc w:val="both"/>
      </w:pPr>
    </w:p>
    <w:p w14:paraId="2EBFBFDA" w14:textId="77777777" w:rsidR="00A77B3E" w:rsidRDefault="00D14015">
      <w:pPr>
        <w:spacing w:line="360" w:lineRule="auto"/>
        <w:jc w:val="both"/>
      </w:pPr>
      <w:r>
        <w:rPr>
          <w:rFonts w:ascii="Book Antiqua" w:eastAsia="Book Antiqua" w:hAnsi="Book Antiqua" w:cs="Book Antiqua"/>
          <w:color w:val="000000"/>
        </w:rPr>
        <w:t>METHODS</w:t>
      </w:r>
    </w:p>
    <w:p w14:paraId="0D2FCC50" w14:textId="02892343" w:rsidR="00A77B3E" w:rsidRDefault="00D14015">
      <w:pPr>
        <w:spacing w:line="360" w:lineRule="auto"/>
        <w:jc w:val="both"/>
      </w:pPr>
      <w:r>
        <w:rPr>
          <w:rFonts w:ascii="Book Antiqua" w:eastAsia="Book Antiqua" w:hAnsi="Book Antiqua" w:cs="Book Antiqua"/>
          <w:color w:val="000000"/>
          <w:szCs w:val="21"/>
        </w:rPr>
        <w:t>A total of 254 pregnant women with twin pregnancies</w:t>
      </w:r>
      <w:r w:rsidR="007E2DA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who were admitted to </w:t>
      </w:r>
      <w:r w:rsidR="00951332">
        <w:rPr>
          <w:rFonts w:ascii="Book Antiqua" w:eastAsia="Book Antiqua" w:hAnsi="Book Antiqua" w:cs="Book Antiqua"/>
          <w:color w:val="000000"/>
        </w:rPr>
        <w:t>Hainan General Hospital</w:t>
      </w:r>
      <w:r w:rsidR="00951332">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underwent maternity examination</w:t>
      </w:r>
      <w:r w:rsidR="007E2DA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were selected as the study subjects from January 2015 to December 2018. All participants received transvaginal ultrasound measurement of cervical length and phosphorylated </w:t>
      </w:r>
      <w:r w:rsidR="008D173C">
        <w:rPr>
          <w:rFonts w:ascii="Book Antiqua" w:eastAsia="Book Antiqua" w:hAnsi="Book Antiqua" w:cs="Book Antiqua"/>
          <w:color w:val="000000"/>
          <w:szCs w:val="21"/>
        </w:rPr>
        <w:t>IGFBP-1</w:t>
      </w:r>
      <w:r>
        <w:rPr>
          <w:rFonts w:ascii="Book Antiqua" w:eastAsia="Book Antiqua" w:hAnsi="Book Antiqua" w:cs="Book Antiqua"/>
          <w:color w:val="000000"/>
          <w:szCs w:val="21"/>
        </w:rPr>
        <w:t xml:space="preserve"> (phIGFBP-1) test between 24 and 34 wk gestation. The pregnancy outcomes were analyzed.</w:t>
      </w:r>
    </w:p>
    <w:p w14:paraId="7DBDE2CA" w14:textId="77777777" w:rsidR="00A77B3E" w:rsidRDefault="00A77B3E">
      <w:pPr>
        <w:spacing w:line="360" w:lineRule="auto"/>
        <w:jc w:val="both"/>
      </w:pPr>
    </w:p>
    <w:p w14:paraId="78B25564" w14:textId="77777777" w:rsidR="00A77B3E" w:rsidRDefault="00D14015">
      <w:pPr>
        <w:spacing w:line="360" w:lineRule="auto"/>
        <w:jc w:val="both"/>
      </w:pPr>
      <w:r>
        <w:rPr>
          <w:rFonts w:ascii="Book Antiqua" w:eastAsia="Book Antiqua" w:hAnsi="Book Antiqua" w:cs="Book Antiqua"/>
          <w:color w:val="000000"/>
        </w:rPr>
        <w:t>RESULTS</w:t>
      </w:r>
    </w:p>
    <w:p w14:paraId="6C82E0D3" w14:textId="621A7BEF" w:rsidR="00A77B3E" w:rsidRDefault="00D14015">
      <w:pPr>
        <w:spacing w:line="360" w:lineRule="auto"/>
        <w:jc w:val="both"/>
      </w:pPr>
      <w:r>
        <w:rPr>
          <w:rFonts w:ascii="Book Antiqua" w:eastAsia="Book Antiqua" w:hAnsi="Book Antiqua" w:cs="Book Antiqua"/>
          <w:color w:val="000000"/>
          <w:szCs w:val="21"/>
        </w:rPr>
        <w:t xml:space="preserve">Of </w:t>
      </w:r>
      <w:r w:rsidR="007E2DA1">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women with a positive phIGFBP-1 test result, preterm birth rate was higher in </w:t>
      </w:r>
      <w:r w:rsidR="00EF7F75">
        <w:rPr>
          <w:rFonts w:ascii="Book Antiqua" w:eastAsia="Book Antiqua" w:hAnsi="Book Antiqua" w:cs="Book Antiqua"/>
          <w:color w:val="000000"/>
          <w:szCs w:val="21"/>
        </w:rPr>
        <w:t>those with</w:t>
      </w:r>
      <w:r>
        <w:rPr>
          <w:rFonts w:ascii="Book Antiqua" w:eastAsia="Book Antiqua" w:hAnsi="Book Antiqua" w:cs="Book Antiqua"/>
          <w:color w:val="000000"/>
          <w:szCs w:val="21"/>
        </w:rPr>
        <w:t xml:space="preserve"> </w:t>
      </w:r>
      <w:r w:rsidR="0048163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cervical length</w:t>
      </w:r>
      <w:r w:rsidR="0048163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 25 mm than those </w:t>
      </w:r>
      <w:r w:rsidR="00481634">
        <w:rPr>
          <w:rFonts w:ascii="Book Antiqua" w:eastAsia="Book Antiqua" w:hAnsi="Book Antiqua" w:cs="Book Antiqua"/>
          <w:color w:val="000000"/>
          <w:szCs w:val="21"/>
        </w:rPr>
        <w:t>with</w:t>
      </w:r>
      <w:r>
        <w:rPr>
          <w:rFonts w:ascii="Book Antiqua" w:eastAsia="Book Antiqua" w:hAnsi="Book Antiqua" w:cs="Book Antiqua"/>
          <w:color w:val="000000"/>
          <w:szCs w:val="21"/>
        </w:rPr>
        <w:t xml:space="preserve"> </w:t>
      </w:r>
      <w:r w:rsidR="0048163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w:t>
      </w:r>
      <w:r w:rsidR="00481634">
        <w:rPr>
          <w:rFonts w:ascii="Book Antiqua" w:eastAsia="Book Antiqua" w:hAnsi="Book Antiqua" w:cs="Book Antiqua"/>
          <w:color w:val="000000"/>
          <w:szCs w:val="21"/>
        </w:rPr>
        <w:t>Similarly,</w:t>
      </w:r>
      <w:r w:rsidR="005C67E9">
        <w:rPr>
          <w:rFonts w:ascii="Book Antiqua" w:eastAsia="Book Antiqua" w:hAnsi="Book Antiqua" w:cs="Book Antiqua"/>
          <w:color w:val="000000"/>
          <w:szCs w:val="21"/>
        </w:rPr>
        <w:t xml:space="preserve"> in</w:t>
      </w:r>
      <w:r>
        <w:rPr>
          <w:rFonts w:ascii="Book Antiqua" w:eastAsia="Book Antiqua" w:hAnsi="Book Antiqua" w:cs="Book Antiqua"/>
          <w:color w:val="000000"/>
          <w:szCs w:val="21"/>
        </w:rPr>
        <w:t xml:space="preserve"> women with a negative phIGFBP-1 test result, preterm birth rate was higher in </w:t>
      </w:r>
      <w:r w:rsidR="00EF7F75">
        <w:rPr>
          <w:rFonts w:ascii="Book Antiqua" w:eastAsia="Book Antiqua" w:hAnsi="Book Antiqua" w:cs="Book Antiqua"/>
          <w:color w:val="000000"/>
          <w:szCs w:val="21"/>
        </w:rPr>
        <w:t>those with</w:t>
      </w:r>
      <w:r>
        <w:rPr>
          <w:rFonts w:ascii="Book Antiqua" w:eastAsia="Book Antiqua" w:hAnsi="Book Antiqua" w:cs="Book Antiqua"/>
          <w:color w:val="000000"/>
          <w:szCs w:val="21"/>
        </w:rPr>
        <w:t xml:space="preserve"> </w:t>
      </w:r>
      <w:r w:rsidR="0048163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cervical length</w:t>
      </w:r>
      <w:r w:rsidR="00EF7F7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25 mm than those</w:t>
      </w:r>
      <w:r w:rsidR="00481634">
        <w:rPr>
          <w:rFonts w:ascii="Book Antiqua" w:eastAsia="Book Antiqua" w:hAnsi="Book Antiqua" w:cs="Book Antiqua"/>
          <w:color w:val="000000"/>
          <w:szCs w:val="21"/>
        </w:rPr>
        <w:t xml:space="preserve"> with a </w:t>
      </w:r>
      <w:r>
        <w:rPr>
          <w:rFonts w:ascii="Book Antiqua" w:eastAsia="Book Antiqua" w:hAnsi="Book Antiqua" w:cs="Book Antiqua"/>
          <w:color w:val="000000"/>
          <w:szCs w:val="21"/>
        </w:rPr>
        <w:t xml:space="preserve">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The sensitivity, specificity, </w:t>
      </w:r>
      <w:r w:rsidR="00315EB7">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positive</w:t>
      </w:r>
      <w:r w:rsidR="00315EB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negative predict</w:t>
      </w:r>
      <w:r w:rsidR="00054B30">
        <w:rPr>
          <w:rFonts w:ascii="Book Antiqua" w:eastAsia="Book Antiqua" w:hAnsi="Book Antiqua" w:cs="Book Antiqua"/>
          <w:color w:val="000000"/>
          <w:szCs w:val="21"/>
        </w:rPr>
        <w:t>ive</w:t>
      </w:r>
      <w:r>
        <w:rPr>
          <w:rFonts w:ascii="Book Antiqua" w:eastAsia="Book Antiqua" w:hAnsi="Book Antiqua" w:cs="Book Antiqua"/>
          <w:color w:val="000000"/>
          <w:szCs w:val="21"/>
        </w:rPr>
        <w:t xml:space="preserve"> value</w:t>
      </w:r>
      <w:r w:rsidR="007E2DA1">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w:t>
      </w:r>
      <w:r w:rsidR="007E2DA1">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phIGFBP-1 test combined with </w:t>
      </w:r>
      <w:r w:rsidR="007E2DA1">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cervical length </w:t>
      </w:r>
      <w:r w:rsidR="006C75BF">
        <w:rPr>
          <w:rFonts w:ascii="Book Antiqua" w:eastAsia="Book Antiqua" w:hAnsi="Book Antiqua" w:cs="Book Antiqua"/>
          <w:color w:val="000000"/>
          <w:szCs w:val="21"/>
        </w:rPr>
        <w:t xml:space="preserve">test </w:t>
      </w:r>
      <w:r w:rsidR="007E2DA1">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95.71%, 91.21%, 95.12% and 92.22%, respectively</w:t>
      </w:r>
      <w:r w:rsidR="007E2DA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for the prediction of preterm birth.</w:t>
      </w:r>
    </w:p>
    <w:p w14:paraId="73F7F676" w14:textId="77777777" w:rsidR="00A77B3E" w:rsidRDefault="00A77B3E">
      <w:pPr>
        <w:spacing w:line="360" w:lineRule="auto"/>
        <w:jc w:val="both"/>
      </w:pPr>
    </w:p>
    <w:p w14:paraId="0AB6F7CB" w14:textId="77777777" w:rsidR="00A77B3E" w:rsidRDefault="00D14015">
      <w:pPr>
        <w:spacing w:line="360" w:lineRule="auto"/>
        <w:jc w:val="both"/>
      </w:pPr>
      <w:r>
        <w:rPr>
          <w:rFonts w:ascii="Book Antiqua" w:eastAsia="Book Antiqua" w:hAnsi="Book Antiqua" w:cs="Book Antiqua"/>
          <w:color w:val="000000"/>
        </w:rPr>
        <w:t>CONCLUSION</w:t>
      </w:r>
    </w:p>
    <w:p w14:paraId="284CE204" w14:textId="2D115B51" w:rsidR="00A77B3E" w:rsidRDefault="00D14015">
      <w:pPr>
        <w:spacing w:line="360" w:lineRule="auto"/>
        <w:jc w:val="both"/>
      </w:pPr>
      <w:r>
        <w:rPr>
          <w:rFonts w:ascii="Book Antiqua" w:eastAsia="Book Antiqua" w:hAnsi="Book Antiqua" w:cs="Book Antiqua"/>
          <w:color w:val="000000"/>
          <w:szCs w:val="21"/>
        </w:rPr>
        <w:t>Cervical length combined with phIGFBP-1 test</w:t>
      </w:r>
      <w:r w:rsidR="00D810A4">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7E2DA1">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of value for the prediction of outcomes of preterm delivery in twin pregnancies.</w:t>
      </w:r>
    </w:p>
    <w:p w14:paraId="288780EE" w14:textId="77777777" w:rsidR="00A77B3E" w:rsidRDefault="00A77B3E">
      <w:pPr>
        <w:spacing w:line="360" w:lineRule="auto"/>
        <w:jc w:val="both"/>
      </w:pPr>
    </w:p>
    <w:p w14:paraId="7169FD41" w14:textId="77777777" w:rsidR="00A77B3E" w:rsidRDefault="00D140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Hyperphosphorylated insulin-like growth factor binding protein-1; Cervical length; Ultrasound; Twin pregnancies; Preterm delivery</w:t>
      </w:r>
    </w:p>
    <w:p w14:paraId="009DC878" w14:textId="77777777" w:rsidR="00F77303" w:rsidRDefault="00F77303" w:rsidP="00F77303">
      <w:pPr>
        <w:spacing w:line="360" w:lineRule="auto"/>
        <w:jc w:val="both"/>
        <w:rPr>
          <w:lang w:eastAsia="zh-CN"/>
        </w:rPr>
      </w:pPr>
    </w:p>
    <w:p w14:paraId="40206023" w14:textId="77777777" w:rsidR="00F77303" w:rsidRPr="00026CB8" w:rsidRDefault="00F77303" w:rsidP="00F7730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A259BCE" w14:textId="77777777" w:rsidR="00A77B3E" w:rsidRDefault="00A77B3E">
      <w:pPr>
        <w:spacing w:line="360" w:lineRule="auto"/>
        <w:jc w:val="both"/>
      </w:pPr>
    </w:p>
    <w:p w14:paraId="3E774D87" w14:textId="711EF94E" w:rsidR="006E09F9" w:rsidRDefault="006E09F9">
      <w:pPr>
        <w:spacing w:line="360" w:lineRule="auto"/>
        <w:jc w:val="both"/>
        <w:rPr>
          <w:rFonts w:ascii="Book Antiqua" w:hAnsi="Book Antiqua" w:cs="Book Antiqua" w:hint="eastAsia"/>
          <w:color w:val="000000"/>
          <w:lang w:eastAsia="zh-CN"/>
        </w:rPr>
      </w:pPr>
      <w:r w:rsidRPr="006E09F9">
        <w:rPr>
          <w:rFonts w:ascii="Book Antiqua" w:hAnsi="Book Antiqua" w:cs="Book Antiqua" w:hint="eastAsia"/>
          <w:b/>
          <w:color w:val="000000"/>
          <w:lang w:eastAsia="zh-CN"/>
        </w:rPr>
        <w:t xml:space="preserve">Citation: </w:t>
      </w:r>
      <w:r w:rsidR="00D14015">
        <w:rPr>
          <w:rFonts w:ascii="Book Antiqua" w:eastAsia="Book Antiqua" w:hAnsi="Book Antiqua" w:cs="Book Antiqua"/>
          <w:color w:val="000000"/>
        </w:rPr>
        <w:t xml:space="preserve">Lan RH, Song J, Gong HM, Yang Y, Yang H, Zheng LM. Significance of highly phosphorylated insulin-like growth factor binding protein-1 and cervical length for prediction of preterm delivery in twin pregnancies. </w:t>
      </w:r>
      <w:r w:rsidR="00D14015">
        <w:rPr>
          <w:rFonts w:ascii="Book Antiqua" w:eastAsia="Book Antiqua" w:hAnsi="Book Antiqua" w:cs="Book Antiqua"/>
          <w:i/>
          <w:iCs/>
          <w:color w:val="000000"/>
        </w:rPr>
        <w:t>World J Clin Cases</w:t>
      </w:r>
      <w:r w:rsidR="00D14015">
        <w:rPr>
          <w:rFonts w:ascii="Book Antiqua" w:eastAsia="Book Antiqua" w:hAnsi="Book Antiqua" w:cs="Book Antiqua"/>
          <w:color w:val="000000"/>
        </w:rPr>
        <w:t xml:space="preserve"> </w:t>
      </w:r>
      <w:r w:rsidR="00B21025" w:rsidRPr="00B21025">
        <w:rPr>
          <w:rFonts w:ascii="Book Antiqua" w:eastAsia="Book Antiqua" w:hAnsi="Book Antiqua" w:cs="Book Antiqua"/>
          <w:color w:val="000000"/>
        </w:rPr>
        <w:t xml:space="preserve">2021; 9(18): </w:t>
      </w:r>
      <w:r w:rsidR="00E405D6" w:rsidRPr="00E405D6">
        <w:rPr>
          <w:rFonts w:ascii="Book Antiqua" w:eastAsia="Book Antiqua" w:hAnsi="Book Antiqua" w:cs="Book Antiqua"/>
          <w:color w:val="000000"/>
        </w:rPr>
        <w:t>4553-4558</w:t>
      </w:r>
      <w:r w:rsidR="00B21025" w:rsidRPr="00B21025">
        <w:rPr>
          <w:rFonts w:ascii="Book Antiqua" w:eastAsia="Book Antiqua" w:hAnsi="Book Antiqua" w:cs="Book Antiqua"/>
          <w:color w:val="000000"/>
        </w:rPr>
        <w:t xml:space="preserve">  </w:t>
      </w:r>
    </w:p>
    <w:p w14:paraId="6EFD87CF" w14:textId="77777777" w:rsidR="006E09F9" w:rsidRDefault="00B21025">
      <w:pPr>
        <w:spacing w:line="360" w:lineRule="auto"/>
        <w:jc w:val="both"/>
        <w:rPr>
          <w:rFonts w:ascii="Book Antiqua" w:hAnsi="Book Antiqua" w:cs="Book Antiqua" w:hint="eastAsia"/>
          <w:color w:val="000000"/>
          <w:lang w:eastAsia="zh-CN"/>
        </w:rPr>
      </w:pPr>
      <w:r w:rsidRPr="006E09F9">
        <w:rPr>
          <w:rFonts w:ascii="Book Antiqua" w:eastAsia="Book Antiqua" w:hAnsi="Book Antiqua" w:cs="Book Antiqua"/>
          <w:b/>
          <w:color w:val="000000"/>
        </w:rPr>
        <w:t>URL:</w:t>
      </w:r>
      <w:r w:rsidRPr="00B21025">
        <w:rPr>
          <w:rFonts w:ascii="Book Antiqua" w:eastAsia="Book Antiqua" w:hAnsi="Book Antiqua" w:cs="Book Antiqua"/>
          <w:color w:val="000000"/>
        </w:rPr>
        <w:t xml:space="preserve"> https://www.wjgnet.com/2307-8960/full/v9/i18/</w:t>
      </w:r>
      <w:r w:rsidR="00D14AD7" w:rsidRPr="00E405D6">
        <w:rPr>
          <w:rFonts w:ascii="Book Antiqua" w:eastAsia="Book Antiqua" w:hAnsi="Book Antiqua" w:cs="Book Antiqua"/>
          <w:color w:val="000000"/>
        </w:rPr>
        <w:t>4553</w:t>
      </w:r>
      <w:r w:rsidRPr="00B21025">
        <w:rPr>
          <w:rFonts w:ascii="Book Antiqua" w:eastAsia="Book Antiqua" w:hAnsi="Book Antiqua" w:cs="Book Antiqua"/>
          <w:color w:val="000000"/>
        </w:rPr>
        <w:t xml:space="preserve">.htm  </w:t>
      </w:r>
    </w:p>
    <w:p w14:paraId="5FD6E49B" w14:textId="0F500791" w:rsidR="00A77B3E" w:rsidRDefault="00B21025">
      <w:pPr>
        <w:spacing w:line="360" w:lineRule="auto"/>
        <w:jc w:val="both"/>
      </w:pPr>
      <w:r w:rsidRPr="006E09F9">
        <w:rPr>
          <w:rFonts w:ascii="Book Antiqua" w:eastAsia="Book Antiqua" w:hAnsi="Book Antiqua" w:cs="Book Antiqua"/>
          <w:b/>
          <w:color w:val="000000"/>
        </w:rPr>
        <w:t>DOI:</w:t>
      </w:r>
      <w:r w:rsidRPr="00B21025">
        <w:rPr>
          <w:rFonts w:ascii="Book Antiqua" w:eastAsia="Book Antiqua" w:hAnsi="Book Antiqua" w:cs="Book Antiqua"/>
          <w:color w:val="000000"/>
        </w:rPr>
        <w:t xml:space="preserve"> https://dx.doi.org/10.12998/wjcc.v9.i18.</w:t>
      </w:r>
      <w:r w:rsidR="00D14AD7" w:rsidRPr="00E405D6">
        <w:rPr>
          <w:rFonts w:ascii="Book Antiqua" w:eastAsia="Book Antiqua" w:hAnsi="Book Antiqua" w:cs="Book Antiqua"/>
          <w:color w:val="000000"/>
        </w:rPr>
        <w:t>4553</w:t>
      </w:r>
    </w:p>
    <w:p w14:paraId="520D060B" w14:textId="77777777" w:rsidR="00A77B3E" w:rsidRDefault="00A77B3E">
      <w:pPr>
        <w:spacing w:line="360" w:lineRule="auto"/>
        <w:jc w:val="both"/>
      </w:pPr>
    </w:p>
    <w:p w14:paraId="58ADB7E0" w14:textId="672898DA" w:rsidR="00A77B3E" w:rsidRDefault="00D14015">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This study analyzed the efficacy and feasibility of transvaginal ultrasound measurement of cervical length combined with </w:t>
      </w:r>
      <w:r w:rsidR="0000167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phosphorylated insulin-like growth factor binding protein-1 </w:t>
      </w:r>
      <w:r w:rsidR="008D173C">
        <w:rPr>
          <w:rFonts w:ascii="Book Antiqua" w:eastAsia="Book Antiqua" w:hAnsi="Book Antiqua" w:cs="Book Antiqua"/>
          <w:color w:val="000000"/>
          <w:szCs w:val="21"/>
        </w:rPr>
        <w:t xml:space="preserve">(IGFBP-1) </w:t>
      </w:r>
      <w:r w:rsidR="008F5ED0">
        <w:rPr>
          <w:rFonts w:ascii="Book Antiqua" w:eastAsia="Book Antiqua" w:hAnsi="Book Antiqua" w:cs="Book Antiqua"/>
          <w:color w:val="000000"/>
          <w:szCs w:val="21"/>
        </w:rPr>
        <w:t xml:space="preserve">test </w:t>
      </w:r>
      <w:r>
        <w:rPr>
          <w:rFonts w:ascii="Book Antiqua" w:eastAsia="Book Antiqua" w:hAnsi="Book Antiqua" w:cs="Book Antiqua"/>
          <w:color w:val="000000"/>
          <w:szCs w:val="21"/>
        </w:rPr>
        <w:t>for the prediction of preterm birth in twin pregnanc</w:t>
      </w:r>
      <w:r w:rsidR="00001675">
        <w:rPr>
          <w:rFonts w:ascii="Book Antiqua" w:eastAsia="Book Antiqua" w:hAnsi="Book Antiqua" w:cs="Book Antiqua"/>
          <w:color w:val="000000"/>
          <w:szCs w:val="21"/>
        </w:rPr>
        <w:t>ies</w:t>
      </w:r>
      <w:r>
        <w:rPr>
          <w:rFonts w:ascii="Book Antiqua" w:eastAsia="Book Antiqua" w:hAnsi="Book Antiqua" w:cs="Book Antiqua"/>
          <w:color w:val="000000"/>
          <w:szCs w:val="21"/>
        </w:rPr>
        <w:t xml:space="preserve">. </w:t>
      </w:r>
      <w:r w:rsidR="0000167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accuracy of the detection was high. In pregnant women with shorter central length, those with positive phosphorylated </w:t>
      </w:r>
      <w:r w:rsidR="008D173C">
        <w:rPr>
          <w:rFonts w:ascii="Book Antiqua" w:eastAsia="Book Antiqua" w:hAnsi="Book Antiqua" w:cs="Book Antiqua"/>
          <w:color w:val="000000"/>
          <w:szCs w:val="21"/>
        </w:rPr>
        <w:t>IGFBP-1</w:t>
      </w:r>
      <w:r>
        <w:rPr>
          <w:rFonts w:ascii="Book Antiqua" w:eastAsia="Book Antiqua" w:hAnsi="Book Antiqua" w:cs="Book Antiqua"/>
          <w:color w:val="000000"/>
          <w:szCs w:val="21"/>
        </w:rPr>
        <w:t xml:space="preserve"> </w:t>
      </w:r>
      <w:r w:rsidR="00001675">
        <w:rPr>
          <w:rFonts w:ascii="Book Antiqua" w:eastAsia="Book Antiqua" w:hAnsi="Book Antiqua" w:cs="Book Antiqua"/>
          <w:color w:val="000000"/>
          <w:szCs w:val="21"/>
        </w:rPr>
        <w:t xml:space="preserve">expression </w:t>
      </w:r>
      <w:r>
        <w:rPr>
          <w:rFonts w:ascii="Book Antiqua" w:eastAsia="Book Antiqua" w:hAnsi="Book Antiqua" w:cs="Book Antiqua"/>
          <w:color w:val="000000"/>
          <w:szCs w:val="21"/>
        </w:rPr>
        <w:t xml:space="preserve">had </w:t>
      </w:r>
      <w:r w:rsidR="00001675">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higher preterm delivery rate than those with negative expression. In pregnant women with longer central length, the effect</w:t>
      </w:r>
      <w:r w:rsidR="0000167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phosphorylated </w:t>
      </w:r>
      <w:r w:rsidR="008D173C">
        <w:rPr>
          <w:rFonts w:ascii="Book Antiqua" w:eastAsia="Book Antiqua" w:hAnsi="Book Antiqua" w:cs="Book Antiqua"/>
          <w:color w:val="000000"/>
          <w:szCs w:val="21"/>
        </w:rPr>
        <w:t>IGFBP-1</w:t>
      </w:r>
      <w:r>
        <w:rPr>
          <w:rFonts w:ascii="Book Antiqua" w:eastAsia="Book Antiqua" w:hAnsi="Book Antiqua" w:cs="Book Antiqua"/>
          <w:color w:val="000000"/>
          <w:szCs w:val="21"/>
        </w:rPr>
        <w:t xml:space="preserve"> </w:t>
      </w:r>
      <w:r w:rsidR="00001675">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weak on preterm delivery.</w:t>
      </w:r>
    </w:p>
    <w:p w14:paraId="490E753F" w14:textId="370F27D5" w:rsidR="00A77B3E" w:rsidRDefault="008D173C">
      <w:pPr>
        <w:spacing w:line="360" w:lineRule="auto"/>
        <w:jc w:val="both"/>
      </w:pPr>
      <w:r>
        <w:br w:type="page"/>
      </w:r>
      <w:r w:rsidR="00D14015">
        <w:rPr>
          <w:rFonts w:ascii="Book Antiqua" w:eastAsia="Book Antiqua" w:hAnsi="Book Antiqua" w:cs="Book Antiqua"/>
          <w:b/>
          <w:caps/>
          <w:color w:val="000000"/>
          <w:u w:val="single"/>
        </w:rPr>
        <w:t>INTRODUCTION</w:t>
      </w:r>
    </w:p>
    <w:p w14:paraId="298F61AA" w14:textId="4E93B6BD" w:rsidR="007B2BB5"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 definition of preterm birth varies regionally around the world </w:t>
      </w:r>
      <w:r w:rsidR="003E0898">
        <w:rPr>
          <w:rFonts w:ascii="Book Antiqua" w:eastAsia="Book Antiqua" w:hAnsi="Book Antiqua" w:cs="Book Antiqua"/>
          <w:color w:val="000000"/>
          <w:szCs w:val="21"/>
        </w:rPr>
        <w:t>due to</w:t>
      </w:r>
      <w:r>
        <w:rPr>
          <w:rFonts w:ascii="Book Antiqua" w:eastAsia="Book Antiqua" w:hAnsi="Book Antiqua" w:cs="Book Antiqua"/>
          <w:color w:val="000000"/>
          <w:szCs w:val="21"/>
        </w:rPr>
        <w:t xml:space="preserve"> different degrees of treatment. In many developed countries, preterm birth takes places after week 20 or 24 and before 37 </w:t>
      </w:r>
      <w:r w:rsidR="00B237A0">
        <w:rPr>
          <w:rFonts w:ascii="Book Antiqua" w:eastAsia="Book Antiqua" w:hAnsi="Book Antiqua" w:cs="Book Antiqua"/>
          <w:color w:val="000000"/>
          <w:szCs w:val="21"/>
        </w:rPr>
        <w:t xml:space="preserve">wk </w:t>
      </w:r>
      <w:r>
        <w:rPr>
          <w:rFonts w:ascii="Book Antiqua" w:eastAsia="Book Antiqua" w:hAnsi="Book Antiqua" w:cs="Book Antiqua"/>
          <w:color w:val="000000"/>
          <w:szCs w:val="21"/>
        </w:rPr>
        <w:t xml:space="preserve">of pregnancy. In China, a birth that occurs after 28 </w:t>
      </w:r>
      <w:r w:rsidR="00E271F7">
        <w:rPr>
          <w:rFonts w:ascii="Book Antiqua" w:eastAsia="Book Antiqua" w:hAnsi="Book Antiqua" w:cs="Book Antiqua"/>
          <w:color w:val="000000"/>
          <w:szCs w:val="21"/>
        </w:rPr>
        <w:t xml:space="preserve">wk </w:t>
      </w:r>
      <w:r>
        <w:rPr>
          <w:rFonts w:ascii="Book Antiqua" w:eastAsia="Book Antiqua" w:hAnsi="Book Antiqua" w:cs="Book Antiqua"/>
          <w:color w:val="000000"/>
          <w:szCs w:val="21"/>
        </w:rPr>
        <w:t>and before 37</w:t>
      </w:r>
      <w:r w:rsidR="00E271F7" w:rsidRPr="00E271F7">
        <w:rPr>
          <w:rFonts w:ascii="Book Antiqua" w:eastAsia="Book Antiqua" w:hAnsi="Book Antiqua" w:cs="Book Antiqua"/>
          <w:color w:val="000000"/>
          <w:szCs w:val="21"/>
        </w:rPr>
        <w:t xml:space="preserve"> </w:t>
      </w:r>
      <w:r w:rsidR="00E271F7">
        <w:rPr>
          <w:rFonts w:ascii="Book Antiqua" w:eastAsia="Book Antiqua" w:hAnsi="Book Antiqua" w:cs="Book Antiqua"/>
          <w:color w:val="000000"/>
          <w:szCs w:val="21"/>
        </w:rPr>
        <w:t>wk</w:t>
      </w:r>
      <w:r>
        <w:rPr>
          <w:rFonts w:ascii="Book Antiqua" w:eastAsia="Book Antiqua" w:hAnsi="Book Antiqua" w:cs="Book Antiqua"/>
          <w:color w:val="000000"/>
          <w:szCs w:val="21"/>
        </w:rPr>
        <w:t xml:space="preserve"> is considered preterm birth</w:t>
      </w:r>
      <w:r>
        <w:rPr>
          <w:rFonts w:ascii="Book Antiqua" w:eastAsia="Book Antiqua" w:hAnsi="Book Antiqua" w:cs="Book Antiqua"/>
          <w:color w:val="000000"/>
          <w:szCs w:val="18"/>
          <w:vertAlign w:val="superscript"/>
        </w:rPr>
        <w:t>[1]</w:t>
      </w:r>
      <w:r>
        <w:rPr>
          <w:rFonts w:ascii="Book Antiqua" w:eastAsia="Book Antiqua" w:hAnsi="Book Antiqua" w:cs="Book Antiqua"/>
          <w:color w:val="000000"/>
          <w:szCs w:val="21"/>
        </w:rPr>
        <w:t>. Twin delivery increase</w:t>
      </w:r>
      <w:r w:rsidR="007B2BB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the risk </w:t>
      </w:r>
      <w:r w:rsidR="007B2BB5">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preterm birth due to the raised fetuses, amniotic fluid</w:t>
      </w:r>
      <w:r w:rsidR="007B2BB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intrauterine pressure. According to the latest statistics</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1"/>
        </w:rPr>
        <w:t xml:space="preserve">, approximately 15 million premature babies </w:t>
      </w:r>
      <w:r w:rsidR="007B2BB5">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born every year, account</w:t>
      </w:r>
      <w:r w:rsidR="007B2BB5">
        <w:rPr>
          <w:rFonts w:ascii="Book Antiqua" w:eastAsia="Book Antiqua" w:hAnsi="Book Antiqua" w:cs="Book Antiqua"/>
          <w:color w:val="000000"/>
          <w:szCs w:val="21"/>
        </w:rPr>
        <w:t>ing</w:t>
      </w:r>
      <w:r>
        <w:rPr>
          <w:rFonts w:ascii="Book Antiqua" w:eastAsia="Book Antiqua" w:hAnsi="Book Antiqua" w:cs="Book Antiqua"/>
          <w:color w:val="000000"/>
          <w:szCs w:val="21"/>
        </w:rPr>
        <w:t xml:space="preserve"> for </w:t>
      </w:r>
      <w:r w:rsidR="007B2BB5">
        <w:rPr>
          <w:rFonts w:ascii="Book Antiqua" w:eastAsia="Book Antiqua" w:hAnsi="Book Antiqua" w:cs="Book Antiqua"/>
          <w:color w:val="000000"/>
          <w:szCs w:val="21"/>
        </w:rPr>
        <w:t xml:space="preserve">more </w:t>
      </w:r>
      <w:r w:rsidR="00ED2342">
        <w:rPr>
          <w:rFonts w:ascii="Book Antiqua" w:eastAsia="Book Antiqua" w:hAnsi="Book Antiqua" w:cs="Book Antiqua"/>
          <w:color w:val="000000"/>
          <w:szCs w:val="21"/>
        </w:rPr>
        <w:t>than</w:t>
      </w:r>
      <w:r w:rsidR="007B2BB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 of newborn</w:t>
      </w:r>
      <w:r w:rsidR="007B2BB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7B2BB5">
        <w:rPr>
          <w:rFonts w:ascii="Book Antiqua" w:eastAsia="Book Antiqua" w:hAnsi="Book Antiqua" w:cs="Book Antiqua"/>
          <w:color w:val="000000"/>
          <w:szCs w:val="21"/>
        </w:rPr>
        <w:t>Moreover</w:t>
      </w:r>
      <w:r>
        <w:rPr>
          <w:rFonts w:ascii="Book Antiqua" w:eastAsia="Book Antiqua" w:hAnsi="Book Antiqua" w:cs="Book Antiqua"/>
          <w:color w:val="000000"/>
          <w:szCs w:val="21"/>
        </w:rPr>
        <w:t>, 965</w:t>
      </w:r>
      <w:r w:rsidR="007B2BB5">
        <w:rPr>
          <w:rFonts w:ascii="Book Antiqua" w:eastAsia="Book Antiqua" w:hAnsi="Book Antiqua" w:cs="Book Antiqua"/>
          <w:color w:val="000000"/>
          <w:szCs w:val="21"/>
        </w:rPr>
        <w:t>000</w:t>
      </w:r>
      <w:r>
        <w:rPr>
          <w:rFonts w:ascii="Book Antiqua" w:eastAsia="Book Antiqua" w:hAnsi="Book Antiqua" w:cs="Book Antiqua"/>
          <w:color w:val="000000"/>
          <w:szCs w:val="21"/>
        </w:rPr>
        <w:t xml:space="preserve"> premature babies die in their neonatal period and about 12</w:t>
      </w:r>
      <w:r w:rsidR="007B2BB5">
        <w:rPr>
          <w:rFonts w:ascii="Book Antiqua" w:eastAsia="Book Antiqua" w:hAnsi="Book Antiqua" w:cs="Book Antiqua"/>
          <w:color w:val="000000"/>
          <w:szCs w:val="21"/>
        </w:rPr>
        <w:t>000</w:t>
      </w:r>
      <w:r>
        <w:rPr>
          <w:rFonts w:ascii="Book Antiqua" w:eastAsia="Book Antiqua" w:hAnsi="Book Antiqua" w:cs="Book Antiqua"/>
          <w:color w:val="000000"/>
          <w:szCs w:val="21"/>
        </w:rPr>
        <w:t xml:space="preserve"> die within 5 years. </w:t>
      </w:r>
      <w:r w:rsidR="007B2BB5">
        <w:rPr>
          <w:rFonts w:ascii="Book Antiqua" w:eastAsia="Book Antiqua" w:hAnsi="Book Antiqua" w:cs="Book Antiqua"/>
          <w:color w:val="000000"/>
          <w:szCs w:val="21"/>
        </w:rPr>
        <w:t>The</w:t>
      </w:r>
      <w:r>
        <w:rPr>
          <w:rFonts w:ascii="Book Antiqua" w:eastAsia="Book Antiqua" w:hAnsi="Book Antiqua" w:cs="Book Antiqua"/>
          <w:color w:val="000000"/>
          <w:szCs w:val="21"/>
        </w:rPr>
        <w:t xml:space="preserve"> preterm birth rate </w:t>
      </w:r>
      <w:r w:rsidR="007B2BB5">
        <w:rPr>
          <w:rFonts w:ascii="Book Antiqua" w:eastAsia="Book Antiqua" w:hAnsi="Book Antiqua" w:cs="Book Antiqua"/>
          <w:color w:val="000000"/>
          <w:szCs w:val="21"/>
        </w:rPr>
        <w:t xml:space="preserve">is about </w:t>
      </w:r>
      <w:r>
        <w:rPr>
          <w:rFonts w:ascii="Book Antiqua" w:eastAsia="Book Antiqua" w:hAnsi="Book Antiqua" w:cs="Book Antiqua"/>
          <w:color w:val="000000"/>
          <w:szCs w:val="21"/>
        </w:rPr>
        <w:t>50%</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xml:space="preserve">. Over the past few years, the outcomes of preterm birth in a singleton gestation </w:t>
      </w:r>
      <w:r w:rsidR="007B2BB5">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 xml:space="preserve">greatly improved. However, how to decrease the preterm birth of twins </w:t>
      </w:r>
      <w:r w:rsidR="007B2BB5">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 xml:space="preserve">still a challenging question for obstetricians. </w:t>
      </w:r>
      <w:r w:rsidR="007B2BB5">
        <w:rPr>
          <w:rFonts w:ascii="Book Antiqua" w:eastAsia="Book Antiqua" w:hAnsi="Book Antiqua" w:cs="Book Antiqua"/>
          <w:color w:val="000000"/>
          <w:szCs w:val="21"/>
        </w:rPr>
        <w:t>Accurately predicting the preterm birth of twins and creating a birth plan ahead of time are</w:t>
      </w:r>
      <w:r>
        <w:rPr>
          <w:rFonts w:ascii="Book Antiqua" w:eastAsia="Book Antiqua" w:hAnsi="Book Antiqua" w:cs="Book Antiqua"/>
          <w:color w:val="000000"/>
          <w:szCs w:val="21"/>
        </w:rPr>
        <w:t xml:space="preserve"> important for maternal and fetal health</w:t>
      </w:r>
      <w:r w:rsidR="007B2BB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
    <w:p w14:paraId="4AB4CBF3" w14:textId="2050E969" w:rsidR="00A77B3E" w:rsidRDefault="007B2BB5" w:rsidP="00E150B7">
      <w:pPr>
        <w:spacing w:line="360" w:lineRule="auto"/>
        <w:ind w:firstLine="270"/>
        <w:jc w:val="both"/>
      </w:pPr>
      <w:r>
        <w:rPr>
          <w:rFonts w:ascii="Book Antiqua" w:eastAsia="Book Antiqua" w:hAnsi="Book Antiqua" w:cs="Book Antiqua"/>
          <w:color w:val="000000"/>
          <w:szCs w:val="21"/>
        </w:rPr>
        <w:t>This</w:t>
      </w:r>
      <w:r w:rsidR="00D14015">
        <w:rPr>
          <w:rFonts w:ascii="Book Antiqua" w:eastAsia="Book Antiqua" w:hAnsi="Book Antiqua" w:cs="Book Antiqua"/>
          <w:color w:val="000000"/>
          <w:szCs w:val="21"/>
        </w:rPr>
        <w:t xml:space="preserve"> study analyzed the significance of cervical length combined with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phosphorylated insulin-like growth factor binding protein-1 (phIGFBP-1) test for the prediction of preterm delivery in twin pregnancies.</w:t>
      </w:r>
    </w:p>
    <w:p w14:paraId="15010FDB" w14:textId="77777777" w:rsidR="00A77B3E" w:rsidRDefault="00A77B3E">
      <w:pPr>
        <w:spacing w:line="360" w:lineRule="auto"/>
        <w:jc w:val="both"/>
      </w:pPr>
    </w:p>
    <w:p w14:paraId="64CA1195" w14:textId="77777777" w:rsidR="00A77B3E" w:rsidRDefault="00D14015">
      <w:pPr>
        <w:spacing w:line="360" w:lineRule="auto"/>
        <w:jc w:val="both"/>
      </w:pPr>
      <w:r>
        <w:rPr>
          <w:rFonts w:ascii="Book Antiqua" w:eastAsia="Book Antiqua" w:hAnsi="Book Antiqua" w:cs="Book Antiqua"/>
          <w:b/>
          <w:caps/>
          <w:color w:val="000000"/>
          <w:u w:val="single"/>
        </w:rPr>
        <w:t>MATERIALS AND METHODS</w:t>
      </w:r>
    </w:p>
    <w:p w14:paraId="371176D8" w14:textId="77777777" w:rsidR="00A77B3E" w:rsidRDefault="00D14015">
      <w:pPr>
        <w:spacing w:line="360" w:lineRule="auto"/>
        <w:jc w:val="both"/>
      </w:pPr>
      <w:r>
        <w:rPr>
          <w:rFonts w:ascii="Book Antiqua" w:eastAsia="Book Antiqua" w:hAnsi="Book Antiqua" w:cs="Book Antiqua"/>
          <w:b/>
          <w:bCs/>
          <w:i/>
          <w:iCs/>
          <w:color w:val="000000"/>
          <w:szCs w:val="21"/>
        </w:rPr>
        <w:t>Participants</w:t>
      </w:r>
    </w:p>
    <w:p w14:paraId="3408FDA8" w14:textId="1F28AD51" w:rsidR="00A77B3E" w:rsidRDefault="007B2BB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A total of 254 </w:t>
      </w:r>
      <w:r w:rsidR="00D14015">
        <w:rPr>
          <w:rFonts w:ascii="Book Antiqua" w:eastAsia="Book Antiqua" w:hAnsi="Book Antiqua" w:cs="Book Antiqua"/>
          <w:color w:val="000000"/>
          <w:szCs w:val="21"/>
        </w:rPr>
        <w:t>women with twin pregnancies</w:t>
      </w:r>
      <w:r>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who were admitted to</w:t>
      </w:r>
      <w:r>
        <w:rPr>
          <w:rFonts w:ascii="Book Antiqua" w:eastAsia="Book Antiqua" w:hAnsi="Book Antiqua" w:cs="Book Antiqua"/>
          <w:color w:val="000000"/>
          <w:szCs w:val="21"/>
        </w:rPr>
        <w:t xml:space="preserve"> the</w:t>
      </w:r>
      <w:r w:rsidR="00D14015">
        <w:rPr>
          <w:rFonts w:ascii="Book Antiqua" w:eastAsia="Book Antiqua" w:hAnsi="Book Antiqua" w:cs="Book Antiqua"/>
          <w:color w:val="000000"/>
          <w:szCs w:val="21"/>
        </w:rPr>
        <w:t xml:space="preserve"> hospital and underwent maternity examination from January 2015 to December 2018</w:t>
      </w:r>
      <w:r>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were selected as the study subjects. All parti</w:t>
      </w:r>
      <w:r w:rsidR="002D224A">
        <w:rPr>
          <w:rFonts w:ascii="Book Antiqua" w:eastAsia="Book Antiqua" w:hAnsi="Book Antiqua" w:cs="Book Antiqua"/>
          <w:color w:val="000000"/>
          <w:szCs w:val="21"/>
        </w:rPr>
        <w:t>cip</w:t>
      </w:r>
      <w:r w:rsidR="00D14015">
        <w:rPr>
          <w:rFonts w:ascii="Book Antiqua" w:eastAsia="Book Antiqua" w:hAnsi="Book Antiqua" w:cs="Book Antiqua"/>
          <w:color w:val="000000"/>
          <w:szCs w:val="21"/>
        </w:rPr>
        <w:t>an</w:t>
      </w:r>
      <w:r w:rsidR="002D224A">
        <w:rPr>
          <w:rFonts w:ascii="Book Antiqua" w:eastAsia="Book Antiqua" w:hAnsi="Book Antiqua" w:cs="Book Antiqua"/>
          <w:color w:val="000000"/>
          <w:szCs w:val="21"/>
        </w:rPr>
        <w:t>t</w:t>
      </w:r>
      <w:r w:rsidR="00D14015">
        <w:rPr>
          <w:rFonts w:ascii="Book Antiqua" w:eastAsia="Book Antiqua" w:hAnsi="Book Antiqua" w:cs="Book Antiqua"/>
          <w:color w:val="000000"/>
          <w:szCs w:val="21"/>
        </w:rPr>
        <w:t xml:space="preserve">s signed the informed consent and the study design was approved by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Ethics Committee of </w:t>
      </w:r>
      <w:r w:rsidR="00AF42DE">
        <w:rPr>
          <w:rFonts w:ascii="Book Antiqua" w:eastAsia="Book Antiqua" w:hAnsi="Book Antiqua" w:cs="Book Antiqua"/>
          <w:color w:val="000000"/>
        </w:rPr>
        <w:t>Hainan General Hospital</w:t>
      </w:r>
      <w:r w:rsidR="00D14015">
        <w:rPr>
          <w:rFonts w:ascii="Book Antiqua" w:eastAsia="Book Antiqua" w:hAnsi="Book Antiqua" w:cs="Book Antiqua"/>
          <w:color w:val="000000"/>
          <w:szCs w:val="21"/>
        </w:rPr>
        <w:t>.</w:t>
      </w:r>
    </w:p>
    <w:p w14:paraId="4A401253" w14:textId="77777777" w:rsidR="008D173C" w:rsidRDefault="008D173C">
      <w:pPr>
        <w:spacing w:line="360" w:lineRule="auto"/>
        <w:jc w:val="both"/>
      </w:pPr>
    </w:p>
    <w:p w14:paraId="57F7F0EB" w14:textId="77777777" w:rsidR="00A77B3E" w:rsidRDefault="00D14015">
      <w:pPr>
        <w:spacing w:line="360" w:lineRule="auto"/>
        <w:jc w:val="both"/>
      </w:pPr>
      <w:r>
        <w:rPr>
          <w:rFonts w:ascii="Book Antiqua" w:eastAsia="Book Antiqua" w:hAnsi="Book Antiqua" w:cs="Book Antiqua"/>
          <w:b/>
          <w:bCs/>
          <w:i/>
          <w:iCs/>
          <w:color w:val="000000"/>
          <w:szCs w:val="21"/>
        </w:rPr>
        <w:t>Materials</w:t>
      </w:r>
    </w:p>
    <w:p w14:paraId="5DE24DDF" w14:textId="7717E918"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An immunoassay-based test kit for IGFBP-1 test, produced in Finland and bought from Shanghai Boya Biotechnology Co., Ltd.</w:t>
      </w:r>
      <w:r w:rsidR="007B2BB5">
        <w:rPr>
          <w:rFonts w:ascii="Book Antiqua" w:eastAsia="Book Antiqua" w:hAnsi="Book Antiqua" w:cs="Book Antiqua"/>
          <w:color w:val="000000"/>
          <w:szCs w:val="21"/>
        </w:rPr>
        <w:t xml:space="preserve"> (Shanghai, China)</w:t>
      </w:r>
      <w:r>
        <w:rPr>
          <w:rFonts w:ascii="Book Antiqua" w:eastAsia="Book Antiqua" w:hAnsi="Book Antiqua" w:cs="Book Antiqua"/>
          <w:color w:val="000000"/>
          <w:szCs w:val="21"/>
        </w:rPr>
        <w:t xml:space="preserve"> was used. Abdominal color Doppler ultrasound (</w:t>
      </w:r>
      <w:commentRangeStart w:id="0"/>
      <w:r>
        <w:rPr>
          <w:rFonts w:ascii="Book Antiqua" w:eastAsia="Book Antiqua" w:hAnsi="Book Antiqua" w:cs="Book Antiqua"/>
          <w:color w:val="000000"/>
          <w:szCs w:val="21"/>
        </w:rPr>
        <w:t>LOGIQ7,</w:t>
      </w:r>
      <w:commentRangeEnd w:id="0"/>
      <w:r w:rsidR="007B2BB5">
        <w:rPr>
          <w:rStyle w:val="a5"/>
        </w:rPr>
        <w:commentReference w:id="0"/>
      </w:r>
      <w:r>
        <w:rPr>
          <w:rFonts w:ascii="Book Antiqua" w:eastAsia="Book Antiqua" w:hAnsi="Book Antiqua" w:cs="Book Antiqua"/>
          <w:color w:val="000000"/>
          <w:szCs w:val="21"/>
        </w:rPr>
        <w:t xml:space="preserve"> U</w:t>
      </w:r>
      <w:r w:rsidR="008D173C">
        <w:rPr>
          <w:rFonts w:ascii="Book Antiqua" w:eastAsia="Book Antiqua" w:hAnsi="Book Antiqua" w:cs="Book Antiqua"/>
          <w:color w:val="000000"/>
          <w:szCs w:val="21"/>
        </w:rPr>
        <w:t>nited States</w:t>
      </w:r>
      <w:r>
        <w:rPr>
          <w:rFonts w:ascii="Book Antiqua" w:eastAsia="Book Antiqua" w:hAnsi="Book Antiqua" w:cs="Book Antiqua"/>
          <w:color w:val="000000"/>
          <w:szCs w:val="21"/>
        </w:rPr>
        <w:t>) and transvaginal color Doppler ultrasound (SSD-1000, Japan) apparatus were used.</w:t>
      </w:r>
    </w:p>
    <w:p w14:paraId="65D350F8" w14:textId="77777777" w:rsidR="008D173C" w:rsidRDefault="008D173C">
      <w:pPr>
        <w:spacing w:line="360" w:lineRule="auto"/>
        <w:jc w:val="both"/>
      </w:pPr>
    </w:p>
    <w:p w14:paraId="4DD2506F" w14:textId="77777777" w:rsidR="00A77B3E" w:rsidRDefault="00D14015">
      <w:pPr>
        <w:spacing w:line="360" w:lineRule="auto"/>
        <w:jc w:val="both"/>
      </w:pPr>
      <w:r>
        <w:rPr>
          <w:rFonts w:ascii="Book Antiqua" w:eastAsia="Book Antiqua" w:hAnsi="Book Antiqua" w:cs="Book Antiqua"/>
          <w:b/>
          <w:bCs/>
          <w:i/>
          <w:iCs/>
          <w:color w:val="000000"/>
          <w:szCs w:val="21"/>
        </w:rPr>
        <w:t>Methods</w:t>
      </w:r>
    </w:p>
    <w:p w14:paraId="186485CC" w14:textId="7C01871A"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Patients were required to empty their bladders. A probe with </w:t>
      </w:r>
      <w:r w:rsidR="007B2BB5">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frequency of 5.5 MHz was introduced into the vagina. T</w:t>
      </w:r>
      <w:r w:rsidR="007B2BB5">
        <w:rPr>
          <w:rFonts w:ascii="Book Antiqua" w:eastAsia="Book Antiqua" w:hAnsi="Book Antiqua" w:cs="Book Antiqua"/>
          <w:color w:val="000000"/>
          <w:szCs w:val="21"/>
        </w:rPr>
        <w:t>o</w:t>
      </w:r>
      <w:r w:rsidR="007B2BB5" w:rsidRPr="007B2BB5">
        <w:rPr>
          <w:rFonts w:ascii="Book Antiqua" w:eastAsia="Book Antiqua" w:hAnsi="Book Antiqua" w:cs="Book Antiqua"/>
          <w:color w:val="000000"/>
          <w:szCs w:val="21"/>
        </w:rPr>
        <w:t xml:space="preserve"> </w:t>
      </w:r>
      <w:r w:rsidR="007B2BB5">
        <w:rPr>
          <w:rFonts w:ascii="Book Antiqua" w:eastAsia="Book Antiqua" w:hAnsi="Book Antiqua" w:cs="Book Antiqua"/>
          <w:color w:val="000000"/>
          <w:szCs w:val="21"/>
        </w:rPr>
        <w:t>measure the cervical length, t</w:t>
      </w:r>
      <w:r>
        <w:rPr>
          <w:rFonts w:ascii="Book Antiqua" w:eastAsia="Book Antiqua" w:hAnsi="Book Antiqua" w:cs="Book Antiqua"/>
          <w:color w:val="000000"/>
          <w:szCs w:val="21"/>
        </w:rPr>
        <w:t xml:space="preserve">he probe was turned to </w:t>
      </w:r>
      <w:r w:rsidR="007B2BB5">
        <w:rPr>
          <w:rFonts w:ascii="Book Antiqua" w:eastAsia="Book Antiqua" w:hAnsi="Book Antiqua" w:cs="Book Antiqua"/>
          <w:color w:val="000000"/>
          <w:szCs w:val="21"/>
        </w:rPr>
        <w:t xml:space="preserve">visualize the </w:t>
      </w:r>
      <w:r>
        <w:rPr>
          <w:rFonts w:ascii="Book Antiqua" w:eastAsia="Book Antiqua" w:hAnsi="Book Antiqua" w:cs="Book Antiqua"/>
          <w:color w:val="000000"/>
          <w:szCs w:val="21"/>
        </w:rPr>
        <w:t>uter</w:t>
      </w:r>
      <w:r w:rsidR="007B2BB5">
        <w:rPr>
          <w:rFonts w:ascii="Book Antiqua" w:eastAsia="Book Antiqua" w:hAnsi="Book Antiqua" w:cs="Book Antiqua"/>
          <w:color w:val="000000"/>
          <w:szCs w:val="21"/>
        </w:rPr>
        <w:t>us</w:t>
      </w:r>
      <w:r>
        <w:rPr>
          <w:rFonts w:ascii="Book Antiqua" w:eastAsia="Book Antiqua" w:hAnsi="Book Antiqua" w:cs="Book Antiqua"/>
          <w:color w:val="000000"/>
          <w:szCs w:val="21"/>
        </w:rPr>
        <w:t xml:space="preserve"> </w:t>
      </w:r>
      <w:r w:rsidR="007B2BB5">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the sagittal </w:t>
      </w:r>
      <w:r w:rsidR="007B2BB5">
        <w:rPr>
          <w:rFonts w:ascii="Book Antiqua" w:eastAsia="Book Antiqua" w:hAnsi="Book Antiqua" w:cs="Book Antiqua"/>
          <w:color w:val="000000"/>
          <w:szCs w:val="21"/>
        </w:rPr>
        <w:t>view</w:t>
      </w:r>
      <w:r>
        <w:rPr>
          <w:rFonts w:ascii="Book Antiqua" w:eastAsia="Book Antiqua" w:hAnsi="Book Antiqua" w:cs="Book Antiqua"/>
          <w:color w:val="000000"/>
          <w:szCs w:val="21"/>
        </w:rPr>
        <w:t xml:space="preserve"> </w:t>
      </w:r>
      <w:r w:rsidR="00965AC6">
        <w:rPr>
          <w:rFonts w:ascii="Book Antiqua" w:eastAsia="Book Antiqua" w:hAnsi="Book Antiqua" w:cs="Book Antiqua"/>
          <w:color w:val="000000"/>
          <w:szCs w:val="21"/>
        </w:rPr>
        <w:t xml:space="preserve">and the </w:t>
      </w:r>
      <w:r w:rsidR="009E7389">
        <w:rPr>
          <w:rFonts w:ascii="Book Antiqua" w:eastAsia="Book Antiqua" w:hAnsi="Book Antiqua" w:cs="Book Antiqua"/>
          <w:color w:val="000000"/>
          <w:szCs w:val="21"/>
        </w:rPr>
        <w:t>procedure</w:t>
      </w:r>
      <w:r>
        <w:rPr>
          <w:rFonts w:ascii="Book Antiqua" w:eastAsia="Book Antiqua" w:hAnsi="Book Antiqua" w:cs="Book Antiqua"/>
          <w:color w:val="000000"/>
          <w:szCs w:val="21"/>
        </w:rPr>
        <w:t xml:space="preserve"> was repeated </w:t>
      </w:r>
      <w:r w:rsidR="007B2BB5">
        <w:rPr>
          <w:rFonts w:ascii="Book Antiqua" w:eastAsia="Book Antiqua" w:hAnsi="Book Antiqua" w:cs="Book Antiqua"/>
          <w:color w:val="000000"/>
          <w:szCs w:val="21"/>
        </w:rPr>
        <w:t>three</w:t>
      </w:r>
      <w:r>
        <w:rPr>
          <w:rFonts w:ascii="Book Antiqua" w:eastAsia="Book Antiqua" w:hAnsi="Book Antiqua" w:cs="Book Antiqua"/>
          <w:color w:val="000000"/>
          <w:szCs w:val="21"/>
        </w:rPr>
        <w:t xml:space="preserve"> times. The smallest length measured was recorded (unusual size was defined as cervical length </w:t>
      </w:r>
      <w:r w:rsidR="007B2BB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25 mm). For </w:t>
      </w:r>
      <w:r w:rsidR="007B2BB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phIGFBP-1 test, patients were placed in </w:t>
      </w:r>
      <w:r w:rsidR="00340B6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bladder lithotomy position after routine vulva skin disinfection. Swabs were inserted into the cervical tube for 15 s and removed and placed in 0.5 mL extract solution for 30 s. The test strips were dipped in the reserved extraction solution for 20 s and then taken out. The results were observed at 5 min. The appearance of two blue lines suggests</w:t>
      </w:r>
      <w:r w:rsidR="0037701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positive results and one blue line suggests negative results on the test strip.</w:t>
      </w:r>
    </w:p>
    <w:p w14:paraId="2104688F" w14:textId="77777777" w:rsidR="008D173C" w:rsidRDefault="008D173C">
      <w:pPr>
        <w:spacing w:line="360" w:lineRule="auto"/>
        <w:jc w:val="both"/>
      </w:pPr>
    </w:p>
    <w:p w14:paraId="636DA3EC" w14:textId="77777777" w:rsidR="00A77B3E" w:rsidRDefault="00D14015">
      <w:pPr>
        <w:spacing w:line="360" w:lineRule="auto"/>
        <w:jc w:val="both"/>
      </w:pPr>
      <w:r>
        <w:rPr>
          <w:rFonts w:ascii="Book Antiqua" w:eastAsia="Book Antiqua" w:hAnsi="Book Antiqua" w:cs="Book Antiqua"/>
          <w:b/>
          <w:bCs/>
          <w:i/>
          <w:iCs/>
          <w:color w:val="000000"/>
          <w:szCs w:val="21"/>
        </w:rPr>
        <w:t>Measures</w:t>
      </w:r>
    </w:p>
    <w:p w14:paraId="00367326" w14:textId="0538C539"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Sensitivity and specificity of phIGFBP-1</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combined with</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cervical length</w:t>
      </w:r>
      <w:r w:rsidR="00971810" w:rsidRPr="00971810">
        <w:rPr>
          <w:rFonts w:ascii="Book Antiqua" w:eastAsia="Book Antiqua" w:hAnsi="Book Antiqua" w:cs="Book Antiqua"/>
          <w:color w:val="000000"/>
          <w:szCs w:val="21"/>
        </w:rPr>
        <w:t xml:space="preserve"> </w:t>
      </w:r>
      <w:r w:rsidR="00971810">
        <w:rPr>
          <w:rFonts w:ascii="Book Antiqua" w:eastAsia="Book Antiqua" w:hAnsi="Book Antiqua" w:cs="Book Antiqua"/>
          <w:color w:val="000000"/>
          <w:szCs w:val="21"/>
        </w:rPr>
        <w:t>tests</w:t>
      </w:r>
      <w:r>
        <w:rPr>
          <w:rFonts w:ascii="Book Antiqua" w:eastAsia="Book Antiqua" w:hAnsi="Book Antiqua" w:cs="Book Antiqua"/>
          <w:color w:val="000000"/>
          <w:szCs w:val="21"/>
        </w:rPr>
        <w:t xml:space="preserve"> for the prediction of preterm delivery in twin pregnancies were observed.</w:t>
      </w:r>
    </w:p>
    <w:p w14:paraId="6A4A4309" w14:textId="77777777" w:rsidR="008D173C" w:rsidRDefault="008D173C">
      <w:pPr>
        <w:spacing w:line="360" w:lineRule="auto"/>
        <w:jc w:val="both"/>
      </w:pPr>
    </w:p>
    <w:p w14:paraId="43EC272F" w14:textId="61A8DD8A" w:rsidR="00A77B3E" w:rsidRDefault="00D14015">
      <w:pPr>
        <w:spacing w:line="360" w:lineRule="auto"/>
        <w:jc w:val="both"/>
      </w:pPr>
      <w:r>
        <w:rPr>
          <w:rFonts w:ascii="Book Antiqua" w:eastAsia="Book Antiqua" w:hAnsi="Book Antiqua" w:cs="Book Antiqua"/>
          <w:b/>
          <w:bCs/>
          <w:i/>
          <w:iCs/>
          <w:color w:val="000000"/>
          <w:szCs w:val="21"/>
        </w:rPr>
        <w:t>Statistical analys</w:t>
      </w:r>
      <w:r w:rsidR="00377016">
        <w:rPr>
          <w:rFonts w:ascii="Book Antiqua" w:eastAsia="Book Antiqua" w:hAnsi="Book Antiqua" w:cs="Book Antiqua"/>
          <w:b/>
          <w:bCs/>
          <w:i/>
          <w:iCs/>
          <w:color w:val="000000"/>
          <w:szCs w:val="21"/>
        </w:rPr>
        <w:t>e</w:t>
      </w:r>
      <w:r>
        <w:rPr>
          <w:rFonts w:ascii="Book Antiqua" w:eastAsia="Book Antiqua" w:hAnsi="Book Antiqua" w:cs="Book Antiqua"/>
          <w:b/>
          <w:bCs/>
          <w:i/>
          <w:iCs/>
          <w:color w:val="000000"/>
          <w:szCs w:val="21"/>
        </w:rPr>
        <w:t>s</w:t>
      </w:r>
    </w:p>
    <w:p w14:paraId="55A8209F" w14:textId="2D6C0112" w:rsidR="00A77B3E" w:rsidRDefault="00D14015">
      <w:pPr>
        <w:spacing w:line="360" w:lineRule="auto"/>
        <w:jc w:val="both"/>
      </w:pPr>
      <w:r>
        <w:rPr>
          <w:rFonts w:ascii="Book Antiqua" w:eastAsia="Book Antiqua" w:hAnsi="Book Antiqua" w:cs="Book Antiqua"/>
          <w:color w:val="000000"/>
          <w:szCs w:val="21"/>
        </w:rPr>
        <w:t xml:space="preserve">SPSS20.0 was used to analyze </w:t>
      </w:r>
      <w:r w:rsidR="00E85E4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data in the study. </w:t>
      </w:r>
      <w:r w:rsidR="00E85E46">
        <w:rPr>
          <w:rFonts w:ascii="Book Antiqua" w:eastAsia="Book Antiqua" w:hAnsi="Book Antiqua" w:cs="Book Antiqua"/>
          <w:color w:val="000000"/>
          <w:szCs w:val="21"/>
        </w:rPr>
        <w:t>The c</w:t>
      </w:r>
      <w:r w:rsidR="00E85E46" w:rsidRPr="00E150B7">
        <w:rPr>
          <w:rFonts w:ascii="Book Antiqua" w:eastAsia="Book Antiqua" w:hAnsi="Book Antiqua" w:cs="Book Antiqua"/>
          <w:color w:val="000000"/>
          <w:szCs w:val="21"/>
          <w:vertAlign w:val="superscript"/>
        </w:rPr>
        <w:t>2</w:t>
      </w:r>
      <w:r w:rsidR="00E85E4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test was used. Enumeration data </w:t>
      </w:r>
      <w:r w:rsidR="00E85E46">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expressed using “%</w:t>
      </w:r>
      <w:r w:rsidR="00E85E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was </w:t>
      </w:r>
      <w:r w:rsidR="00E85E46">
        <w:rPr>
          <w:rFonts w:ascii="Book Antiqua" w:eastAsia="Book Antiqua" w:hAnsi="Book Antiqua" w:cs="Book Antiqua"/>
          <w:color w:val="000000"/>
          <w:szCs w:val="21"/>
        </w:rPr>
        <w:t>considered statistically</w:t>
      </w:r>
      <w:r>
        <w:rPr>
          <w:rFonts w:ascii="Book Antiqua" w:eastAsia="Book Antiqua" w:hAnsi="Book Antiqua" w:cs="Book Antiqua"/>
          <w:color w:val="000000"/>
          <w:szCs w:val="21"/>
        </w:rPr>
        <w:t xml:space="preserve"> significant.</w:t>
      </w:r>
    </w:p>
    <w:p w14:paraId="2DF8673A" w14:textId="77777777" w:rsidR="00A77B3E" w:rsidRDefault="00A77B3E">
      <w:pPr>
        <w:spacing w:line="360" w:lineRule="auto"/>
        <w:jc w:val="both"/>
      </w:pPr>
    </w:p>
    <w:p w14:paraId="2D9CF264" w14:textId="77777777" w:rsidR="00A77B3E" w:rsidRDefault="00D14015">
      <w:pPr>
        <w:spacing w:line="360" w:lineRule="auto"/>
        <w:jc w:val="both"/>
      </w:pPr>
      <w:r>
        <w:rPr>
          <w:rFonts w:ascii="Book Antiqua" w:eastAsia="Book Antiqua" w:hAnsi="Book Antiqua" w:cs="Book Antiqua"/>
          <w:b/>
          <w:caps/>
          <w:color w:val="000000"/>
          <w:u w:val="single"/>
        </w:rPr>
        <w:t>RESULTS</w:t>
      </w:r>
    </w:p>
    <w:p w14:paraId="790BA364" w14:textId="77777777" w:rsidR="00A77B3E" w:rsidRDefault="00D14015">
      <w:pPr>
        <w:spacing w:line="360" w:lineRule="auto"/>
        <w:jc w:val="both"/>
      </w:pPr>
      <w:r>
        <w:rPr>
          <w:rFonts w:ascii="Book Antiqua" w:eastAsia="Book Antiqua" w:hAnsi="Book Antiqua" w:cs="Book Antiqua"/>
          <w:b/>
          <w:bCs/>
          <w:i/>
          <w:iCs/>
          <w:color w:val="000000"/>
          <w:szCs w:val="21"/>
        </w:rPr>
        <w:t>General information for patients</w:t>
      </w:r>
    </w:p>
    <w:p w14:paraId="4E8834F4" w14:textId="6389061E" w:rsidR="00A77B3E" w:rsidRDefault="00E85E4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w:t>
      </w:r>
      <w:r w:rsidR="00D14015">
        <w:rPr>
          <w:rFonts w:ascii="Book Antiqua" w:eastAsia="Book Antiqua" w:hAnsi="Book Antiqua" w:cs="Book Antiqua"/>
          <w:color w:val="000000"/>
          <w:szCs w:val="21"/>
        </w:rPr>
        <w:t xml:space="preserve"> general </w:t>
      </w:r>
      <w:r>
        <w:rPr>
          <w:rFonts w:ascii="Book Antiqua" w:eastAsia="Book Antiqua" w:hAnsi="Book Antiqua" w:cs="Book Antiqua"/>
          <w:color w:val="000000"/>
          <w:szCs w:val="21"/>
        </w:rPr>
        <w:t xml:space="preserve">patient </w:t>
      </w:r>
      <w:r w:rsidR="00D14015">
        <w:rPr>
          <w:rFonts w:ascii="Book Antiqua" w:eastAsia="Book Antiqua" w:hAnsi="Book Antiqua" w:cs="Book Antiqua"/>
          <w:color w:val="000000"/>
          <w:szCs w:val="21"/>
        </w:rPr>
        <w:t xml:space="preserve">information </w:t>
      </w:r>
      <w:r>
        <w:rPr>
          <w:rFonts w:ascii="Book Antiqua" w:eastAsia="Book Antiqua" w:hAnsi="Book Antiqua" w:cs="Book Antiqua"/>
          <w:color w:val="000000"/>
          <w:szCs w:val="21"/>
        </w:rPr>
        <w:t xml:space="preserve">is listed </w:t>
      </w:r>
      <w:r w:rsidRPr="00ED7BC7">
        <w:rPr>
          <w:rFonts w:ascii="Book Antiqua" w:eastAsia="Book Antiqua" w:hAnsi="Book Antiqua" w:cs="Book Antiqua"/>
          <w:color w:val="000000"/>
          <w:szCs w:val="21"/>
        </w:rPr>
        <w:t>in</w:t>
      </w:r>
      <w:r w:rsidR="00D14015" w:rsidRPr="00ED7BC7">
        <w:rPr>
          <w:rFonts w:ascii="Book Antiqua" w:eastAsia="Book Antiqua" w:hAnsi="Book Antiqua" w:cs="Book Antiqua"/>
          <w:color w:val="000000"/>
          <w:szCs w:val="21"/>
        </w:rPr>
        <w:t xml:space="preserve"> Table 1.</w:t>
      </w:r>
    </w:p>
    <w:p w14:paraId="1C133CA1" w14:textId="77777777" w:rsidR="008D173C" w:rsidRDefault="008D173C">
      <w:pPr>
        <w:spacing w:line="360" w:lineRule="auto"/>
        <w:jc w:val="both"/>
      </w:pPr>
    </w:p>
    <w:p w14:paraId="5A6457C5" w14:textId="1ABC8C49" w:rsidR="00A77B3E" w:rsidRDefault="00D14015">
      <w:pPr>
        <w:spacing w:line="360" w:lineRule="auto"/>
        <w:jc w:val="both"/>
      </w:pPr>
      <w:r>
        <w:rPr>
          <w:rFonts w:ascii="Book Antiqua" w:eastAsia="Book Antiqua" w:hAnsi="Book Antiqua" w:cs="Book Antiqua"/>
          <w:b/>
          <w:bCs/>
          <w:i/>
          <w:iCs/>
          <w:color w:val="000000"/>
          <w:szCs w:val="21"/>
        </w:rPr>
        <w:t>Analys</w:t>
      </w:r>
      <w:r w:rsidR="00E85E46">
        <w:rPr>
          <w:rFonts w:ascii="Book Antiqua" w:eastAsia="Book Antiqua" w:hAnsi="Book Antiqua" w:cs="Book Antiqua"/>
          <w:b/>
          <w:bCs/>
          <w:i/>
          <w:iCs/>
          <w:color w:val="000000"/>
          <w:szCs w:val="21"/>
        </w:rPr>
        <w:t>e</w:t>
      </w:r>
      <w:r>
        <w:rPr>
          <w:rFonts w:ascii="Book Antiqua" w:eastAsia="Book Antiqua" w:hAnsi="Book Antiqua" w:cs="Book Antiqua"/>
          <w:b/>
          <w:bCs/>
          <w:i/>
          <w:iCs/>
          <w:color w:val="000000"/>
          <w:szCs w:val="21"/>
        </w:rPr>
        <w:t>s of preterm delivery</w:t>
      </w:r>
    </w:p>
    <w:p w14:paraId="56880651" w14:textId="544B62C2"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In pregnant women with shorter central length (≤ 25 mm), those with positive phIGFBP-1 </w:t>
      </w:r>
      <w:r w:rsidR="00E85E46">
        <w:rPr>
          <w:rFonts w:ascii="Book Antiqua" w:eastAsia="Book Antiqua" w:hAnsi="Book Antiqua" w:cs="Book Antiqua"/>
          <w:color w:val="000000"/>
          <w:szCs w:val="21"/>
        </w:rPr>
        <w:t xml:space="preserve">expression </w:t>
      </w:r>
      <w:r>
        <w:rPr>
          <w:rFonts w:ascii="Book Antiqua" w:eastAsia="Book Antiqua" w:hAnsi="Book Antiqua" w:cs="Book Antiqua"/>
          <w:color w:val="000000"/>
          <w:szCs w:val="21"/>
        </w:rPr>
        <w:t xml:space="preserve">had higher preterm delivery rate than those with negative phIGFBP-1 </w:t>
      </w:r>
      <w:r w:rsidR="00E85E46">
        <w:rPr>
          <w:rFonts w:ascii="Book Antiqua" w:eastAsia="Book Antiqua" w:hAnsi="Book Antiqua" w:cs="Book Antiqua"/>
          <w:color w:val="000000"/>
          <w:szCs w:val="21"/>
        </w:rPr>
        <w:t xml:space="preserve">expression </w:t>
      </w:r>
      <w:r>
        <w:rPr>
          <w:rFonts w:ascii="Book Antiqua" w:eastAsia="Book Antiqua" w:hAnsi="Book Antiqua" w:cs="Book Antiqua"/>
          <w:color w:val="000000"/>
          <w:szCs w:val="21"/>
        </w:rPr>
        <w:t>(</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In pregnant women with longer central length (&gt; 25 mm), there was no significant difference in preterm delivery rate between women with </w:t>
      </w:r>
      <w:r w:rsidR="00E85E46">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positive </w:t>
      </w:r>
      <w:r w:rsidR="00E85E46">
        <w:rPr>
          <w:rFonts w:ascii="Book Antiqua" w:eastAsia="Book Antiqua" w:hAnsi="Book Antiqua" w:cs="Book Antiqua"/>
          <w:color w:val="000000"/>
          <w:szCs w:val="21"/>
        </w:rPr>
        <w:t xml:space="preserve">or negative </w:t>
      </w:r>
      <w:r w:rsidR="0066669E">
        <w:rPr>
          <w:rFonts w:ascii="Book Antiqua" w:eastAsia="Book Antiqua" w:hAnsi="Book Antiqua" w:cs="Book Antiqua"/>
          <w:color w:val="000000"/>
          <w:szCs w:val="21"/>
        </w:rPr>
        <w:t xml:space="preserve">phIGFBP-1 test </w:t>
      </w:r>
      <w:r>
        <w:rPr>
          <w:rFonts w:ascii="Book Antiqua" w:eastAsia="Book Antiqua" w:hAnsi="Book Antiqua" w:cs="Book Antiqua"/>
          <w:color w:val="000000"/>
          <w:szCs w:val="21"/>
        </w:rPr>
        <w:t>(</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0.223, </w:t>
      </w:r>
      <w:r w:rsidRPr="00ED7BC7">
        <w:rPr>
          <w:rFonts w:ascii="Book Antiqua" w:eastAsia="Book Antiqua" w:hAnsi="Book Antiqua" w:cs="Book Antiqua"/>
          <w:color w:val="000000"/>
          <w:szCs w:val="21"/>
        </w:rPr>
        <w:t>Table 2</w:t>
      </w:r>
      <w:r>
        <w:rPr>
          <w:rFonts w:ascii="Book Antiqua" w:eastAsia="Book Antiqua" w:hAnsi="Book Antiqua" w:cs="Book Antiqua"/>
          <w:color w:val="000000"/>
          <w:szCs w:val="21"/>
        </w:rPr>
        <w:t>).</w:t>
      </w:r>
    </w:p>
    <w:p w14:paraId="3B6744E4" w14:textId="77777777" w:rsidR="00A77B3E" w:rsidRDefault="00D14015">
      <w:pPr>
        <w:spacing w:line="360" w:lineRule="auto"/>
        <w:jc w:val="both"/>
      </w:pPr>
      <w:r>
        <w:rPr>
          <w:rFonts w:ascii="Book Antiqua" w:eastAsia="Book Antiqua" w:hAnsi="Book Antiqua" w:cs="Book Antiqua"/>
          <w:b/>
          <w:bCs/>
          <w:i/>
          <w:iCs/>
          <w:color w:val="000000"/>
          <w:szCs w:val="21"/>
        </w:rPr>
        <w:t>Pregnancy outcomes</w:t>
      </w:r>
    </w:p>
    <w:p w14:paraId="03CAB526" w14:textId="6B18A063" w:rsidR="00A77B3E" w:rsidRDefault="00D14015">
      <w:pPr>
        <w:spacing w:line="360" w:lineRule="auto"/>
        <w:jc w:val="both"/>
      </w:pPr>
      <w:r>
        <w:rPr>
          <w:rFonts w:ascii="Book Antiqua" w:eastAsia="Book Antiqua" w:hAnsi="Book Antiqua" w:cs="Book Antiqua"/>
          <w:color w:val="000000"/>
          <w:szCs w:val="21"/>
        </w:rPr>
        <w:t xml:space="preserve">The sensitivity, specificity, </w:t>
      </w:r>
      <w:r w:rsidR="00EF28A0">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positive</w:t>
      </w:r>
      <w:r w:rsidR="003C0C1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negative predict</w:t>
      </w:r>
      <w:r w:rsidR="003C0C1F">
        <w:rPr>
          <w:rFonts w:ascii="Book Antiqua" w:eastAsia="Book Antiqua" w:hAnsi="Book Antiqua" w:cs="Book Antiqua"/>
          <w:color w:val="000000"/>
          <w:szCs w:val="21"/>
        </w:rPr>
        <w:t>ive</w:t>
      </w:r>
      <w:r>
        <w:rPr>
          <w:rFonts w:ascii="Book Antiqua" w:eastAsia="Book Antiqua" w:hAnsi="Book Antiqua" w:cs="Book Antiqua"/>
          <w:color w:val="000000"/>
          <w:szCs w:val="21"/>
        </w:rPr>
        <w:t xml:space="preserve"> value</w:t>
      </w:r>
      <w:r w:rsidR="00E85E4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phIGFBP-1 combined with cervical length </w:t>
      </w:r>
      <w:r w:rsidR="00EF28A0">
        <w:rPr>
          <w:rFonts w:ascii="Book Antiqua" w:eastAsia="Book Antiqua" w:hAnsi="Book Antiqua" w:cs="Book Antiqua"/>
          <w:color w:val="000000"/>
          <w:szCs w:val="21"/>
        </w:rPr>
        <w:t xml:space="preserve">tests </w:t>
      </w:r>
      <w:r w:rsidR="00E85E46">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95.71% (156/163), 91.21% (83/91), 95.12% (156/164) and 92.22% (83/90), respectively</w:t>
      </w:r>
      <w:r w:rsidR="00E85E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for the prediction of preterm birth (</w:t>
      </w:r>
      <w:r w:rsidRPr="00ED7BC7">
        <w:rPr>
          <w:rFonts w:ascii="Book Antiqua" w:eastAsia="Book Antiqua" w:hAnsi="Book Antiqua" w:cs="Book Antiqua"/>
          <w:color w:val="000000"/>
          <w:szCs w:val="21"/>
        </w:rPr>
        <w:t>Table 3</w:t>
      </w:r>
      <w:r>
        <w:rPr>
          <w:rFonts w:ascii="Book Antiqua" w:eastAsia="Book Antiqua" w:hAnsi="Book Antiqua" w:cs="Book Antiqua"/>
          <w:color w:val="000000"/>
          <w:szCs w:val="21"/>
        </w:rPr>
        <w:t>).</w:t>
      </w:r>
    </w:p>
    <w:p w14:paraId="12942FE0" w14:textId="77777777" w:rsidR="00A77B3E" w:rsidRDefault="00A77B3E">
      <w:pPr>
        <w:spacing w:line="360" w:lineRule="auto"/>
        <w:jc w:val="both"/>
      </w:pPr>
    </w:p>
    <w:p w14:paraId="59FD5946" w14:textId="77777777" w:rsidR="00A77B3E" w:rsidRDefault="00D14015">
      <w:pPr>
        <w:spacing w:line="360" w:lineRule="auto"/>
        <w:jc w:val="both"/>
      </w:pPr>
      <w:r>
        <w:rPr>
          <w:rFonts w:ascii="Book Antiqua" w:eastAsia="Book Antiqua" w:hAnsi="Book Antiqua" w:cs="Book Antiqua"/>
          <w:b/>
          <w:caps/>
          <w:color w:val="000000"/>
          <w:u w:val="single"/>
        </w:rPr>
        <w:t>DISCUSSION</w:t>
      </w:r>
    </w:p>
    <w:p w14:paraId="6756B568" w14:textId="616A5255" w:rsidR="00A77B3E" w:rsidRDefault="00D14015">
      <w:pPr>
        <w:spacing w:line="360" w:lineRule="auto"/>
        <w:jc w:val="both"/>
      </w:pPr>
      <w:r>
        <w:rPr>
          <w:rFonts w:ascii="Book Antiqua" w:eastAsia="Book Antiqua" w:hAnsi="Book Antiqua" w:cs="Book Antiqua"/>
          <w:color w:val="000000"/>
          <w:szCs w:val="21"/>
        </w:rPr>
        <w:t xml:space="preserve">Changes in the cervix in </w:t>
      </w:r>
      <w:r w:rsidR="00303DD1">
        <w:rPr>
          <w:rFonts w:ascii="Book Antiqua" w:eastAsia="Book Antiqua" w:hAnsi="Book Antiqua" w:cs="Book Antiqua"/>
          <w:color w:val="000000"/>
          <w:szCs w:val="21"/>
        </w:rPr>
        <w:t xml:space="preserve">pregnant </w:t>
      </w:r>
      <w:r>
        <w:rPr>
          <w:rFonts w:ascii="Book Antiqua" w:eastAsia="Book Antiqua" w:hAnsi="Book Antiqua" w:cs="Book Antiqua"/>
          <w:color w:val="000000"/>
          <w:szCs w:val="21"/>
        </w:rPr>
        <w:t>women</w:t>
      </w:r>
      <w:r w:rsidR="00303DD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always indicate whether the delivery begins. Effacement (shortening) and dilatation (opening up) of the cervix often occur within 2 to 3 wk before delivery. Thus, cervical length, applied as an predicator for preterm birth, is a common approach for the prediction of threatened premature delivery</w:t>
      </w:r>
      <w:r>
        <w:rPr>
          <w:rFonts w:ascii="Book Antiqua" w:eastAsia="Book Antiqua" w:hAnsi="Book Antiqua" w:cs="Book Antiqua"/>
          <w:color w:val="000000"/>
          <w:szCs w:val="18"/>
          <w:vertAlign w:val="superscript"/>
        </w:rPr>
        <w:t>[3</w:t>
      </w:r>
      <w:r w:rsidR="008D173C">
        <w:rPr>
          <w:rFonts w:ascii="Book Antiqua" w:eastAsia="Book Antiqua" w:hAnsi="Book Antiqua" w:cs="Book Antiqua"/>
          <w:color w:val="000000"/>
          <w:szCs w:val="18"/>
          <w:vertAlign w:val="superscript"/>
        </w:rPr>
        <w:t>,</w:t>
      </w:r>
      <w:r>
        <w:rPr>
          <w:rFonts w:ascii="Book Antiqua" w:eastAsia="Book Antiqua" w:hAnsi="Book Antiqua" w:cs="Book Antiqua"/>
          <w:color w:val="000000"/>
          <w:szCs w:val="18"/>
          <w:vertAlign w:val="superscript"/>
        </w:rPr>
        <w:t>4]</w:t>
      </w:r>
      <w:r>
        <w:rPr>
          <w:rFonts w:ascii="Book Antiqua" w:eastAsia="Book Antiqua" w:hAnsi="Book Antiqua" w:cs="Book Antiqua"/>
          <w:color w:val="000000"/>
        </w:rPr>
        <w:t>. In the past, manual vaginal examination was always used to assess labor progress as well as cervical length. However, for those without enough dilatation, cervical length cannot be measured exactly by this way. Moreover, the repeated manual vaginal examination may exacerbate uterine contraction and premature rupture of membranes and even cause the occurrence of preterm birth. A study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the incidence of preterm delivery was less than 7% in women with </w:t>
      </w:r>
      <w:r w:rsidR="003137FE">
        <w:rPr>
          <w:rFonts w:ascii="Book Antiqua" w:eastAsia="Book Antiqua" w:hAnsi="Book Antiqua" w:cs="Book Antiqua"/>
          <w:color w:val="000000"/>
        </w:rPr>
        <w:t xml:space="preserve">a </w:t>
      </w:r>
      <w:r>
        <w:rPr>
          <w:rFonts w:ascii="Book Antiqua" w:eastAsia="Book Antiqua" w:hAnsi="Book Antiqua" w:cs="Book Antiqua"/>
          <w:color w:val="000000"/>
        </w:rPr>
        <w:t xml:space="preserve">cervical length beyond 35 mm. However, if the cervical length was 25 mm or less, the incidence of preterm delivery became 25%. Thus, cervical length </w:t>
      </w:r>
      <w:r w:rsidR="00000FFA">
        <w:rPr>
          <w:rFonts w:ascii="Book Antiqua" w:eastAsia="Book Antiqua" w:hAnsi="Book Antiqua" w:cs="Book Antiqua"/>
          <w:color w:val="000000"/>
        </w:rPr>
        <w:t xml:space="preserve">of </w:t>
      </w:r>
      <w:r>
        <w:rPr>
          <w:rFonts w:ascii="Book Antiqua" w:eastAsia="Book Antiqua" w:hAnsi="Book Antiqua" w:cs="Book Antiqua"/>
          <w:color w:val="000000"/>
        </w:rPr>
        <w:t xml:space="preserve">25 mm was considered as the cutoff threshold value. </w:t>
      </w:r>
      <w:r w:rsidR="003137FE">
        <w:rPr>
          <w:rFonts w:ascii="Book Antiqua" w:eastAsia="Book Antiqua" w:hAnsi="Book Antiqua" w:cs="Book Antiqua"/>
          <w:color w:val="000000"/>
        </w:rPr>
        <w:t>Currently</w:t>
      </w:r>
      <w:r>
        <w:rPr>
          <w:rFonts w:ascii="Book Antiqua" w:eastAsia="Book Antiqua" w:hAnsi="Book Antiqua" w:cs="Book Antiqua"/>
          <w:color w:val="000000"/>
        </w:rPr>
        <w:t xml:space="preserve">, cervical conditions </w:t>
      </w:r>
      <w:r w:rsidR="003137FE">
        <w:rPr>
          <w:rFonts w:ascii="Book Antiqua" w:eastAsia="Book Antiqua" w:hAnsi="Book Antiqua" w:cs="Book Antiqua"/>
          <w:color w:val="000000"/>
        </w:rPr>
        <w:t xml:space="preserve">can </w:t>
      </w:r>
      <w:r>
        <w:rPr>
          <w:rFonts w:ascii="Book Antiqua" w:eastAsia="Book Antiqua" w:hAnsi="Book Antiqua" w:cs="Book Antiqua"/>
          <w:color w:val="000000"/>
        </w:rPr>
        <w:t xml:space="preserve">be </w:t>
      </w:r>
      <w:r w:rsidR="003137FE">
        <w:rPr>
          <w:rFonts w:ascii="Book Antiqua" w:eastAsia="Book Antiqua" w:hAnsi="Book Antiqua" w:cs="Book Antiqua"/>
          <w:color w:val="000000"/>
        </w:rPr>
        <w:t xml:space="preserve">accurately </w:t>
      </w:r>
      <w:r>
        <w:rPr>
          <w:rFonts w:ascii="Book Antiqua" w:eastAsia="Book Antiqua" w:hAnsi="Book Antiqua" w:cs="Book Antiqua"/>
          <w:color w:val="000000"/>
        </w:rPr>
        <w:t xml:space="preserve">detected by transvaginal ultrasound and this examination approach </w:t>
      </w:r>
      <w:r w:rsidR="003137FE">
        <w:rPr>
          <w:rFonts w:ascii="Book Antiqua" w:eastAsia="Book Antiqua" w:hAnsi="Book Antiqua" w:cs="Book Antiqua"/>
          <w:color w:val="000000"/>
        </w:rPr>
        <w:t xml:space="preserve">is </w:t>
      </w:r>
      <w:r>
        <w:rPr>
          <w:rFonts w:ascii="Book Antiqua" w:eastAsia="Book Antiqua" w:hAnsi="Book Antiqua" w:cs="Book Antiqua"/>
          <w:color w:val="000000"/>
        </w:rPr>
        <w:t xml:space="preserve">widely approved and used by doctors. </w:t>
      </w:r>
      <w:r w:rsidR="00A95395">
        <w:rPr>
          <w:rFonts w:ascii="Book Antiqua" w:eastAsia="Book Antiqua" w:hAnsi="Book Antiqua" w:cs="Book Antiqua"/>
          <w:color w:val="000000"/>
        </w:rPr>
        <w:t>Moreover</w:t>
      </w:r>
      <w:r>
        <w:rPr>
          <w:rFonts w:ascii="Book Antiqua" w:eastAsia="Book Antiqua" w:hAnsi="Book Antiqua" w:cs="Book Antiqua"/>
          <w:color w:val="000000"/>
        </w:rPr>
        <w:t xml:space="preserve">, transvaginal ultrasound examination of changes in the cervix </w:t>
      </w:r>
      <w:r w:rsidR="003137FE">
        <w:rPr>
          <w:rFonts w:ascii="Book Antiqua" w:eastAsia="Book Antiqua" w:hAnsi="Book Antiqua" w:cs="Book Antiqua"/>
          <w:color w:val="000000"/>
        </w:rPr>
        <w:t xml:space="preserve">have </w:t>
      </w:r>
      <w:r>
        <w:rPr>
          <w:rFonts w:ascii="Book Antiqua" w:eastAsia="Book Antiqua" w:hAnsi="Book Antiqua" w:cs="Book Antiqua"/>
          <w:color w:val="000000"/>
        </w:rPr>
        <w:t>bec</w:t>
      </w:r>
      <w:r w:rsidR="003137FE">
        <w:rPr>
          <w:rFonts w:ascii="Book Antiqua" w:eastAsia="Book Antiqua" w:hAnsi="Book Antiqua" w:cs="Book Antiqua"/>
          <w:color w:val="000000"/>
        </w:rPr>
        <w:t>o</w:t>
      </w:r>
      <w:r>
        <w:rPr>
          <w:rFonts w:ascii="Book Antiqua" w:eastAsia="Book Antiqua" w:hAnsi="Book Antiqua" w:cs="Book Antiqua"/>
          <w:color w:val="000000"/>
        </w:rPr>
        <w:t xml:space="preserve">me key </w:t>
      </w:r>
      <w:r w:rsidR="003137FE">
        <w:rPr>
          <w:rFonts w:ascii="Book Antiqua" w:eastAsia="Book Antiqua" w:hAnsi="Book Antiqua" w:cs="Book Antiqua"/>
          <w:color w:val="000000"/>
        </w:rPr>
        <w:t>in</w:t>
      </w:r>
      <w:r>
        <w:rPr>
          <w:rFonts w:ascii="Book Antiqua" w:eastAsia="Book Antiqua" w:hAnsi="Book Antiqua" w:cs="Book Antiqua"/>
          <w:color w:val="000000"/>
        </w:rPr>
        <w:t xml:space="preserve"> predict</w:t>
      </w:r>
      <w:r w:rsidR="003137FE">
        <w:rPr>
          <w:rFonts w:ascii="Book Antiqua" w:eastAsia="Book Antiqua" w:hAnsi="Book Antiqua" w:cs="Book Antiqua"/>
          <w:color w:val="000000"/>
        </w:rPr>
        <w:t>ing</w:t>
      </w:r>
      <w:r>
        <w:rPr>
          <w:rFonts w:ascii="Book Antiqua" w:eastAsia="Book Antiqua" w:hAnsi="Book Antiqua" w:cs="Book Antiqua"/>
          <w:color w:val="000000"/>
        </w:rPr>
        <w:t xml:space="preserve"> the risk </w:t>
      </w:r>
      <w:r w:rsidR="003137FE">
        <w:rPr>
          <w:rFonts w:ascii="Book Antiqua" w:eastAsia="Book Antiqua" w:hAnsi="Book Antiqua" w:cs="Book Antiqua"/>
          <w:color w:val="000000"/>
        </w:rPr>
        <w:t>of</w:t>
      </w:r>
      <w:r>
        <w:rPr>
          <w:rFonts w:ascii="Book Antiqua" w:eastAsia="Book Antiqua" w:hAnsi="Book Antiqua" w:cs="Book Antiqua"/>
          <w:color w:val="000000"/>
        </w:rPr>
        <w:t xml:space="preserve"> preterm delivery. </w:t>
      </w:r>
      <w:r w:rsidR="00F22141">
        <w:rPr>
          <w:rFonts w:ascii="Book Antiqua" w:eastAsia="Book Antiqua" w:hAnsi="Book Antiqua" w:cs="Book Antiqua"/>
          <w:color w:val="000000"/>
        </w:rPr>
        <w:t xml:space="preserve">According to Ma </w:t>
      </w:r>
      <w:r w:rsidR="00F22141">
        <w:rPr>
          <w:rFonts w:ascii="Book Antiqua" w:eastAsia="Book Antiqua" w:hAnsi="Book Antiqua" w:cs="Book Antiqua"/>
          <w:i/>
          <w:iCs/>
          <w:color w:val="000000"/>
          <w:szCs w:val="21"/>
        </w:rPr>
        <w:t>et al</w:t>
      </w:r>
      <w:r w:rsidR="00F22141">
        <w:rPr>
          <w:rFonts w:ascii="Book Antiqua" w:eastAsia="Book Antiqua" w:hAnsi="Book Antiqua" w:cs="Book Antiqua"/>
          <w:color w:val="000000"/>
          <w:szCs w:val="18"/>
          <w:vertAlign w:val="superscript"/>
        </w:rPr>
        <w:t>[6]</w:t>
      </w:r>
      <w:r w:rsidR="00F22141">
        <w:rPr>
          <w:rFonts w:ascii="Book Antiqua" w:eastAsia="Book Antiqua" w:hAnsi="Book Antiqua" w:cs="Book Antiqua"/>
          <w:color w:val="000000"/>
          <w:szCs w:val="18"/>
        </w:rPr>
        <w:t>,</w:t>
      </w:r>
      <w:r w:rsidR="00F22141">
        <w:rPr>
          <w:rFonts w:ascii="Book Antiqua" w:eastAsia="Book Antiqua" w:hAnsi="Book Antiqua" w:cs="Book Antiqua"/>
          <w:color w:val="000000"/>
          <w:szCs w:val="21"/>
        </w:rPr>
        <w:t xml:space="preserve"> </w:t>
      </w:r>
      <w:r w:rsidR="00F22141">
        <w:rPr>
          <w:rFonts w:ascii="Book Antiqua" w:eastAsia="Book Antiqua" w:hAnsi="Book Antiqua" w:cs="Book Antiqua"/>
          <w:color w:val="000000"/>
        </w:rPr>
        <w:t xml:space="preserve">an </w:t>
      </w:r>
      <w:r>
        <w:rPr>
          <w:rFonts w:ascii="Book Antiqua" w:eastAsia="Book Antiqua" w:hAnsi="Book Antiqua" w:cs="Book Antiqua"/>
          <w:color w:val="000000"/>
        </w:rPr>
        <w:t>analysis of cervical lengths in 60 women who present</w:t>
      </w:r>
      <w:r w:rsidR="003137FE">
        <w:rPr>
          <w:rFonts w:ascii="Book Antiqua" w:eastAsia="Book Antiqua" w:hAnsi="Book Antiqua" w:cs="Book Antiqua"/>
          <w:color w:val="000000"/>
        </w:rPr>
        <w:t>ed</w:t>
      </w:r>
      <w:r>
        <w:rPr>
          <w:rFonts w:ascii="Book Antiqua" w:eastAsia="Book Antiqua" w:hAnsi="Book Antiqua" w:cs="Book Antiqua"/>
          <w:color w:val="000000"/>
        </w:rPr>
        <w:t xml:space="preserve"> with threatened pre</w:t>
      </w:r>
      <w:r w:rsidR="00182629">
        <w:rPr>
          <w:rFonts w:ascii="Book Antiqua" w:eastAsia="Book Antiqua" w:hAnsi="Book Antiqua" w:cs="Book Antiqua"/>
          <w:color w:val="000000"/>
        </w:rPr>
        <w:t>term</w:t>
      </w:r>
      <w:r>
        <w:rPr>
          <w:rFonts w:ascii="Book Antiqua" w:eastAsia="Book Antiqua" w:hAnsi="Book Antiqua" w:cs="Book Antiqua"/>
          <w:color w:val="000000"/>
        </w:rPr>
        <w:t xml:space="preserve"> labor </w:t>
      </w:r>
      <w:r>
        <w:rPr>
          <w:rFonts w:ascii="Book Antiqua" w:eastAsia="Book Antiqua" w:hAnsi="Book Antiqua" w:cs="Book Antiqua"/>
          <w:color w:val="000000"/>
          <w:szCs w:val="21"/>
        </w:rPr>
        <w:t xml:space="preserve">showed that women with </w:t>
      </w:r>
      <w:r w:rsidR="003137FE">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cervical length beyond 30 mm experienced delivery before 36 wk of gestation and the sensitivity was as high as 100%. However, another study conducted by Sun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1"/>
        </w:rPr>
        <w:t xml:space="preserve"> showed that cervical length </w:t>
      </w:r>
      <w:r w:rsidR="003137FE">
        <w:rPr>
          <w:rFonts w:ascii="Book Antiqua" w:eastAsia="Book Antiqua" w:hAnsi="Book Antiqua" w:cs="Book Antiqua"/>
          <w:color w:val="000000"/>
          <w:szCs w:val="21"/>
        </w:rPr>
        <w:t xml:space="preserve">of about </w:t>
      </w:r>
      <w:r>
        <w:rPr>
          <w:rFonts w:ascii="Book Antiqua" w:eastAsia="Book Antiqua" w:hAnsi="Book Antiqua" w:cs="Book Antiqua"/>
          <w:color w:val="000000"/>
          <w:szCs w:val="21"/>
        </w:rPr>
        <w:t xml:space="preserve">25 mm was the cutoff threshold value for the risk of preterm birth. </w:t>
      </w:r>
      <w:r w:rsidR="003137FE">
        <w:rPr>
          <w:rFonts w:ascii="Book Antiqua" w:eastAsia="Book Antiqua" w:hAnsi="Book Antiqua" w:cs="Book Antiqua"/>
          <w:color w:val="000000"/>
          <w:szCs w:val="21"/>
        </w:rPr>
        <w:t>Accordingly</w:t>
      </w:r>
      <w:r>
        <w:rPr>
          <w:rFonts w:ascii="Book Antiqua" w:eastAsia="Book Antiqua" w:hAnsi="Book Antiqua" w:cs="Book Antiqua"/>
          <w:color w:val="000000"/>
          <w:szCs w:val="21"/>
        </w:rPr>
        <w:t xml:space="preserve">, </w:t>
      </w:r>
      <w:r w:rsidRPr="00DE55B7">
        <w:rPr>
          <w:rFonts w:ascii="Book Antiqua" w:eastAsia="Book Antiqua" w:hAnsi="Book Antiqua" w:cs="Book Antiqua"/>
          <w:color w:val="000000"/>
          <w:szCs w:val="21"/>
        </w:rPr>
        <w:t>Nikolova</w:t>
      </w:r>
      <w:r w:rsidRPr="00DE55B7">
        <w:rPr>
          <w:rFonts w:ascii="Book Antiqua" w:eastAsia="Book Antiqua" w:hAnsi="Book Antiqua" w:cs="Book Antiqua"/>
          <w:i/>
          <w:iCs/>
          <w:color w:val="000000"/>
          <w:szCs w:val="21"/>
        </w:rPr>
        <w:t xml:space="preserve"> et al</w:t>
      </w:r>
      <w:r w:rsidR="00C0657C" w:rsidRPr="00DE55B7">
        <w:rPr>
          <w:rFonts w:ascii="Book Antiqua" w:eastAsia="Book Antiqua" w:hAnsi="Book Antiqua" w:cs="Book Antiqua"/>
          <w:color w:val="000000"/>
          <w:szCs w:val="18"/>
          <w:vertAlign w:val="superscript"/>
        </w:rPr>
        <w:t>[8]</w:t>
      </w:r>
      <w:r w:rsidRPr="00DE55B7">
        <w:rPr>
          <w:rFonts w:ascii="Book Antiqua" w:eastAsia="Book Antiqua" w:hAnsi="Book Antiqua" w:cs="Book Antiqua"/>
          <w:color w:val="000000"/>
          <w:szCs w:val="21"/>
        </w:rPr>
        <w:t xml:space="preserve"> suggested </w:t>
      </w:r>
      <w:r w:rsidR="00DE55B7">
        <w:rPr>
          <w:rFonts w:ascii="Book Antiqua" w:eastAsia="Book Antiqua" w:hAnsi="Book Antiqua" w:cs="Book Antiqua"/>
          <w:color w:val="000000"/>
          <w:szCs w:val="21"/>
        </w:rPr>
        <w:t xml:space="preserve">it </w:t>
      </w:r>
      <w:r w:rsidR="003137FE">
        <w:rPr>
          <w:rFonts w:ascii="Book Antiqua" w:eastAsia="Book Antiqua" w:hAnsi="Book Antiqua" w:cs="Book Antiqua"/>
          <w:color w:val="000000"/>
          <w:szCs w:val="21"/>
        </w:rPr>
        <w:t xml:space="preserve">is </w:t>
      </w:r>
      <w:r w:rsidR="00DE55B7">
        <w:rPr>
          <w:rFonts w:ascii="Book Antiqua" w:eastAsia="Book Antiqua" w:hAnsi="Book Antiqua" w:cs="Book Antiqua"/>
          <w:color w:val="000000"/>
          <w:szCs w:val="21"/>
        </w:rPr>
        <w:t xml:space="preserve">necessary to </w:t>
      </w:r>
      <w:r w:rsidRPr="00DE55B7">
        <w:rPr>
          <w:rFonts w:ascii="Book Antiqua" w:eastAsia="Book Antiqua" w:hAnsi="Book Antiqua" w:cs="Book Antiqua"/>
          <w:color w:val="000000"/>
          <w:szCs w:val="21"/>
        </w:rPr>
        <w:t>track</w:t>
      </w:r>
      <w:r w:rsidR="00DE55B7">
        <w:rPr>
          <w:rFonts w:ascii="Book Antiqua" w:eastAsia="Book Antiqua" w:hAnsi="Book Antiqua" w:cs="Book Antiqua"/>
          <w:color w:val="000000"/>
          <w:szCs w:val="21"/>
        </w:rPr>
        <w:t xml:space="preserve"> </w:t>
      </w:r>
      <w:r w:rsidRPr="00DE55B7">
        <w:rPr>
          <w:rFonts w:ascii="Book Antiqua" w:eastAsia="Book Antiqua" w:hAnsi="Book Antiqua" w:cs="Book Antiqua"/>
          <w:color w:val="000000"/>
          <w:szCs w:val="21"/>
        </w:rPr>
        <w:t xml:space="preserve">changes to </w:t>
      </w:r>
      <w:r w:rsidR="003137FE">
        <w:rPr>
          <w:rFonts w:ascii="Book Antiqua" w:eastAsia="Book Antiqua" w:hAnsi="Book Antiqua" w:cs="Book Antiqua"/>
          <w:color w:val="000000"/>
          <w:szCs w:val="21"/>
        </w:rPr>
        <w:t xml:space="preserve">the </w:t>
      </w:r>
      <w:r w:rsidRPr="00DE55B7">
        <w:rPr>
          <w:rFonts w:ascii="Book Antiqua" w:eastAsia="Book Antiqua" w:hAnsi="Book Antiqua" w:cs="Book Antiqua"/>
          <w:color w:val="000000"/>
          <w:szCs w:val="21"/>
        </w:rPr>
        <w:t>cervix between 24 and 28 wk of pregnancy to detect abnormal status in women.</w:t>
      </w:r>
    </w:p>
    <w:p w14:paraId="047A54F7" w14:textId="03C880CE" w:rsidR="00A77B3E" w:rsidRDefault="00C0657C" w:rsidP="00C0657C">
      <w:pPr>
        <w:spacing w:line="360" w:lineRule="auto"/>
        <w:ind w:firstLineChars="100" w:firstLine="240"/>
        <w:jc w:val="both"/>
      </w:pPr>
      <w:r>
        <w:rPr>
          <w:rFonts w:ascii="Book Antiqua" w:eastAsia="Book Antiqua" w:hAnsi="Book Antiqua" w:cs="Book Antiqua"/>
          <w:color w:val="000000"/>
          <w:szCs w:val="21"/>
        </w:rPr>
        <w:t>IGF</w:t>
      </w:r>
      <w:r w:rsidR="003137F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D14015">
        <w:rPr>
          <w:rFonts w:ascii="Book Antiqua" w:eastAsia="Book Antiqua" w:hAnsi="Book Antiqua" w:cs="Book Antiqua"/>
          <w:color w:val="000000"/>
          <w:szCs w:val="21"/>
        </w:rPr>
        <w:t xml:space="preserve">which </w:t>
      </w:r>
      <w:r w:rsidR="003137FE">
        <w:rPr>
          <w:rFonts w:ascii="Book Antiqua" w:eastAsia="Book Antiqua" w:hAnsi="Book Antiqua" w:cs="Book Antiqua"/>
          <w:color w:val="000000"/>
          <w:szCs w:val="21"/>
        </w:rPr>
        <w:t xml:space="preserve">is </w:t>
      </w:r>
      <w:r w:rsidR="00D14015">
        <w:rPr>
          <w:rFonts w:ascii="Book Antiqua" w:eastAsia="Book Antiqua" w:hAnsi="Book Antiqua" w:cs="Book Antiqua"/>
          <w:color w:val="000000"/>
          <w:szCs w:val="21"/>
        </w:rPr>
        <w:t xml:space="preserve">mainly </w:t>
      </w:r>
      <w:r w:rsidR="003137FE">
        <w:rPr>
          <w:rFonts w:ascii="Book Antiqua" w:eastAsia="Book Antiqua" w:hAnsi="Book Antiqua" w:cs="Book Antiqua"/>
          <w:color w:val="000000"/>
          <w:szCs w:val="21"/>
        </w:rPr>
        <w:t xml:space="preserve">secreted by </w:t>
      </w:r>
      <w:r w:rsidR="00D14015">
        <w:rPr>
          <w:rFonts w:ascii="Book Antiqua" w:eastAsia="Book Antiqua" w:hAnsi="Book Antiqua" w:cs="Book Antiqua"/>
          <w:color w:val="000000"/>
          <w:szCs w:val="21"/>
        </w:rPr>
        <w:t>the liver</w:t>
      </w:r>
      <w:r w:rsidR="003137FE">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can effectively regulate proteins, fats</w:t>
      </w:r>
      <w:r w:rsidR="003137FE">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and carbohydrates. IGFBP-1</w:t>
      </w:r>
      <w:r w:rsidR="00C85E14">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a major regulator</w:t>
      </w:r>
      <w:r w:rsidR="00C85E14">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plays a critical role in fetal growth</w:t>
      </w:r>
      <w:r w:rsidR="00D14015">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18"/>
          <w:vertAlign w:val="superscript"/>
        </w:rPr>
        <w:t>,</w:t>
      </w:r>
      <w:r w:rsidR="00D14015">
        <w:rPr>
          <w:rFonts w:ascii="Book Antiqua" w:eastAsia="Book Antiqua" w:hAnsi="Book Antiqua" w:cs="Book Antiqua"/>
          <w:color w:val="000000"/>
          <w:szCs w:val="18"/>
          <w:vertAlign w:val="superscript"/>
        </w:rPr>
        <w:t>10]</w:t>
      </w:r>
      <w:r w:rsidR="00D14015">
        <w:rPr>
          <w:rFonts w:ascii="Book Antiqua" w:eastAsia="Book Antiqua" w:hAnsi="Book Antiqua" w:cs="Book Antiqua"/>
          <w:color w:val="000000"/>
          <w:szCs w:val="21"/>
        </w:rPr>
        <w:t>. IGFBP-1</w:t>
      </w:r>
      <w:r w:rsidR="003137FE">
        <w:rPr>
          <w:rFonts w:ascii="Book Antiqua" w:eastAsia="Book Antiqua" w:hAnsi="Book Antiqua" w:cs="Book Antiqua"/>
          <w:color w:val="000000"/>
          <w:szCs w:val="21"/>
        </w:rPr>
        <w:t>, which</w:t>
      </w:r>
      <w:r w:rsidR="00D14015">
        <w:rPr>
          <w:rFonts w:ascii="Book Antiqua" w:eastAsia="Book Antiqua" w:hAnsi="Book Antiqua" w:cs="Book Antiqua"/>
          <w:color w:val="000000"/>
          <w:szCs w:val="21"/>
        </w:rPr>
        <w:t xml:space="preserve"> </w:t>
      </w:r>
      <w:r w:rsidR="003137FE">
        <w:rPr>
          <w:rFonts w:ascii="Book Antiqua" w:eastAsia="Book Antiqua" w:hAnsi="Book Antiqua" w:cs="Book Antiqua"/>
          <w:color w:val="000000"/>
          <w:szCs w:val="21"/>
        </w:rPr>
        <w:t xml:space="preserve">is </w:t>
      </w:r>
      <w:r w:rsidR="00D14015">
        <w:rPr>
          <w:rFonts w:ascii="Book Antiqua" w:eastAsia="Book Antiqua" w:hAnsi="Book Antiqua" w:cs="Book Antiqua"/>
          <w:color w:val="000000"/>
          <w:szCs w:val="21"/>
        </w:rPr>
        <w:t xml:space="preserve">present in </w:t>
      </w:r>
      <w:r w:rsidR="003137FE">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cervical secretion of women</w:t>
      </w:r>
      <w:r w:rsidR="003137FE">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is insulin combined with </w:t>
      </w:r>
      <w:r w:rsidR="003137FE">
        <w:rPr>
          <w:rFonts w:ascii="Book Antiqua" w:eastAsia="Book Antiqua" w:hAnsi="Book Antiqua" w:cs="Book Antiqua"/>
          <w:color w:val="000000"/>
          <w:szCs w:val="21"/>
        </w:rPr>
        <w:t xml:space="preserve">a </w:t>
      </w:r>
      <w:r w:rsidR="00D14015">
        <w:rPr>
          <w:rFonts w:ascii="Book Antiqua" w:eastAsia="Book Antiqua" w:hAnsi="Book Antiqua" w:cs="Book Antiqua"/>
          <w:color w:val="000000"/>
          <w:szCs w:val="21"/>
        </w:rPr>
        <w:t xml:space="preserve">progesterone-dependent protein. The degree of IGFBP-1 phosphorylation may vary in different combinations and in different stages of pregnancy. </w:t>
      </w:r>
      <w:r w:rsidR="003137FE">
        <w:rPr>
          <w:rFonts w:ascii="Book Antiqua" w:eastAsia="Book Antiqua" w:hAnsi="Book Antiqua" w:cs="Book Antiqua"/>
          <w:color w:val="000000"/>
          <w:szCs w:val="21"/>
        </w:rPr>
        <w:t>The</w:t>
      </w:r>
      <w:r w:rsidR="00D14015">
        <w:rPr>
          <w:rFonts w:ascii="Book Antiqua" w:eastAsia="Book Antiqua" w:hAnsi="Book Antiqua" w:cs="Book Antiqua"/>
          <w:color w:val="000000"/>
          <w:szCs w:val="21"/>
        </w:rPr>
        <w:t xml:space="preserve"> mid-trimester and third trimester amniotic fluid </w:t>
      </w:r>
      <w:r w:rsidR="003137FE">
        <w:rPr>
          <w:rFonts w:ascii="Book Antiqua" w:eastAsia="Book Antiqua" w:hAnsi="Book Antiqua" w:cs="Book Antiqua"/>
          <w:color w:val="000000"/>
          <w:szCs w:val="21"/>
        </w:rPr>
        <w:t xml:space="preserve">of pregnant women </w:t>
      </w:r>
      <w:r w:rsidR="00D14015">
        <w:rPr>
          <w:rFonts w:ascii="Book Antiqua" w:eastAsia="Book Antiqua" w:hAnsi="Book Antiqua" w:cs="Book Antiqua"/>
          <w:color w:val="000000"/>
          <w:szCs w:val="21"/>
        </w:rPr>
        <w:t>mainly contains more hypophosphorylated and dephosphorylated IGFBP-1. Comparatively, more hyperphosphorylated IGFBP-1 exist in the mother</w:t>
      </w:r>
      <w:r w:rsidR="00595C55">
        <w:rPr>
          <w:rFonts w:ascii="Book Antiqua" w:eastAsia="Book Antiqua" w:hAnsi="Book Antiqua" w:cs="Book Antiqua"/>
          <w:color w:val="000000"/>
          <w:szCs w:val="21"/>
        </w:rPr>
        <w:t>’</w:t>
      </w:r>
      <w:r w:rsidR="00D14015">
        <w:rPr>
          <w:rFonts w:ascii="Book Antiqua" w:eastAsia="Book Antiqua" w:hAnsi="Book Antiqua" w:cs="Book Antiqua"/>
          <w:color w:val="000000"/>
          <w:szCs w:val="21"/>
        </w:rPr>
        <w:t>s serum tissues. IGFBP-1 binds IGF when the former is unsaturated, and modulates the activities of IGF, which promote fetal growth and development</w:t>
      </w:r>
      <w:r w:rsidR="00D14015">
        <w:rPr>
          <w:rFonts w:ascii="Book Antiqua" w:eastAsia="Book Antiqua" w:hAnsi="Book Antiqua" w:cs="Book Antiqua"/>
          <w:color w:val="000000"/>
          <w:szCs w:val="18"/>
          <w:vertAlign w:val="superscript"/>
        </w:rPr>
        <w:t>[11-13]</w:t>
      </w:r>
      <w:r w:rsidR="00D14015">
        <w:rPr>
          <w:rFonts w:ascii="Book Antiqua" w:eastAsia="Book Antiqua" w:hAnsi="Book Antiqua" w:cs="Book Antiqua"/>
          <w:color w:val="000000"/>
          <w:szCs w:val="21"/>
        </w:rPr>
        <w:t>. In a study</w:t>
      </w:r>
      <w:r w:rsidR="00D14015">
        <w:rPr>
          <w:rFonts w:ascii="Book Antiqua" w:eastAsia="Book Antiqua" w:hAnsi="Book Antiqua" w:cs="Book Antiqua"/>
          <w:color w:val="000000"/>
          <w:szCs w:val="18"/>
          <w:vertAlign w:val="superscript"/>
        </w:rPr>
        <w:t>[14]</w:t>
      </w:r>
      <w:r w:rsidR="00D14015">
        <w:rPr>
          <w:rFonts w:ascii="Book Antiqua" w:eastAsia="Book Antiqua" w:hAnsi="Book Antiqua" w:cs="Book Antiqua"/>
          <w:color w:val="000000"/>
          <w:szCs w:val="21"/>
        </w:rPr>
        <w:t xml:space="preserve">, the incidence of preterm delivery was as high as 54.2% predicted by </w:t>
      </w:r>
      <w:r w:rsidR="00595C55">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phIGFBP-1 test combined with cervical length in 106 women pregnant with twins. However, some investigators believe that IGFBP-1 hyperphosphorylation </w:t>
      </w:r>
      <w:r w:rsidR="00595C55">
        <w:rPr>
          <w:rFonts w:ascii="Book Antiqua" w:eastAsia="Book Antiqua" w:hAnsi="Book Antiqua" w:cs="Book Antiqua"/>
          <w:color w:val="000000"/>
          <w:szCs w:val="21"/>
        </w:rPr>
        <w:t xml:space="preserve">is </w:t>
      </w:r>
      <w:r w:rsidR="00D14015">
        <w:rPr>
          <w:rFonts w:ascii="Book Antiqua" w:eastAsia="Book Antiqua" w:hAnsi="Book Antiqua" w:cs="Book Antiqua"/>
          <w:color w:val="000000"/>
          <w:szCs w:val="21"/>
        </w:rPr>
        <w:t>not significantly associated with the occurrence of preterm birth. During preterm delivery, the decidua and chorion detach causing hyperphosphorylated IGFBP-1 to leak in the cervical canal, which account for hyperphosphorylated IGFBP-1 as a subject predictor for preterm delivery.</w:t>
      </w:r>
    </w:p>
    <w:p w14:paraId="641A36B5" w14:textId="77777777" w:rsidR="00A77B3E" w:rsidRDefault="00A77B3E" w:rsidP="00C0657C">
      <w:pPr>
        <w:spacing w:line="360" w:lineRule="auto"/>
        <w:jc w:val="both"/>
      </w:pPr>
    </w:p>
    <w:p w14:paraId="5CB1B9AF" w14:textId="77777777" w:rsidR="00A77B3E" w:rsidRDefault="00D14015">
      <w:pPr>
        <w:spacing w:line="360" w:lineRule="auto"/>
        <w:jc w:val="both"/>
      </w:pPr>
      <w:r>
        <w:rPr>
          <w:rFonts w:ascii="Book Antiqua" w:eastAsia="Book Antiqua" w:hAnsi="Book Antiqua" w:cs="Book Antiqua"/>
          <w:b/>
          <w:caps/>
          <w:color w:val="000000"/>
          <w:u w:val="single"/>
        </w:rPr>
        <w:t>CONCLUSION</w:t>
      </w:r>
    </w:p>
    <w:p w14:paraId="292D590D" w14:textId="47B8AB92" w:rsidR="00A77B3E" w:rsidRDefault="00595C55">
      <w:pPr>
        <w:spacing w:line="360" w:lineRule="auto"/>
        <w:jc w:val="both"/>
      </w:pPr>
      <w:r>
        <w:rPr>
          <w:rFonts w:ascii="Book Antiqua" w:eastAsia="Book Antiqua" w:hAnsi="Book Antiqua" w:cs="Book Antiqua"/>
          <w:color w:val="000000"/>
          <w:szCs w:val="21"/>
        </w:rPr>
        <w:t>This</w:t>
      </w:r>
      <w:r w:rsidR="00D14015">
        <w:rPr>
          <w:rFonts w:ascii="Book Antiqua" w:eastAsia="Book Antiqua" w:hAnsi="Book Antiqua" w:cs="Book Antiqua"/>
          <w:color w:val="000000"/>
          <w:szCs w:val="21"/>
        </w:rPr>
        <w:t xml:space="preserve"> study analyzed the performance of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phIGFBP-1 test combined with cervical length for preterm delivery in twin pregnancies. </w:t>
      </w:r>
      <w:r>
        <w:rPr>
          <w:rFonts w:ascii="Book Antiqua" w:eastAsia="Book Antiqua" w:hAnsi="Book Antiqua" w:cs="Book Antiqua"/>
          <w:color w:val="000000"/>
          <w:szCs w:val="21"/>
        </w:rPr>
        <w:t>C</w:t>
      </w:r>
      <w:r w:rsidR="00D14015">
        <w:rPr>
          <w:rFonts w:ascii="Book Antiqua" w:eastAsia="Book Antiqua" w:hAnsi="Book Antiqua" w:cs="Book Antiqua"/>
          <w:color w:val="000000"/>
          <w:szCs w:val="21"/>
        </w:rPr>
        <w:t>omparing the actual pregnant outcomes with the prediction results made by phIGFBP-1 combined with cervical length</w:t>
      </w:r>
      <w:r w:rsidR="009B1F26">
        <w:rPr>
          <w:rFonts w:ascii="Book Antiqua" w:eastAsia="Book Antiqua" w:hAnsi="Book Antiqua" w:cs="Book Antiqua"/>
          <w:color w:val="000000"/>
          <w:szCs w:val="21"/>
        </w:rPr>
        <w:t xml:space="preserve"> test</w:t>
      </w:r>
      <w:r w:rsidR="00037202">
        <w:rPr>
          <w:rFonts w:ascii="Book Antiqua" w:eastAsia="Book Antiqua" w:hAnsi="Book Antiqua" w:cs="Book Antiqua"/>
          <w:color w:val="000000"/>
          <w:szCs w:val="21"/>
        </w:rPr>
        <w:t>s</w:t>
      </w:r>
      <w:r w:rsidR="00D14015">
        <w:rPr>
          <w:rFonts w:ascii="Book Antiqua" w:eastAsia="Book Antiqua" w:hAnsi="Book Antiqua" w:cs="Book Antiqua"/>
          <w:color w:val="000000"/>
          <w:szCs w:val="21"/>
        </w:rPr>
        <w:t xml:space="preserve"> showed that in women with cervical length ≤ 25 mm, the incidence of preterm delivery was higher in those with positive expression of phIGFBP-1 than those with negative expression of phIGFBP-1. The sensitivity and specificity of phIGFBP-1 combined with cervical length </w:t>
      </w:r>
      <w:r w:rsidR="00F4213E">
        <w:rPr>
          <w:rFonts w:ascii="Book Antiqua" w:eastAsia="Book Antiqua" w:hAnsi="Book Antiqua" w:cs="Book Antiqua"/>
          <w:color w:val="000000"/>
          <w:szCs w:val="21"/>
        </w:rPr>
        <w:t xml:space="preserve">tests </w:t>
      </w:r>
      <w:r w:rsidR="00D14015">
        <w:rPr>
          <w:rFonts w:ascii="Book Antiqua" w:eastAsia="Book Antiqua" w:hAnsi="Book Antiqua" w:cs="Book Antiqua"/>
          <w:color w:val="000000"/>
          <w:szCs w:val="21"/>
        </w:rPr>
        <w:t>was 95.71% and 91.21%, respectively</w:t>
      </w:r>
      <w:r>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for preterm delivery. In conclusion,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phIGFBP-1 test combined with cervical length can effectively predict preterm delivery in twin pregnancies and can be applied </w:t>
      </w:r>
      <w:r>
        <w:rPr>
          <w:rFonts w:ascii="Book Antiqua" w:eastAsia="Book Antiqua" w:hAnsi="Book Antiqua" w:cs="Book Antiqua"/>
          <w:color w:val="000000"/>
          <w:szCs w:val="21"/>
        </w:rPr>
        <w:t>to</w:t>
      </w:r>
      <w:r w:rsidR="00D14015">
        <w:rPr>
          <w:rFonts w:ascii="Book Antiqua" w:eastAsia="Book Antiqua" w:hAnsi="Book Antiqua" w:cs="Book Antiqua"/>
          <w:color w:val="000000"/>
          <w:szCs w:val="21"/>
        </w:rPr>
        <w:t xml:space="preserve"> clinical practice.</w:t>
      </w:r>
    </w:p>
    <w:p w14:paraId="4BBDFF78" w14:textId="77777777" w:rsidR="00A77B3E" w:rsidRDefault="00A77B3E">
      <w:pPr>
        <w:spacing w:line="360" w:lineRule="auto"/>
        <w:jc w:val="both"/>
      </w:pPr>
    </w:p>
    <w:p w14:paraId="52FE7DD4" w14:textId="77777777" w:rsidR="00A77B3E" w:rsidRDefault="00D14015">
      <w:pPr>
        <w:spacing w:line="360" w:lineRule="auto"/>
        <w:jc w:val="both"/>
      </w:pPr>
      <w:r>
        <w:rPr>
          <w:rFonts w:ascii="Book Antiqua" w:eastAsia="Book Antiqua" w:hAnsi="Book Antiqua" w:cs="Book Antiqua"/>
          <w:b/>
          <w:caps/>
          <w:color w:val="000000"/>
          <w:u w:val="single"/>
        </w:rPr>
        <w:t>ARTICLE HIGHLIGHTS</w:t>
      </w:r>
    </w:p>
    <w:p w14:paraId="082E02B0" w14:textId="77777777" w:rsidR="00A77B3E" w:rsidRDefault="00D14015">
      <w:pPr>
        <w:spacing w:line="360" w:lineRule="auto"/>
        <w:jc w:val="both"/>
      </w:pPr>
      <w:r>
        <w:rPr>
          <w:rFonts w:ascii="Book Antiqua" w:eastAsia="Book Antiqua" w:hAnsi="Book Antiqua" w:cs="Book Antiqua"/>
          <w:b/>
          <w:i/>
          <w:color w:val="000000"/>
        </w:rPr>
        <w:t>Research background</w:t>
      </w:r>
    </w:p>
    <w:p w14:paraId="6829D727" w14:textId="5E424C8B" w:rsidR="00A77B3E" w:rsidRDefault="00D14015">
      <w:pPr>
        <w:spacing w:line="360" w:lineRule="auto"/>
        <w:jc w:val="both"/>
      </w:pPr>
      <w:r>
        <w:rPr>
          <w:rFonts w:ascii="Book Antiqua" w:eastAsia="Book Antiqua" w:hAnsi="Book Antiqua" w:cs="Book Antiqua"/>
          <w:color w:val="000000"/>
        </w:rPr>
        <w:t>Twins are at higher risk of preterm labor and delivery. As a result of being born too early, twins may be born with a higher risk of complications. Detection should be performed in pregnant women to reduce the risk of preterm birth.</w:t>
      </w:r>
    </w:p>
    <w:p w14:paraId="282FDC5E" w14:textId="77777777" w:rsidR="00A77B3E" w:rsidRDefault="00A77B3E">
      <w:pPr>
        <w:spacing w:line="360" w:lineRule="auto"/>
        <w:jc w:val="both"/>
      </w:pPr>
    </w:p>
    <w:p w14:paraId="4F25DCE3" w14:textId="77777777" w:rsidR="00A77B3E" w:rsidRDefault="00D14015">
      <w:pPr>
        <w:spacing w:line="360" w:lineRule="auto"/>
        <w:jc w:val="both"/>
      </w:pPr>
      <w:r>
        <w:rPr>
          <w:rFonts w:ascii="Book Antiqua" w:eastAsia="Book Antiqua" w:hAnsi="Book Antiqua" w:cs="Book Antiqua"/>
          <w:b/>
          <w:i/>
          <w:color w:val="000000"/>
        </w:rPr>
        <w:t>Research motivation</w:t>
      </w:r>
    </w:p>
    <w:p w14:paraId="7A97C907" w14:textId="129ADC81" w:rsidR="00A77B3E" w:rsidRDefault="00D14015">
      <w:pPr>
        <w:spacing w:line="360" w:lineRule="auto"/>
        <w:jc w:val="both"/>
      </w:pPr>
      <w:r>
        <w:rPr>
          <w:rFonts w:ascii="Book Antiqua" w:eastAsia="Book Antiqua" w:hAnsi="Book Antiqua" w:cs="Book Antiqua"/>
          <w:color w:val="000000"/>
        </w:rPr>
        <w:t xml:space="preserve">Transvaginal ultrasound measurement of cervical length phosphorylated insulin-like growth factor binding protein-1 (phIGFBP-1) test were two approaches used for the prediction of preterm birth. </w:t>
      </w:r>
      <w:r w:rsidR="00595C55">
        <w:rPr>
          <w:rFonts w:ascii="Book Antiqua" w:eastAsia="Book Antiqua" w:hAnsi="Book Antiqua" w:cs="Book Antiqua"/>
          <w:color w:val="000000"/>
        </w:rPr>
        <w:t>This</w:t>
      </w:r>
      <w:r>
        <w:rPr>
          <w:rFonts w:ascii="Book Antiqua" w:eastAsia="Book Antiqua" w:hAnsi="Book Antiqua" w:cs="Book Antiqua"/>
          <w:color w:val="000000"/>
        </w:rPr>
        <w:t xml:space="preserve"> study researched the accuracy of these two tests in determining the chances of preterm birth occurrence.</w:t>
      </w:r>
    </w:p>
    <w:p w14:paraId="2C080635" w14:textId="77777777" w:rsidR="00A77B3E" w:rsidRDefault="00A77B3E">
      <w:pPr>
        <w:spacing w:line="360" w:lineRule="auto"/>
        <w:jc w:val="both"/>
      </w:pPr>
    </w:p>
    <w:p w14:paraId="4AE2F20D" w14:textId="77777777" w:rsidR="00A77B3E" w:rsidRDefault="00D14015">
      <w:pPr>
        <w:spacing w:line="360" w:lineRule="auto"/>
        <w:jc w:val="both"/>
      </w:pPr>
      <w:r>
        <w:rPr>
          <w:rFonts w:ascii="Book Antiqua" w:eastAsia="Book Antiqua" w:hAnsi="Book Antiqua" w:cs="Book Antiqua"/>
          <w:b/>
          <w:i/>
          <w:color w:val="000000"/>
        </w:rPr>
        <w:t>Research objectives</w:t>
      </w:r>
    </w:p>
    <w:p w14:paraId="7F6CAB8B" w14:textId="4B07284E" w:rsidR="00A77B3E" w:rsidRDefault="00D14015">
      <w:pPr>
        <w:spacing w:line="360" w:lineRule="auto"/>
        <w:jc w:val="both"/>
      </w:pPr>
      <w:r>
        <w:rPr>
          <w:rFonts w:ascii="Book Antiqua" w:eastAsia="Book Antiqua" w:hAnsi="Book Antiqua" w:cs="Book Antiqua"/>
          <w:color w:val="000000"/>
        </w:rPr>
        <w:t>This study stud</w:t>
      </w:r>
      <w:r w:rsidR="00595C55">
        <w:rPr>
          <w:rFonts w:ascii="Book Antiqua" w:eastAsia="Book Antiqua" w:hAnsi="Book Antiqua" w:cs="Book Antiqua"/>
          <w:color w:val="000000"/>
        </w:rPr>
        <w:t>ied</w:t>
      </w:r>
      <w:r>
        <w:rPr>
          <w:rFonts w:ascii="Book Antiqua" w:eastAsia="Book Antiqua" w:hAnsi="Book Antiqua" w:cs="Book Antiqua"/>
          <w:color w:val="000000"/>
        </w:rPr>
        <w:t xml:space="preserve"> the feasibility of cervical length and phIGFBP-1 test for the prediction of preterm birth in twin pregnancy.</w:t>
      </w:r>
    </w:p>
    <w:p w14:paraId="06FDF700" w14:textId="77777777" w:rsidR="00A77B3E" w:rsidRDefault="00A77B3E">
      <w:pPr>
        <w:spacing w:line="360" w:lineRule="auto"/>
        <w:jc w:val="both"/>
      </w:pPr>
    </w:p>
    <w:p w14:paraId="57F96615" w14:textId="77777777" w:rsidR="00A77B3E" w:rsidRDefault="00D14015">
      <w:pPr>
        <w:spacing w:line="360" w:lineRule="auto"/>
        <w:jc w:val="both"/>
      </w:pPr>
      <w:r>
        <w:rPr>
          <w:rFonts w:ascii="Book Antiqua" w:eastAsia="Book Antiqua" w:hAnsi="Book Antiqua" w:cs="Book Antiqua"/>
          <w:b/>
          <w:i/>
          <w:color w:val="000000"/>
        </w:rPr>
        <w:t>Research methods</w:t>
      </w:r>
    </w:p>
    <w:p w14:paraId="15CE1E7B" w14:textId="6CA20C07" w:rsidR="00A77B3E" w:rsidRDefault="00D14015">
      <w:pPr>
        <w:spacing w:line="360" w:lineRule="auto"/>
        <w:jc w:val="both"/>
      </w:pPr>
      <w:r>
        <w:rPr>
          <w:rFonts w:ascii="Book Antiqua" w:eastAsia="Book Antiqua" w:hAnsi="Book Antiqua" w:cs="Book Antiqua"/>
          <w:color w:val="000000"/>
          <w:szCs w:val="21"/>
        </w:rPr>
        <w:t xml:space="preserve">A total of 254 pregnant women with twin pregnancies were included in the study. Transvaginal ultrasound measurement of cervical length and </w:t>
      </w:r>
      <w:r w:rsidR="00595C5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phIGFBP-1 test</w:t>
      </w:r>
      <w:r w:rsidR="00595C5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were performed on all </w:t>
      </w:r>
      <w:r w:rsidR="00595C55">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the participants. The test results were compared with the actual pregnancy outcomes of these women and the relevant data were analyzed.</w:t>
      </w:r>
    </w:p>
    <w:p w14:paraId="1F7408E9" w14:textId="77777777" w:rsidR="00A77B3E" w:rsidRDefault="00A77B3E">
      <w:pPr>
        <w:spacing w:line="360" w:lineRule="auto"/>
        <w:jc w:val="both"/>
      </w:pPr>
    </w:p>
    <w:p w14:paraId="41869D46" w14:textId="77777777" w:rsidR="00A77B3E" w:rsidRDefault="00D14015">
      <w:pPr>
        <w:spacing w:line="360" w:lineRule="auto"/>
        <w:jc w:val="both"/>
      </w:pPr>
      <w:r>
        <w:rPr>
          <w:rFonts w:ascii="Book Antiqua" w:eastAsia="Book Antiqua" w:hAnsi="Book Antiqua" w:cs="Book Antiqua"/>
          <w:b/>
          <w:i/>
          <w:color w:val="000000"/>
        </w:rPr>
        <w:t>Research results</w:t>
      </w:r>
    </w:p>
    <w:p w14:paraId="644C5CF8" w14:textId="66536DAA" w:rsidR="00A77B3E" w:rsidRDefault="00D14015">
      <w:pPr>
        <w:spacing w:line="360" w:lineRule="auto"/>
        <w:jc w:val="both"/>
      </w:pPr>
      <w:r>
        <w:rPr>
          <w:rFonts w:ascii="Book Antiqua" w:eastAsia="Book Antiqua" w:hAnsi="Book Antiqua" w:cs="Book Antiqua"/>
          <w:color w:val="000000"/>
          <w:szCs w:val="21"/>
        </w:rPr>
        <w:t xml:space="preserve">In women with a positive phIGFBP-1 test result, preterm birth rate was higher in those </w:t>
      </w:r>
      <w:r w:rsidR="00595C55">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 xml:space="preserve">cervical length ≤ 25 mm than those </w:t>
      </w:r>
      <w:r w:rsidR="00595C55">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 xml:space="preserve">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w:t>
      </w:r>
      <w:r w:rsidR="00A173D3">
        <w:rPr>
          <w:rFonts w:ascii="Book Antiqua" w:eastAsia="Book Antiqua" w:hAnsi="Book Antiqua" w:cs="Book Antiqua"/>
          <w:color w:val="000000"/>
          <w:szCs w:val="21"/>
        </w:rPr>
        <w:t>Moreover</w:t>
      </w:r>
      <w:r>
        <w:rPr>
          <w:rFonts w:ascii="Book Antiqua" w:eastAsia="Book Antiqua" w:hAnsi="Book Antiqua" w:cs="Book Antiqua"/>
          <w:color w:val="000000"/>
          <w:szCs w:val="21"/>
        </w:rPr>
        <w:t xml:space="preserve">, in women with a negative phIGFBP-1 test result, preterm birth rate was higher in women </w:t>
      </w:r>
      <w:r w:rsidR="00A173D3">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 xml:space="preserve">cervical length ≤ 25 mm than those whose 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0.05). The sensitivity, specificity, positive predict value and negative predict</w:t>
      </w:r>
      <w:r w:rsidR="009C3FA8">
        <w:rPr>
          <w:rFonts w:ascii="Book Antiqua" w:eastAsia="Book Antiqua" w:hAnsi="Book Antiqua" w:cs="Book Antiqua"/>
          <w:color w:val="000000"/>
          <w:szCs w:val="21"/>
        </w:rPr>
        <w:t>ive</w:t>
      </w:r>
      <w:r>
        <w:rPr>
          <w:rFonts w:ascii="Book Antiqua" w:eastAsia="Book Antiqua" w:hAnsi="Book Antiqua" w:cs="Book Antiqua"/>
          <w:color w:val="000000"/>
          <w:szCs w:val="21"/>
        </w:rPr>
        <w:t xml:space="preserve"> value</w:t>
      </w:r>
      <w:r w:rsidR="00A173D3">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phIGFBP-1 test combined with cervical length w</w:t>
      </w:r>
      <w:r w:rsidR="00A173D3">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95.71%, 91.21%, 95.12% and 92.22%, respectively</w:t>
      </w:r>
      <w:r w:rsidR="00A173D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for the prediction of preterm birth.</w:t>
      </w:r>
    </w:p>
    <w:p w14:paraId="60978E6D" w14:textId="77777777" w:rsidR="00A77B3E" w:rsidRDefault="00A77B3E">
      <w:pPr>
        <w:spacing w:line="360" w:lineRule="auto"/>
        <w:jc w:val="both"/>
      </w:pPr>
    </w:p>
    <w:p w14:paraId="313FE0DD" w14:textId="77777777" w:rsidR="00A77B3E" w:rsidRDefault="00D14015">
      <w:pPr>
        <w:spacing w:line="360" w:lineRule="auto"/>
        <w:jc w:val="both"/>
      </w:pPr>
      <w:r>
        <w:rPr>
          <w:rFonts w:ascii="Book Antiqua" w:eastAsia="Book Antiqua" w:hAnsi="Book Antiqua" w:cs="Book Antiqua"/>
          <w:b/>
          <w:i/>
          <w:color w:val="000000"/>
        </w:rPr>
        <w:t>Research conclusions</w:t>
      </w:r>
    </w:p>
    <w:p w14:paraId="7AA23C06" w14:textId="29A2F3CB" w:rsidR="00A77B3E" w:rsidRDefault="00D14015">
      <w:pPr>
        <w:spacing w:line="360" w:lineRule="auto"/>
        <w:jc w:val="both"/>
      </w:pPr>
      <w:r>
        <w:rPr>
          <w:rFonts w:ascii="Book Antiqua" w:eastAsia="Book Antiqua" w:hAnsi="Book Antiqua" w:cs="Book Antiqua"/>
          <w:color w:val="000000"/>
          <w:szCs w:val="21"/>
        </w:rPr>
        <w:t xml:space="preserve">Transvaginal ultrasound measurement of cervical length combined with </w:t>
      </w:r>
      <w:r w:rsidR="00A173D3">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phIGFBP-1 test may effectively predict the possibility of preterm birth in twin pregnancy.</w:t>
      </w:r>
    </w:p>
    <w:p w14:paraId="3CE5A5CB" w14:textId="77777777" w:rsidR="00A77B3E" w:rsidRDefault="00A77B3E">
      <w:pPr>
        <w:spacing w:line="360" w:lineRule="auto"/>
        <w:jc w:val="both"/>
      </w:pPr>
    </w:p>
    <w:p w14:paraId="51164113" w14:textId="77777777" w:rsidR="00A77B3E" w:rsidRDefault="00D14015">
      <w:pPr>
        <w:spacing w:line="360" w:lineRule="auto"/>
        <w:jc w:val="both"/>
      </w:pPr>
      <w:r>
        <w:rPr>
          <w:rFonts w:ascii="Book Antiqua" w:eastAsia="Book Antiqua" w:hAnsi="Book Antiqua" w:cs="Book Antiqua"/>
          <w:b/>
          <w:i/>
          <w:color w:val="000000"/>
        </w:rPr>
        <w:t>Research perspectives</w:t>
      </w:r>
    </w:p>
    <w:p w14:paraId="5DCB580F" w14:textId="2CFBFB82" w:rsidR="00A77B3E" w:rsidRDefault="00D14015">
      <w:pPr>
        <w:spacing w:line="360" w:lineRule="auto"/>
        <w:jc w:val="both"/>
      </w:pPr>
      <w:r>
        <w:rPr>
          <w:rFonts w:ascii="Book Antiqua" w:eastAsia="Book Antiqua" w:hAnsi="Book Antiqua" w:cs="Book Antiqua"/>
          <w:color w:val="000000"/>
          <w:szCs w:val="21"/>
        </w:rPr>
        <w:t>Detection of multiple biochemical indices may help to predict preterm birth and reduce the risk in twin pregnanc</w:t>
      </w:r>
      <w:r w:rsidR="00A173D3">
        <w:rPr>
          <w:rFonts w:ascii="Book Antiqua" w:eastAsia="Book Antiqua" w:hAnsi="Book Antiqua" w:cs="Book Antiqua"/>
          <w:color w:val="000000"/>
          <w:szCs w:val="21"/>
        </w:rPr>
        <w:t>ies</w:t>
      </w:r>
      <w:r>
        <w:rPr>
          <w:rFonts w:ascii="Book Antiqua" w:eastAsia="Book Antiqua" w:hAnsi="Book Antiqua" w:cs="Book Antiqua"/>
          <w:color w:val="000000"/>
          <w:szCs w:val="21"/>
        </w:rPr>
        <w:t>. Larger studies are warrant</w:t>
      </w:r>
      <w:r w:rsidR="00A173D3">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to further discuss the accuracy of these biochemical indices</w:t>
      </w:r>
      <w:r w:rsidR="00C9582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8F79E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 reduce the screening test</w:t>
      </w:r>
      <w:r w:rsidR="00A173D3">
        <w:rPr>
          <w:rFonts w:ascii="Book Antiqua" w:eastAsia="Book Antiqua" w:hAnsi="Book Antiqua" w:cs="Book Antiqua"/>
          <w:color w:val="000000"/>
          <w:szCs w:val="21"/>
        </w:rPr>
        <w:t>-</w:t>
      </w:r>
      <w:r>
        <w:rPr>
          <w:rFonts w:ascii="Book Antiqua" w:eastAsia="Book Antiqua" w:hAnsi="Book Antiqua" w:cs="Book Antiqua"/>
          <w:color w:val="000000"/>
          <w:szCs w:val="21"/>
        </w:rPr>
        <w:t>associated harms to mothers and their babies.</w:t>
      </w:r>
    </w:p>
    <w:p w14:paraId="5CFE0F57" w14:textId="77777777" w:rsidR="00A77B3E" w:rsidRDefault="00A77B3E">
      <w:pPr>
        <w:spacing w:line="360" w:lineRule="auto"/>
        <w:jc w:val="both"/>
      </w:pPr>
    </w:p>
    <w:p w14:paraId="199F58EB" w14:textId="77777777" w:rsidR="00A77B3E" w:rsidRDefault="00D14015">
      <w:pPr>
        <w:spacing w:line="360" w:lineRule="auto"/>
        <w:jc w:val="both"/>
      </w:pPr>
      <w:r>
        <w:rPr>
          <w:rFonts w:ascii="Book Antiqua" w:eastAsia="Book Antiqua" w:hAnsi="Book Antiqua" w:cs="Book Antiqua"/>
          <w:b/>
          <w:color w:val="000000"/>
        </w:rPr>
        <w:t>REFERENCES</w:t>
      </w:r>
    </w:p>
    <w:p w14:paraId="112300D2" w14:textId="51A02951" w:rsidR="00A77B3E" w:rsidRDefault="00D1401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Gong JJ</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Huang CJ, Liu SL, Su CH, Yu L, Chen JJ, Chen DJ. Clinical Characteristics of Twin Pregnacy Complicated with Preterm Birth and Analysis of Risk Factors. </w:t>
      </w:r>
      <w:r w:rsidRPr="00277A4F">
        <w:rPr>
          <w:rFonts w:ascii="Book Antiqua" w:eastAsia="Book Antiqua" w:hAnsi="Book Antiqua" w:cs="Book Antiqua"/>
          <w:i/>
          <w:iCs/>
          <w:color w:val="000000"/>
        </w:rPr>
        <w:t>Shiyong Fuchanke Zazhi</w:t>
      </w:r>
      <w:r>
        <w:rPr>
          <w:rFonts w:ascii="Book Antiqua" w:eastAsia="Book Antiqua" w:hAnsi="Book Antiqua" w:cs="Book Antiqua"/>
          <w:color w:val="000000"/>
        </w:rPr>
        <w:t xml:space="preserve"> 2019</w:t>
      </w:r>
      <w:r w:rsidR="00ED7BC7">
        <w:rPr>
          <w:rFonts w:ascii="Book Antiqua" w:eastAsia="Book Antiqua" w:hAnsi="Book Antiqua" w:cs="Book Antiqua"/>
          <w:color w:val="000000"/>
        </w:rPr>
        <w:t>;</w:t>
      </w:r>
      <w:r>
        <w:rPr>
          <w:rFonts w:ascii="Book Antiqua" w:eastAsia="Book Antiqua" w:hAnsi="Book Antiqua" w:cs="Book Antiqua"/>
          <w:color w:val="000000"/>
        </w:rPr>
        <w:t xml:space="preserve"> </w:t>
      </w:r>
      <w:r w:rsidRPr="00277A4F">
        <w:rPr>
          <w:rFonts w:ascii="Book Antiqua" w:eastAsia="Book Antiqua" w:hAnsi="Book Antiqua" w:cs="Book Antiqua"/>
          <w:b/>
          <w:bCs/>
          <w:color w:val="000000"/>
        </w:rPr>
        <w:t>35</w:t>
      </w:r>
      <w:r>
        <w:rPr>
          <w:rFonts w:ascii="Book Antiqua" w:eastAsia="Book Antiqua" w:hAnsi="Book Antiqua" w:cs="Book Antiqua"/>
          <w:color w:val="000000"/>
        </w:rPr>
        <w:t>: 841-845</w:t>
      </w:r>
    </w:p>
    <w:p w14:paraId="06E33CC7" w14:textId="77777777" w:rsidR="00A77B3E" w:rsidRDefault="00D1401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O'Brien JM</w:t>
      </w:r>
      <w:r>
        <w:rPr>
          <w:rFonts w:ascii="Book Antiqua" w:eastAsia="Book Antiqua" w:hAnsi="Book Antiqua" w:cs="Book Antiqua"/>
          <w:color w:val="000000"/>
        </w:rPr>
        <w:t xml:space="preserve">, Santolaya JL, Palomares K, Blitzer D, Santolaya-Forgas J. Association of histological chorioamnionitis and magnesium sulfate treatment in singleton and dichorionic twin pregnancies with preterm premature rupture of membranes: preliminary observations. </w:t>
      </w:r>
      <w:r>
        <w:rPr>
          <w:rFonts w:ascii="Book Antiqua" w:eastAsia="Book Antiqua" w:hAnsi="Book Antiqua" w:cs="Book Antiqua"/>
          <w:i/>
          <w:iCs/>
          <w:color w:val="000000"/>
        </w:rPr>
        <w:t>J Perinat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839-844 [PMID: 28873067 DOI: 10.1515/jpm-2017-0043]</w:t>
      </w:r>
    </w:p>
    <w:p w14:paraId="569F5284" w14:textId="77777777" w:rsidR="00A77B3E" w:rsidRDefault="00D1401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Ming Y</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Zhang J. Preterm birth status of twin pregnancy. </w:t>
      </w:r>
      <w:r w:rsidRPr="00277A4F">
        <w:rPr>
          <w:rFonts w:ascii="Book Antiqua" w:eastAsia="Book Antiqua" w:hAnsi="Book Antiqua" w:cs="Book Antiqua"/>
          <w:i/>
          <w:iCs/>
          <w:color w:val="000000"/>
        </w:rPr>
        <w:t>Zhonghua Chanke Jijiu Dianzi Zazhi</w:t>
      </w:r>
      <w:r>
        <w:rPr>
          <w:rFonts w:ascii="Book Antiqua" w:eastAsia="Book Antiqua" w:hAnsi="Book Antiqua" w:cs="Book Antiqua"/>
          <w:color w:val="000000"/>
        </w:rPr>
        <w:t xml:space="preserve"> 2019; </w:t>
      </w:r>
      <w:r w:rsidRPr="00277A4F">
        <w:rPr>
          <w:rFonts w:ascii="Book Antiqua" w:eastAsia="Book Antiqua" w:hAnsi="Book Antiqua" w:cs="Book Antiqua"/>
          <w:b/>
          <w:bCs/>
          <w:color w:val="000000"/>
        </w:rPr>
        <w:t>8</w:t>
      </w:r>
      <w:r>
        <w:rPr>
          <w:rFonts w:ascii="Book Antiqua" w:eastAsia="Book Antiqua" w:hAnsi="Book Antiqua" w:cs="Book Antiqua"/>
          <w:color w:val="000000"/>
        </w:rPr>
        <w:t>: 50-53</w:t>
      </w:r>
    </w:p>
    <w:p w14:paraId="392D82F2" w14:textId="77777777" w:rsidR="00A77B3E" w:rsidRDefault="00D1401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Cerovac A</w:t>
      </w:r>
      <w:r>
        <w:rPr>
          <w:rFonts w:ascii="Book Antiqua" w:eastAsia="Book Antiqua" w:hAnsi="Book Antiqua" w:cs="Book Antiqua"/>
          <w:color w:val="000000"/>
        </w:rPr>
        <w:t xml:space="preserve">, Gordana G, Ljuca D. Mode of Delivery in Preterm Births - Bosnian and Herzegovinian Experience. </w:t>
      </w:r>
      <w:r>
        <w:rPr>
          <w:rFonts w:ascii="Book Antiqua" w:eastAsia="Book Antiqua" w:hAnsi="Book Antiqua" w:cs="Book Antiqua"/>
          <w:i/>
          <w:iCs/>
          <w:color w:val="000000"/>
        </w:rPr>
        <w:t>Mater Sociomed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290-293 [PMID: 30936795 DOI: 10.5455/msm.2018.30.290-293]</w:t>
      </w:r>
    </w:p>
    <w:p w14:paraId="22055475" w14:textId="77777777" w:rsidR="00A77B3E" w:rsidRDefault="00D1401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YQ</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Lin QY, Lin XY. Application value of transvaginal B-ultrasound in the primary hospital to measure cervical length in predicting preterm birth. </w:t>
      </w:r>
      <w:r w:rsidRPr="00277A4F">
        <w:rPr>
          <w:rFonts w:ascii="Book Antiqua" w:eastAsia="Book Antiqua" w:hAnsi="Book Antiqua" w:cs="Book Antiqua"/>
          <w:i/>
          <w:iCs/>
          <w:color w:val="000000"/>
        </w:rPr>
        <w:t>Zhongguo Xing Kexue</w:t>
      </w:r>
      <w:r>
        <w:rPr>
          <w:rFonts w:ascii="Book Antiqua" w:eastAsia="Book Antiqua" w:hAnsi="Book Antiqua" w:cs="Book Antiqua"/>
          <w:color w:val="000000"/>
        </w:rPr>
        <w:t xml:space="preserve"> 2019; </w:t>
      </w:r>
      <w:r w:rsidRPr="00277A4F">
        <w:rPr>
          <w:rFonts w:ascii="Book Antiqua" w:eastAsia="Book Antiqua" w:hAnsi="Book Antiqua" w:cs="Book Antiqua"/>
          <w:b/>
          <w:bCs/>
          <w:color w:val="000000"/>
        </w:rPr>
        <w:t>28</w:t>
      </w:r>
      <w:r>
        <w:rPr>
          <w:rFonts w:ascii="Book Antiqua" w:eastAsia="Book Antiqua" w:hAnsi="Book Antiqua" w:cs="Book Antiqua"/>
          <w:color w:val="000000"/>
        </w:rPr>
        <w:t>: 105-107</w:t>
      </w:r>
    </w:p>
    <w:p w14:paraId="4185DE7A" w14:textId="77777777" w:rsidR="00A77B3E" w:rsidRDefault="00D1401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 JQ</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Ni YQ, Gao T, Chen JY. Efficacy of dephosphorylated insulin-like growth factor binding protein-1 for the diagnosis of preterm premature rupture of membrane. </w:t>
      </w:r>
      <w:r w:rsidRPr="00277A4F">
        <w:rPr>
          <w:rFonts w:ascii="Book Antiqua" w:eastAsia="Book Antiqua" w:hAnsi="Book Antiqua" w:cs="Book Antiqua"/>
          <w:i/>
          <w:iCs/>
          <w:color w:val="000000"/>
        </w:rPr>
        <w:t>Zhongguo Fuyou Baojian</w:t>
      </w:r>
      <w:r>
        <w:rPr>
          <w:rFonts w:ascii="Book Antiqua" w:eastAsia="Book Antiqua" w:hAnsi="Book Antiqua" w:cs="Book Antiqua"/>
          <w:color w:val="000000"/>
        </w:rPr>
        <w:t xml:space="preserve"> 2018; </w:t>
      </w:r>
      <w:r w:rsidRPr="00277A4F">
        <w:rPr>
          <w:rFonts w:ascii="Book Antiqua" w:eastAsia="Book Antiqua" w:hAnsi="Book Antiqua" w:cs="Book Antiqua"/>
          <w:b/>
          <w:bCs/>
          <w:color w:val="000000"/>
        </w:rPr>
        <w:t>33</w:t>
      </w:r>
      <w:r>
        <w:rPr>
          <w:rFonts w:ascii="Book Antiqua" w:eastAsia="Book Antiqua" w:hAnsi="Book Antiqua" w:cs="Book Antiqua"/>
          <w:color w:val="000000"/>
        </w:rPr>
        <w:t>: 3328-3330</w:t>
      </w:r>
    </w:p>
    <w:p w14:paraId="47B4BD38" w14:textId="77777777" w:rsidR="00A77B3E" w:rsidRDefault="00D140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Sun LM</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Zhao YY, Duan T. Chinese Medical Association’s interpretation of Guidelines for Clinical Management of Twin Pregnancy (Part One): Monitoring and Treatment of Twin Pregnancy (2015). </w:t>
      </w:r>
      <w:r w:rsidRPr="00277A4F">
        <w:rPr>
          <w:rFonts w:ascii="Book Antiqua" w:eastAsia="Book Antiqua" w:hAnsi="Book Antiqua" w:cs="Book Antiqua"/>
          <w:i/>
          <w:iCs/>
          <w:color w:val="000000"/>
        </w:rPr>
        <w:t>Zhongguo Shiyong Fuke Yu Chanke Zazhi</w:t>
      </w:r>
      <w:r>
        <w:rPr>
          <w:rFonts w:ascii="Book Antiqua" w:eastAsia="Book Antiqua" w:hAnsi="Book Antiqua" w:cs="Book Antiqua"/>
          <w:color w:val="000000"/>
        </w:rPr>
        <w:t xml:space="preserve"> 2016; </w:t>
      </w:r>
      <w:r w:rsidRPr="00277A4F">
        <w:rPr>
          <w:rFonts w:ascii="Book Antiqua" w:eastAsia="Book Antiqua" w:hAnsi="Book Antiqua" w:cs="Book Antiqua"/>
          <w:b/>
          <w:bCs/>
          <w:color w:val="000000"/>
        </w:rPr>
        <w:t>32</w:t>
      </w:r>
      <w:r>
        <w:rPr>
          <w:rFonts w:ascii="Book Antiqua" w:eastAsia="Book Antiqua" w:hAnsi="Book Antiqua" w:cs="Book Antiqua"/>
          <w:color w:val="000000"/>
        </w:rPr>
        <w:t>: 291-297</w:t>
      </w:r>
    </w:p>
    <w:p w14:paraId="7BCBF172" w14:textId="77777777" w:rsidR="00A77B3E" w:rsidRDefault="00D1401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Nikolova T</w:t>
      </w:r>
      <w:r>
        <w:rPr>
          <w:rFonts w:ascii="Book Antiqua" w:eastAsia="Book Antiqua" w:hAnsi="Book Antiqua" w:cs="Book Antiqua"/>
          <w:color w:val="000000"/>
        </w:rPr>
        <w:t xml:space="preserve">, Uotila J, Nikolova N, Bolotskikh VM, Borisova VY, Di Renzo GC. Prediction of spontaneous preterm delivery in women presenting with premature labor: a comparison of placenta alpha microglobulin-1, phosphorylated insulin-like growth factor binding protein-1, and cervical length.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219</w:t>
      </w:r>
      <w:r>
        <w:rPr>
          <w:rFonts w:ascii="Book Antiqua" w:eastAsia="Book Antiqua" w:hAnsi="Book Antiqua" w:cs="Book Antiqua"/>
          <w:color w:val="000000"/>
        </w:rPr>
        <w:t>: 610.e1-610.e9 [PMID: 30240653 DOI: 10.1016/j.ajog.2018.09.016]</w:t>
      </w:r>
    </w:p>
    <w:p w14:paraId="59FA9607" w14:textId="77777777" w:rsidR="00A77B3E" w:rsidRDefault="00D1401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Gupta MB</w:t>
      </w:r>
      <w:r>
        <w:rPr>
          <w:rFonts w:ascii="Book Antiqua" w:eastAsia="Book Antiqua" w:hAnsi="Book Antiqua" w:cs="Book Antiqua"/>
          <w:color w:val="000000"/>
        </w:rPr>
        <w:t xml:space="preserve">, Abu Shehab M, Nygard K, Biggar K, Singal SS, Santoro N, Powell TL, Jansson T. IUGR Is Associated With Marked Hyperphosphorylation of Decidual and Maternal Plasma IGFBP-1.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408-422 [PMID: 30124960 DOI: 10.1210/jc.2018-00820]</w:t>
      </w:r>
    </w:p>
    <w:p w14:paraId="7D5A6EDE" w14:textId="77777777" w:rsidR="00A77B3E" w:rsidRDefault="00D1401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Gupta MB</w:t>
      </w:r>
      <w:r>
        <w:rPr>
          <w:rFonts w:ascii="Book Antiqua" w:eastAsia="Book Antiqua" w:hAnsi="Book Antiqua" w:cs="Book Antiqua"/>
          <w:color w:val="000000"/>
        </w:rPr>
        <w:t xml:space="preserve">. The role and regulation of IGFBP-1 phosphorylation in fetal growth restriction. </w:t>
      </w:r>
      <w:r>
        <w:rPr>
          <w:rFonts w:ascii="Book Antiqua" w:eastAsia="Book Antiqua" w:hAnsi="Book Antiqua" w:cs="Book Antiqua"/>
          <w:i/>
          <w:iCs/>
          <w:color w:val="000000"/>
        </w:rPr>
        <w:t>J Cell Commun Signal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111-123 [PMID: 25682045 DOI: 10.1007/s12079-015-0266-x]</w:t>
      </w:r>
    </w:p>
    <w:p w14:paraId="115C432C" w14:textId="77777777" w:rsidR="00A77B3E" w:rsidRDefault="00D1401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Damerill I</w:t>
      </w:r>
      <w:r>
        <w:rPr>
          <w:rFonts w:ascii="Book Antiqua" w:eastAsia="Book Antiqua" w:hAnsi="Book Antiqua" w:cs="Book Antiqua"/>
          <w:color w:val="000000"/>
        </w:rPr>
        <w:t xml:space="preserve">, Biggar KK, Abu Shehab M, Li SS, Jansson T, Gupta MB. Hypoxia Increases IGFBP-1 Phosphorylation Mediated by mTOR Inhibition.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201-216 [PMID: 26714229 DOI: 10.1210/me.2015-1194]</w:t>
      </w:r>
    </w:p>
    <w:p w14:paraId="1B89A0AA" w14:textId="77777777" w:rsidR="00A77B3E" w:rsidRDefault="00D1401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Malkani N</w:t>
      </w:r>
      <w:r>
        <w:rPr>
          <w:rFonts w:ascii="Book Antiqua" w:eastAsia="Book Antiqua" w:hAnsi="Book Antiqua" w:cs="Book Antiqua"/>
          <w:color w:val="000000"/>
        </w:rPr>
        <w:t xml:space="preserve">, Jansson T, Gupta MB. IGFBP-1 hyperphosphorylation in response to leucine deprivation is mediated by the AAR pathway.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412</w:t>
      </w:r>
      <w:r>
        <w:rPr>
          <w:rFonts w:ascii="Book Antiqua" w:eastAsia="Book Antiqua" w:hAnsi="Book Antiqua" w:cs="Book Antiqua"/>
          <w:color w:val="000000"/>
        </w:rPr>
        <w:t>: 182-195 [PMID: 25957086 DOI: 10.1016/j.mce.2015.04.031]</w:t>
      </w:r>
    </w:p>
    <w:p w14:paraId="09E55DA5" w14:textId="77777777" w:rsidR="00A77B3E" w:rsidRDefault="00D14015">
      <w:pPr>
        <w:spacing w:line="360" w:lineRule="auto"/>
        <w:jc w:val="both"/>
      </w:pPr>
      <w:r>
        <w:rPr>
          <w:rFonts w:ascii="Book Antiqua" w:eastAsia="Book Antiqua" w:hAnsi="Book Antiqua" w:cs="Book Antiqua"/>
          <w:color w:val="000000"/>
        </w:rPr>
        <w:t xml:space="preserve">13 </w:t>
      </w:r>
      <w:r w:rsidRPr="00277A4F">
        <w:rPr>
          <w:rFonts w:ascii="Book Antiqua" w:eastAsia="Book Antiqua" w:hAnsi="Book Antiqua" w:cs="Book Antiqua"/>
          <w:b/>
          <w:bCs/>
          <w:color w:val="000000"/>
        </w:rPr>
        <w:t>Chen J</w:t>
      </w:r>
      <w:r>
        <w:rPr>
          <w:rFonts w:ascii="Book Antiqua" w:eastAsia="Book Antiqua" w:hAnsi="Book Antiqua" w:cs="Book Antiqua"/>
          <w:color w:val="000000"/>
        </w:rPr>
        <w:t xml:space="preserve">. Application of high phosphorus and acid insulin like growth factor binding protein - 1 and cervical length on prediction of premature delivery. </w:t>
      </w:r>
      <w:r w:rsidRPr="00277A4F">
        <w:rPr>
          <w:rFonts w:ascii="Book Antiqua" w:eastAsia="Book Antiqua" w:hAnsi="Book Antiqua" w:cs="Book Antiqua"/>
          <w:i/>
          <w:iCs/>
          <w:color w:val="000000"/>
        </w:rPr>
        <w:t>Mudanjiang Xueyuan Xuebao</w:t>
      </w:r>
      <w:r>
        <w:rPr>
          <w:rFonts w:ascii="Book Antiqua" w:eastAsia="Book Antiqua" w:hAnsi="Book Antiqua" w:cs="Book Antiqua"/>
          <w:color w:val="000000"/>
        </w:rPr>
        <w:t xml:space="preserve"> 2015; </w:t>
      </w:r>
      <w:r w:rsidRPr="00277A4F">
        <w:rPr>
          <w:rFonts w:ascii="Book Antiqua" w:eastAsia="Book Antiqua" w:hAnsi="Book Antiqua" w:cs="Book Antiqua"/>
          <w:b/>
          <w:bCs/>
          <w:color w:val="000000"/>
        </w:rPr>
        <w:t>36</w:t>
      </w:r>
      <w:r>
        <w:rPr>
          <w:rFonts w:ascii="Book Antiqua" w:eastAsia="Book Antiqua" w:hAnsi="Book Antiqua" w:cs="Book Antiqua"/>
          <w:color w:val="000000"/>
        </w:rPr>
        <w:t>: 20-22</w:t>
      </w:r>
    </w:p>
    <w:p w14:paraId="3F464C26" w14:textId="2023F4D9" w:rsidR="00A77B3E" w:rsidRDefault="00D1401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H</w:t>
      </w:r>
      <w:r w:rsidR="00277A4F">
        <w:rPr>
          <w:rFonts w:ascii="Book Antiqua" w:eastAsia="Book Antiqua" w:hAnsi="Book Antiqua" w:cs="Book Antiqua"/>
          <w:b/>
          <w:bCs/>
          <w:color w:val="000000"/>
        </w:rPr>
        <w:t>H</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Wang C</w:t>
      </w:r>
      <w:r w:rsidR="00277A4F">
        <w:rPr>
          <w:rFonts w:ascii="Book Antiqua" w:eastAsia="Book Antiqua" w:hAnsi="Book Antiqua" w:cs="Book Antiqua"/>
          <w:color w:val="000000"/>
        </w:rPr>
        <w:t>H</w:t>
      </w:r>
      <w:r>
        <w:rPr>
          <w:rFonts w:ascii="Book Antiqua" w:eastAsia="Book Antiqua" w:hAnsi="Book Antiqua" w:cs="Book Antiqua"/>
          <w:color w:val="000000"/>
        </w:rPr>
        <w:t xml:space="preserve">. The value of insulin-like growth factor bingding protein-1 and cervical index in the prediction of the diagnosis-delivery interval for premature delivery. </w:t>
      </w:r>
      <w:r w:rsidRPr="00277A4F">
        <w:rPr>
          <w:rFonts w:ascii="Book Antiqua" w:eastAsia="Book Antiqua" w:hAnsi="Book Antiqua" w:cs="Book Antiqua"/>
          <w:i/>
          <w:iCs/>
          <w:color w:val="000000"/>
        </w:rPr>
        <w:t>Guoji Fuchan</w:t>
      </w:r>
      <w:r w:rsidR="00277A4F">
        <w:rPr>
          <w:rFonts w:ascii="Book Antiqua" w:eastAsia="Book Antiqua" w:hAnsi="Book Antiqua" w:cs="Book Antiqua"/>
          <w:i/>
          <w:iCs/>
          <w:color w:val="000000"/>
        </w:rPr>
        <w:t xml:space="preserve"> K</w:t>
      </w:r>
      <w:r w:rsidRPr="00277A4F">
        <w:rPr>
          <w:rFonts w:ascii="Book Antiqua" w:eastAsia="Book Antiqua" w:hAnsi="Book Antiqua" w:cs="Book Antiqua"/>
          <w:i/>
          <w:iCs/>
          <w:color w:val="000000"/>
        </w:rPr>
        <w:t>e</w:t>
      </w:r>
      <w:r w:rsidR="00277A4F">
        <w:rPr>
          <w:rFonts w:ascii="Book Antiqua" w:eastAsia="Book Antiqua" w:hAnsi="Book Antiqua" w:cs="Book Antiqua"/>
          <w:i/>
          <w:iCs/>
          <w:color w:val="000000"/>
        </w:rPr>
        <w:t>xue</w:t>
      </w:r>
      <w:r w:rsidRPr="00277A4F">
        <w:rPr>
          <w:rFonts w:ascii="Book Antiqua" w:eastAsia="Book Antiqua" w:hAnsi="Book Antiqua" w:cs="Book Antiqua"/>
          <w:i/>
          <w:iCs/>
          <w:color w:val="000000"/>
        </w:rPr>
        <w:t xml:space="preserve"> Zazhi</w:t>
      </w:r>
      <w:r>
        <w:rPr>
          <w:rFonts w:ascii="Book Antiqua" w:eastAsia="Book Antiqua" w:hAnsi="Book Antiqua" w:cs="Book Antiqua"/>
          <w:color w:val="000000"/>
        </w:rPr>
        <w:t xml:space="preserve"> 2013; </w:t>
      </w:r>
      <w:r w:rsidRPr="00277A4F">
        <w:rPr>
          <w:rFonts w:ascii="Book Antiqua" w:eastAsia="Book Antiqua" w:hAnsi="Book Antiqua" w:cs="Book Antiqua"/>
          <w:b/>
          <w:bCs/>
          <w:color w:val="000000"/>
        </w:rPr>
        <w:t>40</w:t>
      </w:r>
      <w:r>
        <w:rPr>
          <w:rFonts w:ascii="Book Antiqua" w:eastAsia="Book Antiqua" w:hAnsi="Book Antiqua" w:cs="Book Antiqua"/>
          <w:color w:val="000000"/>
        </w:rPr>
        <w:t>: 271-273</w:t>
      </w:r>
    </w:p>
    <w:p w14:paraId="06E413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6BB3A2D" w14:textId="77777777" w:rsidR="00A77B3E" w:rsidRDefault="00D14015">
      <w:pPr>
        <w:spacing w:line="360" w:lineRule="auto"/>
        <w:jc w:val="both"/>
      </w:pPr>
      <w:r>
        <w:rPr>
          <w:rFonts w:ascii="Book Antiqua" w:eastAsia="Book Antiqua" w:hAnsi="Book Antiqua" w:cs="Book Antiqua"/>
          <w:b/>
          <w:color w:val="000000"/>
        </w:rPr>
        <w:t>Footnotes</w:t>
      </w:r>
    </w:p>
    <w:p w14:paraId="07B3BE7F" w14:textId="39B27F83" w:rsidR="00A77B3E" w:rsidRDefault="00D1401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w:t>
      </w:r>
      <w:r w:rsidR="00C0657C">
        <w:rPr>
          <w:rFonts w:ascii="Book Antiqua" w:eastAsia="Book Antiqua" w:hAnsi="Book Antiqua" w:cs="Book Antiqua"/>
          <w:color w:val="000000"/>
        </w:rPr>
        <w:t>Ethics Co</w:t>
      </w:r>
      <w:r>
        <w:rPr>
          <w:rFonts w:ascii="Book Antiqua" w:eastAsia="Book Antiqua" w:hAnsi="Book Antiqua" w:cs="Book Antiqua"/>
          <w:color w:val="000000"/>
        </w:rPr>
        <w:t>mmittee of Hainan General Hospital.</w:t>
      </w:r>
    </w:p>
    <w:p w14:paraId="159FC237" w14:textId="77777777" w:rsidR="00A77B3E" w:rsidRDefault="00A77B3E">
      <w:pPr>
        <w:spacing w:line="360" w:lineRule="auto"/>
        <w:jc w:val="both"/>
      </w:pPr>
    </w:p>
    <w:p w14:paraId="2CEA74AD" w14:textId="77777777" w:rsidR="00A77B3E" w:rsidRDefault="00D1401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patients gave informed consent.</w:t>
      </w:r>
    </w:p>
    <w:p w14:paraId="398AC945" w14:textId="77777777" w:rsidR="00A77B3E" w:rsidRDefault="00A77B3E">
      <w:pPr>
        <w:spacing w:line="360" w:lineRule="auto"/>
        <w:jc w:val="both"/>
      </w:pPr>
    </w:p>
    <w:p w14:paraId="1C582D4B" w14:textId="77777777" w:rsidR="00A77B3E" w:rsidRDefault="00D1401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7DCE45D2" w14:textId="77777777" w:rsidR="00A77B3E" w:rsidRDefault="00A77B3E">
      <w:pPr>
        <w:spacing w:line="360" w:lineRule="auto"/>
        <w:jc w:val="both"/>
      </w:pPr>
    </w:p>
    <w:p w14:paraId="6D59969A" w14:textId="77777777" w:rsidR="00A77B3E" w:rsidRDefault="00D1401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0F381F7" w14:textId="77777777" w:rsidR="00A77B3E" w:rsidRDefault="00A77B3E">
      <w:pPr>
        <w:spacing w:line="360" w:lineRule="auto"/>
        <w:jc w:val="both"/>
      </w:pPr>
    </w:p>
    <w:p w14:paraId="38CDA97D" w14:textId="09BB0221" w:rsidR="00A77B3E" w:rsidRDefault="00D1401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0A6309">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0A6309">
        <w:rPr>
          <w:rFonts w:ascii="Book Antiqua" w:eastAsia="Book Antiqua" w:hAnsi="Book Antiqua" w:cs="Book Antiqua"/>
          <w:color w:val="000000"/>
        </w:rPr>
        <w:t>-</w:t>
      </w:r>
      <w:r>
        <w:rPr>
          <w:rFonts w:ascii="Book Antiqua" w:eastAsia="Book Antiqua" w:hAnsi="Book Antiqua" w:cs="Book Antiqua"/>
          <w:color w:val="000000"/>
        </w:rPr>
        <w:t>checklist of items.</w:t>
      </w:r>
    </w:p>
    <w:p w14:paraId="44EBE232" w14:textId="77777777" w:rsidR="00A77B3E" w:rsidRDefault="00A77B3E">
      <w:pPr>
        <w:spacing w:line="360" w:lineRule="auto"/>
        <w:jc w:val="both"/>
      </w:pPr>
    </w:p>
    <w:p w14:paraId="28518470" w14:textId="77777777" w:rsidR="00A77B3E" w:rsidRDefault="00D140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528238" w14:textId="77777777" w:rsidR="00A77B3E" w:rsidRDefault="00A77B3E">
      <w:pPr>
        <w:spacing w:line="360" w:lineRule="auto"/>
        <w:jc w:val="both"/>
      </w:pPr>
    </w:p>
    <w:p w14:paraId="2A5A8DC4" w14:textId="00E1FB30" w:rsidR="00A77B3E" w:rsidRDefault="00D140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77A4F">
        <w:rPr>
          <w:rFonts w:ascii="Book Antiqua" w:eastAsia="Book Antiqua" w:hAnsi="Book Antiqua" w:cs="Book Antiqua"/>
          <w:color w:val="000000"/>
        </w:rPr>
        <w:t>ma</w:t>
      </w:r>
      <w:r>
        <w:rPr>
          <w:rFonts w:ascii="Book Antiqua" w:eastAsia="Book Antiqua" w:hAnsi="Book Antiqua" w:cs="Book Antiqua"/>
          <w:color w:val="000000"/>
        </w:rPr>
        <w:t>nuscript</w:t>
      </w:r>
    </w:p>
    <w:p w14:paraId="6EFD4F7F" w14:textId="77777777" w:rsidR="00A77B3E" w:rsidRDefault="00A77B3E">
      <w:pPr>
        <w:spacing w:line="360" w:lineRule="auto"/>
        <w:jc w:val="both"/>
      </w:pPr>
    </w:p>
    <w:p w14:paraId="06DFBD4A" w14:textId="77777777" w:rsidR="00A77B3E" w:rsidRDefault="00D140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16, 2021</w:t>
      </w:r>
    </w:p>
    <w:p w14:paraId="506D86FD" w14:textId="77777777" w:rsidR="00A77B3E" w:rsidRDefault="00D140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14E08037" w14:textId="238CD7F5" w:rsidR="00A77B3E" w:rsidRDefault="00D14015">
      <w:pPr>
        <w:spacing w:line="360" w:lineRule="auto"/>
        <w:jc w:val="both"/>
      </w:pPr>
      <w:r>
        <w:rPr>
          <w:rFonts w:ascii="Book Antiqua" w:eastAsia="Book Antiqua" w:hAnsi="Book Antiqua" w:cs="Book Antiqua"/>
          <w:b/>
          <w:color w:val="000000"/>
        </w:rPr>
        <w:t xml:space="preserve">Article in press: </w:t>
      </w:r>
      <w:r w:rsidR="00BB0C42" w:rsidRPr="00CE6BC6">
        <w:rPr>
          <w:rFonts w:ascii="Book Antiqua" w:eastAsia="Book Antiqua" w:hAnsi="Book Antiqua" w:cs="Book Antiqua"/>
          <w:color w:val="000000"/>
        </w:rPr>
        <w:t>March 4, 2021</w:t>
      </w:r>
    </w:p>
    <w:p w14:paraId="03A36B77" w14:textId="77777777" w:rsidR="00A77B3E" w:rsidRDefault="00A77B3E">
      <w:pPr>
        <w:spacing w:line="360" w:lineRule="auto"/>
        <w:jc w:val="both"/>
      </w:pPr>
    </w:p>
    <w:p w14:paraId="2F5E7186" w14:textId="2F108B70" w:rsidR="00A77B3E" w:rsidRDefault="00D14015">
      <w:pPr>
        <w:spacing w:line="360" w:lineRule="auto"/>
        <w:jc w:val="both"/>
      </w:pPr>
      <w:r>
        <w:rPr>
          <w:rFonts w:ascii="Book Antiqua" w:eastAsia="Book Antiqua" w:hAnsi="Book Antiqua" w:cs="Book Antiqua"/>
          <w:b/>
          <w:color w:val="000000"/>
        </w:rPr>
        <w:t xml:space="preserve">Specialty type: </w:t>
      </w:r>
      <w:r w:rsidR="00277A4F" w:rsidRPr="00E700C2">
        <w:rPr>
          <w:rFonts w:ascii="Book Antiqua" w:eastAsia="微软雅黑" w:hAnsi="Book Antiqua" w:cs="宋体"/>
        </w:rPr>
        <w:t>Medicine, research and experimental</w:t>
      </w:r>
    </w:p>
    <w:p w14:paraId="5535EB7C" w14:textId="77777777" w:rsidR="00A77B3E" w:rsidRDefault="00D140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097CAAB" w14:textId="77777777" w:rsidR="00A77B3E" w:rsidRDefault="00D14015">
      <w:pPr>
        <w:spacing w:line="360" w:lineRule="auto"/>
        <w:jc w:val="both"/>
      </w:pPr>
      <w:r>
        <w:rPr>
          <w:rFonts w:ascii="Book Antiqua" w:eastAsia="Book Antiqua" w:hAnsi="Book Antiqua" w:cs="Book Antiqua"/>
          <w:b/>
          <w:color w:val="000000"/>
        </w:rPr>
        <w:t>Peer-review report’s scientific quality classification</w:t>
      </w:r>
    </w:p>
    <w:p w14:paraId="2A46B4B3" w14:textId="77777777" w:rsidR="00A77B3E" w:rsidRDefault="00D14015">
      <w:pPr>
        <w:spacing w:line="360" w:lineRule="auto"/>
        <w:jc w:val="both"/>
      </w:pPr>
      <w:r>
        <w:rPr>
          <w:rFonts w:ascii="Book Antiqua" w:eastAsia="Book Antiqua" w:hAnsi="Book Antiqua" w:cs="Book Antiqua"/>
          <w:color w:val="000000"/>
        </w:rPr>
        <w:t>Grade A (Excellent): 0</w:t>
      </w:r>
    </w:p>
    <w:p w14:paraId="758F01CE" w14:textId="77777777" w:rsidR="00A77B3E" w:rsidRDefault="00D14015">
      <w:pPr>
        <w:spacing w:line="360" w:lineRule="auto"/>
        <w:jc w:val="both"/>
      </w:pPr>
      <w:r>
        <w:rPr>
          <w:rFonts w:ascii="Book Antiqua" w:eastAsia="Book Antiqua" w:hAnsi="Book Antiqua" w:cs="Book Antiqua"/>
          <w:color w:val="000000"/>
        </w:rPr>
        <w:t>Grade B (Very good): B</w:t>
      </w:r>
    </w:p>
    <w:p w14:paraId="0A452052" w14:textId="77777777" w:rsidR="00A77B3E" w:rsidRDefault="00D14015">
      <w:pPr>
        <w:spacing w:line="360" w:lineRule="auto"/>
        <w:jc w:val="both"/>
      </w:pPr>
      <w:r>
        <w:rPr>
          <w:rFonts w:ascii="Book Antiqua" w:eastAsia="Book Antiqua" w:hAnsi="Book Antiqua" w:cs="Book Antiqua"/>
          <w:color w:val="000000"/>
        </w:rPr>
        <w:t>Grade C (Good): 0</w:t>
      </w:r>
    </w:p>
    <w:p w14:paraId="18F58D3C" w14:textId="77777777" w:rsidR="00A77B3E" w:rsidRDefault="00D14015">
      <w:pPr>
        <w:spacing w:line="360" w:lineRule="auto"/>
        <w:jc w:val="both"/>
      </w:pPr>
      <w:r>
        <w:rPr>
          <w:rFonts w:ascii="Book Antiqua" w:eastAsia="Book Antiqua" w:hAnsi="Book Antiqua" w:cs="Book Antiqua"/>
          <w:color w:val="000000"/>
        </w:rPr>
        <w:t>Grade D (Fair): 0</w:t>
      </w:r>
    </w:p>
    <w:p w14:paraId="1F37E70E" w14:textId="77777777" w:rsidR="00A77B3E" w:rsidRDefault="00D14015">
      <w:pPr>
        <w:spacing w:line="360" w:lineRule="auto"/>
        <w:jc w:val="both"/>
      </w:pPr>
      <w:r>
        <w:rPr>
          <w:rFonts w:ascii="Book Antiqua" w:eastAsia="Book Antiqua" w:hAnsi="Book Antiqua" w:cs="Book Antiqua"/>
          <w:color w:val="000000"/>
        </w:rPr>
        <w:t>Grade E (Poor): 0</w:t>
      </w:r>
    </w:p>
    <w:p w14:paraId="3EA7B6AA" w14:textId="77777777" w:rsidR="00A77B3E" w:rsidRDefault="00A77B3E">
      <w:pPr>
        <w:spacing w:line="360" w:lineRule="auto"/>
        <w:jc w:val="both"/>
      </w:pPr>
    </w:p>
    <w:p w14:paraId="43176289" w14:textId="77DC082E" w:rsidR="000A6309" w:rsidRDefault="00D140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Ciezki J</w:t>
      </w:r>
      <w:r w:rsidR="0006333D">
        <w:rPr>
          <w:rFonts w:ascii="Book Antiqua" w:eastAsia="Book Antiqua" w:hAnsi="Book Antiqua" w:cs="Book Antiqua"/>
          <w:color w:val="000000"/>
        </w:rPr>
        <w:t>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D1E0A">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BB0C42" w:rsidRPr="00BB0C42">
        <w:rPr>
          <w:rFonts w:ascii="Book Antiqua" w:eastAsia="Book Antiqua" w:hAnsi="Book Antiqua" w:cs="Book Antiqua"/>
          <w:color w:val="000000"/>
        </w:rPr>
        <w:t>Wu YXJ</w:t>
      </w:r>
    </w:p>
    <w:p w14:paraId="7E0FA180" w14:textId="4FC9A0EF" w:rsidR="00A77B3E" w:rsidRDefault="000A6309">
      <w:pPr>
        <w:spacing w:line="360" w:lineRule="auto"/>
        <w:jc w:val="both"/>
        <w:rPr>
          <w:rFonts w:ascii="Book Antiqua" w:hAnsi="Book Antiqua"/>
          <w:b/>
          <w:szCs w:val="21"/>
        </w:rPr>
      </w:pPr>
      <w:r>
        <w:rPr>
          <w:rFonts w:ascii="Book Antiqua" w:eastAsia="Book Antiqua" w:hAnsi="Book Antiqua" w:cs="Book Antiqua"/>
          <w:b/>
          <w:color w:val="000000"/>
        </w:rPr>
        <w:br w:type="page"/>
      </w:r>
      <w:r w:rsidRPr="00AF10AF">
        <w:rPr>
          <w:rFonts w:ascii="Book Antiqua" w:hAnsi="Book Antiqua"/>
          <w:b/>
          <w:szCs w:val="21"/>
        </w:rPr>
        <w:t>Table 1</w:t>
      </w:r>
      <w:r>
        <w:rPr>
          <w:rFonts w:ascii="Book Antiqua" w:hAnsi="Book Antiqua"/>
          <w:b/>
          <w:szCs w:val="21"/>
        </w:rPr>
        <w:t xml:space="preserve"> </w:t>
      </w:r>
      <w:r w:rsidRPr="00AF10AF">
        <w:rPr>
          <w:rFonts w:ascii="Book Antiqua" w:hAnsi="Book Antiqua"/>
          <w:b/>
          <w:szCs w:val="21"/>
        </w:rPr>
        <w:t>Characteristics of the twin pregnancy populations recruited in the study</w:t>
      </w:r>
    </w:p>
    <w:tbl>
      <w:tblPr>
        <w:tblW w:w="0" w:type="auto"/>
        <w:tblLook w:val="04A0" w:firstRow="1" w:lastRow="0" w:firstColumn="1" w:lastColumn="0" w:noHBand="0" w:noVBand="1"/>
      </w:tblPr>
      <w:tblGrid>
        <w:gridCol w:w="5482"/>
        <w:gridCol w:w="3040"/>
      </w:tblGrid>
      <w:tr w:rsidR="000A6309" w:rsidRPr="00AF10AF" w14:paraId="61497609" w14:textId="77777777" w:rsidTr="000A6309">
        <w:tc>
          <w:tcPr>
            <w:tcW w:w="5482" w:type="dxa"/>
            <w:tcBorders>
              <w:top w:val="single" w:sz="4" w:space="0" w:color="auto"/>
              <w:bottom w:val="single" w:sz="4" w:space="0" w:color="auto"/>
            </w:tcBorders>
          </w:tcPr>
          <w:p w14:paraId="5816636E" w14:textId="77777777" w:rsidR="000A6309" w:rsidRPr="00BC7400" w:rsidRDefault="000A6309" w:rsidP="000A6309">
            <w:pPr>
              <w:adjustRightInd w:val="0"/>
              <w:snapToGrid w:val="0"/>
              <w:spacing w:line="360" w:lineRule="auto"/>
              <w:jc w:val="both"/>
              <w:rPr>
                <w:rFonts w:ascii="Book Antiqua" w:hAnsi="Book Antiqua"/>
                <w:b/>
                <w:szCs w:val="21"/>
              </w:rPr>
            </w:pPr>
            <w:r w:rsidRPr="00BC7400">
              <w:rPr>
                <w:rFonts w:ascii="Book Antiqua" w:hAnsi="Book Antiqua"/>
                <w:b/>
                <w:szCs w:val="21"/>
              </w:rPr>
              <w:t>Characteristic</w:t>
            </w:r>
          </w:p>
        </w:tc>
        <w:tc>
          <w:tcPr>
            <w:tcW w:w="3040" w:type="dxa"/>
            <w:tcBorders>
              <w:top w:val="single" w:sz="4" w:space="0" w:color="auto"/>
              <w:bottom w:val="single" w:sz="4" w:space="0" w:color="auto"/>
            </w:tcBorders>
          </w:tcPr>
          <w:p w14:paraId="6DF168AC" w14:textId="77777777" w:rsidR="000A6309" w:rsidRPr="00AF10AF" w:rsidRDefault="000A6309" w:rsidP="000A6309">
            <w:pPr>
              <w:adjustRightInd w:val="0"/>
              <w:snapToGrid w:val="0"/>
              <w:spacing w:line="360" w:lineRule="auto"/>
              <w:jc w:val="both"/>
              <w:rPr>
                <w:rFonts w:ascii="Book Antiqua" w:hAnsi="Book Antiqua"/>
                <w:szCs w:val="21"/>
              </w:rPr>
            </w:pPr>
          </w:p>
        </w:tc>
      </w:tr>
      <w:tr w:rsidR="000A6309" w:rsidRPr="00AF10AF" w14:paraId="2EA0461C" w14:textId="77777777" w:rsidTr="000A6309">
        <w:tc>
          <w:tcPr>
            <w:tcW w:w="5482" w:type="dxa"/>
            <w:tcBorders>
              <w:top w:val="single" w:sz="4" w:space="0" w:color="auto"/>
            </w:tcBorders>
          </w:tcPr>
          <w:p w14:paraId="5A42124E" w14:textId="4DEAB012"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Maternal age (y</w:t>
            </w:r>
            <w:r>
              <w:rPr>
                <w:rFonts w:ascii="Book Antiqua" w:hAnsi="Book Antiqua"/>
                <w:szCs w:val="21"/>
              </w:rPr>
              <w:t>r</w:t>
            </w:r>
            <w:r w:rsidRPr="00AF10AF">
              <w:rPr>
                <w:rFonts w:ascii="Book Antiqua" w:hAnsi="Book Antiqua"/>
                <w:szCs w:val="21"/>
              </w:rPr>
              <w:t>)</w:t>
            </w:r>
          </w:p>
        </w:tc>
        <w:tc>
          <w:tcPr>
            <w:tcW w:w="3040" w:type="dxa"/>
            <w:tcBorders>
              <w:top w:val="single" w:sz="4" w:space="0" w:color="auto"/>
            </w:tcBorders>
          </w:tcPr>
          <w:p w14:paraId="33C52EC7" w14:textId="61C9CA5A"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28.35</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4.84 (21</w:t>
            </w:r>
            <w:r>
              <w:rPr>
                <w:rFonts w:ascii="Book Antiqua" w:hAnsi="Book Antiqua"/>
                <w:szCs w:val="21"/>
              </w:rPr>
              <w:t>-</w:t>
            </w:r>
            <w:r w:rsidRPr="00AF10AF">
              <w:rPr>
                <w:rFonts w:ascii="Book Antiqua" w:hAnsi="Book Antiqua"/>
                <w:szCs w:val="21"/>
              </w:rPr>
              <w:t>38)</w:t>
            </w:r>
          </w:p>
        </w:tc>
      </w:tr>
      <w:tr w:rsidR="000A6309" w:rsidRPr="00AF10AF" w14:paraId="34828A6E" w14:textId="77777777" w:rsidTr="000A6309">
        <w:tc>
          <w:tcPr>
            <w:tcW w:w="5482" w:type="dxa"/>
          </w:tcPr>
          <w:p w14:paraId="55AE746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Gravidity (times)</w:t>
            </w:r>
          </w:p>
        </w:tc>
        <w:tc>
          <w:tcPr>
            <w:tcW w:w="3040" w:type="dxa"/>
          </w:tcPr>
          <w:p w14:paraId="20B40077" w14:textId="56CFF6FA"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1.66</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0.35 (1</w:t>
            </w:r>
            <w:r>
              <w:rPr>
                <w:rFonts w:ascii="Book Antiqua" w:hAnsi="Book Antiqua"/>
                <w:szCs w:val="21"/>
              </w:rPr>
              <w:t>-</w:t>
            </w:r>
            <w:r w:rsidRPr="00AF10AF">
              <w:rPr>
                <w:rFonts w:ascii="Book Antiqua" w:hAnsi="Book Antiqua"/>
                <w:szCs w:val="21"/>
              </w:rPr>
              <w:t>3)</w:t>
            </w:r>
          </w:p>
        </w:tc>
      </w:tr>
      <w:tr w:rsidR="000A6309" w:rsidRPr="00AF10AF" w14:paraId="4C9183CC" w14:textId="77777777" w:rsidTr="000A6309">
        <w:tc>
          <w:tcPr>
            <w:tcW w:w="5482" w:type="dxa"/>
          </w:tcPr>
          <w:p w14:paraId="0F05767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Parity (times)</w:t>
            </w:r>
          </w:p>
        </w:tc>
        <w:tc>
          <w:tcPr>
            <w:tcW w:w="3040" w:type="dxa"/>
          </w:tcPr>
          <w:p w14:paraId="5F9E0779" w14:textId="7DE895BA"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0.14</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0.03 (0</w:t>
            </w:r>
            <w:r>
              <w:rPr>
                <w:rFonts w:ascii="Book Antiqua" w:hAnsi="Book Antiqua"/>
                <w:szCs w:val="21"/>
              </w:rPr>
              <w:t>-</w:t>
            </w:r>
            <w:r w:rsidRPr="00AF10AF">
              <w:rPr>
                <w:rFonts w:ascii="Book Antiqua" w:hAnsi="Book Antiqua"/>
                <w:szCs w:val="21"/>
              </w:rPr>
              <w:t>1)</w:t>
            </w:r>
          </w:p>
        </w:tc>
      </w:tr>
      <w:tr w:rsidR="000A6309" w:rsidRPr="00AF10AF" w14:paraId="2C8BB57A" w14:textId="77777777" w:rsidTr="000A6309">
        <w:tc>
          <w:tcPr>
            <w:tcW w:w="5482" w:type="dxa"/>
          </w:tcPr>
          <w:p w14:paraId="057A16F5" w14:textId="4587EEA1"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Types of conception</w:t>
            </w:r>
            <w:r>
              <w:rPr>
                <w:rFonts w:ascii="Book Antiqua" w:hAnsi="Book Antiqua"/>
                <w:szCs w:val="21"/>
              </w:rPr>
              <w:t xml:space="preserve">, </w:t>
            </w:r>
            <w:r w:rsidRPr="000A6309">
              <w:rPr>
                <w:rFonts w:ascii="Book Antiqua" w:hAnsi="Book Antiqua"/>
                <w:i/>
                <w:iCs/>
                <w:szCs w:val="21"/>
              </w:rPr>
              <w:t>n</w:t>
            </w:r>
            <w:r>
              <w:rPr>
                <w:rFonts w:ascii="Book Antiqua" w:hAnsi="Book Antiqua"/>
                <w:szCs w:val="21"/>
              </w:rPr>
              <w:t xml:space="preserve"> (%)</w:t>
            </w:r>
          </w:p>
        </w:tc>
        <w:tc>
          <w:tcPr>
            <w:tcW w:w="3040" w:type="dxa"/>
          </w:tcPr>
          <w:p w14:paraId="37CF736C" w14:textId="77777777" w:rsidR="000A6309" w:rsidRPr="00AF10AF" w:rsidRDefault="000A6309" w:rsidP="000A6309">
            <w:pPr>
              <w:adjustRightInd w:val="0"/>
              <w:snapToGrid w:val="0"/>
              <w:spacing w:line="360" w:lineRule="auto"/>
              <w:jc w:val="both"/>
              <w:rPr>
                <w:rFonts w:ascii="Book Antiqua" w:hAnsi="Book Antiqua"/>
                <w:szCs w:val="21"/>
              </w:rPr>
            </w:pPr>
          </w:p>
        </w:tc>
      </w:tr>
      <w:tr w:rsidR="000A6309" w:rsidRPr="00AF10AF" w14:paraId="404CEBFD" w14:textId="77777777" w:rsidTr="000A6309">
        <w:tc>
          <w:tcPr>
            <w:tcW w:w="5482" w:type="dxa"/>
          </w:tcPr>
          <w:p w14:paraId="06BDC87D" w14:textId="77777777"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Spontaneous conception</w:t>
            </w:r>
          </w:p>
        </w:tc>
        <w:tc>
          <w:tcPr>
            <w:tcW w:w="3040" w:type="dxa"/>
          </w:tcPr>
          <w:p w14:paraId="39C11B9B" w14:textId="0ADA6B89"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250 (98.43)</w:t>
            </w:r>
          </w:p>
        </w:tc>
      </w:tr>
      <w:tr w:rsidR="000A6309" w:rsidRPr="00AF10AF" w14:paraId="2EA25345" w14:textId="77777777" w:rsidTr="000A6309">
        <w:tc>
          <w:tcPr>
            <w:tcW w:w="5482" w:type="dxa"/>
          </w:tcPr>
          <w:p w14:paraId="62062B37" w14:textId="3C13E1F3"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Medical intervention</w:t>
            </w:r>
          </w:p>
        </w:tc>
        <w:tc>
          <w:tcPr>
            <w:tcW w:w="3040" w:type="dxa"/>
          </w:tcPr>
          <w:p w14:paraId="21B4C2CF" w14:textId="785C2076"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 (1.57)</w:t>
            </w:r>
          </w:p>
        </w:tc>
      </w:tr>
      <w:tr w:rsidR="000A6309" w:rsidRPr="00AF10AF" w14:paraId="7232A92E" w14:textId="77777777" w:rsidTr="000A6309">
        <w:tc>
          <w:tcPr>
            <w:tcW w:w="5482" w:type="dxa"/>
          </w:tcPr>
          <w:p w14:paraId="24615044" w14:textId="0D1F9F4B"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Gestational age (w</w:t>
            </w:r>
            <w:r>
              <w:rPr>
                <w:rFonts w:ascii="Book Antiqua" w:hAnsi="Book Antiqua"/>
                <w:szCs w:val="21"/>
              </w:rPr>
              <w:t>k</w:t>
            </w:r>
            <w:r w:rsidRPr="00AF10AF">
              <w:rPr>
                <w:rFonts w:ascii="Book Antiqua" w:hAnsi="Book Antiqua"/>
                <w:szCs w:val="21"/>
              </w:rPr>
              <w:t>)</w:t>
            </w:r>
          </w:p>
        </w:tc>
        <w:tc>
          <w:tcPr>
            <w:tcW w:w="3040" w:type="dxa"/>
          </w:tcPr>
          <w:p w14:paraId="4450FE25" w14:textId="6BAE9498"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26.54</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3.24 (24</w:t>
            </w:r>
            <w:r>
              <w:rPr>
                <w:rFonts w:ascii="Book Antiqua" w:hAnsi="Book Antiqua"/>
                <w:szCs w:val="21"/>
              </w:rPr>
              <w:t>-</w:t>
            </w:r>
            <w:r w:rsidRPr="00AF10AF">
              <w:rPr>
                <w:rFonts w:ascii="Book Antiqua" w:hAnsi="Book Antiqua"/>
                <w:szCs w:val="21"/>
              </w:rPr>
              <w:t>34)</w:t>
            </w:r>
          </w:p>
        </w:tc>
      </w:tr>
      <w:tr w:rsidR="000A6309" w:rsidRPr="00AF10AF" w14:paraId="56FFCE12" w14:textId="77777777" w:rsidTr="000A6309">
        <w:tc>
          <w:tcPr>
            <w:tcW w:w="5482" w:type="dxa"/>
          </w:tcPr>
          <w:p w14:paraId="1C913E74" w14:textId="665B0056"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Pregnancy complications</w:t>
            </w:r>
            <w:r>
              <w:rPr>
                <w:rFonts w:ascii="Book Antiqua" w:hAnsi="Book Antiqua"/>
                <w:szCs w:val="21"/>
              </w:rPr>
              <w:t xml:space="preserve">, </w:t>
            </w:r>
            <w:r w:rsidRPr="000A6309">
              <w:rPr>
                <w:rFonts w:ascii="Book Antiqua" w:hAnsi="Book Antiqua"/>
                <w:i/>
                <w:iCs/>
                <w:szCs w:val="21"/>
              </w:rPr>
              <w:t>n</w:t>
            </w:r>
            <w:r>
              <w:rPr>
                <w:rFonts w:ascii="Book Antiqua" w:hAnsi="Book Antiqua"/>
                <w:szCs w:val="21"/>
              </w:rPr>
              <w:t xml:space="preserve"> (%)</w:t>
            </w:r>
          </w:p>
        </w:tc>
        <w:tc>
          <w:tcPr>
            <w:tcW w:w="3040" w:type="dxa"/>
          </w:tcPr>
          <w:p w14:paraId="0B159B9F" w14:textId="77777777" w:rsidR="000A6309" w:rsidRPr="00AF10AF" w:rsidRDefault="000A6309" w:rsidP="000A6309">
            <w:pPr>
              <w:adjustRightInd w:val="0"/>
              <w:snapToGrid w:val="0"/>
              <w:spacing w:line="360" w:lineRule="auto"/>
              <w:jc w:val="both"/>
              <w:rPr>
                <w:rFonts w:ascii="Book Antiqua" w:hAnsi="Book Antiqua"/>
                <w:szCs w:val="21"/>
              </w:rPr>
            </w:pPr>
          </w:p>
        </w:tc>
      </w:tr>
      <w:tr w:rsidR="000A6309" w:rsidRPr="00AF10AF" w14:paraId="7154ECB0" w14:textId="77777777" w:rsidTr="000A6309">
        <w:tc>
          <w:tcPr>
            <w:tcW w:w="5482" w:type="dxa"/>
          </w:tcPr>
          <w:p w14:paraId="2E9161EE" w14:textId="23877A90"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Gestational diabetes</w:t>
            </w:r>
          </w:p>
        </w:tc>
        <w:tc>
          <w:tcPr>
            <w:tcW w:w="3040" w:type="dxa"/>
          </w:tcPr>
          <w:p w14:paraId="1A66B5B0" w14:textId="4C28D788"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114 (44.88)</w:t>
            </w:r>
          </w:p>
        </w:tc>
      </w:tr>
      <w:tr w:rsidR="000A6309" w:rsidRPr="00AF10AF" w14:paraId="0AC1731D" w14:textId="77777777" w:rsidTr="000A6309">
        <w:tc>
          <w:tcPr>
            <w:tcW w:w="5482" w:type="dxa"/>
          </w:tcPr>
          <w:p w14:paraId="62090E47" w14:textId="1AA0456B"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Gestational hypertension</w:t>
            </w:r>
          </w:p>
        </w:tc>
        <w:tc>
          <w:tcPr>
            <w:tcW w:w="3040" w:type="dxa"/>
          </w:tcPr>
          <w:p w14:paraId="10759AD4" w14:textId="55E15E1D"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36 (14.17)</w:t>
            </w:r>
          </w:p>
        </w:tc>
      </w:tr>
      <w:tr w:rsidR="000A6309" w:rsidRPr="00AF10AF" w14:paraId="5048C761" w14:textId="77777777" w:rsidTr="000A6309">
        <w:tc>
          <w:tcPr>
            <w:tcW w:w="5482" w:type="dxa"/>
          </w:tcPr>
          <w:p w14:paraId="3A69C693" w14:textId="256AD54E"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Thyroid dysfunction</w:t>
            </w:r>
          </w:p>
        </w:tc>
        <w:tc>
          <w:tcPr>
            <w:tcW w:w="3040" w:type="dxa"/>
          </w:tcPr>
          <w:p w14:paraId="06F3C13C" w14:textId="41E452FB"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56 (22.05)</w:t>
            </w:r>
          </w:p>
        </w:tc>
      </w:tr>
      <w:tr w:rsidR="000A6309" w:rsidRPr="00AF10AF" w14:paraId="65052050" w14:textId="77777777" w:rsidTr="000A6309">
        <w:tc>
          <w:tcPr>
            <w:tcW w:w="5482" w:type="dxa"/>
            <w:tcBorders>
              <w:bottom w:val="single" w:sz="4" w:space="0" w:color="auto"/>
            </w:tcBorders>
          </w:tcPr>
          <w:p w14:paraId="1315B101" w14:textId="367AE51B"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Other complications (</w:t>
            </w:r>
            <w:r w:rsidRPr="00AF10AF">
              <w:rPr>
                <w:rFonts w:ascii="Book Antiqua" w:hAnsi="Book Antiqua"/>
                <w:i/>
                <w:szCs w:val="21"/>
              </w:rPr>
              <w:t>e.g.</w:t>
            </w:r>
            <w:r w:rsidRPr="00AF10AF">
              <w:rPr>
                <w:rFonts w:ascii="Book Antiqua" w:hAnsi="Book Antiqua"/>
                <w:szCs w:val="21"/>
              </w:rPr>
              <w:t>, placenta, amniotic fluid and baby positions in womb)</w:t>
            </w:r>
          </w:p>
        </w:tc>
        <w:tc>
          <w:tcPr>
            <w:tcW w:w="3040" w:type="dxa"/>
            <w:tcBorders>
              <w:bottom w:val="single" w:sz="4" w:space="0" w:color="auto"/>
            </w:tcBorders>
          </w:tcPr>
          <w:p w14:paraId="423421E5" w14:textId="6F5035DB"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48 (18.90)</w:t>
            </w:r>
          </w:p>
        </w:tc>
      </w:tr>
    </w:tbl>
    <w:p w14:paraId="052FBE27" w14:textId="1950DAD0" w:rsidR="000A6309" w:rsidRDefault="000A6309">
      <w:pPr>
        <w:spacing w:line="360" w:lineRule="auto"/>
        <w:jc w:val="both"/>
      </w:pPr>
    </w:p>
    <w:p w14:paraId="061CC8D2" w14:textId="21F949F9" w:rsidR="000A6309" w:rsidRDefault="000A6309">
      <w:pPr>
        <w:spacing w:line="360" w:lineRule="auto"/>
        <w:jc w:val="both"/>
        <w:rPr>
          <w:rFonts w:ascii="Book Antiqua" w:hAnsi="Book Antiqua"/>
          <w:b/>
          <w:szCs w:val="21"/>
        </w:rPr>
      </w:pPr>
      <w:r>
        <w:br w:type="page"/>
      </w:r>
      <w:r w:rsidRPr="00AF10AF">
        <w:rPr>
          <w:rFonts w:ascii="Book Antiqua" w:hAnsi="Book Antiqua"/>
          <w:b/>
          <w:szCs w:val="21"/>
        </w:rPr>
        <w:t>Table 2</w:t>
      </w:r>
      <w:r>
        <w:rPr>
          <w:rFonts w:ascii="Book Antiqua" w:hAnsi="Book Antiqua"/>
          <w:b/>
          <w:szCs w:val="21"/>
        </w:rPr>
        <w:t xml:space="preserve"> </w:t>
      </w:r>
      <w:r w:rsidRPr="00AF10AF">
        <w:rPr>
          <w:rFonts w:ascii="Book Antiqua" w:hAnsi="Book Antiqua"/>
          <w:b/>
          <w:szCs w:val="21"/>
        </w:rPr>
        <w:t xml:space="preserve">Preterm delivery in patients with different central lengths and </w:t>
      </w:r>
      <w:bookmarkStart w:id="1" w:name="_Hlk65149952"/>
      <w:r w:rsidRPr="000A6309">
        <w:rPr>
          <w:rFonts w:ascii="Book Antiqua" w:hAnsi="Book Antiqua"/>
          <w:b/>
          <w:szCs w:val="21"/>
        </w:rPr>
        <w:t>phosphorylated insulin-like growth factor binding protein-1</w:t>
      </w:r>
      <w:bookmarkEnd w:id="1"/>
      <w:r w:rsidRPr="00AF10AF">
        <w:rPr>
          <w:rFonts w:ascii="Book Antiqua" w:hAnsi="Book Antiqua"/>
          <w:b/>
          <w:szCs w:val="21"/>
        </w:rPr>
        <w:t xml:space="preserve"> test results</w:t>
      </w:r>
    </w:p>
    <w:tbl>
      <w:tblPr>
        <w:tblW w:w="0" w:type="auto"/>
        <w:tblInd w:w="-993" w:type="dxa"/>
        <w:tblLayout w:type="fixed"/>
        <w:tblLook w:val="0000" w:firstRow="0" w:lastRow="0" w:firstColumn="0" w:lastColumn="0" w:noHBand="0" w:noVBand="0"/>
      </w:tblPr>
      <w:tblGrid>
        <w:gridCol w:w="1560"/>
        <w:gridCol w:w="1933"/>
        <w:gridCol w:w="585"/>
        <w:gridCol w:w="1701"/>
        <w:gridCol w:w="1255"/>
        <w:gridCol w:w="1472"/>
        <w:gridCol w:w="1559"/>
      </w:tblGrid>
      <w:tr w:rsidR="000A6309" w:rsidRPr="00AF10AF" w14:paraId="4FB82A06" w14:textId="77777777" w:rsidTr="00EE5721">
        <w:tc>
          <w:tcPr>
            <w:tcW w:w="1560" w:type="dxa"/>
            <w:tcBorders>
              <w:top w:val="single" w:sz="4" w:space="0" w:color="auto"/>
              <w:bottom w:val="single" w:sz="4" w:space="0" w:color="auto"/>
            </w:tcBorders>
          </w:tcPr>
          <w:p w14:paraId="6098482C" w14:textId="77777777" w:rsidR="000A6309" w:rsidRPr="00BC7400" w:rsidRDefault="000A6309" w:rsidP="000A6309">
            <w:pPr>
              <w:adjustRightInd w:val="0"/>
              <w:snapToGrid w:val="0"/>
              <w:spacing w:line="360" w:lineRule="auto"/>
              <w:jc w:val="both"/>
              <w:rPr>
                <w:rFonts w:ascii="Book Antiqua" w:hAnsi="Book Antiqua"/>
                <w:b/>
                <w:szCs w:val="21"/>
              </w:rPr>
            </w:pPr>
            <w:r w:rsidRPr="00BC7400">
              <w:rPr>
                <w:rFonts w:ascii="Book Antiqua" w:hAnsi="Book Antiqua"/>
                <w:b/>
                <w:szCs w:val="21"/>
              </w:rPr>
              <w:t>Cervical length</w:t>
            </w:r>
          </w:p>
        </w:tc>
        <w:tc>
          <w:tcPr>
            <w:tcW w:w="1933" w:type="dxa"/>
            <w:tcBorders>
              <w:top w:val="single" w:sz="4" w:space="0" w:color="auto"/>
              <w:bottom w:val="single" w:sz="4" w:space="0" w:color="auto"/>
            </w:tcBorders>
          </w:tcPr>
          <w:p w14:paraId="4D15AF41" w14:textId="77777777"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Expression of</w:t>
            </w:r>
            <w:r w:rsidRPr="00BC7400">
              <w:rPr>
                <w:rFonts w:ascii="Book Antiqua" w:hAnsi="Book Antiqua" w:hint="eastAsia"/>
                <w:b/>
                <w:szCs w:val="21"/>
              </w:rPr>
              <w:t xml:space="preserve"> </w:t>
            </w:r>
            <w:bookmarkStart w:id="2" w:name="_Hlk65149930"/>
            <w:r w:rsidRPr="00BC7400">
              <w:rPr>
                <w:rFonts w:ascii="Book Antiqua" w:hAnsi="Book Antiqua"/>
                <w:b/>
                <w:szCs w:val="21"/>
              </w:rPr>
              <w:t>phIGFBP-1</w:t>
            </w:r>
            <w:bookmarkEnd w:id="2"/>
          </w:p>
        </w:tc>
        <w:tc>
          <w:tcPr>
            <w:tcW w:w="585" w:type="dxa"/>
            <w:tcBorders>
              <w:top w:val="single" w:sz="4" w:space="0" w:color="auto"/>
              <w:bottom w:val="single" w:sz="4" w:space="0" w:color="auto"/>
            </w:tcBorders>
          </w:tcPr>
          <w:p w14:paraId="53F12056" w14:textId="77777777" w:rsidR="000A6309" w:rsidRPr="00BC7400" w:rsidRDefault="000A6309" w:rsidP="000A6309">
            <w:pPr>
              <w:adjustRightInd w:val="0"/>
              <w:snapToGrid w:val="0"/>
              <w:spacing w:line="360" w:lineRule="auto"/>
              <w:jc w:val="both"/>
              <w:rPr>
                <w:rFonts w:ascii="Book Antiqua" w:hAnsi="Book Antiqua"/>
                <w:b/>
                <w:i/>
                <w:szCs w:val="21"/>
              </w:rPr>
            </w:pPr>
            <w:r w:rsidRPr="00BC7400">
              <w:rPr>
                <w:rFonts w:ascii="Book Antiqua" w:hAnsi="Book Antiqua"/>
                <w:b/>
                <w:i/>
                <w:szCs w:val="21"/>
              </w:rPr>
              <w:t>n</w:t>
            </w:r>
          </w:p>
        </w:tc>
        <w:tc>
          <w:tcPr>
            <w:tcW w:w="1701" w:type="dxa"/>
            <w:tcBorders>
              <w:top w:val="single" w:sz="4" w:space="0" w:color="auto"/>
              <w:bottom w:val="single" w:sz="4" w:space="0" w:color="auto"/>
            </w:tcBorders>
          </w:tcPr>
          <w:p w14:paraId="64726745" w14:textId="59EC7621"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&lt;</w:t>
            </w:r>
            <w:r w:rsidRPr="00BC7400">
              <w:rPr>
                <w:rFonts w:ascii="Book Antiqua" w:hAnsi="Book Antiqua" w:hint="eastAsia"/>
                <w:b/>
                <w:szCs w:val="21"/>
              </w:rPr>
              <w:t xml:space="preserve"> </w:t>
            </w:r>
            <w:r w:rsidRPr="00BC7400">
              <w:rPr>
                <w:rFonts w:ascii="Book Antiqua" w:hAnsi="Book Antiqua"/>
                <w:b/>
                <w:szCs w:val="21"/>
              </w:rPr>
              <w:t>30 wk</w:t>
            </w:r>
            <w:r w:rsidR="00ED2342">
              <w:rPr>
                <w:rFonts w:ascii="Book Antiqua" w:hAnsi="Book Antiqua"/>
                <w:b/>
                <w:szCs w:val="21"/>
              </w:rPr>
              <w:t xml:space="preserve"> </w:t>
            </w:r>
            <w:r w:rsidRPr="00BC7400">
              <w:rPr>
                <w:rFonts w:ascii="Book Antiqua" w:hAnsi="Book Antiqua"/>
                <w:b/>
                <w:szCs w:val="21"/>
              </w:rPr>
              <w:t>gestation</w:t>
            </w:r>
          </w:p>
        </w:tc>
        <w:tc>
          <w:tcPr>
            <w:tcW w:w="1255" w:type="dxa"/>
            <w:tcBorders>
              <w:top w:val="single" w:sz="4" w:space="0" w:color="auto"/>
              <w:bottom w:val="single" w:sz="4" w:space="0" w:color="auto"/>
            </w:tcBorders>
          </w:tcPr>
          <w:p w14:paraId="13F0AEB7" w14:textId="5F7CA9E7"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Between 30 and 34 wk</w:t>
            </w:r>
            <w:r>
              <w:rPr>
                <w:rFonts w:ascii="Book Antiqua" w:hAnsi="Book Antiqua"/>
                <w:b/>
                <w:szCs w:val="21"/>
              </w:rPr>
              <w:t xml:space="preserve"> </w:t>
            </w:r>
            <w:r w:rsidRPr="00BC7400">
              <w:rPr>
                <w:rFonts w:ascii="Book Antiqua" w:hAnsi="Book Antiqua"/>
                <w:b/>
                <w:szCs w:val="21"/>
              </w:rPr>
              <w:t>gestation</w:t>
            </w:r>
          </w:p>
        </w:tc>
        <w:tc>
          <w:tcPr>
            <w:tcW w:w="1472" w:type="dxa"/>
            <w:tcBorders>
              <w:top w:val="single" w:sz="4" w:space="0" w:color="auto"/>
              <w:bottom w:val="single" w:sz="4" w:space="0" w:color="auto"/>
            </w:tcBorders>
          </w:tcPr>
          <w:p w14:paraId="136B647F" w14:textId="4C8EDB8F"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Between 34 and 37 wk gestation</w:t>
            </w:r>
          </w:p>
        </w:tc>
        <w:tc>
          <w:tcPr>
            <w:tcW w:w="1559" w:type="dxa"/>
            <w:tcBorders>
              <w:top w:val="single" w:sz="4" w:space="0" w:color="auto"/>
              <w:bottom w:val="single" w:sz="4" w:space="0" w:color="auto"/>
            </w:tcBorders>
          </w:tcPr>
          <w:p w14:paraId="19FB1097" w14:textId="77777777" w:rsidR="000A6309" w:rsidRPr="0024559C" w:rsidRDefault="000A6309" w:rsidP="00284584">
            <w:pPr>
              <w:adjustRightInd w:val="0"/>
              <w:snapToGrid w:val="0"/>
              <w:spacing w:line="360" w:lineRule="auto"/>
              <w:rPr>
                <w:rFonts w:ascii="Book Antiqua" w:hAnsi="Book Antiqua"/>
                <w:b/>
                <w:szCs w:val="21"/>
              </w:rPr>
            </w:pPr>
            <w:r w:rsidRPr="0024559C">
              <w:rPr>
                <w:rFonts w:ascii="Book Antiqua" w:hAnsi="Book Antiqua"/>
                <w:b/>
                <w:szCs w:val="21"/>
              </w:rPr>
              <w:t>Preterm birth rate (%)</w:t>
            </w:r>
          </w:p>
        </w:tc>
      </w:tr>
      <w:tr w:rsidR="000A6309" w:rsidRPr="00AF10AF" w14:paraId="742F624B" w14:textId="77777777" w:rsidTr="00EE5721">
        <w:tc>
          <w:tcPr>
            <w:tcW w:w="1560" w:type="dxa"/>
            <w:vMerge w:val="restart"/>
            <w:tcBorders>
              <w:top w:val="single" w:sz="4" w:space="0" w:color="auto"/>
            </w:tcBorders>
          </w:tcPr>
          <w:p w14:paraId="673118B8"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w:t>
            </w:r>
            <w:r>
              <w:rPr>
                <w:rFonts w:ascii="Book Antiqua" w:hAnsi="Book Antiqua" w:hint="eastAsia"/>
                <w:szCs w:val="21"/>
              </w:rPr>
              <w:t xml:space="preserve"> </w:t>
            </w:r>
            <w:r w:rsidRPr="00AF10AF">
              <w:rPr>
                <w:rFonts w:ascii="Book Antiqua" w:hAnsi="Book Antiqua"/>
                <w:szCs w:val="21"/>
              </w:rPr>
              <w:t>25 mm</w:t>
            </w:r>
          </w:p>
        </w:tc>
        <w:tc>
          <w:tcPr>
            <w:tcW w:w="1933" w:type="dxa"/>
            <w:tcBorders>
              <w:top w:val="single" w:sz="4" w:space="0" w:color="auto"/>
            </w:tcBorders>
          </w:tcPr>
          <w:p w14:paraId="618E444D"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Positive</w:t>
            </w:r>
          </w:p>
        </w:tc>
        <w:tc>
          <w:tcPr>
            <w:tcW w:w="585" w:type="dxa"/>
            <w:tcBorders>
              <w:top w:val="single" w:sz="4" w:space="0" w:color="auto"/>
            </w:tcBorders>
          </w:tcPr>
          <w:p w14:paraId="29DF28AC"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63</w:t>
            </w:r>
          </w:p>
        </w:tc>
        <w:tc>
          <w:tcPr>
            <w:tcW w:w="1701" w:type="dxa"/>
            <w:tcBorders>
              <w:top w:val="single" w:sz="4" w:space="0" w:color="auto"/>
            </w:tcBorders>
          </w:tcPr>
          <w:p w14:paraId="71281B22"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20</w:t>
            </w:r>
          </w:p>
        </w:tc>
        <w:tc>
          <w:tcPr>
            <w:tcW w:w="1255" w:type="dxa"/>
            <w:tcBorders>
              <w:top w:val="single" w:sz="4" w:space="0" w:color="auto"/>
            </w:tcBorders>
          </w:tcPr>
          <w:p w14:paraId="2AA5E096"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13</w:t>
            </w:r>
          </w:p>
        </w:tc>
        <w:tc>
          <w:tcPr>
            <w:tcW w:w="1472" w:type="dxa"/>
            <w:tcBorders>
              <w:top w:val="single" w:sz="4" w:space="0" w:color="auto"/>
            </w:tcBorders>
          </w:tcPr>
          <w:p w14:paraId="38A5B070"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12</w:t>
            </w:r>
          </w:p>
        </w:tc>
        <w:tc>
          <w:tcPr>
            <w:tcW w:w="1559" w:type="dxa"/>
            <w:tcBorders>
              <w:top w:val="single" w:sz="4" w:space="0" w:color="auto"/>
            </w:tcBorders>
          </w:tcPr>
          <w:p w14:paraId="476E7947"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45 (71.43)</w:t>
            </w:r>
          </w:p>
        </w:tc>
      </w:tr>
      <w:tr w:rsidR="000A6309" w:rsidRPr="00AF10AF" w14:paraId="451D2C95" w14:textId="77777777" w:rsidTr="00EE5721">
        <w:tc>
          <w:tcPr>
            <w:tcW w:w="1560" w:type="dxa"/>
            <w:vMerge/>
          </w:tcPr>
          <w:p w14:paraId="58DADEB7" w14:textId="77777777" w:rsidR="000A6309" w:rsidRPr="00AF10AF" w:rsidRDefault="000A6309" w:rsidP="000A6309">
            <w:pPr>
              <w:adjustRightInd w:val="0"/>
              <w:snapToGrid w:val="0"/>
              <w:spacing w:line="360" w:lineRule="auto"/>
              <w:jc w:val="both"/>
              <w:rPr>
                <w:rFonts w:ascii="Book Antiqua" w:hAnsi="Book Antiqua"/>
                <w:szCs w:val="21"/>
              </w:rPr>
            </w:pPr>
          </w:p>
        </w:tc>
        <w:tc>
          <w:tcPr>
            <w:tcW w:w="1933" w:type="dxa"/>
          </w:tcPr>
          <w:p w14:paraId="5F9EFBE7"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Negative</w:t>
            </w:r>
          </w:p>
        </w:tc>
        <w:tc>
          <w:tcPr>
            <w:tcW w:w="585" w:type="dxa"/>
          </w:tcPr>
          <w:p w14:paraId="7132BC8F"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51</w:t>
            </w:r>
          </w:p>
        </w:tc>
        <w:tc>
          <w:tcPr>
            <w:tcW w:w="1701" w:type="dxa"/>
          </w:tcPr>
          <w:p w14:paraId="4278AC8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16</w:t>
            </w:r>
          </w:p>
        </w:tc>
        <w:tc>
          <w:tcPr>
            <w:tcW w:w="1255" w:type="dxa"/>
          </w:tcPr>
          <w:p w14:paraId="2A7F137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9</w:t>
            </w:r>
          </w:p>
        </w:tc>
        <w:tc>
          <w:tcPr>
            <w:tcW w:w="1472" w:type="dxa"/>
          </w:tcPr>
          <w:p w14:paraId="681A1843"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w:t>
            </w:r>
          </w:p>
        </w:tc>
        <w:tc>
          <w:tcPr>
            <w:tcW w:w="1559" w:type="dxa"/>
          </w:tcPr>
          <w:p w14:paraId="4C21BB59"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29 (56.86)</w:t>
            </w:r>
          </w:p>
        </w:tc>
      </w:tr>
      <w:tr w:rsidR="000A6309" w:rsidRPr="00AF10AF" w14:paraId="34F4459C" w14:textId="77777777" w:rsidTr="00EE5721">
        <w:tc>
          <w:tcPr>
            <w:tcW w:w="1560" w:type="dxa"/>
            <w:vMerge w:val="restart"/>
          </w:tcPr>
          <w:p w14:paraId="0B443583" w14:textId="77777777" w:rsidR="000A6309" w:rsidRPr="00AF10AF" w:rsidRDefault="000A6309" w:rsidP="000A6309">
            <w:pPr>
              <w:adjustRightInd w:val="0"/>
              <w:snapToGrid w:val="0"/>
              <w:spacing w:line="360" w:lineRule="auto"/>
              <w:jc w:val="both"/>
              <w:rPr>
                <w:rFonts w:ascii="Book Antiqua" w:hAnsi="Book Antiqua"/>
                <w:szCs w:val="21"/>
              </w:rPr>
            </w:pPr>
            <w:r>
              <w:rPr>
                <w:rFonts w:ascii="Book Antiqua" w:hAnsi="Book Antiqua" w:hint="eastAsia"/>
                <w:szCs w:val="21"/>
              </w:rPr>
              <w:t xml:space="preserve">&gt; </w:t>
            </w:r>
            <w:r w:rsidRPr="00AF10AF">
              <w:rPr>
                <w:rFonts w:ascii="Book Antiqua" w:hAnsi="Book Antiqua"/>
                <w:szCs w:val="21"/>
              </w:rPr>
              <w:t>25 mm</w:t>
            </w:r>
          </w:p>
        </w:tc>
        <w:tc>
          <w:tcPr>
            <w:tcW w:w="1933" w:type="dxa"/>
          </w:tcPr>
          <w:p w14:paraId="52C58CD9"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Positive</w:t>
            </w:r>
          </w:p>
        </w:tc>
        <w:tc>
          <w:tcPr>
            <w:tcW w:w="585" w:type="dxa"/>
          </w:tcPr>
          <w:p w14:paraId="7FB94BC0"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60</w:t>
            </w:r>
          </w:p>
        </w:tc>
        <w:tc>
          <w:tcPr>
            <w:tcW w:w="1701" w:type="dxa"/>
          </w:tcPr>
          <w:p w14:paraId="029C0CAD"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w:t>
            </w:r>
          </w:p>
        </w:tc>
        <w:tc>
          <w:tcPr>
            <w:tcW w:w="1255" w:type="dxa"/>
          </w:tcPr>
          <w:p w14:paraId="379EE925"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w:t>
            </w:r>
          </w:p>
        </w:tc>
        <w:tc>
          <w:tcPr>
            <w:tcW w:w="1472" w:type="dxa"/>
          </w:tcPr>
          <w:p w14:paraId="6662EEEF"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3</w:t>
            </w:r>
          </w:p>
        </w:tc>
        <w:tc>
          <w:tcPr>
            <w:tcW w:w="1559" w:type="dxa"/>
          </w:tcPr>
          <w:p w14:paraId="7C752408"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13 (21.67)</w:t>
            </w:r>
          </w:p>
        </w:tc>
      </w:tr>
      <w:tr w:rsidR="000A6309" w:rsidRPr="00AF10AF" w14:paraId="5834D600" w14:textId="77777777" w:rsidTr="00EE5721">
        <w:tc>
          <w:tcPr>
            <w:tcW w:w="1560" w:type="dxa"/>
            <w:vMerge/>
            <w:tcBorders>
              <w:bottom w:val="single" w:sz="4" w:space="0" w:color="auto"/>
            </w:tcBorders>
          </w:tcPr>
          <w:p w14:paraId="1A1F5182" w14:textId="77777777" w:rsidR="000A6309" w:rsidRPr="00AF10AF" w:rsidRDefault="000A6309" w:rsidP="000A6309">
            <w:pPr>
              <w:adjustRightInd w:val="0"/>
              <w:snapToGrid w:val="0"/>
              <w:spacing w:line="360" w:lineRule="auto"/>
              <w:jc w:val="both"/>
              <w:rPr>
                <w:rFonts w:ascii="Book Antiqua" w:hAnsi="Book Antiqua"/>
                <w:szCs w:val="21"/>
              </w:rPr>
            </w:pPr>
          </w:p>
        </w:tc>
        <w:tc>
          <w:tcPr>
            <w:tcW w:w="1933" w:type="dxa"/>
            <w:tcBorders>
              <w:bottom w:val="single" w:sz="4" w:space="0" w:color="auto"/>
            </w:tcBorders>
          </w:tcPr>
          <w:p w14:paraId="3E86A7EB"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Negative</w:t>
            </w:r>
          </w:p>
        </w:tc>
        <w:tc>
          <w:tcPr>
            <w:tcW w:w="585" w:type="dxa"/>
            <w:tcBorders>
              <w:bottom w:val="single" w:sz="4" w:space="0" w:color="auto"/>
            </w:tcBorders>
          </w:tcPr>
          <w:p w14:paraId="4EE4A4FB"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80</w:t>
            </w:r>
          </w:p>
        </w:tc>
        <w:tc>
          <w:tcPr>
            <w:tcW w:w="1701" w:type="dxa"/>
            <w:tcBorders>
              <w:bottom w:val="single" w:sz="4" w:space="0" w:color="auto"/>
            </w:tcBorders>
          </w:tcPr>
          <w:p w14:paraId="349A1D62"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w:t>
            </w:r>
          </w:p>
        </w:tc>
        <w:tc>
          <w:tcPr>
            <w:tcW w:w="1255" w:type="dxa"/>
            <w:tcBorders>
              <w:bottom w:val="single" w:sz="4" w:space="0" w:color="auto"/>
            </w:tcBorders>
          </w:tcPr>
          <w:p w14:paraId="1765F72B"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w:t>
            </w:r>
          </w:p>
        </w:tc>
        <w:tc>
          <w:tcPr>
            <w:tcW w:w="1472" w:type="dxa"/>
            <w:tcBorders>
              <w:bottom w:val="single" w:sz="4" w:space="0" w:color="auto"/>
            </w:tcBorders>
          </w:tcPr>
          <w:p w14:paraId="3DC7F9CC"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9</w:t>
            </w:r>
          </w:p>
        </w:tc>
        <w:tc>
          <w:tcPr>
            <w:tcW w:w="1559" w:type="dxa"/>
            <w:tcBorders>
              <w:bottom w:val="single" w:sz="4" w:space="0" w:color="auto"/>
            </w:tcBorders>
          </w:tcPr>
          <w:p w14:paraId="3BC6E465"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12 (15.00)</w:t>
            </w:r>
          </w:p>
        </w:tc>
      </w:tr>
    </w:tbl>
    <w:p w14:paraId="73979DFC" w14:textId="3E01B2D7" w:rsidR="00570F76" w:rsidRDefault="000A6309">
      <w:pPr>
        <w:spacing w:line="360" w:lineRule="auto"/>
        <w:jc w:val="both"/>
        <w:rPr>
          <w:rFonts w:ascii="Book Antiqua" w:hAnsi="Book Antiqua"/>
        </w:rPr>
      </w:pPr>
      <w:r w:rsidRPr="000A6309">
        <w:rPr>
          <w:rFonts w:ascii="Book Antiqua" w:hAnsi="Book Antiqua"/>
        </w:rPr>
        <w:t>phIGFBP-1</w:t>
      </w:r>
      <w:r>
        <w:rPr>
          <w:rFonts w:ascii="Book Antiqua" w:hAnsi="Book Antiqua"/>
        </w:rPr>
        <w:t xml:space="preserve">: </w:t>
      </w:r>
      <w:r w:rsidR="002E7D3A">
        <w:rPr>
          <w:rFonts w:ascii="Book Antiqua" w:hAnsi="Book Antiqua"/>
        </w:rPr>
        <w:t>P</w:t>
      </w:r>
      <w:r w:rsidR="002E7D3A" w:rsidRPr="002E7D3A">
        <w:rPr>
          <w:rFonts w:ascii="Book Antiqua" w:hAnsi="Book Antiqua"/>
        </w:rPr>
        <w:t>hosphorylated insulin-like growth factor binding protein-1</w:t>
      </w:r>
      <w:r w:rsidR="002E7D3A">
        <w:rPr>
          <w:rFonts w:ascii="Book Antiqua" w:hAnsi="Book Antiqua"/>
        </w:rPr>
        <w:t>.</w:t>
      </w:r>
    </w:p>
    <w:p w14:paraId="059B9DCF" w14:textId="1F89D238" w:rsidR="000A6309" w:rsidRDefault="00570F76">
      <w:pPr>
        <w:spacing w:line="360" w:lineRule="auto"/>
        <w:jc w:val="both"/>
        <w:rPr>
          <w:rFonts w:ascii="Book Antiqua" w:hAnsi="Book Antiqua"/>
          <w:b/>
          <w:szCs w:val="21"/>
        </w:rPr>
      </w:pPr>
      <w:r>
        <w:rPr>
          <w:rFonts w:ascii="Book Antiqua" w:hAnsi="Book Antiqua"/>
        </w:rPr>
        <w:br w:type="page"/>
      </w:r>
      <w:r w:rsidRPr="00AF10AF">
        <w:rPr>
          <w:rFonts w:ascii="Book Antiqua" w:hAnsi="Book Antiqua"/>
          <w:b/>
          <w:szCs w:val="21"/>
        </w:rPr>
        <w:t>Table 3</w:t>
      </w:r>
      <w:r>
        <w:rPr>
          <w:rFonts w:ascii="Book Antiqua" w:hAnsi="Book Antiqua"/>
          <w:b/>
          <w:szCs w:val="21"/>
        </w:rPr>
        <w:t xml:space="preserve"> </w:t>
      </w:r>
      <w:r w:rsidR="00231755">
        <w:rPr>
          <w:rFonts w:ascii="Book Antiqua" w:hAnsi="Book Antiqua"/>
          <w:b/>
          <w:szCs w:val="21"/>
        </w:rPr>
        <w:t>P</w:t>
      </w:r>
      <w:r w:rsidRPr="00AF10AF">
        <w:rPr>
          <w:rFonts w:ascii="Book Antiqua" w:hAnsi="Book Antiqua"/>
          <w:b/>
          <w:szCs w:val="21"/>
        </w:rPr>
        <w:t xml:space="preserve">redictive performance of </w:t>
      </w:r>
      <w:r w:rsidRPr="000A6309">
        <w:rPr>
          <w:rFonts w:ascii="Book Antiqua" w:hAnsi="Book Antiqua"/>
          <w:b/>
          <w:szCs w:val="21"/>
        </w:rPr>
        <w:t>phosphorylated insulin-like growth factor binding protein-1</w:t>
      </w:r>
      <w:r w:rsidRPr="00AF10AF">
        <w:rPr>
          <w:rFonts w:ascii="Book Antiqua" w:hAnsi="Book Antiqua"/>
          <w:b/>
          <w:szCs w:val="21"/>
        </w:rPr>
        <w:t xml:space="preserve"> expression combined with cervical length </w:t>
      </w:r>
      <w:r w:rsidR="00CF161C">
        <w:rPr>
          <w:rFonts w:ascii="Book Antiqua" w:hAnsi="Book Antiqua"/>
          <w:b/>
          <w:szCs w:val="21"/>
        </w:rPr>
        <w:t xml:space="preserve">test </w:t>
      </w:r>
      <w:r w:rsidRPr="00AF10AF">
        <w:rPr>
          <w:rFonts w:ascii="Book Antiqua" w:hAnsi="Book Antiqua"/>
          <w:b/>
          <w:szCs w:val="21"/>
        </w:rPr>
        <w:t>for preterm delivery in twin pregnancies</w:t>
      </w:r>
    </w:p>
    <w:tbl>
      <w:tblPr>
        <w:tblW w:w="0" w:type="auto"/>
        <w:tblLook w:val="04A0" w:firstRow="1" w:lastRow="0" w:firstColumn="1" w:lastColumn="0" w:noHBand="0" w:noVBand="1"/>
      </w:tblPr>
      <w:tblGrid>
        <w:gridCol w:w="2130"/>
        <w:gridCol w:w="2202"/>
        <w:gridCol w:w="2130"/>
        <w:gridCol w:w="2060"/>
      </w:tblGrid>
      <w:tr w:rsidR="00570F76" w:rsidRPr="00AF10AF" w14:paraId="7F94BF81" w14:textId="77777777" w:rsidTr="00570F76">
        <w:trPr>
          <w:trHeight w:val="651"/>
        </w:trPr>
        <w:tc>
          <w:tcPr>
            <w:tcW w:w="2130" w:type="dxa"/>
            <w:vMerge w:val="restart"/>
            <w:tcBorders>
              <w:top w:val="single" w:sz="4" w:space="0" w:color="auto"/>
              <w:bottom w:val="single" w:sz="4" w:space="0" w:color="auto"/>
            </w:tcBorders>
          </w:tcPr>
          <w:p w14:paraId="615E8C1D" w14:textId="6B110662" w:rsidR="00570F76" w:rsidRPr="00570F76" w:rsidRDefault="00570F76" w:rsidP="00570F76">
            <w:pPr>
              <w:adjustRightInd w:val="0"/>
              <w:snapToGrid w:val="0"/>
              <w:spacing w:line="360" w:lineRule="auto"/>
              <w:jc w:val="both"/>
              <w:rPr>
                <w:rFonts w:ascii="Book Antiqua" w:hAnsi="Book Antiqua"/>
                <w:b/>
                <w:szCs w:val="21"/>
              </w:rPr>
            </w:pPr>
            <w:r w:rsidRPr="00AF10AF">
              <w:rPr>
                <w:rFonts w:ascii="Book Antiqua" w:hAnsi="Book Antiqua"/>
                <w:b/>
                <w:szCs w:val="21"/>
              </w:rPr>
              <w:t>Pregnancy outcomes</w:t>
            </w:r>
          </w:p>
        </w:tc>
        <w:tc>
          <w:tcPr>
            <w:tcW w:w="4332" w:type="dxa"/>
            <w:gridSpan w:val="2"/>
            <w:tcBorders>
              <w:top w:val="single" w:sz="4" w:space="0" w:color="auto"/>
              <w:bottom w:val="single" w:sz="4" w:space="0" w:color="auto"/>
            </w:tcBorders>
          </w:tcPr>
          <w:p w14:paraId="03321DF7" w14:textId="77777777" w:rsidR="00570F76" w:rsidRPr="00BC7400" w:rsidRDefault="00570F76" w:rsidP="00D30BF9">
            <w:pPr>
              <w:adjustRightInd w:val="0"/>
              <w:snapToGrid w:val="0"/>
              <w:spacing w:line="360" w:lineRule="auto"/>
              <w:jc w:val="center"/>
              <w:rPr>
                <w:rFonts w:ascii="Book Antiqua" w:hAnsi="Book Antiqua"/>
                <w:b/>
                <w:szCs w:val="21"/>
              </w:rPr>
            </w:pPr>
            <w:r w:rsidRPr="00BC7400">
              <w:rPr>
                <w:rFonts w:ascii="Book Antiqua" w:hAnsi="Book Antiqua"/>
                <w:b/>
                <w:szCs w:val="21"/>
              </w:rPr>
              <w:t xml:space="preserve">phIGFBP-1 expression combined with </w:t>
            </w:r>
            <w:r w:rsidRPr="00B4392E">
              <w:rPr>
                <w:rFonts w:ascii="Book Antiqua" w:hAnsi="Book Antiqua"/>
                <w:b/>
                <w:szCs w:val="21"/>
              </w:rPr>
              <w:t>cervical length</w:t>
            </w:r>
          </w:p>
        </w:tc>
        <w:tc>
          <w:tcPr>
            <w:tcW w:w="2060" w:type="dxa"/>
            <w:vMerge w:val="restart"/>
            <w:tcBorders>
              <w:top w:val="single" w:sz="4" w:space="0" w:color="auto"/>
              <w:bottom w:val="single" w:sz="4" w:space="0" w:color="auto"/>
            </w:tcBorders>
          </w:tcPr>
          <w:p w14:paraId="34B42FA6" w14:textId="77777777" w:rsidR="00570F76" w:rsidRPr="00BC7400" w:rsidRDefault="00570F76" w:rsidP="00570F76">
            <w:pPr>
              <w:adjustRightInd w:val="0"/>
              <w:snapToGrid w:val="0"/>
              <w:spacing w:line="360" w:lineRule="auto"/>
              <w:jc w:val="both"/>
              <w:rPr>
                <w:rFonts w:ascii="Book Antiqua" w:hAnsi="Book Antiqua"/>
                <w:b/>
                <w:szCs w:val="21"/>
              </w:rPr>
            </w:pPr>
            <w:r w:rsidRPr="00BC7400">
              <w:rPr>
                <w:rFonts w:ascii="Book Antiqua" w:hAnsi="Book Antiqua"/>
                <w:b/>
                <w:szCs w:val="21"/>
              </w:rPr>
              <w:t>Total</w:t>
            </w:r>
          </w:p>
        </w:tc>
      </w:tr>
      <w:tr w:rsidR="00570F76" w:rsidRPr="00AF10AF" w14:paraId="126611C6" w14:textId="77777777" w:rsidTr="00570F76">
        <w:tc>
          <w:tcPr>
            <w:tcW w:w="2130" w:type="dxa"/>
            <w:vMerge/>
            <w:tcBorders>
              <w:top w:val="single" w:sz="4" w:space="0" w:color="auto"/>
              <w:bottom w:val="single" w:sz="4" w:space="0" w:color="auto"/>
            </w:tcBorders>
          </w:tcPr>
          <w:p w14:paraId="0883C4A8" w14:textId="77777777" w:rsidR="00570F76" w:rsidRPr="00AF10AF" w:rsidRDefault="00570F76" w:rsidP="00570F76">
            <w:pPr>
              <w:adjustRightInd w:val="0"/>
              <w:snapToGrid w:val="0"/>
              <w:spacing w:line="360" w:lineRule="auto"/>
              <w:jc w:val="both"/>
              <w:rPr>
                <w:rFonts w:ascii="Book Antiqua" w:hAnsi="Book Antiqua"/>
                <w:szCs w:val="21"/>
              </w:rPr>
            </w:pPr>
          </w:p>
        </w:tc>
        <w:tc>
          <w:tcPr>
            <w:tcW w:w="2202" w:type="dxa"/>
            <w:tcBorders>
              <w:top w:val="single" w:sz="4" w:space="0" w:color="auto"/>
              <w:bottom w:val="single" w:sz="4" w:space="0" w:color="auto"/>
            </w:tcBorders>
          </w:tcPr>
          <w:p w14:paraId="421C2032" w14:textId="77777777" w:rsidR="00570F76" w:rsidRPr="00570F76" w:rsidRDefault="00570F76" w:rsidP="00570F76">
            <w:pPr>
              <w:adjustRightInd w:val="0"/>
              <w:snapToGrid w:val="0"/>
              <w:spacing w:line="360" w:lineRule="auto"/>
              <w:jc w:val="both"/>
              <w:rPr>
                <w:rFonts w:ascii="Book Antiqua" w:hAnsi="Book Antiqua"/>
                <w:b/>
                <w:bCs/>
                <w:szCs w:val="21"/>
              </w:rPr>
            </w:pPr>
            <w:r w:rsidRPr="00570F76">
              <w:rPr>
                <w:rFonts w:ascii="Book Antiqua" w:hAnsi="Book Antiqua"/>
                <w:b/>
                <w:bCs/>
                <w:szCs w:val="21"/>
              </w:rPr>
              <w:t>+</w:t>
            </w:r>
          </w:p>
        </w:tc>
        <w:tc>
          <w:tcPr>
            <w:tcW w:w="2130" w:type="dxa"/>
            <w:tcBorders>
              <w:top w:val="single" w:sz="4" w:space="0" w:color="auto"/>
              <w:bottom w:val="single" w:sz="4" w:space="0" w:color="auto"/>
            </w:tcBorders>
          </w:tcPr>
          <w:p w14:paraId="4C0BFCB9" w14:textId="77777777" w:rsidR="00570F76" w:rsidRPr="00570F76" w:rsidRDefault="00570F76" w:rsidP="00570F76">
            <w:pPr>
              <w:adjustRightInd w:val="0"/>
              <w:snapToGrid w:val="0"/>
              <w:spacing w:line="360" w:lineRule="auto"/>
              <w:jc w:val="both"/>
              <w:rPr>
                <w:rFonts w:ascii="Book Antiqua" w:hAnsi="Book Antiqua"/>
                <w:b/>
                <w:bCs/>
                <w:szCs w:val="21"/>
              </w:rPr>
            </w:pPr>
            <w:r w:rsidRPr="00570F76">
              <w:rPr>
                <w:rFonts w:ascii="Book Antiqua" w:hAnsi="Book Antiqua"/>
                <w:b/>
                <w:bCs/>
                <w:szCs w:val="21"/>
              </w:rPr>
              <w:t>-</w:t>
            </w:r>
          </w:p>
        </w:tc>
        <w:tc>
          <w:tcPr>
            <w:tcW w:w="2060" w:type="dxa"/>
            <w:vMerge/>
            <w:tcBorders>
              <w:bottom w:val="single" w:sz="4" w:space="0" w:color="auto"/>
            </w:tcBorders>
          </w:tcPr>
          <w:p w14:paraId="02EB27E4" w14:textId="77777777" w:rsidR="00570F76" w:rsidRPr="00AF10AF" w:rsidRDefault="00570F76" w:rsidP="00570F76">
            <w:pPr>
              <w:adjustRightInd w:val="0"/>
              <w:snapToGrid w:val="0"/>
              <w:spacing w:line="360" w:lineRule="auto"/>
              <w:jc w:val="both"/>
              <w:rPr>
                <w:rFonts w:ascii="Book Antiqua" w:hAnsi="Book Antiqua"/>
                <w:szCs w:val="21"/>
              </w:rPr>
            </w:pPr>
          </w:p>
        </w:tc>
      </w:tr>
      <w:tr w:rsidR="00570F76" w:rsidRPr="00AF10AF" w14:paraId="4D99FAC8" w14:textId="77777777" w:rsidTr="00570F76">
        <w:tc>
          <w:tcPr>
            <w:tcW w:w="2130" w:type="dxa"/>
            <w:tcBorders>
              <w:top w:val="single" w:sz="4" w:space="0" w:color="auto"/>
            </w:tcBorders>
          </w:tcPr>
          <w:p w14:paraId="70C49865"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w:t>
            </w:r>
          </w:p>
        </w:tc>
        <w:tc>
          <w:tcPr>
            <w:tcW w:w="2202" w:type="dxa"/>
            <w:tcBorders>
              <w:top w:val="single" w:sz="4" w:space="0" w:color="auto"/>
            </w:tcBorders>
          </w:tcPr>
          <w:p w14:paraId="411745C4"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156</w:t>
            </w:r>
          </w:p>
        </w:tc>
        <w:tc>
          <w:tcPr>
            <w:tcW w:w="2130" w:type="dxa"/>
            <w:tcBorders>
              <w:top w:val="single" w:sz="4" w:space="0" w:color="auto"/>
            </w:tcBorders>
          </w:tcPr>
          <w:p w14:paraId="34DC3969"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8</w:t>
            </w:r>
          </w:p>
        </w:tc>
        <w:tc>
          <w:tcPr>
            <w:tcW w:w="2060" w:type="dxa"/>
            <w:tcBorders>
              <w:top w:val="single" w:sz="4" w:space="0" w:color="auto"/>
            </w:tcBorders>
          </w:tcPr>
          <w:p w14:paraId="7F933660"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164</w:t>
            </w:r>
          </w:p>
        </w:tc>
      </w:tr>
      <w:tr w:rsidR="00570F76" w:rsidRPr="00AF10AF" w14:paraId="6267679E" w14:textId="77777777" w:rsidTr="00570F76">
        <w:tc>
          <w:tcPr>
            <w:tcW w:w="2130" w:type="dxa"/>
          </w:tcPr>
          <w:p w14:paraId="2736B8E1"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w:t>
            </w:r>
          </w:p>
        </w:tc>
        <w:tc>
          <w:tcPr>
            <w:tcW w:w="2202" w:type="dxa"/>
          </w:tcPr>
          <w:p w14:paraId="795F4AA1"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7</w:t>
            </w:r>
          </w:p>
        </w:tc>
        <w:tc>
          <w:tcPr>
            <w:tcW w:w="2130" w:type="dxa"/>
          </w:tcPr>
          <w:p w14:paraId="57BEF9D9"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83</w:t>
            </w:r>
          </w:p>
        </w:tc>
        <w:tc>
          <w:tcPr>
            <w:tcW w:w="2060" w:type="dxa"/>
          </w:tcPr>
          <w:p w14:paraId="5483E14F"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90</w:t>
            </w:r>
          </w:p>
        </w:tc>
      </w:tr>
      <w:tr w:rsidR="00570F76" w:rsidRPr="00AF10AF" w14:paraId="11CB1028" w14:textId="77777777" w:rsidTr="00570F76">
        <w:tc>
          <w:tcPr>
            <w:tcW w:w="2130" w:type="dxa"/>
            <w:tcBorders>
              <w:bottom w:val="single" w:sz="4" w:space="0" w:color="auto"/>
            </w:tcBorders>
          </w:tcPr>
          <w:p w14:paraId="33FF0306"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Total</w:t>
            </w:r>
          </w:p>
        </w:tc>
        <w:tc>
          <w:tcPr>
            <w:tcW w:w="2202" w:type="dxa"/>
            <w:tcBorders>
              <w:bottom w:val="single" w:sz="4" w:space="0" w:color="auto"/>
            </w:tcBorders>
          </w:tcPr>
          <w:p w14:paraId="5923C2DD"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163</w:t>
            </w:r>
          </w:p>
        </w:tc>
        <w:tc>
          <w:tcPr>
            <w:tcW w:w="2130" w:type="dxa"/>
            <w:tcBorders>
              <w:bottom w:val="single" w:sz="4" w:space="0" w:color="auto"/>
            </w:tcBorders>
          </w:tcPr>
          <w:p w14:paraId="4BF76F47"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91</w:t>
            </w:r>
          </w:p>
        </w:tc>
        <w:tc>
          <w:tcPr>
            <w:tcW w:w="2060" w:type="dxa"/>
            <w:tcBorders>
              <w:bottom w:val="single" w:sz="4" w:space="0" w:color="auto"/>
            </w:tcBorders>
          </w:tcPr>
          <w:p w14:paraId="6E74CC35"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254</w:t>
            </w:r>
          </w:p>
        </w:tc>
      </w:tr>
    </w:tbl>
    <w:p w14:paraId="34CB7DD5" w14:textId="0774B3B4" w:rsidR="00F77303" w:rsidRDefault="00570F76">
      <w:pPr>
        <w:spacing w:line="360" w:lineRule="auto"/>
        <w:jc w:val="both"/>
        <w:rPr>
          <w:rFonts w:ascii="Book Antiqua" w:hAnsi="Book Antiqua"/>
        </w:rPr>
      </w:pPr>
      <w:r w:rsidRPr="00AF10AF">
        <w:rPr>
          <w:rFonts w:ascii="Book Antiqua" w:hAnsi="Book Antiqua"/>
          <w:szCs w:val="21"/>
        </w:rPr>
        <w:t>“+”</w:t>
      </w:r>
      <w:r>
        <w:rPr>
          <w:rFonts w:ascii="Book Antiqua" w:hAnsi="Book Antiqua" w:hint="eastAsia"/>
          <w:szCs w:val="21"/>
        </w:rPr>
        <w:t>:</w:t>
      </w:r>
      <w:r w:rsidRPr="00AF10AF">
        <w:rPr>
          <w:rFonts w:ascii="Book Antiqua" w:hAnsi="Book Antiqua"/>
          <w:szCs w:val="21"/>
        </w:rPr>
        <w:t xml:space="preserve"> </w:t>
      </w:r>
      <w:r>
        <w:rPr>
          <w:rFonts w:ascii="Book Antiqua" w:hAnsi="Book Antiqua"/>
          <w:szCs w:val="21"/>
        </w:rPr>
        <w:t>P</w:t>
      </w:r>
      <w:r w:rsidRPr="00AF10AF">
        <w:rPr>
          <w:rFonts w:ascii="Book Antiqua" w:hAnsi="Book Antiqua"/>
          <w:szCs w:val="21"/>
        </w:rPr>
        <w:t>reterm delivery; “-”</w:t>
      </w:r>
      <w:r>
        <w:rPr>
          <w:rFonts w:ascii="Book Antiqua" w:hAnsi="Book Antiqua" w:hint="eastAsia"/>
          <w:szCs w:val="21"/>
        </w:rPr>
        <w:t>:</w:t>
      </w:r>
      <w:r w:rsidRPr="00AF10AF">
        <w:rPr>
          <w:rFonts w:ascii="Book Antiqua" w:hAnsi="Book Antiqua"/>
          <w:szCs w:val="21"/>
        </w:rPr>
        <w:t xml:space="preserve"> </w:t>
      </w:r>
      <w:r>
        <w:rPr>
          <w:rFonts w:ascii="Book Antiqua" w:hAnsi="Book Antiqua"/>
          <w:szCs w:val="21"/>
        </w:rPr>
        <w:t>N</w:t>
      </w:r>
      <w:r w:rsidRPr="00AF10AF">
        <w:rPr>
          <w:rFonts w:ascii="Book Antiqua" w:hAnsi="Book Antiqua"/>
          <w:szCs w:val="21"/>
        </w:rPr>
        <w:t>on-preterm delivery</w:t>
      </w:r>
      <w:r>
        <w:rPr>
          <w:rFonts w:ascii="Book Antiqua" w:hAnsi="Book Antiqua"/>
          <w:szCs w:val="21"/>
        </w:rPr>
        <w:t xml:space="preserve">; </w:t>
      </w:r>
      <w:r w:rsidRPr="000A6309">
        <w:rPr>
          <w:rFonts w:ascii="Book Antiqua" w:hAnsi="Book Antiqua"/>
        </w:rPr>
        <w:t>phIGFBP-1</w:t>
      </w:r>
      <w:r>
        <w:rPr>
          <w:rFonts w:ascii="Book Antiqua" w:hAnsi="Book Antiqua"/>
        </w:rPr>
        <w:t>: P</w:t>
      </w:r>
      <w:r w:rsidRPr="002E7D3A">
        <w:rPr>
          <w:rFonts w:ascii="Book Antiqua" w:hAnsi="Book Antiqua"/>
        </w:rPr>
        <w:t>hosphorylated insulin-like growth factor binding protein-1</w:t>
      </w:r>
      <w:r>
        <w:rPr>
          <w:rFonts w:ascii="Book Antiqua" w:hAnsi="Book Antiqua"/>
        </w:rPr>
        <w:t>.</w:t>
      </w:r>
    </w:p>
    <w:p w14:paraId="231EB751" w14:textId="77777777" w:rsidR="00F77303" w:rsidRDefault="00F77303">
      <w:pPr>
        <w:rPr>
          <w:rFonts w:ascii="Book Antiqua" w:hAnsi="Book Antiqua"/>
        </w:rPr>
      </w:pPr>
      <w:r>
        <w:rPr>
          <w:rFonts w:ascii="Book Antiqua" w:hAnsi="Book Antiqua"/>
        </w:rPr>
        <w:br w:type="page"/>
      </w:r>
    </w:p>
    <w:p w14:paraId="1826086C" w14:textId="77777777" w:rsidR="00F77303" w:rsidRDefault="00F77303" w:rsidP="00F77303">
      <w:pPr>
        <w:jc w:val="center"/>
        <w:rPr>
          <w:rFonts w:ascii="Book Antiqua" w:hAnsi="Book Antiqua"/>
          <w:lang w:eastAsia="zh-CN"/>
        </w:rPr>
      </w:pPr>
      <w:bookmarkStart w:id="3" w:name="OLE_LINK1"/>
      <w:bookmarkStart w:id="4" w:name="OLE_LINK2"/>
    </w:p>
    <w:p w14:paraId="061DCFA9" w14:textId="77777777" w:rsidR="00F77303" w:rsidRDefault="00F77303" w:rsidP="00F77303">
      <w:pPr>
        <w:jc w:val="center"/>
        <w:rPr>
          <w:rFonts w:ascii="Book Antiqua" w:hAnsi="Book Antiqua"/>
          <w:lang w:eastAsia="zh-CN"/>
        </w:rPr>
      </w:pPr>
    </w:p>
    <w:p w14:paraId="40B43141" w14:textId="77777777" w:rsidR="00F77303" w:rsidRDefault="00F77303" w:rsidP="00F77303">
      <w:pPr>
        <w:jc w:val="center"/>
        <w:rPr>
          <w:rFonts w:ascii="Book Antiqua" w:hAnsi="Book Antiqua"/>
          <w:lang w:eastAsia="zh-CN"/>
        </w:rPr>
      </w:pPr>
    </w:p>
    <w:p w14:paraId="5BD2608E" w14:textId="77777777" w:rsidR="00F77303" w:rsidRDefault="00F77303" w:rsidP="00F77303">
      <w:pPr>
        <w:jc w:val="center"/>
        <w:rPr>
          <w:rFonts w:ascii="Book Antiqua" w:hAnsi="Book Antiqua"/>
          <w:lang w:eastAsia="zh-CN"/>
        </w:rPr>
      </w:pPr>
    </w:p>
    <w:p w14:paraId="30CF0E8A" w14:textId="77777777" w:rsidR="00F77303" w:rsidRDefault="00F77303" w:rsidP="00F77303">
      <w:pPr>
        <w:jc w:val="center"/>
        <w:rPr>
          <w:rFonts w:ascii="Book Antiqua" w:hAnsi="Book Antiqua"/>
          <w:lang w:eastAsia="zh-CN"/>
        </w:rPr>
      </w:pPr>
    </w:p>
    <w:p w14:paraId="126D8DA4" w14:textId="77777777" w:rsidR="00F77303" w:rsidRDefault="00F77303" w:rsidP="00F77303">
      <w:pPr>
        <w:jc w:val="center"/>
        <w:rPr>
          <w:rFonts w:ascii="Book Antiqua" w:hAnsi="Book Antiqua"/>
          <w:lang w:eastAsia="zh-CN"/>
        </w:rPr>
      </w:pPr>
      <w:r>
        <w:rPr>
          <w:rFonts w:ascii="Book Antiqua" w:hAnsi="Book Antiqua"/>
          <w:noProof/>
          <w:lang w:eastAsia="zh-CN"/>
        </w:rPr>
        <w:drawing>
          <wp:inline distT="0" distB="0" distL="0" distR="0" wp14:anchorId="651C2440" wp14:editId="03A794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DF8753" w14:textId="77777777" w:rsidR="00F77303" w:rsidRDefault="00F77303" w:rsidP="00F77303">
      <w:pPr>
        <w:jc w:val="center"/>
        <w:rPr>
          <w:rFonts w:ascii="Book Antiqua" w:hAnsi="Book Antiqua"/>
          <w:lang w:eastAsia="zh-CN"/>
        </w:rPr>
      </w:pPr>
    </w:p>
    <w:p w14:paraId="0D573E37" w14:textId="77777777" w:rsidR="00F77303" w:rsidRPr="00763D22" w:rsidRDefault="00F77303" w:rsidP="00F7730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6FA8D42" w14:textId="77777777" w:rsidR="00F77303" w:rsidRPr="00763D22" w:rsidRDefault="00F77303" w:rsidP="00F773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0A0F8B" w14:textId="77777777" w:rsidR="00F77303" w:rsidRPr="00763D22" w:rsidRDefault="00F77303" w:rsidP="00F773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0316EB" w14:textId="77777777" w:rsidR="00F77303" w:rsidRPr="00763D22" w:rsidRDefault="00F77303" w:rsidP="00F773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9323E4" w14:textId="77777777" w:rsidR="00F77303" w:rsidRPr="00763D22" w:rsidRDefault="00F77303" w:rsidP="00F773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D4B899" w14:textId="77777777" w:rsidR="00F77303" w:rsidRPr="00763D22" w:rsidRDefault="00F77303" w:rsidP="00F7730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BA8618" w14:textId="77777777" w:rsidR="00F77303" w:rsidRDefault="00F77303" w:rsidP="00F77303">
      <w:pPr>
        <w:jc w:val="center"/>
        <w:rPr>
          <w:rFonts w:ascii="Book Antiqua" w:hAnsi="Book Antiqua"/>
          <w:lang w:eastAsia="zh-CN"/>
        </w:rPr>
      </w:pPr>
    </w:p>
    <w:p w14:paraId="6FB72F9E" w14:textId="77777777" w:rsidR="00F77303" w:rsidRDefault="00F77303" w:rsidP="00F77303">
      <w:pPr>
        <w:jc w:val="center"/>
        <w:rPr>
          <w:rFonts w:ascii="Book Antiqua" w:hAnsi="Book Antiqua"/>
          <w:lang w:eastAsia="zh-CN"/>
        </w:rPr>
      </w:pPr>
    </w:p>
    <w:p w14:paraId="61AAA5A0" w14:textId="77777777" w:rsidR="00F77303" w:rsidRDefault="00F77303" w:rsidP="00F77303">
      <w:pPr>
        <w:jc w:val="center"/>
        <w:rPr>
          <w:rFonts w:ascii="Book Antiqua" w:hAnsi="Book Antiqua"/>
          <w:lang w:eastAsia="zh-CN"/>
        </w:rPr>
      </w:pPr>
    </w:p>
    <w:p w14:paraId="6AA0D43F" w14:textId="77777777" w:rsidR="00F77303" w:rsidRDefault="00F77303" w:rsidP="00F77303">
      <w:pPr>
        <w:jc w:val="center"/>
        <w:rPr>
          <w:rFonts w:ascii="Book Antiqua" w:hAnsi="Book Antiqua"/>
          <w:lang w:eastAsia="zh-CN"/>
        </w:rPr>
      </w:pPr>
      <w:r>
        <w:rPr>
          <w:rFonts w:ascii="Book Antiqua" w:hAnsi="Book Antiqua"/>
          <w:noProof/>
          <w:lang w:eastAsia="zh-CN"/>
        </w:rPr>
        <w:drawing>
          <wp:inline distT="0" distB="0" distL="0" distR="0" wp14:anchorId="4F0259FF" wp14:editId="28437A1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FB6F05" w14:textId="77777777" w:rsidR="00F77303" w:rsidRDefault="00F77303" w:rsidP="00F77303">
      <w:pPr>
        <w:jc w:val="center"/>
        <w:rPr>
          <w:rFonts w:ascii="Book Antiqua" w:hAnsi="Book Antiqua"/>
          <w:lang w:eastAsia="zh-CN"/>
        </w:rPr>
      </w:pPr>
    </w:p>
    <w:p w14:paraId="66DEEF80" w14:textId="77777777" w:rsidR="00F77303" w:rsidRDefault="00F77303" w:rsidP="00F77303">
      <w:pPr>
        <w:jc w:val="center"/>
        <w:rPr>
          <w:rFonts w:ascii="Book Antiqua" w:hAnsi="Book Antiqua"/>
          <w:lang w:eastAsia="zh-CN"/>
        </w:rPr>
      </w:pPr>
    </w:p>
    <w:p w14:paraId="1196F5CB" w14:textId="77777777" w:rsidR="00F77303" w:rsidRDefault="00F77303" w:rsidP="00F77303">
      <w:pPr>
        <w:jc w:val="center"/>
        <w:rPr>
          <w:rFonts w:ascii="Book Antiqua" w:hAnsi="Book Antiqua"/>
          <w:lang w:eastAsia="zh-CN"/>
        </w:rPr>
      </w:pPr>
    </w:p>
    <w:p w14:paraId="67601CA0" w14:textId="77777777" w:rsidR="00F77303" w:rsidRDefault="00F77303" w:rsidP="00F77303">
      <w:pPr>
        <w:jc w:val="center"/>
        <w:rPr>
          <w:rFonts w:ascii="Book Antiqua" w:hAnsi="Book Antiqua"/>
          <w:lang w:eastAsia="zh-CN"/>
        </w:rPr>
      </w:pPr>
    </w:p>
    <w:p w14:paraId="6D370296" w14:textId="77777777" w:rsidR="00F77303" w:rsidRDefault="00F77303" w:rsidP="00F77303">
      <w:pPr>
        <w:jc w:val="center"/>
        <w:rPr>
          <w:rFonts w:ascii="Book Antiqua" w:hAnsi="Book Antiqua"/>
          <w:lang w:eastAsia="zh-CN"/>
        </w:rPr>
      </w:pPr>
    </w:p>
    <w:p w14:paraId="726B13E0" w14:textId="77777777" w:rsidR="00F77303" w:rsidRDefault="00F77303" w:rsidP="00F77303">
      <w:pPr>
        <w:jc w:val="center"/>
        <w:rPr>
          <w:rFonts w:ascii="Book Antiqua" w:hAnsi="Book Antiqua"/>
          <w:lang w:eastAsia="zh-CN"/>
        </w:rPr>
      </w:pPr>
    </w:p>
    <w:p w14:paraId="10E65B0F" w14:textId="77777777" w:rsidR="00F77303" w:rsidRDefault="00F77303" w:rsidP="00F77303">
      <w:pPr>
        <w:jc w:val="center"/>
        <w:rPr>
          <w:rFonts w:ascii="Book Antiqua" w:hAnsi="Book Antiqua"/>
          <w:lang w:eastAsia="zh-CN"/>
        </w:rPr>
      </w:pPr>
    </w:p>
    <w:p w14:paraId="70400A77" w14:textId="77777777" w:rsidR="00F77303" w:rsidRDefault="00F77303" w:rsidP="00F77303">
      <w:pPr>
        <w:jc w:val="center"/>
        <w:rPr>
          <w:rFonts w:ascii="Book Antiqua" w:hAnsi="Book Antiqua"/>
          <w:lang w:eastAsia="zh-CN"/>
        </w:rPr>
      </w:pPr>
    </w:p>
    <w:p w14:paraId="63DE6406" w14:textId="77777777" w:rsidR="00F77303" w:rsidRDefault="00F77303" w:rsidP="00F77303">
      <w:pPr>
        <w:jc w:val="center"/>
        <w:rPr>
          <w:rFonts w:ascii="Book Antiqua" w:hAnsi="Book Antiqua"/>
          <w:lang w:eastAsia="zh-CN"/>
        </w:rPr>
      </w:pPr>
    </w:p>
    <w:p w14:paraId="65B0307D" w14:textId="77777777" w:rsidR="00F77303" w:rsidRPr="00763D22" w:rsidRDefault="00F77303" w:rsidP="00F77303">
      <w:pPr>
        <w:jc w:val="right"/>
        <w:rPr>
          <w:rFonts w:ascii="Book Antiqua" w:hAnsi="Book Antiqua"/>
          <w:color w:val="000000" w:themeColor="text1"/>
          <w:lang w:eastAsia="zh-CN"/>
        </w:rPr>
      </w:pPr>
    </w:p>
    <w:p w14:paraId="33412458" w14:textId="77777777" w:rsidR="00F77303" w:rsidRPr="00763D22" w:rsidRDefault="00F77303" w:rsidP="00F7730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7F374C3D" w14:textId="77777777" w:rsidR="00570F76" w:rsidRPr="000A6309" w:rsidRDefault="00570F76">
      <w:pPr>
        <w:spacing w:line="360" w:lineRule="auto"/>
        <w:jc w:val="both"/>
        <w:rPr>
          <w:rFonts w:ascii="Book Antiqua" w:hAnsi="Book Antiqua"/>
        </w:rPr>
      </w:pPr>
      <w:bookmarkStart w:id="5" w:name="_GoBack"/>
      <w:bookmarkEnd w:id="5"/>
    </w:p>
    <w:sectPr w:rsidR="00570F76" w:rsidRPr="000A63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21-04-29T17:11:00Z" w:initials="MOU">
    <w:p w14:paraId="47538FCF" w14:textId="69E41B30" w:rsidR="007B2BB5" w:rsidRDefault="007B2BB5">
      <w:pPr>
        <w:pStyle w:val="a6"/>
      </w:pPr>
      <w:r>
        <w:rPr>
          <w:rStyle w:val="a5"/>
        </w:rPr>
        <w:annotationRef/>
      </w:r>
      <w:r>
        <w:t>Please not the name of the company and the city</w:t>
      </w:r>
      <w:r w:rsidR="005D62DB">
        <w:rPr>
          <w:noProof/>
        </w:rPr>
        <w:t>/state.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38F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673D" w16cex:dateUtc="2021-04-29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38FCF" w16cid:durableId="243567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063D" w14:textId="77777777" w:rsidR="000B0487" w:rsidRDefault="000B0487" w:rsidP="00177C87">
      <w:r>
        <w:separator/>
      </w:r>
    </w:p>
  </w:endnote>
  <w:endnote w:type="continuationSeparator" w:id="0">
    <w:p w14:paraId="6912CB7D" w14:textId="77777777" w:rsidR="000B0487" w:rsidRDefault="000B0487" w:rsidP="0017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7363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DF61F4" w14:textId="40AF784A" w:rsidR="00177C87" w:rsidRPr="00177C87" w:rsidRDefault="00177C87" w:rsidP="00177C87">
            <w:pPr>
              <w:pStyle w:val="a4"/>
              <w:jc w:val="right"/>
              <w:rPr>
                <w:rFonts w:ascii="Book Antiqua" w:hAnsi="Book Antiqua"/>
                <w:sz w:val="24"/>
                <w:szCs w:val="24"/>
              </w:rPr>
            </w:pPr>
            <w:r w:rsidRPr="00177C87">
              <w:rPr>
                <w:rFonts w:ascii="Book Antiqua" w:hAnsi="Book Antiqua"/>
                <w:sz w:val="24"/>
                <w:szCs w:val="24"/>
                <w:lang w:val="zh-CN" w:eastAsia="zh-CN"/>
              </w:rPr>
              <w:t xml:space="preserve"> </w:t>
            </w:r>
            <w:r w:rsidRPr="00177C87">
              <w:rPr>
                <w:rFonts w:ascii="Book Antiqua" w:hAnsi="Book Antiqua"/>
                <w:sz w:val="24"/>
                <w:szCs w:val="24"/>
              </w:rPr>
              <w:fldChar w:fldCharType="begin"/>
            </w:r>
            <w:r w:rsidRPr="00177C87">
              <w:rPr>
                <w:rFonts w:ascii="Book Antiqua" w:hAnsi="Book Antiqua"/>
                <w:sz w:val="24"/>
                <w:szCs w:val="24"/>
              </w:rPr>
              <w:instrText>PAGE</w:instrText>
            </w:r>
            <w:r w:rsidRPr="00177C87">
              <w:rPr>
                <w:rFonts w:ascii="Book Antiqua" w:hAnsi="Book Antiqua"/>
                <w:sz w:val="24"/>
                <w:szCs w:val="24"/>
              </w:rPr>
              <w:fldChar w:fldCharType="separate"/>
            </w:r>
            <w:r w:rsidR="000B0487">
              <w:rPr>
                <w:rFonts w:ascii="Book Antiqua" w:hAnsi="Book Antiqua"/>
                <w:noProof/>
                <w:sz w:val="24"/>
                <w:szCs w:val="24"/>
              </w:rPr>
              <w:t>1</w:t>
            </w:r>
            <w:r w:rsidRPr="00177C87">
              <w:rPr>
                <w:rFonts w:ascii="Book Antiqua" w:hAnsi="Book Antiqua"/>
                <w:sz w:val="24"/>
                <w:szCs w:val="24"/>
              </w:rPr>
              <w:fldChar w:fldCharType="end"/>
            </w:r>
            <w:r w:rsidRPr="00177C87">
              <w:rPr>
                <w:rFonts w:ascii="Book Antiqua" w:hAnsi="Book Antiqua"/>
                <w:sz w:val="24"/>
                <w:szCs w:val="24"/>
                <w:lang w:val="zh-CN" w:eastAsia="zh-CN"/>
              </w:rPr>
              <w:t xml:space="preserve"> / </w:t>
            </w:r>
            <w:r w:rsidRPr="00177C87">
              <w:rPr>
                <w:rFonts w:ascii="Book Antiqua" w:hAnsi="Book Antiqua"/>
                <w:sz w:val="24"/>
                <w:szCs w:val="24"/>
              </w:rPr>
              <w:fldChar w:fldCharType="begin"/>
            </w:r>
            <w:r w:rsidRPr="00177C87">
              <w:rPr>
                <w:rFonts w:ascii="Book Antiqua" w:hAnsi="Book Antiqua"/>
                <w:sz w:val="24"/>
                <w:szCs w:val="24"/>
              </w:rPr>
              <w:instrText>NUMPAGES</w:instrText>
            </w:r>
            <w:r w:rsidRPr="00177C87">
              <w:rPr>
                <w:rFonts w:ascii="Book Antiqua" w:hAnsi="Book Antiqua"/>
                <w:sz w:val="24"/>
                <w:szCs w:val="24"/>
              </w:rPr>
              <w:fldChar w:fldCharType="separate"/>
            </w:r>
            <w:r w:rsidR="000B0487">
              <w:rPr>
                <w:rFonts w:ascii="Book Antiqua" w:hAnsi="Book Antiqua"/>
                <w:noProof/>
                <w:sz w:val="24"/>
                <w:szCs w:val="24"/>
              </w:rPr>
              <w:t>1</w:t>
            </w:r>
            <w:r w:rsidRPr="00177C87">
              <w:rPr>
                <w:rFonts w:ascii="Book Antiqua" w:hAnsi="Book Antiqua"/>
                <w:sz w:val="24"/>
                <w:szCs w:val="24"/>
              </w:rPr>
              <w:fldChar w:fldCharType="end"/>
            </w:r>
          </w:p>
        </w:sdtContent>
      </w:sdt>
    </w:sdtContent>
  </w:sdt>
  <w:p w14:paraId="2F8B4008" w14:textId="77777777" w:rsidR="00177C87" w:rsidRPr="00177C87" w:rsidRDefault="00177C87" w:rsidP="00177C8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E844" w14:textId="77777777" w:rsidR="000B0487" w:rsidRDefault="000B0487" w:rsidP="00177C87">
      <w:r>
        <w:separator/>
      </w:r>
    </w:p>
  </w:footnote>
  <w:footnote w:type="continuationSeparator" w:id="0">
    <w:p w14:paraId="0221F7FD" w14:textId="77777777" w:rsidR="000B0487" w:rsidRDefault="000B0487" w:rsidP="0017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FFA"/>
    <w:rsid w:val="00001675"/>
    <w:rsid w:val="00037202"/>
    <w:rsid w:val="0004160A"/>
    <w:rsid w:val="00047C26"/>
    <w:rsid w:val="000519C9"/>
    <w:rsid w:val="00054B30"/>
    <w:rsid w:val="0006333D"/>
    <w:rsid w:val="000743E5"/>
    <w:rsid w:val="000834F5"/>
    <w:rsid w:val="000A6309"/>
    <w:rsid w:val="000B0487"/>
    <w:rsid w:val="000B7370"/>
    <w:rsid w:val="001611F6"/>
    <w:rsid w:val="00163BBC"/>
    <w:rsid w:val="00177C87"/>
    <w:rsid w:val="00182629"/>
    <w:rsid w:val="001A2A94"/>
    <w:rsid w:val="001B230A"/>
    <w:rsid w:val="00216E6A"/>
    <w:rsid w:val="00231755"/>
    <w:rsid w:val="00235B60"/>
    <w:rsid w:val="00277A4F"/>
    <w:rsid w:val="00284584"/>
    <w:rsid w:val="002A3699"/>
    <w:rsid w:val="002C0DDE"/>
    <w:rsid w:val="002D224A"/>
    <w:rsid w:val="002E7D3A"/>
    <w:rsid w:val="00303DD1"/>
    <w:rsid w:val="003137FE"/>
    <w:rsid w:val="00315EB7"/>
    <w:rsid w:val="00340B6A"/>
    <w:rsid w:val="00364B59"/>
    <w:rsid w:val="00377016"/>
    <w:rsid w:val="00380C9E"/>
    <w:rsid w:val="003B4FEA"/>
    <w:rsid w:val="003C0C1F"/>
    <w:rsid w:val="003E0898"/>
    <w:rsid w:val="003E106E"/>
    <w:rsid w:val="003E4DC2"/>
    <w:rsid w:val="00470FDA"/>
    <w:rsid w:val="00481634"/>
    <w:rsid w:val="004822A6"/>
    <w:rsid w:val="004A2616"/>
    <w:rsid w:val="0050564F"/>
    <w:rsid w:val="00570F76"/>
    <w:rsid w:val="00595C55"/>
    <w:rsid w:val="00597E7D"/>
    <w:rsid w:val="005C67E9"/>
    <w:rsid w:val="005D013B"/>
    <w:rsid w:val="005D62DB"/>
    <w:rsid w:val="005F00BC"/>
    <w:rsid w:val="00615853"/>
    <w:rsid w:val="0062368E"/>
    <w:rsid w:val="006416FD"/>
    <w:rsid w:val="0066669E"/>
    <w:rsid w:val="0067733E"/>
    <w:rsid w:val="006C6AEF"/>
    <w:rsid w:val="006C75BF"/>
    <w:rsid w:val="006E09F9"/>
    <w:rsid w:val="0073300F"/>
    <w:rsid w:val="0074108B"/>
    <w:rsid w:val="0074230A"/>
    <w:rsid w:val="00757B35"/>
    <w:rsid w:val="00771E7D"/>
    <w:rsid w:val="007901AD"/>
    <w:rsid w:val="007B2BB5"/>
    <w:rsid w:val="007D1DEB"/>
    <w:rsid w:val="007E2DA1"/>
    <w:rsid w:val="0084305B"/>
    <w:rsid w:val="00852987"/>
    <w:rsid w:val="008629EB"/>
    <w:rsid w:val="00863133"/>
    <w:rsid w:val="008D173C"/>
    <w:rsid w:val="008F5ED0"/>
    <w:rsid w:val="008F79E4"/>
    <w:rsid w:val="0093110B"/>
    <w:rsid w:val="00951332"/>
    <w:rsid w:val="00965AC6"/>
    <w:rsid w:val="00971810"/>
    <w:rsid w:val="009B1F26"/>
    <w:rsid w:val="009C3FA8"/>
    <w:rsid w:val="009D1E0A"/>
    <w:rsid w:val="009E0D6F"/>
    <w:rsid w:val="009E7389"/>
    <w:rsid w:val="009F5018"/>
    <w:rsid w:val="00A173D3"/>
    <w:rsid w:val="00A51078"/>
    <w:rsid w:val="00A77B3E"/>
    <w:rsid w:val="00A806B8"/>
    <w:rsid w:val="00A91269"/>
    <w:rsid w:val="00A95395"/>
    <w:rsid w:val="00AA5819"/>
    <w:rsid w:val="00AE5672"/>
    <w:rsid w:val="00AF42DE"/>
    <w:rsid w:val="00B21025"/>
    <w:rsid w:val="00B237A0"/>
    <w:rsid w:val="00B53F30"/>
    <w:rsid w:val="00BB0C42"/>
    <w:rsid w:val="00BD653A"/>
    <w:rsid w:val="00BE11D1"/>
    <w:rsid w:val="00C0657C"/>
    <w:rsid w:val="00C112A3"/>
    <w:rsid w:val="00C43EAC"/>
    <w:rsid w:val="00C708F0"/>
    <w:rsid w:val="00C84ECC"/>
    <w:rsid w:val="00C85E14"/>
    <w:rsid w:val="00C9582C"/>
    <w:rsid w:val="00CA2A55"/>
    <w:rsid w:val="00CE6BC6"/>
    <w:rsid w:val="00CF161C"/>
    <w:rsid w:val="00CF785D"/>
    <w:rsid w:val="00D14015"/>
    <w:rsid w:val="00D14AD7"/>
    <w:rsid w:val="00D22EE3"/>
    <w:rsid w:val="00D30BF9"/>
    <w:rsid w:val="00D625C0"/>
    <w:rsid w:val="00D810A4"/>
    <w:rsid w:val="00DE55B7"/>
    <w:rsid w:val="00E13CDB"/>
    <w:rsid w:val="00E150B7"/>
    <w:rsid w:val="00E271F7"/>
    <w:rsid w:val="00E405D6"/>
    <w:rsid w:val="00E4304A"/>
    <w:rsid w:val="00E85E46"/>
    <w:rsid w:val="00EC558B"/>
    <w:rsid w:val="00ED2342"/>
    <w:rsid w:val="00ED7BC7"/>
    <w:rsid w:val="00EE5721"/>
    <w:rsid w:val="00EF28A0"/>
    <w:rsid w:val="00EF7F75"/>
    <w:rsid w:val="00F22141"/>
    <w:rsid w:val="00F4213E"/>
    <w:rsid w:val="00F46BEA"/>
    <w:rsid w:val="00F550BE"/>
    <w:rsid w:val="00F77303"/>
    <w:rsid w:val="00F95189"/>
    <w:rsid w:val="00FA6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8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paragraph" w:styleId="a3">
    <w:name w:val="header"/>
    <w:basedOn w:val="a"/>
    <w:link w:val="Char"/>
    <w:unhideWhenUsed/>
    <w:rsid w:val="00177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7C87"/>
    <w:rPr>
      <w:sz w:val="18"/>
      <w:szCs w:val="18"/>
    </w:rPr>
  </w:style>
  <w:style w:type="paragraph" w:styleId="a4">
    <w:name w:val="footer"/>
    <w:basedOn w:val="a"/>
    <w:link w:val="Char0"/>
    <w:uiPriority w:val="99"/>
    <w:unhideWhenUsed/>
    <w:rsid w:val="00177C87"/>
    <w:pPr>
      <w:tabs>
        <w:tab w:val="center" w:pos="4153"/>
        <w:tab w:val="right" w:pos="8306"/>
      </w:tabs>
      <w:snapToGrid w:val="0"/>
    </w:pPr>
    <w:rPr>
      <w:sz w:val="18"/>
      <w:szCs w:val="18"/>
    </w:rPr>
  </w:style>
  <w:style w:type="character" w:customStyle="1" w:styleId="Char0">
    <w:name w:val="页脚 Char"/>
    <w:basedOn w:val="a0"/>
    <w:link w:val="a4"/>
    <w:uiPriority w:val="99"/>
    <w:rsid w:val="00177C87"/>
    <w:rPr>
      <w:sz w:val="18"/>
      <w:szCs w:val="18"/>
    </w:rPr>
  </w:style>
  <w:style w:type="character" w:styleId="a5">
    <w:name w:val="annotation reference"/>
    <w:basedOn w:val="a0"/>
    <w:semiHidden/>
    <w:unhideWhenUsed/>
    <w:rsid w:val="007B2BB5"/>
    <w:rPr>
      <w:sz w:val="16"/>
      <w:szCs w:val="16"/>
    </w:rPr>
  </w:style>
  <w:style w:type="paragraph" w:styleId="a6">
    <w:name w:val="annotation text"/>
    <w:basedOn w:val="a"/>
    <w:link w:val="Char1"/>
    <w:semiHidden/>
    <w:unhideWhenUsed/>
    <w:rsid w:val="007B2BB5"/>
    <w:rPr>
      <w:sz w:val="20"/>
      <w:szCs w:val="20"/>
    </w:rPr>
  </w:style>
  <w:style w:type="character" w:customStyle="1" w:styleId="Char1">
    <w:name w:val="批注文字 Char"/>
    <w:basedOn w:val="a0"/>
    <w:link w:val="a6"/>
    <w:semiHidden/>
    <w:rsid w:val="007B2BB5"/>
  </w:style>
  <w:style w:type="paragraph" w:styleId="a7">
    <w:name w:val="annotation subject"/>
    <w:basedOn w:val="a6"/>
    <w:next w:val="a6"/>
    <w:link w:val="Char2"/>
    <w:semiHidden/>
    <w:unhideWhenUsed/>
    <w:rsid w:val="007B2BB5"/>
    <w:rPr>
      <w:b/>
      <w:bCs/>
    </w:rPr>
  </w:style>
  <w:style w:type="character" w:customStyle="1" w:styleId="Char2">
    <w:name w:val="批注主题 Char"/>
    <w:basedOn w:val="Char1"/>
    <w:link w:val="a7"/>
    <w:semiHidden/>
    <w:rsid w:val="007B2BB5"/>
    <w:rPr>
      <w:b/>
      <w:bCs/>
    </w:rPr>
  </w:style>
  <w:style w:type="paragraph" w:styleId="a8">
    <w:name w:val="Revision"/>
    <w:hidden/>
    <w:uiPriority w:val="99"/>
    <w:semiHidden/>
    <w:rsid w:val="007B2BB5"/>
    <w:rPr>
      <w:sz w:val="24"/>
      <w:szCs w:val="24"/>
    </w:rPr>
  </w:style>
  <w:style w:type="paragraph" w:styleId="a9">
    <w:name w:val="Balloon Text"/>
    <w:basedOn w:val="a"/>
    <w:link w:val="Char3"/>
    <w:rsid w:val="00E405D6"/>
    <w:rPr>
      <w:sz w:val="18"/>
      <w:szCs w:val="18"/>
    </w:rPr>
  </w:style>
  <w:style w:type="character" w:customStyle="1" w:styleId="Char3">
    <w:name w:val="批注框文本 Char"/>
    <w:basedOn w:val="a0"/>
    <w:link w:val="a9"/>
    <w:rsid w:val="00E405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paragraph" w:styleId="a3">
    <w:name w:val="header"/>
    <w:basedOn w:val="a"/>
    <w:link w:val="Char"/>
    <w:unhideWhenUsed/>
    <w:rsid w:val="00177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7C87"/>
    <w:rPr>
      <w:sz w:val="18"/>
      <w:szCs w:val="18"/>
    </w:rPr>
  </w:style>
  <w:style w:type="paragraph" w:styleId="a4">
    <w:name w:val="footer"/>
    <w:basedOn w:val="a"/>
    <w:link w:val="Char0"/>
    <w:uiPriority w:val="99"/>
    <w:unhideWhenUsed/>
    <w:rsid w:val="00177C87"/>
    <w:pPr>
      <w:tabs>
        <w:tab w:val="center" w:pos="4153"/>
        <w:tab w:val="right" w:pos="8306"/>
      </w:tabs>
      <w:snapToGrid w:val="0"/>
    </w:pPr>
    <w:rPr>
      <w:sz w:val="18"/>
      <w:szCs w:val="18"/>
    </w:rPr>
  </w:style>
  <w:style w:type="character" w:customStyle="1" w:styleId="Char0">
    <w:name w:val="页脚 Char"/>
    <w:basedOn w:val="a0"/>
    <w:link w:val="a4"/>
    <w:uiPriority w:val="99"/>
    <w:rsid w:val="00177C87"/>
    <w:rPr>
      <w:sz w:val="18"/>
      <w:szCs w:val="18"/>
    </w:rPr>
  </w:style>
  <w:style w:type="character" w:styleId="a5">
    <w:name w:val="annotation reference"/>
    <w:basedOn w:val="a0"/>
    <w:semiHidden/>
    <w:unhideWhenUsed/>
    <w:rsid w:val="007B2BB5"/>
    <w:rPr>
      <w:sz w:val="16"/>
      <w:szCs w:val="16"/>
    </w:rPr>
  </w:style>
  <w:style w:type="paragraph" w:styleId="a6">
    <w:name w:val="annotation text"/>
    <w:basedOn w:val="a"/>
    <w:link w:val="Char1"/>
    <w:semiHidden/>
    <w:unhideWhenUsed/>
    <w:rsid w:val="007B2BB5"/>
    <w:rPr>
      <w:sz w:val="20"/>
      <w:szCs w:val="20"/>
    </w:rPr>
  </w:style>
  <w:style w:type="character" w:customStyle="1" w:styleId="Char1">
    <w:name w:val="批注文字 Char"/>
    <w:basedOn w:val="a0"/>
    <w:link w:val="a6"/>
    <w:semiHidden/>
    <w:rsid w:val="007B2BB5"/>
  </w:style>
  <w:style w:type="paragraph" w:styleId="a7">
    <w:name w:val="annotation subject"/>
    <w:basedOn w:val="a6"/>
    <w:next w:val="a6"/>
    <w:link w:val="Char2"/>
    <w:semiHidden/>
    <w:unhideWhenUsed/>
    <w:rsid w:val="007B2BB5"/>
    <w:rPr>
      <w:b/>
      <w:bCs/>
    </w:rPr>
  </w:style>
  <w:style w:type="character" w:customStyle="1" w:styleId="Char2">
    <w:name w:val="批注主题 Char"/>
    <w:basedOn w:val="Char1"/>
    <w:link w:val="a7"/>
    <w:semiHidden/>
    <w:rsid w:val="007B2BB5"/>
    <w:rPr>
      <w:b/>
      <w:bCs/>
    </w:rPr>
  </w:style>
  <w:style w:type="paragraph" w:styleId="a8">
    <w:name w:val="Revision"/>
    <w:hidden/>
    <w:uiPriority w:val="99"/>
    <w:semiHidden/>
    <w:rsid w:val="007B2BB5"/>
    <w:rPr>
      <w:sz w:val="24"/>
      <w:szCs w:val="24"/>
    </w:rPr>
  </w:style>
  <w:style w:type="paragraph" w:styleId="a9">
    <w:name w:val="Balloon Text"/>
    <w:basedOn w:val="a"/>
    <w:link w:val="Char3"/>
    <w:rsid w:val="00E405D6"/>
    <w:rPr>
      <w:sz w:val="18"/>
      <w:szCs w:val="18"/>
    </w:rPr>
  </w:style>
  <w:style w:type="character" w:customStyle="1" w:styleId="Char3">
    <w:name w:val="批注框文本 Char"/>
    <w:basedOn w:val="a0"/>
    <w:link w:val="a9"/>
    <w:rsid w:val="00E405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18</cp:revision>
  <dcterms:created xsi:type="dcterms:W3CDTF">2021-04-29T18:04:00Z</dcterms:created>
  <dcterms:modified xsi:type="dcterms:W3CDTF">2021-06-08T07:25:00Z</dcterms:modified>
</cp:coreProperties>
</file>