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1833" w14:textId="35E25363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Name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of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Journal: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i/>
          <w:iCs/>
        </w:rPr>
        <w:t>World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Journal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of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Clinical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Cases</w:t>
      </w:r>
    </w:p>
    <w:p w14:paraId="16615205" w14:textId="26B0E0D5" w:rsidR="00464934" w:rsidRPr="00694BCF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t>Manuscript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NO: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62868</w:t>
      </w:r>
    </w:p>
    <w:p w14:paraId="2E94361A" w14:textId="1522733A" w:rsidR="00464934" w:rsidRPr="005E5B52" w:rsidRDefault="001E31F6">
      <w:pPr>
        <w:pStyle w:val="Body"/>
        <w:spacing w:line="360" w:lineRule="auto"/>
        <w:jc w:val="both"/>
      </w:pPr>
      <w:r w:rsidRPr="00694BCF">
        <w:rPr>
          <w:rFonts w:ascii="Book Antiqua" w:hAnsi="Book Antiqua"/>
          <w:b/>
          <w:bCs/>
        </w:rPr>
        <w:t>Manuscript</w:t>
      </w:r>
      <w:r w:rsidR="00701816" w:rsidRPr="00694BCF">
        <w:rPr>
          <w:rFonts w:ascii="Book Antiqua" w:hAnsi="Book Antiqua"/>
          <w:b/>
          <w:bCs/>
        </w:rPr>
        <w:t xml:space="preserve"> </w:t>
      </w:r>
      <w:r w:rsidRPr="00694BCF">
        <w:rPr>
          <w:rFonts w:ascii="Book Antiqua" w:hAnsi="Book Antiqua"/>
          <w:b/>
          <w:bCs/>
        </w:rPr>
        <w:t>Type:</w:t>
      </w:r>
      <w:r w:rsidR="00701816" w:rsidRPr="00D85D36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</w:rPr>
        <w:t>MINIREVIEWS</w:t>
      </w:r>
    </w:p>
    <w:p w14:paraId="06EC4456" w14:textId="77777777" w:rsidR="00464934" w:rsidRPr="00694BCF" w:rsidRDefault="00464934">
      <w:pPr>
        <w:pStyle w:val="Body"/>
        <w:spacing w:line="360" w:lineRule="auto"/>
        <w:jc w:val="both"/>
      </w:pPr>
    </w:p>
    <w:p w14:paraId="31065642" w14:textId="69F2C687" w:rsidR="00464934" w:rsidRPr="005E5B52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  <w:b/>
          <w:bCs/>
        </w:rPr>
        <w:t>Current</w:t>
      </w:r>
      <w:r w:rsidR="00701816" w:rsidRPr="003201C3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treatment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for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hepatitis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virus/human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immunodeficiency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coinfection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adults</w:t>
      </w:r>
    </w:p>
    <w:p w14:paraId="5B27F299" w14:textId="77777777" w:rsidR="00464934" w:rsidRPr="005E5B52" w:rsidRDefault="00464934">
      <w:pPr>
        <w:pStyle w:val="Body"/>
        <w:spacing w:line="360" w:lineRule="auto"/>
        <w:jc w:val="both"/>
      </w:pPr>
    </w:p>
    <w:p w14:paraId="2692C282" w14:textId="45D51CFF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Laiwatthanapaisan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et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al</w:t>
      </w:r>
      <w:r w:rsidRPr="005E5B52">
        <w:rPr>
          <w:rFonts w:ascii="Book Antiqua" w:hAnsi="Book Antiqua"/>
        </w:rPr>
        <w:t>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Current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HCV-HIV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adults</w:t>
      </w:r>
    </w:p>
    <w:p w14:paraId="673CB06B" w14:textId="77777777" w:rsidR="00464934" w:rsidRPr="005E5B52" w:rsidRDefault="00464934">
      <w:pPr>
        <w:pStyle w:val="Body"/>
        <w:spacing w:line="360" w:lineRule="auto"/>
        <w:jc w:val="both"/>
      </w:pPr>
    </w:p>
    <w:p w14:paraId="1E48E5BF" w14:textId="60BC7B02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</w:rPr>
        <w:t>Ratchapong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Laiwatthanapaisan,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Apichet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Sirinawasatien</w:t>
      </w:r>
    </w:p>
    <w:p w14:paraId="6DA280F0" w14:textId="77777777" w:rsidR="00464934" w:rsidRPr="00694BCF" w:rsidRDefault="00464934">
      <w:pPr>
        <w:pStyle w:val="Body"/>
        <w:spacing w:line="360" w:lineRule="auto"/>
        <w:jc w:val="both"/>
      </w:pPr>
    </w:p>
    <w:p w14:paraId="0E396C01" w14:textId="3A33518B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t>Ratchapong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Laiwatthanapaisan,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Gastroenterology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Center,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Vibhavadi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Hospital,</w:t>
      </w:r>
      <w:r w:rsidR="00701816" w:rsidRPr="00C91606">
        <w:rPr>
          <w:rFonts w:ascii="Book Antiqua" w:hAnsi="Book Antiqua"/>
        </w:rPr>
        <w:t xml:space="preserve"> </w:t>
      </w:r>
      <w:r w:rsidRPr="003201C3">
        <w:rPr>
          <w:rFonts w:ascii="Book Antiqua" w:hAnsi="Book Antiqua"/>
        </w:rPr>
        <w:t>Bangkok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10900,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Thailand</w:t>
      </w:r>
    </w:p>
    <w:p w14:paraId="4BF11CBB" w14:textId="77777777" w:rsidR="00464934" w:rsidRPr="005E5B52" w:rsidRDefault="00464934">
      <w:pPr>
        <w:pStyle w:val="Body"/>
        <w:spacing w:line="360" w:lineRule="auto"/>
        <w:jc w:val="both"/>
      </w:pPr>
    </w:p>
    <w:p w14:paraId="7BE81EE0" w14:textId="3F5D9948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t>Apichet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Sirinawasatien,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Department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of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Internal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Medicine,</w:t>
      </w:r>
      <w:r w:rsidR="00701816" w:rsidRPr="00C91606">
        <w:rPr>
          <w:rFonts w:ascii="Book Antiqua" w:hAnsi="Book Antiqua"/>
        </w:rPr>
        <w:t xml:space="preserve"> </w:t>
      </w:r>
      <w:r w:rsidRPr="003201C3">
        <w:rPr>
          <w:rFonts w:ascii="Book Antiqua" w:hAnsi="Book Antiqua"/>
        </w:rPr>
        <w:t>Division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Gastroenterology,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Rajavithi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Hospital,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College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Medicine,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Rangsit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University,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Bangkok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10400,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Thailand</w:t>
      </w:r>
    </w:p>
    <w:p w14:paraId="12F57BA0" w14:textId="77777777" w:rsidR="00464934" w:rsidRPr="005E5B52" w:rsidRDefault="00464934">
      <w:pPr>
        <w:pStyle w:val="Body"/>
        <w:spacing w:line="360" w:lineRule="auto"/>
        <w:jc w:val="both"/>
      </w:pPr>
    </w:p>
    <w:p w14:paraId="6E947387" w14:textId="2087543E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Author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contributions: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Laiwatthanapaisan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drafted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manuscript;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Sirinawasatien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conceived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idea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review,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supervised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revised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manuscript;</w:t>
      </w:r>
      <w:r w:rsidR="00701816" w:rsidRPr="005E5B52">
        <w:rPr>
          <w:rFonts w:ascii="Book Antiqua" w:hAnsi="Book Antiqua"/>
        </w:rPr>
        <w:t xml:space="preserve"> </w:t>
      </w:r>
      <w:r w:rsidR="005E5B52" w:rsidRPr="005E5B52">
        <w:rPr>
          <w:rFonts w:ascii="Book Antiqua" w:hAnsi="Book Antiqua"/>
        </w:rPr>
        <w:t>A</w:t>
      </w:r>
      <w:r w:rsidRPr="005E5B52">
        <w:rPr>
          <w:rFonts w:ascii="Book Antiqua" w:hAnsi="Book Antiqua"/>
        </w:rPr>
        <w:t>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authors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read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approved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manuscript.</w:t>
      </w:r>
    </w:p>
    <w:p w14:paraId="5020EA0B" w14:textId="77777777" w:rsidR="00464934" w:rsidRPr="005E5B52" w:rsidRDefault="00464934">
      <w:pPr>
        <w:pStyle w:val="Body"/>
        <w:spacing w:line="360" w:lineRule="auto"/>
        <w:jc w:val="both"/>
      </w:pPr>
    </w:p>
    <w:p w14:paraId="19BF8655" w14:textId="38B1262B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t>Corresponding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author: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Apichet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Sirinawasatien,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MD,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Doctor,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Department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of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Internal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Medicine,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Division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Gastroenterology,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Rajavithi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Hospital,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College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Medicine,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Rangsit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University,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Phayathai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Road,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Rajathewi,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Bangkok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10400,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Thailand.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sui_apichet@hotmail.com</w:t>
      </w:r>
    </w:p>
    <w:p w14:paraId="639138A7" w14:textId="77777777" w:rsidR="00464934" w:rsidRPr="005E5B52" w:rsidRDefault="00464934">
      <w:pPr>
        <w:pStyle w:val="Body"/>
        <w:spacing w:line="360" w:lineRule="auto"/>
        <w:jc w:val="both"/>
      </w:pPr>
    </w:p>
    <w:p w14:paraId="55374D56" w14:textId="4CD55C30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Received: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January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2021</w:t>
      </w:r>
    </w:p>
    <w:p w14:paraId="459EC0F2" w14:textId="721225E1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Revised: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March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2021</w:t>
      </w:r>
    </w:p>
    <w:p w14:paraId="765CE28C" w14:textId="1256B403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lastRenderedPageBreak/>
        <w:t>Accepted: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="003042EB" w:rsidRPr="005E5B52">
        <w:rPr>
          <w:rFonts w:ascii="Book Antiqua" w:hAnsi="Book Antiqua"/>
        </w:rPr>
        <w:t>April 13, 2021</w:t>
      </w:r>
    </w:p>
    <w:p w14:paraId="646BFE82" w14:textId="4D5E45DD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Published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online: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="00DE60E7" w:rsidRPr="006B58DF">
        <w:rPr>
          <w:rFonts w:ascii="Book Antiqua" w:eastAsia="Book Antiqua" w:hAnsi="Book Antiqua"/>
          <w:bCs/>
        </w:rPr>
        <w:t xml:space="preserve">June </w:t>
      </w:r>
      <w:r w:rsidR="003B72B0">
        <w:rPr>
          <w:rFonts w:ascii="Book Antiqua" w:eastAsiaTheme="minorEastAsia" w:hAnsi="Book Antiqua" w:hint="eastAsia"/>
          <w:bCs/>
          <w:lang w:eastAsia="zh-CN"/>
        </w:rPr>
        <w:t>2</w:t>
      </w:r>
      <w:r w:rsidR="00DE60E7" w:rsidRPr="006B58DF">
        <w:rPr>
          <w:rFonts w:ascii="Book Antiqua" w:eastAsia="Book Antiqua" w:hAnsi="Book Antiqua"/>
          <w:bCs/>
        </w:rPr>
        <w:t>6</w:t>
      </w:r>
      <w:r w:rsidR="00DE60E7" w:rsidRPr="006B58DF">
        <w:rPr>
          <w:rFonts w:ascii="Book Antiqua" w:eastAsia="Book Antiqua" w:hAnsi="Book Antiqua"/>
        </w:rPr>
        <w:t>, 2021</w:t>
      </w:r>
    </w:p>
    <w:p w14:paraId="1E0F9F90" w14:textId="77777777" w:rsidR="00464934" w:rsidRPr="005E5B52" w:rsidRDefault="00464934">
      <w:pPr>
        <w:pStyle w:val="Body"/>
        <w:spacing w:line="360" w:lineRule="auto"/>
        <w:jc w:val="both"/>
        <w:sectPr w:rsidR="00464934" w:rsidRPr="005E5B52"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14:paraId="58692516" w14:textId="77777777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t>Abstract</w:t>
      </w:r>
    </w:p>
    <w:p w14:paraId="54C0ABA9" w14:textId="5EBBEB66" w:rsidR="00464934" w:rsidRPr="005E5B52" w:rsidRDefault="001E31F6">
      <w:pPr>
        <w:pStyle w:val="Body"/>
        <w:spacing w:line="360" w:lineRule="auto"/>
        <w:jc w:val="both"/>
      </w:pPr>
      <w:r w:rsidRPr="00694BCF">
        <w:rPr>
          <w:rFonts w:ascii="Book Antiqua" w:hAnsi="Book Antiqua"/>
        </w:rPr>
        <w:t>Hepatitis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(HCV)/human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(HIV)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major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problem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5E5B52"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resulting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increased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morbidity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mortality</w:t>
      </w:r>
      <w:r w:rsidR="00701816" w:rsidRPr="005E5B52">
        <w:rPr>
          <w:rFonts w:ascii="Book Antiqua" w:hAnsi="Book Antiqua"/>
        </w:rPr>
        <w:t xml:space="preserve"> </w:t>
      </w:r>
      <w:r w:rsidR="005E5B52" w:rsidRPr="005E5B52">
        <w:rPr>
          <w:rFonts w:ascii="Book Antiqua" w:hAnsi="Book Antiqua"/>
        </w:rPr>
        <w:t xml:space="preserve">rates </w:t>
      </w:r>
      <w:r w:rsidRPr="005E5B52">
        <w:rPr>
          <w:rFonts w:ascii="Book Antiqua" w:hAnsi="Book Antiqua"/>
        </w:rPr>
        <w:t>due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="001E5D1F">
        <w:rPr>
          <w:rFonts w:ascii="Book Antiqua" w:hAnsi="Book Antiqua"/>
        </w:rPr>
        <w:t>the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accelerat</w:t>
      </w:r>
      <w:r w:rsidR="001E5D1F">
        <w:rPr>
          <w:rFonts w:ascii="Book Antiqua" w:hAnsi="Book Antiqua"/>
        </w:rPr>
        <w:t>ion of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liver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fibrosis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progression</w:t>
      </w:r>
      <w:r w:rsidR="001E5D1F">
        <w:rPr>
          <w:rFonts w:ascii="Book Antiqua" w:hAnsi="Book Antiqua"/>
        </w:rPr>
        <w:t xml:space="preserve"> by HIV, </w:t>
      </w:r>
      <w:r w:rsidRPr="001E5D1F">
        <w:rPr>
          <w:rFonts w:ascii="Book Antiqua" w:hAnsi="Book Antiqua"/>
        </w:rPr>
        <w:t>lead</w:t>
      </w:r>
      <w:r w:rsidR="001E5D1F">
        <w:rPr>
          <w:rFonts w:ascii="Book Antiqua" w:hAnsi="Book Antiqua"/>
        </w:rPr>
        <w:t>ing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to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liver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cirrhosis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and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hepatocellular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carcinoma.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Although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direct-acting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similar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terms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sustained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virologic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response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additional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complications</w:t>
      </w:r>
      <w:r w:rsidR="00701816" w:rsidRPr="005E5B52">
        <w:rPr>
          <w:rFonts w:ascii="Book Antiqua" w:hAnsi="Book Antiqua"/>
        </w:rPr>
        <w:t xml:space="preserve"> </w:t>
      </w:r>
      <w:r w:rsidR="005E5B52" w:rsidRPr="005E5B52">
        <w:rPr>
          <w:rFonts w:ascii="Book Antiqua" w:hAnsi="Book Antiqua"/>
        </w:rPr>
        <w:t xml:space="preserve">that </w:t>
      </w:r>
      <w:r w:rsidRPr="005E5B52">
        <w:rPr>
          <w:rFonts w:ascii="Book Antiqua" w:hAnsi="Book Antiqua"/>
        </w:rPr>
        <w:t>arise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including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drug-drug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behavior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review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summari</w:t>
      </w:r>
      <w:r w:rsidR="005E5B52" w:rsidRPr="005E5B52">
        <w:rPr>
          <w:rFonts w:ascii="Book Antiqua" w:hAnsi="Book Antiqua"/>
        </w:rPr>
        <w:t>z</w:t>
      </w:r>
      <w:r w:rsidRPr="005E5B52">
        <w:rPr>
          <w:rFonts w:ascii="Book Antiqua" w:hAnsi="Book Antiqua"/>
        </w:rPr>
        <w:t>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current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management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coinfection.</w:t>
      </w:r>
      <w:r w:rsidR="00701816" w:rsidRPr="005E5B52">
        <w:rPr>
          <w:rFonts w:ascii="Book Antiqua" w:hAnsi="Book Antiqua"/>
        </w:rPr>
        <w:t xml:space="preserve"> </w:t>
      </w:r>
    </w:p>
    <w:p w14:paraId="7E865718" w14:textId="77777777" w:rsidR="00464934" w:rsidRPr="005E5B52" w:rsidRDefault="00464934">
      <w:pPr>
        <w:pStyle w:val="Body"/>
        <w:spacing w:line="360" w:lineRule="auto"/>
        <w:jc w:val="both"/>
      </w:pPr>
    </w:p>
    <w:p w14:paraId="02C838B8" w14:textId="4EF452E5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Key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Words: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fibrosis;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Hepatocellular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carcinoma;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Direct-acting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agents;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Antiretroviral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</w:p>
    <w:p w14:paraId="5EC26680" w14:textId="77777777" w:rsidR="00E0013D" w:rsidRDefault="00E0013D" w:rsidP="00E0013D">
      <w:pPr>
        <w:spacing w:line="360" w:lineRule="auto"/>
        <w:jc w:val="both"/>
        <w:rPr>
          <w:lang w:eastAsia="zh-CN"/>
        </w:rPr>
      </w:pPr>
    </w:p>
    <w:p w14:paraId="62E31B0F" w14:textId="77777777" w:rsidR="00E0013D" w:rsidRPr="00026CB8" w:rsidRDefault="00E0013D" w:rsidP="00E0013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5634AE34" w14:textId="77777777" w:rsidR="00464934" w:rsidRPr="005E5B52" w:rsidRDefault="00464934">
      <w:pPr>
        <w:pStyle w:val="Body"/>
        <w:spacing w:line="360" w:lineRule="auto"/>
        <w:jc w:val="both"/>
      </w:pPr>
    </w:p>
    <w:p w14:paraId="45270DAD" w14:textId="512A2C88" w:rsidR="00A97860" w:rsidRDefault="00A97860">
      <w:pPr>
        <w:pStyle w:val="Body"/>
        <w:spacing w:line="360" w:lineRule="auto"/>
        <w:jc w:val="both"/>
        <w:rPr>
          <w:rFonts w:ascii="Book Antiqua" w:hAnsi="Book Antiqua" w:hint="eastAsia"/>
          <w:color w:val="000000" w:themeColor="text1"/>
          <w:lang w:eastAsia="zh-CN"/>
        </w:rPr>
      </w:pPr>
      <w:r w:rsidRPr="00A97860">
        <w:rPr>
          <w:rFonts w:ascii="Book Antiqua" w:hAnsi="Book Antiqua" w:hint="eastAsia"/>
          <w:b/>
          <w:lang w:eastAsia="zh-CN"/>
        </w:rPr>
        <w:t xml:space="preserve">Citation: </w:t>
      </w:r>
      <w:r w:rsidR="001E31F6" w:rsidRPr="005E5B52">
        <w:rPr>
          <w:rFonts w:ascii="Book Antiqua" w:hAnsi="Book Antiqua"/>
        </w:rPr>
        <w:t>Laiwatthanapaisan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R,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Sirinawasatien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A.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Current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virus/human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adults.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  <w:i/>
          <w:iCs/>
        </w:rPr>
        <w:t>World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="001E31F6" w:rsidRPr="005E5B52">
        <w:rPr>
          <w:rFonts w:ascii="Book Antiqua" w:hAnsi="Book Antiqua"/>
          <w:i/>
          <w:iCs/>
        </w:rPr>
        <w:t>J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="001E31F6" w:rsidRPr="005E5B52">
        <w:rPr>
          <w:rFonts w:ascii="Book Antiqua" w:hAnsi="Book Antiqua"/>
          <w:i/>
          <w:iCs/>
        </w:rPr>
        <w:t>Clin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="001E31F6" w:rsidRPr="005E5B52">
        <w:rPr>
          <w:rFonts w:ascii="Book Antiqua" w:hAnsi="Book Antiqua"/>
          <w:i/>
          <w:iCs/>
        </w:rPr>
        <w:t>Cases</w:t>
      </w:r>
      <w:r w:rsidR="00701816" w:rsidRPr="005E5B52">
        <w:rPr>
          <w:rFonts w:ascii="Book Antiqua" w:hAnsi="Book Antiqua"/>
        </w:rPr>
        <w:t xml:space="preserve"> </w:t>
      </w:r>
      <w:r w:rsidR="006A7538" w:rsidRPr="00644A0A">
        <w:rPr>
          <w:rFonts w:ascii="Book Antiqua" w:hAnsi="Book Antiqua"/>
          <w:color w:val="000000" w:themeColor="text1"/>
        </w:rPr>
        <w:t>202</w:t>
      </w:r>
      <w:r w:rsidR="006A7538" w:rsidRPr="00644A0A">
        <w:rPr>
          <w:rFonts w:ascii="Book Antiqua" w:hAnsi="Book Antiqua" w:hint="eastAsia"/>
          <w:color w:val="000000" w:themeColor="text1"/>
          <w:lang w:eastAsia="zh-CN"/>
        </w:rPr>
        <w:t>1</w:t>
      </w:r>
      <w:r w:rsidR="006A7538" w:rsidRPr="00644A0A">
        <w:rPr>
          <w:rFonts w:ascii="Book Antiqua" w:hAnsi="Book Antiqua"/>
          <w:color w:val="000000" w:themeColor="text1"/>
        </w:rPr>
        <w:t xml:space="preserve">; </w:t>
      </w:r>
      <w:r w:rsidR="006A7538" w:rsidRPr="00644A0A">
        <w:rPr>
          <w:rFonts w:ascii="Book Antiqua" w:hAnsi="Book Antiqua" w:hint="eastAsia"/>
          <w:color w:val="000000" w:themeColor="text1"/>
          <w:lang w:eastAsia="zh-CN"/>
        </w:rPr>
        <w:t>9</w:t>
      </w:r>
      <w:r w:rsidR="006A7538" w:rsidRPr="00644A0A">
        <w:rPr>
          <w:rFonts w:ascii="Book Antiqua" w:hAnsi="Book Antiqua"/>
          <w:color w:val="000000" w:themeColor="text1"/>
        </w:rPr>
        <w:t>(</w:t>
      </w:r>
      <w:r w:rsidR="006A7538" w:rsidRPr="00644A0A">
        <w:rPr>
          <w:rFonts w:ascii="Book Antiqua" w:hAnsi="Book Antiqua" w:hint="eastAsia"/>
          <w:color w:val="000000" w:themeColor="text1"/>
          <w:lang w:eastAsia="zh-CN"/>
        </w:rPr>
        <w:t>1</w:t>
      </w:r>
      <w:r w:rsidR="006A7538">
        <w:rPr>
          <w:rFonts w:ascii="Book Antiqua" w:hAnsi="Book Antiqua" w:hint="eastAsia"/>
          <w:color w:val="000000" w:themeColor="text1"/>
          <w:lang w:eastAsia="zh-CN"/>
        </w:rPr>
        <w:t>8</w:t>
      </w:r>
      <w:r w:rsidR="006A7538" w:rsidRPr="00644A0A">
        <w:rPr>
          <w:rFonts w:ascii="Book Antiqua" w:hAnsi="Book Antiqua"/>
          <w:color w:val="000000" w:themeColor="text1"/>
        </w:rPr>
        <w:t xml:space="preserve">): </w:t>
      </w:r>
      <w:r w:rsidR="003B72B0" w:rsidRPr="003B72B0">
        <w:rPr>
          <w:rFonts w:ascii="Book Antiqua" w:hAnsi="Book Antiqua"/>
          <w:color w:val="000000" w:themeColor="text1"/>
        </w:rPr>
        <w:t>4491-4499</w:t>
      </w:r>
      <w:r w:rsidR="006A7538" w:rsidRPr="00644A0A">
        <w:rPr>
          <w:rFonts w:ascii="Book Antiqua" w:hAnsi="Book Antiqua"/>
          <w:color w:val="000000" w:themeColor="text1"/>
        </w:rPr>
        <w:t xml:space="preserve">  </w:t>
      </w:r>
    </w:p>
    <w:p w14:paraId="0C761987" w14:textId="77777777" w:rsidR="00A97860" w:rsidRDefault="006A7538">
      <w:pPr>
        <w:pStyle w:val="Body"/>
        <w:spacing w:line="360" w:lineRule="auto"/>
        <w:jc w:val="both"/>
        <w:rPr>
          <w:rFonts w:ascii="Book Antiqua" w:hAnsi="Book Antiqua" w:hint="eastAsia"/>
          <w:color w:val="000000" w:themeColor="text1"/>
          <w:lang w:eastAsia="zh-CN"/>
        </w:rPr>
      </w:pPr>
      <w:r w:rsidRPr="00A97860">
        <w:rPr>
          <w:rFonts w:ascii="Book Antiqua" w:hAnsi="Book Antiqua"/>
          <w:b/>
          <w:color w:val="000000" w:themeColor="text1"/>
        </w:rPr>
        <w:t>URL:</w:t>
      </w:r>
      <w:r w:rsidRPr="00644A0A">
        <w:rPr>
          <w:rFonts w:ascii="Book Antiqua" w:hAnsi="Book Antiqua"/>
          <w:color w:val="000000" w:themeColor="text1"/>
        </w:rPr>
        <w:t xml:space="preserve"> https://www.wjgnet.com/2307-8960/full/v</w:t>
      </w:r>
      <w:r w:rsidRPr="00644A0A">
        <w:rPr>
          <w:rFonts w:ascii="Book Antiqua" w:hAnsi="Book Antiqua" w:hint="eastAsia"/>
          <w:color w:val="000000" w:themeColor="text1"/>
          <w:lang w:eastAsia="zh-CN"/>
        </w:rPr>
        <w:t>9</w:t>
      </w:r>
      <w:r w:rsidRPr="00644A0A">
        <w:rPr>
          <w:rFonts w:ascii="Book Antiqua" w:hAnsi="Book Antiqua"/>
          <w:color w:val="000000" w:themeColor="text1"/>
        </w:rPr>
        <w:t>/i</w:t>
      </w:r>
      <w:r w:rsidRPr="00644A0A">
        <w:rPr>
          <w:rFonts w:ascii="Book Antiqua" w:hAnsi="Book Antiqua" w:hint="eastAsia"/>
          <w:color w:val="000000" w:themeColor="text1"/>
          <w:lang w:eastAsia="zh-CN"/>
        </w:rPr>
        <w:t>1</w:t>
      </w:r>
      <w:r>
        <w:rPr>
          <w:rFonts w:ascii="Book Antiqua" w:hAnsi="Book Antiqua" w:hint="eastAsia"/>
          <w:color w:val="000000" w:themeColor="text1"/>
          <w:lang w:eastAsia="zh-CN"/>
        </w:rPr>
        <w:t>8</w:t>
      </w:r>
      <w:r w:rsidRPr="00644A0A">
        <w:rPr>
          <w:rFonts w:ascii="Book Antiqua" w:hAnsi="Book Antiqua"/>
          <w:color w:val="000000" w:themeColor="text1"/>
        </w:rPr>
        <w:t>/</w:t>
      </w:r>
      <w:r w:rsidR="002666BF" w:rsidRPr="003B72B0">
        <w:rPr>
          <w:rFonts w:ascii="Book Antiqua" w:hAnsi="Book Antiqua"/>
          <w:color w:val="000000" w:themeColor="text1"/>
        </w:rPr>
        <w:t>4491</w:t>
      </w:r>
      <w:r w:rsidRPr="00644A0A">
        <w:rPr>
          <w:rFonts w:ascii="Book Antiqua" w:hAnsi="Book Antiqua"/>
          <w:color w:val="000000" w:themeColor="text1"/>
        </w:rPr>
        <w:t xml:space="preserve">.htm  </w:t>
      </w:r>
    </w:p>
    <w:p w14:paraId="3E0BE60C" w14:textId="29BE0638" w:rsidR="00464934" w:rsidRPr="005E5B52" w:rsidRDefault="006A7538">
      <w:pPr>
        <w:pStyle w:val="Body"/>
        <w:spacing w:line="360" w:lineRule="auto"/>
        <w:jc w:val="both"/>
      </w:pPr>
      <w:r w:rsidRPr="00A97860">
        <w:rPr>
          <w:rFonts w:ascii="Book Antiqua" w:hAnsi="Book Antiqua"/>
          <w:b/>
          <w:color w:val="000000" w:themeColor="text1"/>
        </w:rPr>
        <w:t xml:space="preserve">DOI: </w:t>
      </w:r>
      <w:r w:rsidRPr="00644A0A">
        <w:rPr>
          <w:rFonts w:ascii="Book Antiqua" w:hAnsi="Book Antiqua"/>
          <w:color w:val="000000" w:themeColor="text1"/>
        </w:rPr>
        <w:t>https://dx.doi.org/10.12998/wjcc.v</w:t>
      </w:r>
      <w:r w:rsidRPr="00644A0A">
        <w:rPr>
          <w:rFonts w:ascii="Book Antiqua" w:hAnsi="Book Antiqua" w:hint="eastAsia"/>
          <w:color w:val="000000" w:themeColor="text1"/>
          <w:lang w:eastAsia="zh-CN"/>
        </w:rPr>
        <w:t>9</w:t>
      </w:r>
      <w:r w:rsidRPr="00644A0A">
        <w:rPr>
          <w:rFonts w:ascii="Book Antiqua" w:hAnsi="Book Antiqua"/>
          <w:color w:val="000000" w:themeColor="text1"/>
        </w:rPr>
        <w:t>.i</w:t>
      </w:r>
      <w:r w:rsidRPr="00644A0A">
        <w:rPr>
          <w:rFonts w:ascii="Book Antiqua" w:hAnsi="Book Antiqua" w:hint="eastAsia"/>
          <w:color w:val="000000" w:themeColor="text1"/>
          <w:lang w:eastAsia="zh-CN"/>
        </w:rPr>
        <w:t>1</w:t>
      </w:r>
      <w:r>
        <w:rPr>
          <w:rFonts w:ascii="Book Antiqua" w:hAnsi="Book Antiqua" w:hint="eastAsia"/>
          <w:color w:val="000000" w:themeColor="text1"/>
          <w:lang w:eastAsia="zh-CN"/>
        </w:rPr>
        <w:t>8</w:t>
      </w:r>
      <w:r w:rsidRPr="00644A0A">
        <w:rPr>
          <w:rFonts w:ascii="Book Antiqua" w:hAnsi="Book Antiqua"/>
          <w:color w:val="000000" w:themeColor="text1"/>
        </w:rPr>
        <w:t>.</w:t>
      </w:r>
      <w:r w:rsidR="002666BF" w:rsidRPr="003B72B0">
        <w:rPr>
          <w:rFonts w:ascii="Book Antiqua" w:hAnsi="Book Antiqua"/>
          <w:color w:val="000000" w:themeColor="text1"/>
        </w:rPr>
        <w:t>4491</w:t>
      </w:r>
    </w:p>
    <w:p w14:paraId="69852D14" w14:textId="77777777" w:rsidR="00464934" w:rsidRPr="005E5B52" w:rsidRDefault="00464934">
      <w:pPr>
        <w:pStyle w:val="Body"/>
        <w:spacing w:line="360" w:lineRule="auto"/>
        <w:jc w:val="both"/>
      </w:pPr>
    </w:p>
    <w:p w14:paraId="351F467C" w14:textId="5440FF57" w:rsidR="00464934" w:rsidRPr="00694BCF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Core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Tip: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Hepatitis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(HCV)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major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5E5B52">
        <w:rPr>
          <w:rFonts w:ascii="Book Antiqua" w:hAnsi="Book Antiqua"/>
        </w:rPr>
        <w:t>-</w:t>
      </w:r>
      <w:r w:rsidRPr="005E5B52">
        <w:rPr>
          <w:rFonts w:ascii="Book Antiqua" w:hAnsi="Book Antiqua"/>
        </w:rPr>
        <w:t>related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disease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="005E5B52">
        <w:rPr>
          <w:rFonts w:ascii="Book Antiqua" w:hAnsi="Book Antiqua"/>
        </w:rPr>
        <w:t xml:space="preserve">patients with </w:t>
      </w:r>
      <w:r w:rsidRPr="005E5B52">
        <w:rPr>
          <w:rFonts w:ascii="Book Antiqua" w:hAnsi="Book Antiqua"/>
        </w:rPr>
        <w:t>human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(HIV),</w:t>
      </w:r>
      <w:r w:rsidR="00701816" w:rsidRPr="005E5B52">
        <w:rPr>
          <w:rFonts w:ascii="Book Antiqua" w:hAnsi="Book Antiqua"/>
        </w:rPr>
        <w:t xml:space="preserve"> </w:t>
      </w:r>
      <w:r w:rsid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higher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rates</w:t>
      </w:r>
      <w:r w:rsidR="00701816" w:rsidRPr="005E5B52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of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morbidity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mortality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compared</w:t>
      </w:r>
      <w:r w:rsidR="00701816" w:rsidRPr="005E5B52">
        <w:rPr>
          <w:rFonts w:ascii="Book Antiqua" w:hAnsi="Book Antiqua"/>
        </w:rPr>
        <w:t xml:space="preserve"> </w:t>
      </w:r>
      <w:r w:rsidR="001E5D1F">
        <w:rPr>
          <w:rFonts w:ascii="Book Antiqua" w:hAnsi="Book Antiqua"/>
        </w:rPr>
        <w:t>to</w:t>
      </w:r>
      <w:r w:rsidR="001E5D1F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HCV-monoinfected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patients.</w:t>
      </w:r>
      <w:r w:rsidR="005E5B52">
        <w:rPr>
          <w:rFonts w:ascii="Book Antiqua" w:hAnsi="Book Antiqua"/>
          <w:caps/>
        </w:rPr>
        <w:t xml:space="preserve"> </w:t>
      </w:r>
      <w:r w:rsidR="005E5B52">
        <w:rPr>
          <w:rFonts w:ascii="Book Antiqua" w:hAnsi="Book Antiqua"/>
        </w:rPr>
        <w:t>Treatment with d</w:t>
      </w:r>
      <w:r w:rsidRPr="005E5B52">
        <w:rPr>
          <w:rFonts w:ascii="Book Antiqua" w:hAnsi="Book Antiqua"/>
        </w:rPr>
        <w:t>irect-acting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</w:t>
      </w:r>
      <w:r w:rsidR="00701816" w:rsidRPr="005E5B52">
        <w:rPr>
          <w:rFonts w:ascii="Book Antiqua" w:hAnsi="Book Antiqua"/>
        </w:rPr>
        <w:t xml:space="preserve"> </w:t>
      </w:r>
      <w:r w:rsidR="005E5B52">
        <w:rPr>
          <w:rFonts w:ascii="Book Antiqua" w:hAnsi="Book Antiqua"/>
        </w:rPr>
        <w:t xml:space="preserve">(DAA) </w:t>
      </w:r>
      <w:r w:rsidRPr="005E5B52">
        <w:rPr>
          <w:rFonts w:ascii="Book Antiqua" w:hAnsi="Book Antiqua"/>
        </w:rPr>
        <w:t>agents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shown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good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HCV/HIV-coinfected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achieve</w:t>
      </w:r>
      <w:r w:rsidR="005E5B52">
        <w:rPr>
          <w:rFonts w:ascii="Book Antiqua" w:hAnsi="Book Antiqua"/>
        </w:rPr>
        <w:t>s</w:t>
      </w:r>
      <w:r w:rsidR="00701816" w:rsidRPr="005E5B52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sustained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virologic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response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(SVR)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similar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HCV-monoinfected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appropriate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selection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of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crucial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importance,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however,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antiretroviral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taken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account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avoid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outcomes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lower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SVR.</w:t>
      </w:r>
    </w:p>
    <w:p w14:paraId="2051E3E9" w14:textId="77777777" w:rsidR="00701816" w:rsidRPr="005E5B52" w:rsidRDefault="00701816">
      <w:pPr>
        <w:pStyle w:val="Body"/>
        <w:spacing w:line="360" w:lineRule="auto"/>
        <w:jc w:val="both"/>
        <w:sectPr w:rsidR="00701816" w:rsidRPr="005E5B52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27465556" w14:textId="77777777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  <w:caps/>
          <w:u w:val="single"/>
        </w:rPr>
        <w:t>INTRODUCTION</w:t>
      </w:r>
    </w:p>
    <w:p w14:paraId="50448547" w14:textId="3BF6EAC8" w:rsidR="00464934" w:rsidRPr="005E5B52" w:rsidRDefault="001E5D1F">
      <w:pPr>
        <w:pStyle w:val="Body"/>
        <w:spacing w:line="360" w:lineRule="auto"/>
        <w:jc w:val="both"/>
      </w:pPr>
      <w:r>
        <w:rPr>
          <w:rFonts w:ascii="Book Antiqua" w:hAnsi="Book Antiqua"/>
        </w:rPr>
        <w:t>H</w:t>
      </w:r>
      <w:r w:rsidR="001E31F6" w:rsidRPr="001E5D1F">
        <w:rPr>
          <w:rFonts w:ascii="Book Antiqua" w:hAnsi="Book Antiqua"/>
        </w:rPr>
        <w:t>uman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immunodeficiency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virus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(HIV)/hepatitis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C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virus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(HCV)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coinfection</w:t>
      </w:r>
      <w:r w:rsidR="00701816" w:rsidRPr="001E5D1F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result</w:t>
      </w:r>
      <w:r>
        <w:rPr>
          <w:rFonts w:ascii="Book Antiqua" w:hAnsi="Book Antiqua"/>
        </w:rPr>
        <w:t>s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in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greater</w:t>
      </w:r>
      <w:r w:rsidR="00701816" w:rsidRPr="001E5D1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morbidity</w:t>
      </w:r>
      <w:r w:rsidR="00701816" w:rsidRPr="00694BCF">
        <w:rPr>
          <w:rFonts w:ascii="Book Antiqua" w:hAnsi="Book Antiqua"/>
        </w:rPr>
        <w:t xml:space="preserve"> </w:t>
      </w:r>
      <w:r w:rsidR="001E31F6" w:rsidRPr="00D85D36">
        <w:rPr>
          <w:rFonts w:ascii="Book Antiqua" w:hAnsi="Book Antiqua"/>
        </w:rPr>
        <w:t>and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mortality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compared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monoinfection</w:t>
      </w:r>
      <w:r w:rsidR="001E31F6" w:rsidRPr="00014577">
        <w:rPr>
          <w:rFonts w:ascii="Book Antiqua" w:hAnsi="Book Antiqua"/>
          <w:vertAlign w:val="superscript"/>
        </w:rPr>
        <w:t>[1]</w:t>
      </w:r>
      <w:r w:rsidR="001E31F6" w:rsidRPr="005E5B52">
        <w:rPr>
          <w:rFonts w:ascii="Book Antiqua" w:hAnsi="Book Antiqua"/>
        </w:rPr>
        <w:t>.</w:t>
      </w:r>
      <w:r w:rsidR="00701816" w:rsidRPr="001E5D1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to</w:t>
      </w:r>
      <w:r w:rsidR="00701816" w:rsidRPr="001E5D1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the</w:t>
      </w:r>
      <w:r w:rsidR="00701816" w:rsidRPr="00694BCF">
        <w:rPr>
          <w:rFonts w:ascii="Book Antiqua" w:hAnsi="Book Antiqua"/>
        </w:rPr>
        <w:t xml:space="preserve"> </w:t>
      </w:r>
      <w:r w:rsidR="001E31F6" w:rsidRPr="00D85D36">
        <w:rPr>
          <w:rFonts w:ascii="Book Antiqua" w:hAnsi="Book Antiqua"/>
        </w:rPr>
        <w:t>pathophysiology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coinfection,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accelerate</w:t>
      </w:r>
      <w:r>
        <w:rPr>
          <w:rFonts w:ascii="Book Antiqua" w:hAnsi="Book Antiqua"/>
        </w:rPr>
        <w:t>s the progression of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liver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fibrosis,</w:t>
      </w:r>
      <w:r w:rsidR="00701816" w:rsidRPr="001E5D1F">
        <w:rPr>
          <w:rFonts w:ascii="Book Antiqua" w:hAnsi="Book Antiqua"/>
        </w:rPr>
        <w:t xml:space="preserve"> </w:t>
      </w:r>
      <w:r w:rsidR="001E31F6" w:rsidRPr="001E5D1F">
        <w:rPr>
          <w:rFonts w:ascii="Book Antiqua" w:hAnsi="Book Antiqua"/>
        </w:rPr>
        <w:t>leading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to</w:t>
      </w:r>
      <w:r w:rsidR="00701816" w:rsidRPr="00D85D36">
        <w:rPr>
          <w:rFonts w:ascii="Book Antiqua" w:hAnsi="Book Antiqua"/>
        </w:rPr>
        <w:t xml:space="preserve"> </w:t>
      </w:r>
      <w:r w:rsidR="001E31F6" w:rsidRPr="00C91606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hepatocellular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carcinoma</w:t>
      </w:r>
      <w:r w:rsidR="001E31F6" w:rsidRPr="00014577">
        <w:rPr>
          <w:rFonts w:ascii="Book Antiqua" w:hAnsi="Book Antiqua"/>
          <w:vertAlign w:val="superscript"/>
        </w:rPr>
        <w:t>[2]</w:t>
      </w:r>
      <w:r w:rsidR="001E31F6" w:rsidRPr="005E5B52">
        <w:rPr>
          <w:rFonts w:ascii="Book Antiqua" w:hAnsi="Book Antiqua"/>
          <w:shd w:val="clear" w:color="auto" w:fill="FFFFFF"/>
        </w:rPr>
        <w:t>.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HIV/HCV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coinfection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patients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also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have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a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higher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incidence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of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cardiovascular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disease.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A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meta-analysis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by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Osibogun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i/>
          <w:iCs/>
          <w:shd w:val="clear" w:color="auto" w:fill="FFFFFF"/>
        </w:rPr>
        <w:t>et</w:t>
      </w:r>
      <w:r w:rsidR="00701816" w:rsidRPr="005E5B52">
        <w:rPr>
          <w:rFonts w:ascii="Book Antiqua" w:hAnsi="Book Antiqua"/>
          <w:i/>
          <w:iCs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i/>
          <w:iCs/>
          <w:shd w:val="clear" w:color="auto" w:fill="FFFFFF"/>
        </w:rPr>
        <w:t>al</w:t>
      </w:r>
      <w:r w:rsidR="001E31F6" w:rsidRPr="00014577">
        <w:rPr>
          <w:rFonts w:ascii="Book Antiqua" w:hAnsi="Book Antiqua"/>
          <w:shd w:val="clear" w:color="auto" w:fill="FFFFFF"/>
          <w:vertAlign w:val="superscript"/>
        </w:rPr>
        <w:t>[3]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reported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that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HIV/HCV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coinfection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leads to an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increased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risk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1E5D1F">
        <w:rPr>
          <w:rFonts w:ascii="Book Antiqua" w:hAnsi="Book Antiqua"/>
          <w:shd w:val="clear" w:color="auto" w:fill="FFFFFF"/>
        </w:rPr>
        <w:t>of</w:t>
      </w:r>
      <w:r w:rsidR="00701816" w:rsidRPr="001E5D1F">
        <w:rPr>
          <w:rFonts w:ascii="Book Antiqua" w:hAnsi="Book Antiqua"/>
          <w:shd w:val="clear" w:color="auto" w:fill="FFFFFF"/>
        </w:rPr>
        <w:t xml:space="preserve"> </w:t>
      </w:r>
      <w:r w:rsidR="001E31F6" w:rsidRPr="00C91606">
        <w:rPr>
          <w:rFonts w:ascii="Book Antiqua" w:hAnsi="Book Antiqua"/>
          <w:shd w:val="clear" w:color="auto" w:fill="FFFFFF"/>
        </w:rPr>
        <w:t>cardiovascular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diseases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compared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to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HIV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monoinfection,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with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a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hazard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ratio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of</w:t>
      </w:r>
      <w:r w:rsidR="00701816" w:rsidRPr="005E5B52">
        <w:rPr>
          <w:rFonts w:ascii="Book Antiqua" w:hAnsi="Book Antiqua"/>
          <w:shd w:val="clear" w:color="auto" w:fill="FFFFFF"/>
        </w:rPr>
        <w:t xml:space="preserve"> </w:t>
      </w:r>
      <w:r w:rsidR="001E31F6" w:rsidRPr="005E5B52">
        <w:rPr>
          <w:rFonts w:ascii="Book Antiqua" w:hAnsi="Book Antiqua"/>
          <w:shd w:val="clear" w:color="auto" w:fill="FFFFFF"/>
        </w:rPr>
        <w:t>1.24</w:t>
      </w:r>
      <w:r w:rsidR="001E31F6" w:rsidRPr="005E5B52">
        <w:rPr>
          <w:rFonts w:ascii="Book Antiqua" w:hAnsi="Book Antiqua"/>
        </w:rPr>
        <w:t>.</w:t>
      </w:r>
      <w:r w:rsidR="00701816" w:rsidRPr="005E5B52">
        <w:rPr>
          <w:rFonts w:ascii="Book Antiqua" w:hAnsi="Book Antiqua"/>
        </w:rPr>
        <w:t xml:space="preserve"> </w:t>
      </w:r>
    </w:p>
    <w:p w14:paraId="15DA07F9" w14:textId="05FB4297" w:rsidR="001E5D1F" w:rsidRDefault="001E31F6" w:rsidP="00C34FC1">
      <w:pPr>
        <w:pStyle w:val="Body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difficult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before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direct-acting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</w:t>
      </w:r>
      <w:r w:rsidR="001E5D1F">
        <w:rPr>
          <w:rFonts w:ascii="Book Antiqua" w:hAnsi="Book Antiqua"/>
        </w:rPr>
        <w:t xml:space="preserve"> (DAA)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agents,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and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most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studies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showed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lower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sustained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virologic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response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(SVR)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received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interferon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treatment.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="001E5D1F">
        <w:rPr>
          <w:rFonts w:ascii="Book Antiqua" w:hAnsi="Book Antiqua"/>
        </w:rPr>
        <w:t>Currently</w:t>
      </w:r>
      <w:r w:rsidRPr="001E5D1F">
        <w:rPr>
          <w:rFonts w:ascii="Book Antiqua" w:hAnsi="Book Antiqua"/>
        </w:rPr>
        <w:t>,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DAA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shows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high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efficacy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in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attaining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SVR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rates</w:t>
      </w:r>
      <w:r w:rsidR="00701816" w:rsidRPr="00694BCF">
        <w:rPr>
          <w:rFonts w:ascii="Book Antiqua" w:hAnsi="Book Antiqua"/>
        </w:rPr>
        <w:t xml:space="preserve"> </w:t>
      </w:r>
      <w:r w:rsidR="001E5D1F">
        <w:rPr>
          <w:rFonts w:ascii="Book Antiqua" w:hAnsi="Book Antiqua"/>
        </w:rPr>
        <w:t>that</w:t>
      </w:r>
      <w:r w:rsidR="001E5D1F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are</w:t>
      </w:r>
      <w:r w:rsidR="00701816" w:rsidRPr="001E5D1F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comparable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monoinfection</w:t>
      </w:r>
      <w:r w:rsidRPr="00014577">
        <w:rPr>
          <w:rFonts w:ascii="Book Antiqua" w:hAnsi="Book Antiqua"/>
          <w:vertAlign w:val="superscript"/>
        </w:rPr>
        <w:t>[4,5]</w:t>
      </w:r>
      <w:r w:rsidR="00701816" w:rsidRPr="005E5B52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as</w:t>
      </w:r>
      <w:r w:rsidR="00701816" w:rsidRPr="001E5D1F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shown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caps/>
        </w:rPr>
        <w:t>t</w:t>
      </w:r>
      <w:r w:rsidRPr="005E5B52">
        <w:rPr>
          <w:rFonts w:ascii="Book Antiqua" w:hAnsi="Book Antiqua"/>
        </w:rPr>
        <w:t>able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However,</w:t>
      </w:r>
      <w:r w:rsidR="00701816" w:rsidRPr="005E5B52">
        <w:rPr>
          <w:rFonts w:ascii="Book Antiqua" w:hAnsi="Book Antiqua"/>
        </w:rPr>
        <w:t xml:space="preserve"> </w:t>
      </w:r>
      <w:r w:rsidR="001E5D1F">
        <w:rPr>
          <w:rFonts w:ascii="Book Antiqua" w:hAnsi="Book Antiqua"/>
        </w:rPr>
        <w:t xml:space="preserve">the </w:t>
      </w:r>
      <w:r w:rsidRPr="001E5D1F">
        <w:rPr>
          <w:rFonts w:ascii="Book Antiqua" w:hAnsi="Book Antiqua"/>
        </w:rPr>
        <w:t>drug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interaction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between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antiretroviral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(ART)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1E5D1F">
        <w:rPr>
          <w:rFonts w:ascii="Book Antiqua" w:hAnsi="Book Antiqua"/>
        </w:rPr>
        <w:t>s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still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constitutes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major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problem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undermine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1E5D1F">
        <w:rPr>
          <w:rFonts w:ascii="Book Antiqua" w:hAnsi="Book Antiqua"/>
        </w:rPr>
        <w:t>s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or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increase</w:t>
      </w:r>
      <w:r w:rsidR="00701816" w:rsidRPr="00694BCF">
        <w:rPr>
          <w:rFonts w:ascii="Book Antiqua" w:hAnsi="Book Antiqua"/>
        </w:rPr>
        <w:t xml:space="preserve"> </w:t>
      </w:r>
      <w:r w:rsidR="001E5D1F">
        <w:rPr>
          <w:rFonts w:ascii="Book Antiqua" w:hAnsi="Book Antiqua"/>
        </w:rPr>
        <w:t xml:space="preserve">the </w:t>
      </w:r>
      <w:r w:rsidRPr="001E5D1F">
        <w:rPr>
          <w:rFonts w:ascii="Book Antiqua" w:hAnsi="Book Antiqua"/>
        </w:rPr>
        <w:t>toxicity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of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DDA</w:t>
      </w:r>
      <w:r w:rsidR="001E5D1F">
        <w:rPr>
          <w:rFonts w:ascii="Book Antiqua" w:hAnsi="Book Antiqua"/>
        </w:rPr>
        <w:t>s</w:t>
      </w:r>
      <w:r w:rsidRPr="001E5D1F">
        <w:rPr>
          <w:rFonts w:ascii="Book Antiqua" w:hAnsi="Book Antiqua"/>
        </w:rPr>
        <w:t>.</w:t>
      </w:r>
      <w:r w:rsidR="00701816" w:rsidRPr="001E5D1F">
        <w:rPr>
          <w:rFonts w:ascii="Book Antiqua" w:hAnsi="Book Antiqua"/>
        </w:rPr>
        <w:t xml:space="preserve"> </w:t>
      </w:r>
    </w:p>
    <w:p w14:paraId="6FB9E81B" w14:textId="38C2E3F6" w:rsidR="00464934" w:rsidRPr="005E5B52" w:rsidRDefault="001E31F6" w:rsidP="00C34FC1">
      <w:pPr>
        <w:pStyle w:val="Body"/>
        <w:spacing w:line="360" w:lineRule="auto"/>
        <w:ind w:firstLineChars="100" w:firstLine="240"/>
        <w:jc w:val="both"/>
      </w:pPr>
      <w:r w:rsidRPr="001E5D1F">
        <w:rPr>
          <w:rFonts w:ascii="Book Antiqua" w:hAnsi="Book Antiqua"/>
        </w:rPr>
        <w:t>In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this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review,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summarize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simplify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current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management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(Figure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1).</w:t>
      </w:r>
      <w:r w:rsidR="00701816" w:rsidRPr="005E5B52">
        <w:rPr>
          <w:rFonts w:ascii="Book Antiqua" w:hAnsi="Book Antiqua"/>
        </w:rPr>
        <w:t xml:space="preserve"> </w:t>
      </w:r>
    </w:p>
    <w:p w14:paraId="4A0A428D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6A8070C" w14:textId="18CA23B2" w:rsidR="00464934" w:rsidRPr="005E5B52" w:rsidRDefault="001E31F6">
      <w:pPr>
        <w:pStyle w:val="Body"/>
        <w:spacing w:line="360" w:lineRule="auto"/>
        <w:jc w:val="both"/>
        <w:rPr>
          <w:caps/>
          <w:u w:val="single"/>
        </w:rPr>
      </w:pPr>
      <w:r w:rsidRPr="005E5B52">
        <w:rPr>
          <w:rFonts w:ascii="Book Antiqua" w:hAnsi="Book Antiqua"/>
          <w:b/>
          <w:bCs/>
          <w:caps/>
          <w:u w:val="single"/>
        </w:rPr>
        <w:t>Goals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of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treatment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and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deciding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when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to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treat</w:t>
      </w:r>
    </w:p>
    <w:p w14:paraId="77231971" w14:textId="45470852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endpoint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evaluated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quantitative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RNA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function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panel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24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following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completion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confirming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undetectability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RNA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normalization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enzyme</w:t>
      </w:r>
      <w:r w:rsidRPr="00014577">
        <w:rPr>
          <w:rFonts w:ascii="Book Antiqua" w:hAnsi="Book Antiqua"/>
          <w:vertAlign w:val="superscript"/>
        </w:rPr>
        <w:t>[6]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This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cure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determined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yields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several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clinical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benefits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reduce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decompensation,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delay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progression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fibrosis,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reduce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incidence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hepatocellular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carcinoma,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also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lower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</w:t>
      </w:r>
      <w:r w:rsidR="0037350E" w:rsidRPr="005E5B52">
        <w:rPr>
          <w:rFonts w:ascii="Book Antiqua" w:hAnsi="Book Antiqua"/>
        </w:rPr>
        <w:t>ion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rate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patients.</w:t>
      </w:r>
    </w:p>
    <w:p w14:paraId="18940C33" w14:textId="4B03B8FC" w:rsidR="00464934" w:rsidRPr="00694BCF" w:rsidRDefault="001E31F6">
      <w:pPr>
        <w:pStyle w:val="Body"/>
        <w:spacing w:line="360" w:lineRule="auto"/>
        <w:ind w:firstLine="480"/>
        <w:jc w:val="both"/>
      </w:pPr>
      <w:r w:rsidRPr="005E5B52">
        <w:rPr>
          <w:rFonts w:ascii="Book Antiqua" w:hAnsi="Book Antiqua"/>
        </w:rPr>
        <w:t>All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virologic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evidence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chronic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receive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prevented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financial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constraints.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other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hand,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settings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limited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resources,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prioritized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favor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highest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substantial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morbidity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mortality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untreated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1E5D1F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advanced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fibrosis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transplant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recipients</w:t>
      </w:r>
      <w:r w:rsidR="001E5D1F">
        <w:rPr>
          <w:rFonts w:ascii="Book Antiqua" w:hAnsi="Book Antiqua"/>
        </w:rPr>
        <w:t>,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or</w:t>
      </w:r>
      <w:r w:rsidR="00701816" w:rsidRPr="001E5D1F">
        <w:rPr>
          <w:rFonts w:ascii="Book Antiqua" w:hAnsi="Book Antiqua"/>
        </w:rPr>
        <w:t xml:space="preserve"> </w:t>
      </w:r>
      <w:r w:rsidR="001E5D1F">
        <w:rPr>
          <w:rFonts w:ascii="Book Antiqua" w:hAnsi="Book Antiqua"/>
        </w:rPr>
        <w:t xml:space="preserve">those who </w:t>
      </w:r>
      <w:r w:rsidRPr="001E5D1F">
        <w:rPr>
          <w:rFonts w:ascii="Book Antiqua" w:hAnsi="Book Antiqua"/>
        </w:rPr>
        <w:t>have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severe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extrahepatic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manifestations.</w:t>
      </w:r>
      <w:r w:rsidR="00701816" w:rsidRPr="00694BCF">
        <w:rPr>
          <w:rFonts w:ascii="Book Antiqua" w:hAnsi="Book Antiqua"/>
        </w:rPr>
        <w:t xml:space="preserve"> </w:t>
      </w:r>
    </w:p>
    <w:p w14:paraId="02A4B5A8" w14:textId="77777777" w:rsidR="00464934" w:rsidRPr="00C91606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3D99932" w14:textId="31354C91" w:rsidR="00464934" w:rsidRPr="005E5B52" w:rsidRDefault="001E31F6">
      <w:pPr>
        <w:pStyle w:val="Body"/>
        <w:spacing w:line="360" w:lineRule="auto"/>
        <w:jc w:val="both"/>
        <w:rPr>
          <w:caps/>
          <w:u w:val="single"/>
        </w:rPr>
      </w:pPr>
      <w:r w:rsidRPr="00014577">
        <w:rPr>
          <w:rFonts w:ascii="Book Antiqua" w:hAnsi="Book Antiqua"/>
          <w:b/>
          <w:bCs/>
          <w:caps/>
          <w:u w:val="single"/>
        </w:rPr>
        <w:t>DAA</w:t>
      </w:r>
      <w:r w:rsidR="00701816" w:rsidRPr="00014577">
        <w:rPr>
          <w:rFonts w:ascii="Book Antiqua" w:hAnsi="Book Antiqua"/>
          <w:b/>
          <w:bCs/>
          <w:caps/>
          <w:u w:val="single"/>
        </w:rPr>
        <w:t xml:space="preserve"> </w:t>
      </w:r>
      <w:r w:rsidRPr="00014577">
        <w:rPr>
          <w:rFonts w:ascii="Book Antiqua" w:hAnsi="Book Antiqua"/>
          <w:b/>
          <w:bCs/>
          <w:caps/>
          <w:u w:val="single"/>
        </w:rPr>
        <w:t>regimen</w:t>
      </w:r>
      <w:r w:rsidR="00701816" w:rsidRPr="00014577">
        <w:rPr>
          <w:rFonts w:ascii="Book Antiqua" w:hAnsi="Book Antiqua"/>
          <w:b/>
          <w:bCs/>
          <w:caps/>
          <w:u w:val="single"/>
        </w:rPr>
        <w:t xml:space="preserve"> </w:t>
      </w:r>
      <w:r w:rsidRPr="00014577">
        <w:rPr>
          <w:rFonts w:ascii="Book Antiqua" w:hAnsi="Book Antiqua"/>
          <w:b/>
          <w:bCs/>
          <w:caps/>
          <w:u w:val="single"/>
        </w:rPr>
        <w:t>selection</w:t>
      </w:r>
      <w:r w:rsidR="00701816" w:rsidRPr="00014577">
        <w:rPr>
          <w:rFonts w:ascii="Book Antiqua" w:hAnsi="Book Antiqua"/>
          <w:b/>
          <w:bCs/>
          <w:caps/>
          <w:u w:val="single"/>
        </w:rPr>
        <w:t xml:space="preserve"> </w:t>
      </w:r>
    </w:p>
    <w:p w14:paraId="4DD6B841" w14:textId="7946CCB6" w:rsidR="00464934" w:rsidRPr="005E5B52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principal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selection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based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genotype,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experience,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current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presence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other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comorbidities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carry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contraindications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certain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found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likely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delay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monoinfection.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Zuckerman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et</w:t>
      </w:r>
      <w:r w:rsidR="00701816" w:rsidRPr="005E5B52">
        <w:rPr>
          <w:rFonts w:ascii="Book Antiqua" w:hAnsi="Book Antiqua"/>
          <w:i/>
          <w:iCs/>
        </w:rPr>
        <w:t xml:space="preserve"> </w:t>
      </w:r>
      <w:r w:rsidRPr="005E5B52">
        <w:rPr>
          <w:rFonts w:ascii="Book Antiqua" w:hAnsi="Book Antiqua"/>
          <w:i/>
          <w:iCs/>
        </w:rPr>
        <w:t>al</w:t>
      </w:r>
      <w:r w:rsidRPr="00014577">
        <w:rPr>
          <w:rFonts w:ascii="Book Antiqua" w:hAnsi="Book Antiqua"/>
          <w:vertAlign w:val="superscript"/>
        </w:rPr>
        <w:t>[7]</w:t>
      </w:r>
      <w:r w:rsidR="00701816" w:rsidRPr="00014577">
        <w:rPr>
          <w:rFonts w:ascii="Book Antiqua" w:hAnsi="Book Antiqua"/>
          <w:vertAlign w:val="superscript"/>
        </w:rPr>
        <w:t xml:space="preserve"> </w:t>
      </w:r>
      <w:r w:rsidRPr="005E5B52">
        <w:rPr>
          <w:rFonts w:ascii="Book Antiqua" w:hAnsi="Book Antiqua"/>
        </w:rPr>
        <w:t>revealed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that</w:t>
      </w:r>
      <w:r w:rsidR="00701816" w:rsidRPr="00694BCF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longer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time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initiation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HCV-monoinfected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changing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HCV-monoinfected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started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after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median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13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(IQR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8-26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d),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compared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median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24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(IQR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14-46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median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time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initiation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change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18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Early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consultation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good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coordination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between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specialists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hepatologists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shorten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delay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initiation.</w:t>
      </w:r>
      <w:r w:rsidR="00701816" w:rsidRPr="005E5B52">
        <w:rPr>
          <w:rFonts w:ascii="Book Antiqua" w:hAnsi="Book Antiqua"/>
        </w:rPr>
        <w:t xml:space="preserve"> </w:t>
      </w:r>
    </w:p>
    <w:p w14:paraId="41678313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B1C48EB" w14:textId="0B23BA48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014577">
        <w:rPr>
          <w:rFonts w:ascii="Book Antiqua" w:hAnsi="Book Antiqua"/>
          <w:b/>
          <w:bCs/>
          <w:i/>
          <w:iCs/>
        </w:rPr>
        <w:t>ART-naive</w:t>
      </w:r>
      <w:r w:rsidR="00701816" w:rsidRPr="00014577">
        <w:rPr>
          <w:rFonts w:ascii="Book Antiqua" w:hAnsi="Book Antiqua"/>
          <w:b/>
          <w:bCs/>
          <w:i/>
          <w:iCs/>
        </w:rPr>
        <w:t xml:space="preserve"> </w:t>
      </w:r>
      <w:r w:rsidRPr="00014577">
        <w:rPr>
          <w:rFonts w:ascii="Book Antiqua" w:hAnsi="Book Antiqua"/>
          <w:b/>
          <w:bCs/>
          <w:i/>
          <w:iCs/>
        </w:rPr>
        <w:t>patients</w:t>
      </w:r>
    </w:p>
    <w:p w14:paraId="4726311E" w14:textId="6EC66F28" w:rsidR="00464934" w:rsidRPr="00694BCF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received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timing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initiation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paramount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importance.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generally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commenced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4-6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before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order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evaluate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tolerability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effects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undergo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changes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might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affect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selection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Evidence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="00694BCF">
        <w:rPr>
          <w:rFonts w:ascii="Book Antiqua" w:hAnsi="Book Antiqua"/>
        </w:rPr>
        <w:t xml:space="preserve">interferon </w:t>
      </w:r>
      <w:r w:rsidRPr="00694BCF">
        <w:rPr>
          <w:rFonts w:ascii="Book Antiqua" w:hAnsi="Book Antiqua"/>
        </w:rPr>
        <w:t>era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showed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that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initiating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ART</w:t>
      </w:r>
      <w:r w:rsidR="00701816" w:rsidRPr="00694BCF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before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achieved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restoration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function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improved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outcomes</w:t>
      </w:r>
      <w:r w:rsidRPr="00014577">
        <w:rPr>
          <w:rFonts w:ascii="Book Antiqua" w:hAnsi="Book Antiqua"/>
          <w:vertAlign w:val="superscript"/>
        </w:rPr>
        <w:t>[8]</w:t>
      </w:r>
      <w:r w:rsidRPr="005E5B52">
        <w:rPr>
          <w:rFonts w:ascii="Book Antiqua" w:hAnsi="Book Antiqua"/>
        </w:rPr>
        <w:t>.</w:t>
      </w:r>
    </w:p>
    <w:p w14:paraId="1F372C42" w14:textId="77777777" w:rsidR="00464934" w:rsidRPr="00C91606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2A9AA15" w14:textId="245C824A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ART-experienced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patients</w:t>
      </w:r>
    </w:p>
    <w:p w14:paraId="61EEB3C1" w14:textId="0C19178A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tolerant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good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suppression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significant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occurs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selected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furthermore,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continue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original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potential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switch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indicated.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changing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important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aware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potential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triggered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new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agents,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possibility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breakthrough.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delayed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4-6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after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switching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allow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develop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tolerance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new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regimen.</w:t>
      </w:r>
      <w:r w:rsidR="00701816" w:rsidRPr="005E5B52">
        <w:rPr>
          <w:rFonts w:ascii="Book Antiqua" w:hAnsi="Book Antiqua"/>
        </w:rPr>
        <w:t xml:space="preserve"> </w:t>
      </w:r>
    </w:p>
    <w:p w14:paraId="1D72E1EF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</w:p>
    <w:p w14:paraId="5B525A1A" w14:textId="1BD0E1E5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Genotype-based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regimens</w:t>
      </w:r>
    </w:p>
    <w:p w14:paraId="01576DD7" w14:textId="0C8396A2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Genotype-based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divided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two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groups: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non-genotype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3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pangenotype.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simplifies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selection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comparable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individuals,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critical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factor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consider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choosing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potential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</w:t>
      </w:r>
      <w:r w:rsidR="0037350E" w:rsidRPr="005E5B52">
        <w:rPr>
          <w:rFonts w:ascii="Book Antiqua" w:hAnsi="Book Antiqua"/>
        </w:rPr>
        <w:t>ient’s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current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(Table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2).</w:t>
      </w:r>
    </w:p>
    <w:p w14:paraId="121D9525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3EF5D39" w14:textId="5A03FC3B" w:rsidR="00464934" w:rsidRPr="005E5B52" w:rsidRDefault="001E31F6">
      <w:pPr>
        <w:pStyle w:val="Body"/>
        <w:spacing w:line="360" w:lineRule="auto"/>
        <w:jc w:val="both"/>
        <w:rPr>
          <w:caps/>
          <w:u w:val="single"/>
        </w:rPr>
      </w:pPr>
      <w:r w:rsidRPr="005E5B52">
        <w:rPr>
          <w:rFonts w:ascii="Book Antiqua" w:hAnsi="Book Antiqua"/>
          <w:b/>
          <w:bCs/>
          <w:caps/>
          <w:u w:val="single"/>
        </w:rPr>
        <w:t>Non-Genotype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3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treatment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regimen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</w:p>
    <w:p w14:paraId="27FDDE1E" w14:textId="2F3674F5" w:rsidR="00694BCF" w:rsidRPr="00694BCF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Sofosbuvir/ledipasvir</w:t>
      </w:r>
    </w:p>
    <w:p w14:paraId="5DBEB378" w14:textId="5731A602" w:rsidR="00464934" w:rsidRPr="00694BCF" w:rsidRDefault="00694BCF">
      <w:pPr>
        <w:pStyle w:val="Body"/>
        <w:spacing w:line="360" w:lineRule="auto"/>
        <w:jc w:val="both"/>
      </w:pPr>
      <w:r>
        <w:rPr>
          <w:rFonts w:ascii="Book Antiqua" w:hAnsi="Book Antiqua"/>
        </w:rPr>
        <w:t>T</w:t>
      </w:r>
      <w:r w:rsidR="001E31F6" w:rsidRPr="00694BCF">
        <w:rPr>
          <w:rFonts w:ascii="Book Antiqua" w:hAnsi="Book Antiqua"/>
        </w:rPr>
        <w:t>he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efficacy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of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sofosbuvir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(SOF)/ledipasvir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(LED)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the </w:t>
      </w:r>
      <w:r w:rsidR="001E31F6" w:rsidRPr="00694BCF">
        <w:rPr>
          <w:rFonts w:ascii="Book Antiqua" w:hAnsi="Book Antiqua"/>
        </w:rPr>
        <w:t>treatment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of</w:t>
      </w:r>
      <w:r w:rsidR="00701816" w:rsidRPr="00694BCF">
        <w:rPr>
          <w:rFonts w:ascii="Book Antiqua" w:hAnsi="Book Antiqua"/>
        </w:rPr>
        <w:t xml:space="preserve"> </w:t>
      </w:r>
      <w:r w:rsidR="001E31F6" w:rsidRPr="00C91606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been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evaluated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many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studies,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although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mostly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included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genotype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1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(98%-100%)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only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small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amount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genotype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4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(2%)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data,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been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found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attain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good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SVR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up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96%-98%</w:t>
      </w:r>
      <w:r w:rsidR="001E31F6" w:rsidRPr="00014577">
        <w:rPr>
          <w:rFonts w:ascii="Book Antiqua" w:hAnsi="Book Antiqua"/>
          <w:vertAlign w:val="superscript"/>
        </w:rPr>
        <w:t>[9]</w:t>
      </w:r>
      <w:r w:rsidR="001E31F6"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Several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studies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of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HCV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monoinfection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patients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have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shown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SOF/LED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could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used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genotype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4,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5,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6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 </w:t>
      </w:r>
      <w:r w:rsidR="001E31F6" w:rsidRPr="00694BCF">
        <w:rPr>
          <w:rFonts w:ascii="Book Antiqua" w:hAnsi="Book Antiqua"/>
        </w:rPr>
        <w:t>SVR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of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up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96.6%</w:t>
      </w:r>
      <w:r w:rsidR="001E31F6" w:rsidRPr="00014577">
        <w:rPr>
          <w:rFonts w:ascii="Book Antiqua" w:hAnsi="Book Antiqua"/>
          <w:vertAlign w:val="superscript"/>
        </w:rPr>
        <w:t>[1</w:t>
      </w:r>
      <w:r w:rsidR="001E31F6" w:rsidRPr="005E5B52">
        <w:rPr>
          <w:rFonts w:ascii="Book Antiqua" w:hAnsi="Book Antiqua"/>
          <w:vertAlign w:val="superscript"/>
        </w:rPr>
        <w:t>0-12</w:t>
      </w:r>
      <w:r w:rsidR="001E31F6" w:rsidRPr="00014577">
        <w:rPr>
          <w:rFonts w:ascii="Book Antiqua" w:hAnsi="Book Antiqua"/>
          <w:vertAlign w:val="superscript"/>
        </w:rPr>
        <w:t>]</w:t>
      </w:r>
      <w:r w:rsidR="001E31F6"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Data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concerning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the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use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of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this</w:t>
      </w:r>
      <w:r w:rsidR="00701816" w:rsidRPr="00694BCF">
        <w:rPr>
          <w:rFonts w:ascii="Book Antiqua" w:hAnsi="Book Antiqua"/>
        </w:rPr>
        <w:t xml:space="preserve"> </w:t>
      </w:r>
      <w:r w:rsidR="001E31F6" w:rsidRPr="00694BCF">
        <w:rPr>
          <w:rFonts w:ascii="Book Antiqua" w:hAnsi="Book Antiqua"/>
        </w:rPr>
        <w:t>regimen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genotypes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4,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5,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6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sparse,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but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="001E31F6"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study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small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number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shown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good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efficacy</w:t>
      </w:r>
      <w:r w:rsidR="001E31F6" w:rsidRPr="00014577">
        <w:rPr>
          <w:rFonts w:ascii="Book Antiqua" w:hAnsi="Book Antiqua"/>
          <w:vertAlign w:val="superscript"/>
        </w:rPr>
        <w:t>[1</w:t>
      </w:r>
      <w:r w:rsidR="001E31F6" w:rsidRPr="005E5B52">
        <w:rPr>
          <w:rFonts w:ascii="Book Antiqua" w:hAnsi="Book Antiqua"/>
          <w:vertAlign w:val="superscript"/>
        </w:rPr>
        <w:t>3</w:t>
      </w:r>
      <w:r w:rsidR="001E31F6" w:rsidRPr="00014577">
        <w:rPr>
          <w:rFonts w:ascii="Book Antiqua" w:hAnsi="Book Antiqua"/>
          <w:vertAlign w:val="superscript"/>
        </w:rPr>
        <w:t>]</w:t>
      </w:r>
      <w:r w:rsidR="001E31F6"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  <w:b/>
          <w:bCs/>
        </w:rPr>
        <w:t xml:space="preserve"> </w:t>
      </w:r>
    </w:p>
    <w:p w14:paraId="77F7EA24" w14:textId="77777777" w:rsidR="00464934" w:rsidRPr="00694BCF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CDE6853" w14:textId="07B7031B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C91606">
        <w:rPr>
          <w:rFonts w:ascii="Book Antiqua" w:hAnsi="Book Antiqua"/>
          <w:b/>
          <w:bCs/>
          <w:i/>
          <w:iCs/>
        </w:rPr>
        <w:t>Drug</w:t>
      </w:r>
      <w:r w:rsidR="00701816" w:rsidRPr="003201C3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interaction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with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ART</w:t>
      </w:r>
    </w:p>
    <w:p w14:paraId="7B554517" w14:textId="59111C1D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tenofovir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disoproxil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fumarate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caution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advisable,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increases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tenofovir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estimated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glomerular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filtration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(eGFR)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&lt;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60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mL/min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also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avoid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Pr="00014577">
        <w:rPr>
          <w:rFonts w:ascii="Book Antiqua" w:hAnsi="Book Antiqua"/>
          <w:vertAlign w:val="superscript"/>
        </w:rPr>
        <w:t>[1</w:t>
      </w:r>
      <w:r w:rsidRPr="005E5B52">
        <w:rPr>
          <w:rFonts w:ascii="Book Antiqua" w:hAnsi="Book Antiqua"/>
          <w:vertAlign w:val="superscript"/>
        </w:rPr>
        <w:t>4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Tenofovir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alafenamide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could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be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alternative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concomitant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SOF/LDV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impaired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function.</w:t>
      </w:r>
    </w:p>
    <w:p w14:paraId="114876D3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4032CAF" w14:textId="77777777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 w:rsidRPr="00014577">
        <w:rPr>
          <w:rFonts w:ascii="Book Antiqua" w:hAnsi="Book Antiqua"/>
          <w:b/>
          <w:bCs/>
          <w:i/>
          <w:iCs/>
        </w:rPr>
        <w:t>Elbasvir/grazoprevir</w:t>
      </w:r>
    </w:p>
    <w:p w14:paraId="28D5F99C" w14:textId="37E8B099" w:rsidR="00464934" w:rsidRPr="005E5B52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</w:rPr>
        <w:t>The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C-EDGE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CO-INFECTION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included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treatment-naive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HIV/HCV-genotype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4,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showed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achieved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96%</w:t>
      </w:r>
      <w:r w:rsidRPr="00014577">
        <w:rPr>
          <w:rFonts w:ascii="Book Antiqua" w:hAnsi="Book Antiqua"/>
          <w:vertAlign w:val="superscript"/>
        </w:rPr>
        <w:t>[1</w:t>
      </w:r>
      <w:r w:rsidRPr="005E5B52">
        <w:rPr>
          <w:rFonts w:ascii="Book Antiqua" w:hAnsi="Book Antiqua"/>
          <w:vertAlign w:val="superscript"/>
        </w:rPr>
        <w:t>5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1E5D1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The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most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common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side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effects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fatigue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(13%),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headache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(12%)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nausea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(9%).</w:t>
      </w:r>
    </w:p>
    <w:p w14:paraId="33D5ACD1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7538AEB" w14:textId="715A4FC9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Drug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interaction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with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ART</w:t>
      </w:r>
    </w:p>
    <w:p w14:paraId="4B052DAA" w14:textId="0A736D0F" w:rsidR="00464934" w:rsidRPr="001E5D1F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efavirenz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etravirine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avoided,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decrease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elbasvir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grazoprevir;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addition,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protease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inhibitors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contraindicated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trigger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elevated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grazoprevir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</w:t>
      </w:r>
      <w:r w:rsidRPr="00014577">
        <w:rPr>
          <w:rFonts w:ascii="Book Antiqua" w:hAnsi="Book Antiqua"/>
          <w:vertAlign w:val="superscript"/>
        </w:rPr>
        <w:t>[1</w:t>
      </w:r>
      <w:r w:rsidRPr="005E5B52">
        <w:rPr>
          <w:rFonts w:ascii="Book Antiqua" w:hAnsi="Book Antiqua"/>
          <w:vertAlign w:val="superscript"/>
        </w:rPr>
        <w:t>6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</w:p>
    <w:p w14:paraId="20B5B9DD" w14:textId="77777777" w:rsidR="00464934" w:rsidRPr="00C91606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6A8045C" w14:textId="20CCD1A3" w:rsidR="00464934" w:rsidRPr="005E5B52" w:rsidRDefault="001E31F6">
      <w:pPr>
        <w:pStyle w:val="Body"/>
        <w:spacing w:line="360" w:lineRule="auto"/>
        <w:jc w:val="both"/>
        <w:rPr>
          <w:caps/>
          <w:u w:val="single"/>
        </w:rPr>
      </w:pPr>
      <w:r w:rsidRPr="005E5B52">
        <w:rPr>
          <w:rFonts w:ascii="Book Antiqua" w:hAnsi="Book Antiqua"/>
          <w:b/>
          <w:bCs/>
          <w:caps/>
          <w:u w:val="single"/>
        </w:rPr>
        <w:t>Pangenotype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treatment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regimen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</w:p>
    <w:p w14:paraId="26BC3CA7" w14:textId="77777777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Glecaprevir/pibrentasvir</w:t>
      </w:r>
    </w:p>
    <w:p w14:paraId="1E6F96A1" w14:textId="03F3FB3E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glecaprevir/pibrentasvir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proven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phase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3,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multicenter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EXPEDITION-2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included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treatment-naive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experienced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genotype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3,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4,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6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8-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12-wk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daily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fixed-dose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combination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(300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mg)/pibrentasvir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(120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mg)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administered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without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compensated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respectively.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achieved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98%</w:t>
      </w:r>
      <w:r w:rsidRPr="00014577">
        <w:rPr>
          <w:rFonts w:ascii="Book Antiqua" w:hAnsi="Book Antiqua"/>
          <w:vertAlign w:val="superscript"/>
        </w:rPr>
        <w:t>[1</w:t>
      </w:r>
      <w:r w:rsidRPr="005E5B52">
        <w:rPr>
          <w:rFonts w:ascii="Book Antiqua" w:hAnsi="Book Antiqua"/>
          <w:vertAlign w:val="superscript"/>
        </w:rPr>
        <w:t>7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  <w:bCs/>
        </w:rPr>
        <w:t>.</w:t>
      </w:r>
      <w:r w:rsidR="00701816" w:rsidRPr="001E5D1F">
        <w:rPr>
          <w:rFonts w:ascii="Book Antiqua" w:hAnsi="Book Antiqua"/>
          <w:bCs/>
        </w:rPr>
        <w:t xml:space="preserve"> </w:t>
      </w:r>
      <w:r w:rsidR="00D85D36">
        <w:rPr>
          <w:rFonts w:ascii="Book Antiqua" w:hAnsi="Book Antiqua"/>
        </w:rPr>
        <w:t>T</w:t>
      </w:r>
      <w:r w:rsidRPr="00D85D36">
        <w:rPr>
          <w:rFonts w:ascii="Book Antiqua" w:hAnsi="Book Antiqua"/>
        </w:rPr>
        <w:t>reatment</w:t>
      </w:r>
      <w:r w:rsidR="00D85D36">
        <w:rPr>
          <w:rFonts w:ascii="Book Antiqua" w:hAnsi="Book Antiqua"/>
        </w:rPr>
        <w:t xml:space="preserve"> for 8 wk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with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glecaprevir/pibrentasvir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showed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similar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12-wk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HCV-monoinfected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data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concerning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scarce.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Consequently,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8-wk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glecaprevir/pibrentasvir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time.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commonly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headache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fatigue.</w:t>
      </w:r>
    </w:p>
    <w:p w14:paraId="39F26EAA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48C30DF" w14:textId="77383E0F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Drug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interaction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with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ART</w:t>
      </w:r>
    </w:p>
    <w:p w14:paraId="313BAEEF" w14:textId="0002D079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Glecaprevir/pibrentasvir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atazanavir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owing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aminotransferase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elevation</w:t>
      </w:r>
      <w:r w:rsidRPr="00014577">
        <w:rPr>
          <w:rFonts w:ascii="Book Antiqua" w:hAnsi="Book Antiqua"/>
          <w:vertAlign w:val="superscript"/>
        </w:rPr>
        <w:t>[1</w:t>
      </w:r>
      <w:r w:rsidRPr="005E5B52">
        <w:rPr>
          <w:rFonts w:ascii="Book Antiqua" w:hAnsi="Book Antiqua"/>
          <w:vertAlign w:val="superscript"/>
        </w:rPr>
        <w:t>8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,</w:t>
      </w:r>
      <w:r w:rsidR="00701816" w:rsidRPr="001E5D1F">
        <w:rPr>
          <w:rFonts w:ascii="Book Antiqua" w:hAnsi="Book Antiqua"/>
        </w:rPr>
        <w:t xml:space="preserve"> </w:t>
      </w:r>
      <w:r w:rsidRPr="001E5D1F">
        <w:rPr>
          <w:rFonts w:ascii="Book Antiqua" w:hAnsi="Book Antiqua"/>
        </w:rPr>
        <w:t>and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other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protease</w:t>
      </w:r>
      <w:r w:rsidR="00701816" w:rsidRPr="00694BCF">
        <w:rPr>
          <w:rFonts w:ascii="Book Antiqua" w:hAnsi="Book Antiqua"/>
        </w:rPr>
        <w:t xml:space="preserve"> </w:t>
      </w:r>
      <w:r w:rsidRPr="00694BCF">
        <w:rPr>
          <w:rFonts w:ascii="Book Antiqua" w:hAnsi="Book Antiqua"/>
        </w:rPr>
        <w:t>inhibitors,</w:t>
      </w:r>
      <w:r w:rsidR="00701816" w:rsidRPr="00D85D36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including</w:t>
      </w:r>
      <w:r w:rsidR="00701816" w:rsidRPr="00C91606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darunavir,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lopinavir,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ritonavir,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contraindicated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increase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glecaprevir/pibrentasvir.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addition,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containing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efavirenz,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etravirine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nevirapine,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prescribed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glecaprevir/pibrentasvir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potential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reductions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plasma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glecaprevir/pibrentasvir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levels.</w:t>
      </w:r>
    </w:p>
    <w:p w14:paraId="59B2CB15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B25D0AD" w14:textId="77777777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 w:rsidRPr="00014577">
        <w:rPr>
          <w:rFonts w:ascii="Book Antiqua" w:hAnsi="Book Antiqua"/>
          <w:b/>
          <w:bCs/>
          <w:i/>
          <w:iCs/>
        </w:rPr>
        <w:t>Sofosbuvir/velpatasvir</w:t>
      </w:r>
    </w:p>
    <w:p w14:paraId="34C353D7" w14:textId="7DC4ABA2" w:rsidR="00464934" w:rsidRPr="005E5B52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</w:rPr>
        <w:t>The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ASTRAL-5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trial,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evaluated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sofosbuvir/velpatasvir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included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genotype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3,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4,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managed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achieve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95%</w:t>
      </w:r>
      <w:r w:rsidRPr="00014577">
        <w:rPr>
          <w:rFonts w:ascii="Book Antiqua" w:hAnsi="Book Antiqua"/>
          <w:vertAlign w:val="superscript"/>
        </w:rPr>
        <w:t>[</w:t>
      </w:r>
      <w:r w:rsidRPr="005E5B52">
        <w:rPr>
          <w:rFonts w:ascii="Book Antiqua" w:hAnsi="Book Antiqua"/>
          <w:vertAlign w:val="superscript"/>
        </w:rPr>
        <w:t>19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The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most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common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headache,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fatigue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nausea.</w:t>
      </w:r>
    </w:p>
    <w:p w14:paraId="44743486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90FD538" w14:textId="2960590F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Drug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interaction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with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ART</w:t>
      </w:r>
    </w:p>
    <w:p w14:paraId="2F738555" w14:textId="7D8C9B9B" w:rsidR="00464934" w:rsidRPr="00694BCF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Sofosbuvir/velpatasvir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nevirapine,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efavirenz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etravirine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reduce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velpatasvir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enzymatic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inducer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capability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0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</w:p>
    <w:p w14:paraId="7DCEEC5C" w14:textId="77777777" w:rsidR="00464934" w:rsidRPr="00C91606" w:rsidRDefault="00464934">
      <w:pPr>
        <w:pStyle w:val="Body"/>
        <w:spacing w:line="360" w:lineRule="auto"/>
        <w:ind w:firstLine="720"/>
        <w:jc w:val="both"/>
      </w:pPr>
    </w:p>
    <w:p w14:paraId="064E8780" w14:textId="30D6673B" w:rsidR="00464934" w:rsidRPr="005E5B52" w:rsidRDefault="001E31F6">
      <w:pPr>
        <w:pStyle w:val="Body"/>
        <w:spacing w:line="360" w:lineRule="auto"/>
        <w:jc w:val="both"/>
        <w:rPr>
          <w:caps/>
          <w:u w:val="single"/>
        </w:rPr>
      </w:pPr>
      <w:r w:rsidRPr="005E5B52">
        <w:rPr>
          <w:rFonts w:ascii="Book Antiqua" w:hAnsi="Book Antiqua"/>
          <w:b/>
          <w:bCs/>
          <w:caps/>
          <w:u w:val="single"/>
        </w:rPr>
        <w:t>HCV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with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DAA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treatment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experience</w:t>
      </w:r>
    </w:p>
    <w:p w14:paraId="0DB0F991" w14:textId="77777777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 w:rsidRPr="00014577">
        <w:rPr>
          <w:rFonts w:ascii="Book Antiqua" w:hAnsi="Book Antiqua"/>
          <w:b/>
          <w:bCs/>
          <w:i/>
          <w:iCs/>
        </w:rPr>
        <w:t>Sofosbuvir/velpatasvir/voxilaprevir</w:t>
      </w:r>
    </w:p>
    <w:p w14:paraId="5962EEC4" w14:textId="277DD7EE" w:rsidR="00464934" w:rsidRPr="005E5B52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</w:rPr>
        <w:t>This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previous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failed,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although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limited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data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exist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regarding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RESOLVE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1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,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which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evaluated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previous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failure,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revealed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82%;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however,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small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sample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size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18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means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further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research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involving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larger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number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needed.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Headache,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diarrhea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nausea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commonly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reported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events.</w:t>
      </w:r>
    </w:p>
    <w:p w14:paraId="436EACCB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7E7CE8D" w14:textId="46D8BB99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Drug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interaction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with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ART</w:t>
      </w:r>
    </w:p>
    <w:p w14:paraId="62EBB2CA" w14:textId="1EA7E5F7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Sofosbuvir/velpatasvir/voxilaprevir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enzyme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inducer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medications,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efavirenz,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etravirine,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nevirapine,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decline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Voxilaprevir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ritonavir-boosted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atazanavir,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increases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voxilaprevir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levels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331%.</w:t>
      </w:r>
    </w:p>
    <w:p w14:paraId="0736D8BC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  <w:caps/>
        </w:rPr>
      </w:pPr>
    </w:p>
    <w:p w14:paraId="5E25669B" w14:textId="2AF6CE4A" w:rsidR="00464934" w:rsidRPr="005E5B52" w:rsidRDefault="001E31F6">
      <w:pPr>
        <w:pStyle w:val="Body"/>
        <w:spacing w:line="360" w:lineRule="auto"/>
        <w:jc w:val="both"/>
        <w:rPr>
          <w:caps/>
          <w:u w:val="single"/>
        </w:rPr>
      </w:pPr>
      <w:r w:rsidRPr="005E5B52">
        <w:rPr>
          <w:rFonts w:ascii="Book Antiqua" w:hAnsi="Book Antiqua"/>
          <w:b/>
          <w:bCs/>
          <w:caps/>
          <w:u w:val="single"/>
        </w:rPr>
        <w:t>Special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groups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of</w:t>
      </w:r>
      <w:r w:rsidR="00701816" w:rsidRPr="005E5B52">
        <w:rPr>
          <w:rFonts w:ascii="Book Antiqua" w:hAnsi="Book Antiqua"/>
          <w:b/>
          <w:bCs/>
          <w:caps/>
          <w:u w:val="single"/>
        </w:rPr>
        <w:t xml:space="preserve"> </w:t>
      </w:r>
      <w:r w:rsidRPr="005E5B52">
        <w:rPr>
          <w:rFonts w:ascii="Book Antiqua" w:hAnsi="Book Antiqua"/>
          <w:b/>
          <w:bCs/>
          <w:caps/>
          <w:u w:val="single"/>
        </w:rPr>
        <w:t>patients</w:t>
      </w:r>
    </w:p>
    <w:p w14:paraId="5BDE3EFE" w14:textId="2147BC30" w:rsidR="00464934" w:rsidRPr="005E5B52" w:rsidRDefault="001E31F6">
      <w:pPr>
        <w:pStyle w:val="Body"/>
        <w:spacing w:line="360" w:lineRule="auto"/>
        <w:jc w:val="both"/>
        <w:rPr>
          <w:i/>
          <w:iCs/>
        </w:rPr>
      </w:pPr>
      <w:r w:rsidRPr="00014577">
        <w:rPr>
          <w:rFonts w:ascii="Book Antiqua" w:hAnsi="Book Antiqua"/>
          <w:b/>
          <w:bCs/>
          <w:i/>
          <w:iCs/>
        </w:rPr>
        <w:t>HBV</w:t>
      </w:r>
      <w:r w:rsidR="00701816" w:rsidRPr="00014577">
        <w:rPr>
          <w:rFonts w:ascii="Book Antiqua" w:hAnsi="Book Antiqua"/>
          <w:b/>
          <w:bCs/>
          <w:i/>
          <w:iCs/>
        </w:rPr>
        <w:t xml:space="preserve"> </w:t>
      </w:r>
      <w:r w:rsidRPr="00014577">
        <w:rPr>
          <w:rFonts w:ascii="Book Antiqua" w:hAnsi="Book Antiqua"/>
          <w:b/>
          <w:bCs/>
          <w:i/>
          <w:iCs/>
        </w:rPr>
        <w:t>coinfection</w:t>
      </w:r>
    </w:p>
    <w:p w14:paraId="78238BAF" w14:textId="41FA370A" w:rsidR="00464934" w:rsidRPr="005E5B52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</w:rPr>
        <w:t>Some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also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diseases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modes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principle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same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HBV/HIV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choose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antiretroviral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activity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against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2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  <w:b/>
          <w:bCs/>
        </w:rPr>
        <w:t>,</w:t>
      </w:r>
      <w:r w:rsidR="00701816" w:rsidRPr="00694BCF">
        <w:rPr>
          <w:rFonts w:ascii="Book Antiqua" w:hAnsi="Book Antiqua"/>
          <w:b/>
          <w:bCs/>
        </w:rPr>
        <w:t xml:space="preserve"> </w:t>
      </w:r>
      <w:r w:rsidRPr="00D85D36">
        <w:rPr>
          <w:rFonts w:ascii="Book Antiqua" w:hAnsi="Book Antiqua"/>
        </w:rPr>
        <w:t>and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choice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tenofovir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disoproxil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fumarate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tenofovir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alafenamide.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important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aware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potential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reactivation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during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against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Usually,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mechanisms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suppress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replication,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removed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during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flare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occur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3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In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anti-HBc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positive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hepatitis B surface antige</w:t>
      </w:r>
      <w:r w:rsidR="00D85D36">
        <w:rPr>
          <w:rFonts w:ascii="Book Antiqua" w:hAnsi="Book Antiqua"/>
        </w:rPr>
        <w:t>n-</w:t>
      </w:r>
      <w:r w:rsidRPr="00D85D36">
        <w:rPr>
          <w:rFonts w:ascii="Book Antiqua" w:hAnsi="Book Antiqua"/>
        </w:rPr>
        <w:t>negative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status,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antiviral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against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required,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monitored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monthly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identify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HBV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reactivation.</w:t>
      </w:r>
    </w:p>
    <w:p w14:paraId="06B2AA9E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F483490" w14:textId="32C7E7C4" w:rsidR="00464934" w:rsidRPr="005E5B52" w:rsidRDefault="001E31F6">
      <w:pPr>
        <w:pStyle w:val="Body"/>
        <w:spacing w:line="360" w:lineRule="auto"/>
        <w:jc w:val="both"/>
        <w:rPr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Decompensated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cirrhosis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</w:p>
    <w:p w14:paraId="60151E86" w14:textId="58107C12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decompensated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some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problems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difficult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possibility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worsening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decompensation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might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interrupt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adverse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impact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effectiveness.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Furthermore,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number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limited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protease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inhibitor-containing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contraindicated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groups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primary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decompensated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velpatasvir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weight-based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ribavirin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12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cases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ribavirin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contraindicated,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course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sofosbuvir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velpatasvir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without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ribavarin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extended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24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wk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4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Ribavarin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started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low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600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daily,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escalation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dependent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tolerance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decompensated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(Child-Pugh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cirrhosis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model for end stage liver disease </w:t>
      </w:r>
      <w:r w:rsidRPr="005E5B52">
        <w:rPr>
          <w:rFonts w:ascii="Book Antiqua" w:hAnsi="Book Antiqua"/>
        </w:rPr>
        <w:t>score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&gt;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18-20,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transplantation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first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choice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waiting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lists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exceed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6</w:t>
      </w:r>
      <w:r w:rsidR="00701816" w:rsidRPr="005E5B52">
        <w:rPr>
          <w:rFonts w:ascii="Book Antiqua" w:hAnsi="Book Antiqua"/>
        </w:rPr>
        <w:t xml:space="preserve"> </w:t>
      </w:r>
      <w:r w:rsidR="0037350E" w:rsidRPr="005E5B52">
        <w:rPr>
          <w:rFonts w:ascii="Book Antiqua" w:hAnsi="Book Antiqua"/>
        </w:rPr>
        <w:t>mo.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Referral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experienced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centers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availability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transplantation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best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option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group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</w:p>
    <w:p w14:paraId="2540ECF3" w14:textId="77777777" w:rsidR="00464934" w:rsidRPr="005E5B52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46CED9D4" w14:textId="0B094CCB" w:rsidR="00464934" w:rsidRPr="005E5B52" w:rsidRDefault="001E31F6">
      <w:pPr>
        <w:pStyle w:val="Body"/>
        <w:spacing w:line="360" w:lineRule="auto"/>
        <w:jc w:val="both"/>
        <w:rPr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HIV/HCV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coinfection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men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who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have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sex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with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men</w:t>
      </w:r>
    </w:p>
    <w:p w14:paraId="088772A9" w14:textId="62B93288" w:rsidR="00464934" w:rsidRPr="00694BCF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(MSM)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after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cured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still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continue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engage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high-risk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behaviors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result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data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showed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increased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incidence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incidence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6.35/1000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person-years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incidence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negative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low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similar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general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population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(0.4/1000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person-years)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5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The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route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mostly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sexual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contact,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especially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intercourse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6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Although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exposure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prophylaxis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(PrEP)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reduce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cannot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eliminate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condomless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sexual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intercourse.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study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from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England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revealed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two-thirds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HIV-negative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PrEP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acquired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i/>
          <w:iCs/>
        </w:rPr>
        <w:t>via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sexual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route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7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Studies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shown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semen</w:t>
      </w:r>
      <w:r w:rsidRPr="00014577">
        <w:rPr>
          <w:rFonts w:ascii="Book Antiqua" w:hAnsi="Book Antiqua"/>
          <w:vertAlign w:val="superscript"/>
        </w:rPr>
        <w:t>[2</w:t>
      </w:r>
      <w:r w:rsidRPr="005E5B52">
        <w:rPr>
          <w:rFonts w:ascii="Book Antiqua" w:hAnsi="Book Antiqua"/>
          <w:vertAlign w:val="superscript"/>
        </w:rPr>
        <w:t>8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,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and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they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also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rectal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shedding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because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rectal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bleeding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associated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</w:t>
      </w:r>
      <w:r w:rsidRPr="00014577">
        <w:rPr>
          <w:rFonts w:ascii="Book Antiqua" w:hAnsi="Book Antiqua"/>
          <w:vertAlign w:val="superscript"/>
        </w:rPr>
        <w:t>[</w:t>
      </w:r>
      <w:r w:rsidRPr="005E5B52">
        <w:rPr>
          <w:rFonts w:ascii="Book Antiqua" w:hAnsi="Book Antiqua"/>
          <w:vertAlign w:val="superscript"/>
        </w:rPr>
        <w:t>29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  <w:r w:rsidR="00701816" w:rsidRPr="00694BCF">
        <w:rPr>
          <w:rFonts w:ascii="Book Antiqua" w:hAnsi="Book Antiqua"/>
        </w:rPr>
        <w:t xml:space="preserve"> </w:t>
      </w:r>
      <w:r w:rsidRPr="00D85D36">
        <w:rPr>
          <w:rFonts w:ascii="Book Antiqua" w:hAnsi="Book Antiqua"/>
        </w:rPr>
        <w:t>Annual</w:t>
      </w:r>
      <w:r w:rsidR="00701816" w:rsidRPr="00D85D36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screening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recommended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sexually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MSM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done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frequently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depending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high-risk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sexual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behaviors.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regimen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similar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employed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heterosexual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depending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genotype,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experience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comorbid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diseases,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counseling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about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crucial,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instruction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about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methods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reducing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after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cured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Pr="00014577">
        <w:rPr>
          <w:rFonts w:ascii="Book Antiqua" w:hAnsi="Book Antiqua"/>
          <w:vertAlign w:val="superscript"/>
        </w:rPr>
        <w:t>[3</w:t>
      </w:r>
      <w:r w:rsidRPr="005E5B52">
        <w:rPr>
          <w:rFonts w:ascii="Book Antiqua" w:hAnsi="Book Antiqua"/>
          <w:vertAlign w:val="superscript"/>
        </w:rPr>
        <w:t>0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</w:p>
    <w:p w14:paraId="4F466C4D" w14:textId="77777777" w:rsidR="00464934" w:rsidRPr="00C91606" w:rsidRDefault="00464934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5BB59492" w14:textId="7AB55610" w:rsidR="00464934" w:rsidRPr="005E5B52" w:rsidRDefault="001E31F6">
      <w:pPr>
        <w:pStyle w:val="Body"/>
        <w:spacing w:line="360" w:lineRule="auto"/>
        <w:jc w:val="both"/>
        <w:rPr>
          <w:i/>
          <w:iCs/>
        </w:rPr>
      </w:pPr>
      <w:r w:rsidRPr="005E5B52">
        <w:rPr>
          <w:rFonts w:ascii="Book Antiqua" w:hAnsi="Book Antiqua"/>
          <w:b/>
          <w:bCs/>
          <w:i/>
          <w:iCs/>
        </w:rPr>
        <w:t>HIV/HCV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people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who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inject</w:t>
      </w:r>
      <w:r w:rsidR="00701816" w:rsidRPr="005E5B52">
        <w:rPr>
          <w:rFonts w:ascii="Book Antiqua" w:hAnsi="Book Antiqua"/>
          <w:b/>
          <w:bCs/>
          <w:i/>
          <w:iCs/>
        </w:rPr>
        <w:t xml:space="preserve"> </w:t>
      </w:r>
      <w:r w:rsidRPr="005E5B52">
        <w:rPr>
          <w:rFonts w:ascii="Book Antiqua" w:hAnsi="Book Antiqua"/>
          <w:b/>
          <w:bCs/>
          <w:i/>
          <w:iCs/>
        </w:rPr>
        <w:t>drugs</w:t>
      </w:r>
    </w:p>
    <w:p w14:paraId="601193A2" w14:textId="7460E4BF" w:rsidR="00464934" w:rsidRPr="001E5D1F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Injection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(IDU)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important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factor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transmission.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Although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IDU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run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risk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reinfection,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contraindication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low-resource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countries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limited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access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therapy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IDU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still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conflicts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regarding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issue</w:t>
      </w:r>
      <w:r w:rsidRPr="00014577">
        <w:rPr>
          <w:rFonts w:ascii="Book Antiqua" w:hAnsi="Book Antiqua"/>
          <w:vertAlign w:val="superscript"/>
        </w:rPr>
        <w:t>[3</w:t>
      </w:r>
      <w:r w:rsidRPr="005E5B52">
        <w:rPr>
          <w:rFonts w:ascii="Book Antiqua" w:hAnsi="Book Antiqua"/>
          <w:vertAlign w:val="superscript"/>
        </w:rPr>
        <w:t>1</w:t>
      </w:r>
      <w:r w:rsidRPr="00014577">
        <w:rPr>
          <w:rFonts w:ascii="Book Antiqua" w:hAnsi="Book Antiqua"/>
          <w:vertAlign w:val="superscript"/>
        </w:rPr>
        <w:t>]</w:t>
      </w:r>
      <w:r w:rsidRPr="005E5B52">
        <w:rPr>
          <w:rFonts w:ascii="Book Antiqua" w:hAnsi="Book Antiqua"/>
        </w:rPr>
        <w:t>.</w:t>
      </w:r>
    </w:p>
    <w:p w14:paraId="1D598B97" w14:textId="77777777" w:rsidR="00464934" w:rsidRPr="001E5D1F" w:rsidRDefault="00464934">
      <w:pPr>
        <w:pStyle w:val="Body"/>
        <w:spacing w:line="360" w:lineRule="auto"/>
        <w:jc w:val="both"/>
      </w:pPr>
    </w:p>
    <w:p w14:paraId="0F4CDC40" w14:textId="77777777" w:rsidR="00464934" w:rsidRPr="003201C3" w:rsidRDefault="001E31F6">
      <w:pPr>
        <w:pStyle w:val="Body"/>
        <w:spacing w:line="360" w:lineRule="auto"/>
        <w:jc w:val="both"/>
      </w:pPr>
      <w:r w:rsidRPr="00C91606">
        <w:rPr>
          <w:rFonts w:ascii="Book Antiqua" w:hAnsi="Book Antiqua"/>
          <w:b/>
          <w:bCs/>
          <w:caps/>
          <w:u w:val="single"/>
        </w:rPr>
        <w:t>CONCLUSION</w:t>
      </w:r>
    </w:p>
    <w:p w14:paraId="12AA462A" w14:textId="5DA8A59C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still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major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issue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among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HIV-infected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Although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DAA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era,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efficacy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similar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achieved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monoinfection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drug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interactions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liver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related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morbidities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still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problem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patients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receiving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HIV/HCV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Prompt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initiation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of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HCV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collaboration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between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hepatologists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HIV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specialists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could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help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improve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treatment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outcomes.</w:t>
      </w:r>
    </w:p>
    <w:p w14:paraId="2952749A" w14:textId="77777777" w:rsidR="00464934" w:rsidRPr="005E5B52" w:rsidRDefault="00464934">
      <w:pPr>
        <w:pStyle w:val="Body"/>
        <w:spacing w:line="360" w:lineRule="auto"/>
        <w:jc w:val="both"/>
      </w:pPr>
    </w:p>
    <w:p w14:paraId="5B500C63" w14:textId="77777777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14577">
        <w:rPr>
          <w:rFonts w:ascii="Book Antiqua" w:hAnsi="Book Antiqua"/>
          <w:b/>
          <w:bCs/>
        </w:rPr>
        <w:t>REFERENCES</w:t>
      </w:r>
    </w:p>
    <w:p w14:paraId="28F82701" w14:textId="032E571D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bookmarkStart w:id="0" w:name="OLE_LINK2787"/>
      <w:r w:rsidRPr="002B0A1E">
        <w:rPr>
          <w:rFonts w:ascii="Book Antiqua" w:hAnsi="Book Antiqua"/>
        </w:rPr>
        <w:t>1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Rockstroh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JK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Bhagani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Benhamou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Y,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Bruno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Mauss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Peters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Puoti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Soriano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Tural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EACS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Executive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Committee.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European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AIDS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Clinical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Society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(EACS)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guidelines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for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clinical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management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treatment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chronic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coinfection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HIV-infected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adults.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HIV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Med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2008;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9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82-88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18257771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10.1111/j.1468-1293.2007.00535.x]</w:t>
      </w:r>
    </w:p>
    <w:p w14:paraId="52FD2090" w14:textId="1536C195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2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Soriano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V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Puoti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Sulkowski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Cargnel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Benhamou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Y,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Peters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Mauss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Bräu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Hatzakis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Pol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Rockstroh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Care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coinfected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2007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updated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recommendations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from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HCV-HIV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International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Panel.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AIDS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2007;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21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1073-1089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17502718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10.1097/QAD.0b013e3281084e4d]</w:t>
      </w:r>
    </w:p>
    <w:p w14:paraId="53D70DED" w14:textId="57DED8A2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3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Osibogun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O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Ogunmoroti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Michos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ED,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Spatz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Olubajo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Nasir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Madhivanan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Maziak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HIV/HCV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coinfection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risk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cardiovascular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disease: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meta-analysis.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J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Viral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Hepat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2017;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24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998-1004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28502092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10.1111/jvh.12725]</w:t>
      </w:r>
    </w:p>
    <w:p w14:paraId="7C3E2039" w14:textId="7C7D5AF6" w:rsidR="00464934" w:rsidRPr="002B0A1E" w:rsidRDefault="001E31F6">
      <w:pPr>
        <w:pStyle w:val="Body"/>
        <w:spacing w:line="360" w:lineRule="auto"/>
        <w:jc w:val="both"/>
        <w:rPr>
          <w:rFonts w:ascii="Book Antiqua" w:hAnsi="Book Antiqua"/>
        </w:rPr>
      </w:pPr>
      <w:r w:rsidRPr="002B0A1E">
        <w:rPr>
          <w:rFonts w:ascii="Book Antiqua" w:hAnsi="Book Antiqua"/>
        </w:rPr>
        <w:t>4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</w:rPr>
        <w:t>Osinusi</w:t>
      </w:r>
      <w:r w:rsidR="00701816" w:rsidRPr="002B0A1E">
        <w:rPr>
          <w:rFonts w:ascii="Book Antiqua" w:hAnsi="Book Antiqua"/>
          <w:b/>
        </w:rPr>
        <w:t xml:space="preserve"> </w:t>
      </w:r>
      <w:r w:rsidRPr="002B0A1E">
        <w:rPr>
          <w:rFonts w:ascii="Book Antiqua" w:hAnsi="Book Antiqua"/>
          <w:b/>
        </w:rPr>
        <w:t>A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Townsend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Kohli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Nelson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Seamon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Meissner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EG,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Silk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Gross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Price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Sajadi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Sidharthan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Sims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Z,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Herrmann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Hogan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Teferi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Talwani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Proschan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Jenkins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Kleiner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Wood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Subramanian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McHutchison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JG,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Polis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Fauci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Masur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Kottilil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Virologic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response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following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combined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ledipasvir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sofosbuvir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administration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HCV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genotype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co-infection.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</w:rPr>
        <w:t>JAMA</w:t>
      </w:r>
      <w:r w:rsidR="00701816" w:rsidRPr="002B0A1E">
        <w:rPr>
          <w:rFonts w:ascii="Book Antiqua" w:hAnsi="Book Antiqua"/>
          <w:i/>
        </w:rPr>
        <w:t xml:space="preserve"> </w:t>
      </w:r>
      <w:r w:rsidRPr="002B0A1E">
        <w:rPr>
          <w:rFonts w:ascii="Book Antiqua" w:hAnsi="Book Antiqua"/>
        </w:rPr>
        <w:t>2015;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</w:rPr>
        <w:t>313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1232-1239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25706232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10.1001/jama.2015.1373]</w:t>
      </w:r>
    </w:p>
    <w:p w14:paraId="766736D2" w14:textId="7BB933C6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5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Berenguer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J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Alvarez-Pellicer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Martín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López-Aldeguer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Von-Wichmann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Quereda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Mallolas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Sanz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Tural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Bellón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González-García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GESIDA3603/5607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Study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Group.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Sustained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virological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response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interferon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plus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ribavirin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reduces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liver-related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complications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mortality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coinfected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human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immunodeficiency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Hepatology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2009;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50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407-413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19575364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10.1002/hep.23020]</w:t>
      </w:r>
    </w:p>
    <w:p w14:paraId="70AF09E7" w14:textId="1A00FE6C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6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Ghany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MG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Morgan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AASLD-IDSA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Guidance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Panel.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Guidance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2019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Update: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American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Association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for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Study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Liver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Diseases-Infectious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Diseases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Society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America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Recommendations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for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Testing,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Managing,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Treating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Infection.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Hepatology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2020;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71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686-721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31816111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10.1002/hep.31060]</w:t>
      </w:r>
    </w:p>
    <w:p w14:paraId="061BC740" w14:textId="280DA1BF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7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Zuckerman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AD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Douglas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Whelchel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Choi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DeClercq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Chastain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CA.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Pharmacologic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management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HCV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treatment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HCV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monoinfection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HIV/HCV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coinfection: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Does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coinfection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really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matter?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PLoS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One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2019;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14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e0225434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31751399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10.1371/journal.pone.0225434]</w:t>
      </w:r>
    </w:p>
    <w:p w14:paraId="72B79E1D" w14:textId="77826597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8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Balagopal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A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Kandathil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Higgins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YH,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Wood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Richer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Quinn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Eldred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Z,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Ray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Sulkowski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Thomas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DL.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Antiretroviral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therapy,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interferon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sensitivity,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virologic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setpoint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human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immunodeficiency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virus/hepatitis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coinfected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Hepatology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2014;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60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477-486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24706559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10.1002/hep.27158]</w:t>
      </w:r>
    </w:p>
    <w:p w14:paraId="0939C3C3" w14:textId="57F4DF4C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9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</w:rPr>
        <w:t>Naggi</w:t>
      </w:r>
      <w:r w:rsidRPr="002B0A1E">
        <w:rPr>
          <w:rFonts w:ascii="Book Antiqua" w:hAnsi="Book Antiqua"/>
          <w:b/>
          <w:bCs/>
        </w:rPr>
        <w:t>e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S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Cooper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Saag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Workowski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Ruane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Towner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Marks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Luetkemeyer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Baden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RP,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Sax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Gane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Santana-Bagur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Stamm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Yang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German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Dvory-Sobol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McHutchison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JG,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Stedman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Morales-Ramirez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JO,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Bräu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Jayaweera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Colson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Tebas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Wong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DK,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Dieterich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Sulkowski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ION-4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Investigators.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Ledipasvir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Sofosbuvir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for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HCV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Coinfected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HIV-1.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N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Engl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J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Med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2015;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373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705-713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26196665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10.1056/NEJMoa1501315]</w:t>
      </w:r>
    </w:p>
    <w:p w14:paraId="0817C1D2" w14:textId="42C6E92E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10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Abergel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A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Metivier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Samuel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Jiang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Kersey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Svarovskaia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Knox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Loustaud-Ratti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Asselah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Ledipasvir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plus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sofosbuvir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for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12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weeks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genotype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4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infection.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Hepatology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2016;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64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1049-1056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27351341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10.1002/hep.28706]</w:t>
      </w:r>
    </w:p>
    <w:p w14:paraId="12734EB0" w14:textId="6DDF1E91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11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Abergel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A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Asselah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Metivier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Kersey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Jiang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Samuel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Loustaud-Ratti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Ledipasvir-sofosbuvir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genotype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5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infection: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open-label,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multicentre,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single-arm,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phase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study.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Lancet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Infect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Dis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2016;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16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459-464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26803446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10.1016/S1473-3099(15)00529-0]</w:t>
      </w:r>
    </w:p>
    <w:p w14:paraId="6C9E6EA8" w14:textId="16CC0446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12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Nguyen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E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Trinh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Trinh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Nguyen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Nguyen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Levitt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Nguyen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Purohit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Shieh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Nguyen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MH.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Sustained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virologic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response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rates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chronic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genotype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6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treated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ledipasvir+sofosbuvir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sofosbuvir+velpatasvir.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Aliment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Pharmacol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Ther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2019;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49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99-106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30467877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10.1111/apt.15043]</w:t>
      </w:r>
    </w:p>
    <w:p w14:paraId="15081021" w14:textId="5FEBF2B8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13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Naggie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Cooper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Saag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</w:t>
      </w:r>
      <w:r w:rsidR="00701816" w:rsidRPr="002B0A1E">
        <w:rPr>
          <w:rFonts w:ascii="Book Antiqua" w:hAnsi="Book Antiqua"/>
        </w:rPr>
        <w:t xml:space="preserve">. </w:t>
      </w:r>
      <w:r w:rsidRPr="002B0A1E">
        <w:rPr>
          <w:rFonts w:ascii="Book Antiqua" w:hAnsi="Book Antiqua"/>
        </w:rPr>
        <w:t>Ledipasvir/sofosbuvir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for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12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wk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coinfected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HCV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HIV-1.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Presented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22st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Conference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Retroviruses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Opportunistic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Infections,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Seattle,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February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23-26,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2015.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Abstract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#152LB</w:t>
      </w:r>
    </w:p>
    <w:p w14:paraId="715F8772" w14:textId="425ABC15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14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Garrison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KL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German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Mogalian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Mathias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Drug-Drug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Interaction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Potential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Antiviral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Agents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for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Treatment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Chronic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Infection.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Drug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Metab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Dispos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2018;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46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1212-1225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29695614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10.1124/dmd.117.079038]</w:t>
      </w:r>
    </w:p>
    <w:p w14:paraId="78DC08DC" w14:textId="0414DD24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15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Rockstroh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JK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Nelson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Katlama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Efficacy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safety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grazoprevir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(MK-5172)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elbasvir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(MK-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8742)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co-infection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(C-EDGE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CO-INFECTION):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non-randomised,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open-label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trial.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Lancet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HIV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</w:rPr>
        <w:t>2015;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2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e319-e327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10.1016/S2352-3018(15)00114-9]</w:t>
      </w:r>
    </w:p>
    <w:p w14:paraId="2C4CE838" w14:textId="66408DA5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16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Feng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HP,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Caro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Dunnington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Guo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Z,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Cardillo-Marricco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Wolford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</w:t>
      </w:r>
      <w:r w:rsidR="00701816" w:rsidRPr="002B0A1E">
        <w:rPr>
          <w:rFonts w:ascii="Book Antiqua" w:hAnsi="Book Antiqua"/>
        </w:rPr>
        <w:t xml:space="preserve">. </w:t>
      </w:r>
      <w:r w:rsidRPr="002B0A1E">
        <w:rPr>
          <w:rFonts w:ascii="Book Antiqua" w:hAnsi="Book Antiqua"/>
        </w:rPr>
        <w:t>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clinically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meaningful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drug-drug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interaction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observed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between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Zepatier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(Grazoprevir/Elbasvir)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Stribild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fixed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dose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combination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healthy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subjects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[Abstract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O-22].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: </w:t>
      </w:r>
      <w:r w:rsidRPr="002B0A1E">
        <w:rPr>
          <w:rFonts w:ascii="Book Antiqua" w:hAnsi="Book Antiqua"/>
        </w:rPr>
        <w:t>International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Workshop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Clinical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Pharmacology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&amp;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Therapy.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June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8-10</w:t>
      </w:r>
      <w:r w:rsidR="00701816" w:rsidRPr="002B0A1E">
        <w:rPr>
          <w:rFonts w:ascii="Book Antiqua" w:hAnsi="Book Antiqua"/>
        </w:rPr>
        <w:t xml:space="preserve">, </w:t>
      </w:r>
      <w:r w:rsidRPr="002B0A1E">
        <w:rPr>
          <w:rFonts w:ascii="Book Antiqua" w:hAnsi="Book Antiqua"/>
        </w:rPr>
        <w:t>2016</w:t>
      </w:r>
    </w:p>
    <w:p w14:paraId="1D756F68" w14:textId="2A244588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17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Rockstroh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JK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Lacombe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Viani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Orkin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Wyles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Luetkemeyer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AF,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Soto-Malave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Flisiak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Bhagani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Sherman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Shimonova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Ruane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Sasadeusz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Slim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Zhang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Z,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Samanta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TI,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Gulati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Kosloski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MP,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Shulman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Trinh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Sulkowski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Efficacy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Safety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Glecaprevir/Pibrentasvir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Coinfected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Human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Immunodeficiency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Type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EXPEDITION-2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Study.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Clin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Infect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Dis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2018;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67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1010-1017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29566246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10.1093/cid/ciy220]</w:t>
      </w:r>
    </w:p>
    <w:p w14:paraId="3D3FB210" w14:textId="31087743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18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Kosloski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MP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Oberoi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Wang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Viani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Asatryan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Hu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Ding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Qi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X,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Kim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Mensa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Kort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Liu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Drug-Drug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Interactions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Glecaprevir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Pibrentasvir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Coadministered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Human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Immunodeficiency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Antiretrovirals.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J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Infect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Dis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2020;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221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223-231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31504702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10.1093/infdis/jiz439]</w:t>
      </w:r>
    </w:p>
    <w:p w14:paraId="4F9EDC04" w14:textId="6D9C32D9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19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Wyles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D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Bräu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Kottilil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Daar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Ruane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Workowski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Luetkemeyer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Adeyemi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Kim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AY,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Doehle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Huang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Mogalian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Osinusi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McNally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Brainard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McHutchison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JG,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Naggie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Sulkowski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ASTRAL-5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Investigators.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Sofosbuvir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Velpatasvir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for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Treatment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Coinfected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Human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Immunodeficiency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Type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Open-Label,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Phase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3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Study.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Clin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Infect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Dis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2017;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65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6-12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28369210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10.1093/cid/cix260]</w:t>
      </w:r>
    </w:p>
    <w:p w14:paraId="1C6B54E1" w14:textId="30753596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20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Mogalian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E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Stamm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Osinusi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Brainard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Shen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Ling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KHJ,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Mathias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Drug-Drug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Interaction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Studies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Between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Antivirals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Sofosbuvir/Velpatasvir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Boosted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Unboosted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Human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Immunodeficiency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Antiretroviral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Regimens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Healthy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Volunteers.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Clin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Infect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Dis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2018;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67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934-940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29522076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10.1093/cid/ciy201]</w:t>
      </w:r>
    </w:p>
    <w:p w14:paraId="5CA403E5" w14:textId="6035B43D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21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Wilson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E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Covert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Hoffmann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Comstock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Emmanuel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Tang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Husson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Chua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Price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Mathur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Rosenthal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Kattakuzhy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Masur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Kottilil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pilot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study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safety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efficacy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HCV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retreatment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sofosbuvir/velpatasvir/voxilaprevir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without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(RESOLVE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STUDY).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J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Hepatol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2019;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71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498-504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31173815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10.1016/j.jhep.2019.05.021]</w:t>
      </w:r>
    </w:p>
    <w:p w14:paraId="1B363EF6" w14:textId="6839EA1C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22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Chu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CJ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Lee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SD.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virus/hepatitis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coinfection: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epidemiology,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clinical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features,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interactions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treatment.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J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Gastroenterol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Hepatol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2008;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23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512-520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18397482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10.1111/j.1440-1746.2008.05384.x]</w:t>
      </w:r>
    </w:p>
    <w:p w14:paraId="0B1A23E2" w14:textId="5FE0FB8D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23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Collins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JM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Raphael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KL,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Terry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Cartwright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Pillai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Anania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Farley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MM.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Reactivation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During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Successful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Treatment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Sofosbuvir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Simeprevir.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Clin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Infect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Dis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2015;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61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1304-1306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26082511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10.1093/cid/civ474]</w:t>
      </w:r>
    </w:p>
    <w:p w14:paraId="04DF57A4" w14:textId="6E485BD3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24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Curry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MP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O'Leary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JG,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Bzowej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Muir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Korenblat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Fenkel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Reddy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KR,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Lawitz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Flamm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SL,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Schiano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Teperman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Fontana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Schiff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Fried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Doehle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McNally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Osinusi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Brainard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McHutchison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JG,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Brown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Jr,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Charlton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ASTRAL-4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Investigators.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Sofosbuvir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Velpatasvir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for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HCV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Patients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Decompensated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Cirrhosis.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N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Engl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J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Med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2015;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373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2618-2628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26569658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10.1056/NEJMoa1512614]</w:t>
      </w:r>
    </w:p>
    <w:p w14:paraId="0731ED72" w14:textId="1CF22C38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25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Jin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F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Matthews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GV,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Grulich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AE.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Sexual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transmission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among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gay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bisexual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men: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systematic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review.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Sex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Health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2017;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14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28-41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27712618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10.1071/SH16141]</w:t>
      </w:r>
    </w:p>
    <w:p w14:paraId="216EF11A" w14:textId="07F836A7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26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Bradshaw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D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Vasylyeva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TI,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Davis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Pybus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OG,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Thézé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Thomson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EC,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Martinello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Matthews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GV,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Burholt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Gilleece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Y,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Cooke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Page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EE,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Waters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L,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Nelson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Transmission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HIV-positive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PrEP-using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MSM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England.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J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Viral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Hepat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2020;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27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721-730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32115809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10.1111/jvh.13286]</w:t>
      </w:r>
    </w:p>
    <w:p w14:paraId="38243F3F" w14:textId="4DC06162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27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Turner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SS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Gianella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Yip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Seggelen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WO,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Gillies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RD,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Foster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AL,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Barbati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ZR,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Smith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Fierer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Shedding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Semen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Human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Immunodeficiency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Virus-Infected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Men.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Open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Forum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Infect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Dis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2016;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3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ofw057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27186582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10.1093/ofid/ofw057]</w:t>
      </w:r>
    </w:p>
    <w:p w14:paraId="619B34B1" w14:textId="4FE1898D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28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Foster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AL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Gaisa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Hijdra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Turner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Morey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Jacobson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KB,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Fierer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Shedding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Into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the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Rectum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HIV-infected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Who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Have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Sex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Men.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Clin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Infect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Dis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2017;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64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284-288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28013267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10.1093/cid/ciw740]</w:t>
      </w:r>
    </w:p>
    <w:p w14:paraId="1A415E38" w14:textId="3E7C564A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29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Centers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for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Disease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Control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and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Prevention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(CDC).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</w:rPr>
        <w:t>2015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sexually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transmitted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diseases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treatment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guidelines,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special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populations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[Internet].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2015.</w:t>
      </w:r>
      <w:r w:rsidR="00701816" w:rsidRPr="002B0A1E">
        <w:rPr>
          <w:rFonts w:ascii="Book Antiqua" w:hAnsi="Book Antiqua"/>
        </w:rPr>
        <w:t xml:space="preserve"> </w:t>
      </w:r>
      <w:r w:rsidR="00EE5318" w:rsidRPr="002B0A1E">
        <w:rPr>
          <w:rFonts w:ascii="Book Antiqua" w:hAnsi="Book Antiqua"/>
        </w:rPr>
        <w:t>[cited</w:t>
      </w:r>
      <w:r w:rsidR="00701816" w:rsidRPr="002B0A1E">
        <w:rPr>
          <w:rFonts w:ascii="Book Antiqua" w:hAnsi="Book Antiqua"/>
        </w:rPr>
        <w:t xml:space="preserve"> </w:t>
      </w:r>
      <w:r w:rsidR="00EE5318" w:rsidRPr="002B0A1E">
        <w:rPr>
          <w:rFonts w:ascii="Book Antiqua" w:hAnsi="Book Antiqua"/>
        </w:rPr>
        <w:t>20</w:t>
      </w:r>
      <w:r w:rsidR="00701816" w:rsidRPr="002B0A1E">
        <w:rPr>
          <w:rFonts w:ascii="Book Antiqua" w:hAnsi="Book Antiqua"/>
        </w:rPr>
        <w:t xml:space="preserve"> </w:t>
      </w:r>
      <w:r w:rsidR="00EE5318" w:rsidRPr="002B0A1E">
        <w:rPr>
          <w:rFonts w:ascii="Book Antiqua" w:hAnsi="Book Antiqua"/>
        </w:rPr>
        <w:t>January</w:t>
      </w:r>
      <w:r w:rsidR="00701816" w:rsidRPr="002B0A1E">
        <w:rPr>
          <w:rFonts w:ascii="Book Antiqua" w:hAnsi="Book Antiqua"/>
        </w:rPr>
        <w:t xml:space="preserve"> </w:t>
      </w:r>
      <w:r w:rsidR="00EE5318" w:rsidRPr="002B0A1E">
        <w:rPr>
          <w:rFonts w:ascii="Book Antiqua" w:hAnsi="Book Antiqua"/>
        </w:rPr>
        <w:t>2021]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Available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from:</w:t>
      </w:r>
      <w:r w:rsidR="00701816" w:rsidRPr="002B0A1E">
        <w:rPr>
          <w:rFonts w:ascii="Book Antiqua" w:hAnsi="Book Antiqua"/>
        </w:rPr>
        <w:t xml:space="preserve"> </w:t>
      </w:r>
      <w:hyperlink r:id="rId9" w:history="1">
        <w:r w:rsidRPr="002B0A1E">
          <w:rPr>
            <w:rStyle w:val="Hyperlink0"/>
          </w:rPr>
          <w:t>https://www.cdc.gov/std/tg2015/specialpops.htm</w:t>
        </w:r>
      </w:hyperlink>
      <w:r w:rsidR="00701816" w:rsidRPr="002B0A1E">
        <w:rPr>
          <w:rFonts w:ascii="Book Antiqua" w:hAnsi="Book Antiqua"/>
        </w:rPr>
        <w:t xml:space="preserve"> </w:t>
      </w:r>
    </w:p>
    <w:p w14:paraId="58C83DBE" w14:textId="1DAB15BE" w:rsidR="00464934" w:rsidRPr="002B0A1E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30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Martin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TC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Singh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McClure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Nelson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HCV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reinfection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among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HIV-positive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who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have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sex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with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men: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pragmatic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approach.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Hepatology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2015;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61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1437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25147047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10.1002/hep.27391]</w:t>
      </w:r>
    </w:p>
    <w:p w14:paraId="14F59318" w14:textId="1E4AC60E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</w:rPr>
      </w:pPr>
      <w:r w:rsidRPr="002B0A1E">
        <w:rPr>
          <w:rFonts w:ascii="Book Antiqua" w:hAnsi="Book Antiqua"/>
        </w:rPr>
        <w:t>31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Aspinall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EJ</w:t>
      </w:r>
      <w:r w:rsidRPr="002B0A1E">
        <w:rPr>
          <w:rFonts w:ascii="Book Antiqua" w:hAnsi="Book Antiqua"/>
        </w:rPr>
        <w:t>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Corson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Doyle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JS,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Grebely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Hutchinson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Dore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Goldberg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DJ,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Hellard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Treatment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of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hepatitis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virus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infection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among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people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who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are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actively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injecting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drugs: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systematic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review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and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meta-analysis.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i/>
          <w:iCs/>
        </w:rPr>
        <w:t>Clin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Infect</w:t>
      </w:r>
      <w:r w:rsidR="00701816" w:rsidRPr="002B0A1E">
        <w:rPr>
          <w:rFonts w:ascii="Book Antiqua" w:hAnsi="Book Antiqua"/>
          <w:i/>
          <w:iCs/>
        </w:rPr>
        <w:t xml:space="preserve"> </w:t>
      </w:r>
      <w:r w:rsidRPr="002B0A1E">
        <w:rPr>
          <w:rFonts w:ascii="Book Antiqua" w:hAnsi="Book Antiqua"/>
          <w:i/>
          <w:iCs/>
        </w:rPr>
        <w:t>Dis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2013;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  <w:b/>
          <w:bCs/>
        </w:rPr>
        <w:t>57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Suppl</w:t>
      </w:r>
      <w:r w:rsidR="00701816" w:rsidRPr="002B0A1E">
        <w:rPr>
          <w:rFonts w:ascii="Book Antiqua" w:hAnsi="Book Antiqua"/>
          <w:b/>
          <w:bCs/>
        </w:rPr>
        <w:t xml:space="preserve"> </w:t>
      </w:r>
      <w:r w:rsidRPr="002B0A1E">
        <w:rPr>
          <w:rFonts w:ascii="Book Antiqua" w:hAnsi="Book Antiqua"/>
          <w:b/>
          <w:bCs/>
        </w:rPr>
        <w:t>2</w:t>
      </w:r>
      <w:r w:rsidRPr="002B0A1E">
        <w:rPr>
          <w:rFonts w:ascii="Book Antiqua" w:hAnsi="Book Antiqua"/>
        </w:rPr>
        <w:t>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S80-S89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[PMID: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23884071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DOI:</w:t>
      </w:r>
      <w:r w:rsidR="00701816" w:rsidRPr="002B0A1E">
        <w:rPr>
          <w:rFonts w:ascii="Book Antiqua" w:hAnsi="Book Antiqua"/>
        </w:rPr>
        <w:t xml:space="preserve"> </w:t>
      </w:r>
      <w:r w:rsidRPr="002B0A1E">
        <w:rPr>
          <w:rFonts w:ascii="Book Antiqua" w:hAnsi="Book Antiqua"/>
        </w:rPr>
        <w:t>10.1093/cid/cit306]</w:t>
      </w:r>
    </w:p>
    <w:bookmarkEnd w:id="0"/>
    <w:p w14:paraId="2C18B6DE" w14:textId="77777777" w:rsidR="00464934" w:rsidRPr="00C91606" w:rsidRDefault="00464934">
      <w:pPr>
        <w:pStyle w:val="Body"/>
        <w:spacing w:line="360" w:lineRule="auto"/>
        <w:jc w:val="both"/>
      </w:pPr>
    </w:p>
    <w:p w14:paraId="4B2C3080" w14:textId="77777777" w:rsidR="00464934" w:rsidRPr="005E5B52" w:rsidRDefault="001E31F6">
      <w:pPr>
        <w:pStyle w:val="Body"/>
        <w:spacing w:line="360" w:lineRule="auto"/>
        <w:jc w:val="both"/>
      </w:pPr>
      <w:r w:rsidRPr="003201C3">
        <w:rPr>
          <w:rFonts w:ascii="Arial Unicode MS" w:hAnsi="Arial Unicode MS"/>
        </w:rPr>
        <w:br w:type="page"/>
      </w:r>
    </w:p>
    <w:p w14:paraId="794D6DC5" w14:textId="77777777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Footnotes</w:t>
      </w:r>
    </w:p>
    <w:p w14:paraId="2A792584" w14:textId="5065BF72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Conflict-of-interest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statement: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authors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have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declared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competing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interests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exist.</w:t>
      </w:r>
    </w:p>
    <w:p w14:paraId="04A0F1AE" w14:textId="77777777" w:rsidR="00464934" w:rsidRPr="005E5B52" w:rsidRDefault="00464934">
      <w:pPr>
        <w:pStyle w:val="Body"/>
        <w:spacing w:line="360" w:lineRule="auto"/>
        <w:jc w:val="both"/>
      </w:pPr>
    </w:p>
    <w:p w14:paraId="2D644095" w14:textId="3A587A3B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t>Open-Access: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article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open-access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article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that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was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selected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in-house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editor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fully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peer-reviewed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external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reviewers.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distributed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accordance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with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Creative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Commons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Attribution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NonCommercial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(CC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BY-NC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4.0)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license,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which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permits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others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distribute,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remix,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adapt,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build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upon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work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non-commercially,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license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their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derivative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works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on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different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terms,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provided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original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work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properly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cited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the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use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non-commercial.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See: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http://creativecommons.org/Licenses/by-nc/4.0/</w:t>
      </w:r>
    </w:p>
    <w:p w14:paraId="7A0E5996" w14:textId="77777777" w:rsidR="00464934" w:rsidRPr="005E5B52" w:rsidRDefault="00464934">
      <w:pPr>
        <w:pStyle w:val="Body"/>
        <w:spacing w:line="360" w:lineRule="auto"/>
        <w:jc w:val="both"/>
      </w:pPr>
    </w:p>
    <w:p w14:paraId="138FB7F2" w14:textId="09D0672F" w:rsidR="00464934" w:rsidRPr="003201C3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  <w:b/>
          <w:bCs/>
        </w:rPr>
        <w:t>Manuscript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source: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Invited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manuscript</w:t>
      </w:r>
    </w:p>
    <w:p w14:paraId="0B907A7C" w14:textId="77777777" w:rsidR="00464934" w:rsidRPr="005E5B52" w:rsidRDefault="00464934">
      <w:pPr>
        <w:pStyle w:val="Body"/>
        <w:spacing w:line="360" w:lineRule="auto"/>
        <w:jc w:val="both"/>
      </w:pPr>
    </w:p>
    <w:p w14:paraId="40B7AA08" w14:textId="647C3CA9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Peer-review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started: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January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2021</w:t>
      </w:r>
    </w:p>
    <w:p w14:paraId="6102DD94" w14:textId="7B478708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First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decision: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February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23,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2021</w:t>
      </w:r>
    </w:p>
    <w:p w14:paraId="45FB6D74" w14:textId="3E5E44D6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Article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press: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="00DE60E7" w:rsidRPr="005E5B52">
        <w:rPr>
          <w:rFonts w:ascii="Book Antiqua" w:hAnsi="Book Antiqua"/>
        </w:rPr>
        <w:t>April 13, 2021</w:t>
      </w:r>
    </w:p>
    <w:p w14:paraId="59A2CA30" w14:textId="77777777" w:rsidR="00464934" w:rsidRPr="005E5B52" w:rsidRDefault="00464934">
      <w:pPr>
        <w:pStyle w:val="Body"/>
        <w:spacing w:line="360" w:lineRule="auto"/>
        <w:jc w:val="both"/>
      </w:pPr>
    </w:p>
    <w:p w14:paraId="5533857A" w14:textId="6015B532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Specialty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type: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Gastroenterology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and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hepatology</w:t>
      </w:r>
    </w:p>
    <w:p w14:paraId="349484B2" w14:textId="48A49E7C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Country/Territory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of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origin: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Thailand</w:t>
      </w:r>
    </w:p>
    <w:p w14:paraId="40B35F4E" w14:textId="03A8D3BE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  <w:b/>
          <w:bCs/>
        </w:rPr>
        <w:t>Peer-review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report’s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scientific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quality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classification</w:t>
      </w:r>
    </w:p>
    <w:p w14:paraId="3C5C077B" w14:textId="2FF4DF10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Grade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A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(Excellent):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0</w:t>
      </w:r>
    </w:p>
    <w:p w14:paraId="3197D2D9" w14:textId="614B5457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Grade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(Very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good):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B</w:t>
      </w:r>
    </w:p>
    <w:p w14:paraId="2880AE84" w14:textId="6C40EF95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Grade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(Good):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C</w:t>
      </w:r>
    </w:p>
    <w:p w14:paraId="6BB3D611" w14:textId="4077AE01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Book Antiqua" w:hAnsi="Book Antiqua"/>
        </w:rPr>
        <w:t>Grade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(Fair):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0</w:t>
      </w:r>
    </w:p>
    <w:p w14:paraId="6D283B64" w14:textId="36A76804" w:rsidR="00464934" w:rsidRPr="005E5B52" w:rsidRDefault="001E31F6">
      <w:pPr>
        <w:pStyle w:val="Body"/>
        <w:spacing w:line="360" w:lineRule="auto"/>
        <w:jc w:val="both"/>
      </w:pPr>
      <w:r w:rsidRPr="00014577">
        <w:rPr>
          <w:rFonts w:ascii="Book Antiqua" w:hAnsi="Book Antiqua"/>
        </w:rPr>
        <w:t>Grade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E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(Poor):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0</w:t>
      </w:r>
    </w:p>
    <w:p w14:paraId="3B7B56DA" w14:textId="77777777" w:rsidR="00464934" w:rsidRPr="00C91606" w:rsidRDefault="00464934">
      <w:pPr>
        <w:pStyle w:val="Body"/>
        <w:spacing w:line="360" w:lineRule="auto"/>
        <w:jc w:val="both"/>
      </w:pPr>
    </w:p>
    <w:p w14:paraId="05BFB5DA" w14:textId="08E2D6EE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14577">
        <w:rPr>
          <w:rFonts w:ascii="Book Antiqua" w:hAnsi="Book Antiqua"/>
          <w:b/>
          <w:bCs/>
        </w:rPr>
        <w:t>P-Reviewer: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Hanafy</w:t>
      </w:r>
      <w:r w:rsidR="00701816" w:rsidRPr="00D7317C">
        <w:rPr>
          <w:rFonts w:ascii="Book Antiqua" w:hAnsi="Book Antiqua"/>
        </w:rPr>
        <w:t xml:space="preserve"> </w:t>
      </w:r>
      <w:r w:rsidRPr="00C91606">
        <w:rPr>
          <w:rFonts w:ascii="Book Antiqua" w:hAnsi="Book Antiqua"/>
        </w:rPr>
        <w:t>AS</w:t>
      </w:r>
      <w:r w:rsidRPr="003201C3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Yao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D</w:t>
      </w:r>
      <w:r w:rsidR="00701816" w:rsidRPr="005E5B52">
        <w:rPr>
          <w:rFonts w:ascii="Book Antiqua" w:hAnsi="Book Antiqua"/>
        </w:rPr>
        <w:t>F</w:t>
      </w:r>
      <w:r w:rsidRPr="005E5B52">
        <w:rPr>
          <w:rFonts w:ascii="Book Antiqua" w:hAnsi="Book Antiqua"/>
        </w:rPr>
        <w:t>,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Zheng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b/>
          <w:bCs/>
        </w:rPr>
        <w:t>S-Editor: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</w:rPr>
        <w:t>Gong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ZM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L-Editor: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="00124B0F" w:rsidRPr="005E5B52">
        <w:rPr>
          <w:rFonts w:ascii="Book Antiqua" w:hAnsi="Book Antiqua"/>
        </w:rPr>
        <w:t>Filipodia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P-Editor:</w:t>
      </w:r>
      <w:r w:rsidR="00E52632">
        <w:rPr>
          <w:rFonts w:ascii="Book Antiqua" w:hAnsi="Book Antiqua" w:hint="eastAsia"/>
          <w:b/>
          <w:bCs/>
          <w:lang w:eastAsia="zh-CN"/>
        </w:rPr>
        <w:t xml:space="preserve"> </w:t>
      </w:r>
      <w:r w:rsidR="00E52632" w:rsidRPr="00E52632">
        <w:rPr>
          <w:rFonts w:ascii="Book Antiqua" w:hAnsi="Book Antiqua" w:hint="eastAsia"/>
          <w:bCs/>
          <w:lang w:eastAsia="zh-CN"/>
        </w:rPr>
        <w:t>Liu JH</w:t>
      </w:r>
      <w:r w:rsidR="00701816" w:rsidRPr="005E5B52">
        <w:rPr>
          <w:rFonts w:ascii="Book Antiqua" w:hAnsi="Book Antiqua"/>
          <w:b/>
          <w:bCs/>
        </w:rPr>
        <w:t xml:space="preserve"> </w:t>
      </w:r>
    </w:p>
    <w:p w14:paraId="26B018B4" w14:textId="77777777" w:rsidR="00464934" w:rsidRPr="005E5B52" w:rsidRDefault="00464934">
      <w:pPr>
        <w:pStyle w:val="Body"/>
        <w:spacing w:line="360" w:lineRule="auto"/>
        <w:jc w:val="both"/>
        <w:sectPr w:rsidR="00464934" w:rsidRPr="005E5B52">
          <w:pgSz w:w="12240" w:h="15840"/>
          <w:pgMar w:top="1440" w:right="1440" w:bottom="1440" w:left="1440" w:header="720" w:footer="720" w:gutter="0"/>
          <w:cols w:space="720"/>
        </w:sectPr>
      </w:pPr>
    </w:p>
    <w:p w14:paraId="4CB0872F" w14:textId="551A3910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14577">
        <w:rPr>
          <w:rFonts w:ascii="Book Antiqua" w:hAnsi="Book Antiqua"/>
          <w:b/>
          <w:bCs/>
        </w:rPr>
        <w:t>Figure</w:t>
      </w:r>
      <w:r w:rsidR="00701816" w:rsidRPr="00014577">
        <w:rPr>
          <w:rFonts w:ascii="Book Antiqua" w:hAnsi="Book Antiqua"/>
          <w:b/>
          <w:bCs/>
        </w:rPr>
        <w:t xml:space="preserve"> </w:t>
      </w:r>
      <w:r w:rsidRPr="00014577">
        <w:rPr>
          <w:rFonts w:ascii="Book Antiqua" w:hAnsi="Book Antiqua"/>
          <w:b/>
          <w:bCs/>
        </w:rPr>
        <w:t>Legends</w:t>
      </w:r>
    </w:p>
    <w:p w14:paraId="2B3EEF17" w14:textId="77777777" w:rsidR="00464934" w:rsidRPr="005E5B52" w:rsidRDefault="0071234A">
      <w:pPr>
        <w:pStyle w:val="Body"/>
        <w:spacing w:line="360" w:lineRule="auto"/>
        <w:jc w:val="both"/>
      </w:pPr>
      <w:r w:rsidRPr="005E5B52">
        <w:rPr>
          <w:noProof/>
          <w:lang w:eastAsia="zh-CN" w:bidi="ar-SA"/>
        </w:rPr>
        <w:drawing>
          <wp:inline distT="0" distB="0" distL="0" distR="0" wp14:anchorId="7C9C275C" wp14:editId="0D9EE0C6">
            <wp:extent cx="5943600" cy="7493529"/>
            <wp:effectExtent l="0" t="0" r="0" b="0"/>
            <wp:docPr id="2" name="图片 2" descr="C:\Users\Admin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图片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171B" w14:textId="7BDAF93A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5B52">
        <w:rPr>
          <w:rFonts w:ascii="Book Antiqua" w:hAnsi="Book Antiqua"/>
          <w:b/>
          <w:bCs/>
        </w:rPr>
        <w:t>Figure</w:t>
      </w:r>
      <w:r w:rsidR="00701816" w:rsidRPr="00D7317C">
        <w:rPr>
          <w:rFonts w:ascii="Book Antiqua" w:hAnsi="Book Antiqua"/>
          <w:b/>
          <w:bCs/>
        </w:rPr>
        <w:t xml:space="preserve"> </w:t>
      </w:r>
      <w:r w:rsidRPr="00D7317C">
        <w:rPr>
          <w:rFonts w:ascii="Book Antiqua" w:hAnsi="Book Antiqua"/>
          <w:b/>
          <w:bCs/>
        </w:rPr>
        <w:t>1</w:t>
      </w:r>
      <w:r w:rsidR="00701816" w:rsidRPr="00D7317C">
        <w:rPr>
          <w:rFonts w:ascii="Book Antiqua" w:hAnsi="Book Antiqua"/>
          <w:b/>
          <w:bCs/>
        </w:rPr>
        <w:t xml:space="preserve"> </w:t>
      </w:r>
      <w:r w:rsidRPr="00D7317C">
        <w:rPr>
          <w:rFonts w:ascii="Book Antiqua" w:hAnsi="Book Antiqua"/>
          <w:b/>
          <w:bCs/>
        </w:rPr>
        <w:t>The</w:t>
      </w:r>
      <w:r w:rsidR="00701816" w:rsidRPr="00D7317C">
        <w:rPr>
          <w:rFonts w:ascii="Book Antiqua" w:hAnsi="Book Antiqua"/>
          <w:b/>
          <w:bCs/>
        </w:rPr>
        <w:t xml:space="preserve"> </w:t>
      </w:r>
      <w:r w:rsidRPr="00D7317C">
        <w:rPr>
          <w:rFonts w:ascii="Book Antiqua" w:hAnsi="Book Antiqua"/>
          <w:b/>
          <w:bCs/>
        </w:rPr>
        <w:t>hepatitis</w:t>
      </w:r>
      <w:r w:rsidR="00701816" w:rsidRPr="00D7317C">
        <w:rPr>
          <w:rFonts w:ascii="Book Antiqua" w:hAnsi="Book Antiqua"/>
          <w:b/>
          <w:bCs/>
        </w:rPr>
        <w:t xml:space="preserve"> </w:t>
      </w:r>
      <w:r w:rsidRPr="00C91606">
        <w:rPr>
          <w:rFonts w:ascii="Book Antiqua" w:hAnsi="Book Antiqua"/>
          <w:b/>
          <w:bCs/>
        </w:rPr>
        <w:t>C</w:t>
      </w:r>
      <w:r w:rsidR="00701816" w:rsidRPr="003201C3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virus/human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immunodeficiency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coinfection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treatment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algorithm.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="00D7317C" w:rsidRPr="00AA0DA8">
        <w:rPr>
          <w:rFonts w:ascii="Book Antiqua" w:hAnsi="Book Antiqua"/>
        </w:rPr>
        <w:t xml:space="preserve">ART: </w:t>
      </w:r>
      <w:r w:rsidR="00D7317C" w:rsidRPr="00AA0DA8">
        <w:rPr>
          <w:rFonts w:ascii="Book Antiqua" w:hAnsi="Book Antiqua"/>
          <w:caps/>
        </w:rPr>
        <w:t>a</w:t>
      </w:r>
      <w:r w:rsidR="00D7317C" w:rsidRPr="00AA0DA8">
        <w:rPr>
          <w:rFonts w:ascii="Book Antiqua" w:hAnsi="Book Antiqua"/>
        </w:rPr>
        <w:t>ntiretroviral therapy</w:t>
      </w:r>
      <w:r w:rsidR="00D7317C">
        <w:rPr>
          <w:rFonts w:ascii="Book Antiqua" w:hAnsi="Book Antiqua"/>
        </w:rPr>
        <w:t xml:space="preserve">; </w:t>
      </w:r>
      <w:r w:rsidR="00D7317C" w:rsidRPr="00AA0DA8">
        <w:rPr>
          <w:rFonts w:ascii="Book Antiqua" w:hAnsi="Book Antiqua"/>
        </w:rPr>
        <w:t xml:space="preserve">DAA: </w:t>
      </w:r>
      <w:r w:rsidR="00D7317C" w:rsidRPr="00AA0DA8">
        <w:rPr>
          <w:rFonts w:ascii="Book Antiqua" w:hAnsi="Book Antiqua"/>
          <w:caps/>
        </w:rPr>
        <w:t>d</w:t>
      </w:r>
      <w:r w:rsidR="00D7317C" w:rsidRPr="00AA0DA8">
        <w:rPr>
          <w:rFonts w:ascii="Book Antiqua" w:hAnsi="Book Antiqua"/>
        </w:rPr>
        <w:t xml:space="preserve">irect-acting antiviral; </w:t>
      </w:r>
      <w:r w:rsidRPr="00014577">
        <w:rPr>
          <w:rFonts w:ascii="Book Antiqua" w:hAnsi="Book Antiqua"/>
        </w:rPr>
        <w:t>HCC: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Hepatocellular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carcinoma;</w:t>
      </w:r>
      <w:r w:rsidR="00701816" w:rsidRPr="00014577">
        <w:rPr>
          <w:rFonts w:ascii="Book Antiqua" w:hAnsi="Book Antiqua"/>
        </w:rPr>
        <w:t xml:space="preserve"> </w:t>
      </w:r>
      <w:r w:rsidRPr="00014577">
        <w:rPr>
          <w:rFonts w:ascii="Book Antiqua" w:hAnsi="Book Antiqua"/>
        </w:rPr>
        <w:t>HCV:</w:t>
      </w:r>
      <w:r w:rsidR="00701816" w:rsidRPr="00014577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caps/>
        </w:rPr>
        <w:t>h</w:t>
      </w:r>
      <w:r w:rsidRPr="00D7317C">
        <w:rPr>
          <w:rFonts w:ascii="Book Antiqua" w:hAnsi="Book Antiqua"/>
        </w:rPr>
        <w:t>epatitis</w:t>
      </w:r>
      <w:r w:rsidR="00701816" w:rsidRPr="00D7317C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</w:rPr>
        <w:t>C</w:t>
      </w:r>
      <w:r w:rsidR="00701816" w:rsidRPr="00D7317C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</w:rPr>
        <w:t>virus;</w:t>
      </w:r>
      <w:r w:rsidR="00701816" w:rsidRPr="00D7317C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</w:rPr>
        <w:t>HIV:</w:t>
      </w:r>
      <w:r w:rsidR="00701816" w:rsidRPr="00D7317C">
        <w:rPr>
          <w:rFonts w:ascii="Book Antiqua" w:hAnsi="Book Antiqua"/>
        </w:rPr>
        <w:t xml:space="preserve"> </w:t>
      </w:r>
      <w:r w:rsidRPr="00D7317C">
        <w:rPr>
          <w:rFonts w:ascii="Book Antiqua" w:hAnsi="Book Antiqua"/>
          <w:caps/>
        </w:rPr>
        <w:t>h</w:t>
      </w:r>
      <w:r w:rsidRPr="00C91606">
        <w:rPr>
          <w:rFonts w:ascii="Book Antiqua" w:hAnsi="Book Antiqua"/>
        </w:rPr>
        <w:t>uman</w:t>
      </w:r>
      <w:r w:rsidR="00701816" w:rsidRPr="003201C3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virus;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SVR: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  <w:caps/>
        </w:rPr>
        <w:t>s</w:t>
      </w:r>
      <w:r w:rsidRPr="005E5B52">
        <w:rPr>
          <w:rFonts w:ascii="Book Antiqua" w:hAnsi="Book Antiqua"/>
        </w:rPr>
        <w:t>ustained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virologic</w:t>
      </w:r>
      <w:r w:rsidR="00701816" w:rsidRPr="005E5B52">
        <w:rPr>
          <w:rFonts w:ascii="Book Antiqua" w:hAnsi="Book Antiqua"/>
        </w:rPr>
        <w:t xml:space="preserve"> </w:t>
      </w:r>
      <w:r w:rsidRPr="005E5B52">
        <w:rPr>
          <w:rFonts w:ascii="Book Antiqua" w:hAnsi="Book Antiqua"/>
        </w:rPr>
        <w:t>response</w:t>
      </w:r>
      <w:r w:rsidR="00D7317C">
        <w:rPr>
          <w:rFonts w:ascii="Book Antiqua" w:hAnsi="Book Antiqua"/>
        </w:rPr>
        <w:t>.</w:t>
      </w:r>
      <w:r w:rsidR="00701816" w:rsidRPr="005E5B52">
        <w:rPr>
          <w:rFonts w:ascii="Book Antiqua" w:hAnsi="Book Antiqua"/>
        </w:rPr>
        <w:t xml:space="preserve"> </w:t>
      </w:r>
    </w:p>
    <w:p w14:paraId="15EE20CE" w14:textId="77777777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Arial Unicode MS" w:hAnsi="Arial Unicode MS"/>
        </w:rPr>
        <w:br w:type="page"/>
      </w:r>
    </w:p>
    <w:p w14:paraId="6B6D48F0" w14:textId="26A81854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5B52">
        <w:rPr>
          <w:rFonts w:ascii="Book Antiqua" w:hAnsi="Book Antiqua"/>
          <w:b/>
          <w:bCs/>
        </w:rPr>
        <w:t>Table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1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Prevalence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and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sustained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virologic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response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after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hepatitis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treatment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patients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with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hepatitis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monoinfection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compared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to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patients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with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hepatitis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virus/human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immunodeficiency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virus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coinfection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4"/>
        <w:gridCol w:w="4286"/>
        <w:gridCol w:w="3120"/>
      </w:tblGrid>
      <w:tr w:rsidR="00464934" w:rsidRPr="005E5B52" w14:paraId="0776A39A" w14:textId="77777777">
        <w:trPr>
          <w:trHeight w:val="290"/>
        </w:trPr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11AD" w14:textId="77777777" w:rsidR="00464934" w:rsidRPr="005E5B52" w:rsidRDefault="00464934"/>
        </w:tc>
        <w:tc>
          <w:tcPr>
            <w:tcW w:w="4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08AA" w14:textId="11DF6872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  <w:b/>
                <w:bCs/>
              </w:rPr>
              <w:t>HCV</w:t>
            </w:r>
            <w:r w:rsidR="00701816" w:rsidRPr="005E5B52">
              <w:rPr>
                <w:rFonts w:ascii="Book Antiqua" w:hAnsi="Book Antiqua"/>
                <w:b/>
                <w:bCs/>
              </w:rPr>
              <w:t xml:space="preserve"> </w:t>
            </w:r>
            <w:r w:rsidRPr="005E5B52">
              <w:rPr>
                <w:rFonts w:ascii="Book Antiqua" w:hAnsi="Book Antiqua"/>
                <w:b/>
                <w:bCs/>
              </w:rPr>
              <w:t>monoinfection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5466" w14:textId="729638D7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  <w:b/>
                <w:bCs/>
              </w:rPr>
              <w:t>HCV/HIV</w:t>
            </w:r>
            <w:r w:rsidR="00701816" w:rsidRPr="005E5B52">
              <w:rPr>
                <w:rFonts w:ascii="Book Antiqua" w:hAnsi="Book Antiqua"/>
                <w:b/>
                <w:bCs/>
              </w:rPr>
              <w:t xml:space="preserve"> </w:t>
            </w:r>
            <w:r w:rsidRPr="005E5B52">
              <w:rPr>
                <w:rFonts w:ascii="Book Antiqua" w:hAnsi="Book Antiqua"/>
                <w:b/>
                <w:bCs/>
              </w:rPr>
              <w:t>coinfection</w:t>
            </w:r>
          </w:p>
        </w:tc>
      </w:tr>
      <w:tr w:rsidR="00464934" w:rsidRPr="005E5B52" w14:paraId="18D68E4B" w14:textId="77777777">
        <w:trPr>
          <w:trHeight w:val="715"/>
        </w:trPr>
        <w:tc>
          <w:tcPr>
            <w:tcW w:w="1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F68D" w14:textId="77777777" w:rsidR="00464934" w:rsidRPr="005E5B52" w:rsidRDefault="001E31F6">
            <w:pPr>
              <w:pStyle w:val="Body"/>
              <w:spacing w:line="360" w:lineRule="auto"/>
            </w:pPr>
            <w:r w:rsidRPr="005E5B52">
              <w:rPr>
                <w:rFonts w:ascii="Book Antiqua" w:hAnsi="Book Antiqua"/>
              </w:rPr>
              <w:t>Prevalence</w:t>
            </w:r>
          </w:p>
        </w:tc>
        <w:tc>
          <w:tcPr>
            <w:tcW w:w="4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747C" w14:textId="378FEFF1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</w:rPr>
              <w:t>184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million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person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worldwide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9D39" w14:textId="281DAFE1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</w:rPr>
              <w:t>2.3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million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person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worldwide</w:t>
            </w:r>
          </w:p>
        </w:tc>
      </w:tr>
      <w:tr w:rsidR="00464934" w:rsidRPr="005E5B52" w14:paraId="158C75FD" w14:textId="77777777">
        <w:trPr>
          <w:trHeight w:val="114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8D03" w14:textId="6240E7CD" w:rsidR="00464934" w:rsidRPr="005E5B52" w:rsidRDefault="001E31F6">
            <w:pPr>
              <w:pStyle w:val="Body"/>
              <w:spacing w:line="360" w:lineRule="auto"/>
            </w:pPr>
            <w:r w:rsidRPr="005E5B52">
              <w:rPr>
                <w:rFonts w:ascii="Book Antiqua" w:hAnsi="Book Antiqua"/>
              </w:rPr>
              <w:t>SVR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after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interferon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treatment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AE04" w14:textId="47F1E56B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</w:rPr>
              <w:t>36%-76%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(genotype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1,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2,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3,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4,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treatment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naïve)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A818" w14:textId="12C71D5E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</w:rPr>
              <w:t>18.4%-50%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(genotype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1,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2,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3,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4,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treatment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naïve)</w:t>
            </w:r>
          </w:p>
        </w:tc>
      </w:tr>
      <w:tr w:rsidR="00464934" w:rsidRPr="005E5B52" w14:paraId="2A609503" w14:textId="77777777">
        <w:trPr>
          <w:trHeight w:val="715"/>
        </w:trPr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3982" w14:textId="75CB6C62" w:rsidR="00464934" w:rsidRPr="005E5B52" w:rsidRDefault="001E31F6">
            <w:pPr>
              <w:pStyle w:val="Body"/>
              <w:spacing w:line="360" w:lineRule="auto"/>
            </w:pPr>
            <w:r w:rsidRPr="005E5B52">
              <w:rPr>
                <w:rFonts w:ascii="Book Antiqua" w:hAnsi="Book Antiqua"/>
              </w:rPr>
              <w:t>SVR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after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DAA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treatment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1ED1" w14:textId="4DC228E3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</w:rPr>
              <w:t>96%-100%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(pangenotype,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treatment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naïve)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3C06" w14:textId="5525811B" w:rsidR="00464934" w:rsidRPr="005E5B52" w:rsidRDefault="001E31F6">
            <w:pPr>
              <w:pStyle w:val="Body"/>
              <w:spacing w:line="360" w:lineRule="auto"/>
              <w:jc w:val="center"/>
            </w:pPr>
            <w:r w:rsidRPr="005E5B52">
              <w:rPr>
                <w:rFonts w:ascii="Book Antiqua" w:hAnsi="Book Antiqua"/>
              </w:rPr>
              <w:t>95%-98%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(pangenotype,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treatment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naïve)</w:t>
            </w:r>
          </w:p>
        </w:tc>
      </w:tr>
    </w:tbl>
    <w:p w14:paraId="56415E0B" w14:textId="77777777" w:rsidR="00464934" w:rsidRPr="005E5B52" w:rsidRDefault="00464934">
      <w:pPr>
        <w:pStyle w:val="Body"/>
        <w:widowControl w:val="0"/>
        <w:jc w:val="both"/>
        <w:rPr>
          <w:rFonts w:ascii="Book Antiqua" w:eastAsia="Book Antiqua" w:hAnsi="Book Antiqua" w:cs="Book Antiqua"/>
          <w:b/>
          <w:bCs/>
        </w:rPr>
      </w:pPr>
    </w:p>
    <w:p w14:paraId="24C1B08D" w14:textId="3FCC18B0" w:rsidR="00464934" w:rsidRPr="005E5B52" w:rsidRDefault="00D7317C">
      <w:pPr>
        <w:pStyle w:val="Body"/>
        <w:spacing w:line="360" w:lineRule="auto"/>
        <w:jc w:val="both"/>
        <w:rPr>
          <w:b/>
          <w:bCs/>
        </w:rPr>
      </w:pPr>
      <w:r w:rsidRPr="00AA0DA8">
        <w:rPr>
          <w:rFonts w:ascii="Book Antiqua" w:hAnsi="Book Antiqua"/>
        </w:rPr>
        <w:t xml:space="preserve">DAA: </w:t>
      </w:r>
      <w:r w:rsidRPr="00AA0DA8">
        <w:rPr>
          <w:rFonts w:ascii="Book Antiqua" w:hAnsi="Book Antiqua"/>
          <w:caps/>
        </w:rPr>
        <w:t>d</w:t>
      </w:r>
      <w:r w:rsidRPr="00AA0DA8">
        <w:rPr>
          <w:rFonts w:ascii="Book Antiqua" w:hAnsi="Book Antiqua"/>
        </w:rPr>
        <w:t>irect-acting antiviral</w:t>
      </w:r>
      <w:r>
        <w:rPr>
          <w:rFonts w:ascii="Book Antiqua" w:hAnsi="Book Antiqua"/>
        </w:rPr>
        <w:t xml:space="preserve">; </w:t>
      </w:r>
      <w:r w:rsidR="001E31F6" w:rsidRPr="00D7317C">
        <w:rPr>
          <w:rFonts w:ascii="Book Antiqua" w:hAnsi="Book Antiqua"/>
        </w:rPr>
        <w:t>HCV:</w:t>
      </w:r>
      <w:r w:rsidR="00701816" w:rsidRPr="00D7317C">
        <w:rPr>
          <w:rFonts w:ascii="Book Antiqua" w:hAnsi="Book Antiqua"/>
        </w:rPr>
        <w:t xml:space="preserve"> </w:t>
      </w:r>
      <w:r w:rsidR="001E31F6" w:rsidRPr="00D7317C">
        <w:rPr>
          <w:rFonts w:ascii="Book Antiqua" w:hAnsi="Book Antiqua"/>
          <w:caps/>
        </w:rPr>
        <w:t>h</w:t>
      </w:r>
      <w:r w:rsidR="001E31F6" w:rsidRPr="00D7317C">
        <w:rPr>
          <w:rFonts w:ascii="Book Antiqua" w:hAnsi="Book Antiqua"/>
        </w:rPr>
        <w:t>epatitis</w:t>
      </w:r>
      <w:r w:rsidR="00701816" w:rsidRPr="00D7317C">
        <w:rPr>
          <w:rFonts w:ascii="Book Antiqua" w:hAnsi="Book Antiqua"/>
        </w:rPr>
        <w:t xml:space="preserve"> </w:t>
      </w:r>
      <w:r w:rsidR="001E31F6" w:rsidRPr="00D7317C">
        <w:rPr>
          <w:rFonts w:ascii="Book Antiqua" w:hAnsi="Book Antiqua"/>
        </w:rPr>
        <w:t>C</w:t>
      </w:r>
      <w:r w:rsidR="00701816" w:rsidRPr="00D7317C">
        <w:rPr>
          <w:rFonts w:ascii="Book Antiqua" w:hAnsi="Book Antiqua"/>
        </w:rPr>
        <w:t xml:space="preserve"> </w:t>
      </w:r>
      <w:r w:rsidR="001E31F6" w:rsidRPr="00D7317C">
        <w:rPr>
          <w:rFonts w:ascii="Book Antiqua" w:hAnsi="Book Antiqua"/>
        </w:rPr>
        <w:t>virus;</w:t>
      </w:r>
      <w:r w:rsidR="00701816" w:rsidRPr="00D7317C">
        <w:rPr>
          <w:rFonts w:ascii="Book Antiqua" w:hAnsi="Book Antiqua"/>
        </w:rPr>
        <w:t xml:space="preserve"> </w:t>
      </w:r>
      <w:r w:rsidR="001E31F6" w:rsidRPr="00D7317C">
        <w:rPr>
          <w:rFonts w:ascii="Book Antiqua" w:hAnsi="Book Antiqua"/>
        </w:rPr>
        <w:t>HIV:</w:t>
      </w:r>
      <w:r w:rsidR="00701816" w:rsidRPr="00D7317C">
        <w:rPr>
          <w:rFonts w:ascii="Book Antiqua" w:hAnsi="Book Antiqua"/>
        </w:rPr>
        <w:t xml:space="preserve"> </w:t>
      </w:r>
      <w:r w:rsidR="001E31F6" w:rsidRPr="00D7317C">
        <w:rPr>
          <w:rFonts w:ascii="Book Antiqua" w:hAnsi="Book Antiqua"/>
          <w:caps/>
        </w:rPr>
        <w:t>h</w:t>
      </w:r>
      <w:r w:rsidR="001E31F6" w:rsidRPr="00D7317C">
        <w:rPr>
          <w:rFonts w:ascii="Book Antiqua" w:hAnsi="Book Antiqua"/>
        </w:rPr>
        <w:t>uman</w:t>
      </w:r>
      <w:r w:rsidR="00701816" w:rsidRPr="00C91606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immunodeficiency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virus;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SVR: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  <w:caps/>
        </w:rPr>
        <w:t>s</w:t>
      </w:r>
      <w:r w:rsidR="001E31F6" w:rsidRPr="005E5B52">
        <w:rPr>
          <w:rFonts w:ascii="Book Antiqua" w:hAnsi="Book Antiqua"/>
        </w:rPr>
        <w:t>ustained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virologic</w:t>
      </w:r>
      <w:r w:rsidR="00701816"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response</w:t>
      </w:r>
      <w:r>
        <w:rPr>
          <w:rFonts w:ascii="Book Antiqua" w:hAnsi="Book Antiqua"/>
        </w:rPr>
        <w:t>.</w:t>
      </w:r>
      <w:r w:rsidR="00701816" w:rsidRPr="005E5B52">
        <w:rPr>
          <w:rFonts w:ascii="Book Antiqua" w:hAnsi="Book Antiqua"/>
        </w:rPr>
        <w:t xml:space="preserve"> </w:t>
      </w:r>
    </w:p>
    <w:p w14:paraId="359EE1EC" w14:textId="77777777" w:rsidR="00464934" w:rsidRPr="005E5B52" w:rsidRDefault="001E31F6">
      <w:pPr>
        <w:pStyle w:val="Body"/>
        <w:spacing w:line="360" w:lineRule="auto"/>
        <w:jc w:val="both"/>
      </w:pPr>
      <w:r w:rsidRPr="005E5B52">
        <w:rPr>
          <w:rFonts w:ascii="Arial Unicode MS" w:hAnsi="Arial Unicode MS"/>
        </w:rPr>
        <w:br w:type="page"/>
      </w:r>
    </w:p>
    <w:p w14:paraId="2B4DE644" w14:textId="1635F53B" w:rsidR="00464934" w:rsidRPr="005E5B52" w:rsidRDefault="001E31F6">
      <w:pPr>
        <w:pStyle w:val="Body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5B52">
        <w:rPr>
          <w:rFonts w:ascii="Book Antiqua" w:hAnsi="Book Antiqua"/>
          <w:b/>
          <w:bCs/>
        </w:rPr>
        <w:t>Table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2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Drug-drug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interaction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between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antiretroviral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drugs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and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direct-acting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antiviral</w:t>
      </w:r>
      <w:r w:rsidR="00701816" w:rsidRPr="005E5B52">
        <w:rPr>
          <w:rFonts w:ascii="Book Antiqua" w:hAnsi="Book Antiqua"/>
          <w:b/>
          <w:bCs/>
        </w:rPr>
        <w:t xml:space="preserve"> </w:t>
      </w:r>
      <w:r w:rsidRPr="005E5B52">
        <w:rPr>
          <w:rFonts w:ascii="Book Antiqua" w:hAnsi="Book Antiqua"/>
          <w:b/>
          <w:bCs/>
        </w:rPr>
        <w:t>agents</w:t>
      </w:r>
    </w:p>
    <w:tbl>
      <w:tblPr>
        <w:tblW w:w="9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19"/>
        <w:gridCol w:w="1261"/>
        <w:gridCol w:w="1247"/>
        <w:gridCol w:w="1865"/>
        <w:gridCol w:w="1329"/>
        <w:gridCol w:w="1213"/>
      </w:tblGrid>
      <w:tr w:rsidR="00464934" w:rsidRPr="005E5B52" w14:paraId="4CE8E65B" w14:textId="77777777" w:rsidTr="00254886">
        <w:trPr>
          <w:trHeight w:val="319"/>
        </w:trPr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75C6" w14:textId="346FCA52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Antiretroviral</w:t>
            </w:r>
            <w:r w:rsidR="00701816" w:rsidRPr="005E5B52">
              <w:rPr>
                <w:rFonts w:ascii="Book Antiqua" w:hAnsi="Book Antiqua"/>
                <w:b/>
                <w:bCs/>
              </w:rPr>
              <w:t xml:space="preserve"> </w:t>
            </w:r>
            <w:r w:rsidRPr="005E5B52">
              <w:rPr>
                <w:rFonts w:ascii="Book Antiqua" w:hAnsi="Book Antiqua"/>
                <w:b/>
                <w:bCs/>
              </w:rPr>
              <w:t>drugs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1A2C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SOF/LED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03BF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SOF/VEL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704F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SOF/VEL/VOX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49D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EBR/GZR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66FE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GLE/PIB</w:t>
            </w:r>
          </w:p>
        </w:tc>
      </w:tr>
      <w:tr w:rsidR="00464934" w:rsidRPr="005E5B52" w14:paraId="439A6402" w14:textId="77777777">
        <w:trPr>
          <w:trHeight w:val="295"/>
        </w:trPr>
        <w:tc>
          <w:tcPr>
            <w:tcW w:w="2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00DC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NRTIs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BC8E" w14:textId="77777777" w:rsidR="00464934" w:rsidRPr="005E5B52" w:rsidRDefault="00464934"/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7C1D" w14:textId="77777777" w:rsidR="00464934" w:rsidRPr="005E5B52" w:rsidRDefault="00464934"/>
        </w:tc>
        <w:tc>
          <w:tcPr>
            <w:tcW w:w="1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26EC" w14:textId="77777777" w:rsidR="00464934" w:rsidRPr="005E5B52" w:rsidRDefault="00464934"/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0307" w14:textId="77777777" w:rsidR="00464934" w:rsidRPr="005E5B52" w:rsidRDefault="00464934"/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EE7A" w14:textId="77777777" w:rsidR="00464934" w:rsidRPr="005E5B52" w:rsidRDefault="00464934"/>
        </w:tc>
      </w:tr>
      <w:tr w:rsidR="00464934" w:rsidRPr="005E5B52" w14:paraId="2D7AED1B" w14:textId="77777777">
        <w:trPr>
          <w:trHeight w:val="7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8895" w14:textId="52AD4690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Tenoforvir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disoproxil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fumarate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662B" w14:textId="1736EC24" w:rsidR="00464934" w:rsidRPr="005E5B52" w:rsidRDefault="0070181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 w:hint="eastAsia"/>
              </w:rPr>
              <w:t>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2F46" w14:textId="2A716D29" w:rsidR="00464934" w:rsidRPr="005E5B52" w:rsidRDefault="0070181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 w:hint="eastAsia"/>
              </w:rPr>
              <w:t>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7E59" w14:textId="220F29BA" w:rsidR="00464934" w:rsidRPr="005E5B52" w:rsidRDefault="0070181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 w:hint="eastAsia"/>
              </w:rPr>
              <w:t>▲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0813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FC8E5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</w:tr>
      <w:tr w:rsidR="00464934" w:rsidRPr="005E5B52" w14:paraId="4C86C675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FEA5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NNRTIs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F7FA" w14:textId="77777777" w:rsidR="00464934" w:rsidRPr="005E5B52" w:rsidRDefault="00464934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0B35" w14:textId="77777777" w:rsidR="00464934" w:rsidRPr="005E5B52" w:rsidRDefault="00464934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E4D7" w14:textId="77777777" w:rsidR="00464934" w:rsidRPr="005E5B52" w:rsidRDefault="004649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FE39" w14:textId="77777777" w:rsidR="00464934" w:rsidRPr="005E5B52" w:rsidRDefault="00464934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9CB0" w14:textId="77777777" w:rsidR="00464934" w:rsidRPr="005E5B52" w:rsidRDefault="00464934"/>
        </w:tc>
      </w:tr>
      <w:tr w:rsidR="00464934" w:rsidRPr="005E5B52" w14:paraId="74D115DF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84B05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Efavarenz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2FAD3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3BBC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4EEC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9358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681E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4E80CABA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F71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Etravirenz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D033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F9C2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8162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7AD2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AB9E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2592697A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2500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Nevirapine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4C43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8951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E6AE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7D8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4F20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785BFCF5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21B1" w14:textId="269F3371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Protease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  <w:r w:rsidRPr="005E5B52">
              <w:rPr>
                <w:rFonts w:ascii="Book Antiqua" w:hAnsi="Book Antiqua"/>
              </w:rPr>
              <w:t>inhibitors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823A" w14:textId="77777777" w:rsidR="00464934" w:rsidRPr="005E5B52" w:rsidRDefault="00464934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DFE3" w14:textId="77777777" w:rsidR="00464934" w:rsidRPr="005E5B52" w:rsidRDefault="00464934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C1D6" w14:textId="77777777" w:rsidR="00464934" w:rsidRPr="005E5B52" w:rsidRDefault="004649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F554" w14:textId="77777777" w:rsidR="00464934" w:rsidRPr="005E5B52" w:rsidRDefault="00464934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4F0A" w14:textId="77777777" w:rsidR="00464934" w:rsidRPr="005E5B52" w:rsidRDefault="00464934"/>
        </w:tc>
      </w:tr>
      <w:tr w:rsidR="00464934" w:rsidRPr="005E5B52" w14:paraId="5C30D186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4A65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Atazanavir/ritonavir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0D9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07EF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50DD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FD7B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57AA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0D52EF42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E76E" w14:textId="45F8564C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Atazanavir/cobicistat</w:t>
            </w:r>
            <w:r w:rsidR="00701816" w:rsidRPr="005E5B5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5A6D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DDEB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3D71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CCF3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6942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13657441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6821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Darunavir/ritonavir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99D2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DF358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399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CEF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984D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783B7470" w14:textId="77777777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9086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Darunavir/cobicistat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A23EB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D3E5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FD30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0429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7E0C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  <w:tr w:rsidR="00464934" w:rsidRPr="005E5B52" w14:paraId="12701822" w14:textId="77777777">
        <w:trPr>
          <w:trHeight w:val="295"/>
        </w:trPr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E3FA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Lopinavir/ritonavir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A7E4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A6E7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B3EC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53ED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9A37" w14:textId="77777777" w:rsidR="00464934" w:rsidRPr="005E5B52" w:rsidRDefault="001E31F6">
            <w:pPr>
              <w:pStyle w:val="Body"/>
              <w:spacing w:line="360" w:lineRule="auto"/>
              <w:jc w:val="both"/>
            </w:pPr>
            <w:r w:rsidRPr="005E5B52">
              <w:rPr>
                <w:rFonts w:ascii="Book Antiqua" w:hAnsi="Book Antiqua"/>
              </w:rPr>
              <w:t>X</w:t>
            </w:r>
          </w:p>
        </w:tc>
      </w:tr>
    </w:tbl>
    <w:p w14:paraId="715A9668" w14:textId="77777777" w:rsidR="00464934" w:rsidRPr="005E5B52" w:rsidRDefault="00464934">
      <w:pPr>
        <w:pStyle w:val="Body"/>
        <w:widowControl w:val="0"/>
        <w:jc w:val="both"/>
        <w:rPr>
          <w:rFonts w:ascii="Book Antiqua" w:eastAsia="Book Antiqua" w:hAnsi="Book Antiqua" w:cs="Book Antiqua"/>
          <w:b/>
          <w:bCs/>
        </w:rPr>
      </w:pPr>
    </w:p>
    <w:p w14:paraId="3B490D9E" w14:textId="64BC4F7B" w:rsidR="004D493A" w:rsidRDefault="00701816">
      <w:pPr>
        <w:pStyle w:val="Body"/>
        <w:spacing w:line="360" w:lineRule="auto"/>
        <w:jc w:val="both"/>
        <w:rPr>
          <w:rFonts w:ascii="Book Antiqua" w:hAnsi="Book Antiqua"/>
        </w:rPr>
      </w:pPr>
      <w:r w:rsidRPr="005E5B52">
        <w:rPr>
          <w:rFonts w:ascii="Book Antiqua" w:hAnsi="Book Antiqua" w:hint="eastAsia"/>
        </w:rPr>
        <w:t>▲</w:t>
      </w:r>
      <w:r w:rsidRPr="005E5B52">
        <w:rPr>
          <w:rFonts w:ascii="Book Antiqua" w:hAnsi="Book Antiqua" w:hint="eastAsia"/>
        </w:rPr>
        <w:t>:</w:t>
      </w:r>
      <w:r w:rsidRPr="005E5B52">
        <w:rPr>
          <w:rFonts w:ascii="Book Antiqua" w:hAnsi="Book Antiqua"/>
          <w:caps/>
        </w:rPr>
        <w:t xml:space="preserve"> </w:t>
      </w:r>
      <w:r w:rsidR="001E31F6" w:rsidRPr="005E5B52">
        <w:rPr>
          <w:rFonts w:ascii="Book Antiqua" w:hAnsi="Book Antiqua"/>
          <w:caps/>
        </w:rPr>
        <w:t>s</w:t>
      </w:r>
      <w:r w:rsidR="001E31F6" w:rsidRPr="005E5B52">
        <w:rPr>
          <w:rFonts w:ascii="Book Antiqua" w:hAnsi="Book Antiqua"/>
        </w:rPr>
        <w:t>hould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be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avoided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in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patients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with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an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eGFR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&lt;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60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mL/min</w:t>
      </w:r>
      <w:r w:rsidRPr="005E5B52">
        <w:rPr>
          <w:rFonts w:ascii="Book Antiqua" w:hAnsi="Book Antiqua"/>
        </w:rPr>
        <w:t xml:space="preserve">; </w:t>
      </w:r>
      <w:r w:rsidR="001E31F6" w:rsidRPr="005E5B52">
        <w:rPr>
          <w:rFonts w:ascii="Book Antiqua" w:hAnsi="Book Antiqua"/>
        </w:rPr>
        <w:t>X: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  <w:caps/>
        </w:rPr>
        <w:t>s</w:t>
      </w:r>
      <w:r w:rsidR="001E31F6" w:rsidRPr="005E5B52">
        <w:rPr>
          <w:rFonts w:ascii="Book Antiqua" w:hAnsi="Book Antiqua"/>
        </w:rPr>
        <w:t>hould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be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avoided;</w:t>
      </w:r>
      <w:r w:rsidRPr="005E5B52">
        <w:rPr>
          <w:rFonts w:ascii="Book Antiqua" w:hAnsi="Book Antiqua"/>
        </w:rPr>
        <w:t xml:space="preserve"> </w:t>
      </w:r>
      <w:r w:rsidR="00D7317C" w:rsidRPr="00AA0DA8">
        <w:rPr>
          <w:rFonts w:ascii="Book Antiqua" w:hAnsi="Book Antiqua"/>
        </w:rPr>
        <w:t>EBR: Elbasvir; GLE: Glecaprevir;</w:t>
      </w:r>
      <w:r w:rsidR="00D7317C">
        <w:rPr>
          <w:rFonts w:ascii="Book Antiqua" w:hAnsi="Book Antiqua"/>
        </w:rPr>
        <w:t xml:space="preserve"> </w:t>
      </w:r>
      <w:r w:rsidR="00D7317C" w:rsidRPr="00AA0DA8">
        <w:rPr>
          <w:rFonts w:ascii="Book Antiqua" w:hAnsi="Book Antiqua"/>
        </w:rPr>
        <w:t xml:space="preserve">GZR: Grazoprevir; LDV: Ledipasvir; </w:t>
      </w:r>
      <w:r w:rsidR="00C91606" w:rsidRPr="00AA0DA8">
        <w:rPr>
          <w:rFonts w:ascii="Book Antiqua" w:hAnsi="Book Antiqua"/>
        </w:rPr>
        <w:t>NNRTIs: Non-nucleoside reverse transcriptase inhibitors</w:t>
      </w:r>
      <w:r w:rsidR="00C91606">
        <w:rPr>
          <w:rFonts w:ascii="Book Antiqua" w:hAnsi="Book Antiqua"/>
        </w:rPr>
        <w:t xml:space="preserve">; </w:t>
      </w:r>
      <w:r w:rsidR="00C91606" w:rsidRPr="00AA0DA8">
        <w:rPr>
          <w:rFonts w:ascii="Book Antiqua" w:hAnsi="Book Antiqua"/>
        </w:rPr>
        <w:t>NRTIs: Nucleoside reverse transcriptase inhibitors;</w:t>
      </w:r>
      <w:r w:rsidR="00C91606">
        <w:rPr>
          <w:rFonts w:ascii="Book Antiqua" w:hAnsi="Book Antiqua"/>
        </w:rPr>
        <w:t xml:space="preserve"> </w:t>
      </w:r>
      <w:r w:rsidR="00C91606" w:rsidRPr="00AA0DA8">
        <w:rPr>
          <w:rFonts w:ascii="Book Antiqua" w:hAnsi="Book Antiqua"/>
        </w:rPr>
        <w:t>PIB: Pibrentasvir</w:t>
      </w:r>
      <w:r w:rsidR="00C91606">
        <w:rPr>
          <w:rFonts w:ascii="Book Antiqua" w:hAnsi="Book Antiqua"/>
        </w:rPr>
        <w:t xml:space="preserve">; </w:t>
      </w:r>
      <w:r w:rsidR="001E31F6" w:rsidRPr="00D7317C">
        <w:rPr>
          <w:rFonts w:ascii="Book Antiqua" w:hAnsi="Book Antiqua"/>
        </w:rPr>
        <w:t>SOF:</w:t>
      </w:r>
      <w:r w:rsidRPr="00D7317C">
        <w:rPr>
          <w:rFonts w:ascii="Book Antiqua" w:hAnsi="Book Antiqua"/>
        </w:rPr>
        <w:t xml:space="preserve"> </w:t>
      </w:r>
      <w:r w:rsidR="001E31F6" w:rsidRPr="00D7317C">
        <w:rPr>
          <w:rFonts w:ascii="Book Antiqua" w:hAnsi="Book Antiqua"/>
        </w:rPr>
        <w:t>Sofosbuvir;</w:t>
      </w:r>
      <w:r w:rsidRPr="00D7317C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VEL: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Velpatasvir;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VOX:</w:t>
      </w:r>
      <w:r w:rsidRPr="005E5B52">
        <w:rPr>
          <w:rFonts w:ascii="Book Antiqua" w:hAnsi="Book Antiqua"/>
        </w:rPr>
        <w:t xml:space="preserve"> </w:t>
      </w:r>
      <w:r w:rsidR="001E31F6" w:rsidRPr="005E5B52">
        <w:rPr>
          <w:rFonts w:ascii="Book Antiqua" w:hAnsi="Book Antiqua"/>
        </w:rPr>
        <w:t>Voxilaprevir</w:t>
      </w:r>
      <w:r w:rsidR="00C91606">
        <w:rPr>
          <w:rFonts w:ascii="Book Antiqua" w:hAnsi="Book Antiqua"/>
        </w:rPr>
        <w:t>.</w:t>
      </w:r>
    </w:p>
    <w:p w14:paraId="27420C3C" w14:textId="77777777" w:rsidR="004D493A" w:rsidRDefault="004D493A">
      <w:pPr>
        <w:rPr>
          <w:rFonts w:ascii="Book Antiqua" w:hAnsi="Book Antiqua" w:cs="Arial Unicode MS"/>
          <w:color w:val="000000"/>
          <w:u w:color="000000"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Book Antiqua" w:hAnsi="Book Antiqua"/>
        </w:rPr>
        <w:br w:type="page"/>
      </w:r>
    </w:p>
    <w:p w14:paraId="365E30DC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  <w:bookmarkStart w:id="1" w:name="OLE_LINK1"/>
      <w:bookmarkStart w:id="2" w:name="OLE_LINK2"/>
    </w:p>
    <w:p w14:paraId="568530D3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4EAF04BD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2B55AAB1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10820E96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68765280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1519820" wp14:editId="1245FF0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7F9AE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4A424162" w14:textId="77777777" w:rsidR="004D493A" w:rsidRPr="00763D22" w:rsidRDefault="004D493A" w:rsidP="004D493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AD316C7" w14:textId="77777777" w:rsidR="004D493A" w:rsidRPr="00763D22" w:rsidRDefault="004D493A" w:rsidP="004D493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F1DC9C1" w14:textId="77777777" w:rsidR="004D493A" w:rsidRPr="00763D22" w:rsidRDefault="004D493A" w:rsidP="004D493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4D1B585" w14:textId="77777777" w:rsidR="004D493A" w:rsidRPr="00763D22" w:rsidRDefault="004D493A" w:rsidP="004D493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C2DA94D" w14:textId="77777777" w:rsidR="004D493A" w:rsidRPr="00763D22" w:rsidRDefault="004D493A" w:rsidP="004D493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EC4BDB8" w14:textId="77777777" w:rsidR="004D493A" w:rsidRPr="00763D22" w:rsidRDefault="004D493A" w:rsidP="004D493A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CAF3861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3912905E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183949A8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68CB6DE6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255B5F7" wp14:editId="4D32995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3EF6A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4C448DB3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7CFCDDD8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0BD7B529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6D4DABF3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57CA831C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0F14B05A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27BE24BE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449461C4" w14:textId="77777777" w:rsidR="004D493A" w:rsidRDefault="004D493A" w:rsidP="004D493A">
      <w:pPr>
        <w:jc w:val="center"/>
        <w:rPr>
          <w:rFonts w:ascii="Book Antiqua" w:hAnsi="Book Antiqua"/>
          <w:lang w:eastAsia="zh-CN"/>
        </w:rPr>
      </w:pPr>
    </w:p>
    <w:p w14:paraId="0B7786C1" w14:textId="77777777" w:rsidR="004D493A" w:rsidRPr="00763D22" w:rsidRDefault="004D493A" w:rsidP="004D493A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037958D5" w14:textId="77777777" w:rsidR="004D493A" w:rsidRPr="00763D22" w:rsidRDefault="004D493A" w:rsidP="004D493A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"/>
      <w:bookmarkEnd w:id="2"/>
    </w:p>
    <w:p w14:paraId="29029FE1" w14:textId="77777777" w:rsidR="00464934" w:rsidRPr="005E5B52" w:rsidRDefault="00464934">
      <w:pPr>
        <w:pStyle w:val="Body"/>
        <w:spacing w:line="360" w:lineRule="auto"/>
        <w:jc w:val="both"/>
      </w:pPr>
      <w:bookmarkStart w:id="3" w:name="_GoBack"/>
      <w:bookmarkEnd w:id="3"/>
    </w:p>
    <w:sectPr w:rsidR="00464934" w:rsidRPr="005E5B52">
      <w:head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C2223" w14:textId="77777777" w:rsidR="00F168C7" w:rsidRDefault="00F168C7">
      <w:r>
        <w:separator/>
      </w:r>
    </w:p>
  </w:endnote>
  <w:endnote w:type="continuationSeparator" w:id="0">
    <w:p w14:paraId="12614F5C" w14:textId="77777777" w:rsidR="00F168C7" w:rsidRDefault="00F1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E869" w14:textId="77777777" w:rsidR="00D7317C" w:rsidRPr="00014577" w:rsidRDefault="00D7317C">
    <w:pPr>
      <w:pStyle w:val="a4"/>
      <w:jc w:val="right"/>
      <w:rPr>
        <w:rFonts w:ascii="Book Antiqua" w:hAnsi="Book Antiqua"/>
        <w:b/>
        <w:bCs/>
        <w:sz w:val="24"/>
        <w:szCs w:val="24"/>
      </w:rPr>
    </w:pPr>
    <w:r>
      <w:rPr>
        <w:sz w:val="21"/>
        <w:szCs w:val="21"/>
        <w:lang w:val="zh-TW" w:eastAsia="zh-TW"/>
      </w:rPr>
      <w:t xml:space="preserve"> </w:t>
    </w:r>
    <w:r w:rsidRPr="00014577">
      <w:rPr>
        <w:rFonts w:ascii="Book Antiqua" w:hAnsi="Book Antiqua"/>
        <w:b/>
        <w:bCs/>
        <w:sz w:val="24"/>
        <w:szCs w:val="24"/>
      </w:rPr>
      <w:fldChar w:fldCharType="begin"/>
    </w:r>
    <w:r w:rsidRPr="00014577">
      <w:rPr>
        <w:rFonts w:ascii="Book Antiqua" w:hAnsi="Book Antiqua"/>
        <w:b/>
        <w:bCs/>
        <w:sz w:val="24"/>
        <w:szCs w:val="24"/>
      </w:rPr>
      <w:instrText xml:space="preserve"> PAGE </w:instrText>
    </w:r>
    <w:r w:rsidRPr="00014577">
      <w:rPr>
        <w:rFonts w:ascii="Book Antiqua" w:hAnsi="Book Antiqua"/>
        <w:b/>
        <w:bCs/>
        <w:sz w:val="24"/>
        <w:szCs w:val="24"/>
      </w:rPr>
      <w:fldChar w:fldCharType="separate"/>
    </w:r>
    <w:r w:rsidR="00F168C7">
      <w:rPr>
        <w:rFonts w:ascii="Book Antiqua" w:hAnsi="Book Antiqua"/>
        <w:b/>
        <w:bCs/>
        <w:noProof/>
        <w:sz w:val="24"/>
        <w:szCs w:val="24"/>
      </w:rPr>
      <w:t>1</w:t>
    </w:r>
    <w:r w:rsidRPr="00014577">
      <w:rPr>
        <w:rFonts w:ascii="Book Antiqua" w:hAnsi="Book Antiqua"/>
        <w:b/>
        <w:bCs/>
        <w:sz w:val="24"/>
        <w:szCs w:val="24"/>
      </w:rPr>
      <w:fldChar w:fldCharType="end"/>
    </w:r>
    <w:r w:rsidRPr="00014577">
      <w:rPr>
        <w:rFonts w:ascii="Book Antiqua" w:hAnsi="Book Antiqua"/>
        <w:b/>
        <w:bCs/>
        <w:sz w:val="24"/>
        <w:szCs w:val="24"/>
        <w:lang w:val="zh-TW" w:eastAsia="zh-TW"/>
      </w:rPr>
      <w:t xml:space="preserve"> / </w:t>
    </w:r>
    <w:r w:rsidRPr="00014577">
      <w:rPr>
        <w:rFonts w:ascii="Book Antiqua" w:hAnsi="Book Antiqua"/>
        <w:b/>
        <w:bCs/>
        <w:sz w:val="24"/>
        <w:szCs w:val="24"/>
      </w:rPr>
      <w:fldChar w:fldCharType="begin"/>
    </w:r>
    <w:r w:rsidRPr="00014577">
      <w:rPr>
        <w:rFonts w:ascii="Book Antiqua" w:hAnsi="Book Antiqua"/>
        <w:b/>
        <w:bCs/>
        <w:sz w:val="24"/>
        <w:szCs w:val="24"/>
      </w:rPr>
      <w:instrText xml:space="preserve"> NUMPAGES </w:instrText>
    </w:r>
    <w:r w:rsidRPr="00014577">
      <w:rPr>
        <w:rFonts w:ascii="Book Antiqua" w:hAnsi="Book Antiqua"/>
        <w:b/>
        <w:bCs/>
        <w:sz w:val="24"/>
        <w:szCs w:val="24"/>
      </w:rPr>
      <w:fldChar w:fldCharType="separate"/>
    </w:r>
    <w:r w:rsidR="00F168C7">
      <w:rPr>
        <w:rFonts w:ascii="Book Antiqua" w:hAnsi="Book Antiqua"/>
        <w:b/>
        <w:bCs/>
        <w:noProof/>
        <w:sz w:val="24"/>
        <w:szCs w:val="24"/>
      </w:rPr>
      <w:t>1</w:t>
    </w:r>
    <w:r w:rsidRPr="00014577">
      <w:rPr>
        <w:rFonts w:ascii="Book Antiqua" w:hAnsi="Book Antiqua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CF4C3" w14:textId="77777777" w:rsidR="00F168C7" w:rsidRDefault="00F168C7">
      <w:r>
        <w:separator/>
      </w:r>
    </w:p>
  </w:footnote>
  <w:footnote w:type="continuationSeparator" w:id="0">
    <w:p w14:paraId="5FA888C2" w14:textId="77777777" w:rsidR="00F168C7" w:rsidRDefault="00F1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D5369" w14:textId="77777777" w:rsidR="00D7317C" w:rsidRDefault="00D7317C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B24A3" w14:textId="77777777" w:rsidR="00D7317C" w:rsidRDefault="00D7317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34"/>
    <w:rsid w:val="00014577"/>
    <w:rsid w:val="000428E7"/>
    <w:rsid w:val="00124B0F"/>
    <w:rsid w:val="00173453"/>
    <w:rsid w:val="001B2AD2"/>
    <w:rsid w:val="001E31F6"/>
    <w:rsid w:val="001E5D1F"/>
    <w:rsid w:val="001F5F2C"/>
    <w:rsid w:val="00254886"/>
    <w:rsid w:val="002666BF"/>
    <w:rsid w:val="00284A1F"/>
    <w:rsid w:val="002872D3"/>
    <w:rsid w:val="002A6B81"/>
    <w:rsid w:val="002B0A1E"/>
    <w:rsid w:val="003042EB"/>
    <w:rsid w:val="003201C3"/>
    <w:rsid w:val="0037350E"/>
    <w:rsid w:val="00384050"/>
    <w:rsid w:val="00391660"/>
    <w:rsid w:val="00395911"/>
    <w:rsid w:val="003B63B7"/>
    <w:rsid w:val="003B72B0"/>
    <w:rsid w:val="003D45FE"/>
    <w:rsid w:val="00413A7D"/>
    <w:rsid w:val="00464934"/>
    <w:rsid w:val="00470403"/>
    <w:rsid w:val="004D493A"/>
    <w:rsid w:val="0050074F"/>
    <w:rsid w:val="005812DE"/>
    <w:rsid w:val="005E5B52"/>
    <w:rsid w:val="00624BDC"/>
    <w:rsid w:val="00694BCF"/>
    <w:rsid w:val="006A7538"/>
    <w:rsid w:val="006E0FD2"/>
    <w:rsid w:val="00701816"/>
    <w:rsid w:val="0071234A"/>
    <w:rsid w:val="008110B4"/>
    <w:rsid w:val="008C07BC"/>
    <w:rsid w:val="008C28C6"/>
    <w:rsid w:val="008D35BA"/>
    <w:rsid w:val="008D6879"/>
    <w:rsid w:val="00965577"/>
    <w:rsid w:val="00A41EB1"/>
    <w:rsid w:val="00A9549C"/>
    <w:rsid w:val="00A97860"/>
    <w:rsid w:val="00BB5E6F"/>
    <w:rsid w:val="00BE3502"/>
    <w:rsid w:val="00C22670"/>
    <w:rsid w:val="00C34FC1"/>
    <w:rsid w:val="00C91606"/>
    <w:rsid w:val="00CA733F"/>
    <w:rsid w:val="00D7317C"/>
    <w:rsid w:val="00D85D36"/>
    <w:rsid w:val="00DE2A41"/>
    <w:rsid w:val="00DE495C"/>
    <w:rsid w:val="00DE60E7"/>
    <w:rsid w:val="00E0013D"/>
    <w:rsid w:val="00E3725C"/>
    <w:rsid w:val="00E52632"/>
    <w:rsid w:val="00EE01BC"/>
    <w:rsid w:val="00EE5318"/>
    <w:rsid w:val="00F0274A"/>
    <w:rsid w:val="00F168C7"/>
    <w:rsid w:val="00FE5AF5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4B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18"/>
      <w:szCs w:val="18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outline w:val="0"/>
      <w:color w:val="0000FF"/>
      <w:u w:val="single" w:color="0000FF"/>
    </w:rPr>
  </w:style>
  <w:style w:type="paragraph" w:styleId="a5">
    <w:name w:val="header"/>
    <w:basedOn w:val="a"/>
    <w:link w:val="Char"/>
    <w:uiPriority w:val="99"/>
    <w:unhideWhenUsed/>
    <w:rsid w:val="0070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1816"/>
    <w:rPr>
      <w:sz w:val="18"/>
      <w:szCs w:val="18"/>
      <w:lang w:bidi="ar-SA"/>
    </w:rPr>
  </w:style>
  <w:style w:type="paragraph" w:styleId="a6">
    <w:name w:val="Balloon Text"/>
    <w:basedOn w:val="a"/>
    <w:link w:val="Char0"/>
    <w:uiPriority w:val="99"/>
    <w:semiHidden/>
    <w:unhideWhenUsed/>
    <w:rsid w:val="00DE60E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E60E7"/>
    <w:rPr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18"/>
      <w:szCs w:val="18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outline w:val="0"/>
      <w:color w:val="0000FF"/>
      <w:u w:val="single" w:color="0000FF"/>
    </w:rPr>
  </w:style>
  <w:style w:type="paragraph" w:styleId="a5">
    <w:name w:val="header"/>
    <w:basedOn w:val="a"/>
    <w:link w:val="Char"/>
    <w:uiPriority w:val="99"/>
    <w:unhideWhenUsed/>
    <w:rsid w:val="0070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1816"/>
    <w:rPr>
      <w:sz w:val="18"/>
      <w:szCs w:val="18"/>
      <w:lang w:bidi="ar-SA"/>
    </w:rPr>
  </w:style>
  <w:style w:type="paragraph" w:styleId="a6">
    <w:name w:val="Balloon Text"/>
    <w:basedOn w:val="a"/>
    <w:link w:val="Char0"/>
    <w:uiPriority w:val="99"/>
    <w:semiHidden/>
    <w:unhideWhenUsed/>
    <w:rsid w:val="00DE60E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E60E7"/>
    <w:rPr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cdc.gov/std/tg2015/specialpop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liujihong2008@qq.con</cp:lastModifiedBy>
  <cp:revision>11</cp:revision>
  <dcterms:created xsi:type="dcterms:W3CDTF">2021-04-26T09:47:00Z</dcterms:created>
  <dcterms:modified xsi:type="dcterms:W3CDTF">2021-06-08T07:08:00Z</dcterms:modified>
</cp:coreProperties>
</file>