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2437E5" w14:textId="77777777" w:rsidR="00A77B3E" w:rsidRPr="00E549DC" w:rsidRDefault="00B677D4" w:rsidP="00C55EEF">
      <w:pPr>
        <w:adjustRightInd w:val="0"/>
        <w:snapToGrid w:val="0"/>
        <w:spacing w:line="360" w:lineRule="auto"/>
        <w:jc w:val="both"/>
        <w:rPr>
          <w:rFonts w:ascii="Book Antiqua" w:hAnsi="Book Antiqua"/>
        </w:rPr>
      </w:pPr>
      <w:r w:rsidRPr="00E549DC">
        <w:rPr>
          <w:rFonts w:ascii="Book Antiqua" w:eastAsia="Book Antiqua" w:hAnsi="Book Antiqua" w:cs="Book Antiqua"/>
          <w:b/>
          <w:color w:val="000000"/>
        </w:rPr>
        <w:t xml:space="preserve">Name of Journal: </w:t>
      </w:r>
      <w:r w:rsidRPr="00E549DC">
        <w:rPr>
          <w:rFonts w:ascii="Book Antiqua" w:eastAsia="Book Antiqua" w:hAnsi="Book Antiqua" w:cs="Book Antiqua"/>
          <w:i/>
          <w:color w:val="000000"/>
        </w:rPr>
        <w:t>World Journal of Gastroenterology</w:t>
      </w:r>
    </w:p>
    <w:p w14:paraId="0381140D" w14:textId="77777777" w:rsidR="00A77B3E" w:rsidRPr="00E549DC" w:rsidRDefault="00B677D4" w:rsidP="00C55EEF">
      <w:pPr>
        <w:adjustRightInd w:val="0"/>
        <w:snapToGrid w:val="0"/>
        <w:spacing w:line="360" w:lineRule="auto"/>
        <w:jc w:val="both"/>
        <w:rPr>
          <w:rFonts w:ascii="Book Antiqua" w:hAnsi="Book Antiqua"/>
        </w:rPr>
      </w:pPr>
      <w:r w:rsidRPr="00E549DC">
        <w:rPr>
          <w:rFonts w:ascii="Book Antiqua" w:eastAsia="Book Antiqua" w:hAnsi="Book Antiqua" w:cs="Book Antiqua"/>
          <w:b/>
          <w:color w:val="000000"/>
        </w:rPr>
        <w:t xml:space="preserve">Manuscript NO: </w:t>
      </w:r>
      <w:r w:rsidRPr="00E549DC">
        <w:rPr>
          <w:rFonts w:ascii="Book Antiqua" w:eastAsia="Book Antiqua" w:hAnsi="Book Antiqua" w:cs="Book Antiqua"/>
          <w:color w:val="000000"/>
        </w:rPr>
        <w:t>62937</w:t>
      </w:r>
    </w:p>
    <w:p w14:paraId="09EAF19F" w14:textId="77777777" w:rsidR="00A77B3E" w:rsidRPr="00E549DC" w:rsidRDefault="00B677D4" w:rsidP="00C55EEF">
      <w:pPr>
        <w:adjustRightInd w:val="0"/>
        <w:snapToGrid w:val="0"/>
        <w:spacing w:line="360" w:lineRule="auto"/>
        <w:jc w:val="both"/>
        <w:rPr>
          <w:rFonts w:ascii="Book Antiqua" w:hAnsi="Book Antiqua"/>
        </w:rPr>
      </w:pPr>
      <w:r w:rsidRPr="00E549DC">
        <w:rPr>
          <w:rFonts w:ascii="Book Antiqua" w:eastAsia="Book Antiqua" w:hAnsi="Book Antiqua" w:cs="Book Antiqua"/>
          <w:b/>
          <w:color w:val="000000"/>
        </w:rPr>
        <w:t xml:space="preserve">Manuscript Type: </w:t>
      </w:r>
      <w:r w:rsidRPr="00E549DC">
        <w:rPr>
          <w:rFonts w:ascii="Book Antiqua" w:eastAsia="Book Antiqua" w:hAnsi="Book Antiqua" w:cs="Book Antiqua"/>
          <w:color w:val="000000"/>
        </w:rPr>
        <w:t>META-ANALYSIS</w:t>
      </w:r>
    </w:p>
    <w:p w14:paraId="15440B66" w14:textId="77777777" w:rsidR="00A77B3E" w:rsidRPr="00E549DC" w:rsidRDefault="00A77B3E" w:rsidP="00C55EEF">
      <w:pPr>
        <w:adjustRightInd w:val="0"/>
        <w:snapToGrid w:val="0"/>
        <w:spacing w:line="360" w:lineRule="auto"/>
        <w:jc w:val="both"/>
        <w:rPr>
          <w:rFonts w:ascii="Book Antiqua" w:hAnsi="Book Antiqua"/>
        </w:rPr>
      </w:pPr>
    </w:p>
    <w:p w14:paraId="6E760917" w14:textId="77777777" w:rsidR="00A77B3E" w:rsidRPr="00E549DC" w:rsidRDefault="00B677D4" w:rsidP="00C55EEF">
      <w:pPr>
        <w:adjustRightInd w:val="0"/>
        <w:snapToGrid w:val="0"/>
        <w:spacing w:line="360" w:lineRule="auto"/>
        <w:jc w:val="both"/>
        <w:rPr>
          <w:rFonts w:ascii="Book Antiqua" w:hAnsi="Book Antiqua"/>
        </w:rPr>
      </w:pPr>
      <w:bookmarkStart w:id="0" w:name="OLE_LINK2"/>
      <w:r w:rsidRPr="00E549DC">
        <w:rPr>
          <w:rFonts w:ascii="Book Antiqua" w:eastAsia="Book Antiqua" w:hAnsi="Book Antiqua" w:cs="Book Antiqua"/>
          <w:b/>
          <w:bCs/>
          <w:color w:val="000000"/>
        </w:rPr>
        <w:t>Selection of first-line systemic therapies for advanced hepatocellular carcinoma: A network meta-analysis of randomized controlled trials</w:t>
      </w:r>
    </w:p>
    <w:bookmarkEnd w:id="0"/>
    <w:p w14:paraId="4147AAAC" w14:textId="77777777" w:rsidR="00A77B3E" w:rsidRPr="00E549DC" w:rsidRDefault="00A77B3E" w:rsidP="00C55EEF">
      <w:pPr>
        <w:adjustRightInd w:val="0"/>
        <w:snapToGrid w:val="0"/>
        <w:spacing w:line="360" w:lineRule="auto"/>
        <w:jc w:val="both"/>
        <w:rPr>
          <w:rFonts w:ascii="Book Antiqua" w:hAnsi="Book Antiqua"/>
        </w:rPr>
      </w:pPr>
    </w:p>
    <w:p w14:paraId="756B50F0" w14:textId="57256EB2" w:rsidR="00A77B3E" w:rsidRPr="00E549DC" w:rsidRDefault="00651CF8" w:rsidP="00C55EEF">
      <w:pPr>
        <w:adjustRightInd w:val="0"/>
        <w:snapToGrid w:val="0"/>
        <w:spacing w:line="360" w:lineRule="auto"/>
        <w:jc w:val="both"/>
        <w:rPr>
          <w:rFonts w:ascii="Book Antiqua" w:hAnsi="Book Antiqua"/>
        </w:rPr>
      </w:pPr>
      <w:r w:rsidRPr="00E549DC">
        <w:rPr>
          <w:rFonts w:ascii="Book Antiqua" w:eastAsia="Book Antiqua" w:hAnsi="Book Antiqua" w:cs="Book Antiqua"/>
          <w:color w:val="000000"/>
        </w:rPr>
        <w:t xml:space="preserve">Han Y </w:t>
      </w:r>
      <w:r w:rsidRPr="00E549DC">
        <w:rPr>
          <w:rFonts w:ascii="Book Antiqua" w:eastAsia="Book Antiqua" w:hAnsi="Book Antiqua" w:cs="Book Antiqua"/>
          <w:i/>
          <w:color w:val="000000"/>
        </w:rPr>
        <w:t>et al</w:t>
      </w:r>
      <w:r w:rsidRPr="00E549DC">
        <w:rPr>
          <w:rFonts w:ascii="Book Antiqua" w:eastAsia="Book Antiqua" w:hAnsi="Book Antiqua" w:cs="Book Antiqua"/>
          <w:color w:val="000000"/>
        </w:rPr>
        <w:t xml:space="preserve">. </w:t>
      </w:r>
      <w:bookmarkStart w:id="1" w:name="OLE_LINK16"/>
      <w:bookmarkStart w:id="2" w:name="OLE_LINK17"/>
      <w:r w:rsidR="00B677D4" w:rsidRPr="00E549DC">
        <w:rPr>
          <w:rFonts w:ascii="Book Antiqua" w:eastAsia="Book Antiqua" w:hAnsi="Book Antiqua" w:cs="Book Antiqua"/>
          <w:color w:val="000000"/>
        </w:rPr>
        <w:t>First-line therapy for HCC</w:t>
      </w:r>
    </w:p>
    <w:bookmarkEnd w:id="1"/>
    <w:bookmarkEnd w:id="2"/>
    <w:p w14:paraId="310CF9D4" w14:textId="77777777" w:rsidR="00A77B3E" w:rsidRPr="00E549DC" w:rsidRDefault="00A77B3E" w:rsidP="00C55EEF">
      <w:pPr>
        <w:adjustRightInd w:val="0"/>
        <w:snapToGrid w:val="0"/>
        <w:spacing w:line="360" w:lineRule="auto"/>
        <w:jc w:val="both"/>
        <w:rPr>
          <w:rFonts w:ascii="Book Antiqua" w:hAnsi="Book Antiqua"/>
        </w:rPr>
      </w:pPr>
    </w:p>
    <w:p w14:paraId="59D9108E" w14:textId="77777777" w:rsidR="00A77B3E" w:rsidRPr="00E549DC" w:rsidRDefault="00B677D4" w:rsidP="00C55EEF">
      <w:pPr>
        <w:adjustRightInd w:val="0"/>
        <w:snapToGrid w:val="0"/>
        <w:spacing w:line="360" w:lineRule="auto"/>
        <w:jc w:val="both"/>
        <w:rPr>
          <w:rFonts w:ascii="Book Antiqua" w:hAnsi="Book Antiqua"/>
        </w:rPr>
      </w:pPr>
      <w:r w:rsidRPr="00E549DC">
        <w:rPr>
          <w:rFonts w:ascii="Book Antiqua" w:eastAsia="Book Antiqua" w:hAnsi="Book Antiqua" w:cs="Book Antiqua"/>
          <w:color w:val="000000"/>
        </w:rPr>
        <w:t>Yue Han, Wei-Hua Zhi, Fei Xu, Chen-Bo Zhang, Xiao-Qian Huang, Jian-Feng Luo</w:t>
      </w:r>
    </w:p>
    <w:p w14:paraId="775D0FEB" w14:textId="77777777" w:rsidR="00A77B3E" w:rsidRPr="00E549DC" w:rsidRDefault="00A77B3E" w:rsidP="00C55EEF">
      <w:pPr>
        <w:adjustRightInd w:val="0"/>
        <w:snapToGrid w:val="0"/>
        <w:spacing w:line="360" w:lineRule="auto"/>
        <w:jc w:val="both"/>
        <w:rPr>
          <w:rFonts w:ascii="Book Antiqua" w:hAnsi="Book Antiqua"/>
        </w:rPr>
      </w:pPr>
    </w:p>
    <w:p w14:paraId="48389FA2" w14:textId="0C17D897" w:rsidR="00A77B3E" w:rsidRPr="00E549DC" w:rsidRDefault="00B677D4" w:rsidP="00C55EEF">
      <w:pPr>
        <w:adjustRightInd w:val="0"/>
        <w:snapToGrid w:val="0"/>
        <w:spacing w:line="360" w:lineRule="auto"/>
        <w:jc w:val="both"/>
        <w:rPr>
          <w:rFonts w:ascii="Book Antiqua" w:hAnsi="Book Antiqua"/>
        </w:rPr>
      </w:pPr>
      <w:r w:rsidRPr="00E549DC">
        <w:rPr>
          <w:rFonts w:ascii="Book Antiqua" w:eastAsia="Book Antiqua" w:hAnsi="Book Antiqua" w:cs="Book Antiqua"/>
          <w:b/>
          <w:bCs/>
          <w:color w:val="000000"/>
        </w:rPr>
        <w:t xml:space="preserve">Yue Han, </w:t>
      </w:r>
      <w:r w:rsidR="00DD3EA7" w:rsidRPr="00E549DC">
        <w:rPr>
          <w:rFonts w:ascii="Book Antiqua" w:eastAsia="Book Antiqua" w:hAnsi="Book Antiqua" w:cs="Book Antiqua"/>
          <w:b/>
          <w:bCs/>
          <w:color w:val="000000"/>
        </w:rPr>
        <w:t xml:space="preserve">Wei-Hua Zhi, Fei Xu, </w:t>
      </w:r>
      <w:r w:rsidRPr="00E549DC">
        <w:rPr>
          <w:rFonts w:ascii="Book Antiqua" w:eastAsia="Book Antiqua" w:hAnsi="Book Antiqua" w:cs="Book Antiqua"/>
          <w:color w:val="000000"/>
        </w:rPr>
        <w:t xml:space="preserve">Department of Interventional Therapy, National Cancer Center/National Clinical Research Center for Cancer/Cancer Hospital, Chinese Academy of Medical Sciences and Peking Union Medical College, Beijing </w:t>
      </w:r>
      <w:bookmarkStart w:id="3" w:name="OLE_LINK5"/>
      <w:bookmarkStart w:id="4" w:name="OLE_LINK6"/>
      <w:r w:rsidRPr="00E549DC">
        <w:rPr>
          <w:rFonts w:ascii="Book Antiqua" w:eastAsia="Book Antiqua" w:hAnsi="Book Antiqua" w:cs="Book Antiqua"/>
          <w:color w:val="000000"/>
        </w:rPr>
        <w:t>100021</w:t>
      </w:r>
      <w:bookmarkEnd w:id="3"/>
      <w:bookmarkEnd w:id="4"/>
      <w:r w:rsidRPr="00E549DC">
        <w:rPr>
          <w:rFonts w:ascii="Book Antiqua" w:eastAsia="Book Antiqua" w:hAnsi="Book Antiqua" w:cs="Book Antiqua"/>
          <w:color w:val="000000"/>
        </w:rPr>
        <w:t>, China</w:t>
      </w:r>
    </w:p>
    <w:p w14:paraId="0C7514C3" w14:textId="77777777" w:rsidR="00A77B3E" w:rsidRPr="00E549DC" w:rsidRDefault="00A77B3E" w:rsidP="00C55EEF">
      <w:pPr>
        <w:adjustRightInd w:val="0"/>
        <w:snapToGrid w:val="0"/>
        <w:spacing w:line="360" w:lineRule="auto"/>
        <w:jc w:val="both"/>
        <w:rPr>
          <w:rFonts w:ascii="Book Antiqua" w:hAnsi="Book Antiqua"/>
        </w:rPr>
      </w:pPr>
    </w:p>
    <w:p w14:paraId="02AA320B" w14:textId="77777777" w:rsidR="00A77B3E" w:rsidRPr="00E549DC" w:rsidRDefault="00B677D4" w:rsidP="00C55EEF">
      <w:pPr>
        <w:adjustRightInd w:val="0"/>
        <w:snapToGrid w:val="0"/>
        <w:spacing w:line="360" w:lineRule="auto"/>
        <w:jc w:val="both"/>
        <w:rPr>
          <w:rFonts w:ascii="Book Antiqua" w:hAnsi="Book Antiqua"/>
        </w:rPr>
      </w:pPr>
      <w:r w:rsidRPr="00E549DC">
        <w:rPr>
          <w:rFonts w:ascii="Book Antiqua" w:eastAsia="Book Antiqua" w:hAnsi="Book Antiqua" w:cs="Book Antiqua"/>
          <w:b/>
          <w:bCs/>
          <w:color w:val="000000"/>
        </w:rPr>
        <w:t xml:space="preserve">Chen-Bo Zhang, Xiao-Qian Huang, Jian-Feng Luo, </w:t>
      </w:r>
      <w:r w:rsidRPr="00E549DC">
        <w:rPr>
          <w:rFonts w:ascii="Book Antiqua" w:eastAsia="Book Antiqua" w:hAnsi="Book Antiqua" w:cs="Book Antiqua"/>
          <w:color w:val="000000"/>
        </w:rPr>
        <w:t>Department of Biostatistics, School of Public Health, Fudan University, Shanghai 200034, China</w:t>
      </w:r>
    </w:p>
    <w:p w14:paraId="564E821F" w14:textId="77777777" w:rsidR="00A77B3E" w:rsidRPr="00E549DC" w:rsidRDefault="00A77B3E" w:rsidP="00C55EEF">
      <w:pPr>
        <w:adjustRightInd w:val="0"/>
        <w:snapToGrid w:val="0"/>
        <w:spacing w:line="360" w:lineRule="auto"/>
        <w:jc w:val="both"/>
        <w:rPr>
          <w:rFonts w:ascii="Book Antiqua" w:hAnsi="Book Antiqua"/>
        </w:rPr>
      </w:pPr>
    </w:p>
    <w:p w14:paraId="6999F2A3" w14:textId="480EBF33" w:rsidR="00A77B3E" w:rsidRPr="00E549DC" w:rsidRDefault="00B677D4" w:rsidP="00C55EEF">
      <w:pPr>
        <w:adjustRightInd w:val="0"/>
        <w:snapToGrid w:val="0"/>
        <w:spacing w:line="360" w:lineRule="auto"/>
        <w:jc w:val="both"/>
        <w:rPr>
          <w:rFonts w:ascii="Book Antiqua" w:hAnsi="Book Antiqua"/>
        </w:rPr>
      </w:pPr>
      <w:r w:rsidRPr="00E549DC">
        <w:rPr>
          <w:rFonts w:ascii="Book Antiqua" w:eastAsia="Book Antiqua" w:hAnsi="Book Antiqua" w:cs="Book Antiqua"/>
          <w:b/>
          <w:bCs/>
          <w:color w:val="000000"/>
        </w:rPr>
        <w:t xml:space="preserve">Author contributions: </w:t>
      </w:r>
      <w:r w:rsidR="008029E5" w:rsidRPr="00E549DC">
        <w:rPr>
          <w:rFonts w:ascii="Book Antiqua" w:eastAsia="Book Antiqua" w:hAnsi="Book Antiqua" w:cs="Book Antiqua"/>
          <w:color w:val="000000"/>
        </w:rPr>
        <w:t xml:space="preserve">Han Y, Zhi WH, and Xu F made contributions to the </w:t>
      </w:r>
      <w:r w:rsidR="00332DAF" w:rsidRPr="00E549DC">
        <w:rPr>
          <w:rFonts w:ascii="Book Antiqua" w:eastAsia="Book Antiqua" w:hAnsi="Book Antiqua" w:cs="Book Antiqua"/>
          <w:color w:val="000000"/>
        </w:rPr>
        <w:t>l</w:t>
      </w:r>
      <w:r w:rsidR="008029E5" w:rsidRPr="00E549DC">
        <w:rPr>
          <w:rFonts w:ascii="Book Antiqua" w:eastAsia="Book Antiqua" w:hAnsi="Book Antiqua" w:cs="Book Antiqua"/>
          <w:color w:val="000000"/>
        </w:rPr>
        <w:t xml:space="preserve">iterature search; Zhi WH and Xu F were involved in </w:t>
      </w:r>
      <w:r w:rsidR="007157B3" w:rsidRPr="00E549DC">
        <w:rPr>
          <w:rFonts w:ascii="Book Antiqua" w:eastAsia="Book Antiqua" w:hAnsi="Book Antiqua" w:cs="Book Antiqua"/>
          <w:color w:val="000000"/>
        </w:rPr>
        <w:t>figure preparation</w:t>
      </w:r>
      <w:r w:rsidR="00332DAF" w:rsidRPr="00E549DC">
        <w:rPr>
          <w:rFonts w:ascii="Book Antiqua" w:eastAsia="Book Antiqua" w:hAnsi="Book Antiqua" w:cs="Book Antiqua"/>
          <w:color w:val="000000"/>
        </w:rPr>
        <w:t>;</w:t>
      </w:r>
      <w:r w:rsidR="008029E5" w:rsidRPr="00E549DC">
        <w:rPr>
          <w:rFonts w:ascii="Book Antiqua" w:eastAsia="Book Antiqua" w:hAnsi="Book Antiqua" w:cs="Book Antiqua"/>
          <w:color w:val="000000"/>
        </w:rPr>
        <w:t xml:space="preserve"> Han Y and Luo JF made contributions to the </w:t>
      </w:r>
      <w:r w:rsidR="00332DAF" w:rsidRPr="00E549DC">
        <w:rPr>
          <w:rFonts w:ascii="Book Antiqua" w:eastAsia="Book Antiqua" w:hAnsi="Book Antiqua" w:cs="Book Antiqua"/>
          <w:color w:val="000000"/>
        </w:rPr>
        <w:t>study design</w:t>
      </w:r>
      <w:r w:rsidR="008029E5" w:rsidRPr="00E549DC">
        <w:rPr>
          <w:rFonts w:ascii="Book Antiqua" w:eastAsia="Book Antiqua" w:hAnsi="Book Antiqua" w:cs="Book Antiqua"/>
          <w:color w:val="000000"/>
        </w:rPr>
        <w:t>; Luo JF</w:t>
      </w:r>
      <w:r w:rsidR="00332DAF" w:rsidRPr="00E549DC">
        <w:rPr>
          <w:rFonts w:ascii="Book Antiqua" w:eastAsia="Book Antiqua" w:hAnsi="Book Antiqua" w:cs="Book Antiqua"/>
          <w:color w:val="000000"/>
        </w:rPr>
        <w:t xml:space="preserve"> </w:t>
      </w:r>
      <w:r w:rsidR="008029E5" w:rsidRPr="00E549DC">
        <w:rPr>
          <w:rFonts w:ascii="Book Antiqua" w:eastAsia="Book Antiqua" w:hAnsi="Book Antiqua" w:cs="Book Antiqua"/>
          <w:color w:val="000000"/>
        </w:rPr>
        <w:t xml:space="preserve">and Huang XQ were involved in collecting </w:t>
      </w:r>
      <w:r w:rsidR="007157B3" w:rsidRPr="00E549DC">
        <w:rPr>
          <w:rFonts w:ascii="Book Antiqua" w:eastAsia="Book Antiqua" w:hAnsi="Book Antiqua" w:cs="Book Antiqua"/>
          <w:color w:val="000000"/>
        </w:rPr>
        <w:t xml:space="preserve">the </w:t>
      </w:r>
      <w:r w:rsidR="008029E5" w:rsidRPr="00E549DC">
        <w:rPr>
          <w:rFonts w:ascii="Book Antiqua" w:eastAsia="Book Antiqua" w:hAnsi="Book Antiqua" w:cs="Book Antiqua"/>
          <w:color w:val="000000"/>
        </w:rPr>
        <w:t>data; Luo JF, Huang XQ</w:t>
      </w:r>
      <w:r w:rsidR="007157B3" w:rsidRPr="00E549DC">
        <w:rPr>
          <w:rFonts w:ascii="Book Antiqua" w:eastAsia="Book Antiqua" w:hAnsi="Book Antiqua" w:cs="Book Antiqua"/>
          <w:color w:val="000000"/>
        </w:rPr>
        <w:t>,</w:t>
      </w:r>
      <w:r w:rsidR="008029E5" w:rsidRPr="00E549DC">
        <w:rPr>
          <w:rFonts w:ascii="Book Antiqua" w:eastAsia="Book Antiqua" w:hAnsi="Book Antiqua" w:cs="Book Antiqua"/>
          <w:color w:val="000000"/>
        </w:rPr>
        <w:t xml:space="preserve"> and Zhang CB were involved in </w:t>
      </w:r>
      <w:r w:rsidR="007157B3" w:rsidRPr="00E549DC">
        <w:rPr>
          <w:rFonts w:ascii="Book Antiqua" w:eastAsia="Book Antiqua" w:hAnsi="Book Antiqua" w:cs="Book Antiqua"/>
          <w:color w:val="000000"/>
        </w:rPr>
        <w:t>analyzing the data</w:t>
      </w:r>
      <w:r w:rsidR="008029E5" w:rsidRPr="00E549DC">
        <w:rPr>
          <w:rFonts w:ascii="Book Antiqua" w:eastAsia="Book Antiqua" w:hAnsi="Book Antiqua" w:cs="Book Antiqua"/>
          <w:color w:val="000000"/>
        </w:rPr>
        <w:t>;</w:t>
      </w:r>
      <w:r w:rsidR="00DD3EA7" w:rsidRPr="00E549DC">
        <w:rPr>
          <w:rFonts w:ascii="Book Antiqua" w:eastAsia="Book Antiqua" w:hAnsi="Book Antiqua" w:cs="Book Antiqua"/>
          <w:color w:val="000000"/>
        </w:rPr>
        <w:t xml:space="preserve"> </w:t>
      </w:r>
      <w:r w:rsidRPr="00E549DC">
        <w:rPr>
          <w:rFonts w:ascii="Book Antiqua" w:eastAsia="Book Antiqua" w:hAnsi="Book Antiqua" w:cs="Book Antiqua"/>
          <w:color w:val="000000"/>
        </w:rPr>
        <w:t>Han Y, Luo JF</w:t>
      </w:r>
      <w:r w:rsidR="007157B3" w:rsidRPr="00E549DC">
        <w:rPr>
          <w:rFonts w:ascii="Book Antiqua" w:eastAsia="Book Antiqua" w:hAnsi="Book Antiqua" w:cs="Book Antiqua"/>
          <w:color w:val="000000"/>
        </w:rPr>
        <w:t>,</w:t>
      </w:r>
      <w:r w:rsidR="008029E5" w:rsidRPr="00E549DC">
        <w:rPr>
          <w:rFonts w:ascii="Book Antiqua" w:eastAsia="Book Antiqua" w:hAnsi="Book Antiqua" w:cs="Book Antiqua"/>
          <w:color w:val="000000"/>
        </w:rPr>
        <w:t xml:space="preserve"> and</w:t>
      </w:r>
      <w:r w:rsidRPr="00E549DC">
        <w:rPr>
          <w:rFonts w:ascii="Book Antiqua" w:eastAsia="Book Antiqua" w:hAnsi="Book Antiqua" w:cs="Book Antiqua"/>
          <w:color w:val="000000"/>
        </w:rPr>
        <w:t xml:space="preserve"> Zhi WH</w:t>
      </w:r>
      <w:r w:rsidR="008029E5" w:rsidRPr="00E549DC">
        <w:rPr>
          <w:rFonts w:ascii="Book Antiqua" w:eastAsia="Book Antiqua" w:hAnsi="Book Antiqua" w:cs="Book Antiqua"/>
          <w:color w:val="000000"/>
        </w:rPr>
        <w:t xml:space="preserve"> made contributions to the</w:t>
      </w:r>
      <w:r w:rsidR="00332DAF" w:rsidRPr="00E549DC">
        <w:rPr>
          <w:rFonts w:ascii="Book Antiqua" w:eastAsia="Book Antiqua" w:hAnsi="Book Antiqua" w:cs="Book Antiqua"/>
          <w:color w:val="000000"/>
        </w:rPr>
        <w:t xml:space="preserve"> data i</w:t>
      </w:r>
      <w:r w:rsidR="008029E5" w:rsidRPr="00E549DC">
        <w:rPr>
          <w:rFonts w:ascii="Book Antiqua" w:eastAsia="Book Antiqua" w:hAnsi="Book Antiqua" w:cs="Book Antiqua"/>
          <w:color w:val="000000"/>
        </w:rPr>
        <w:t>nterpretation;</w:t>
      </w:r>
      <w:r w:rsidR="00332DAF" w:rsidRPr="00E549DC">
        <w:rPr>
          <w:rFonts w:ascii="Book Antiqua" w:eastAsia="Book Antiqua" w:hAnsi="Book Antiqua" w:cs="Book Antiqua"/>
          <w:color w:val="000000"/>
        </w:rPr>
        <w:t xml:space="preserve"> Han Y and Zhi WH</w:t>
      </w:r>
      <w:r w:rsidR="007157B3" w:rsidRPr="00E549DC">
        <w:rPr>
          <w:rFonts w:ascii="Book Antiqua" w:eastAsia="Book Antiqua" w:hAnsi="Book Antiqua" w:cs="Book Antiqua"/>
          <w:color w:val="000000"/>
        </w:rPr>
        <w:t xml:space="preserve"> </w:t>
      </w:r>
      <w:r w:rsidR="00332DAF" w:rsidRPr="00E549DC">
        <w:rPr>
          <w:rFonts w:ascii="Book Antiqua" w:eastAsia="Book Antiqua" w:hAnsi="Book Antiqua" w:cs="Book Antiqua"/>
          <w:color w:val="000000"/>
        </w:rPr>
        <w:t xml:space="preserve">were involved in </w:t>
      </w:r>
      <w:r w:rsidR="007157B3" w:rsidRPr="00E549DC">
        <w:rPr>
          <w:rFonts w:ascii="Book Antiqua" w:eastAsia="Book Antiqua" w:hAnsi="Book Antiqua" w:cs="Book Antiqua"/>
          <w:color w:val="000000"/>
        </w:rPr>
        <w:t xml:space="preserve">manuscript </w:t>
      </w:r>
      <w:r w:rsidR="00332DAF" w:rsidRPr="00E549DC">
        <w:rPr>
          <w:rFonts w:ascii="Book Antiqua" w:eastAsia="Book Antiqua" w:hAnsi="Book Antiqua" w:cs="Book Antiqua"/>
          <w:color w:val="000000"/>
        </w:rPr>
        <w:t xml:space="preserve">writing; Zhang CB and Han Y made contributions to the verification of </w:t>
      </w:r>
      <w:r w:rsidR="007157B3" w:rsidRPr="00E549DC">
        <w:rPr>
          <w:rFonts w:ascii="Book Antiqua" w:eastAsia="Book Antiqua" w:hAnsi="Book Antiqua" w:cs="Book Antiqua"/>
          <w:color w:val="000000"/>
        </w:rPr>
        <w:t xml:space="preserve">the </w:t>
      </w:r>
      <w:r w:rsidR="00332DAF" w:rsidRPr="00E549DC">
        <w:rPr>
          <w:rFonts w:ascii="Book Antiqua" w:eastAsia="Book Antiqua" w:hAnsi="Book Antiqua" w:cs="Book Antiqua"/>
          <w:color w:val="000000"/>
        </w:rPr>
        <w:t>data.</w:t>
      </w:r>
    </w:p>
    <w:p w14:paraId="06777082" w14:textId="4A9481F4" w:rsidR="008029E5" w:rsidRPr="00E549DC" w:rsidRDefault="008029E5" w:rsidP="00C55EEF">
      <w:pPr>
        <w:adjustRightInd w:val="0"/>
        <w:snapToGrid w:val="0"/>
        <w:spacing w:line="360" w:lineRule="auto"/>
        <w:jc w:val="both"/>
        <w:rPr>
          <w:rFonts w:ascii="Book Antiqua" w:hAnsi="Book Antiqua" w:cs="Book Antiqua"/>
          <w:color w:val="000000"/>
          <w:lang w:eastAsia="zh-CN"/>
        </w:rPr>
      </w:pPr>
      <w:r w:rsidRPr="00E549DC">
        <w:rPr>
          <w:rFonts w:ascii="Book Antiqua" w:hAnsi="Book Antiqua" w:cs="Book Antiqua"/>
          <w:color w:val="000000"/>
          <w:lang w:eastAsia="zh-CN"/>
        </w:rPr>
        <w:t xml:space="preserve"> </w:t>
      </w:r>
    </w:p>
    <w:p w14:paraId="54E73BA8" w14:textId="2791378B" w:rsidR="00A77B3E" w:rsidRPr="00E549DC" w:rsidRDefault="00B677D4" w:rsidP="00C55EEF">
      <w:pPr>
        <w:adjustRightInd w:val="0"/>
        <w:snapToGrid w:val="0"/>
        <w:spacing w:line="360" w:lineRule="auto"/>
        <w:jc w:val="both"/>
        <w:rPr>
          <w:rFonts w:ascii="Book Antiqua" w:hAnsi="Book Antiqua"/>
        </w:rPr>
      </w:pPr>
      <w:r w:rsidRPr="00E549DC">
        <w:rPr>
          <w:rFonts w:ascii="Book Antiqua" w:eastAsia="Book Antiqua" w:hAnsi="Book Antiqua" w:cs="Book Antiqua"/>
          <w:b/>
          <w:bCs/>
          <w:color w:val="000000"/>
        </w:rPr>
        <w:lastRenderedPageBreak/>
        <w:t xml:space="preserve">Corresponding author: </w:t>
      </w:r>
      <w:bookmarkStart w:id="5" w:name="OLE_LINK1"/>
      <w:r w:rsidRPr="00E549DC">
        <w:rPr>
          <w:rFonts w:ascii="Book Antiqua" w:eastAsia="Book Antiqua" w:hAnsi="Book Antiqua" w:cs="Book Antiqua"/>
          <w:b/>
          <w:bCs/>
          <w:color w:val="000000"/>
        </w:rPr>
        <w:t xml:space="preserve">Yue Han, PhD, Doctor, </w:t>
      </w:r>
      <w:r w:rsidRPr="00E549DC">
        <w:rPr>
          <w:rFonts w:ascii="Book Antiqua" w:eastAsia="Book Antiqua" w:hAnsi="Book Antiqua" w:cs="Book Antiqua"/>
          <w:color w:val="000000"/>
        </w:rPr>
        <w:t xml:space="preserve">Department of Interventional Therapy, National Cancer Center/National Clinical Research Center for Cancer/Cancer Hospital, Chinese Academy of Medical Sciences and Peking Union Medical College, </w:t>
      </w:r>
      <w:r w:rsidR="006B0F97" w:rsidRPr="00E549DC">
        <w:rPr>
          <w:rFonts w:ascii="Book Antiqua" w:eastAsia="Book Antiqua" w:hAnsi="Book Antiqua" w:cs="Book Antiqua"/>
          <w:color w:val="000000"/>
        </w:rPr>
        <w:t xml:space="preserve">No. </w:t>
      </w:r>
      <w:r w:rsidRPr="00E549DC">
        <w:rPr>
          <w:rFonts w:ascii="Book Antiqua" w:eastAsia="Book Antiqua" w:hAnsi="Book Antiqua" w:cs="Book Antiqua"/>
          <w:color w:val="000000"/>
        </w:rPr>
        <w:t>9 Dongdan 3</w:t>
      </w:r>
      <w:r w:rsidRPr="00E549DC">
        <w:rPr>
          <w:rFonts w:ascii="Book Antiqua" w:eastAsia="Book Antiqua" w:hAnsi="Book Antiqua" w:cs="Book Antiqua"/>
          <w:color w:val="000000"/>
          <w:vertAlign w:val="superscript"/>
        </w:rPr>
        <w:t>rd</w:t>
      </w:r>
      <w:r w:rsidRPr="00E549DC">
        <w:rPr>
          <w:rFonts w:ascii="Book Antiqua" w:eastAsia="Book Antiqua" w:hAnsi="Book Antiqua" w:cs="Book Antiqua"/>
          <w:color w:val="000000"/>
        </w:rPr>
        <w:t xml:space="preserve"> Alley, Dongcheng</w:t>
      </w:r>
      <w:r w:rsidR="00D341E4" w:rsidRPr="00E549DC">
        <w:rPr>
          <w:rFonts w:ascii="Book Antiqua" w:eastAsia="Book Antiqua" w:hAnsi="Book Antiqua" w:cs="Book Antiqua"/>
          <w:color w:val="000000"/>
        </w:rPr>
        <w:t xml:space="preserve"> </w:t>
      </w:r>
      <w:r w:rsidR="00D341E4" w:rsidRPr="00E549DC">
        <w:rPr>
          <w:rFonts w:ascii="Book Antiqua" w:eastAsia="Book Antiqua" w:hAnsi="Book Antiqua" w:cs="Book Antiqua"/>
          <w:caps/>
          <w:color w:val="000000"/>
        </w:rPr>
        <w:t>d</w:t>
      </w:r>
      <w:r w:rsidR="00D341E4" w:rsidRPr="00E549DC">
        <w:rPr>
          <w:rFonts w:ascii="Book Antiqua" w:eastAsia="Book Antiqua" w:hAnsi="Book Antiqua" w:cs="Book Antiqua"/>
          <w:color w:val="000000"/>
        </w:rPr>
        <w:t>istrict</w:t>
      </w:r>
      <w:r w:rsidRPr="00E549DC">
        <w:rPr>
          <w:rFonts w:ascii="Book Antiqua" w:eastAsia="Book Antiqua" w:hAnsi="Book Antiqua" w:cs="Book Antiqua"/>
          <w:color w:val="000000"/>
        </w:rPr>
        <w:t>, Beijing 100021, China. doctorhan@163.com</w:t>
      </w:r>
      <w:bookmarkEnd w:id="5"/>
    </w:p>
    <w:p w14:paraId="45E87FFC" w14:textId="77777777" w:rsidR="00A77B3E" w:rsidRPr="00E549DC" w:rsidRDefault="00A77B3E" w:rsidP="00C55EEF">
      <w:pPr>
        <w:adjustRightInd w:val="0"/>
        <w:snapToGrid w:val="0"/>
        <w:spacing w:line="360" w:lineRule="auto"/>
        <w:jc w:val="both"/>
        <w:rPr>
          <w:rFonts w:ascii="Book Antiqua" w:hAnsi="Book Antiqua"/>
        </w:rPr>
      </w:pPr>
    </w:p>
    <w:p w14:paraId="0382CC3B" w14:textId="77777777" w:rsidR="00A77B3E" w:rsidRPr="00E549DC" w:rsidRDefault="00B677D4" w:rsidP="00C55EEF">
      <w:pPr>
        <w:adjustRightInd w:val="0"/>
        <w:snapToGrid w:val="0"/>
        <w:spacing w:line="360" w:lineRule="auto"/>
        <w:jc w:val="both"/>
        <w:rPr>
          <w:rFonts w:ascii="Book Antiqua" w:hAnsi="Book Antiqua"/>
        </w:rPr>
      </w:pPr>
      <w:r w:rsidRPr="00E549DC">
        <w:rPr>
          <w:rFonts w:ascii="Book Antiqua" w:eastAsia="Book Antiqua" w:hAnsi="Book Antiqua" w:cs="Book Antiqua"/>
          <w:b/>
          <w:bCs/>
          <w:color w:val="000000"/>
        </w:rPr>
        <w:t xml:space="preserve">Received: </w:t>
      </w:r>
      <w:r w:rsidRPr="00E549DC">
        <w:rPr>
          <w:rFonts w:ascii="Book Antiqua" w:eastAsia="Book Antiqua" w:hAnsi="Book Antiqua" w:cs="Book Antiqua"/>
          <w:color w:val="000000"/>
        </w:rPr>
        <w:t>January 26, 2021</w:t>
      </w:r>
    </w:p>
    <w:p w14:paraId="4BE19334" w14:textId="77777777" w:rsidR="00A77B3E" w:rsidRPr="00E549DC" w:rsidRDefault="00B677D4" w:rsidP="00C55EEF">
      <w:pPr>
        <w:adjustRightInd w:val="0"/>
        <w:snapToGrid w:val="0"/>
        <w:spacing w:line="360" w:lineRule="auto"/>
        <w:jc w:val="both"/>
        <w:rPr>
          <w:rFonts w:ascii="Book Antiqua" w:hAnsi="Book Antiqua"/>
        </w:rPr>
      </w:pPr>
      <w:r w:rsidRPr="00E549DC">
        <w:rPr>
          <w:rFonts w:ascii="Book Antiqua" w:eastAsia="Book Antiqua" w:hAnsi="Book Antiqua" w:cs="Book Antiqua"/>
          <w:b/>
          <w:bCs/>
          <w:color w:val="000000"/>
        </w:rPr>
        <w:t xml:space="preserve">Revised: </w:t>
      </w:r>
      <w:r w:rsidRPr="00E549DC">
        <w:rPr>
          <w:rFonts w:ascii="Book Antiqua" w:eastAsia="Book Antiqua" w:hAnsi="Book Antiqua" w:cs="Book Antiqua"/>
          <w:color w:val="000000"/>
        </w:rPr>
        <w:t>March 10, 2021</w:t>
      </w:r>
    </w:p>
    <w:p w14:paraId="27D90C55" w14:textId="6F89B65F" w:rsidR="00A77B3E" w:rsidRPr="00E549DC" w:rsidRDefault="00B677D4" w:rsidP="00C55EEF">
      <w:pPr>
        <w:adjustRightInd w:val="0"/>
        <w:snapToGrid w:val="0"/>
        <w:spacing w:line="360" w:lineRule="auto"/>
        <w:jc w:val="both"/>
        <w:rPr>
          <w:rFonts w:ascii="Book Antiqua" w:hAnsi="Book Antiqua"/>
        </w:rPr>
      </w:pPr>
      <w:r w:rsidRPr="00E549DC">
        <w:rPr>
          <w:rFonts w:ascii="Book Antiqua" w:eastAsia="Book Antiqua" w:hAnsi="Book Antiqua" w:cs="Book Antiqua"/>
          <w:b/>
          <w:bCs/>
          <w:color w:val="000000"/>
        </w:rPr>
        <w:t xml:space="preserve">Accepted: </w:t>
      </w:r>
      <w:r w:rsidR="007B7AB6" w:rsidRPr="00E549DC">
        <w:rPr>
          <w:rFonts w:ascii="Book Antiqua" w:eastAsia="Book Antiqua" w:hAnsi="Book Antiqua" w:cs="Book Antiqua"/>
          <w:color w:val="000000"/>
        </w:rPr>
        <w:t>April 21, 2021</w:t>
      </w:r>
    </w:p>
    <w:p w14:paraId="4CBAD592" w14:textId="01EC57F0" w:rsidR="00A77B3E" w:rsidRPr="00E549DC" w:rsidRDefault="00B677D4" w:rsidP="00C55EEF">
      <w:pPr>
        <w:adjustRightInd w:val="0"/>
        <w:snapToGrid w:val="0"/>
        <w:spacing w:line="360" w:lineRule="auto"/>
        <w:jc w:val="both"/>
        <w:rPr>
          <w:rFonts w:ascii="Book Antiqua" w:hAnsi="Book Antiqua"/>
          <w:lang w:eastAsia="zh-CN"/>
        </w:rPr>
      </w:pPr>
      <w:r w:rsidRPr="00E549DC">
        <w:rPr>
          <w:rFonts w:ascii="Book Antiqua" w:eastAsia="Book Antiqua" w:hAnsi="Book Antiqua" w:cs="Book Antiqua"/>
          <w:b/>
          <w:bCs/>
          <w:color w:val="000000"/>
        </w:rPr>
        <w:t xml:space="preserve">Published online: </w:t>
      </w:r>
      <w:r w:rsidR="00FB2F2E" w:rsidRPr="00E549DC">
        <w:rPr>
          <w:rFonts w:ascii="Book Antiqua" w:hAnsi="Book Antiqua"/>
          <w:color w:val="000000"/>
          <w:shd w:val="clear" w:color="auto" w:fill="FFFFFF"/>
        </w:rPr>
        <w:t>May 21</w:t>
      </w:r>
      <w:r w:rsidR="00FB2F2E" w:rsidRPr="00E549DC">
        <w:rPr>
          <w:rFonts w:ascii="Book Antiqua" w:hAnsi="Book Antiqua" w:hint="eastAsia"/>
          <w:color w:val="000000"/>
          <w:shd w:val="clear" w:color="auto" w:fill="FFFFFF"/>
          <w:lang w:eastAsia="zh-CN"/>
        </w:rPr>
        <w:t>, 2021</w:t>
      </w:r>
    </w:p>
    <w:p w14:paraId="36A020D3" w14:textId="77777777" w:rsidR="00A77B3E" w:rsidRPr="00E549DC" w:rsidRDefault="00A77B3E" w:rsidP="00C55EEF">
      <w:pPr>
        <w:adjustRightInd w:val="0"/>
        <w:snapToGrid w:val="0"/>
        <w:spacing w:line="360" w:lineRule="auto"/>
        <w:jc w:val="both"/>
        <w:rPr>
          <w:rFonts w:ascii="Book Antiqua" w:hAnsi="Book Antiqua"/>
        </w:rPr>
        <w:sectPr w:rsidR="00A77B3E" w:rsidRPr="00E549DC" w:rsidSect="00651CF8">
          <w:footerReference w:type="default" r:id="rId8"/>
          <w:type w:val="continuous"/>
          <w:pgSz w:w="12240" w:h="15840"/>
          <w:pgMar w:top="1440" w:right="1800" w:bottom="1440" w:left="1800" w:header="720" w:footer="720" w:gutter="0"/>
          <w:cols w:space="720"/>
          <w:docGrid w:linePitch="360"/>
        </w:sectPr>
      </w:pPr>
    </w:p>
    <w:p w14:paraId="38180FE0" w14:textId="521491B5" w:rsidR="00A77B3E" w:rsidRPr="00E549DC" w:rsidRDefault="00651CF8" w:rsidP="00C55EEF">
      <w:pPr>
        <w:adjustRightInd w:val="0"/>
        <w:snapToGrid w:val="0"/>
        <w:spacing w:line="360" w:lineRule="auto"/>
        <w:jc w:val="both"/>
        <w:rPr>
          <w:rFonts w:ascii="Book Antiqua" w:hAnsi="Book Antiqua"/>
        </w:rPr>
      </w:pPr>
      <w:r w:rsidRPr="00E549DC">
        <w:rPr>
          <w:rFonts w:ascii="Book Antiqua" w:eastAsia="Book Antiqua" w:hAnsi="Book Antiqua" w:cs="Book Antiqua"/>
          <w:b/>
          <w:color w:val="000000"/>
        </w:rPr>
        <w:lastRenderedPageBreak/>
        <w:br w:type="page"/>
      </w:r>
      <w:r w:rsidR="00B677D4" w:rsidRPr="00E549DC">
        <w:rPr>
          <w:rFonts w:ascii="Book Antiqua" w:eastAsia="Book Antiqua" w:hAnsi="Book Antiqua" w:cs="Book Antiqua"/>
          <w:b/>
          <w:color w:val="000000"/>
        </w:rPr>
        <w:lastRenderedPageBreak/>
        <w:t>Abstract</w:t>
      </w:r>
    </w:p>
    <w:p w14:paraId="0E25DA52" w14:textId="77777777" w:rsidR="00A77B3E" w:rsidRPr="00E549DC" w:rsidRDefault="00B677D4" w:rsidP="00C55EEF">
      <w:pPr>
        <w:adjustRightInd w:val="0"/>
        <w:snapToGrid w:val="0"/>
        <w:spacing w:line="360" w:lineRule="auto"/>
        <w:jc w:val="both"/>
        <w:rPr>
          <w:rFonts w:ascii="Book Antiqua" w:hAnsi="Book Antiqua"/>
        </w:rPr>
      </w:pPr>
      <w:r w:rsidRPr="00E549DC">
        <w:rPr>
          <w:rFonts w:ascii="Book Antiqua" w:eastAsia="Book Antiqua" w:hAnsi="Book Antiqua" w:cs="Book Antiqua"/>
          <w:color w:val="000000"/>
        </w:rPr>
        <w:t>BACKGROUND</w:t>
      </w:r>
    </w:p>
    <w:p w14:paraId="5D353C60" w14:textId="78C9D1DA" w:rsidR="00A77B3E" w:rsidRPr="00E549DC" w:rsidRDefault="00B677D4" w:rsidP="00C55EEF">
      <w:pPr>
        <w:adjustRightInd w:val="0"/>
        <w:snapToGrid w:val="0"/>
        <w:spacing w:line="360" w:lineRule="auto"/>
        <w:jc w:val="both"/>
        <w:rPr>
          <w:rFonts w:ascii="Book Antiqua" w:hAnsi="Book Antiqua"/>
        </w:rPr>
      </w:pPr>
      <w:r w:rsidRPr="00E549DC">
        <w:rPr>
          <w:rFonts w:ascii="Book Antiqua" w:eastAsia="Book Antiqua" w:hAnsi="Book Antiqua" w:cs="Book Antiqua"/>
          <w:color w:val="000000"/>
        </w:rPr>
        <w:t xml:space="preserve">The majority of clinical trials </w:t>
      </w:r>
      <w:r w:rsidR="007157B3" w:rsidRPr="00E549DC">
        <w:rPr>
          <w:rFonts w:ascii="Book Antiqua" w:eastAsia="Book Antiqua" w:hAnsi="Book Antiqua" w:cs="Book Antiqua"/>
          <w:color w:val="000000"/>
        </w:rPr>
        <w:t xml:space="preserve">of </w:t>
      </w:r>
      <w:r w:rsidRPr="00E549DC">
        <w:rPr>
          <w:rFonts w:ascii="Book Antiqua" w:eastAsia="Book Antiqua" w:hAnsi="Book Antiqua" w:cs="Book Antiqua"/>
          <w:color w:val="000000"/>
        </w:rPr>
        <w:t>first-line</w:t>
      </w:r>
      <w:r w:rsidR="007157B3" w:rsidRPr="00E549DC">
        <w:rPr>
          <w:rFonts w:ascii="Book Antiqua" w:eastAsia="Book Antiqua" w:hAnsi="Book Antiqua" w:cs="Book Antiqua"/>
          <w:color w:val="000000"/>
        </w:rPr>
        <w:t xml:space="preserve"> systemic treatments for</w:t>
      </w:r>
      <w:r w:rsidRPr="00E549DC">
        <w:rPr>
          <w:rFonts w:ascii="Book Antiqua" w:eastAsia="Book Antiqua" w:hAnsi="Book Antiqua" w:cs="Book Antiqua"/>
          <w:color w:val="000000"/>
        </w:rPr>
        <w:t xml:space="preserve"> hepatocellular carcinoma (HCC) used placebo or sorafenib as comparators, and there are limited data providing a cross comparison of treatments in this setting, especially for newly-approved immune checkpoint inhibitor and </w:t>
      </w:r>
      <w:r w:rsidR="00A5153A" w:rsidRPr="00E549DC">
        <w:rPr>
          <w:rFonts w:ascii="Book Antiqua" w:eastAsia="Book Antiqua" w:hAnsi="Book Antiqua" w:cs="Book Antiqua"/>
          <w:color w:val="000000"/>
        </w:rPr>
        <w:t>vascular endothelial growth factor</w:t>
      </w:r>
      <w:r w:rsidRPr="00E549DC">
        <w:rPr>
          <w:rFonts w:ascii="Book Antiqua" w:eastAsia="Book Antiqua" w:hAnsi="Book Antiqua" w:cs="Book Antiqua"/>
          <w:color w:val="000000"/>
        </w:rPr>
        <w:t xml:space="preserve"> inhibitor combination treatments.</w:t>
      </w:r>
    </w:p>
    <w:p w14:paraId="5E5A1EBE" w14:textId="77777777" w:rsidR="00A77B3E" w:rsidRPr="00E549DC" w:rsidRDefault="00A77B3E" w:rsidP="00C55EEF">
      <w:pPr>
        <w:adjustRightInd w:val="0"/>
        <w:snapToGrid w:val="0"/>
        <w:spacing w:line="360" w:lineRule="auto"/>
        <w:jc w:val="both"/>
        <w:rPr>
          <w:rFonts w:ascii="Book Antiqua" w:hAnsi="Book Antiqua"/>
        </w:rPr>
      </w:pPr>
    </w:p>
    <w:p w14:paraId="425A4021" w14:textId="77777777" w:rsidR="00A77B3E" w:rsidRPr="00E549DC" w:rsidRDefault="00B677D4" w:rsidP="00C55EEF">
      <w:pPr>
        <w:adjustRightInd w:val="0"/>
        <w:snapToGrid w:val="0"/>
        <w:spacing w:line="360" w:lineRule="auto"/>
        <w:jc w:val="both"/>
        <w:rPr>
          <w:rFonts w:ascii="Book Antiqua" w:hAnsi="Book Antiqua"/>
        </w:rPr>
      </w:pPr>
      <w:r w:rsidRPr="00E549DC">
        <w:rPr>
          <w:rFonts w:ascii="Book Antiqua" w:eastAsia="Book Antiqua" w:hAnsi="Book Antiqua" w:cs="Book Antiqua"/>
          <w:color w:val="000000"/>
        </w:rPr>
        <w:t>AIM</w:t>
      </w:r>
    </w:p>
    <w:p w14:paraId="1B5B1B6A" w14:textId="77777777" w:rsidR="00A77B3E" w:rsidRPr="00E549DC" w:rsidRDefault="00B677D4" w:rsidP="00C55EEF">
      <w:pPr>
        <w:adjustRightInd w:val="0"/>
        <w:snapToGrid w:val="0"/>
        <w:spacing w:line="360" w:lineRule="auto"/>
        <w:jc w:val="both"/>
        <w:rPr>
          <w:rFonts w:ascii="Book Antiqua" w:hAnsi="Book Antiqua"/>
        </w:rPr>
      </w:pPr>
      <w:r w:rsidRPr="00E549DC">
        <w:rPr>
          <w:rFonts w:ascii="Book Antiqua" w:eastAsia="Book Antiqua" w:hAnsi="Book Antiqua" w:cs="Book Antiqua"/>
          <w:color w:val="000000"/>
        </w:rPr>
        <w:t>To systematically review and compare response rates, survival outcomes, and safety of first-line systemic therapies for advanced hepatocellular carcinoma.</w:t>
      </w:r>
    </w:p>
    <w:p w14:paraId="11377ACA" w14:textId="77777777" w:rsidR="00A77B3E" w:rsidRPr="00E549DC" w:rsidRDefault="00A77B3E" w:rsidP="00C55EEF">
      <w:pPr>
        <w:adjustRightInd w:val="0"/>
        <w:snapToGrid w:val="0"/>
        <w:spacing w:line="360" w:lineRule="auto"/>
        <w:jc w:val="both"/>
        <w:rPr>
          <w:rFonts w:ascii="Book Antiqua" w:hAnsi="Book Antiqua"/>
        </w:rPr>
      </w:pPr>
    </w:p>
    <w:p w14:paraId="186E6396" w14:textId="77777777" w:rsidR="00A77B3E" w:rsidRPr="00E549DC" w:rsidRDefault="00B677D4" w:rsidP="00C55EEF">
      <w:pPr>
        <w:adjustRightInd w:val="0"/>
        <w:snapToGrid w:val="0"/>
        <w:spacing w:line="360" w:lineRule="auto"/>
        <w:jc w:val="both"/>
        <w:rPr>
          <w:rFonts w:ascii="Book Antiqua" w:hAnsi="Book Antiqua"/>
        </w:rPr>
      </w:pPr>
      <w:r w:rsidRPr="00E549DC">
        <w:rPr>
          <w:rFonts w:ascii="Book Antiqua" w:eastAsia="Book Antiqua" w:hAnsi="Book Antiqua" w:cs="Book Antiqua"/>
          <w:color w:val="000000"/>
        </w:rPr>
        <w:t>METHODS</w:t>
      </w:r>
    </w:p>
    <w:p w14:paraId="5DEF40EA" w14:textId="08D280F0" w:rsidR="00A77B3E" w:rsidRPr="00E549DC" w:rsidRDefault="00B677D4" w:rsidP="00C55EEF">
      <w:pPr>
        <w:adjustRightInd w:val="0"/>
        <w:snapToGrid w:val="0"/>
        <w:spacing w:line="360" w:lineRule="auto"/>
        <w:jc w:val="both"/>
        <w:rPr>
          <w:rFonts w:ascii="Book Antiqua" w:hAnsi="Book Antiqua"/>
        </w:rPr>
      </w:pPr>
      <w:r w:rsidRPr="00E549DC">
        <w:rPr>
          <w:rFonts w:ascii="Book Antiqua" w:eastAsia="Book Antiqua" w:hAnsi="Book Antiqua" w:cs="Book Antiqua"/>
          <w:color w:val="000000"/>
        </w:rPr>
        <w:t xml:space="preserve">We searched PubMed, Science Direct, the Cochrane Database, Excerpta Medica Database, and abstracts from the </w:t>
      </w:r>
      <w:r w:rsidR="00A5153A" w:rsidRPr="00E549DC">
        <w:rPr>
          <w:rFonts w:ascii="Book Antiqua" w:eastAsia="Book Antiqua" w:hAnsi="Book Antiqua" w:cs="Book Antiqua"/>
          <w:color w:val="000000"/>
        </w:rPr>
        <w:t>American Society of Clinical Oncology</w:t>
      </w:r>
      <w:r w:rsidRPr="00E549DC">
        <w:rPr>
          <w:rFonts w:ascii="Book Antiqua" w:eastAsia="Book Antiqua" w:hAnsi="Book Antiqua" w:cs="Book Antiqua"/>
          <w:color w:val="000000"/>
        </w:rPr>
        <w:t xml:space="preserve"> 2020 annual congress. Eligible studies were randomized controlled trials of systemic therapy enrolling adults with advanced/unresectable HCC. Risk of bias was assessed with the Cochrane risk of bias tool for randomized controlled trials. A network meta-analysis was used to synthesize data and perform direct and indirect co</w:t>
      </w:r>
      <w:r w:rsidR="008B736D" w:rsidRPr="00E549DC">
        <w:rPr>
          <w:rFonts w:ascii="Book Antiqua" w:eastAsia="Book Antiqua" w:hAnsi="Book Antiqua" w:cs="Book Antiqua"/>
          <w:color w:val="000000"/>
        </w:rPr>
        <w:t xml:space="preserve">mparisons between treatments. </w:t>
      </w:r>
      <w:r w:rsidR="008B736D" w:rsidRPr="00E549DC">
        <w:rPr>
          <w:rFonts w:ascii="Book Antiqua" w:eastAsia="Book Antiqua" w:hAnsi="Book Antiqua" w:cs="Book Antiqua"/>
          <w:i/>
          <w:color w:val="000000"/>
        </w:rPr>
        <w:t>P</w:t>
      </w:r>
      <w:r w:rsidR="008B736D" w:rsidRPr="00E549DC">
        <w:rPr>
          <w:rFonts w:ascii="Book Antiqua" w:eastAsia="Book Antiqua" w:hAnsi="Book Antiqua" w:cs="Book Antiqua"/>
          <w:color w:val="000000"/>
        </w:rPr>
        <w:t xml:space="preserve"> value</w:t>
      </w:r>
      <w:r w:rsidRPr="00E549DC">
        <w:rPr>
          <w:rFonts w:ascii="Book Antiqua" w:eastAsia="Book Antiqua" w:hAnsi="Book Antiqua" w:cs="Book Antiqua"/>
          <w:color w:val="000000"/>
        </w:rPr>
        <w:t>, a frequentist analog to the surface under the cumulative ranking curve, was used to rank treatments.</w:t>
      </w:r>
    </w:p>
    <w:p w14:paraId="3E9A3F87" w14:textId="77777777" w:rsidR="00A77B3E" w:rsidRPr="00E549DC" w:rsidRDefault="00A77B3E" w:rsidP="00C55EEF">
      <w:pPr>
        <w:adjustRightInd w:val="0"/>
        <w:snapToGrid w:val="0"/>
        <w:spacing w:line="360" w:lineRule="auto"/>
        <w:jc w:val="both"/>
        <w:rPr>
          <w:rFonts w:ascii="Book Antiqua" w:hAnsi="Book Antiqua"/>
        </w:rPr>
      </w:pPr>
    </w:p>
    <w:p w14:paraId="3E83F4CF" w14:textId="77777777" w:rsidR="00A77B3E" w:rsidRPr="00E549DC" w:rsidRDefault="00B677D4" w:rsidP="00C55EEF">
      <w:pPr>
        <w:adjustRightInd w:val="0"/>
        <w:snapToGrid w:val="0"/>
        <w:spacing w:line="360" w:lineRule="auto"/>
        <w:jc w:val="both"/>
        <w:rPr>
          <w:rFonts w:ascii="Book Antiqua" w:hAnsi="Book Antiqua"/>
        </w:rPr>
      </w:pPr>
      <w:r w:rsidRPr="00E549DC">
        <w:rPr>
          <w:rFonts w:ascii="Book Antiqua" w:eastAsia="Book Antiqua" w:hAnsi="Book Antiqua" w:cs="Book Antiqua"/>
          <w:color w:val="000000"/>
        </w:rPr>
        <w:t>RESULTS</w:t>
      </w:r>
    </w:p>
    <w:p w14:paraId="67539013" w14:textId="69061191" w:rsidR="00A77B3E" w:rsidRPr="00E549DC" w:rsidRDefault="00B677D4" w:rsidP="00C55EEF">
      <w:pPr>
        <w:adjustRightInd w:val="0"/>
        <w:snapToGrid w:val="0"/>
        <w:spacing w:line="360" w:lineRule="auto"/>
        <w:jc w:val="both"/>
        <w:rPr>
          <w:rFonts w:ascii="Book Antiqua" w:hAnsi="Book Antiqua"/>
        </w:rPr>
      </w:pPr>
      <w:r w:rsidRPr="00E549DC">
        <w:rPr>
          <w:rFonts w:ascii="Book Antiqua" w:eastAsia="Book Antiqua" w:hAnsi="Book Antiqua" w:cs="Book Antiqua"/>
          <w:color w:val="000000"/>
        </w:rPr>
        <w:t>In total, 1398 articles were screened and 27 included. Treatments compared were atezolizumab plus bevacizumab, brivanib, donafenib, dovitinib, FOLFOX4, lenvatinib, linifanib, nintedanib, nivolumab, sorafenib, sunitinib, vandetanib, 11 sorafenib combination therapies</w:t>
      </w:r>
      <w:r w:rsidR="007157B3" w:rsidRPr="00E549DC">
        <w:rPr>
          <w:rFonts w:ascii="Book Antiqua" w:eastAsia="Book Antiqua" w:hAnsi="Book Antiqua" w:cs="Book Antiqua"/>
          <w:color w:val="000000"/>
        </w:rPr>
        <w:t>,</w:t>
      </w:r>
      <w:r w:rsidRPr="00E549DC">
        <w:rPr>
          <w:rFonts w:ascii="Book Antiqua" w:eastAsia="Book Antiqua" w:hAnsi="Book Antiqua" w:cs="Book Antiqua"/>
          <w:color w:val="000000"/>
        </w:rPr>
        <w:t xml:space="preserve"> and three other combination therapies. For overall response rate, lenvatinib ranked 1/19, followed by atezolizumab plus </w:t>
      </w:r>
      <w:r w:rsidRPr="00E549DC">
        <w:rPr>
          <w:rFonts w:ascii="Book Antiqua" w:eastAsia="Book Antiqua" w:hAnsi="Book Antiqua" w:cs="Book Antiqua"/>
          <w:color w:val="000000"/>
        </w:rPr>
        <w:lastRenderedPageBreak/>
        <w:t>bevacizumab and nivolumab. For progression-free survival (PFS), atezolizumab + bevacizumab was ranked 1/15, followed by lenvatinib. With the exception of atezolizumab + bevacizumab [hazard ratios (HR)</w:t>
      </w:r>
      <w:r w:rsidRPr="00E549DC">
        <w:rPr>
          <w:rFonts w:ascii="Book Antiqua" w:eastAsia="Book Antiqua" w:hAnsi="Book Antiqua" w:cs="Book Antiqua"/>
          <w:color w:val="000000"/>
          <w:vertAlign w:val="subscript"/>
        </w:rPr>
        <w:t>PFS</w:t>
      </w:r>
      <w:r w:rsidRPr="00E549DC">
        <w:rPr>
          <w:rFonts w:ascii="Book Antiqua" w:eastAsia="Book Antiqua" w:hAnsi="Book Antiqua" w:cs="Book Antiqua"/>
          <w:color w:val="000000"/>
        </w:rPr>
        <w:t xml:space="preserve"> = 0.9</w:t>
      </w:r>
      <w:r w:rsidR="00C55EEF" w:rsidRPr="00E549DC">
        <w:rPr>
          <w:rFonts w:ascii="Book Antiqua" w:eastAsia="Book Antiqua" w:hAnsi="Book Antiqua" w:cs="Book Antiqua"/>
          <w:color w:val="000000"/>
        </w:rPr>
        <w:t>0; 95% confidence interval (CI):</w:t>
      </w:r>
      <w:r w:rsidRPr="00E549DC">
        <w:rPr>
          <w:rFonts w:ascii="Book Antiqua" w:eastAsia="Book Antiqua" w:hAnsi="Book Antiqua" w:cs="Book Antiqua"/>
          <w:color w:val="000000"/>
        </w:rPr>
        <w:t xml:space="preserve"> 0.64</w:t>
      </w:r>
      <w:r w:rsidR="00ED1E51" w:rsidRPr="00E549DC">
        <w:rPr>
          <w:rFonts w:ascii="Book Antiqua" w:eastAsia="Book Antiqua" w:hAnsi="Book Antiqua" w:cs="Book Antiqua"/>
          <w:color w:val="000000"/>
        </w:rPr>
        <w:t>-</w:t>
      </w:r>
      <w:r w:rsidRPr="00E549DC">
        <w:rPr>
          <w:rFonts w:ascii="Book Antiqua" w:eastAsia="Book Antiqua" w:hAnsi="Book Antiqua" w:cs="Book Antiqua"/>
          <w:color w:val="000000"/>
        </w:rPr>
        <w:t xml:space="preserve">1.25], the estimated HRs for PFS for all included treatments </w:t>
      </w:r>
      <w:r w:rsidRPr="00E549DC">
        <w:rPr>
          <w:rFonts w:ascii="Book Antiqua" w:eastAsia="Book Antiqua" w:hAnsi="Book Antiqua" w:cs="Book Antiqua"/>
          <w:i/>
          <w:iCs/>
          <w:color w:val="000000"/>
        </w:rPr>
        <w:t>vs</w:t>
      </w:r>
      <w:r w:rsidRPr="00E549DC">
        <w:rPr>
          <w:rFonts w:ascii="Book Antiqua" w:eastAsia="Book Antiqua" w:hAnsi="Book Antiqua" w:cs="Book Antiqua"/>
          <w:color w:val="000000"/>
        </w:rPr>
        <w:t xml:space="preserve"> lenvatinib were &gt; 1; however, the associated 95%CI passed through unity for bevacizumab plus erlotinib, linifanib, and FOLFOX4. For overall survival, atezolizumab plus bevacizumab was ranked 1/25, followed by vandetanib 100 mg/d and donafinib, with lenvatinib ranked 6/25. Atezolizumab + bevacizumab was associated with a lower risk of death </w:t>
      </w:r>
      <w:r w:rsidRPr="00E549DC">
        <w:rPr>
          <w:rFonts w:ascii="Book Antiqua" w:eastAsia="Book Antiqua" w:hAnsi="Book Antiqua" w:cs="Book Antiqua"/>
          <w:i/>
          <w:iCs/>
          <w:color w:val="000000"/>
        </w:rPr>
        <w:t>vs</w:t>
      </w:r>
      <w:r w:rsidRPr="00E549DC">
        <w:rPr>
          <w:rFonts w:ascii="Book Antiqua" w:eastAsia="Book Antiqua" w:hAnsi="Book Antiqua" w:cs="Book Antiqua"/>
          <w:color w:val="000000"/>
        </w:rPr>
        <w:t xml:space="preserve"> lenvatinib (HR</w:t>
      </w:r>
      <w:r w:rsidRPr="00E549DC">
        <w:rPr>
          <w:rFonts w:ascii="Book Antiqua" w:eastAsia="Book Antiqua" w:hAnsi="Book Antiqua" w:cs="Book Antiqua"/>
          <w:color w:val="000000"/>
          <w:vertAlign w:val="subscript"/>
        </w:rPr>
        <w:t>os</w:t>
      </w:r>
      <w:r w:rsidR="00C55EEF" w:rsidRPr="00E549DC">
        <w:rPr>
          <w:rFonts w:ascii="Book Antiqua" w:eastAsia="Book Antiqua" w:hAnsi="Book Antiqua" w:cs="Book Antiqua"/>
          <w:color w:val="000000"/>
        </w:rPr>
        <w:t xml:space="preserve"> = 0.63; 95%CI:</w:t>
      </w:r>
      <w:r w:rsidRPr="00E549DC">
        <w:rPr>
          <w:rFonts w:ascii="Book Antiqua" w:eastAsia="Book Antiqua" w:hAnsi="Book Antiqua" w:cs="Book Antiqua"/>
          <w:color w:val="000000"/>
        </w:rPr>
        <w:t xml:space="preserve"> 0.44</w:t>
      </w:r>
      <w:r w:rsidR="00ED1E51" w:rsidRPr="00E549DC">
        <w:rPr>
          <w:rFonts w:ascii="Book Antiqua" w:eastAsia="Book Antiqua" w:hAnsi="Book Antiqua" w:cs="Book Antiqua"/>
          <w:color w:val="000000"/>
        </w:rPr>
        <w:t>-</w:t>
      </w:r>
      <w:r w:rsidRPr="00E549DC">
        <w:rPr>
          <w:rFonts w:ascii="Book Antiqua" w:eastAsia="Book Antiqua" w:hAnsi="Book Antiqua" w:cs="Book Antiqua"/>
          <w:color w:val="000000"/>
        </w:rPr>
        <w:t xml:space="preserve">0.89), while the HR for </w:t>
      </w:r>
      <w:r w:rsidR="00124A76" w:rsidRPr="00E549DC">
        <w:rPr>
          <w:rFonts w:ascii="Book Antiqua" w:eastAsia="Book Antiqua" w:hAnsi="Book Antiqua" w:cs="Book Antiqua"/>
          <w:color w:val="000000"/>
        </w:rPr>
        <w:t xml:space="preserve">overall survival </w:t>
      </w:r>
      <w:r w:rsidRPr="00E549DC">
        <w:rPr>
          <w:rFonts w:ascii="Book Antiqua" w:eastAsia="Book Antiqua" w:hAnsi="Book Antiqua" w:cs="Book Antiqua"/>
          <w:color w:val="000000"/>
        </w:rPr>
        <w:t xml:space="preserve">for most other treatments </w:t>
      </w:r>
      <w:r w:rsidRPr="00E549DC">
        <w:rPr>
          <w:rFonts w:ascii="Book Antiqua" w:eastAsia="Book Antiqua" w:hAnsi="Book Antiqua" w:cs="Book Antiqua"/>
          <w:i/>
          <w:iCs/>
          <w:color w:val="000000"/>
        </w:rPr>
        <w:t>vs</w:t>
      </w:r>
      <w:r w:rsidRPr="00E549DC">
        <w:rPr>
          <w:rFonts w:ascii="Book Antiqua" w:eastAsia="Book Antiqua" w:hAnsi="Book Antiqua" w:cs="Book Antiqua"/>
          <w:color w:val="000000"/>
        </w:rPr>
        <w:t xml:space="preserve"> lenvatinib had associated 95%CIs that passed through unity. Vandetanib 300 mg/d and 100 mg/d were ranked 1/13 and 2/13, respectively, for </w:t>
      </w:r>
      <w:r w:rsidR="007157B3" w:rsidRPr="00E549DC">
        <w:rPr>
          <w:rFonts w:ascii="Book Antiqua" w:eastAsia="Book Antiqua" w:hAnsi="Book Antiqua" w:cs="Book Antiqua"/>
          <w:color w:val="000000"/>
        </w:rPr>
        <w:t xml:space="preserve">the </w:t>
      </w:r>
      <w:r w:rsidRPr="00E549DC">
        <w:rPr>
          <w:rFonts w:ascii="Book Antiqua" w:eastAsia="Book Antiqua" w:hAnsi="Book Antiqua" w:cs="Book Antiqua"/>
          <w:color w:val="000000"/>
        </w:rPr>
        <w:t>lowest incidence of treatment terminat</w:t>
      </w:r>
      <w:r w:rsidR="00124A76" w:rsidRPr="00E549DC">
        <w:rPr>
          <w:rFonts w:ascii="Book Antiqua" w:eastAsia="Book Antiqua" w:hAnsi="Book Antiqua" w:cs="Book Antiqua"/>
          <w:color w:val="000000"/>
        </w:rPr>
        <w:t>ions due to adverse events</w:t>
      </w:r>
      <w:r w:rsidRPr="00E549DC">
        <w:rPr>
          <w:rFonts w:ascii="Book Antiqua" w:eastAsia="Book Antiqua" w:hAnsi="Book Antiqua" w:cs="Book Antiqua"/>
          <w:color w:val="000000"/>
        </w:rPr>
        <w:t>, followed by sorafenib (5/13), lenvatinib (10/13), and atezolizumab + bevacizumab (13/13).</w:t>
      </w:r>
    </w:p>
    <w:p w14:paraId="0BCB11CE" w14:textId="77777777" w:rsidR="00A77B3E" w:rsidRPr="00E549DC" w:rsidRDefault="00A77B3E" w:rsidP="00C55EEF">
      <w:pPr>
        <w:adjustRightInd w:val="0"/>
        <w:snapToGrid w:val="0"/>
        <w:spacing w:line="360" w:lineRule="auto"/>
        <w:jc w:val="both"/>
        <w:rPr>
          <w:rFonts w:ascii="Book Antiqua" w:hAnsi="Book Antiqua"/>
        </w:rPr>
      </w:pPr>
    </w:p>
    <w:p w14:paraId="0876CAB4" w14:textId="77777777" w:rsidR="00A77B3E" w:rsidRPr="00E549DC" w:rsidRDefault="00B677D4" w:rsidP="00C55EEF">
      <w:pPr>
        <w:adjustRightInd w:val="0"/>
        <w:snapToGrid w:val="0"/>
        <w:spacing w:line="360" w:lineRule="auto"/>
        <w:jc w:val="both"/>
        <w:rPr>
          <w:rFonts w:ascii="Book Antiqua" w:hAnsi="Book Antiqua"/>
        </w:rPr>
      </w:pPr>
      <w:r w:rsidRPr="00E549DC">
        <w:rPr>
          <w:rFonts w:ascii="Book Antiqua" w:eastAsia="Book Antiqua" w:hAnsi="Book Antiqua" w:cs="Book Antiqua"/>
          <w:color w:val="000000"/>
        </w:rPr>
        <w:t>CONCLUSION</w:t>
      </w:r>
    </w:p>
    <w:p w14:paraId="504B1E13" w14:textId="77777777" w:rsidR="00A77B3E" w:rsidRPr="00E549DC" w:rsidRDefault="00B677D4" w:rsidP="00C55EEF">
      <w:pPr>
        <w:adjustRightInd w:val="0"/>
        <w:snapToGrid w:val="0"/>
        <w:spacing w:line="360" w:lineRule="auto"/>
        <w:jc w:val="both"/>
        <w:rPr>
          <w:rFonts w:ascii="Book Antiqua" w:hAnsi="Book Antiqua"/>
        </w:rPr>
      </w:pPr>
      <w:r w:rsidRPr="00E549DC">
        <w:rPr>
          <w:rFonts w:ascii="Book Antiqua" w:eastAsia="Book Antiqua" w:hAnsi="Book Antiqua" w:cs="Book Antiqua"/>
          <w:color w:val="000000"/>
        </w:rPr>
        <w:t>There is not one single first-line treatment for advanced HCC associated with superior outcomes across all outcome measurements. Therefore, first-line systemic treatment should be selected based on individualized treatment goals.</w:t>
      </w:r>
    </w:p>
    <w:p w14:paraId="6CCDB211" w14:textId="77777777" w:rsidR="00A77B3E" w:rsidRPr="00E549DC" w:rsidRDefault="00A77B3E" w:rsidP="00C55EEF">
      <w:pPr>
        <w:adjustRightInd w:val="0"/>
        <w:snapToGrid w:val="0"/>
        <w:spacing w:line="360" w:lineRule="auto"/>
        <w:jc w:val="both"/>
        <w:rPr>
          <w:rFonts w:ascii="Book Antiqua" w:hAnsi="Book Antiqua"/>
        </w:rPr>
      </w:pPr>
    </w:p>
    <w:p w14:paraId="2A3516FC" w14:textId="604C6430" w:rsidR="00A77B3E" w:rsidRPr="00E549DC" w:rsidRDefault="00B677D4" w:rsidP="00C55EEF">
      <w:pPr>
        <w:adjustRightInd w:val="0"/>
        <w:snapToGrid w:val="0"/>
        <w:spacing w:line="360" w:lineRule="auto"/>
        <w:jc w:val="both"/>
        <w:rPr>
          <w:rFonts w:ascii="Book Antiqua" w:hAnsi="Book Antiqua"/>
        </w:rPr>
      </w:pPr>
      <w:r w:rsidRPr="00E549DC">
        <w:rPr>
          <w:rFonts w:ascii="Book Antiqua" w:eastAsia="Book Antiqua" w:hAnsi="Book Antiqua" w:cs="Book Antiqua"/>
          <w:b/>
          <w:bCs/>
          <w:color w:val="000000"/>
        </w:rPr>
        <w:t>Key Words:</w:t>
      </w:r>
      <w:r w:rsidR="00016629" w:rsidRPr="00E549DC">
        <w:rPr>
          <w:rFonts w:ascii="Book Antiqua" w:eastAsia="Book Antiqua" w:hAnsi="Book Antiqua" w:cs="Book Antiqua"/>
          <w:b/>
          <w:bCs/>
          <w:color w:val="000000"/>
        </w:rPr>
        <w:t xml:space="preserve"> </w:t>
      </w:r>
      <w:r w:rsidRPr="00E549DC">
        <w:rPr>
          <w:rFonts w:ascii="Book Antiqua" w:eastAsia="Book Antiqua" w:hAnsi="Book Antiqua" w:cs="Book Antiqua"/>
          <w:color w:val="000000"/>
        </w:rPr>
        <w:t>Hepatocellular carcinoma; Systemic therapy; Meta-analysis; Lenvatinib; First-line; Immune therapy</w:t>
      </w:r>
    </w:p>
    <w:p w14:paraId="51BF8F19" w14:textId="77777777" w:rsidR="00A77B3E" w:rsidRPr="00E549DC" w:rsidRDefault="00A77B3E" w:rsidP="00C55EEF">
      <w:pPr>
        <w:adjustRightInd w:val="0"/>
        <w:snapToGrid w:val="0"/>
        <w:spacing w:line="360" w:lineRule="auto"/>
        <w:jc w:val="both"/>
        <w:rPr>
          <w:rFonts w:ascii="Book Antiqua" w:hAnsi="Book Antiqua"/>
          <w:lang w:eastAsia="zh-CN"/>
        </w:rPr>
      </w:pPr>
    </w:p>
    <w:p w14:paraId="503BBB10" w14:textId="77777777" w:rsidR="00670CF7" w:rsidRPr="00E549DC" w:rsidRDefault="00670CF7" w:rsidP="00670CF7">
      <w:pPr>
        <w:spacing w:line="360" w:lineRule="auto"/>
        <w:jc w:val="both"/>
        <w:rPr>
          <w:rFonts w:ascii="Book Antiqua" w:eastAsia="Book Antiqua" w:hAnsi="Book Antiqua" w:cs="Book Antiqua"/>
          <w:color w:val="000000"/>
        </w:rPr>
      </w:pPr>
      <w:proofErr w:type="gramStart"/>
      <w:r w:rsidRPr="00E549DC">
        <w:rPr>
          <w:rFonts w:ascii="Book Antiqua" w:eastAsia="Book Antiqua" w:hAnsi="Book Antiqua" w:cs="Book Antiqua" w:hint="eastAsia"/>
          <w:b/>
          <w:color w:val="000000"/>
        </w:rPr>
        <w:t>©</w:t>
      </w:r>
      <w:r w:rsidRPr="00E549DC">
        <w:rPr>
          <w:rFonts w:ascii="Book Antiqua" w:eastAsia="Book Antiqua" w:hAnsi="Book Antiqua" w:cs="Book Antiqua"/>
          <w:b/>
          <w:color w:val="000000"/>
        </w:rPr>
        <w:t>The</w:t>
      </w:r>
      <w:r w:rsidRPr="00E549DC">
        <w:rPr>
          <w:rFonts w:ascii="Book Antiqua" w:eastAsia="Book Antiqua" w:hAnsi="Book Antiqua" w:cs="Book Antiqua"/>
          <w:color w:val="000000"/>
        </w:rPr>
        <w:t xml:space="preserve"> </w:t>
      </w:r>
      <w:r w:rsidRPr="00E549DC">
        <w:rPr>
          <w:rFonts w:ascii="Book Antiqua" w:eastAsia="Book Antiqua" w:hAnsi="Book Antiqua" w:cs="Book Antiqua"/>
          <w:b/>
          <w:color w:val="000000"/>
        </w:rPr>
        <w:t>Author(s) 2021.</w:t>
      </w:r>
      <w:proofErr w:type="gramEnd"/>
      <w:r w:rsidRPr="00E549DC">
        <w:rPr>
          <w:rFonts w:ascii="Book Antiqua" w:eastAsia="Book Antiqua" w:hAnsi="Book Antiqua" w:cs="Book Antiqua"/>
          <w:b/>
          <w:color w:val="000000"/>
        </w:rPr>
        <w:t xml:space="preserve"> </w:t>
      </w:r>
      <w:proofErr w:type="gramStart"/>
      <w:r w:rsidRPr="00E549DC">
        <w:rPr>
          <w:rFonts w:ascii="Book Antiqua" w:eastAsia="Book Antiqua" w:hAnsi="Book Antiqua" w:cs="Book Antiqua"/>
          <w:color w:val="000000"/>
        </w:rPr>
        <w:t>Published by Baishideng Publishing Group Inc.</w:t>
      </w:r>
      <w:proofErr w:type="gramEnd"/>
      <w:r w:rsidRPr="00E549DC">
        <w:rPr>
          <w:rFonts w:ascii="Book Antiqua" w:eastAsia="Book Antiqua" w:hAnsi="Book Antiqua" w:cs="Book Antiqua"/>
          <w:color w:val="000000"/>
        </w:rPr>
        <w:t xml:space="preserve"> All rights reserved. </w:t>
      </w:r>
    </w:p>
    <w:p w14:paraId="6A0D9F00" w14:textId="77777777" w:rsidR="00670CF7" w:rsidRPr="00E549DC" w:rsidRDefault="00670CF7" w:rsidP="00C55EEF">
      <w:pPr>
        <w:adjustRightInd w:val="0"/>
        <w:snapToGrid w:val="0"/>
        <w:spacing w:line="360" w:lineRule="auto"/>
        <w:jc w:val="both"/>
        <w:rPr>
          <w:rFonts w:ascii="Book Antiqua" w:hAnsi="Book Antiqua"/>
          <w:lang w:eastAsia="zh-CN"/>
        </w:rPr>
      </w:pPr>
    </w:p>
    <w:p w14:paraId="4F8863CE" w14:textId="682C4A8C" w:rsidR="00E549DC" w:rsidRPr="00E549DC" w:rsidRDefault="00E549DC" w:rsidP="00C55EEF">
      <w:pPr>
        <w:adjustRightInd w:val="0"/>
        <w:snapToGrid w:val="0"/>
        <w:spacing w:line="360" w:lineRule="auto"/>
        <w:jc w:val="both"/>
        <w:rPr>
          <w:rFonts w:ascii="Book Antiqua" w:hAnsi="Book Antiqua" w:cs="Book Antiqua"/>
          <w:color w:val="000000"/>
          <w:lang w:eastAsia="zh-CN"/>
        </w:rPr>
      </w:pPr>
      <w:r w:rsidRPr="00E549DC">
        <w:rPr>
          <w:rFonts w:ascii="Book Antiqua" w:hAnsi="Book Antiqua" w:cs="Book Antiqua" w:hint="eastAsia"/>
          <w:b/>
          <w:color w:val="000000"/>
          <w:lang w:eastAsia="zh-CN"/>
        </w:rPr>
        <w:t xml:space="preserve">Citation: </w:t>
      </w:r>
      <w:r w:rsidR="00B677D4" w:rsidRPr="00E549DC">
        <w:rPr>
          <w:rFonts w:ascii="Book Antiqua" w:eastAsia="Book Antiqua" w:hAnsi="Book Antiqua" w:cs="Book Antiqua"/>
          <w:color w:val="000000"/>
        </w:rPr>
        <w:t>Han Y, Zhi WH, Xu F, Zhang CB, Huang XQ, Luo JF. Selection of first-line systemic therapies for advanced hepatocellular carcinoma: A network meta-</w:t>
      </w:r>
      <w:r w:rsidR="00B677D4" w:rsidRPr="00E549DC">
        <w:rPr>
          <w:rFonts w:ascii="Book Antiqua" w:eastAsia="Book Antiqua" w:hAnsi="Book Antiqua" w:cs="Book Antiqua"/>
          <w:color w:val="000000"/>
        </w:rPr>
        <w:lastRenderedPageBreak/>
        <w:t xml:space="preserve">analysis of randomized controlled trials. </w:t>
      </w:r>
      <w:r w:rsidR="00B677D4" w:rsidRPr="00E549DC">
        <w:rPr>
          <w:rFonts w:ascii="Book Antiqua" w:eastAsia="Book Antiqua" w:hAnsi="Book Antiqua" w:cs="Book Antiqua"/>
          <w:i/>
          <w:iCs/>
          <w:color w:val="000000"/>
        </w:rPr>
        <w:t>World J Gastroenterol</w:t>
      </w:r>
      <w:r w:rsidR="00B677D4" w:rsidRPr="00E549DC">
        <w:rPr>
          <w:rFonts w:ascii="Book Antiqua" w:eastAsia="Book Antiqua" w:hAnsi="Book Antiqua" w:cs="Book Antiqua"/>
          <w:color w:val="000000"/>
        </w:rPr>
        <w:t xml:space="preserve"> 2021; </w:t>
      </w:r>
      <w:r w:rsidR="00DF6CAC" w:rsidRPr="00E549DC">
        <w:rPr>
          <w:rFonts w:ascii="Book Antiqua" w:eastAsia="Book Antiqua" w:hAnsi="Book Antiqua" w:cs="Book Antiqua"/>
          <w:color w:val="000000"/>
        </w:rPr>
        <w:t>2</w:t>
      </w:r>
      <w:r w:rsidR="00DF6CAC" w:rsidRPr="00E549DC">
        <w:rPr>
          <w:rFonts w:ascii="Book Antiqua" w:hAnsi="Book Antiqua" w:cs="Book Antiqua" w:hint="eastAsia"/>
          <w:color w:val="000000"/>
          <w:lang w:eastAsia="zh-CN"/>
        </w:rPr>
        <w:t>7</w:t>
      </w:r>
      <w:r w:rsidR="00DF6CAC" w:rsidRPr="00E549DC">
        <w:rPr>
          <w:rFonts w:ascii="Book Antiqua" w:eastAsia="Book Antiqua" w:hAnsi="Book Antiqua" w:cs="Book Antiqua"/>
          <w:color w:val="000000"/>
        </w:rPr>
        <w:t>(</w:t>
      </w:r>
      <w:r w:rsidR="00DF6CAC" w:rsidRPr="00E549DC">
        <w:rPr>
          <w:rFonts w:ascii="Book Antiqua" w:hAnsi="Book Antiqua" w:cs="Book Antiqua" w:hint="eastAsia"/>
          <w:color w:val="000000"/>
          <w:lang w:eastAsia="zh-CN"/>
        </w:rPr>
        <w:t>19</w:t>
      </w:r>
      <w:r w:rsidR="00DF6CAC" w:rsidRPr="00E549DC">
        <w:rPr>
          <w:rFonts w:ascii="Book Antiqua" w:eastAsia="Book Antiqua" w:hAnsi="Book Antiqua" w:cs="Book Antiqua"/>
          <w:color w:val="000000"/>
        </w:rPr>
        <w:t xml:space="preserve">): </w:t>
      </w:r>
      <w:r w:rsidR="00937B53" w:rsidRPr="00E549DC">
        <w:rPr>
          <w:rFonts w:ascii="Book Antiqua" w:hAnsi="Book Antiqua" w:hint="eastAsia"/>
        </w:rPr>
        <w:t>241</w:t>
      </w:r>
      <w:r w:rsidR="002A1BFD">
        <w:rPr>
          <w:rFonts w:ascii="Book Antiqua" w:hAnsi="Book Antiqua" w:hint="eastAsia"/>
          <w:lang w:eastAsia="zh-CN"/>
        </w:rPr>
        <w:t>5</w:t>
      </w:r>
      <w:r w:rsidR="00937B53" w:rsidRPr="00E549DC">
        <w:rPr>
          <w:rFonts w:ascii="Book Antiqua" w:hAnsi="Book Antiqua" w:hint="eastAsia"/>
          <w:lang w:eastAsia="zh-CN"/>
        </w:rPr>
        <w:t>-</w:t>
      </w:r>
      <w:r w:rsidR="00937B53" w:rsidRPr="00E549DC">
        <w:rPr>
          <w:rFonts w:ascii="Book Antiqua" w:hAnsi="Book Antiqua" w:hint="eastAsia"/>
        </w:rPr>
        <w:t>243</w:t>
      </w:r>
      <w:r w:rsidR="002A1BFD">
        <w:rPr>
          <w:rFonts w:ascii="Book Antiqua" w:hAnsi="Book Antiqua" w:hint="eastAsia"/>
          <w:lang w:eastAsia="zh-CN"/>
        </w:rPr>
        <w:t>3</w:t>
      </w:r>
      <w:r w:rsidR="00DF6CAC" w:rsidRPr="00E549DC">
        <w:rPr>
          <w:rFonts w:ascii="Book Antiqua" w:eastAsia="Book Antiqua" w:hAnsi="Book Antiqua" w:cs="Book Antiqua"/>
          <w:color w:val="000000"/>
        </w:rPr>
        <w:t xml:space="preserve"> </w:t>
      </w:r>
    </w:p>
    <w:p w14:paraId="76F597FC" w14:textId="14C59E29" w:rsidR="00E549DC" w:rsidRPr="00E549DC" w:rsidRDefault="00DF6CAC" w:rsidP="00C55EEF">
      <w:pPr>
        <w:adjustRightInd w:val="0"/>
        <w:snapToGrid w:val="0"/>
        <w:spacing w:line="360" w:lineRule="auto"/>
        <w:jc w:val="both"/>
        <w:rPr>
          <w:rFonts w:ascii="Book Antiqua" w:hAnsi="Book Antiqua" w:cs="Book Antiqua"/>
          <w:color w:val="000000"/>
          <w:lang w:eastAsia="zh-CN"/>
        </w:rPr>
      </w:pPr>
      <w:r w:rsidRPr="00E549DC">
        <w:rPr>
          <w:rFonts w:ascii="Book Antiqua" w:eastAsia="Book Antiqua" w:hAnsi="Book Antiqua" w:cs="Book Antiqua"/>
          <w:b/>
          <w:color w:val="000000"/>
        </w:rPr>
        <w:t xml:space="preserve">URL: </w:t>
      </w:r>
      <w:hyperlink r:id="rId9" w:history="1">
        <w:r w:rsidR="002A1BFD" w:rsidRPr="008A65F6">
          <w:rPr>
            <w:rStyle w:val="a3"/>
            <w:rFonts w:ascii="Book Antiqua" w:eastAsia="Book Antiqua" w:hAnsi="Book Antiqua" w:cs="Book Antiqua"/>
          </w:rPr>
          <w:t>https://www.wjgnet.com/1007-9327/full/v2</w:t>
        </w:r>
        <w:r w:rsidR="002A1BFD" w:rsidRPr="008A65F6">
          <w:rPr>
            <w:rStyle w:val="a3"/>
            <w:rFonts w:ascii="Book Antiqua" w:hAnsi="Book Antiqua" w:cs="Book Antiqua" w:hint="eastAsia"/>
            <w:lang w:eastAsia="zh-CN"/>
          </w:rPr>
          <w:t>7</w:t>
        </w:r>
        <w:r w:rsidR="002A1BFD" w:rsidRPr="008A65F6">
          <w:rPr>
            <w:rStyle w:val="a3"/>
            <w:rFonts w:ascii="Book Antiqua" w:eastAsia="Book Antiqua" w:hAnsi="Book Antiqua" w:cs="Book Antiqua"/>
          </w:rPr>
          <w:t>/i</w:t>
        </w:r>
        <w:r w:rsidR="002A1BFD" w:rsidRPr="008A65F6">
          <w:rPr>
            <w:rStyle w:val="a3"/>
            <w:rFonts w:ascii="Book Antiqua" w:hAnsi="Book Antiqua" w:cs="Book Antiqua" w:hint="eastAsia"/>
            <w:lang w:eastAsia="zh-CN"/>
          </w:rPr>
          <w:t>19</w:t>
        </w:r>
        <w:r w:rsidR="002A1BFD" w:rsidRPr="008A65F6">
          <w:rPr>
            <w:rStyle w:val="a3"/>
            <w:rFonts w:ascii="Book Antiqua" w:eastAsia="Book Antiqua" w:hAnsi="Book Antiqua" w:cs="Book Antiqua"/>
          </w:rPr>
          <w:t>/</w:t>
        </w:r>
        <w:r w:rsidR="002A1BFD" w:rsidRPr="008A65F6">
          <w:rPr>
            <w:rStyle w:val="a3"/>
            <w:rFonts w:ascii="Book Antiqua" w:hAnsi="Book Antiqua" w:cs="Book Antiqua" w:hint="eastAsia"/>
            <w:lang w:eastAsia="zh-CN"/>
          </w:rPr>
          <w:t>2415</w:t>
        </w:r>
        <w:r w:rsidR="002A1BFD" w:rsidRPr="008A65F6">
          <w:rPr>
            <w:rStyle w:val="a3"/>
            <w:rFonts w:ascii="Book Antiqua" w:eastAsia="Book Antiqua" w:hAnsi="Book Antiqua" w:cs="Book Antiqua"/>
          </w:rPr>
          <w:t>.htm</w:t>
        </w:r>
      </w:hyperlink>
      <w:r w:rsidRPr="00E549DC">
        <w:rPr>
          <w:rFonts w:ascii="Book Antiqua" w:eastAsia="Book Antiqua" w:hAnsi="Book Antiqua" w:cs="Book Antiqua"/>
          <w:color w:val="000000"/>
        </w:rPr>
        <w:t xml:space="preserve"> </w:t>
      </w:r>
    </w:p>
    <w:p w14:paraId="3CE18BD9" w14:textId="54C9C910" w:rsidR="00A77B3E" w:rsidRPr="00E549DC" w:rsidRDefault="00DF6CAC" w:rsidP="00C55EEF">
      <w:pPr>
        <w:adjustRightInd w:val="0"/>
        <w:snapToGrid w:val="0"/>
        <w:spacing w:line="360" w:lineRule="auto"/>
        <w:jc w:val="both"/>
        <w:rPr>
          <w:rFonts w:ascii="Book Antiqua" w:hAnsi="Book Antiqua"/>
          <w:lang w:eastAsia="zh-CN"/>
        </w:rPr>
      </w:pPr>
      <w:r w:rsidRPr="00E549DC">
        <w:rPr>
          <w:rFonts w:ascii="Book Antiqua" w:eastAsia="Book Antiqua" w:hAnsi="Book Antiqua" w:cs="Book Antiqua"/>
          <w:b/>
          <w:color w:val="000000"/>
        </w:rPr>
        <w:t xml:space="preserve">DOI: </w:t>
      </w:r>
      <w:r w:rsidRPr="00E549DC">
        <w:rPr>
          <w:rFonts w:ascii="Book Antiqua" w:eastAsia="Book Antiqua" w:hAnsi="Book Antiqua" w:cs="Book Antiqua"/>
          <w:color w:val="000000"/>
        </w:rPr>
        <w:t>https://dx.doi.org/10.3748/wjg.v2</w:t>
      </w:r>
      <w:r w:rsidRPr="00E549DC">
        <w:rPr>
          <w:rFonts w:ascii="Book Antiqua" w:hAnsi="Book Antiqua" w:cs="Book Antiqua" w:hint="eastAsia"/>
          <w:color w:val="000000"/>
          <w:lang w:eastAsia="zh-CN"/>
        </w:rPr>
        <w:t>7</w:t>
      </w:r>
      <w:r w:rsidRPr="00E549DC">
        <w:rPr>
          <w:rFonts w:ascii="Book Antiqua" w:eastAsia="Book Antiqua" w:hAnsi="Book Antiqua" w:cs="Book Antiqua"/>
          <w:color w:val="000000"/>
        </w:rPr>
        <w:t>.i</w:t>
      </w:r>
      <w:r w:rsidRPr="00E549DC">
        <w:rPr>
          <w:rFonts w:ascii="Book Antiqua" w:hAnsi="Book Antiqua" w:cs="Book Antiqua" w:hint="eastAsia"/>
          <w:color w:val="000000"/>
          <w:lang w:eastAsia="zh-CN"/>
        </w:rPr>
        <w:t>19</w:t>
      </w:r>
      <w:r w:rsidRPr="00E549DC">
        <w:rPr>
          <w:rFonts w:ascii="Book Antiqua" w:eastAsia="Book Antiqua" w:hAnsi="Book Antiqua" w:cs="Book Antiqua"/>
          <w:color w:val="000000"/>
        </w:rPr>
        <w:t>.</w:t>
      </w:r>
      <w:r w:rsidR="00870CD1" w:rsidRPr="00E549DC">
        <w:rPr>
          <w:rFonts w:ascii="Book Antiqua" w:hAnsi="Book Antiqua" w:cs="Book Antiqua" w:hint="eastAsia"/>
          <w:color w:val="000000"/>
          <w:lang w:eastAsia="zh-CN"/>
        </w:rPr>
        <w:t>241</w:t>
      </w:r>
      <w:r w:rsidR="002A1BFD">
        <w:rPr>
          <w:rFonts w:ascii="Book Antiqua" w:hAnsi="Book Antiqua" w:cs="Book Antiqua" w:hint="eastAsia"/>
          <w:color w:val="000000"/>
          <w:lang w:eastAsia="zh-CN"/>
        </w:rPr>
        <w:t>5</w:t>
      </w:r>
      <w:bookmarkStart w:id="6" w:name="_GoBack"/>
      <w:bookmarkEnd w:id="6"/>
    </w:p>
    <w:p w14:paraId="33BECE89" w14:textId="77777777" w:rsidR="00A77B3E" w:rsidRPr="00E549DC" w:rsidRDefault="00A77B3E" w:rsidP="00C55EEF">
      <w:pPr>
        <w:adjustRightInd w:val="0"/>
        <w:snapToGrid w:val="0"/>
        <w:spacing w:line="360" w:lineRule="auto"/>
        <w:jc w:val="both"/>
        <w:rPr>
          <w:rFonts w:ascii="Book Antiqua" w:hAnsi="Book Antiqua"/>
        </w:rPr>
      </w:pPr>
    </w:p>
    <w:p w14:paraId="3A063B48" w14:textId="28DCD898" w:rsidR="00A77B3E" w:rsidRPr="00E549DC" w:rsidRDefault="00B677D4" w:rsidP="00C55EEF">
      <w:pPr>
        <w:adjustRightInd w:val="0"/>
        <w:snapToGrid w:val="0"/>
        <w:spacing w:line="360" w:lineRule="auto"/>
        <w:jc w:val="both"/>
        <w:rPr>
          <w:rFonts w:ascii="Book Antiqua" w:hAnsi="Book Antiqua"/>
        </w:rPr>
      </w:pPr>
      <w:r w:rsidRPr="00E549DC">
        <w:rPr>
          <w:rFonts w:ascii="Book Antiqua" w:eastAsia="Book Antiqua" w:hAnsi="Book Antiqua" w:cs="Book Antiqua"/>
          <w:b/>
          <w:bCs/>
          <w:color w:val="000000"/>
        </w:rPr>
        <w:t xml:space="preserve">Core Tip: </w:t>
      </w:r>
      <w:r w:rsidRPr="00E549DC">
        <w:rPr>
          <w:rFonts w:ascii="Book Antiqua" w:eastAsia="Book Antiqua" w:hAnsi="Book Antiqua" w:cs="Book Antiqua"/>
          <w:color w:val="000000"/>
        </w:rPr>
        <w:t>The present network meta-analysis is the first to compare data from randomized trials of all first-line systemic therapies for hepatocellular carcinoma including chemotherapy, targeted drugs, immunotherapy</w:t>
      </w:r>
      <w:r w:rsidR="007157B3" w:rsidRPr="00E549DC">
        <w:rPr>
          <w:rFonts w:ascii="Book Antiqua" w:eastAsia="Book Antiqua" w:hAnsi="Book Antiqua" w:cs="Book Antiqua"/>
          <w:color w:val="000000"/>
        </w:rPr>
        <w:t>,</w:t>
      </w:r>
      <w:r w:rsidRPr="00E549DC">
        <w:rPr>
          <w:rFonts w:ascii="Book Antiqua" w:eastAsia="Book Antiqua" w:hAnsi="Book Antiqua" w:cs="Book Antiqua"/>
          <w:color w:val="000000"/>
        </w:rPr>
        <w:t xml:space="preserve"> and combination therapies. Furthermore, the analysis represents a comprehensive cross comparison of outcomes, including tumor response rates, survival, and safety and included a sub-analysis in patients with </w:t>
      </w:r>
      <w:r w:rsidR="00124A76" w:rsidRPr="00E549DC">
        <w:rPr>
          <w:rFonts w:ascii="Book Antiqua" w:eastAsia="Book Antiqua" w:hAnsi="Book Antiqua" w:cs="Book Antiqua"/>
          <w:color w:val="000000"/>
        </w:rPr>
        <w:t>hepatitis B virus</w:t>
      </w:r>
      <w:r w:rsidRPr="00E549DC">
        <w:rPr>
          <w:rFonts w:ascii="Book Antiqua" w:eastAsia="Book Antiqua" w:hAnsi="Book Antiqua" w:cs="Book Antiqua"/>
          <w:color w:val="000000"/>
        </w:rPr>
        <w:t xml:space="preserve"> infection. Our results showed that atezolizumab plus bevacizumab was ranked first for progression-free survival and overall survival but also had the highest rate of discontinuations due to adverse events. Lenvatinib ranked first for overall response rate and second for progression-free survival.</w:t>
      </w:r>
    </w:p>
    <w:p w14:paraId="1C1D0702" w14:textId="77777777" w:rsidR="00A77B3E" w:rsidRPr="00E549DC" w:rsidRDefault="00A77B3E" w:rsidP="00C55EEF">
      <w:pPr>
        <w:adjustRightInd w:val="0"/>
        <w:snapToGrid w:val="0"/>
        <w:spacing w:line="360" w:lineRule="auto"/>
        <w:jc w:val="both"/>
        <w:rPr>
          <w:rFonts w:ascii="Book Antiqua" w:hAnsi="Book Antiqua"/>
        </w:rPr>
      </w:pPr>
    </w:p>
    <w:p w14:paraId="20A2A701" w14:textId="76D05838" w:rsidR="00A77B3E" w:rsidRPr="00E549DC" w:rsidRDefault="00016629" w:rsidP="00C55EEF">
      <w:pPr>
        <w:adjustRightInd w:val="0"/>
        <w:snapToGrid w:val="0"/>
        <w:spacing w:line="360" w:lineRule="auto"/>
        <w:jc w:val="both"/>
        <w:rPr>
          <w:rFonts w:ascii="Book Antiqua" w:hAnsi="Book Antiqua"/>
        </w:rPr>
      </w:pPr>
      <w:r w:rsidRPr="00E549DC">
        <w:rPr>
          <w:rFonts w:ascii="Book Antiqua" w:eastAsia="Book Antiqua" w:hAnsi="Book Antiqua" w:cs="Book Antiqua"/>
          <w:b/>
          <w:caps/>
          <w:color w:val="000000"/>
          <w:u w:val="single"/>
        </w:rPr>
        <w:br w:type="page"/>
      </w:r>
      <w:r w:rsidR="00B677D4" w:rsidRPr="00E549DC">
        <w:rPr>
          <w:rFonts w:ascii="Book Antiqua" w:eastAsia="Book Antiqua" w:hAnsi="Book Antiqua" w:cs="Book Antiqua"/>
          <w:b/>
          <w:caps/>
          <w:color w:val="000000"/>
          <w:u w:val="single"/>
        </w:rPr>
        <w:lastRenderedPageBreak/>
        <w:t>INTRODUCTION</w:t>
      </w:r>
    </w:p>
    <w:p w14:paraId="1AED8B96" w14:textId="3D248CF6" w:rsidR="00A77B3E" w:rsidRPr="00E549DC" w:rsidRDefault="00B677D4" w:rsidP="00C55EEF">
      <w:pPr>
        <w:adjustRightInd w:val="0"/>
        <w:snapToGrid w:val="0"/>
        <w:spacing w:line="360" w:lineRule="auto"/>
        <w:jc w:val="both"/>
        <w:rPr>
          <w:rFonts w:ascii="Book Antiqua" w:hAnsi="Book Antiqua"/>
        </w:rPr>
      </w:pPr>
      <w:r w:rsidRPr="00E549DC">
        <w:rPr>
          <w:rFonts w:ascii="Book Antiqua" w:eastAsia="Book Antiqua" w:hAnsi="Book Antiqua" w:cs="Book Antiqua"/>
          <w:color w:val="000000"/>
        </w:rPr>
        <w:t xml:space="preserve">Liver cancer is the sixth most common cancer globally, accounting for 4.7% of all new cancer cases in 2018, and represents the third most common cause of cancer-related death worldwide behind lung and colorectal </w:t>
      </w:r>
      <w:proofErr w:type="gramStart"/>
      <w:r w:rsidRPr="00E549DC">
        <w:rPr>
          <w:rFonts w:ascii="Book Antiqua" w:eastAsia="Book Antiqua" w:hAnsi="Book Antiqua" w:cs="Book Antiqua"/>
          <w:color w:val="000000"/>
        </w:rPr>
        <w:t>cancer</w:t>
      </w:r>
      <w:r w:rsidRPr="00E549DC">
        <w:rPr>
          <w:rFonts w:ascii="Book Antiqua" w:eastAsia="Book Antiqua" w:hAnsi="Book Antiqua" w:cs="Book Antiqua"/>
          <w:color w:val="000000"/>
          <w:vertAlign w:val="superscript"/>
        </w:rPr>
        <w:t>[</w:t>
      </w:r>
      <w:proofErr w:type="gramEnd"/>
      <w:r w:rsidRPr="00E549DC">
        <w:rPr>
          <w:rFonts w:ascii="Book Antiqua" w:eastAsia="Book Antiqua" w:hAnsi="Book Antiqua" w:cs="Book Antiqua"/>
          <w:color w:val="000000"/>
          <w:vertAlign w:val="superscript"/>
        </w:rPr>
        <w:t>1]</w:t>
      </w:r>
      <w:r w:rsidRPr="00E549DC">
        <w:rPr>
          <w:rFonts w:ascii="Book Antiqua" w:eastAsia="Book Antiqua" w:hAnsi="Book Antiqua" w:cs="Book Antiqua"/>
          <w:color w:val="000000"/>
        </w:rPr>
        <w:t>. Of the primary liver cancers, hepatocellular carcinoma (HCC) is the most prevalent histological subtype and accounts for 80%</w:t>
      </w:r>
      <w:r w:rsidR="008F0BA0" w:rsidRPr="00E549DC">
        <w:rPr>
          <w:rFonts w:ascii="Book Antiqua" w:eastAsia="Book Antiqua" w:hAnsi="Book Antiqua" w:cs="Book Antiqua"/>
          <w:color w:val="000000"/>
        </w:rPr>
        <w:t>-</w:t>
      </w:r>
      <w:r w:rsidRPr="00E549DC">
        <w:rPr>
          <w:rFonts w:ascii="Book Antiqua" w:eastAsia="Book Antiqua" w:hAnsi="Book Antiqua" w:cs="Book Antiqua"/>
          <w:color w:val="000000"/>
        </w:rPr>
        <w:t xml:space="preserve">85% of </w:t>
      </w:r>
      <w:proofErr w:type="gramStart"/>
      <w:r w:rsidRPr="00E549DC">
        <w:rPr>
          <w:rFonts w:ascii="Book Antiqua" w:eastAsia="Book Antiqua" w:hAnsi="Book Antiqua" w:cs="Book Antiqua"/>
          <w:color w:val="000000"/>
        </w:rPr>
        <w:t>cases</w:t>
      </w:r>
      <w:r w:rsidRPr="00E549DC">
        <w:rPr>
          <w:rFonts w:ascii="Book Antiqua" w:eastAsia="Book Antiqua" w:hAnsi="Book Antiqua" w:cs="Book Antiqua"/>
          <w:color w:val="000000"/>
          <w:vertAlign w:val="superscript"/>
        </w:rPr>
        <w:t>[</w:t>
      </w:r>
      <w:proofErr w:type="gramEnd"/>
      <w:r w:rsidRPr="00E549DC">
        <w:rPr>
          <w:rFonts w:ascii="Book Antiqua" w:eastAsia="Book Antiqua" w:hAnsi="Book Antiqua" w:cs="Book Antiqua"/>
          <w:color w:val="000000"/>
          <w:vertAlign w:val="superscript"/>
        </w:rPr>
        <w:t>2]</w:t>
      </w:r>
      <w:r w:rsidRPr="00E549DC">
        <w:rPr>
          <w:rFonts w:ascii="Book Antiqua" w:eastAsia="Book Antiqua" w:hAnsi="Book Antiqua" w:cs="Book Antiqua"/>
          <w:color w:val="000000"/>
        </w:rPr>
        <w:t xml:space="preserve">. Surgical resection and liver transplant are associated with the best survival outcomes for patients with HCC, and are potentially curative </w:t>
      </w:r>
      <w:proofErr w:type="gramStart"/>
      <w:r w:rsidRPr="00E549DC">
        <w:rPr>
          <w:rFonts w:ascii="Book Antiqua" w:eastAsia="Book Antiqua" w:hAnsi="Book Antiqua" w:cs="Book Antiqua"/>
          <w:color w:val="000000"/>
        </w:rPr>
        <w:t>treatments</w:t>
      </w:r>
      <w:r w:rsidRPr="00E549DC">
        <w:rPr>
          <w:rFonts w:ascii="Book Antiqua" w:eastAsia="Book Antiqua" w:hAnsi="Book Antiqua" w:cs="Book Antiqua"/>
          <w:color w:val="000000"/>
          <w:vertAlign w:val="superscript"/>
        </w:rPr>
        <w:t>[</w:t>
      </w:r>
      <w:proofErr w:type="gramEnd"/>
      <w:r w:rsidRPr="00E549DC">
        <w:rPr>
          <w:rFonts w:ascii="Book Antiqua" w:eastAsia="Book Antiqua" w:hAnsi="Book Antiqua" w:cs="Book Antiqua"/>
          <w:color w:val="000000"/>
          <w:vertAlign w:val="superscript"/>
        </w:rPr>
        <w:t>3]</w:t>
      </w:r>
      <w:r w:rsidRPr="00E549DC">
        <w:rPr>
          <w:rFonts w:ascii="Book Antiqua" w:eastAsia="Book Antiqua" w:hAnsi="Book Antiqua" w:cs="Book Antiqua"/>
          <w:color w:val="000000"/>
        </w:rPr>
        <w:t xml:space="preserve">. Locoregional therapies including arterially directed therapies, ablation, and radiotherapy are also associated with good survival outcomes in patients with unresectable disease confined to the </w:t>
      </w:r>
      <w:proofErr w:type="gramStart"/>
      <w:r w:rsidRPr="00E549DC">
        <w:rPr>
          <w:rFonts w:ascii="Book Antiqua" w:eastAsia="Book Antiqua" w:hAnsi="Book Antiqua" w:cs="Book Antiqua"/>
          <w:color w:val="000000"/>
        </w:rPr>
        <w:t>liver</w:t>
      </w:r>
      <w:r w:rsidRPr="00E549DC">
        <w:rPr>
          <w:rFonts w:ascii="Book Antiqua" w:eastAsia="Book Antiqua" w:hAnsi="Book Antiqua" w:cs="Book Antiqua"/>
          <w:color w:val="000000"/>
          <w:vertAlign w:val="superscript"/>
        </w:rPr>
        <w:t>[</w:t>
      </w:r>
      <w:proofErr w:type="gramEnd"/>
      <w:r w:rsidRPr="00E549DC">
        <w:rPr>
          <w:rFonts w:ascii="Book Antiqua" w:eastAsia="Book Antiqua" w:hAnsi="Book Antiqua" w:cs="Book Antiqua"/>
          <w:color w:val="000000"/>
          <w:vertAlign w:val="superscript"/>
        </w:rPr>
        <w:t>4]</w:t>
      </w:r>
      <w:r w:rsidRPr="00E549DC">
        <w:rPr>
          <w:rFonts w:ascii="Book Antiqua" w:eastAsia="Book Antiqua" w:hAnsi="Book Antiqua" w:cs="Book Antiqua"/>
          <w:color w:val="000000"/>
        </w:rPr>
        <w:t xml:space="preserve">. However, over 50% of patients with HCC are diagnosed at an advanced stage or with other characteristics that preclude surgical or locoregional </w:t>
      </w:r>
      <w:proofErr w:type="gramStart"/>
      <w:r w:rsidRPr="00E549DC">
        <w:rPr>
          <w:rFonts w:ascii="Book Antiqua" w:eastAsia="Book Antiqua" w:hAnsi="Book Antiqua" w:cs="Book Antiqua"/>
          <w:color w:val="000000"/>
        </w:rPr>
        <w:t>treatment</w:t>
      </w:r>
      <w:r w:rsidRPr="00E549DC">
        <w:rPr>
          <w:rFonts w:ascii="Book Antiqua" w:eastAsia="Book Antiqua" w:hAnsi="Book Antiqua" w:cs="Book Antiqua"/>
          <w:color w:val="000000"/>
          <w:vertAlign w:val="superscript"/>
        </w:rPr>
        <w:t>[</w:t>
      </w:r>
      <w:proofErr w:type="gramEnd"/>
      <w:r w:rsidRPr="00E549DC">
        <w:rPr>
          <w:rFonts w:ascii="Book Antiqua" w:eastAsia="Book Antiqua" w:hAnsi="Book Antiqua" w:cs="Book Antiqua"/>
          <w:color w:val="000000"/>
          <w:vertAlign w:val="superscript"/>
        </w:rPr>
        <w:t>5]</w:t>
      </w:r>
      <w:r w:rsidRPr="00E549DC">
        <w:rPr>
          <w:rFonts w:ascii="Book Antiqua" w:eastAsia="Book Antiqua" w:hAnsi="Book Antiqua" w:cs="Book Antiqua"/>
          <w:color w:val="000000"/>
        </w:rPr>
        <w:t xml:space="preserve">. For these patients, systemic therapy is usually the recommended treatment </w:t>
      </w:r>
      <w:proofErr w:type="gramStart"/>
      <w:r w:rsidRPr="00E549DC">
        <w:rPr>
          <w:rFonts w:ascii="Book Antiqua" w:eastAsia="Book Antiqua" w:hAnsi="Book Antiqua" w:cs="Book Antiqua"/>
          <w:color w:val="000000"/>
        </w:rPr>
        <w:t>option</w:t>
      </w:r>
      <w:r w:rsidRPr="00E549DC">
        <w:rPr>
          <w:rFonts w:ascii="Book Antiqua" w:eastAsia="Book Antiqua" w:hAnsi="Book Antiqua" w:cs="Book Antiqua"/>
          <w:color w:val="000000"/>
          <w:vertAlign w:val="superscript"/>
        </w:rPr>
        <w:t>[</w:t>
      </w:r>
      <w:proofErr w:type="gramEnd"/>
      <w:r w:rsidRPr="00E549DC">
        <w:rPr>
          <w:rFonts w:ascii="Book Antiqua" w:eastAsia="Book Antiqua" w:hAnsi="Book Antiqua" w:cs="Book Antiqua"/>
          <w:color w:val="000000"/>
          <w:vertAlign w:val="superscript"/>
        </w:rPr>
        <w:t>4,6]</w:t>
      </w:r>
      <w:r w:rsidRPr="00E549DC">
        <w:rPr>
          <w:rFonts w:ascii="Book Antiqua" w:eastAsia="Book Antiqua" w:hAnsi="Book Antiqua" w:cs="Book Antiqua"/>
          <w:color w:val="000000"/>
        </w:rPr>
        <w:t>.</w:t>
      </w:r>
    </w:p>
    <w:p w14:paraId="2610B224" w14:textId="4EC950A0" w:rsidR="00A77B3E" w:rsidRPr="00E549DC" w:rsidRDefault="00B677D4" w:rsidP="00C55EEF">
      <w:pPr>
        <w:adjustRightInd w:val="0"/>
        <w:snapToGrid w:val="0"/>
        <w:spacing w:line="360" w:lineRule="auto"/>
        <w:ind w:firstLineChars="100" w:firstLine="240"/>
        <w:jc w:val="both"/>
        <w:rPr>
          <w:rFonts w:ascii="Book Antiqua" w:hAnsi="Book Antiqua"/>
        </w:rPr>
      </w:pPr>
      <w:r w:rsidRPr="00E549DC">
        <w:rPr>
          <w:rFonts w:ascii="Book Antiqua" w:eastAsia="Book Antiqua" w:hAnsi="Book Antiqua" w:cs="Book Antiqua"/>
          <w:color w:val="000000"/>
        </w:rPr>
        <w:t xml:space="preserve">Over the past 3 years, the number of approved first-line systemic therapies for patients with HCC has expanded greatly, and numerous drugs and drug combinations have been evaluated in this </w:t>
      </w:r>
      <w:proofErr w:type="gramStart"/>
      <w:r w:rsidRPr="00E549DC">
        <w:rPr>
          <w:rFonts w:ascii="Book Antiqua" w:eastAsia="Book Antiqua" w:hAnsi="Book Antiqua" w:cs="Book Antiqua"/>
          <w:color w:val="000000"/>
        </w:rPr>
        <w:t>setting</w:t>
      </w:r>
      <w:r w:rsidRPr="00E549DC">
        <w:rPr>
          <w:rFonts w:ascii="Book Antiqua" w:eastAsia="Book Antiqua" w:hAnsi="Book Antiqua" w:cs="Book Antiqua"/>
          <w:color w:val="000000"/>
          <w:vertAlign w:val="superscript"/>
        </w:rPr>
        <w:t>[</w:t>
      </w:r>
      <w:proofErr w:type="gramEnd"/>
      <w:r w:rsidRPr="00E549DC">
        <w:rPr>
          <w:rFonts w:ascii="Book Antiqua" w:eastAsia="Book Antiqua" w:hAnsi="Book Antiqua" w:cs="Book Antiqua"/>
          <w:color w:val="000000"/>
          <w:vertAlign w:val="superscript"/>
        </w:rPr>
        <w:t>7]</w:t>
      </w:r>
      <w:r w:rsidRPr="00E549DC">
        <w:rPr>
          <w:rFonts w:ascii="Book Antiqua" w:eastAsia="Book Antiqua" w:hAnsi="Book Antiqua" w:cs="Book Antiqua"/>
          <w:color w:val="000000"/>
        </w:rPr>
        <w:t xml:space="preserve">. Between 2007 and 2018, sorafenib was the only approved systemic treatment for HCC based on the results of the Phase III SHARP trial, which showed a survival benefit for sorafenib </w:t>
      </w:r>
      <w:r w:rsidRPr="00E549DC">
        <w:rPr>
          <w:rFonts w:ascii="Book Antiqua" w:eastAsia="Book Antiqua" w:hAnsi="Book Antiqua" w:cs="Book Antiqua"/>
          <w:i/>
          <w:iCs/>
          <w:color w:val="000000"/>
        </w:rPr>
        <w:t>vs</w:t>
      </w:r>
      <w:r w:rsidRPr="00E549DC">
        <w:rPr>
          <w:rFonts w:ascii="Book Antiqua" w:eastAsia="Book Antiqua" w:hAnsi="Book Antiqua" w:cs="Book Antiqua"/>
          <w:color w:val="000000"/>
        </w:rPr>
        <w:t xml:space="preserve"> </w:t>
      </w:r>
      <w:proofErr w:type="gramStart"/>
      <w:r w:rsidRPr="00E549DC">
        <w:rPr>
          <w:rFonts w:ascii="Book Antiqua" w:eastAsia="Book Antiqua" w:hAnsi="Book Antiqua" w:cs="Book Antiqua"/>
          <w:color w:val="000000"/>
        </w:rPr>
        <w:t>placebo</w:t>
      </w:r>
      <w:r w:rsidRPr="00E549DC">
        <w:rPr>
          <w:rFonts w:ascii="Book Antiqua" w:eastAsia="Book Antiqua" w:hAnsi="Book Antiqua" w:cs="Book Antiqua"/>
          <w:color w:val="000000"/>
          <w:vertAlign w:val="superscript"/>
        </w:rPr>
        <w:t>[</w:t>
      </w:r>
      <w:proofErr w:type="gramEnd"/>
      <w:r w:rsidRPr="00E549DC">
        <w:rPr>
          <w:rFonts w:ascii="Book Antiqua" w:eastAsia="Book Antiqua" w:hAnsi="Book Antiqua" w:cs="Book Antiqua"/>
          <w:color w:val="000000"/>
          <w:vertAlign w:val="superscript"/>
        </w:rPr>
        <w:t>8]</w:t>
      </w:r>
      <w:r w:rsidRPr="00E549DC">
        <w:rPr>
          <w:rFonts w:ascii="Book Antiqua" w:eastAsia="Book Antiqua" w:hAnsi="Book Antiqua" w:cs="Book Antiqua"/>
          <w:color w:val="000000"/>
        </w:rPr>
        <w:t>. In the decade following the approval of sorafenib, numerous unsuccessful trials of systemic therapies in advanced HCC were conducted until the approval of lenvatinib in 2018</w:t>
      </w:r>
      <w:r w:rsidRPr="00E549DC">
        <w:rPr>
          <w:rFonts w:ascii="Book Antiqua" w:eastAsia="Book Antiqua" w:hAnsi="Book Antiqua" w:cs="Book Antiqua"/>
          <w:color w:val="000000"/>
          <w:vertAlign w:val="superscript"/>
        </w:rPr>
        <w:t>[9]</w:t>
      </w:r>
      <w:r w:rsidRPr="00E549DC">
        <w:rPr>
          <w:rFonts w:ascii="Book Antiqua" w:eastAsia="Book Antiqua" w:hAnsi="Book Antiqua" w:cs="Book Antiqua"/>
          <w:color w:val="000000"/>
        </w:rPr>
        <w:t xml:space="preserve">. Lenvatinib was approved for first-line use in advanced HCC following the successful outcome of the Phase III REFLECT trial. In this trial, lenvatinib showed </w:t>
      </w:r>
      <w:r w:rsidR="007157B3" w:rsidRPr="00E549DC">
        <w:rPr>
          <w:rFonts w:ascii="Book Antiqua" w:eastAsia="Book Antiqua" w:hAnsi="Book Antiqua" w:cs="Book Antiqua"/>
          <w:color w:val="000000"/>
        </w:rPr>
        <w:t xml:space="preserve">a </w:t>
      </w:r>
      <w:r w:rsidRPr="00E549DC">
        <w:rPr>
          <w:rFonts w:ascii="Book Antiqua" w:eastAsia="Book Antiqua" w:hAnsi="Book Antiqua" w:cs="Book Antiqua"/>
          <w:color w:val="000000"/>
        </w:rPr>
        <w:t xml:space="preserve">non-inferior overall survival (OS) </w:t>
      </w:r>
      <w:r w:rsidRPr="00E549DC">
        <w:rPr>
          <w:rFonts w:ascii="Book Antiqua" w:eastAsia="Book Antiqua" w:hAnsi="Book Antiqua" w:cs="Book Antiqua"/>
          <w:i/>
          <w:iCs/>
          <w:color w:val="000000"/>
        </w:rPr>
        <w:t>vs</w:t>
      </w:r>
      <w:r w:rsidRPr="00E549DC">
        <w:rPr>
          <w:rFonts w:ascii="Book Antiqua" w:eastAsia="Book Antiqua" w:hAnsi="Book Antiqua" w:cs="Book Antiqua"/>
          <w:color w:val="000000"/>
        </w:rPr>
        <w:t xml:space="preserve"> sorafenib for the treatment of advanced </w:t>
      </w:r>
      <w:proofErr w:type="gramStart"/>
      <w:r w:rsidRPr="00E549DC">
        <w:rPr>
          <w:rFonts w:ascii="Book Antiqua" w:eastAsia="Book Antiqua" w:hAnsi="Book Antiqua" w:cs="Book Antiqua"/>
          <w:color w:val="000000"/>
        </w:rPr>
        <w:t>HCC</w:t>
      </w:r>
      <w:r w:rsidRPr="00E549DC">
        <w:rPr>
          <w:rFonts w:ascii="Book Antiqua" w:eastAsia="Book Antiqua" w:hAnsi="Book Antiqua" w:cs="Book Antiqua"/>
          <w:color w:val="000000"/>
          <w:vertAlign w:val="superscript"/>
        </w:rPr>
        <w:t>[</w:t>
      </w:r>
      <w:proofErr w:type="gramEnd"/>
      <w:r w:rsidRPr="00E549DC">
        <w:rPr>
          <w:rFonts w:ascii="Book Antiqua" w:eastAsia="Book Antiqua" w:hAnsi="Book Antiqua" w:cs="Book Antiqua"/>
          <w:color w:val="000000"/>
          <w:vertAlign w:val="superscript"/>
        </w:rPr>
        <w:t>10]</w:t>
      </w:r>
      <w:r w:rsidRPr="00E549DC">
        <w:rPr>
          <w:rFonts w:ascii="Book Antiqua" w:eastAsia="Book Antiqua" w:hAnsi="Book Antiqua" w:cs="Book Antiqua"/>
          <w:color w:val="000000"/>
        </w:rPr>
        <w:t xml:space="preserve">. Since the approval of lenvatinib, the immunotherapy drugs nivolumab and pembrolizumab, as well as other tyrosine kinase inhibitors (TKI), have been approved for the second-line treatment of HCC. Most recently, combination therapy with the anti-PD-L1 agent </w:t>
      </w:r>
      <w:r w:rsidRPr="00E549DC">
        <w:rPr>
          <w:rFonts w:ascii="Book Antiqua" w:eastAsia="Book Antiqua" w:hAnsi="Book Antiqua" w:cs="Book Antiqua"/>
          <w:color w:val="000000"/>
        </w:rPr>
        <w:lastRenderedPageBreak/>
        <w:t xml:space="preserve">atezolizumab plus bevacizumab demonstrated better OS and progression-free survival (PFS) than sorafenib in the Phase III IMbrave 150 </w:t>
      </w:r>
      <w:proofErr w:type="gramStart"/>
      <w:r w:rsidRPr="00E549DC">
        <w:rPr>
          <w:rFonts w:ascii="Book Antiqua" w:eastAsia="Book Antiqua" w:hAnsi="Book Antiqua" w:cs="Book Antiqua"/>
          <w:color w:val="000000"/>
        </w:rPr>
        <w:t>trial</w:t>
      </w:r>
      <w:r w:rsidRPr="00E549DC">
        <w:rPr>
          <w:rFonts w:ascii="Book Antiqua" w:eastAsia="Book Antiqua" w:hAnsi="Book Antiqua" w:cs="Book Antiqua"/>
          <w:color w:val="000000"/>
          <w:vertAlign w:val="superscript"/>
        </w:rPr>
        <w:t>[</w:t>
      </w:r>
      <w:proofErr w:type="gramEnd"/>
      <w:r w:rsidRPr="00E549DC">
        <w:rPr>
          <w:rFonts w:ascii="Book Antiqua" w:eastAsia="Book Antiqua" w:hAnsi="Book Antiqua" w:cs="Book Antiqua"/>
          <w:color w:val="000000"/>
          <w:vertAlign w:val="superscript"/>
        </w:rPr>
        <w:t>11]</w:t>
      </w:r>
      <w:r w:rsidRPr="00E549DC">
        <w:rPr>
          <w:rFonts w:ascii="Book Antiqua" w:eastAsia="Book Antiqua" w:hAnsi="Book Antiqua" w:cs="Book Antiqua"/>
          <w:color w:val="000000"/>
        </w:rPr>
        <w:t>.</w:t>
      </w:r>
    </w:p>
    <w:p w14:paraId="698ECED7" w14:textId="64A7250B" w:rsidR="00A77B3E" w:rsidRPr="00E549DC" w:rsidRDefault="00B677D4" w:rsidP="00C55EEF">
      <w:pPr>
        <w:adjustRightInd w:val="0"/>
        <w:snapToGrid w:val="0"/>
        <w:spacing w:line="360" w:lineRule="auto"/>
        <w:ind w:firstLine="480"/>
        <w:jc w:val="both"/>
        <w:rPr>
          <w:rFonts w:ascii="Book Antiqua" w:hAnsi="Book Antiqua"/>
        </w:rPr>
      </w:pPr>
      <w:r w:rsidRPr="00E549DC">
        <w:rPr>
          <w:rFonts w:ascii="Book Antiqua" w:eastAsia="Book Antiqua" w:hAnsi="Book Antiqua" w:cs="Book Antiqua"/>
          <w:color w:val="000000"/>
        </w:rPr>
        <w:t xml:space="preserve">The expansion of first-line treatment options for advanced HCC represents a significant advance in the treatment of this disease. However, further data would be useful to inform treatment selection. Most clinical trials of first-line therapies for HCC used placebo or sorafenib as comparators and there are limited data providing a cross comparison of the efficacy and safety of drugs in this setting. Furthermore, although lenvatinib is widely seen as a standard of care in real clinical practice and is a recommended first-line therapy in most international treatment </w:t>
      </w:r>
      <w:proofErr w:type="gramStart"/>
      <w:r w:rsidRPr="00E549DC">
        <w:rPr>
          <w:rFonts w:ascii="Book Antiqua" w:eastAsia="Book Antiqua" w:hAnsi="Book Antiqua" w:cs="Book Antiqua"/>
          <w:color w:val="000000"/>
        </w:rPr>
        <w:t>guidelines</w:t>
      </w:r>
      <w:r w:rsidRPr="00E549DC">
        <w:rPr>
          <w:rFonts w:ascii="Book Antiqua" w:eastAsia="Book Antiqua" w:hAnsi="Book Antiqua" w:cs="Book Antiqua"/>
          <w:color w:val="000000"/>
          <w:vertAlign w:val="superscript"/>
        </w:rPr>
        <w:t>[</w:t>
      </w:r>
      <w:proofErr w:type="gramEnd"/>
      <w:r w:rsidRPr="00E549DC">
        <w:rPr>
          <w:rFonts w:ascii="Book Antiqua" w:eastAsia="Book Antiqua" w:hAnsi="Book Antiqua" w:cs="Book Antiqua"/>
          <w:color w:val="000000"/>
          <w:vertAlign w:val="superscript"/>
        </w:rPr>
        <w:t>4,12,13]</w:t>
      </w:r>
      <w:r w:rsidRPr="00E549DC">
        <w:rPr>
          <w:rFonts w:ascii="Book Antiqua" w:eastAsia="Book Antiqua" w:hAnsi="Book Antiqua" w:cs="Book Antiqua"/>
          <w:color w:val="000000"/>
        </w:rPr>
        <w:t>, there are limited head-to-head data comparing lenvatinib with other systemic therapies. Finally, although historically systemic treatments for HCC were associated with low tumor response rates, recently approved therapies have been associated with response rates &gt; 30</w:t>
      </w:r>
      <w:proofErr w:type="gramStart"/>
      <w:r w:rsidRPr="00E549DC">
        <w:rPr>
          <w:rFonts w:ascii="Book Antiqua" w:eastAsia="Book Antiqua" w:hAnsi="Book Antiqua" w:cs="Book Antiqua"/>
          <w:color w:val="000000"/>
        </w:rPr>
        <w:t>%</w:t>
      </w:r>
      <w:r w:rsidRPr="00E549DC">
        <w:rPr>
          <w:rFonts w:ascii="Book Antiqua" w:eastAsia="Book Antiqua" w:hAnsi="Book Antiqua" w:cs="Book Antiqua"/>
          <w:color w:val="000000"/>
          <w:vertAlign w:val="superscript"/>
        </w:rPr>
        <w:t>[</w:t>
      </w:r>
      <w:proofErr w:type="gramEnd"/>
      <w:r w:rsidRPr="00E549DC">
        <w:rPr>
          <w:rFonts w:ascii="Book Antiqua" w:eastAsia="Book Antiqua" w:hAnsi="Book Antiqua" w:cs="Book Antiqua"/>
          <w:color w:val="000000"/>
          <w:vertAlign w:val="superscript"/>
        </w:rPr>
        <w:t>14]</w:t>
      </w:r>
      <w:r w:rsidRPr="00E549DC">
        <w:rPr>
          <w:rFonts w:ascii="Book Antiqua" w:eastAsia="Book Antiqua" w:hAnsi="Book Antiqua" w:cs="Book Antiqua"/>
          <w:color w:val="000000"/>
        </w:rPr>
        <w:t>. This has led to renewed interest in tumor response rates in HCC, and investigation of downstaging and conversion therapy strategies. A comparison of response rates for all currently available therapies would therefore be of clinical value.</w:t>
      </w:r>
    </w:p>
    <w:p w14:paraId="26A1FE0D" w14:textId="77777777" w:rsidR="00A77B3E" w:rsidRPr="00E549DC" w:rsidRDefault="00B677D4" w:rsidP="00C55EEF">
      <w:pPr>
        <w:adjustRightInd w:val="0"/>
        <w:snapToGrid w:val="0"/>
        <w:spacing w:line="360" w:lineRule="auto"/>
        <w:ind w:firstLineChars="100" w:firstLine="240"/>
        <w:jc w:val="both"/>
        <w:rPr>
          <w:rFonts w:ascii="Book Antiqua" w:hAnsi="Book Antiqua"/>
        </w:rPr>
      </w:pPr>
      <w:r w:rsidRPr="00E549DC">
        <w:rPr>
          <w:rFonts w:ascii="Book Antiqua" w:eastAsia="Book Antiqua" w:hAnsi="Book Antiqua" w:cs="Book Antiqua"/>
          <w:color w:val="000000"/>
        </w:rPr>
        <w:t xml:space="preserve">This network meta-analysis was conducted to systematically review and compare the response rates, survival outcomes, and safety reported by randomized trials of first-line systemic therapies in patients with advanced unresectable HCC, and to provide a comparison between lenvatinib and other systemic therapies in this setting. Two recent meta-analyses have investigated a similar topic to the present study; however, one did not include data on atezolizumab plus bevacizumab and excluded non-targeted </w:t>
      </w:r>
      <w:proofErr w:type="gramStart"/>
      <w:r w:rsidRPr="00E549DC">
        <w:rPr>
          <w:rFonts w:ascii="Book Antiqua" w:eastAsia="Book Antiqua" w:hAnsi="Book Antiqua" w:cs="Book Antiqua"/>
          <w:color w:val="000000"/>
        </w:rPr>
        <w:t>therapies</w:t>
      </w:r>
      <w:r w:rsidRPr="00E549DC">
        <w:rPr>
          <w:rFonts w:ascii="Book Antiqua" w:eastAsia="Book Antiqua" w:hAnsi="Book Antiqua" w:cs="Book Antiqua"/>
          <w:color w:val="000000"/>
          <w:vertAlign w:val="superscript"/>
        </w:rPr>
        <w:t>[</w:t>
      </w:r>
      <w:proofErr w:type="gramEnd"/>
      <w:r w:rsidRPr="00E549DC">
        <w:rPr>
          <w:rFonts w:ascii="Book Antiqua" w:eastAsia="Book Antiqua" w:hAnsi="Book Antiqua" w:cs="Book Antiqua"/>
          <w:color w:val="000000"/>
          <w:vertAlign w:val="superscript"/>
        </w:rPr>
        <w:t>15]</w:t>
      </w:r>
      <w:r w:rsidRPr="00E549DC">
        <w:rPr>
          <w:rFonts w:ascii="Book Antiqua" w:eastAsia="Book Antiqua" w:hAnsi="Book Antiqua" w:cs="Book Antiqua"/>
          <w:color w:val="000000"/>
        </w:rPr>
        <w:t>, and a more recent analysis focused on treatment sequencing by investigating survival outcomes only</w:t>
      </w:r>
      <w:r w:rsidRPr="00E549DC">
        <w:rPr>
          <w:rFonts w:ascii="Book Antiqua" w:eastAsia="Book Antiqua" w:hAnsi="Book Antiqua" w:cs="Book Antiqua"/>
          <w:color w:val="000000"/>
          <w:vertAlign w:val="superscript"/>
        </w:rPr>
        <w:t>[16]</w:t>
      </w:r>
      <w:r w:rsidRPr="00E549DC">
        <w:rPr>
          <w:rFonts w:ascii="Book Antiqua" w:eastAsia="Book Antiqua" w:hAnsi="Book Antiqua" w:cs="Book Antiqua"/>
          <w:color w:val="000000"/>
        </w:rPr>
        <w:t xml:space="preserve">. Therefore, although there is some overlap with the present analysis, these studies are complementary to each other. In particular, the present analysis is the first to include data on donafenib, a Chinese drug that has shown a superior OS to sorafenib in a Phase III </w:t>
      </w:r>
      <w:proofErr w:type="gramStart"/>
      <w:r w:rsidRPr="00E549DC">
        <w:rPr>
          <w:rFonts w:ascii="Book Antiqua" w:eastAsia="Book Antiqua" w:hAnsi="Book Antiqua" w:cs="Book Antiqua"/>
          <w:color w:val="000000"/>
        </w:rPr>
        <w:t>trial</w:t>
      </w:r>
      <w:r w:rsidRPr="00E549DC">
        <w:rPr>
          <w:rFonts w:ascii="Book Antiqua" w:eastAsia="Book Antiqua" w:hAnsi="Book Antiqua" w:cs="Book Antiqua"/>
          <w:color w:val="000000"/>
          <w:vertAlign w:val="superscript"/>
        </w:rPr>
        <w:t>[</w:t>
      </w:r>
      <w:proofErr w:type="gramEnd"/>
      <w:r w:rsidRPr="00E549DC">
        <w:rPr>
          <w:rFonts w:ascii="Book Antiqua" w:eastAsia="Book Antiqua" w:hAnsi="Book Antiqua" w:cs="Book Antiqua"/>
          <w:color w:val="000000"/>
          <w:vertAlign w:val="superscript"/>
        </w:rPr>
        <w:t>17]</w:t>
      </w:r>
      <w:r w:rsidRPr="00E549DC">
        <w:rPr>
          <w:rFonts w:ascii="Book Antiqua" w:eastAsia="Book Antiqua" w:hAnsi="Book Antiqua" w:cs="Book Antiqua"/>
          <w:color w:val="000000"/>
        </w:rPr>
        <w:t xml:space="preserve">. Furthermore, our analysis </w:t>
      </w:r>
      <w:r w:rsidRPr="00E549DC">
        <w:rPr>
          <w:rFonts w:ascii="Book Antiqua" w:eastAsia="Book Antiqua" w:hAnsi="Book Antiqua" w:cs="Book Antiqua"/>
          <w:color w:val="000000"/>
        </w:rPr>
        <w:lastRenderedPageBreak/>
        <w:t>includes data on survival, response rate, and safety, which in combination are important for treatment decision-making, particularly for patients who may be candidates for downstaging. Finally, the present meta-analysis included a sub-group analysis of patients with HBV infection, which is an important population in the Asia-Pacific region and has not been covered by other current meta-analyses.</w:t>
      </w:r>
    </w:p>
    <w:p w14:paraId="2F9BFA70" w14:textId="77777777" w:rsidR="00A77B3E" w:rsidRPr="00E549DC" w:rsidRDefault="00A77B3E" w:rsidP="00C55EEF">
      <w:pPr>
        <w:adjustRightInd w:val="0"/>
        <w:snapToGrid w:val="0"/>
        <w:spacing w:line="360" w:lineRule="auto"/>
        <w:jc w:val="both"/>
        <w:rPr>
          <w:rFonts w:ascii="Book Antiqua" w:hAnsi="Book Antiqua"/>
        </w:rPr>
      </w:pPr>
    </w:p>
    <w:p w14:paraId="0DE359A1" w14:textId="77777777" w:rsidR="00A77B3E" w:rsidRPr="00E549DC" w:rsidRDefault="00B677D4" w:rsidP="00C55EEF">
      <w:pPr>
        <w:adjustRightInd w:val="0"/>
        <w:snapToGrid w:val="0"/>
        <w:spacing w:line="360" w:lineRule="auto"/>
        <w:jc w:val="both"/>
        <w:rPr>
          <w:rFonts w:ascii="Book Antiqua" w:hAnsi="Book Antiqua"/>
        </w:rPr>
      </w:pPr>
      <w:r w:rsidRPr="00E549DC">
        <w:rPr>
          <w:rFonts w:ascii="Book Antiqua" w:eastAsia="Book Antiqua" w:hAnsi="Book Antiqua" w:cs="Book Antiqua"/>
          <w:b/>
          <w:caps/>
          <w:color w:val="000000"/>
          <w:u w:val="single"/>
        </w:rPr>
        <w:t>MATERIALS AND METHODS</w:t>
      </w:r>
    </w:p>
    <w:p w14:paraId="65F23F24" w14:textId="67F81868" w:rsidR="00A77B3E" w:rsidRPr="00E549DC" w:rsidRDefault="00B677D4" w:rsidP="00C55EEF">
      <w:pPr>
        <w:adjustRightInd w:val="0"/>
        <w:snapToGrid w:val="0"/>
        <w:spacing w:line="360" w:lineRule="auto"/>
        <w:jc w:val="both"/>
        <w:rPr>
          <w:rFonts w:ascii="Book Antiqua" w:hAnsi="Book Antiqua"/>
        </w:rPr>
      </w:pPr>
      <w:r w:rsidRPr="00E549DC">
        <w:rPr>
          <w:rFonts w:ascii="Book Antiqua" w:eastAsia="Book Antiqua" w:hAnsi="Book Antiqua" w:cs="Book Antiqua"/>
          <w:color w:val="000000"/>
        </w:rPr>
        <w:t xml:space="preserve">The analysis methods and inclusion criteria for this study were specified in advance and the protocol was prospectively submitted for registration in the </w:t>
      </w:r>
      <w:r w:rsidR="00261D8A" w:rsidRPr="00E549DC">
        <w:rPr>
          <w:rFonts w:ascii="Book Antiqua" w:eastAsia="Book Antiqua" w:hAnsi="Book Antiqua" w:cs="Book Antiqua"/>
          <w:color w:val="000000"/>
        </w:rPr>
        <w:t xml:space="preserve">PROSPERO </w:t>
      </w:r>
      <w:r w:rsidRPr="00E549DC">
        <w:rPr>
          <w:rFonts w:ascii="Book Antiqua" w:eastAsia="Book Antiqua" w:hAnsi="Book Antiqua" w:cs="Book Antiqua"/>
          <w:color w:val="000000"/>
        </w:rPr>
        <w:t>database on May 26, 2020. This report has been written in</w:t>
      </w:r>
      <w:r w:rsidR="00261D8A" w:rsidRPr="00E549DC">
        <w:rPr>
          <w:rFonts w:ascii="Book Antiqua" w:eastAsia="Book Antiqua" w:hAnsi="Book Antiqua" w:cs="Book Antiqua"/>
          <w:color w:val="000000"/>
        </w:rPr>
        <w:t xml:space="preserve"> </w:t>
      </w:r>
      <w:r w:rsidRPr="00E549DC">
        <w:rPr>
          <w:rFonts w:ascii="Book Antiqua" w:eastAsia="Book Antiqua" w:hAnsi="Book Antiqua" w:cs="Book Antiqua"/>
          <w:color w:val="000000"/>
        </w:rPr>
        <w:t xml:space="preserve">line with the </w:t>
      </w:r>
      <w:r w:rsidR="00261D8A" w:rsidRPr="00E549DC">
        <w:rPr>
          <w:rFonts w:ascii="Book Antiqua" w:eastAsia="Book Antiqua" w:hAnsi="Book Antiqua" w:cs="Book Antiqua"/>
          <w:color w:val="000000"/>
        </w:rPr>
        <w:t xml:space="preserve">PRISMA </w:t>
      </w:r>
      <w:r w:rsidRPr="00E549DC">
        <w:rPr>
          <w:rFonts w:ascii="Book Antiqua" w:eastAsia="Book Antiqua" w:hAnsi="Book Antiqua" w:cs="Book Antiqua"/>
          <w:color w:val="000000"/>
        </w:rPr>
        <w:t>guidelines for network meta-analyses.</w:t>
      </w:r>
    </w:p>
    <w:p w14:paraId="196D3720" w14:textId="77777777" w:rsidR="00A77B3E" w:rsidRPr="00E549DC" w:rsidRDefault="00A77B3E" w:rsidP="00C55EEF">
      <w:pPr>
        <w:adjustRightInd w:val="0"/>
        <w:snapToGrid w:val="0"/>
        <w:spacing w:line="360" w:lineRule="auto"/>
        <w:jc w:val="both"/>
        <w:rPr>
          <w:rFonts w:ascii="Book Antiqua" w:hAnsi="Book Antiqua"/>
        </w:rPr>
      </w:pPr>
    </w:p>
    <w:p w14:paraId="0DE88172" w14:textId="77777777" w:rsidR="00A77B3E" w:rsidRPr="00E549DC" w:rsidRDefault="00B677D4" w:rsidP="00C55EEF">
      <w:pPr>
        <w:adjustRightInd w:val="0"/>
        <w:snapToGrid w:val="0"/>
        <w:spacing w:line="360" w:lineRule="auto"/>
        <w:jc w:val="both"/>
        <w:rPr>
          <w:rFonts w:ascii="Book Antiqua" w:hAnsi="Book Antiqua"/>
        </w:rPr>
      </w:pPr>
      <w:r w:rsidRPr="00E549DC">
        <w:rPr>
          <w:rFonts w:ascii="Book Antiqua" w:eastAsia="Book Antiqua" w:hAnsi="Book Antiqua" w:cs="Book Antiqua"/>
          <w:b/>
          <w:bCs/>
          <w:i/>
          <w:iCs/>
          <w:color w:val="000000"/>
        </w:rPr>
        <w:t>Eligibility criteria</w:t>
      </w:r>
    </w:p>
    <w:p w14:paraId="2BBABC72" w14:textId="0BE331B5" w:rsidR="00A77B3E" w:rsidRPr="00E549DC" w:rsidRDefault="00B677D4" w:rsidP="00C55EEF">
      <w:pPr>
        <w:adjustRightInd w:val="0"/>
        <w:snapToGrid w:val="0"/>
        <w:spacing w:line="360" w:lineRule="auto"/>
        <w:jc w:val="both"/>
        <w:rPr>
          <w:rFonts w:ascii="Book Antiqua" w:hAnsi="Book Antiqua"/>
        </w:rPr>
      </w:pPr>
      <w:r w:rsidRPr="00E549DC">
        <w:rPr>
          <w:rFonts w:ascii="Book Antiqua" w:eastAsia="Book Antiqua" w:hAnsi="Book Antiqua" w:cs="Book Antiqua"/>
          <w:color w:val="000000"/>
        </w:rPr>
        <w:t>This analysis included randomized controlled trials conducted in adult patients (age ≥ 18 years) with advanced or unresectable HCC not eligible for, or with disease progression after, surgical or locoregional therapies. Eligible studies included patients with Child</w:t>
      </w:r>
      <w:r w:rsidR="00F57FDA" w:rsidRPr="00E549DC">
        <w:rPr>
          <w:rFonts w:ascii="Book Antiqua" w:eastAsia="Book Antiqua" w:hAnsi="Book Antiqua" w:cs="Book Antiqua"/>
          <w:color w:val="000000"/>
        </w:rPr>
        <w:t>-</w:t>
      </w:r>
      <w:r w:rsidRPr="00E549DC">
        <w:rPr>
          <w:rFonts w:ascii="Book Antiqua" w:eastAsia="Book Antiqua" w:hAnsi="Book Antiqua" w:cs="Book Antiqua"/>
          <w:color w:val="000000"/>
        </w:rPr>
        <w:t>Pugh Class A or B liver function, ≥ 1 measurable lesion, and no evidence of untreated brain or meningeal metastases. Eligible studies were also required to report at least an assessment of tumor response, survival [OS, PFS, or time to progression (TTP)], and safety. The analysis excluded studies including patients with Child</w:t>
      </w:r>
      <w:r w:rsidR="008F2E53" w:rsidRPr="00E549DC">
        <w:rPr>
          <w:rFonts w:ascii="Book Antiqua" w:eastAsia="Book Antiqua" w:hAnsi="Book Antiqua" w:cs="Book Antiqua"/>
          <w:color w:val="000000"/>
        </w:rPr>
        <w:t>-</w:t>
      </w:r>
      <w:r w:rsidRPr="00E549DC">
        <w:rPr>
          <w:rFonts w:ascii="Book Antiqua" w:eastAsia="Book Antiqua" w:hAnsi="Book Antiqua" w:cs="Book Antiqua"/>
          <w:color w:val="000000"/>
        </w:rPr>
        <w:t xml:space="preserve">Pugh Class C liver function, patients receiving anticoagulation therapy or antiretroviral therapy for HIV, and patients who had received previous systemic treatment. These broad eligibility criteria covered a number of trials reporting negative results </w:t>
      </w:r>
      <w:r w:rsidRPr="00E549DC">
        <w:rPr>
          <w:rFonts w:ascii="Book Antiqua" w:eastAsia="Book Antiqua" w:hAnsi="Book Antiqua" w:cs="Book Antiqua"/>
          <w:i/>
          <w:iCs/>
          <w:color w:val="000000"/>
        </w:rPr>
        <w:t>vs</w:t>
      </w:r>
      <w:r w:rsidRPr="00E549DC">
        <w:rPr>
          <w:rFonts w:ascii="Book Antiqua" w:eastAsia="Book Antiqua" w:hAnsi="Book Antiqua" w:cs="Book Antiqua"/>
          <w:color w:val="000000"/>
        </w:rPr>
        <w:t xml:space="preserve"> sorafenib. Although the analysis therefore includes mu</w:t>
      </w:r>
      <w:r w:rsidR="00261D8A" w:rsidRPr="00E549DC">
        <w:rPr>
          <w:rFonts w:ascii="Book Antiqua" w:eastAsia="Book Antiqua" w:hAnsi="Book Antiqua" w:cs="Book Antiqua"/>
          <w:color w:val="000000"/>
        </w:rPr>
        <w:t>l</w:t>
      </w:r>
      <w:r w:rsidRPr="00E549DC">
        <w:rPr>
          <w:rFonts w:ascii="Book Antiqua" w:eastAsia="Book Antiqua" w:hAnsi="Book Antiqua" w:cs="Book Antiqua"/>
          <w:color w:val="000000"/>
        </w:rPr>
        <w:t>tiple therapies that failed clinical trials in HCC, this allowed the collection of data for sorafenib from studies conducted over a wide time range, which improved the precision of the analysis.</w:t>
      </w:r>
    </w:p>
    <w:p w14:paraId="35DC2693" w14:textId="77777777" w:rsidR="00A77B3E" w:rsidRPr="00E549DC" w:rsidRDefault="00A77B3E" w:rsidP="00C55EEF">
      <w:pPr>
        <w:adjustRightInd w:val="0"/>
        <w:snapToGrid w:val="0"/>
        <w:spacing w:line="360" w:lineRule="auto"/>
        <w:jc w:val="both"/>
        <w:rPr>
          <w:rFonts w:ascii="Book Antiqua" w:hAnsi="Book Antiqua"/>
        </w:rPr>
      </w:pPr>
    </w:p>
    <w:p w14:paraId="59C0A1FA" w14:textId="77777777" w:rsidR="00A77B3E" w:rsidRPr="00E549DC" w:rsidRDefault="00B677D4" w:rsidP="00C55EEF">
      <w:pPr>
        <w:adjustRightInd w:val="0"/>
        <w:snapToGrid w:val="0"/>
        <w:spacing w:line="360" w:lineRule="auto"/>
        <w:jc w:val="both"/>
        <w:rPr>
          <w:rFonts w:ascii="Book Antiqua" w:hAnsi="Book Antiqua"/>
        </w:rPr>
      </w:pPr>
      <w:r w:rsidRPr="00E549DC">
        <w:rPr>
          <w:rFonts w:ascii="Book Antiqua" w:eastAsia="Book Antiqua" w:hAnsi="Book Antiqua" w:cs="Book Antiqua"/>
          <w:b/>
          <w:bCs/>
          <w:i/>
          <w:iCs/>
          <w:color w:val="000000"/>
        </w:rPr>
        <w:t>Information sources, search strategy, and study selection</w:t>
      </w:r>
    </w:p>
    <w:p w14:paraId="4E12E616" w14:textId="53B27618" w:rsidR="00A77B3E" w:rsidRPr="00E549DC" w:rsidRDefault="00B677D4" w:rsidP="00C55EEF">
      <w:pPr>
        <w:adjustRightInd w:val="0"/>
        <w:snapToGrid w:val="0"/>
        <w:spacing w:line="360" w:lineRule="auto"/>
        <w:jc w:val="both"/>
        <w:rPr>
          <w:rFonts w:ascii="Book Antiqua" w:hAnsi="Book Antiqua"/>
        </w:rPr>
      </w:pPr>
      <w:r w:rsidRPr="00E549DC">
        <w:rPr>
          <w:rFonts w:ascii="Book Antiqua" w:eastAsia="Book Antiqua" w:hAnsi="Book Antiqua" w:cs="Book Antiqua"/>
          <w:color w:val="000000"/>
        </w:rPr>
        <w:t xml:space="preserve">Studies were identified by searching the following electronic databases: PubMed, Science Direct, </w:t>
      </w:r>
      <w:r w:rsidR="00261D8A" w:rsidRPr="00E549DC">
        <w:rPr>
          <w:rFonts w:ascii="Book Antiqua" w:eastAsia="Book Antiqua" w:hAnsi="Book Antiqua" w:cs="Book Antiqua"/>
          <w:color w:val="000000"/>
        </w:rPr>
        <w:t xml:space="preserve">and </w:t>
      </w:r>
      <w:r w:rsidRPr="00E549DC">
        <w:rPr>
          <w:rFonts w:ascii="Book Antiqua" w:eastAsia="Book Antiqua" w:hAnsi="Book Antiqua" w:cs="Book Antiqua"/>
          <w:color w:val="000000"/>
        </w:rPr>
        <w:t xml:space="preserve">the Cochrane Database, and Excerpta Medica Database Abstracts from the </w:t>
      </w:r>
      <w:r w:rsidR="00A5153A" w:rsidRPr="00E549DC">
        <w:rPr>
          <w:rFonts w:ascii="Book Antiqua" w:eastAsia="Book Antiqua" w:hAnsi="Book Antiqua" w:cs="Book Antiqua"/>
          <w:color w:val="000000"/>
        </w:rPr>
        <w:t>American Society of Clinical Oncology (</w:t>
      </w:r>
      <w:r w:rsidRPr="00E549DC">
        <w:rPr>
          <w:rFonts w:ascii="Book Antiqua" w:eastAsia="Book Antiqua" w:hAnsi="Book Antiqua" w:cs="Book Antiqua"/>
          <w:color w:val="000000"/>
        </w:rPr>
        <w:t>ASCO</w:t>
      </w:r>
      <w:r w:rsidR="00A5153A" w:rsidRPr="00E549DC">
        <w:rPr>
          <w:rFonts w:ascii="Book Antiqua" w:eastAsia="Book Antiqua" w:hAnsi="Book Antiqua" w:cs="Book Antiqua"/>
          <w:color w:val="000000"/>
        </w:rPr>
        <w:t>)</w:t>
      </w:r>
      <w:r w:rsidRPr="00E549DC">
        <w:rPr>
          <w:rFonts w:ascii="Book Antiqua" w:eastAsia="Book Antiqua" w:hAnsi="Book Antiqua" w:cs="Book Antiqua"/>
          <w:color w:val="000000"/>
        </w:rPr>
        <w:t xml:space="preserve"> 2020 annual congress were also searched. The search was completed on May 21, 2020 using the search terms shown in Figure 1.</w:t>
      </w:r>
    </w:p>
    <w:p w14:paraId="4611B3E8" w14:textId="77777777" w:rsidR="00A77B3E" w:rsidRPr="00E549DC" w:rsidRDefault="00B677D4" w:rsidP="00C55EEF">
      <w:pPr>
        <w:adjustRightInd w:val="0"/>
        <w:snapToGrid w:val="0"/>
        <w:spacing w:line="360" w:lineRule="auto"/>
        <w:ind w:firstLineChars="100" w:firstLine="240"/>
        <w:jc w:val="both"/>
        <w:rPr>
          <w:rFonts w:ascii="Book Antiqua" w:hAnsi="Book Antiqua"/>
        </w:rPr>
      </w:pPr>
      <w:r w:rsidRPr="00E549DC">
        <w:rPr>
          <w:rFonts w:ascii="Book Antiqua" w:eastAsia="Book Antiqua" w:hAnsi="Book Antiqua" w:cs="Book Antiqua"/>
          <w:color w:val="000000"/>
        </w:rPr>
        <w:t xml:space="preserve">The Cochrane risk of bias tool for randomized controlled trials was used to assess the quality and risk of bias of studies included in the </w:t>
      </w:r>
      <w:proofErr w:type="gramStart"/>
      <w:r w:rsidRPr="00E549DC">
        <w:rPr>
          <w:rFonts w:ascii="Book Antiqua" w:eastAsia="Book Antiqua" w:hAnsi="Book Antiqua" w:cs="Book Antiqua"/>
          <w:color w:val="000000"/>
        </w:rPr>
        <w:t>analysis</w:t>
      </w:r>
      <w:r w:rsidRPr="00E549DC">
        <w:rPr>
          <w:rFonts w:ascii="Book Antiqua" w:eastAsia="Book Antiqua" w:hAnsi="Book Antiqua" w:cs="Book Antiqua"/>
          <w:color w:val="000000"/>
          <w:vertAlign w:val="superscript"/>
        </w:rPr>
        <w:t>[</w:t>
      </w:r>
      <w:proofErr w:type="gramEnd"/>
      <w:r w:rsidRPr="00E549DC">
        <w:rPr>
          <w:rFonts w:ascii="Book Antiqua" w:eastAsia="Book Antiqua" w:hAnsi="Book Antiqua" w:cs="Book Antiqua"/>
          <w:color w:val="000000"/>
          <w:vertAlign w:val="superscript"/>
        </w:rPr>
        <w:t>18]</w:t>
      </w:r>
      <w:r w:rsidRPr="00E549DC">
        <w:rPr>
          <w:rFonts w:ascii="Book Antiqua" w:eastAsia="Book Antiqua" w:hAnsi="Book Antiqua" w:cs="Book Antiqua"/>
          <w:color w:val="000000"/>
        </w:rPr>
        <w:t>.</w:t>
      </w:r>
    </w:p>
    <w:p w14:paraId="302FA3EC" w14:textId="77777777" w:rsidR="00A77B3E" w:rsidRPr="00E549DC" w:rsidRDefault="00A77B3E" w:rsidP="00C55EEF">
      <w:pPr>
        <w:adjustRightInd w:val="0"/>
        <w:snapToGrid w:val="0"/>
        <w:spacing w:line="360" w:lineRule="auto"/>
        <w:ind w:firstLine="480"/>
        <w:jc w:val="both"/>
        <w:rPr>
          <w:rFonts w:ascii="Book Antiqua" w:hAnsi="Book Antiqua"/>
        </w:rPr>
      </w:pPr>
    </w:p>
    <w:p w14:paraId="2EB06A01" w14:textId="77777777" w:rsidR="00A77B3E" w:rsidRPr="00E549DC" w:rsidRDefault="00B677D4" w:rsidP="00C55EEF">
      <w:pPr>
        <w:adjustRightInd w:val="0"/>
        <w:snapToGrid w:val="0"/>
        <w:spacing w:line="360" w:lineRule="auto"/>
        <w:jc w:val="both"/>
        <w:rPr>
          <w:rFonts w:ascii="Book Antiqua" w:hAnsi="Book Antiqua"/>
        </w:rPr>
      </w:pPr>
      <w:r w:rsidRPr="00E549DC">
        <w:rPr>
          <w:rFonts w:ascii="Book Antiqua" w:eastAsia="Book Antiqua" w:hAnsi="Book Antiqua" w:cs="Book Antiqua"/>
          <w:b/>
          <w:bCs/>
          <w:i/>
          <w:iCs/>
          <w:color w:val="000000"/>
        </w:rPr>
        <w:t>Data extraction</w:t>
      </w:r>
    </w:p>
    <w:p w14:paraId="40DF76F7" w14:textId="07340375" w:rsidR="00A77B3E" w:rsidRPr="00E549DC" w:rsidRDefault="00B677D4" w:rsidP="00C55EEF">
      <w:pPr>
        <w:adjustRightInd w:val="0"/>
        <w:snapToGrid w:val="0"/>
        <w:spacing w:line="360" w:lineRule="auto"/>
        <w:jc w:val="both"/>
        <w:rPr>
          <w:rFonts w:ascii="Book Antiqua" w:hAnsi="Book Antiqua"/>
        </w:rPr>
      </w:pPr>
      <w:r w:rsidRPr="00E549DC">
        <w:rPr>
          <w:rFonts w:ascii="Book Antiqua" w:eastAsia="Book Antiqua" w:hAnsi="Book Antiqua" w:cs="Book Antiqua"/>
          <w:color w:val="000000"/>
        </w:rPr>
        <w:t>Data were independently extracted by two evaluators (Luo JF</w:t>
      </w:r>
      <w:r w:rsidR="00261D8A" w:rsidRPr="00E549DC">
        <w:rPr>
          <w:rFonts w:ascii="Book Antiqua" w:eastAsia="Book Antiqua" w:hAnsi="Book Antiqua" w:cs="Book Antiqua"/>
          <w:color w:val="000000"/>
        </w:rPr>
        <w:t xml:space="preserve"> and </w:t>
      </w:r>
      <w:r w:rsidRPr="00E549DC">
        <w:rPr>
          <w:rFonts w:ascii="Book Antiqua" w:eastAsia="Book Antiqua" w:hAnsi="Book Antiqua" w:cs="Book Antiqua"/>
          <w:color w:val="000000"/>
        </w:rPr>
        <w:t xml:space="preserve">Huang XQ) and cross-checked. In the case of disagreement, the original documents were checked and the correct data confirmed. General information extracted included journal name, document title, publication time, author, country, region where the lead author </w:t>
      </w:r>
      <w:r w:rsidR="00261D8A" w:rsidRPr="00E549DC">
        <w:rPr>
          <w:rFonts w:ascii="Book Antiqua" w:eastAsia="Book Antiqua" w:hAnsi="Book Antiqua" w:cs="Book Antiqua"/>
          <w:color w:val="000000"/>
        </w:rPr>
        <w:t xml:space="preserve">was </w:t>
      </w:r>
      <w:r w:rsidRPr="00E549DC">
        <w:rPr>
          <w:rFonts w:ascii="Book Antiqua" w:eastAsia="Book Antiqua" w:hAnsi="Book Antiqua" w:cs="Book Antiqua"/>
          <w:color w:val="000000"/>
        </w:rPr>
        <w:t xml:space="preserve">located, and the country and region where the research was conducted. Demographics and baseline characteristics extracted were patient age, gender, </w:t>
      </w:r>
      <w:r w:rsidR="00261D8A" w:rsidRPr="00E549DC">
        <w:rPr>
          <w:rFonts w:ascii="Book Antiqua" w:eastAsia="Book Antiqua" w:hAnsi="Book Antiqua" w:cs="Book Antiqua"/>
          <w:color w:val="000000"/>
        </w:rPr>
        <w:t xml:space="preserve">Barcelona </w:t>
      </w:r>
      <w:r w:rsidRPr="00E549DC">
        <w:rPr>
          <w:rFonts w:ascii="Book Antiqua" w:eastAsia="Book Antiqua" w:hAnsi="Book Antiqua" w:cs="Book Antiqua"/>
          <w:color w:val="000000"/>
        </w:rPr>
        <w:t xml:space="preserve">clinic liver cancer classification, Eastern Co-operative Oncology Group performance status, prevalence of HBV infection, and presence of extrahepatic vascular infiltration and extrahepatic metastasis. Details of interventions extracted included dosage and dose schedule. Efficacy and safety endpoints extracted (where available) were overall response rate [ORR; assessed by response evaluation criteria in solid tumours (RECIST) v1/1.1 for all included studies], OS, PFS, TTP, incidence of Grade ≥ 3 adverse events (AE), incidence of treatment interruption due to </w:t>
      </w:r>
      <w:r w:rsidR="00124A76" w:rsidRPr="00E549DC">
        <w:rPr>
          <w:rFonts w:ascii="Book Antiqua" w:eastAsia="Book Antiqua" w:hAnsi="Book Antiqua" w:cs="Book Antiqua"/>
          <w:color w:val="000000"/>
        </w:rPr>
        <w:t>adverse events (</w:t>
      </w:r>
      <w:r w:rsidRPr="00E549DC">
        <w:rPr>
          <w:rFonts w:ascii="Book Antiqua" w:eastAsia="Book Antiqua" w:hAnsi="Book Antiqua" w:cs="Book Antiqua"/>
          <w:color w:val="000000"/>
        </w:rPr>
        <w:t>AEs</w:t>
      </w:r>
      <w:r w:rsidR="00124A76" w:rsidRPr="00E549DC">
        <w:rPr>
          <w:rFonts w:ascii="Book Antiqua" w:eastAsia="Book Antiqua" w:hAnsi="Book Antiqua" w:cs="Book Antiqua"/>
          <w:color w:val="000000"/>
        </w:rPr>
        <w:t>)</w:t>
      </w:r>
      <w:r w:rsidRPr="00E549DC">
        <w:rPr>
          <w:rFonts w:ascii="Book Antiqua" w:eastAsia="Book Antiqua" w:hAnsi="Book Antiqua" w:cs="Book Antiqua"/>
          <w:color w:val="000000"/>
        </w:rPr>
        <w:t>, and</w:t>
      </w:r>
      <w:r w:rsidR="00261D8A" w:rsidRPr="00E549DC">
        <w:rPr>
          <w:rFonts w:ascii="Book Antiqua" w:eastAsia="Book Antiqua" w:hAnsi="Book Antiqua" w:cs="Book Antiqua"/>
          <w:color w:val="000000"/>
        </w:rPr>
        <w:t xml:space="preserve"> </w:t>
      </w:r>
      <w:r w:rsidRPr="00E549DC">
        <w:rPr>
          <w:rFonts w:ascii="Book Antiqua" w:eastAsia="Book Antiqua" w:hAnsi="Book Antiqua" w:cs="Book Antiqua"/>
          <w:color w:val="000000"/>
        </w:rPr>
        <w:t>incidence of dose reductions due to AEs.</w:t>
      </w:r>
    </w:p>
    <w:p w14:paraId="57E3A9F6" w14:textId="77777777" w:rsidR="00A77B3E" w:rsidRPr="00E549DC" w:rsidRDefault="00A77B3E" w:rsidP="00C55EEF">
      <w:pPr>
        <w:adjustRightInd w:val="0"/>
        <w:snapToGrid w:val="0"/>
        <w:spacing w:line="360" w:lineRule="auto"/>
        <w:jc w:val="both"/>
        <w:rPr>
          <w:rFonts w:ascii="Book Antiqua" w:hAnsi="Book Antiqua"/>
        </w:rPr>
      </w:pPr>
    </w:p>
    <w:p w14:paraId="53FC201A" w14:textId="77777777" w:rsidR="00A77B3E" w:rsidRPr="00E549DC" w:rsidRDefault="00B677D4" w:rsidP="00C55EEF">
      <w:pPr>
        <w:adjustRightInd w:val="0"/>
        <w:snapToGrid w:val="0"/>
        <w:spacing w:line="360" w:lineRule="auto"/>
        <w:jc w:val="both"/>
        <w:rPr>
          <w:rFonts w:ascii="Book Antiqua" w:hAnsi="Book Antiqua"/>
        </w:rPr>
      </w:pPr>
      <w:r w:rsidRPr="00E549DC">
        <w:rPr>
          <w:rFonts w:ascii="Book Antiqua" w:eastAsia="Book Antiqua" w:hAnsi="Book Antiqua" w:cs="Book Antiqua"/>
          <w:b/>
          <w:bCs/>
          <w:i/>
          <w:iCs/>
          <w:color w:val="000000"/>
        </w:rPr>
        <w:t>Statistical analysis</w:t>
      </w:r>
    </w:p>
    <w:p w14:paraId="0A686834" w14:textId="77777777" w:rsidR="00A77B3E" w:rsidRPr="00E549DC" w:rsidRDefault="00B677D4" w:rsidP="00C55EEF">
      <w:pPr>
        <w:adjustRightInd w:val="0"/>
        <w:snapToGrid w:val="0"/>
        <w:spacing w:line="360" w:lineRule="auto"/>
        <w:jc w:val="both"/>
        <w:rPr>
          <w:rFonts w:ascii="Book Antiqua" w:hAnsi="Book Antiqua"/>
        </w:rPr>
      </w:pPr>
      <w:r w:rsidRPr="00E549DC">
        <w:rPr>
          <w:rFonts w:ascii="Book Antiqua" w:eastAsia="Book Antiqua" w:hAnsi="Book Antiqua" w:cs="Book Antiqua"/>
          <w:color w:val="000000"/>
        </w:rPr>
        <w:lastRenderedPageBreak/>
        <w:t xml:space="preserve">For OS, PFS, TTP, and other survival endpoints, hazard ratios (HR) were estimated to compare treatments. For discrete variables such as ORR, and incidence of AEs, estimated risk ratios were calculated to compare treatments. Selection of a fixed effect or random effect model was based on the level of heterogeneity in the data, assessed using the Higgins </w:t>
      </w:r>
      <w:r w:rsidRPr="00E549DC">
        <w:rPr>
          <w:rFonts w:ascii="Book Antiqua" w:eastAsia="Book Antiqua" w:hAnsi="Book Antiqua" w:cs="Book Antiqua"/>
          <w:i/>
          <w:iCs/>
          <w:color w:val="000000"/>
        </w:rPr>
        <w:t>I</w:t>
      </w:r>
      <w:r w:rsidRPr="00E549DC">
        <w:rPr>
          <w:rFonts w:ascii="Book Antiqua" w:eastAsia="Book Antiqua" w:hAnsi="Book Antiqua" w:cs="Book Antiqua"/>
          <w:i/>
          <w:iCs/>
          <w:color w:val="000000"/>
          <w:vertAlign w:val="superscript"/>
        </w:rPr>
        <w:t>2</w:t>
      </w:r>
      <w:r w:rsidRPr="00E549DC">
        <w:rPr>
          <w:rFonts w:ascii="Book Antiqua" w:eastAsia="Book Antiqua" w:hAnsi="Book Antiqua" w:cs="Book Antiqua"/>
          <w:color w:val="000000"/>
        </w:rPr>
        <w:t xml:space="preserve"> statistic and defined as </w:t>
      </w:r>
      <w:r w:rsidRPr="00E549DC">
        <w:rPr>
          <w:rFonts w:ascii="Book Antiqua" w:eastAsia="Book Antiqua" w:hAnsi="Book Antiqua" w:cs="Book Antiqua"/>
          <w:i/>
          <w:iCs/>
          <w:color w:val="000000"/>
        </w:rPr>
        <w:t>I</w:t>
      </w:r>
      <w:r w:rsidRPr="00E549DC">
        <w:rPr>
          <w:rFonts w:ascii="Book Antiqua" w:eastAsia="Book Antiqua" w:hAnsi="Book Antiqua" w:cs="Book Antiqua"/>
          <w:i/>
          <w:iCs/>
          <w:color w:val="000000"/>
          <w:vertAlign w:val="superscript"/>
        </w:rPr>
        <w:t>2</w:t>
      </w:r>
      <w:r w:rsidRPr="00E549DC">
        <w:rPr>
          <w:rFonts w:ascii="Book Antiqua" w:eastAsia="Book Antiqua" w:hAnsi="Book Antiqua" w:cs="Book Antiqua"/>
          <w:color w:val="000000"/>
        </w:rPr>
        <w:t xml:space="preserve"> ≤ 50% and </w:t>
      </w:r>
      <w:r w:rsidRPr="00E549DC">
        <w:rPr>
          <w:rFonts w:ascii="Book Antiqua" w:eastAsia="Book Antiqua" w:hAnsi="Book Antiqua" w:cs="Book Antiqua"/>
          <w:i/>
          <w:iCs/>
          <w:color w:val="000000"/>
        </w:rPr>
        <w:t>P</w:t>
      </w:r>
      <w:r w:rsidRPr="00E549DC">
        <w:rPr>
          <w:rFonts w:ascii="Book Antiqua" w:eastAsia="Book Antiqua" w:hAnsi="Book Antiqua" w:cs="Book Antiqua"/>
          <w:color w:val="000000"/>
        </w:rPr>
        <w:t xml:space="preserve"> &gt; 0.1. If no obvious data heterogeneity was found, a fixed effect model was adopted, otherwise a random effect model was utilized. For endpoints reported in a relatively small number of studies (&lt; 6), a fixed effects model was adopted.</w:t>
      </w:r>
    </w:p>
    <w:p w14:paraId="627255CD" w14:textId="3CCC5B0E" w:rsidR="00A77B3E" w:rsidRPr="00E549DC" w:rsidRDefault="00B677D4" w:rsidP="00C55EEF">
      <w:pPr>
        <w:adjustRightInd w:val="0"/>
        <w:snapToGrid w:val="0"/>
        <w:spacing w:line="360" w:lineRule="auto"/>
        <w:ind w:firstLineChars="100" w:firstLine="240"/>
        <w:jc w:val="both"/>
        <w:rPr>
          <w:rFonts w:ascii="Book Antiqua" w:hAnsi="Book Antiqua"/>
        </w:rPr>
      </w:pPr>
      <w:r w:rsidRPr="00E549DC">
        <w:rPr>
          <w:rFonts w:ascii="Book Antiqua" w:eastAsia="Book Antiqua" w:hAnsi="Book Antiqua" w:cs="Book Antiqua"/>
          <w:color w:val="000000"/>
        </w:rPr>
        <w:t xml:space="preserve">A network meta-analysis was used to synthesize information from the included studies, and perform direct and indirect comparisons using a method based on the frequency school of Rücker </w:t>
      </w:r>
      <w:r w:rsidRPr="00E549DC">
        <w:rPr>
          <w:rFonts w:ascii="Book Antiqua" w:eastAsia="Book Antiqua" w:hAnsi="Book Antiqua" w:cs="Book Antiqua"/>
          <w:i/>
          <w:iCs/>
          <w:color w:val="000000"/>
        </w:rPr>
        <w:t xml:space="preserve">et </w:t>
      </w:r>
      <w:proofErr w:type="gramStart"/>
      <w:r w:rsidRPr="00E549DC">
        <w:rPr>
          <w:rFonts w:ascii="Book Antiqua" w:eastAsia="Book Antiqua" w:hAnsi="Book Antiqua" w:cs="Book Antiqua"/>
          <w:i/>
          <w:iCs/>
          <w:color w:val="000000"/>
        </w:rPr>
        <w:t>al</w:t>
      </w:r>
      <w:r w:rsidRPr="00E549DC">
        <w:rPr>
          <w:rFonts w:ascii="Book Antiqua" w:eastAsia="Book Antiqua" w:hAnsi="Book Antiqua" w:cs="Book Antiqua"/>
          <w:color w:val="000000"/>
          <w:vertAlign w:val="superscript"/>
        </w:rPr>
        <w:t>[</w:t>
      </w:r>
      <w:proofErr w:type="gramEnd"/>
      <w:r w:rsidRPr="00E549DC">
        <w:rPr>
          <w:rFonts w:ascii="Book Antiqua" w:eastAsia="Book Antiqua" w:hAnsi="Book Antiqua" w:cs="Book Antiqua"/>
          <w:color w:val="000000"/>
          <w:vertAlign w:val="superscript"/>
        </w:rPr>
        <w:t>19,20]</w:t>
      </w:r>
      <w:r w:rsidRPr="00E549DC">
        <w:rPr>
          <w:rFonts w:ascii="Book Antiqua" w:eastAsia="Book Antiqua" w:hAnsi="Book Antiqua" w:cs="Book Antiqua"/>
          <w:color w:val="000000"/>
        </w:rPr>
        <w:t>. The Q statistic was used to assess the consistency of direct and indirect evidence in the treatment network(s) studied. If no obvious inconsistency (</w:t>
      </w:r>
      <w:r w:rsidRPr="00E549DC">
        <w:rPr>
          <w:rFonts w:ascii="Book Antiqua" w:eastAsia="Book Antiqua" w:hAnsi="Book Antiqua" w:cs="Book Antiqua"/>
          <w:i/>
          <w:iCs/>
          <w:color w:val="000000"/>
        </w:rPr>
        <w:t>P</w:t>
      </w:r>
      <w:r w:rsidRPr="00E549DC">
        <w:rPr>
          <w:rFonts w:ascii="Book Antiqua" w:eastAsia="Book Antiqua" w:hAnsi="Book Antiqua" w:cs="Book Antiqua"/>
          <w:color w:val="000000"/>
        </w:rPr>
        <w:t xml:space="preserve"> &gt; 0.1) was found, a fixed effect model was adopted, otherwise a random effect model was utilized. </w:t>
      </w:r>
      <w:r w:rsidRPr="00E549DC">
        <w:rPr>
          <w:rFonts w:ascii="Book Antiqua" w:eastAsia="Book Antiqua" w:hAnsi="Book Antiqua" w:cs="Book Antiqua"/>
          <w:i/>
          <w:color w:val="000000"/>
        </w:rPr>
        <w:t>P</w:t>
      </w:r>
      <w:r w:rsidR="008B736D" w:rsidRPr="00E549DC">
        <w:rPr>
          <w:rFonts w:ascii="Book Antiqua" w:eastAsia="Book Antiqua" w:hAnsi="Book Antiqua" w:cs="Book Antiqua"/>
          <w:color w:val="000000"/>
        </w:rPr>
        <w:t xml:space="preserve"> value</w:t>
      </w:r>
      <w:r w:rsidRPr="00E549DC">
        <w:rPr>
          <w:rFonts w:ascii="Book Antiqua" w:eastAsia="Book Antiqua" w:hAnsi="Book Antiqua" w:cs="Book Antiqua"/>
          <w:color w:val="000000"/>
        </w:rPr>
        <w:t xml:space="preserve">, a frequentist analog to the surface under the cumulative ranking curve, was used to rank </w:t>
      </w:r>
      <w:proofErr w:type="gramStart"/>
      <w:r w:rsidRPr="00E549DC">
        <w:rPr>
          <w:rFonts w:ascii="Book Antiqua" w:eastAsia="Book Antiqua" w:hAnsi="Book Antiqua" w:cs="Book Antiqua"/>
          <w:color w:val="000000"/>
        </w:rPr>
        <w:t>treatments</w:t>
      </w:r>
      <w:r w:rsidRPr="00E549DC">
        <w:rPr>
          <w:rFonts w:ascii="Book Antiqua" w:eastAsia="Book Antiqua" w:hAnsi="Book Antiqua" w:cs="Book Antiqua"/>
          <w:color w:val="000000"/>
          <w:vertAlign w:val="superscript"/>
        </w:rPr>
        <w:t>[</w:t>
      </w:r>
      <w:proofErr w:type="gramEnd"/>
      <w:r w:rsidRPr="00E549DC">
        <w:rPr>
          <w:rFonts w:ascii="Book Antiqua" w:eastAsia="Book Antiqua" w:hAnsi="Book Antiqua" w:cs="Book Antiqua"/>
          <w:color w:val="000000"/>
          <w:vertAlign w:val="superscript"/>
        </w:rPr>
        <w:t>21]</w:t>
      </w:r>
      <w:r w:rsidRPr="00E549DC">
        <w:rPr>
          <w:rFonts w:ascii="Book Antiqua" w:eastAsia="Book Antiqua" w:hAnsi="Book Antiqua" w:cs="Book Antiqua"/>
          <w:color w:val="000000"/>
        </w:rPr>
        <w:t xml:space="preserve">. A funnel chart was used to evaluate publication bias; a symmetrical graph indicates a low influence of publication bias and an asymmetric graph indicates possible publication bias. A post-hoc analysis of all studies reporting data from patients with HBV-related HCC was also included </w:t>
      </w:r>
      <w:r w:rsidR="005A528B" w:rsidRPr="00E549DC">
        <w:rPr>
          <w:rFonts w:ascii="Book Antiqua" w:eastAsia="Book Antiqua" w:hAnsi="Book Antiqua" w:cs="Book Antiqua"/>
          <w:color w:val="000000"/>
        </w:rPr>
        <w:t xml:space="preserve">to </w:t>
      </w:r>
      <w:r w:rsidRPr="00E549DC">
        <w:rPr>
          <w:rFonts w:ascii="Book Antiqua" w:eastAsia="Book Antiqua" w:hAnsi="Book Antiqua" w:cs="Book Antiqua"/>
          <w:color w:val="000000"/>
        </w:rPr>
        <w:t>assess OS, PFS, and safety in these patients.</w:t>
      </w:r>
    </w:p>
    <w:p w14:paraId="57527B2E" w14:textId="77777777" w:rsidR="00A77B3E" w:rsidRPr="00E549DC" w:rsidRDefault="00B677D4" w:rsidP="00C55EEF">
      <w:pPr>
        <w:adjustRightInd w:val="0"/>
        <w:snapToGrid w:val="0"/>
        <w:spacing w:line="360" w:lineRule="auto"/>
        <w:ind w:firstLineChars="100" w:firstLine="240"/>
        <w:jc w:val="both"/>
        <w:rPr>
          <w:rFonts w:ascii="Book Antiqua" w:hAnsi="Book Antiqua"/>
        </w:rPr>
      </w:pPr>
      <w:r w:rsidRPr="00E549DC">
        <w:rPr>
          <w:rFonts w:ascii="Book Antiqua" w:eastAsia="Book Antiqua" w:hAnsi="Book Antiqua" w:cs="Book Antiqua"/>
          <w:color w:val="000000"/>
        </w:rPr>
        <w:t>All statistical analyses were performed using Rv3.6. The Robias toolkit was used for evaluation of literature quality and Netmeta was used for the network meta-analysis.</w:t>
      </w:r>
    </w:p>
    <w:p w14:paraId="6101F8C1" w14:textId="77777777" w:rsidR="00A77B3E" w:rsidRPr="00E549DC" w:rsidRDefault="00A77B3E" w:rsidP="00C55EEF">
      <w:pPr>
        <w:adjustRightInd w:val="0"/>
        <w:snapToGrid w:val="0"/>
        <w:spacing w:line="360" w:lineRule="auto"/>
        <w:jc w:val="both"/>
        <w:rPr>
          <w:rFonts w:ascii="Book Antiqua" w:hAnsi="Book Antiqua"/>
        </w:rPr>
      </w:pPr>
    </w:p>
    <w:p w14:paraId="23B0E73F" w14:textId="77777777" w:rsidR="00A77B3E" w:rsidRPr="00E549DC" w:rsidRDefault="00B677D4" w:rsidP="00C55EEF">
      <w:pPr>
        <w:adjustRightInd w:val="0"/>
        <w:snapToGrid w:val="0"/>
        <w:spacing w:line="360" w:lineRule="auto"/>
        <w:jc w:val="both"/>
        <w:rPr>
          <w:rFonts w:ascii="Book Antiqua" w:hAnsi="Book Antiqua"/>
        </w:rPr>
      </w:pPr>
      <w:r w:rsidRPr="00E549DC">
        <w:rPr>
          <w:rFonts w:ascii="Book Antiqua" w:eastAsia="Book Antiqua" w:hAnsi="Book Antiqua" w:cs="Book Antiqua"/>
          <w:b/>
          <w:caps/>
          <w:color w:val="000000"/>
          <w:u w:val="single"/>
        </w:rPr>
        <w:t>RESULTS</w:t>
      </w:r>
    </w:p>
    <w:p w14:paraId="54A41B46" w14:textId="77777777" w:rsidR="00A77B3E" w:rsidRPr="00E549DC" w:rsidRDefault="00B677D4" w:rsidP="00C55EEF">
      <w:pPr>
        <w:adjustRightInd w:val="0"/>
        <w:snapToGrid w:val="0"/>
        <w:spacing w:line="360" w:lineRule="auto"/>
        <w:jc w:val="both"/>
        <w:rPr>
          <w:rFonts w:ascii="Book Antiqua" w:hAnsi="Book Antiqua"/>
        </w:rPr>
      </w:pPr>
      <w:r w:rsidRPr="00E549DC">
        <w:rPr>
          <w:rFonts w:ascii="Book Antiqua" w:eastAsia="Book Antiqua" w:hAnsi="Book Antiqua" w:cs="Book Antiqua"/>
          <w:b/>
          <w:bCs/>
          <w:i/>
          <w:iCs/>
          <w:color w:val="000000"/>
        </w:rPr>
        <w:t>Studies included in the analysis</w:t>
      </w:r>
    </w:p>
    <w:p w14:paraId="36B73FE5" w14:textId="23D793A6" w:rsidR="00A77B3E" w:rsidRPr="00E549DC" w:rsidRDefault="00B677D4" w:rsidP="00C55EEF">
      <w:pPr>
        <w:adjustRightInd w:val="0"/>
        <w:snapToGrid w:val="0"/>
        <w:spacing w:line="360" w:lineRule="auto"/>
        <w:jc w:val="both"/>
        <w:rPr>
          <w:rFonts w:ascii="Book Antiqua" w:hAnsi="Book Antiqua"/>
        </w:rPr>
      </w:pPr>
      <w:r w:rsidRPr="00E549DC">
        <w:rPr>
          <w:rFonts w:ascii="Book Antiqua" w:eastAsia="Book Antiqua" w:hAnsi="Book Antiqua" w:cs="Book Antiqua"/>
          <w:color w:val="000000"/>
        </w:rPr>
        <w:lastRenderedPageBreak/>
        <w:t>In total, 1398 articles were screened: Pub</w:t>
      </w:r>
      <w:r w:rsidR="00124A76" w:rsidRPr="00E549DC">
        <w:rPr>
          <w:rFonts w:ascii="Book Antiqua" w:eastAsia="Book Antiqua" w:hAnsi="Book Antiqua" w:cs="Book Antiqua"/>
          <w:color w:val="000000"/>
        </w:rPr>
        <w:t>M</w:t>
      </w:r>
      <w:r w:rsidRPr="00E549DC">
        <w:rPr>
          <w:rFonts w:ascii="Book Antiqua" w:eastAsia="Book Antiqua" w:hAnsi="Book Antiqua" w:cs="Book Antiqua"/>
          <w:color w:val="000000"/>
        </w:rPr>
        <w:t>ed/</w:t>
      </w:r>
      <w:r w:rsidR="00124A76" w:rsidRPr="00E549DC">
        <w:rPr>
          <w:rFonts w:ascii="Book Antiqua" w:eastAsia="Book Antiqua" w:hAnsi="Book Antiqua" w:cs="Book Antiqua"/>
          <w:color w:val="000000"/>
        </w:rPr>
        <w:t>MEDLINE</w:t>
      </w:r>
      <w:r w:rsidRPr="00E549DC">
        <w:rPr>
          <w:rFonts w:ascii="Book Antiqua" w:eastAsia="Book Antiqua" w:hAnsi="Book Antiqua" w:cs="Book Antiqua"/>
          <w:color w:val="000000"/>
        </w:rPr>
        <w:t xml:space="preserve">, </w:t>
      </w:r>
      <w:r w:rsidRPr="00E549DC">
        <w:rPr>
          <w:rFonts w:ascii="Book Antiqua" w:eastAsia="Book Antiqua" w:hAnsi="Book Antiqua" w:cs="Book Antiqua"/>
          <w:i/>
          <w:iCs/>
          <w:color w:val="000000"/>
        </w:rPr>
        <w:t>n</w:t>
      </w:r>
      <w:r w:rsidRPr="00E549DC">
        <w:rPr>
          <w:rFonts w:ascii="Book Antiqua" w:eastAsia="Book Antiqua" w:hAnsi="Book Antiqua" w:cs="Book Antiqua"/>
          <w:color w:val="000000"/>
        </w:rPr>
        <w:t xml:space="preserve"> = 114; Science Direct, </w:t>
      </w:r>
      <w:r w:rsidRPr="00E549DC">
        <w:rPr>
          <w:rFonts w:ascii="Book Antiqua" w:eastAsia="Book Antiqua" w:hAnsi="Book Antiqua" w:cs="Book Antiqua"/>
          <w:i/>
          <w:iCs/>
          <w:color w:val="000000"/>
        </w:rPr>
        <w:t>n</w:t>
      </w:r>
      <w:r w:rsidRPr="00E549DC">
        <w:rPr>
          <w:rFonts w:ascii="Book Antiqua" w:eastAsia="Book Antiqua" w:hAnsi="Book Antiqua" w:cs="Book Antiqua"/>
          <w:color w:val="000000"/>
        </w:rPr>
        <w:t xml:space="preserve"> = 312; Cochrane Database, </w:t>
      </w:r>
      <w:r w:rsidRPr="00E549DC">
        <w:rPr>
          <w:rFonts w:ascii="Book Antiqua" w:eastAsia="Book Antiqua" w:hAnsi="Book Antiqua" w:cs="Book Antiqua"/>
          <w:i/>
          <w:iCs/>
          <w:color w:val="000000"/>
        </w:rPr>
        <w:t>n</w:t>
      </w:r>
      <w:r w:rsidRPr="00E549DC">
        <w:rPr>
          <w:rFonts w:ascii="Book Antiqua" w:eastAsia="Book Antiqua" w:hAnsi="Book Antiqua" w:cs="Book Antiqua"/>
          <w:color w:val="000000"/>
        </w:rPr>
        <w:t xml:space="preserve"> = 355; Excerpta Medica Database, </w:t>
      </w:r>
      <w:r w:rsidRPr="00E549DC">
        <w:rPr>
          <w:rFonts w:ascii="Book Antiqua" w:eastAsia="Book Antiqua" w:hAnsi="Book Antiqua" w:cs="Book Antiqua"/>
          <w:i/>
          <w:iCs/>
          <w:color w:val="000000"/>
        </w:rPr>
        <w:t>n</w:t>
      </w:r>
      <w:r w:rsidRPr="00E549DC">
        <w:rPr>
          <w:rFonts w:ascii="Book Antiqua" w:eastAsia="Book Antiqua" w:hAnsi="Book Antiqua" w:cs="Book Antiqua"/>
          <w:color w:val="000000"/>
        </w:rPr>
        <w:t xml:space="preserve"> = 561; and the ASCO 2020 abstract book, </w:t>
      </w:r>
      <w:r w:rsidRPr="00E549DC">
        <w:rPr>
          <w:rFonts w:ascii="Book Antiqua" w:eastAsia="Book Antiqua" w:hAnsi="Book Antiqua" w:cs="Book Antiqua"/>
          <w:i/>
          <w:iCs/>
          <w:color w:val="000000"/>
        </w:rPr>
        <w:t>n</w:t>
      </w:r>
      <w:r w:rsidRPr="00E549DC">
        <w:rPr>
          <w:rFonts w:ascii="Book Antiqua" w:eastAsia="Book Antiqua" w:hAnsi="Book Antiqua" w:cs="Book Antiqua"/>
          <w:color w:val="000000"/>
        </w:rPr>
        <w:t xml:space="preserve"> = 12 (Figure 1). After removing duplicates and top-line screening of abstracts for suitability, a total of 86 articles were reviewed in detail, of which 27 met the full inclusion criteria (Table 1). These 27 articles corresponded to 27 different studies</w:t>
      </w:r>
      <w:r w:rsidR="00C23CA7" w:rsidRPr="00E549DC">
        <w:rPr>
          <w:rFonts w:ascii="Book Antiqua" w:eastAsia="Book Antiqua" w:hAnsi="Book Antiqua" w:cs="Book Antiqua"/>
          <w:color w:val="000000"/>
        </w:rPr>
        <w:t xml:space="preserve"> (</w:t>
      </w:r>
      <w:r w:rsidR="0043672C" w:rsidRPr="00E549DC">
        <w:rPr>
          <w:rFonts w:ascii="Book Antiqua" w:eastAsia="Book Antiqua" w:hAnsi="Book Antiqua" w:cs="Book Antiqua"/>
          <w:color w:val="000000"/>
        </w:rPr>
        <w:t>Supplementary</w:t>
      </w:r>
      <w:r w:rsidR="00C23CA7" w:rsidRPr="00E549DC">
        <w:rPr>
          <w:rFonts w:ascii="Book Antiqua" w:eastAsia="Book Antiqua" w:hAnsi="Book Antiqua" w:cs="Book Antiqua"/>
          <w:color w:val="000000"/>
        </w:rPr>
        <w:t xml:space="preserve"> Figure 1)</w:t>
      </w:r>
      <w:r w:rsidRPr="00E549DC">
        <w:rPr>
          <w:rFonts w:ascii="Book Antiqua" w:eastAsia="Book Antiqua" w:hAnsi="Book Antiqua" w:cs="Book Antiqua"/>
          <w:color w:val="000000"/>
        </w:rPr>
        <w:t>.</w:t>
      </w:r>
    </w:p>
    <w:p w14:paraId="2F1B0A83" w14:textId="77777777" w:rsidR="00A77B3E" w:rsidRPr="00E549DC" w:rsidRDefault="00A77B3E" w:rsidP="00C55EEF">
      <w:pPr>
        <w:adjustRightInd w:val="0"/>
        <w:snapToGrid w:val="0"/>
        <w:spacing w:line="360" w:lineRule="auto"/>
        <w:jc w:val="both"/>
        <w:rPr>
          <w:rFonts w:ascii="Book Antiqua" w:hAnsi="Book Antiqua"/>
        </w:rPr>
      </w:pPr>
    </w:p>
    <w:p w14:paraId="3B6F00A8" w14:textId="77777777" w:rsidR="00A77B3E" w:rsidRPr="00E549DC" w:rsidRDefault="00B677D4" w:rsidP="00C55EEF">
      <w:pPr>
        <w:adjustRightInd w:val="0"/>
        <w:snapToGrid w:val="0"/>
        <w:spacing w:line="360" w:lineRule="auto"/>
        <w:jc w:val="both"/>
        <w:rPr>
          <w:rFonts w:ascii="Book Antiqua" w:hAnsi="Book Antiqua"/>
        </w:rPr>
      </w:pPr>
      <w:r w:rsidRPr="00E549DC">
        <w:rPr>
          <w:rFonts w:ascii="Book Antiqua" w:eastAsia="Book Antiqua" w:hAnsi="Book Antiqua" w:cs="Book Antiqua"/>
          <w:b/>
          <w:bCs/>
          <w:i/>
          <w:iCs/>
          <w:color w:val="000000"/>
        </w:rPr>
        <w:t>Study characteristics</w:t>
      </w:r>
    </w:p>
    <w:p w14:paraId="2C79084C" w14:textId="0ACBAA05" w:rsidR="00A77B3E" w:rsidRPr="00E549DC" w:rsidRDefault="00B677D4" w:rsidP="00C55EEF">
      <w:pPr>
        <w:adjustRightInd w:val="0"/>
        <w:snapToGrid w:val="0"/>
        <w:spacing w:line="360" w:lineRule="auto"/>
        <w:jc w:val="both"/>
        <w:rPr>
          <w:rFonts w:ascii="Book Antiqua" w:hAnsi="Book Antiqua"/>
        </w:rPr>
      </w:pPr>
      <w:r w:rsidRPr="00E549DC">
        <w:rPr>
          <w:rFonts w:ascii="Book Antiqua" w:eastAsia="Book Antiqua" w:hAnsi="Book Antiqua" w:cs="Book Antiqua"/>
          <w:color w:val="000000"/>
        </w:rPr>
        <w:t xml:space="preserve">Of the 27 studies included, 25 investigated targeted treatment regimens (nintedanib, mapatumumab + sorafenib, atezolizumab + bevacizumab, doxorubicin + sorafenib, dovitinib, tigatuzumab + sorafenib, vandetanib, brivanib, linifanib, lenvatinib, nivolumab, sunitinib, sorafenib + erlotinib, sorafenib (two studies), nintedanib, bevacizumab + erlotinib, sorafenib + doxorubicin, sorafenib + resminostat, sorafenib + pravastatin, AEG35156 (a second-generation synthetic antisense oligonucleotide inhibitor of cellular expression of the X-linked inhibitor of apoptosis protein) + sorafenib, sorafenib + gemcitabine and cisplatin, sorafenib + tegafur–uracil, sorafenib + everolimus, </w:t>
      </w:r>
      <w:r w:rsidR="005A528B" w:rsidRPr="00E549DC">
        <w:rPr>
          <w:rFonts w:ascii="Book Antiqua" w:eastAsia="Book Antiqua" w:hAnsi="Book Antiqua" w:cs="Book Antiqua"/>
          <w:color w:val="000000"/>
        </w:rPr>
        <w:t xml:space="preserve">and </w:t>
      </w:r>
      <w:r w:rsidRPr="00E549DC">
        <w:rPr>
          <w:rFonts w:ascii="Book Antiqua" w:eastAsia="Book Antiqua" w:hAnsi="Book Antiqua" w:cs="Book Antiqua"/>
          <w:color w:val="000000"/>
        </w:rPr>
        <w:t>donafinib) and two investigated combination chemotherapy regimens [oxaliplatin/folinic acid/5-fluorouracil (FOLFOX4) and cisplatin/interferon α-2b/doxorubicin/5-fluorouracil] (Table 1). Twenty-one of the included studies used sorafenib as the comparator treatment, three used doxorubicin, and three studies were placebo controlled (including the two Phase III studies of sorafenib). The majority of the studies had OS (</w:t>
      </w:r>
      <w:r w:rsidRPr="00E549DC">
        <w:rPr>
          <w:rFonts w:ascii="Book Antiqua" w:eastAsia="Book Antiqua" w:hAnsi="Book Antiqua" w:cs="Book Antiqua"/>
          <w:i/>
          <w:iCs/>
          <w:color w:val="000000"/>
        </w:rPr>
        <w:t>n</w:t>
      </w:r>
      <w:r w:rsidRPr="00E549DC">
        <w:rPr>
          <w:rFonts w:ascii="Book Antiqua" w:eastAsia="Book Antiqua" w:hAnsi="Book Antiqua" w:cs="Book Antiqua"/>
          <w:color w:val="000000"/>
        </w:rPr>
        <w:t xml:space="preserve"> = 12) or PFS/TTP (</w:t>
      </w:r>
      <w:r w:rsidRPr="00E549DC">
        <w:rPr>
          <w:rFonts w:ascii="Book Antiqua" w:eastAsia="Book Antiqua" w:hAnsi="Book Antiqua" w:cs="Book Antiqua"/>
          <w:i/>
          <w:iCs/>
          <w:color w:val="000000"/>
        </w:rPr>
        <w:t>n</w:t>
      </w:r>
      <w:r w:rsidRPr="00E549DC">
        <w:rPr>
          <w:rFonts w:ascii="Book Antiqua" w:eastAsia="Book Antiqua" w:hAnsi="Book Antiqua" w:cs="Book Antiqua"/>
          <w:color w:val="000000"/>
        </w:rPr>
        <w:t xml:space="preserve"> = 10) as the primary endpoint, and almost all had reported final data for these endpoints.</w:t>
      </w:r>
    </w:p>
    <w:p w14:paraId="3A40083A" w14:textId="77777777" w:rsidR="00A77B3E" w:rsidRPr="00E549DC" w:rsidRDefault="00A77B3E" w:rsidP="00C55EEF">
      <w:pPr>
        <w:adjustRightInd w:val="0"/>
        <w:snapToGrid w:val="0"/>
        <w:spacing w:line="360" w:lineRule="auto"/>
        <w:jc w:val="both"/>
        <w:rPr>
          <w:rFonts w:ascii="Book Antiqua" w:hAnsi="Book Antiqua"/>
        </w:rPr>
      </w:pPr>
    </w:p>
    <w:p w14:paraId="458870E3" w14:textId="77777777" w:rsidR="00A77B3E" w:rsidRPr="00E549DC" w:rsidRDefault="00B677D4" w:rsidP="00C55EEF">
      <w:pPr>
        <w:adjustRightInd w:val="0"/>
        <w:snapToGrid w:val="0"/>
        <w:spacing w:line="360" w:lineRule="auto"/>
        <w:jc w:val="both"/>
        <w:rPr>
          <w:rFonts w:ascii="Book Antiqua" w:hAnsi="Book Antiqua"/>
        </w:rPr>
      </w:pPr>
      <w:r w:rsidRPr="00E549DC">
        <w:rPr>
          <w:rFonts w:ascii="Book Antiqua" w:eastAsia="Book Antiqua" w:hAnsi="Book Antiqua" w:cs="Book Antiqua"/>
          <w:b/>
          <w:bCs/>
          <w:i/>
          <w:iCs/>
          <w:color w:val="000000"/>
        </w:rPr>
        <w:t>Quality assessment</w:t>
      </w:r>
    </w:p>
    <w:p w14:paraId="1E5F89D0" w14:textId="05E80B43" w:rsidR="00A77B3E" w:rsidRPr="00E549DC" w:rsidRDefault="00B677D4" w:rsidP="00C55EEF">
      <w:pPr>
        <w:adjustRightInd w:val="0"/>
        <w:snapToGrid w:val="0"/>
        <w:spacing w:line="360" w:lineRule="auto"/>
        <w:jc w:val="both"/>
        <w:rPr>
          <w:rFonts w:ascii="Book Antiqua" w:hAnsi="Book Antiqua"/>
        </w:rPr>
      </w:pPr>
      <w:r w:rsidRPr="00E549DC">
        <w:rPr>
          <w:rFonts w:ascii="Book Antiqua" w:eastAsia="Book Antiqua" w:hAnsi="Book Antiqua" w:cs="Book Antiqua"/>
          <w:color w:val="000000"/>
        </w:rPr>
        <w:t>Study design characteristic</w:t>
      </w:r>
      <w:r w:rsidR="00124A76" w:rsidRPr="00E549DC">
        <w:rPr>
          <w:rFonts w:ascii="Book Antiqua" w:eastAsia="Book Antiqua" w:hAnsi="Book Antiqua" w:cs="Book Antiqua"/>
          <w:color w:val="000000"/>
        </w:rPr>
        <w:t xml:space="preserve">s are summarized in </w:t>
      </w:r>
      <w:r w:rsidR="0043672C" w:rsidRPr="00E549DC">
        <w:rPr>
          <w:rFonts w:ascii="Book Antiqua" w:eastAsia="Book Antiqua" w:hAnsi="Book Antiqua" w:cs="Book Antiqua"/>
          <w:color w:val="000000"/>
        </w:rPr>
        <w:t>Supplementary</w:t>
      </w:r>
      <w:r w:rsidRPr="00E549DC">
        <w:rPr>
          <w:rFonts w:ascii="Book Antiqua" w:eastAsia="Book Antiqua" w:hAnsi="Book Antiqua" w:cs="Book Antiqua"/>
          <w:color w:val="000000"/>
        </w:rPr>
        <w:t xml:space="preserve"> Table 1. In brief, all 27 studies selected for inclusion were randomized controlled studies (20 </w:t>
      </w:r>
      <w:r w:rsidRPr="00E549DC">
        <w:rPr>
          <w:rFonts w:ascii="Book Antiqua" w:eastAsia="Book Antiqua" w:hAnsi="Book Antiqua" w:cs="Book Antiqua"/>
          <w:color w:val="000000"/>
        </w:rPr>
        <w:lastRenderedPageBreak/>
        <w:t xml:space="preserve">provided details of the randomization scheme used and seven articles did not specify), seven of the studies used double blinding and 20 were open label, </w:t>
      </w:r>
      <w:r w:rsidR="005A528B" w:rsidRPr="00E549DC">
        <w:rPr>
          <w:rFonts w:ascii="Book Antiqua" w:eastAsia="Book Antiqua" w:hAnsi="Book Antiqua" w:cs="Book Antiqua"/>
          <w:color w:val="000000"/>
        </w:rPr>
        <w:t xml:space="preserve">and </w:t>
      </w:r>
      <w:r w:rsidRPr="00E549DC">
        <w:rPr>
          <w:rFonts w:ascii="Book Antiqua" w:eastAsia="Book Antiqua" w:hAnsi="Book Antiqua" w:cs="Book Antiqua"/>
          <w:color w:val="000000"/>
        </w:rPr>
        <w:t>24</w:t>
      </w:r>
      <w:r w:rsidR="005A528B" w:rsidRPr="00E549DC">
        <w:rPr>
          <w:rFonts w:ascii="Book Antiqua" w:eastAsia="Book Antiqua" w:hAnsi="Book Antiqua" w:cs="Book Antiqua"/>
          <w:color w:val="000000"/>
        </w:rPr>
        <w:t xml:space="preserve"> </w:t>
      </w:r>
      <w:r w:rsidRPr="00E549DC">
        <w:rPr>
          <w:rFonts w:ascii="Book Antiqua" w:eastAsia="Book Antiqua" w:hAnsi="Book Antiqua" w:cs="Book Antiqua"/>
          <w:color w:val="000000"/>
        </w:rPr>
        <w:t>included a data flow chart. Overall, the quality of the included studies was considered relatively high (Figure 1).</w:t>
      </w:r>
    </w:p>
    <w:p w14:paraId="52369FC4" w14:textId="77777777" w:rsidR="00A77B3E" w:rsidRPr="00E549DC" w:rsidRDefault="00A77B3E" w:rsidP="00C55EEF">
      <w:pPr>
        <w:adjustRightInd w:val="0"/>
        <w:snapToGrid w:val="0"/>
        <w:spacing w:line="360" w:lineRule="auto"/>
        <w:jc w:val="both"/>
        <w:rPr>
          <w:rFonts w:ascii="Book Antiqua" w:hAnsi="Book Antiqua"/>
        </w:rPr>
      </w:pPr>
    </w:p>
    <w:p w14:paraId="149C0CAE" w14:textId="77777777" w:rsidR="00A77B3E" w:rsidRPr="00E549DC" w:rsidRDefault="00B677D4" w:rsidP="00C55EEF">
      <w:pPr>
        <w:adjustRightInd w:val="0"/>
        <w:snapToGrid w:val="0"/>
        <w:spacing w:line="360" w:lineRule="auto"/>
        <w:jc w:val="both"/>
        <w:rPr>
          <w:rFonts w:ascii="Book Antiqua" w:hAnsi="Book Antiqua"/>
        </w:rPr>
      </w:pPr>
      <w:r w:rsidRPr="00E549DC">
        <w:rPr>
          <w:rFonts w:ascii="Book Antiqua" w:eastAsia="Book Antiqua" w:hAnsi="Book Antiqua" w:cs="Book Antiqua"/>
          <w:b/>
          <w:bCs/>
          <w:i/>
          <w:iCs/>
          <w:color w:val="000000"/>
        </w:rPr>
        <w:t>Patient description</w:t>
      </w:r>
    </w:p>
    <w:p w14:paraId="419F26F5" w14:textId="271E7EEE" w:rsidR="00A77B3E" w:rsidRPr="00E549DC" w:rsidRDefault="00B677D4" w:rsidP="00C55EEF">
      <w:pPr>
        <w:adjustRightInd w:val="0"/>
        <w:snapToGrid w:val="0"/>
        <w:spacing w:line="360" w:lineRule="auto"/>
        <w:jc w:val="both"/>
        <w:rPr>
          <w:rFonts w:ascii="Book Antiqua" w:hAnsi="Book Antiqua"/>
        </w:rPr>
      </w:pPr>
      <w:r w:rsidRPr="00E549DC">
        <w:rPr>
          <w:rFonts w:ascii="Book Antiqua" w:eastAsia="Book Antiqua" w:hAnsi="Book Antiqua" w:cs="Book Antiqua"/>
          <w:color w:val="000000"/>
        </w:rPr>
        <w:t>All of the studies included patients with advanced HCC who had not received previous treatment. Overall, the total of 10256 patients included in the analysis were predominantly male</w:t>
      </w:r>
      <w:r w:rsidR="005A528B" w:rsidRPr="00E549DC">
        <w:rPr>
          <w:rFonts w:ascii="Book Antiqua" w:eastAsia="Book Antiqua" w:hAnsi="Book Antiqua" w:cs="Book Antiqua"/>
          <w:color w:val="000000"/>
        </w:rPr>
        <w:t xml:space="preserve"> and </w:t>
      </w:r>
      <w:r w:rsidRPr="00E549DC">
        <w:rPr>
          <w:rFonts w:ascii="Book Antiqua" w:eastAsia="Book Antiqua" w:hAnsi="Book Antiqua" w:cs="Book Antiqua"/>
          <w:color w:val="000000"/>
        </w:rPr>
        <w:t>had median ages ranging from 49 to 68 years, and most of the studies included &gt; 50% of patients with extrahepatic metastasis (Table 2).</w:t>
      </w:r>
    </w:p>
    <w:p w14:paraId="11A6643E" w14:textId="77777777" w:rsidR="00A77B3E" w:rsidRPr="00E549DC" w:rsidRDefault="00A77B3E" w:rsidP="00C55EEF">
      <w:pPr>
        <w:adjustRightInd w:val="0"/>
        <w:snapToGrid w:val="0"/>
        <w:spacing w:line="360" w:lineRule="auto"/>
        <w:jc w:val="both"/>
        <w:rPr>
          <w:rFonts w:ascii="Book Antiqua" w:hAnsi="Book Antiqua"/>
        </w:rPr>
      </w:pPr>
    </w:p>
    <w:p w14:paraId="37604CD4" w14:textId="77777777" w:rsidR="00A77B3E" w:rsidRPr="00E549DC" w:rsidRDefault="00B677D4" w:rsidP="00C55EEF">
      <w:pPr>
        <w:adjustRightInd w:val="0"/>
        <w:snapToGrid w:val="0"/>
        <w:spacing w:line="360" w:lineRule="auto"/>
        <w:jc w:val="both"/>
        <w:rPr>
          <w:rFonts w:ascii="Book Antiqua" w:hAnsi="Book Antiqua"/>
        </w:rPr>
      </w:pPr>
      <w:r w:rsidRPr="00E549DC">
        <w:rPr>
          <w:rFonts w:ascii="Book Antiqua" w:eastAsia="Book Antiqua" w:hAnsi="Book Antiqua" w:cs="Book Antiqua"/>
          <w:b/>
          <w:bCs/>
          <w:i/>
          <w:iCs/>
          <w:color w:val="000000"/>
        </w:rPr>
        <w:t>Evaluation of efficacy</w:t>
      </w:r>
    </w:p>
    <w:p w14:paraId="04704499" w14:textId="3427605D" w:rsidR="00A77B3E" w:rsidRPr="00E549DC" w:rsidRDefault="00B677D4" w:rsidP="00C55EEF">
      <w:pPr>
        <w:adjustRightInd w:val="0"/>
        <w:snapToGrid w:val="0"/>
        <w:spacing w:line="360" w:lineRule="auto"/>
        <w:jc w:val="both"/>
        <w:rPr>
          <w:rFonts w:ascii="Book Antiqua" w:hAnsi="Book Antiqua"/>
        </w:rPr>
      </w:pPr>
      <w:r w:rsidRPr="00E549DC">
        <w:rPr>
          <w:rFonts w:ascii="Book Antiqua" w:eastAsia="Book Antiqua" w:hAnsi="Book Antiqua" w:cs="Book Antiqua"/>
          <w:b/>
          <w:bCs/>
          <w:color w:val="000000"/>
        </w:rPr>
        <w:t xml:space="preserve">Overall response rate: </w:t>
      </w:r>
      <w:r w:rsidRPr="00E549DC">
        <w:rPr>
          <w:rFonts w:ascii="Book Antiqua" w:eastAsia="Book Antiqua" w:hAnsi="Book Antiqua" w:cs="Book Antiqua"/>
          <w:color w:val="000000"/>
        </w:rPr>
        <w:t xml:space="preserve">A total of 18 studies reported ORR, including 19 interventions and allowing 20 comparisons (Figure 2A). No significant heterogeneity was detected between the studies (tau-squared = 0; </w:t>
      </w:r>
      <w:r w:rsidRPr="00E549DC">
        <w:rPr>
          <w:rFonts w:ascii="Book Antiqua" w:eastAsia="Book Antiqua" w:hAnsi="Book Antiqua" w:cs="Book Antiqua"/>
          <w:i/>
          <w:iCs/>
          <w:color w:val="000000"/>
        </w:rPr>
        <w:t>I</w:t>
      </w:r>
      <w:r w:rsidRPr="00E549DC">
        <w:rPr>
          <w:rFonts w:ascii="Book Antiqua" w:eastAsia="Book Antiqua" w:hAnsi="Book Antiqua" w:cs="Book Antiqua"/>
          <w:i/>
          <w:iCs/>
          <w:color w:val="000000"/>
          <w:vertAlign w:val="superscript"/>
        </w:rPr>
        <w:t>2</w:t>
      </w:r>
      <w:r w:rsidRPr="00E549DC">
        <w:rPr>
          <w:rFonts w:ascii="Book Antiqua" w:eastAsia="Book Antiqua" w:hAnsi="Book Antiqua" w:cs="Book Antiqua"/>
          <w:color w:val="000000"/>
        </w:rPr>
        <w:t xml:space="preserve"> = 0%; </w:t>
      </w:r>
      <w:r w:rsidRPr="00E549DC">
        <w:rPr>
          <w:rFonts w:ascii="Book Antiqua" w:eastAsia="Book Antiqua" w:hAnsi="Book Antiqua" w:cs="Book Antiqua"/>
          <w:i/>
          <w:iCs/>
          <w:color w:val="000000"/>
        </w:rPr>
        <w:t>P</w:t>
      </w:r>
      <w:r w:rsidRPr="00E549DC">
        <w:rPr>
          <w:rFonts w:ascii="Book Antiqua" w:eastAsia="Book Antiqua" w:hAnsi="Book Antiqua" w:cs="Book Antiqua"/>
          <w:color w:val="000000"/>
        </w:rPr>
        <w:t xml:space="preserve"> = 0.9502) and a fix</w:t>
      </w:r>
      <w:r w:rsidR="008B736D" w:rsidRPr="00E549DC">
        <w:rPr>
          <w:rFonts w:ascii="Book Antiqua" w:eastAsia="Book Antiqua" w:hAnsi="Book Antiqua" w:cs="Book Antiqua"/>
          <w:color w:val="000000"/>
        </w:rPr>
        <w:t xml:space="preserve">ed effect model was selected. </w:t>
      </w:r>
      <w:r w:rsidR="008B736D" w:rsidRPr="00E549DC">
        <w:rPr>
          <w:rFonts w:ascii="Book Antiqua" w:eastAsia="Book Antiqua" w:hAnsi="Book Antiqua" w:cs="Book Antiqua"/>
          <w:i/>
          <w:color w:val="000000"/>
        </w:rPr>
        <w:t>P</w:t>
      </w:r>
      <w:r w:rsidR="008B736D" w:rsidRPr="00E549DC">
        <w:rPr>
          <w:rFonts w:ascii="Book Antiqua" w:eastAsia="Book Antiqua" w:hAnsi="Book Antiqua" w:cs="Book Antiqua"/>
          <w:color w:val="000000"/>
        </w:rPr>
        <w:t xml:space="preserve"> value</w:t>
      </w:r>
      <w:r w:rsidRPr="00E549DC">
        <w:rPr>
          <w:rFonts w:ascii="Book Antiqua" w:eastAsia="Book Antiqua" w:hAnsi="Book Antiqua" w:cs="Book Antiqua"/>
          <w:color w:val="000000"/>
        </w:rPr>
        <w:t xml:space="preserve"> for ORR showed that lenvatinib was associated with the best ORR among all treatments included in the analysis (</w:t>
      </w:r>
      <w:r w:rsidRPr="00E549DC">
        <w:rPr>
          <w:rFonts w:ascii="Book Antiqua" w:eastAsia="Book Antiqua" w:hAnsi="Book Antiqua" w:cs="Book Antiqua"/>
          <w:i/>
          <w:iCs/>
          <w:color w:val="000000"/>
        </w:rPr>
        <w:t>P</w:t>
      </w:r>
      <w:r w:rsidRPr="00E549DC">
        <w:rPr>
          <w:rFonts w:ascii="Book Antiqua" w:eastAsia="Book Antiqua" w:hAnsi="Book Antiqua" w:cs="Book Antiqua"/>
          <w:color w:val="000000"/>
        </w:rPr>
        <w:t xml:space="preserve"> = 0.9042) (Figure 2B). Atezolizumab + bevacizumab ranked second (</w:t>
      </w:r>
      <w:r w:rsidRPr="00E549DC">
        <w:rPr>
          <w:rFonts w:ascii="Book Antiqua" w:eastAsia="Book Antiqua" w:hAnsi="Book Antiqua" w:cs="Book Antiqua"/>
          <w:i/>
          <w:iCs/>
          <w:color w:val="000000"/>
        </w:rPr>
        <w:t>P</w:t>
      </w:r>
      <w:r w:rsidRPr="00E549DC">
        <w:rPr>
          <w:rFonts w:ascii="Book Antiqua" w:eastAsia="Book Antiqua" w:hAnsi="Book Antiqua" w:cs="Book Antiqua"/>
          <w:color w:val="000000"/>
        </w:rPr>
        <w:t xml:space="preserve"> = 0.8045) and nivolumab ranked third (</w:t>
      </w:r>
      <w:r w:rsidRPr="00E549DC">
        <w:rPr>
          <w:rFonts w:ascii="Book Antiqua" w:eastAsia="Book Antiqua" w:hAnsi="Book Antiqua" w:cs="Book Antiqua"/>
          <w:i/>
          <w:iCs/>
          <w:color w:val="000000"/>
        </w:rPr>
        <w:t>P</w:t>
      </w:r>
      <w:r w:rsidRPr="00E549DC">
        <w:rPr>
          <w:rFonts w:ascii="Book Antiqua" w:eastAsia="Book Antiqua" w:hAnsi="Book Antiqua" w:cs="Book Antiqua"/>
          <w:color w:val="000000"/>
        </w:rPr>
        <w:t xml:space="preserve"> = 0.7834). Using lenvatinib as the comparator, all treatments included in the analysis had an estimated risk ratio for ORR (RR</w:t>
      </w:r>
      <w:r w:rsidRPr="00E549DC">
        <w:rPr>
          <w:rFonts w:ascii="Book Antiqua" w:eastAsia="Book Antiqua" w:hAnsi="Book Antiqua" w:cs="Book Antiqua"/>
          <w:color w:val="000000"/>
          <w:vertAlign w:val="subscript"/>
        </w:rPr>
        <w:t>ORR</w:t>
      </w:r>
      <w:r w:rsidRPr="00E549DC">
        <w:rPr>
          <w:rFonts w:ascii="Book Antiqua" w:eastAsia="Book Antiqua" w:hAnsi="Book Antiqua" w:cs="Book Antiqua"/>
          <w:color w:val="000000"/>
        </w:rPr>
        <w:t>) of &lt; 1, except for AEG35156 + sorafenib, which had an estimated RR</w:t>
      </w:r>
      <w:r w:rsidRPr="00E549DC">
        <w:rPr>
          <w:rFonts w:ascii="Book Antiqua" w:eastAsia="Book Antiqua" w:hAnsi="Book Antiqua" w:cs="Book Antiqua"/>
          <w:color w:val="000000"/>
          <w:vertAlign w:val="subscript"/>
        </w:rPr>
        <w:t>ORR</w:t>
      </w:r>
      <w:r w:rsidRPr="00E549DC">
        <w:rPr>
          <w:rFonts w:ascii="Book Antiqua" w:eastAsia="Book Antiqua" w:hAnsi="Book Antiqua" w:cs="Book Antiqua"/>
          <w:color w:val="000000"/>
        </w:rPr>
        <w:t xml:space="preserve"> of 1.345</w:t>
      </w:r>
      <w:r w:rsidR="00124A76" w:rsidRPr="00E549DC">
        <w:rPr>
          <w:rFonts w:ascii="Book Antiqua" w:eastAsia="Book Antiqua" w:hAnsi="Book Antiqua" w:cs="Book Antiqua"/>
          <w:color w:val="000000"/>
        </w:rPr>
        <w:t>1 [95% confidence interval (CI):</w:t>
      </w:r>
      <w:r w:rsidRPr="00E549DC">
        <w:rPr>
          <w:rFonts w:ascii="Book Antiqua" w:eastAsia="Book Antiqua" w:hAnsi="Book Antiqua" w:cs="Book Antiqua"/>
          <w:color w:val="000000"/>
        </w:rPr>
        <w:t xml:space="preserve"> 0.07</w:t>
      </w:r>
      <w:r w:rsidR="00ED1E51" w:rsidRPr="00E549DC">
        <w:rPr>
          <w:rFonts w:ascii="Book Antiqua" w:eastAsia="Book Antiqua" w:hAnsi="Book Antiqua" w:cs="Book Antiqua"/>
          <w:color w:val="000000"/>
        </w:rPr>
        <w:t>-</w:t>
      </w:r>
      <w:r w:rsidRPr="00E549DC">
        <w:rPr>
          <w:rFonts w:ascii="Book Antiqua" w:eastAsia="Book Antiqua" w:hAnsi="Book Antiqua" w:cs="Book Antiqua"/>
          <w:color w:val="000000"/>
        </w:rPr>
        <w:t>25.21] (Figure 2B).</w:t>
      </w:r>
    </w:p>
    <w:p w14:paraId="6204646B" w14:textId="77777777" w:rsidR="00A77B3E" w:rsidRPr="00E549DC" w:rsidRDefault="00A77B3E" w:rsidP="00C55EEF">
      <w:pPr>
        <w:adjustRightInd w:val="0"/>
        <w:snapToGrid w:val="0"/>
        <w:spacing w:line="360" w:lineRule="auto"/>
        <w:jc w:val="both"/>
        <w:rPr>
          <w:rFonts w:ascii="Book Antiqua" w:hAnsi="Book Antiqua"/>
        </w:rPr>
      </w:pPr>
    </w:p>
    <w:p w14:paraId="5D8D379C" w14:textId="10D6C3F1" w:rsidR="00A77B3E" w:rsidRPr="00E549DC" w:rsidRDefault="00B677D4" w:rsidP="00C55EEF">
      <w:pPr>
        <w:adjustRightInd w:val="0"/>
        <w:snapToGrid w:val="0"/>
        <w:spacing w:line="360" w:lineRule="auto"/>
        <w:jc w:val="both"/>
        <w:rPr>
          <w:rFonts w:ascii="Book Antiqua" w:hAnsi="Book Antiqua"/>
        </w:rPr>
      </w:pPr>
      <w:r w:rsidRPr="00E549DC">
        <w:rPr>
          <w:rFonts w:ascii="Book Antiqua" w:eastAsia="Book Antiqua" w:hAnsi="Book Antiqua" w:cs="Book Antiqua"/>
          <w:b/>
          <w:bCs/>
          <w:color w:val="000000"/>
        </w:rPr>
        <w:t xml:space="preserve">Progression-free survival: </w:t>
      </w:r>
      <w:r w:rsidRPr="00E549DC">
        <w:rPr>
          <w:rFonts w:ascii="Book Antiqua" w:eastAsia="Book Antiqua" w:hAnsi="Book Antiqua" w:cs="Book Antiqua"/>
          <w:color w:val="000000"/>
        </w:rPr>
        <w:t xml:space="preserve">A total of 15 studies reported PFS, including 15 interventions and allowing 15 comparisons (Figure 3A). No significant heterogeneity was detected (tau-squared = 0; </w:t>
      </w:r>
      <w:r w:rsidRPr="00E549DC">
        <w:rPr>
          <w:rFonts w:ascii="Book Antiqua" w:eastAsia="Book Antiqua" w:hAnsi="Book Antiqua" w:cs="Book Antiqua"/>
          <w:i/>
          <w:iCs/>
          <w:color w:val="000000"/>
        </w:rPr>
        <w:t>I</w:t>
      </w:r>
      <w:r w:rsidRPr="00E549DC">
        <w:rPr>
          <w:rFonts w:ascii="Book Antiqua" w:eastAsia="Book Antiqua" w:hAnsi="Book Antiqua" w:cs="Book Antiqua"/>
          <w:i/>
          <w:iCs/>
          <w:color w:val="000000"/>
          <w:vertAlign w:val="superscript"/>
        </w:rPr>
        <w:t>2</w:t>
      </w:r>
      <w:r w:rsidRPr="00E549DC">
        <w:rPr>
          <w:rFonts w:ascii="Book Antiqua" w:eastAsia="Book Antiqua" w:hAnsi="Book Antiqua" w:cs="Book Antiqua"/>
          <w:color w:val="000000"/>
        </w:rPr>
        <w:t xml:space="preserve"> = 0%; </w:t>
      </w:r>
      <w:r w:rsidRPr="00E549DC">
        <w:rPr>
          <w:rFonts w:ascii="Book Antiqua" w:eastAsia="Book Antiqua" w:hAnsi="Book Antiqua" w:cs="Book Antiqua"/>
          <w:i/>
          <w:iCs/>
          <w:color w:val="000000"/>
        </w:rPr>
        <w:t>P</w:t>
      </w:r>
      <w:r w:rsidRPr="00E549DC">
        <w:rPr>
          <w:rFonts w:ascii="Book Antiqua" w:eastAsia="Book Antiqua" w:hAnsi="Book Antiqua" w:cs="Book Antiqua"/>
          <w:color w:val="000000"/>
        </w:rPr>
        <w:t xml:space="preserve"> = 0.7361) and a fixed effect model was selected. Atezolizumab + bevacizumab was ranked first for PFS </w:t>
      </w:r>
      <w:r w:rsidRPr="00E549DC">
        <w:rPr>
          <w:rFonts w:ascii="Book Antiqua" w:eastAsia="Book Antiqua" w:hAnsi="Book Antiqua" w:cs="Book Antiqua"/>
          <w:color w:val="000000"/>
        </w:rPr>
        <w:lastRenderedPageBreak/>
        <w:t>(</w:t>
      </w:r>
      <w:r w:rsidRPr="00E549DC">
        <w:rPr>
          <w:rFonts w:ascii="Book Antiqua" w:eastAsia="Book Antiqua" w:hAnsi="Book Antiqua" w:cs="Book Antiqua"/>
          <w:i/>
          <w:iCs/>
          <w:color w:val="000000"/>
        </w:rPr>
        <w:t>P</w:t>
      </w:r>
      <w:r w:rsidRPr="00E549DC">
        <w:rPr>
          <w:rFonts w:ascii="Book Antiqua" w:eastAsia="Book Antiqua" w:hAnsi="Book Antiqua" w:cs="Book Antiqua"/>
          <w:color w:val="000000"/>
        </w:rPr>
        <w:t xml:space="preserve"> = 0.9501), followed by lenvatinib (</w:t>
      </w:r>
      <w:r w:rsidRPr="00E549DC">
        <w:rPr>
          <w:rFonts w:ascii="Book Antiqua" w:eastAsia="Book Antiqua" w:hAnsi="Book Antiqua" w:cs="Book Antiqua"/>
          <w:i/>
          <w:iCs/>
          <w:color w:val="000000"/>
        </w:rPr>
        <w:t>P</w:t>
      </w:r>
      <w:r w:rsidRPr="00E549DC">
        <w:rPr>
          <w:rFonts w:ascii="Book Antiqua" w:eastAsia="Book Antiqua" w:hAnsi="Book Antiqua" w:cs="Book Antiqua"/>
          <w:color w:val="000000"/>
        </w:rPr>
        <w:t xml:space="preserve"> = 0.9041). Nivolumab ranked sixth (</w:t>
      </w:r>
      <w:r w:rsidRPr="00E549DC">
        <w:rPr>
          <w:rFonts w:ascii="Book Antiqua" w:eastAsia="Book Antiqua" w:hAnsi="Book Antiqua" w:cs="Book Antiqua"/>
          <w:i/>
          <w:iCs/>
          <w:color w:val="000000"/>
        </w:rPr>
        <w:t>P</w:t>
      </w:r>
      <w:r w:rsidRPr="00E549DC">
        <w:rPr>
          <w:rFonts w:ascii="Book Antiqua" w:eastAsia="Book Antiqua" w:hAnsi="Book Antiqua" w:cs="Book Antiqua"/>
          <w:color w:val="000000"/>
        </w:rPr>
        <w:t xml:space="preserve"> = 0.558) (Figure 3B). With the exception of atezolizumab + bevacizumab (HR</w:t>
      </w:r>
      <w:r w:rsidRPr="00E549DC">
        <w:rPr>
          <w:rFonts w:ascii="Book Antiqua" w:eastAsia="Book Antiqua" w:hAnsi="Book Antiqua" w:cs="Book Antiqua"/>
          <w:color w:val="000000"/>
          <w:vertAlign w:val="subscript"/>
        </w:rPr>
        <w:t>PFS</w:t>
      </w:r>
      <w:r w:rsidRPr="00E549DC">
        <w:rPr>
          <w:rFonts w:ascii="Book Antiqua" w:eastAsia="Book Antiqua" w:hAnsi="Book Antiqua" w:cs="Book Antiqua"/>
          <w:color w:val="000000"/>
        </w:rPr>
        <w:t xml:space="preserve"> = 0.90; 95%</w:t>
      </w:r>
      <w:r w:rsidR="00124A76" w:rsidRPr="00E549DC">
        <w:rPr>
          <w:rFonts w:ascii="Book Antiqua" w:eastAsia="Book Antiqua" w:hAnsi="Book Antiqua" w:cs="Book Antiqua"/>
          <w:color w:val="000000"/>
        </w:rPr>
        <w:t>CI:</w:t>
      </w:r>
      <w:r w:rsidRPr="00E549DC">
        <w:rPr>
          <w:rFonts w:ascii="Book Antiqua" w:eastAsia="Book Antiqua" w:hAnsi="Book Antiqua" w:cs="Book Antiqua"/>
          <w:color w:val="000000"/>
        </w:rPr>
        <w:t xml:space="preserve"> 0.64</w:t>
      </w:r>
      <w:r w:rsidR="00ED1E51" w:rsidRPr="00E549DC">
        <w:rPr>
          <w:rFonts w:ascii="Book Antiqua" w:eastAsia="Book Antiqua" w:hAnsi="Book Antiqua" w:cs="Book Antiqua"/>
          <w:color w:val="000000"/>
        </w:rPr>
        <w:t>-</w:t>
      </w:r>
      <w:r w:rsidRPr="00E549DC">
        <w:rPr>
          <w:rFonts w:ascii="Book Antiqua" w:eastAsia="Book Antiqua" w:hAnsi="Book Antiqua" w:cs="Book Antiqua"/>
          <w:color w:val="000000"/>
        </w:rPr>
        <w:t xml:space="preserve">1.25), the estimated HRs for PFS for all included treatments </w:t>
      </w:r>
      <w:r w:rsidRPr="00E549DC">
        <w:rPr>
          <w:rFonts w:ascii="Book Antiqua" w:eastAsia="Book Antiqua" w:hAnsi="Book Antiqua" w:cs="Book Antiqua"/>
          <w:i/>
          <w:iCs/>
          <w:color w:val="000000"/>
        </w:rPr>
        <w:t>vs</w:t>
      </w:r>
      <w:r w:rsidRPr="00E549DC">
        <w:rPr>
          <w:rFonts w:ascii="Book Antiqua" w:eastAsia="Book Antiqua" w:hAnsi="Book Antiqua" w:cs="Book Antiqua"/>
          <w:color w:val="000000"/>
        </w:rPr>
        <w:t xml:space="preserve"> lenvatinib were &gt; 1; however, the associated 95%CI passed through unity for bevacizumab plus erlotinib, linifanib, and FOLFOX4.</w:t>
      </w:r>
    </w:p>
    <w:p w14:paraId="0D9B343E" w14:textId="77777777" w:rsidR="00A77B3E" w:rsidRPr="00E549DC" w:rsidRDefault="00A77B3E" w:rsidP="00C55EEF">
      <w:pPr>
        <w:adjustRightInd w:val="0"/>
        <w:snapToGrid w:val="0"/>
        <w:spacing w:line="360" w:lineRule="auto"/>
        <w:jc w:val="both"/>
        <w:rPr>
          <w:rFonts w:ascii="Book Antiqua" w:hAnsi="Book Antiqua"/>
        </w:rPr>
      </w:pPr>
    </w:p>
    <w:p w14:paraId="162FD677" w14:textId="0C515288" w:rsidR="00A77B3E" w:rsidRPr="00E549DC" w:rsidRDefault="00B677D4" w:rsidP="00C55EEF">
      <w:pPr>
        <w:adjustRightInd w:val="0"/>
        <w:snapToGrid w:val="0"/>
        <w:spacing w:line="360" w:lineRule="auto"/>
        <w:jc w:val="both"/>
        <w:rPr>
          <w:rFonts w:ascii="Book Antiqua" w:hAnsi="Book Antiqua"/>
        </w:rPr>
      </w:pPr>
      <w:r w:rsidRPr="00E549DC">
        <w:rPr>
          <w:rFonts w:ascii="Book Antiqua" w:eastAsia="Book Antiqua" w:hAnsi="Book Antiqua" w:cs="Book Antiqua"/>
          <w:b/>
          <w:bCs/>
          <w:color w:val="000000"/>
        </w:rPr>
        <w:t xml:space="preserve">Time to progression: </w:t>
      </w:r>
      <w:r w:rsidRPr="00E549DC">
        <w:rPr>
          <w:rFonts w:ascii="Book Antiqua" w:eastAsia="Book Antiqua" w:hAnsi="Book Antiqua" w:cs="Book Antiqua"/>
          <w:color w:val="000000"/>
        </w:rPr>
        <w:t xml:space="preserve">A total of 17 studies reported TTP, including 17 interventions and allowing 19 comparisons (Figure 3C). No significant heterogeneity was detected between studies (tau-squared = 0; </w:t>
      </w:r>
      <w:r w:rsidRPr="00E549DC">
        <w:rPr>
          <w:rFonts w:ascii="Book Antiqua" w:eastAsia="Book Antiqua" w:hAnsi="Book Antiqua" w:cs="Book Antiqua"/>
          <w:i/>
          <w:iCs/>
          <w:color w:val="000000"/>
        </w:rPr>
        <w:t>I</w:t>
      </w:r>
      <w:r w:rsidRPr="00E549DC">
        <w:rPr>
          <w:rFonts w:ascii="Book Antiqua" w:eastAsia="Book Antiqua" w:hAnsi="Book Antiqua" w:cs="Book Antiqua"/>
          <w:i/>
          <w:iCs/>
          <w:color w:val="000000"/>
          <w:vertAlign w:val="superscript"/>
        </w:rPr>
        <w:t>2</w:t>
      </w:r>
      <w:r w:rsidRPr="00E549DC">
        <w:rPr>
          <w:rFonts w:ascii="Book Antiqua" w:eastAsia="Book Antiqua" w:hAnsi="Book Antiqua" w:cs="Book Antiqua"/>
          <w:color w:val="000000"/>
        </w:rPr>
        <w:t xml:space="preserve"> = 0%; </w:t>
      </w:r>
      <w:r w:rsidRPr="00E549DC">
        <w:rPr>
          <w:rFonts w:ascii="Book Antiqua" w:eastAsia="Book Antiqua" w:hAnsi="Book Antiqua" w:cs="Book Antiqua"/>
          <w:i/>
          <w:iCs/>
          <w:color w:val="000000"/>
        </w:rPr>
        <w:t>P</w:t>
      </w:r>
      <w:r w:rsidRPr="00E549DC">
        <w:rPr>
          <w:rFonts w:ascii="Book Antiqua" w:eastAsia="Book Antiqua" w:hAnsi="Book Antiqua" w:cs="Book Antiqua"/>
          <w:color w:val="000000"/>
        </w:rPr>
        <w:t xml:space="preserve"> = 0.9028) and a fixed effect model was selected. Lenvatinib was ranked first for TTP (</w:t>
      </w:r>
      <w:r w:rsidRPr="00E549DC">
        <w:rPr>
          <w:rFonts w:ascii="Book Antiqua" w:eastAsia="Book Antiqua" w:hAnsi="Book Antiqua" w:cs="Book Antiqua"/>
          <w:i/>
          <w:iCs/>
          <w:color w:val="000000"/>
        </w:rPr>
        <w:t>P</w:t>
      </w:r>
      <w:r w:rsidRPr="00E549DC">
        <w:rPr>
          <w:rFonts w:ascii="Book Antiqua" w:eastAsia="Book Antiqua" w:hAnsi="Book Antiqua" w:cs="Book Antiqua"/>
          <w:color w:val="000000"/>
        </w:rPr>
        <w:t xml:space="preserve"> = 0.9888) followed by linifanib (</w:t>
      </w:r>
      <w:r w:rsidRPr="00E549DC">
        <w:rPr>
          <w:rFonts w:ascii="Book Antiqua" w:eastAsia="Book Antiqua" w:hAnsi="Book Antiqua" w:cs="Book Antiqua"/>
          <w:i/>
          <w:iCs/>
          <w:color w:val="000000"/>
        </w:rPr>
        <w:t>P</w:t>
      </w:r>
      <w:r w:rsidRPr="00E549DC">
        <w:rPr>
          <w:rFonts w:ascii="Book Antiqua" w:eastAsia="Book Antiqua" w:hAnsi="Book Antiqua" w:cs="Book Antiqua"/>
          <w:color w:val="000000"/>
        </w:rPr>
        <w:t xml:space="preserve"> = 0.9067) and sorafenib + doxorubicin (</w:t>
      </w:r>
      <w:r w:rsidRPr="00E549DC">
        <w:rPr>
          <w:rFonts w:ascii="Book Antiqua" w:eastAsia="Book Antiqua" w:hAnsi="Book Antiqua" w:cs="Book Antiqua"/>
          <w:i/>
          <w:iCs/>
          <w:color w:val="000000"/>
        </w:rPr>
        <w:t>P</w:t>
      </w:r>
      <w:r w:rsidRPr="00E549DC">
        <w:rPr>
          <w:rFonts w:ascii="Book Antiqua" w:eastAsia="Book Antiqua" w:hAnsi="Book Antiqua" w:cs="Book Antiqua"/>
          <w:color w:val="000000"/>
        </w:rPr>
        <w:t xml:space="preserve"> = 0.7344) (Figure 3D). When compared with lenvatinib, all other treatments in the analysis had an estimated HR</w:t>
      </w:r>
      <w:r w:rsidRPr="00E549DC">
        <w:rPr>
          <w:rFonts w:ascii="Book Antiqua" w:eastAsia="Book Antiqua" w:hAnsi="Book Antiqua" w:cs="Book Antiqua"/>
          <w:color w:val="000000"/>
          <w:vertAlign w:val="subscript"/>
        </w:rPr>
        <w:t>TTP</w:t>
      </w:r>
      <w:r w:rsidRPr="00E549DC">
        <w:rPr>
          <w:rFonts w:ascii="Book Antiqua" w:eastAsia="Book Antiqua" w:hAnsi="Book Antiqua" w:cs="Book Antiqua"/>
          <w:color w:val="000000"/>
        </w:rPr>
        <w:t xml:space="preserve"> &gt; 1, although the associated 95%CI passed through unity for linifanib and sorafenib plus tegafur–uracil.</w:t>
      </w:r>
    </w:p>
    <w:p w14:paraId="44433F97" w14:textId="77777777" w:rsidR="00A77B3E" w:rsidRPr="00E549DC" w:rsidRDefault="00A77B3E" w:rsidP="00C55EEF">
      <w:pPr>
        <w:adjustRightInd w:val="0"/>
        <w:snapToGrid w:val="0"/>
        <w:spacing w:line="360" w:lineRule="auto"/>
        <w:jc w:val="both"/>
        <w:rPr>
          <w:rFonts w:ascii="Book Antiqua" w:hAnsi="Book Antiqua"/>
        </w:rPr>
      </w:pPr>
    </w:p>
    <w:p w14:paraId="62EB4BB6" w14:textId="7DBF2DB6" w:rsidR="00A77B3E" w:rsidRPr="00E549DC" w:rsidRDefault="00B677D4" w:rsidP="00C55EEF">
      <w:pPr>
        <w:adjustRightInd w:val="0"/>
        <w:snapToGrid w:val="0"/>
        <w:spacing w:line="360" w:lineRule="auto"/>
        <w:jc w:val="both"/>
        <w:rPr>
          <w:rFonts w:ascii="Book Antiqua" w:hAnsi="Book Antiqua"/>
        </w:rPr>
      </w:pPr>
      <w:r w:rsidRPr="00E549DC">
        <w:rPr>
          <w:rFonts w:ascii="Book Antiqua" w:eastAsia="Book Antiqua" w:hAnsi="Book Antiqua" w:cs="Book Antiqua"/>
          <w:b/>
          <w:bCs/>
          <w:color w:val="000000"/>
        </w:rPr>
        <w:t xml:space="preserve">Overall survival: </w:t>
      </w:r>
      <w:r w:rsidRPr="00E549DC">
        <w:rPr>
          <w:rFonts w:ascii="Book Antiqua" w:eastAsia="Book Antiqua" w:hAnsi="Book Antiqua" w:cs="Book Antiqua"/>
          <w:color w:val="000000"/>
        </w:rPr>
        <w:t xml:space="preserve">A total of 24 studies reported OS, including 25 interventions and allowing 28 comparisons (Figure 3E). No significant heterogeneity was detected between studies (tau-squared = 0; </w:t>
      </w:r>
      <w:r w:rsidRPr="00E549DC">
        <w:rPr>
          <w:rFonts w:ascii="Book Antiqua" w:eastAsia="Book Antiqua" w:hAnsi="Book Antiqua" w:cs="Book Antiqua"/>
          <w:i/>
          <w:iCs/>
          <w:color w:val="000000"/>
        </w:rPr>
        <w:t>I</w:t>
      </w:r>
      <w:r w:rsidRPr="00E549DC">
        <w:rPr>
          <w:rFonts w:ascii="Book Antiqua" w:eastAsia="Book Antiqua" w:hAnsi="Book Antiqua" w:cs="Book Antiqua"/>
          <w:i/>
          <w:iCs/>
          <w:color w:val="000000"/>
          <w:vertAlign w:val="superscript"/>
        </w:rPr>
        <w:t>2</w:t>
      </w:r>
      <w:r w:rsidRPr="00E549DC">
        <w:rPr>
          <w:rFonts w:ascii="Book Antiqua" w:eastAsia="Book Antiqua" w:hAnsi="Book Antiqua" w:cs="Book Antiqua"/>
          <w:color w:val="000000"/>
        </w:rPr>
        <w:t xml:space="preserve"> = 0%; </w:t>
      </w:r>
      <w:r w:rsidRPr="00E549DC">
        <w:rPr>
          <w:rFonts w:ascii="Book Antiqua" w:eastAsia="Book Antiqua" w:hAnsi="Book Antiqua" w:cs="Book Antiqua"/>
          <w:i/>
          <w:iCs/>
          <w:color w:val="000000"/>
        </w:rPr>
        <w:t>P</w:t>
      </w:r>
      <w:r w:rsidRPr="00E549DC">
        <w:rPr>
          <w:rFonts w:ascii="Book Antiqua" w:eastAsia="Book Antiqua" w:hAnsi="Book Antiqua" w:cs="Book Antiqua"/>
          <w:color w:val="000000"/>
        </w:rPr>
        <w:t xml:space="preserve"> = 0.9802) and a fixed effect model was selected. Atezolizumab + bevacizumab was ranked highest for OS (</w:t>
      </w:r>
      <w:r w:rsidRPr="00E549DC">
        <w:rPr>
          <w:rFonts w:ascii="Book Antiqua" w:eastAsia="Book Antiqua" w:hAnsi="Book Antiqua" w:cs="Book Antiqua"/>
          <w:i/>
          <w:iCs/>
          <w:color w:val="000000"/>
        </w:rPr>
        <w:t>P</w:t>
      </w:r>
      <w:r w:rsidRPr="00E549DC">
        <w:rPr>
          <w:rFonts w:ascii="Book Antiqua" w:eastAsia="Book Antiqua" w:hAnsi="Book Antiqua" w:cs="Book Antiqua"/>
          <w:color w:val="000000"/>
        </w:rPr>
        <w:t xml:space="preserve"> = 0.9651) followed by vandetanib 100 mg/d (</w:t>
      </w:r>
      <w:r w:rsidRPr="00E549DC">
        <w:rPr>
          <w:rFonts w:ascii="Book Antiqua" w:eastAsia="Book Antiqua" w:hAnsi="Book Antiqua" w:cs="Book Antiqua"/>
          <w:i/>
          <w:iCs/>
          <w:color w:val="000000"/>
        </w:rPr>
        <w:t>P</w:t>
      </w:r>
      <w:r w:rsidRPr="00E549DC">
        <w:rPr>
          <w:rFonts w:ascii="Book Antiqua" w:eastAsia="Book Antiqua" w:hAnsi="Book Antiqua" w:cs="Book Antiqua"/>
          <w:color w:val="000000"/>
        </w:rPr>
        <w:t xml:space="preserve"> = 0.8653), donafinib (</w:t>
      </w:r>
      <w:r w:rsidRPr="00E549DC">
        <w:rPr>
          <w:rFonts w:ascii="Book Antiqua" w:eastAsia="Book Antiqua" w:hAnsi="Book Antiqua" w:cs="Book Antiqua"/>
          <w:i/>
          <w:iCs/>
          <w:color w:val="000000"/>
        </w:rPr>
        <w:t>P</w:t>
      </w:r>
      <w:r w:rsidRPr="00E549DC">
        <w:rPr>
          <w:rFonts w:ascii="Book Antiqua" w:eastAsia="Book Antiqua" w:hAnsi="Book Antiqua" w:cs="Book Antiqua"/>
          <w:color w:val="000000"/>
        </w:rPr>
        <w:t xml:space="preserve"> = 0.7958), and nivolumab (</w:t>
      </w:r>
      <w:r w:rsidRPr="00E549DC">
        <w:rPr>
          <w:rFonts w:ascii="Book Antiqua" w:eastAsia="Book Antiqua" w:hAnsi="Book Antiqua" w:cs="Book Antiqua"/>
          <w:i/>
          <w:iCs/>
          <w:color w:val="000000"/>
        </w:rPr>
        <w:t>P</w:t>
      </w:r>
      <w:r w:rsidRPr="00E549DC">
        <w:rPr>
          <w:rFonts w:ascii="Book Antiqua" w:eastAsia="Book Antiqua" w:hAnsi="Book Antiqua" w:cs="Book Antiqua"/>
          <w:color w:val="000000"/>
        </w:rPr>
        <w:t xml:space="preserve"> =</w:t>
      </w:r>
      <w:r w:rsidR="00124A76" w:rsidRPr="00E549DC">
        <w:rPr>
          <w:rFonts w:ascii="Book Antiqua" w:eastAsia="Book Antiqua" w:hAnsi="Book Antiqua" w:cs="Book Antiqua"/>
          <w:color w:val="000000"/>
        </w:rPr>
        <w:t xml:space="preserve"> </w:t>
      </w:r>
      <w:r w:rsidRPr="00E549DC">
        <w:rPr>
          <w:rFonts w:ascii="Book Antiqua" w:eastAsia="Book Antiqua" w:hAnsi="Book Antiqua" w:cs="Book Antiqua"/>
          <w:color w:val="000000"/>
        </w:rPr>
        <w:t>0.7701) (Figure 3F). Lenvatinib ranked sixth (</w:t>
      </w:r>
      <w:r w:rsidRPr="00E549DC">
        <w:rPr>
          <w:rFonts w:ascii="Book Antiqua" w:eastAsia="Book Antiqua" w:hAnsi="Book Antiqua" w:cs="Book Antiqua"/>
          <w:i/>
          <w:iCs/>
          <w:color w:val="000000"/>
        </w:rPr>
        <w:t>P</w:t>
      </w:r>
      <w:r w:rsidRPr="00E549DC">
        <w:rPr>
          <w:rFonts w:ascii="Book Antiqua" w:eastAsia="Book Antiqua" w:hAnsi="Book Antiqua" w:cs="Book Antiqua"/>
          <w:color w:val="000000"/>
        </w:rPr>
        <w:t xml:space="preserve"> = 0.6675). Atezolizumab + bevacizumab was associated with a lower risk of death </w:t>
      </w:r>
      <w:r w:rsidRPr="00E549DC">
        <w:rPr>
          <w:rFonts w:ascii="Book Antiqua" w:eastAsia="Book Antiqua" w:hAnsi="Book Antiqua" w:cs="Book Antiqua"/>
          <w:i/>
          <w:iCs/>
          <w:color w:val="000000"/>
        </w:rPr>
        <w:t>vs</w:t>
      </w:r>
      <w:r w:rsidRPr="00E549DC">
        <w:rPr>
          <w:rFonts w:ascii="Book Antiqua" w:eastAsia="Book Antiqua" w:hAnsi="Book Antiqua" w:cs="Book Antiqua"/>
          <w:color w:val="000000"/>
        </w:rPr>
        <w:t xml:space="preserve"> lenvatinib (HR</w:t>
      </w:r>
      <w:r w:rsidRPr="00E549DC">
        <w:rPr>
          <w:rFonts w:ascii="Book Antiqua" w:eastAsia="Book Antiqua" w:hAnsi="Book Antiqua" w:cs="Book Antiqua"/>
          <w:color w:val="000000"/>
          <w:vertAlign w:val="subscript"/>
        </w:rPr>
        <w:t>os</w:t>
      </w:r>
      <w:r w:rsidR="00124A76" w:rsidRPr="00E549DC">
        <w:rPr>
          <w:rFonts w:ascii="Book Antiqua" w:eastAsia="Book Antiqua" w:hAnsi="Book Antiqua" w:cs="Book Antiqua"/>
          <w:color w:val="000000"/>
        </w:rPr>
        <w:t xml:space="preserve"> = 0.63; 95%CI:</w:t>
      </w:r>
      <w:r w:rsidRPr="00E549DC">
        <w:rPr>
          <w:rFonts w:ascii="Book Antiqua" w:eastAsia="Book Antiqua" w:hAnsi="Book Antiqua" w:cs="Book Antiqua"/>
          <w:color w:val="000000"/>
        </w:rPr>
        <w:t xml:space="preserve"> 0.44</w:t>
      </w:r>
      <w:r w:rsidR="00ED1E51" w:rsidRPr="00E549DC">
        <w:rPr>
          <w:rFonts w:ascii="Book Antiqua" w:eastAsia="Book Antiqua" w:hAnsi="Book Antiqua" w:cs="Book Antiqua"/>
          <w:color w:val="000000"/>
        </w:rPr>
        <w:t>-</w:t>
      </w:r>
      <w:r w:rsidRPr="00E549DC">
        <w:rPr>
          <w:rFonts w:ascii="Book Antiqua" w:eastAsia="Book Antiqua" w:hAnsi="Book Antiqua" w:cs="Book Antiqua"/>
          <w:color w:val="000000"/>
        </w:rPr>
        <w:t>0.89), and the HR</w:t>
      </w:r>
      <w:r w:rsidRPr="00E549DC">
        <w:rPr>
          <w:rFonts w:ascii="Book Antiqua" w:eastAsia="Book Antiqua" w:hAnsi="Book Antiqua" w:cs="Book Antiqua"/>
          <w:color w:val="000000"/>
          <w:vertAlign w:val="subscript"/>
        </w:rPr>
        <w:t>os</w:t>
      </w:r>
      <w:r w:rsidRPr="00E549DC">
        <w:rPr>
          <w:rFonts w:ascii="Book Antiqua" w:eastAsia="Book Antiqua" w:hAnsi="Book Antiqua" w:cs="Book Antiqua"/>
          <w:color w:val="000000"/>
        </w:rPr>
        <w:t xml:space="preserve"> for most other treatments </w:t>
      </w:r>
      <w:r w:rsidRPr="00E549DC">
        <w:rPr>
          <w:rFonts w:ascii="Book Antiqua" w:eastAsia="Book Antiqua" w:hAnsi="Book Antiqua" w:cs="Book Antiqua"/>
          <w:i/>
          <w:iCs/>
          <w:color w:val="000000"/>
        </w:rPr>
        <w:t>vs</w:t>
      </w:r>
      <w:r w:rsidRPr="00E549DC">
        <w:rPr>
          <w:rFonts w:ascii="Book Antiqua" w:eastAsia="Book Antiqua" w:hAnsi="Book Antiqua" w:cs="Book Antiqua"/>
          <w:color w:val="000000"/>
        </w:rPr>
        <w:t xml:space="preserve"> lenvatinib had associated 95%CIs that passed through unity.</w:t>
      </w:r>
    </w:p>
    <w:p w14:paraId="77C4665F" w14:textId="77777777" w:rsidR="00A77B3E" w:rsidRPr="00E549DC" w:rsidRDefault="00A77B3E" w:rsidP="00C55EEF">
      <w:pPr>
        <w:adjustRightInd w:val="0"/>
        <w:snapToGrid w:val="0"/>
        <w:spacing w:line="360" w:lineRule="auto"/>
        <w:jc w:val="both"/>
        <w:rPr>
          <w:rFonts w:ascii="Book Antiqua" w:hAnsi="Book Antiqua"/>
        </w:rPr>
      </w:pPr>
    </w:p>
    <w:p w14:paraId="449841DF" w14:textId="2DD5E2B1" w:rsidR="00A77B3E" w:rsidRPr="00E549DC" w:rsidRDefault="00B677D4" w:rsidP="00C55EEF">
      <w:pPr>
        <w:adjustRightInd w:val="0"/>
        <w:snapToGrid w:val="0"/>
        <w:spacing w:line="360" w:lineRule="auto"/>
        <w:jc w:val="both"/>
        <w:rPr>
          <w:rFonts w:ascii="Book Antiqua" w:hAnsi="Book Antiqua"/>
        </w:rPr>
      </w:pPr>
      <w:r w:rsidRPr="00E549DC">
        <w:rPr>
          <w:rFonts w:ascii="Book Antiqua" w:eastAsia="Book Antiqua" w:hAnsi="Book Antiqua" w:cs="Book Antiqua"/>
          <w:b/>
          <w:bCs/>
          <w:color w:val="000000"/>
        </w:rPr>
        <w:t xml:space="preserve">Outcomes in patients with HBV infection: </w:t>
      </w:r>
      <w:r w:rsidRPr="00E549DC">
        <w:rPr>
          <w:rFonts w:ascii="Book Antiqua" w:eastAsia="Book Antiqua" w:hAnsi="Book Antiqua" w:cs="Book Antiqua"/>
          <w:color w:val="000000"/>
        </w:rPr>
        <w:t>Ten studies included sub-analyses of patients with HBV infection, including data on the following treatments: atezolizumab + bevacizumab</w:t>
      </w:r>
      <w:r w:rsidRPr="00E549DC">
        <w:rPr>
          <w:rFonts w:ascii="Book Antiqua" w:eastAsia="Book Antiqua" w:hAnsi="Book Antiqua" w:cs="Book Antiqua"/>
          <w:color w:val="000000"/>
          <w:vertAlign w:val="superscript"/>
        </w:rPr>
        <w:t>[11]</w:t>
      </w:r>
      <w:r w:rsidRPr="00E549DC">
        <w:rPr>
          <w:rFonts w:ascii="Book Antiqua" w:eastAsia="Book Antiqua" w:hAnsi="Book Antiqua" w:cs="Book Antiqua"/>
          <w:color w:val="000000"/>
        </w:rPr>
        <w:t>, brivanib</w:t>
      </w:r>
      <w:r w:rsidRPr="00E549DC">
        <w:rPr>
          <w:rFonts w:ascii="Book Antiqua" w:eastAsia="Book Antiqua" w:hAnsi="Book Antiqua" w:cs="Book Antiqua"/>
          <w:color w:val="000000"/>
          <w:vertAlign w:val="superscript"/>
        </w:rPr>
        <w:t>[22]</w:t>
      </w:r>
      <w:r w:rsidRPr="00E549DC">
        <w:rPr>
          <w:rFonts w:ascii="Book Antiqua" w:eastAsia="Book Antiqua" w:hAnsi="Book Antiqua" w:cs="Book Antiqua"/>
          <w:color w:val="000000"/>
        </w:rPr>
        <w:t>, nivolumab</w:t>
      </w:r>
      <w:r w:rsidRPr="00E549DC">
        <w:rPr>
          <w:rFonts w:ascii="Book Antiqua" w:eastAsia="Book Antiqua" w:hAnsi="Book Antiqua" w:cs="Book Antiqua"/>
          <w:color w:val="000000"/>
          <w:vertAlign w:val="superscript"/>
        </w:rPr>
        <w:t>[23]</w:t>
      </w:r>
      <w:r w:rsidRPr="00E549DC">
        <w:rPr>
          <w:rFonts w:ascii="Book Antiqua" w:eastAsia="Book Antiqua" w:hAnsi="Book Antiqua" w:cs="Book Antiqua"/>
          <w:color w:val="000000"/>
        </w:rPr>
        <w:t>, lenvatinib</w:t>
      </w:r>
      <w:r w:rsidRPr="00E549DC">
        <w:rPr>
          <w:rFonts w:ascii="Book Antiqua" w:eastAsia="Book Antiqua" w:hAnsi="Book Antiqua" w:cs="Book Antiqua"/>
          <w:color w:val="000000"/>
          <w:vertAlign w:val="superscript"/>
        </w:rPr>
        <w:t>[10]</w:t>
      </w:r>
      <w:r w:rsidRPr="00E549DC">
        <w:rPr>
          <w:rFonts w:ascii="Book Antiqua" w:eastAsia="Book Antiqua" w:hAnsi="Book Antiqua" w:cs="Book Antiqua"/>
          <w:color w:val="000000"/>
        </w:rPr>
        <w:t xml:space="preserve">, </w:t>
      </w:r>
      <w:r w:rsidRPr="00E549DC">
        <w:rPr>
          <w:rFonts w:ascii="Book Antiqua" w:eastAsia="Book Antiqua" w:hAnsi="Book Antiqua" w:cs="Book Antiqua"/>
          <w:color w:val="000000"/>
        </w:rPr>
        <w:lastRenderedPageBreak/>
        <w:t>linifanib</w:t>
      </w:r>
      <w:r w:rsidRPr="00E549DC">
        <w:rPr>
          <w:rFonts w:ascii="Book Antiqua" w:eastAsia="Book Antiqua" w:hAnsi="Book Antiqua" w:cs="Book Antiqua"/>
          <w:color w:val="000000"/>
          <w:vertAlign w:val="superscript"/>
        </w:rPr>
        <w:t>[24]</w:t>
      </w:r>
      <w:r w:rsidRPr="00E549DC">
        <w:rPr>
          <w:rFonts w:ascii="Book Antiqua" w:eastAsia="Book Antiqua" w:hAnsi="Book Antiqua" w:cs="Book Antiqua"/>
          <w:color w:val="000000"/>
        </w:rPr>
        <w:t>, sorafe</w:t>
      </w:r>
      <w:r w:rsidR="004C3085" w:rsidRPr="00E549DC">
        <w:rPr>
          <w:rFonts w:ascii="Book Antiqua" w:hAnsi="Book Antiqua" w:cs="Book Antiqua" w:hint="eastAsia"/>
          <w:color w:val="000000"/>
          <w:lang w:eastAsia="zh-CN"/>
        </w:rPr>
        <w:t>-</w:t>
      </w:r>
      <w:r w:rsidRPr="00E549DC">
        <w:rPr>
          <w:rFonts w:ascii="Book Antiqua" w:eastAsia="Book Antiqua" w:hAnsi="Book Antiqua" w:cs="Book Antiqua"/>
          <w:color w:val="000000"/>
        </w:rPr>
        <w:t>nib</w:t>
      </w:r>
      <w:r w:rsidRPr="00E549DC">
        <w:rPr>
          <w:rFonts w:ascii="Book Antiqua" w:eastAsia="Book Antiqua" w:hAnsi="Book Antiqua" w:cs="Book Antiqua"/>
          <w:color w:val="000000"/>
          <w:vertAlign w:val="superscript"/>
        </w:rPr>
        <w:t>[25]</w:t>
      </w:r>
      <w:r w:rsidRPr="00E549DC">
        <w:rPr>
          <w:rFonts w:ascii="Book Antiqua" w:eastAsia="Book Antiqua" w:hAnsi="Book Antiqua" w:cs="Book Antiqua"/>
          <w:color w:val="000000"/>
        </w:rPr>
        <w:t>, sorafenib + erlotinib</w:t>
      </w:r>
      <w:r w:rsidRPr="00E549DC">
        <w:rPr>
          <w:rFonts w:ascii="Book Antiqua" w:eastAsia="Book Antiqua" w:hAnsi="Book Antiqua" w:cs="Book Antiqua"/>
          <w:color w:val="000000"/>
          <w:vertAlign w:val="superscript"/>
        </w:rPr>
        <w:t>[26]</w:t>
      </w:r>
      <w:r w:rsidRPr="00E549DC">
        <w:rPr>
          <w:rFonts w:ascii="Book Antiqua" w:eastAsia="Book Antiqua" w:hAnsi="Book Antiqua" w:cs="Book Antiqua"/>
          <w:color w:val="000000"/>
        </w:rPr>
        <w:t>, sorafenib + resminostat</w:t>
      </w:r>
      <w:r w:rsidRPr="00E549DC">
        <w:rPr>
          <w:rFonts w:ascii="Book Antiqua" w:eastAsia="Book Antiqua" w:hAnsi="Book Antiqua" w:cs="Book Antiqua"/>
          <w:color w:val="000000"/>
          <w:vertAlign w:val="superscript"/>
        </w:rPr>
        <w:t>[27]</w:t>
      </w:r>
      <w:r w:rsidRPr="00E549DC">
        <w:rPr>
          <w:rFonts w:ascii="Book Antiqua" w:eastAsia="Book Antiqua" w:hAnsi="Book Antiqua" w:cs="Book Antiqua"/>
          <w:color w:val="000000"/>
        </w:rPr>
        <w:t>, tigatuzumab + sorafenib</w:t>
      </w:r>
      <w:r w:rsidRPr="00E549DC">
        <w:rPr>
          <w:rFonts w:ascii="Book Antiqua" w:eastAsia="Book Antiqua" w:hAnsi="Book Antiqua" w:cs="Book Antiqua"/>
          <w:color w:val="000000"/>
          <w:vertAlign w:val="superscript"/>
        </w:rPr>
        <w:t>[28]</w:t>
      </w:r>
      <w:r w:rsidRPr="00E549DC">
        <w:rPr>
          <w:rFonts w:ascii="Book Antiqua" w:eastAsia="Book Antiqua" w:hAnsi="Book Antiqua" w:cs="Book Antiqua"/>
          <w:color w:val="000000"/>
        </w:rPr>
        <w:t>, and sunitinib</w:t>
      </w:r>
      <w:r w:rsidRPr="00E549DC">
        <w:rPr>
          <w:rFonts w:ascii="Book Antiqua" w:eastAsia="Book Antiqua" w:hAnsi="Book Antiqua" w:cs="Book Antiqua"/>
          <w:color w:val="000000"/>
          <w:vertAlign w:val="superscript"/>
        </w:rPr>
        <w:t>[29]</w:t>
      </w:r>
      <w:r w:rsidRPr="00E549DC">
        <w:rPr>
          <w:rFonts w:ascii="Book Antiqua" w:eastAsia="Book Antiqua" w:hAnsi="Book Antiqua" w:cs="Book Antiqua"/>
          <w:color w:val="000000"/>
        </w:rPr>
        <w:t>. A total of three studies reported PFS in patients with HBV infection, including four interventions and</w:t>
      </w:r>
      <w:r w:rsidR="00124A76" w:rsidRPr="00E549DC">
        <w:rPr>
          <w:rFonts w:ascii="Book Antiqua" w:eastAsia="Book Antiqua" w:hAnsi="Book Antiqua" w:cs="Book Antiqua"/>
          <w:color w:val="000000"/>
        </w:rPr>
        <w:t xml:space="preserve"> three comparisons (</w:t>
      </w:r>
      <w:r w:rsidR="0043672C" w:rsidRPr="00E549DC">
        <w:rPr>
          <w:rFonts w:ascii="Book Antiqua" w:eastAsia="Book Antiqua" w:hAnsi="Book Antiqua" w:cs="Book Antiqua"/>
          <w:color w:val="000000"/>
        </w:rPr>
        <w:t>Supplementary</w:t>
      </w:r>
      <w:r w:rsidRPr="00E549DC">
        <w:rPr>
          <w:rFonts w:ascii="Book Antiqua" w:eastAsia="Book Antiqua" w:hAnsi="Book Antiqua" w:cs="Book Antiqua"/>
          <w:color w:val="000000"/>
        </w:rPr>
        <w:t xml:space="preserve"> Figure 2A). A fixed effect model was selected for the analysis. Lenvatinib ranked first for PFS (</w:t>
      </w:r>
      <w:r w:rsidRPr="00E549DC">
        <w:rPr>
          <w:rFonts w:ascii="Book Antiqua" w:eastAsia="Book Antiqua" w:hAnsi="Book Antiqua" w:cs="Book Antiqua"/>
          <w:i/>
          <w:iCs/>
          <w:color w:val="000000"/>
        </w:rPr>
        <w:t>P</w:t>
      </w:r>
      <w:r w:rsidRPr="00E549DC">
        <w:rPr>
          <w:rFonts w:ascii="Book Antiqua" w:eastAsia="Book Antiqua" w:hAnsi="Book Antiqua" w:cs="Book Antiqua"/>
          <w:color w:val="000000"/>
        </w:rPr>
        <w:t xml:space="preserve"> = 0.8786) followed by atezolizumab + bevacizumab (</w:t>
      </w:r>
      <w:r w:rsidRPr="00E549DC">
        <w:rPr>
          <w:rFonts w:ascii="Book Antiqua" w:eastAsia="Book Antiqua" w:hAnsi="Book Antiqua" w:cs="Book Antiqua"/>
          <w:i/>
          <w:iCs/>
          <w:color w:val="000000"/>
        </w:rPr>
        <w:t>P</w:t>
      </w:r>
      <w:r w:rsidRPr="00E549DC">
        <w:rPr>
          <w:rFonts w:ascii="Book Antiqua" w:eastAsia="Book Antiqua" w:hAnsi="Book Antiqua" w:cs="Book Antiqua"/>
          <w:color w:val="000000"/>
        </w:rPr>
        <w:t xml:space="preserve"> = 0.7746) and donafinib (</w:t>
      </w:r>
      <w:r w:rsidRPr="00E549DC">
        <w:rPr>
          <w:rFonts w:ascii="Book Antiqua" w:eastAsia="Book Antiqua" w:hAnsi="Book Antiqua" w:cs="Book Antiqua"/>
          <w:i/>
          <w:iCs/>
          <w:color w:val="000000"/>
        </w:rPr>
        <w:t>P</w:t>
      </w:r>
      <w:r w:rsidRPr="00E549DC">
        <w:rPr>
          <w:rFonts w:ascii="Book Antiqua" w:eastAsia="Book Antiqua" w:hAnsi="Book Antiqua" w:cs="Book Antiqua"/>
          <w:color w:val="000000"/>
        </w:rPr>
        <w:t xml:space="preserve"> = 0.2972) (Figure 2B). A comparison of HRs for PFS </w:t>
      </w:r>
      <w:r w:rsidRPr="00E549DC">
        <w:rPr>
          <w:rFonts w:ascii="Book Antiqua" w:eastAsia="Book Antiqua" w:hAnsi="Book Antiqua" w:cs="Book Antiqua"/>
          <w:i/>
          <w:iCs/>
          <w:color w:val="000000"/>
        </w:rPr>
        <w:t>vs</w:t>
      </w:r>
      <w:r w:rsidRPr="00E549DC">
        <w:rPr>
          <w:rFonts w:ascii="Book Antiqua" w:eastAsia="Book Antiqua" w:hAnsi="Book Antiqua" w:cs="Book Antiqua"/>
          <w:color w:val="000000"/>
        </w:rPr>
        <w:t xml:space="preserve"> len</w:t>
      </w:r>
      <w:r w:rsidR="00124A76" w:rsidRPr="00E549DC">
        <w:rPr>
          <w:rFonts w:ascii="Book Antiqua" w:eastAsia="Book Antiqua" w:hAnsi="Book Antiqua" w:cs="Book Antiqua"/>
          <w:color w:val="000000"/>
        </w:rPr>
        <w:t xml:space="preserve">vatinib is shown in </w:t>
      </w:r>
      <w:r w:rsidR="0043672C" w:rsidRPr="00E549DC">
        <w:rPr>
          <w:rFonts w:ascii="Book Antiqua" w:eastAsia="Book Antiqua" w:hAnsi="Book Antiqua" w:cs="Book Antiqua"/>
          <w:color w:val="000000"/>
        </w:rPr>
        <w:t>Supplementary</w:t>
      </w:r>
      <w:r w:rsidRPr="00E549DC">
        <w:rPr>
          <w:rFonts w:ascii="Book Antiqua" w:eastAsia="Book Antiqua" w:hAnsi="Book Antiqua" w:cs="Book Antiqua"/>
          <w:color w:val="000000"/>
        </w:rPr>
        <w:t xml:space="preserve"> Figure 2B. A total of nine studies reported OS, including </w:t>
      </w:r>
      <w:r w:rsidR="005A528B" w:rsidRPr="00E549DC">
        <w:rPr>
          <w:rFonts w:ascii="Book Antiqua" w:eastAsia="Book Antiqua" w:hAnsi="Book Antiqua" w:cs="Book Antiqua"/>
          <w:color w:val="000000"/>
        </w:rPr>
        <w:t xml:space="preserve">ten </w:t>
      </w:r>
      <w:r w:rsidRPr="00E549DC">
        <w:rPr>
          <w:rFonts w:ascii="Book Antiqua" w:eastAsia="Book Antiqua" w:hAnsi="Book Antiqua" w:cs="Book Antiqua"/>
          <w:color w:val="000000"/>
        </w:rPr>
        <w:t>interventions and allowin</w:t>
      </w:r>
      <w:r w:rsidR="00124A76" w:rsidRPr="00E549DC">
        <w:rPr>
          <w:rFonts w:ascii="Book Antiqua" w:eastAsia="Book Antiqua" w:hAnsi="Book Antiqua" w:cs="Book Antiqua"/>
          <w:color w:val="000000"/>
        </w:rPr>
        <w:t>g nine comparisons (</w:t>
      </w:r>
      <w:r w:rsidR="0043672C" w:rsidRPr="00E549DC">
        <w:rPr>
          <w:rFonts w:ascii="Book Antiqua" w:eastAsia="Book Antiqua" w:hAnsi="Book Antiqua" w:cs="Book Antiqua"/>
          <w:color w:val="000000"/>
        </w:rPr>
        <w:t>Supplementary</w:t>
      </w:r>
      <w:r w:rsidRPr="00E549DC">
        <w:rPr>
          <w:rFonts w:ascii="Book Antiqua" w:eastAsia="Book Antiqua" w:hAnsi="Book Antiqua" w:cs="Book Antiqua"/>
          <w:color w:val="000000"/>
        </w:rPr>
        <w:t xml:space="preserve"> Figure 2C). A random effect model was selected for the analysis. Atezolizumab + bevacizumab ranked first (</w:t>
      </w:r>
      <w:r w:rsidRPr="00E549DC">
        <w:rPr>
          <w:rFonts w:ascii="Book Antiqua" w:eastAsia="Book Antiqua" w:hAnsi="Book Antiqua" w:cs="Book Antiqua"/>
          <w:i/>
          <w:iCs/>
          <w:color w:val="000000"/>
        </w:rPr>
        <w:t>P</w:t>
      </w:r>
      <w:r w:rsidRPr="00E549DC">
        <w:rPr>
          <w:rFonts w:ascii="Book Antiqua" w:eastAsia="Book Antiqua" w:hAnsi="Book Antiqua" w:cs="Book Antiqua"/>
          <w:color w:val="000000"/>
        </w:rPr>
        <w:t xml:space="preserve"> = 0.9751), followed by lenvatinib (</w:t>
      </w:r>
      <w:r w:rsidRPr="00E549DC">
        <w:rPr>
          <w:rFonts w:ascii="Book Antiqua" w:eastAsia="Book Antiqua" w:hAnsi="Book Antiqua" w:cs="Book Antiqua"/>
          <w:i/>
          <w:iCs/>
          <w:color w:val="000000"/>
        </w:rPr>
        <w:t>P</w:t>
      </w:r>
      <w:r w:rsidRPr="00E549DC">
        <w:rPr>
          <w:rFonts w:ascii="Book Antiqua" w:eastAsia="Book Antiqua" w:hAnsi="Book Antiqua" w:cs="Book Antiqua"/>
          <w:color w:val="000000"/>
        </w:rPr>
        <w:t xml:space="preserve"> = 0.8308) and nivolumab (</w:t>
      </w:r>
      <w:r w:rsidRPr="00E549DC">
        <w:rPr>
          <w:rFonts w:ascii="Book Antiqua" w:eastAsia="Book Antiqua" w:hAnsi="Book Antiqua" w:cs="Book Antiqua"/>
          <w:i/>
          <w:iCs/>
          <w:color w:val="000000"/>
        </w:rPr>
        <w:t>P</w:t>
      </w:r>
      <w:r w:rsidRPr="00E549DC">
        <w:rPr>
          <w:rFonts w:ascii="Book Antiqua" w:eastAsia="Book Antiqua" w:hAnsi="Book Antiqua" w:cs="Book Antiqua"/>
          <w:color w:val="000000"/>
        </w:rPr>
        <w:t xml:space="preserve"> = 0.7732) (</w:t>
      </w:r>
      <w:r w:rsidR="0043672C" w:rsidRPr="00E549DC">
        <w:rPr>
          <w:rFonts w:ascii="Book Antiqua" w:eastAsia="Book Antiqua" w:hAnsi="Book Antiqua" w:cs="Book Antiqua"/>
          <w:color w:val="000000"/>
        </w:rPr>
        <w:t>Supplementary</w:t>
      </w:r>
      <w:r w:rsidRPr="00E549DC">
        <w:rPr>
          <w:rFonts w:ascii="Book Antiqua" w:eastAsia="Book Antiqua" w:hAnsi="Book Antiqua" w:cs="Book Antiqua"/>
          <w:color w:val="000000"/>
        </w:rPr>
        <w:t xml:space="preserve"> Figure 2D). Comparison with lenvatinib revealed that atezolizumab + bevacizumab had an estimated HR</w:t>
      </w:r>
      <w:r w:rsidRPr="00E549DC">
        <w:rPr>
          <w:rFonts w:ascii="Book Antiqua" w:eastAsia="Book Antiqua" w:hAnsi="Book Antiqua" w:cs="Book Antiqua"/>
          <w:color w:val="000000"/>
          <w:vertAlign w:val="subscript"/>
        </w:rPr>
        <w:t>OS</w:t>
      </w:r>
      <w:r w:rsidRPr="00E549DC">
        <w:rPr>
          <w:rFonts w:ascii="Book Antiqua" w:eastAsia="Book Antiqua" w:hAnsi="Book Antiqua" w:cs="Book Antiqua"/>
          <w:color w:val="000000"/>
        </w:rPr>
        <w:t xml:space="preserve"> &lt; 1 and all other interventions had an HR</w:t>
      </w:r>
      <w:r w:rsidRPr="00E549DC">
        <w:rPr>
          <w:rFonts w:ascii="Book Antiqua" w:eastAsia="Book Antiqua" w:hAnsi="Book Antiqua" w:cs="Book Antiqua"/>
          <w:color w:val="000000"/>
          <w:vertAlign w:val="subscript"/>
        </w:rPr>
        <w:t>OS</w:t>
      </w:r>
      <w:r w:rsidR="00124A76" w:rsidRPr="00E549DC">
        <w:rPr>
          <w:rFonts w:ascii="Book Antiqua" w:eastAsia="Book Antiqua" w:hAnsi="Book Antiqua" w:cs="Book Antiqua"/>
          <w:color w:val="000000"/>
        </w:rPr>
        <w:t xml:space="preserve"> &gt; 1 (</w:t>
      </w:r>
      <w:r w:rsidR="0043672C" w:rsidRPr="00E549DC">
        <w:rPr>
          <w:rFonts w:ascii="Book Antiqua" w:eastAsia="Book Antiqua" w:hAnsi="Book Antiqua" w:cs="Book Antiqua"/>
          <w:color w:val="000000"/>
        </w:rPr>
        <w:t>Supplementary</w:t>
      </w:r>
      <w:r w:rsidRPr="00E549DC">
        <w:rPr>
          <w:rFonts w:ascii="Book Antiqua" w:eastAsia="Book Antiqua" w:hAnsi="Book Antiqua" w:cs="Book Antiqua"/>
          <w:color w:val="000000"/>
        </w:rPr>
        <w:t xml:space="preserve"> Figure 2D).</w:t>
      </w:r>
    </w:p>
    <w:p w14:paraId="2023EF7D" w14:textId="77777777" w:rsidR="00A77B3E" w:rsidRPr="00E549DC" w:rsidRDefault="00A77B3E" w:rsidP="00C55EEF">
      <w:pPr>
        <w:adjustRightInd w:val="0"/>
        <w:snapToGrid w:val="0"/>
        <w:spacing w:line="360" w:lineRule="auto"/>
        <w:jc w:val="both"/>
        <w:rPr>
          <w:rFonts w:ascii="Book Antiqua" w:hAnsi="Book Antiqua"/>
        </w:rPr>
      </w:pPr>
    </w:p>
    <w:p w14:paraId="1DA76255" w14:textId="77777777" w:rsidR="00A77B3E" w:rsidRPr="00E549DC" w:rsidRDefault="00B677D4" w:rsidP="00C55EEF">
      <w:pPr>
        <w:adjustRightInd w:val="0"/>
        <w:snapToGrid w:val="0"/>
        <w:spacing w:line="360" w:lineRule="auto"/>
        <w:jc w:val="both"/>
        <w:rPr>
          <w:rFonts w:ascii="Book Antiqua" w:hAnsi="Book Antiqua"/>
        </w:rPr>
      </w:pPr>
      <w:r w:rsidRPr="00E549DC">
        <w:rPr>
          <w:rFonts w:ascii="Book Antiqua" w:eastAsia="Book Antiqua" w:hAnsi="Book Antiqua" w:cs="Book Antiqua"/>
          <w:b/>
          <w:bCs/>
          <w:i/>
          <w:iCs/>
          <w:color w:val="000000"/>
        </w:rPr>
        <w:t>Safety</w:t>
      </w:r>
    </w:p>
    <w:p w14:paraId="39741B24" w14:textId="109BE477" w:rsidR="00A77B3E" w:rsidRPr="00E549DC" w:rsidRDefault="00B677D4" w:rsidP="00C55EEF">
      <w:pPr>
        <w:adjustRightInd w:val="0"/>
        <w:snapToGrid w:val="0"/>
        <w:spacing w:line="360" w:lineRule="auto"/>
        <w:jc w:val="both"/>
        <w:rPr>
          <w:rFonts w:ascii="Book Antiqua" w:hAnsi="Book Antiqua"/>
        </w:rPr>
      </w:pPr>
      <w:r w:rsidRPr="00E549DC">
        <w:rPr>
          <w:rFonts w:ascii="Book Antiqua" w:eastAsia="Book Antiqua" w:hAnsi="Book Antiqua" w:cs="Book Antiqua"/>
          <w:b/>
          <w:bCs/>
          <w:color w:val="000000"/>
        </w:rPr>
        <w:t xml:space="preserve">Grade ≥ 3 adverse events: </w:t>
      </w:r>
      <w:r w:rsidRPr="00E549DC">
        <w:rPr>
          <w:rFonts w:ascii="Book Antiqua" w:eastAsia="Book Antiqua" w:hAnsi="Book Antiqua" w:cs="Book Antiqua"/>
          <w:color w:val="000000"/>
        </w:rPr>
        <w:t>In total, 17 studies reported data on the incidence of Grade ≥ 3 AEs, including 19 interventions and allow</w:t>
      </w:r>
      <w:r w:rsidR="00124A76" w:rsidRPr="00E549DC">
        <w:rPr>
          <w:rFonts w:ascii="Book Antiqua" w:eastAsia="Book Antiqua" w:hAnsi="Book Antiqua" w:cs="Book Antiqua"/>
          <w:color w:val="000000"/>
        </w:rPr>
        <w:t>ing 21 comparisons (</w:t>
      </w:r>
      <w:r w:rsidR="0043672C" w:rsidRPr="00E549DC">
        <w:rPr>
          <w:rFonts w:ascii="Book Antiqua" w:eastAsia="Book Antiqua" w:hAnsi="Book Antiqua" w:cs="Book Antiqua"/>
          <w:color w:val="000000"/>
        </w:rPr>
        <w:t>Supplementary</w:t>
      </w:r>
      <w:r w:rsidRPr="00E549DC">
        <w:rPr>
          <w:rFonts w:ascii="Book Antiqua" w:eastAsia="Book Antiqua" w:hAnsi="Book Antiqua" w:cs="Book Antiqua"/>
          <w:color w:val="000000"/>
        </w:rPr>
        <w:t xml:space="preserve"> Figure 3A). No significant heterogeneity was detected between studies (tau-squared = 0; </w:t>
      </w:r>
      <w:r w:rsidRPr="00E549DC">
        <w:rPr>
          <w:rFonts w:ascii="Book Antiqua" w:eastAsia="Book Antiqua" w:hAnsi="Book Antiqua" w:cs="Book Antiqua"/>
          <w:i/>
          <w:iCs/>
          <w:color w:val="000000"/>
        </w:rPr>
        <w:t>I</w:t>
      </w:r>
      <w:r w:rsidRPr="00E549DC">
        <w:rPr>
          <w:rFonts w:ascii="Book Antiqua" w:eastAsia="Book Antiqua" w:hAnsi="Book Antiqua" w:cs="Book Antiqua"/>
          <w:i/>
          <w:iCs/>
          <w:color w:val="000000"/>
          <w:vertAlign w:val="superscript"/>
        </w:rPr>
        <w:t>2</w:t>
      </w:r>
      <w:r w:rsidRPr="00E549DC">
        <w:rPr>
          <w:rFonts w:ascii="Book Antiqua" w:eastAsia="Book Antiqua" w:hAnsi="Book Antiqua" w:cs="Book Antiqua"/>
          <w:color w:val="000000"/>
        </w:rPr>
        <w:t xml:space="preserve"> = 0%; </w:t>
      </w:r>
      <w:r w:rsidRPr="00E549DC">
        <w:rPr>
          <w:rFonts w:ascii="Book Antiqua" w:eastAsia="Book Antiqua" w:hAnsi="Book Antiqua" w:cs="Book Antiqua"/>
          <w:i/>
          <w:iCs/>
          <w:color w:val="000000"/>
        </w:rPr>
        <w:t>P</w:t>
      </w:r>
      <w:r w:rsidRPr="00E549DC">
        <w:rPr>
          <w:rFonts w:ascii="Book Antiqua" w:eastAsia="Book Antiqua" w:hAnsi="Book Antiqua" w:cs="Book Antiqua"/>
          <w:color w:val="000000"/>
        </w:rPr>
        <w:t xml:space="preserve"> = 0.4493) and a fixed effect model was selected. Nivolumab ranked 2/19 (</w:t>
      </w:r>
      <w:r w:rsidRPr="00E549DC">
        <w:rPr>
          <w:rFonts w:ascii="Book Antiqua" w:eastAsia="Book Antiqua" w:hAnsi="Book Antiqua" w:cs="Book Antiqua"/>
          <w:i/>
          <w:iCs/>
          <w:color w:val="000000"/>
        </w:rPr>
        <w:t>P</w:t>
      </w:r>
      <w:r w:rsidRPr="00E549DC">
        <w:rPr>
          <w:rFonts w:ascii="Book Antiqua" w:eastAsia="Book Antiqua" w:hAnsi="Book Antiqua" w:cs="Book Antiqua"/>
          <w:color w:val="000000"/>
        </w:rPr>
        <w:t xml:space="preserve"> = 0.9351), sorafenib ranked 8/19 (</w:t>
      </w:r>
      <w:r w:rsidRPr="00E549DC">
        <w:rPr>
          <w:rFonts w:ascii="Book Antiqua" w:eastAsia="Book Antiqua" w:hAnsi="Book Antiqua" w:cs="Book Antiqua"/>
          <w:i/>
          <w:iCs/>
          <w:color w:val="000000"/>
        </w:rPr>
        <w:t>P</w:t>
      </w:r>
      <w:r w:rsidRPr="00E549DC">
        <w:rPr>
          <w:rFonts w:ascii="Book Antiqua" w:eastAsia="Book Antiqua" w:hAnsi="Book Antiqua" w:cs="Book Antiqua"/>
          <w:color w:val="000000"/>
        </w:rPr>
        <w:t xml:space="preserve"> = 0.5040), atezolizumab + bevacizumab ranked 11/19 (</w:t>
      </w:r>
      <w:r w:rsidRPr="00E549DC">
        <w:rPr>
          <w:rFonts w:ascii="Book Antiqua" w:eastAsia="Book Antiqua" w:hAnsi="Book Antiqua" w:cs="Book Antiqua"/>
          <w:i/>
          <w:iCs/>
          <w:color w:val="000000"/>
        </w:rPr>
        <w:t>P</w:t>
      </w:r>
      <w:r w:rsidRPr="00E549DC">
        <w:rPr>
          <w:rFonts w:ascii="Book Antiqua" w:eastAsia="Book Antiqua" w:hAnsi="Book Antiqua" w:cs="Book Antiqua"/>
          <w:color w:val="000000"/>
        </w:rPr>
        <w:t xml:space="preserve"> = 0.4167), and lenvatinib ranked 16/19 (</w:t>
      </w:r>
      <w:r w:rsidRPr="00E549DC">
        <w:rPr>
          <w:rFonts w:ascii="Book Antiqua" w:eastAsia="Book Antiqua" w:hAnsi="Book Antiqua" w:cs="Book Antiqua"/>
          <w:i/>
          <w:iCs/>
          <w:color w:val="000000"/>
        </w:rPr>
        <w:t>P</w:t>
      </w:r>
      <w:r w:rsidRPr="00E549DC">
        <w:rPr>
          <w:rFonts w:ascii="Book Antiqua" w:eastAsia="Book Antiqua" w:hAnsi="Book Antiqua" w:cs="Book Antiqua"/>
          <w:color w:val="000000"/>
        </w:rPr>
        <w:t xml:space="preserve"> = 0.2468) for incidence of Grade ≥ 3 AEs (higher ranking indicated a lowe</w:t>
      </w:r>
      <w:r w:rsidR="00124A76" w:rsidRPr="00E549DC">
        <w:rPr>
          <w:rFonts w:ascii="Book Antiqua" w:eastAsia="Book Antiqua" w:hAnsi="Book Antiqua" w:cs="Book Antiqua"/>
          <w:color w:val="000000"/>
        </w:rPr>
        <w:t>r incidence of AEs) (</w:t>
      </w:r>
      <w:r w:rsidR="0043672C" w:rsidRPr="00E549DC">
        <w:rPr>
          <w:rFonts w:ascii="Book Antiqua" w:eastAsia="Book Antiqua" w:hAnsi="Book Antiqua" w:cs="Book Antiqua"/>
          <w:color w:val="000000"/>
        </w:rPr>
        <w:t>Supplementary</w:t>
      </w:r>
      <w:r w:rsidRPr="00E549DC">
        <w:rPr>
          <w:rFonts w:ascii="Book Antiqua" w:eastAsia="Book Antiqua" w:hAnsi="Book Antiqua" w:cs="Book Antiqua"/>
          <w:color w:val="000000"/>
        </w:rPr>
        <w:t xml:space="preserve"> Figure 3B).</w:t>
      </w:r>
    </w:p>
    <w:p w14:paraId="3641F9C3" w14:textId="77777777" w:rsidR="00A77B3E" w:rsidRPr="00E549DC" w:rsidRDefault="00A77B3E" w:rsidP="00C55EEF">
      <w:pPr>
        <w:adjustRightInd w:val="0"/>
        <w:snapToGrid w:val="0"/>
        <w:spacing w:line="360" w:lineRule="auto"/>
        <w:jc w:val="both"/>
        <w:rPr>
          <w:rFonts w:ascii="Book Antiqua" w:hAnsi="Book Antiqua"/>
        </w:rPr>
      </w:pPr>
    </w:p>
    <w:p w14:paraId="1C1784D6" w14:textId="6F690E4A" w:rsidR="00A77B3E" w:rsidRPr="00E549DC" w:rsidRDefault="00B677D4" w:rsidP="00C55EEF">
      <w:pPr>
        <w:adjustRightInd w:val="0"/>
        <w:snapToGrid w:val="0"/>
        <w:spacing w:line="360" w:lineRule="auto"/>
        <w:jc w:val="both"/>
        <w:rPr>
          <w:rFonts w:ascii="Book Antiqua" w:hAnsi="Book Antiqua"/>
        </w:rPr>
      </w:pPr>
      <w:r w:rsidRPr="00E549DC">
        <w:rPr>
          <w:rFonts w:ascii="Book Antiqua" w:eastAsia="Book Antiqua" w:hAnsi="Book Antiqua" w:cs="Book Antiqua"/>
          <w:b/>
          <w:bCs/>
          <w:color w:val="000000"/>
        </w:rPr>
        <w:t xml:space="preserve">Treatment termination due to adverse events: </w:t>
      </w:r>
      <w:r w:rsidRPr="00E549DC">
        <w:rPr>
          <w:rFonts w:ascii="Book Antiqua" w:eastAsia="Book Antiqua" w:hAnsi="Book Antiqua" w:cs="Book Antiqua"/>
          <w:color w:val="000000"/>
        </w:rPr>
        <w:t>A total of 13 studies reported the incidence of treatment termination due to AEs, including 13 interventions and allow</w:t>
      </w:r>
      <w:r w:rsidR="00124A76" w:rsidRPr="00E549DC">
        <w:rPr>
          <w:rFonts w:ascii="Book Antiqua" w:eastAsia="Book Antiqua" w:hAnsi="Book Antiqua" w:cs="Book Antiqua"/>
          <w:color w:val="000000"/>
        </w:rPr>
        <w:t>ing 15 comparisons (</w:t>
      </w:r>
      <w:r w:rsidR="0043672C" w:rsidRPr="00E549DC">
        <w:rPr>
          <w:rFonts w:ascii="Book Antiqua" w:eastAsia="Book Antiqua" w:hAnsi="Book Antiqua" w:cs="Book Antiqua"/>
          <w:color w:val="000000"/>
        </w:rPr>
        <w:t>Supplementary</w:t>
      </w:r>
      <w:r w:rsidRPr="00E549DC">
        <w:rPr>
          <w:rFonts w:ascii="Book Antiqua" w:eastAsia="Book Antiqua" w:hAnsi="Book Antiqua" w:cs="Book Antiqua"/>
          <w:color w:val="000000"/>
        </w:rPr>
        <w:t xml:space="preserve"> Figure 3C). A degree of heterogeneity </w:t>
      </w:r>
      <w:r w:rsidRPr="00E549DC">
        <w:rPr>
          <w:rFonts w:ascii="Book Antiqua" w:eastAsia="Book Antiqua" w:hAnsi="Book Antiqua" w:cs="Book Antiqua"/>
          <w:color w:val="000000"/>
        </w:rPr>
        <w:lastRenderedPageBreak/>
        <w:t xml:space="preserve">was detected between studies (tau-squared = 0.1536; </w:t>
      </w:r>
      <w:r w:rsidRPr="00E549DC">
        <w:rPr>
          <w:rFonts w:ascii="Book Antiqua" w:eastAsia="Book Antiqua" w:hAnsi="Book Antiqua" w:cs="Book Antiqua"/>
          <w:i/>
          <w:iCs/>
          <w:color w:val="000000"/>
        </w:rPr>
        <w:t>I</w:t>
      </w:r>
      <w:r w:rsidRPr="00E549DC">
        <w:rPr>
          <w:rFonts w:ascii="Book Antiqua" w:eastAsia="Book Antiqua" w:hAnsi="Book Antiqua" w:cs="Book Antiqua"/>
          <w:i/>
          <w:iCs/>
          <w:color w:val="000000"/>
          <w:vertAlign w:val="superscript"/>
        </w:rPr>
        <w:t>2</w:t>
      </w:r>
      <w:r w:rsidRPr="00E549DC">
        <w:rPr>
          <w:rFonts w:ascii="Book Antiqua" w:eastAsia="Book Antiqua" w:hAnsi="Book Antiqua" w:cs="Book Antiqua"/>
          <w:color w:val="000000"/>
        </w:rPr>
        <w:t xml:space="preserve"> = 65%; </w:t>
      </w:r>
      <w:r w:rsidRPr="00E549DC">
        <w:rPr>
          <w:rFonts w:ascii="Book Antiqua" w:eastAsia="Book Antiqua" w:hAnsi="Book Antiqua" w:cs="Book Antiqua"/>
          <w:i/>
          <w:iCs/>
          <w:color w:val="000000"/>
        </w:rPr>
        <w:t>P</w:t>
      </w:r>
      <w:r w:rsidRPr="00E549DC">
        <w:rPr>
          <w:rFonts w:ascii="Book Antiqua" w:eastAsia="Book Antiqua" w:hAnsi="Book Antiqua" w:cs="Book Antiqua"/>
          <w:color w:val="000000"/>
        </w:rPr>
        <w:t xml:space="preserve"> = 0.0573) and a random effect model was selected. After ranking all interventions from </w:t>
      </w:r>
      <w:r w:rsidR="00462A1E" w:rsidRPr="00E549DC">
        <w:rPr>
          <w:rFonts w:ascii="Book Antiqua" w:eastAsia="Book Antiqua" w:hAnsi="Book Antiqua" w:cs="Book Antiqua"/>
          <w:color w:val="000000"/>
        </w:rPr>
        <w:t xml:space="preserve">the </w:t>
      </w:r>
      <w:r w:rsidRPr="00E549DC">
        <w:rPr>
          <w:rFonts w:ascii="Book Antiqua" w:eastAsia="Book Antiqua" w:hAnsi="Book Antiqua" w:cs="Book Antiqua"/>
          <w:color w:val="000000"/>
        </w:rPr>
        <w:t>lowest to highest incidence of terminations due to AEs, vandetanib 300 mg/d and 100 mg/d were ranked first and second (</w:t>
      </w:r>
      <w:r w:rsidRPr="00E549DC">
        <w:rPr>
          <w:rFonts w:ascii="Book Antiqua" w:eastAsia="Book Antiqua" w:hAnsi="Book Antiqua" w:cs="Book Antiqua"/>
          <w:i/>
          <w:iCs/>
          <w:color w:val="000000"/>
        </w:rPr>
        <w:t>P</w:t>
      </w:r>
      <w:r w:rsidRPr="00E549DC">
        <w:rPr>
          <w:rFonts w:ascii="Book Antiqua" w:eastAsia="Book Antiqua" w:hAnsi="Book Antiqua" w:cs="Book Antiqua"/>
          <w:color w:val="000000"/>
        </w:rPr>
        <w:t xml:space="preserve"> = 0.8036 and 0.7252, respectively), sorafenib ranked 5/13 (</w:t>
      </w:r>
      <w:r w:rsidRPr="00E549DC">
        <w:rPr>
          <w:rFonts w:ascii="Book Antiqua" w:eastAsia="Book Antiqua" w:hAnsi="Book Antiqua" w:cs="Book Antiqua"/>
          <w:i/>
          <w:iCs/>
          <w:color w:val="000000"/>
        </w:rPr>
        <w:t>P</w:t>
      </w:r>
      <w:r w:rsidRPr="00E549DC">
        <w:rPr>
          <w:rFonts w:ascii="Book Antiqua" w:eastAsia="Book Antiqua" w:hAnsi="Book Antiqua" w:cs="Book Antiqua"/>
          <w:color w:val="000000"/>
        </w:rPr>
        <w:t xml:space="preserve"> = 0.5372), nintedanib ranked 8/13 (</w:t>
      </w:r>
      <w:r w:rsidRPr="00E549DC">
        <w:rPr>
          <w:rFonts w:ascii="Book Antiqua" w:eastAsia="Book Antiqua" w:hAnsi="Book Antiqua" w:cs="Book Antiqua"/>
          <w:i/>
          <w:iCs/>
          <w:color w:val="000000"/>
        </w:rPr>
        <w:t>P</w:t>
      </w:r>
      <w:r w:rsidRPr="00E549DC">
        <w:rPr>
          <w:rFonts w:ascii="Book Antiqua" w:eastAsia="Book Antiqua" w:hAnsi="Book Antiqua" w:cs="Book Antiqua"/>
          <w:color w:val="000000"/>
        </w:rPr>
        <w:t xml:space="preserve"> = 0.4251), lenvatinib ranked 10/13 (</w:t>
      </w:r>
      <w:r w:rsidRPr="00E549DC">
        <w:rPr>
          <w:rFonts w:ascii="Book Antiqua" w:eastAsia="Book Antiqua" w:hAnsi="Book Antiqua" w:cs="Book Antiqua"/>
          <w:i/>
          <w:iCs/>
          <w:color w:val="000000"/>
        </w:rPr>
        <w:t>P</w:t>
      </w:r>
      <w:r w:rsidRPr="00E549DC">
        <w:rPr>
          <w:rFonts w:ascii="Book Antiqua" w:eastAsia="Book Antiqua" w:hAnsi="Book Antiqua" w:cs="Book Antiqua"/>
          <w:color w:val="000000"/>
        </w:rPr>
        <w:t xml:space="preserve"> = 0.3907), and atezolizumab + bevacizumab ranked 13/13 (</w:t>
      </w:r>
      <w:r w:rsidRPr="00E549DC">
        <w:rPr>
          <w:rFonts w:ascii="Book Antiqua" w:eastAsia="Book Antiqua" w:hAnsi="Book Antiqua" w:cs="Book Antiqua"/>
          <w:i/>
          <w:iCs/>
          <w:color w:val="000000"/>
        </w:rPr>
        <w:t>P</w:t>
      </w:r>
      <w:r w:rsidRPr="00E549DC">
        <w:rPr>
          <w:rFonts w:ascii="Book Antiqua" w:eastAsia="Book Antiqua" w:hAnsi="Book Antiqua" w:cs="Book Antiqua"/>
          <w:color w:val="000000"/>
        </w:rPr>
        <w:t xml:space="preserve"> = 0.2584) (</w:t>
      </w:r>
      <w:r w:rsidR="0043672C" w:rsidRPr="00E549DC">
        <w:rPr>
          <w:rFonts w:ascii="Book Antiqua" w:eastAsia="Book Antiqua" w:hAnsi="Book Antiqua" w:cs="Book Antiqua"/>
          <w:color w:val="000000"/>
        </w:rPr>
        <w:t>Supplementary</w:t>
      </w:r>
      <w:r w:rsidRPr="00E549DC">
        <w:rPr>
          <w:rFonts w:ascii="Book Antiqua" w:eastAsia="Book Antiqua" w:hAnsi="Book Antiqua" w:cs="Book Antiqua"/>
          <w:color w:val="000000"/>
        </w:rPr>
        <w:t xml:space="preserve"> Figure 3D).</w:t>
      </w:r>
    </w:p>
    <w:p w14:paraId="4D4FB4CC" w14:textId="77777777" w:rsidR="00A77B3E" w:rsidRPr="00E549DC" w:rsidRDefault="00A77B3E" w:rsidP="00C55EEF">
      <w:pPr>
        <w:adjustRightInd w:val="0"/>
        <w:snapToGrid w:val="0"/>
        <w:spacing w:line="360" w:lineRule="auto"/>
        <w:jc w:val="both"/>
        <w:rPr>
          <w:rFonts w:ascii="Book Antiqua" w:hAnsi="Book Antiqua"/>
        </w:rPr>
      </w:pPr>
    </w:p>
    <w:p w14:paraId="05D7D2A6" w14:textId="77777777" w:rsidR="00A77B3E" w:rsidRPr="00E549DC" w:rsidRDefault="00B677D4" w:rsidP="00C55EEF">
      <w:pPr>
        <w:adjustRightInd w:val="0"/>
        <w:snapToGrid w:val="0"/>
        <w:spacing w:line="360" w:lineRule="auto"/>
        <w:jc w:val="both"/>
        <w:rPr>
          <w:rFonts w:ascii="Book Antiqua" w:hAnsi="Book Antiqua"/>
        </w:rPr>
      </w:pPr>
      <w:r w:rsidRPr="00E549DC">
        <w:rPr>
          <w:rFonts w:ascii="Book Antiqua" w:eastAsia="Book Antiqua" w:hAnsi="Book Antiqua" w:cs="Book Antiqua"/>
          <w:b/>
          <w:caps/>
          <w:color w:val="000000"/>
          <w:u w:val="single"/>
        </w:rPr>
        <w:t>DISCUSSION</w:t>
      </w:r>
    </w:p>
    <w:p w14:paraId="43B8EA4B" w14:textId="232C2639" w:rsidR="00A77B3E" w:rsidRPr="00E549DC" w:rsidRDefault="00B677D4" w:rsidP="00C55EEF">
      <w:pPr>
        <w:adjustRightInd w:val="0"/>
        <w:snapToGrid w:val="0"/>
        <w:spacing w:line="360" w:lineRule="auto"/>
        <w:jc w:val="both"/>
        <w:rPr>
          <w:rFonts w:ascii="Book Antiqua" w:hAnsi="Book Antiqua"/>
        </w:rPr>
      </w:pPr>
      <w:r w:rsidRPr="00E549DC">
        <w:rPr>
          <w:rFonts w:ascii="Book Antiqua" w:eastAsia="Book Antiqua" w:hAnsi="Book Antiqua" w:cs="Book Antiqua"/>
          <w:color w:val="000000"/>
        </w:rPr>
        <w:t>Following an expansion of first-line systemic treatment options for HCC over the past decade, international treatment guidelines now recommend sorafenib, lenvatinib, and atezolizumab plus bevacizumab in this setting, as well as nivolumab and FOLFOX (off-label use in many countries, but approved by the China National Medical Products Administration) for selected patients</w:t>
      </w:r>
      <w:r w:rsidRPr="00E549DC">
        <w:rPr>
          <w:rFonts w:ascii="Book Antiqua" w:eastAsia="Book Antiqua" w:hAnsi="Book Antiqua" w:cs="Book Antiqua"/>
          <w:color w:val="000000"/>
          <w:vertAlign w:val="superscript"/>
        </w:rPr>
        <w:t>[4,12,13]</w:t>
      </w:r>
      <w:r w:rsidRPr="00E549DC">
        <w:rPr>
          <w:rFonts w:ascii="Book Antiqua" w:eastAsia="Book Antiqua" w:hAnsi="Book Antiqua" w:cs="Book Antiqua"/>
          <w:color w:val="000000"/>
        </w:rPr>
        <w:t>. Numerous other therapies and combinations of therapies have also been unsuccessfully investigated in first-line advanced HCC</w:t>
      </w:r>
      <w:r w:rsidR="00B47526" w:rsidRPr="00E549DC">
        <w:rPr>
          <w:rFonts w:ascii="Book Antiqua" w:eastAsia="Book Antiqua" w:hAnsi="Book Antiqua" w:cs="Book Antiqua"/>
          <w:color w:val="000000"/>
        </w:rPr>
        <w:t xml:space="preserve"> management</w:t>
      </w:r>
      <w:r w:rsidRPr="00E549DC">
        <w:rPr>
          <w:rFonts w:ascii="Book Antiqua" w:eastAsia="Book Antiqua" w:hAnsi="Book Antiqua" w:cs="Book Antiqua"/>
          <w:color w:val="000000"/>
        </w:rPr>
        <w:t>. However, most trials of systemic therapy for HCC used sorafenib as the comparator, as it was the only approved systemic therapy available at the time, and this limits the clinicians’ ability to compare currently available treatment options. The present study represents one of the most comprehensive systematic reviews and meta-analyses of first-line systemic treatments for advanced unresectable HCC conducted to date, and compares the treatment outcomes and safety of lenvatinib with multiple other systemic therapies, including immunotherapy (nivolumab) and combined therapy with immunotherapy and a TKI (atezolizumab + bevacizumab).</w:t>
      </w:r>
    </w:p>
    <w:p w14:paraId="28011DBC" w14:textId="620439DF" w:rsidR="00A77B3E" w:rsidRPr="00E549DC" w:rsidRDefault="00B677D4" w:rsidP="00C55EEF">
      <w:pPr>
        <w:adjustRightInd w:val="0"/>
        <w:snapToGrid w:val="0"/>
        <w:spacing w:line="360" w:lineRule="auto"/>
        <w:ind w:firstLineChars="100" w:firstLine="240"/>
        <w:jc w:val="both"/>
        <w:rPr>
          <w:rFonts w:ascii="Book Antiqua" w:hAnsi="Book Antiqua"/>
        </w:rPr>
      </w:pPr>
      <w:r w:rsidRPr="00E549DC">
        <w:rPr>
          <w:rFonts w:ascii="Book Antiqua" w:eastAsia="Book Antiqua" w:hAnsi="Book Antiqua" w:cs="Book Antiqua"/>
          <w:color w:val="000000"/>
        </w:rPr>
        <w:t xml:space="preserve">Our results show that atezolizumab plus bevacizumab is associated with the best OS outcomes of all therapies included in the analysis. This result is supported by findings from a recent meta-analysis that investigated optimal </w:t>
      </w:r>
      <w:r w:rsidRPr="00E549DC">
        <w:rPr>
          <w:rFonts w:ascii="Book Antiqua" w:eastAsia="Book Antiqua" w:hAnsi="Book Antiqua" w:cs="Book Antiqua"/>
          <w:color w:val="000000"/>
        </w:rPr>
        <w:lastRenderedPageBreak/>
        <w:t>treatment sequencing for HCC and also reported</w:t>
      </w:r>
      <w:r w:rsidR="00B47526" w:rsidRPr="00E549DC">
        <w:rPr>
          <w:rFonts w:ascii="Book Antiqua" w:eastAsia="Book Antiqua" w:hAnsi="Book Antiqua" w:cs="Book Antiqua"/>
          <w:color w:val="000000"/>
        </w:rPr>
        <w:t xml:space="preserve"> that</w:t>
      </w:r>
      <w:r w:rsidRPr="00E549DC">
        <w:rPr>
          <w:rFonts w:ascii="Book Antiqua" w:eastAsia="Book Antiqua" w:hAnsi="Book Antiqua" w:cs="Book Antiqua"/>
          <w:color w:val="000000"/>
        </w:rPr>
        <w:t xml:space="preserve"> atezolizumab plus bevacizumab had a higher OS benefit </w:t>
      </w:r>
      <w:r w:rsidRPr="00E549DC">
        <w:rPr>
          <w:rFonts w:ascii="Book Antiqua" w:eastAsia="Book Antiqua" w:hAnsi="Book Antiqua" w:cs="Book Antiqua"/>
          <w:i/>
          <w:iCs/>
          <w:color w:val="000000"/>
        </w:rPr>
        <w:t>vs</w:t>
      </w:r>
      <w:r w:rsidRPr="00E549DC">
        <w:rPr>
          <w:rFonts w:ascii="Book Antiqua" w:eastAsia="Book Antiqua" w:hAnsi="Book Antiqua" w:cs="Book Antiqua"/>
          <w:color w:val="000000"/>
        </w:rPr>
        <w:t xml:space="preserve"> lenvatinib (HR</w:t>
      </w:r>
      <w:r w:rsidRPr="00E549DC">
        <w:rPr>
          <w:rFonts w:ascii="Book Antiqua" w:eastAsia="Book Antiqua" w:hAnsi="Book Antiqua" w:cs="Book Antiqua"/>
          <w:color w:val="000000"/>
          <w:vertAlign w:val="subscript"/>
        </w:rPr>
        <w:t>OS</w:t>
      </w:r>
      <w:r w:rsidR="00B47526" w:rsidRPr="00E549DC">
        <w:rPr>
          <w:rFonts w:ascii="Book Antiqua" w:eastAsia="Book Antiqua" w:hAnsi="Book Antiqua" w:cs="Book Antiqua"/>
          <w:color w:val="000000"/>
        </w:rPr>
        <w:t xml:space="preserve"> = </w:t>
      </w:r>
      <w:r w:rsidRPr="00E549DC">
        <w:rPr>
          <w:rFonts w:ascii="Book Antiqua" w:eastAsia="Book Antiqua" w:hAnsi="Book Antiqua" w:cs="Book Antiqua"/>
          <w:color w:val="000000"/>
        </w:rPr>
        <w:t>0.63; 95%</w:t>
      </w:r>
      <w:r w:rsidR="00124A76" w:rsidRPr="00E549DC">
        <w:rPr>
          <w:rFonts w:ascii="Book Antiqua" w:eastAsia="Book Antiqua" w:hAnsi="Book Antiqua" w:cs="Book Antiqua"/>
          <w:color w:val="000000"/>
        </w:rPr>
        <w:t>CI:</w:t>
      </w:r>
      <w:r w:rsidRPr="00E549DC">
        <w:rPr>
          <w:rFonts w:ascii="Book Antiqua" w:eastAsia="Book Antiqua" w:hAnsi="Book Antiqua" w:cs="Book Antiqua"/>
          <w:color w:val="000000"/>
        </w:rPr>
        <w:t xml:space="preserve"> 0.44</w:t>
      </w:r>
      <w:r w:rsidR="00F57FDA" w:rsidRPr="00E549DC">
        <w:rPr>
          <w:rFonts w:ascii="Book Antiqua" w:eastAsia="Book Antiqua" w:hAnsi="Book Antiqua" w:cs="Book Antiqua"/>
          <w:color w:val="000000"/>
        </w:rPr>
        <w:t>-</w:t>
      </w:r>
      <w:r w:rsidRPr="00E549DC">
        <w:rPr>
          <w:rFonts w:ascii="Book Antiqua" w:eastAsia="Book Antiqua" w:hAnsi="Book Antiqua" w:cs="Book Antiqua"/>
          <w:color w:val="000000"/>
        </w:rPr>
        <w:t>0.89), nivolumab (HR</w:t>
      </w:r>
      <w:r w:rsidRPr="00E549DC">
        <w:rPr>
          <w:rFonts w:ascii="Book Antiqua" w:eastAsia="Book Antiqua" w:hAnsi="Book Antiqua" w:cs="Book Antiqua"/>
          <w:color w:val="000000"/>
          <w:vertAlign w:val="subscript"/>
        </w:rPr>
        <w:t>OS</w:t>
      </w:r>
      <w:r w:rsidR="00B47526" w:rsidRPr="00E549DC">
        <w:rPr>
          <w:rFonts w:ascii="Book Antiqua" w:eastAsia="Book Antiqua" w:hAnsi="Book Antiqua" w:cs="Book Antiqua"/>
          <w:color w:val="000000"/>
        </w:rPr>
        <w:t xml:space="preserve"> = </w:t>
      </w:r>
      <w:r w:rsidRPr="00E549DC">
        <w:rPr>
          <w:rFonts w:ascii="Book Antiqua" w:eastAsia="Book Antiqua" w:hAnsi="Book Antiqua" w:cs="Book Antiqua"/>
          <w:color w:val="000000"/>
        </w:rPr>
        <w:t>0.68; 95%</w:t>
      </w:r>
      <w:r w:rsidR="00124A76" w:rsidRPr="00E549DC">
        <w:rPr>
          <w:rFonts w:ascii="Book Antiqua" w:eastAsia="Book Antiqua" w:hAnsi="Book Antiqua" w:cs="Book Antiqua"/>
          <w:color w:val="000000"/>
        </w:rPr>
        <w:t>CI:</w:t>
      </w:r>
      <w:r w:rsidRPr="00E549DC">
        <w:rPr>
          <w:rFonts w:ascii="Book Antiqua" w:eastAsia="Book Antiqua" w:hAnsi="Book Antiqua" w:cs="Book Antiqua"/>
          <w:color w:val="000000"/>
        </w:rPr>
        <w:t xml:space="preserve"> 0.48</w:t>
      </w:r>
      <w:r w:rsidR="00F57FDA" w:rsidRPr="00E549DC">
        <w:rPr>
          <w:rFonts w:ascii="Book Antiqua" w:eastAsia="Book Antiqua" w:hAnsi="Book Antiqua" w:cs="Book Antiqua"/>
          <w:color w:val="000000"/>
        </w:rPr>
        <w:t>-</w:t>
      </w:r>
      <w:r w:rsidRPr="00E549DC">
        <w:rPr>
          <w:rFonts w:ascii="Book Antiqua" w:eastAsia="Book Antiqua" w:hAnsi="Book Antiqua" w:cs="Book Antiqua"/>
          <w:color w:val="000000"/>
        </w:rPr>
        <w:t>0.98), and sorafenib (HR</w:t>
      </w:r>
      <w:r w:rsidRPr="00E549DC">
        <w:rPr>
          <w:rFonts w:ascii="Book Antiqua" w:eastAsia="Book Antiqua" w:hAnsi="Book Antiqua" w:cs="Book Antiqua"/>
          <w:color w:val="000000"/>
          <w:vertAlign w:val="subscript"/>
        </w:rPr>
        <w:t>OS</w:t>
      </w:r>
      <w:r w:rsidR="00B47526" w:rsidRPr="00E549DC">
        <w:rPr>
          <w:rFonts w:ascii="Book Antiqua" w:eastAsia="Book Antiqua" w:hAnsi="Book Antiqua" w:cs="Book Antiqua"/>
          <w:color w:val="000000"/>
        </w:rPr>
        <w:t xml:space="preserve"> = </w:t>
      </w:r>
      <w:r w:rsidRPr="00E549DC">
        <w:rPr>
          <w:rFonts w:ascii="Book Antiqua" w:eastAsia="Book Antiqua" w:hAnsi="Book Antiqua" w:cs="Book Antiqua"/>
          <w:color w:val="000000"/>
        </w:rPr>
        <w:t>0.58; 95%</w:t>
      </w:r>
      <w:r w:rsidR="00124A76" w:rsidRPr="00E549DC">
        <w:rPr>
          <w:rFonts w:ascii="Book Antiqua" w:eastAsia="Book Antiqua" w:hAnsi="Book Antiqua" w:cs="Book Antiqua"/>
          <w:color w:val="000000"/>
        </w:rPr>
        <w:t>CI:</w:t>
      </w:r>
      <w:r w:rsidRPr="00E549DC">
        <w:rPr>
          <w:rFonts w:ascii="Book Antiqua" w:eastAsia="Book Antiqua" w:hAnsi="Book Antiqua" w:cs="Book Antiqua"/>
          <w:color w:val="000000"/>
        </w:rPr>
        <w:t xml:space="preserve"> 0.42</w:t>
      </w:r>
      <w:r w:rsidR="003E7B37" w:rsidRPr="00E549DC">
        <w:rPr>
          <w:rFonts w:ascii="Book Antiqua" w:eastAsia="Book Antiqua" w:hAnsi="Book Antiqua" w:cs="Book Antiqua"/>
          <w:color w:val="000000"/>
        </w:rPr>
        <w:t>-</w:t>
      </w:r>
      <w:r w:rsidRPr="00E549DC">
        <w:rPr>
          <w:rFonts w:ascii="Book Antiqua" w:eastAsia="Book Antiqua" w:hAnsi="Book Antiqua" w:cs="Book Antiqua"/>
          <w:color w:val="000000"/>
        </w:rPr>
        <w:t>0.80)</w:t>
      </w:r>
      <w:r w:rsidRPr="00E549DC">
        <w:rPr>
          <w:rFonts w:ascii="Book Antiqua" w:eastAsia="Book Antiqua" w:hAnsi="Book Antiqua" w:cs="Book Antiqua"/>
          <w:color w:val="000000"/>
          <w:vertAlign w:val="superscript"/>
        </w:rPr>
        <w:t>[16]</w:t>
      </w:r>
      <w:r w:rsidRPr="00E549DC">
        <w:rPr>
          <w:rFonts w:ascii="Book Antiqua" w:eastAsia="Book Antiqua" w:hAnsi="Book Antiqua" w:cs="Book Antiqua"/>
          <w:color w:val="000000"/>
        </w:rPr>
        <w:t xml:space="preserve">. Atezolizumab plus bevacizumab is the first combined immunotherapy and vascular-targeted regimen to be recommended as a first-line treatment option in the National Comprehensive Cancer Network HCC </w:t>
      </w:r>
      <w:proofErr w:type="gramStart"/>
      <w:r w:rsidRPr="00E549DC">
        <w:rPr>
          <w:rFonts w:ascii="Book Antiqua" w:eastAsia="Book Antiqua" w:hAnsi="Book Antiqua" w:cs="Book Antiqua"/>
          <w:color w:val="000000"/>
        </w:rPr>
        <w:t>guidelines</w:t>
      </w:r>
      <w:r w:rsidRPr="00E549DC">
        <w:rPr>
          <w:rFonts w:ascii="Book Antiqua" w:eastAsia="Book Antiqua" w:hAnsi="Book Antiqua" w:cs="Book Antiqua"/>
          <w:color w:val="000000"/>
          <w:vertAlign w:val="superscript"/>
        </w:rPr>
        <w:t>[</w:t>
      </w:r>
      <w:proofErr w:type="gramEnd"/>
      <w:r w:rsidRPr="00E549DC">
        <w:rPr>
          <w:rFonts w:ascii="Book Antiqua" w:eastAsia="Book Antiqua" w:hAnsi="Book Antiqua" w:cs="Book Antiqua"/>
          <w:color w:val="000000"/>
          <w:vertAlign w:val="superscript"/>
        </w:rPr>
        <w:t>4]</w:t>
      </w:r>
      <w:r w:rsidRPr="00E549DC">
        <w:rPr>
          <w:rFonts w:ascii="Book Antiqua" w:eastAsia="Book Antiqua" w:hAnsi="Book Antiqua" w:cs="Book Antiqua"/>
          <w:color w:val="000000"/>
        </w:rPr>
        <w:t xml:space="preserve">. The long OS associated with atezolizumab plus bevacizumab may be related to the ‘long tail’ effect characteristic of immune checkpoint inhibitors, which was also observed in the Phase III Checkmate 459 study of nivolumab. A number of studies have identified several mechanisms </w:t>
      </w:r>
      <w:r w:rsidR="00B47526" w:rsidRPr="00E549DC">
        <w:rPr>
          <w:rFonts w:ascii="Book Antiqua" w:eastAsia="Book Antiqua" w:hAnsi="Book Antiqua" w:cs="Book Antiqua"/>
          <w:color w:val="000000"/>
        </w:rPr>
        <w:t xml:space="preserve">by </w:t>
      </w:r>
      <w:r w:rsidRPr="00E549DC">
        <w:rPr>
          <w:rFonts w:ascii="Book Antiqua" w:eastAsia="Book Antiqua" w:hAnsi="Book Antiqua" w:cs="Book Antiqua"/>
          <w:color w:val="000000"/>
        </w:rPr>
        <w:t xml:space="preserve">which angiogenesis-related processes can enhance immune checkpoint inhibitors therapy, including vascular normalization, reduction of hypoxia, and increasing tumor infiltrating </w:t>
      </w:r>
      <w:proofErr w:type="gramStart"/>
      <w:r w:rsidRPr="00E549DC">
        <w:rPr>
          <w:rFonts w:ascii="Book Antiqua" w:eastAsia="Book Antiqua" w:hAnsi="Book Antiqua" w:cs="Book Antiqua"/>
          <w:color w:val="000000"/>
        </w:rPr>
        <w:t>lymphocytes</w:t>
      </w:r>
      <w:r w:rsidRPr="00E549DC">
        <w:rPr>
          <w:rFonts w:ascii="Book Antiqua" w:eastAsia="Book Antiqua" w:hAnsi="Book Antiqua" w:cs="Book Antiqua"/>
          <w:color w:val="000000"/>
          <w:vertAlign w:val="superscript"/>
        </w:rPr>
        <w:t>[</w:t>
      </w:r>
      <w:proofErr w:type="gramEnd"/>
      <w:r w:rsidRPr="00E549DC">
        <w:rPr>
          <w:rFonts w:ascii="Book Antiqua" w:eastAsia="Book Antiqua" w:hAnsi="Book Antiqua" w:cs="Book Antiqua"/>
          <w:color w:val="000000"/>
          <w:vertAlign w:val="superscript"/>
        </w:rPr>
        <w:t>30]</w:t>
      </w:r>
      <w:r w:rsidRPr="00E549DC">
        <w:rPr>
          <w:rFonts w:ascii="Book Antiqua" w:eastAsia="Book Antiqua" w:hAnsi="Book Antiqua" w:cs="Book Antiqua"/>
          <w:color w:val="000000"/>
        </w:rPr>
        <w:t xml:space="preserve">. Although bevacizumab monotherapy failed Phase II trials in unresectable HCC, in combination with atezolizumab it led to superior efficacy compared with bevacizumb </w:t>
      </w:r>
      <w:proofErr w:type="gramStart"/>
      <w:r w:rsidRPr="00E549DC">
        <w:rPr>
          <w:rFonts w:ascii="Book Antiqua" w:eastAsia="Book Antiqua" w:hAnsi="Book Antiqua" w:cs="Book Antiqua"/>
          <w:color w:val="000000"/>
        </w:rPr>
        <w:t>monotherapy</w:t>
      </w:r>
      <w:r w:rsidRPr="00E549DC">
        <w:rPr>
          <w:rFonts w:ascii="Book Antiqua" w:eastAsia="Book Antiqua" w:hAnsi="Book Antiqua" w:cs="Book Antiqua"/>
          <w:color w:val="000000"/>
          <w:vertAlign w:val="superscript"/>
        </w:rPr>
        <w:t>[</w:t>
      </w:r>
      <w:proofErr w:type="gramEnd"/>
      <w:r w:rsidRPr="00E549DC">
        <w:rPr>
          <w:rFonts w:ascii="Book Antiqua" w:eastAsia="Book Antiqua" w:hAnsi="Book Antiqua" w:cs="Book Antiqua"/>
          <w:color w:val="000000"/>
          <w:vertAlign w:val="superscript"/>
        </w:rPr>
        <w:t>31]</w:t>
      </w:r>
      <w:r w:rsidRPr="00E549DC">
        <w:rPr>
          <w:rFonts w:ascii="Book Antiqua" w:eastAsia="Book Antiqua" w:hAnsi="Book Antiqua" w:cs="Book Antiqua"/>
          <w:color w:val="000000"/>
        </w:rPr>
        <w:t xml:space="preserve">. However, consideration of treatment safety and tolerability is also an important factor in clinical decision-making. Our analysis revealed that atezolizumab plus bevacizumab was associated with the highest incidence of discontinuation due to AEs. This may be associated with the relatively long time to progression and duration of treatment reported for atezolizumab plus bevacizumab, but as treatment discontinuations due to AEs usually involve uncontrolled Grade ≥ 3 AEs, this would likely be a weak association. In addition, the prescribing information for bevacizumab highlights a possible risk of bleeding, and requires termination of bevacizumab at least 4 wk before </w:t>
      </w:r>
      <w:proofErr w:type="gramStart"/>
      <w:r w:rsidRPr="00E549DC">
        <w:rPr>
          <w:rFonts w:ascii="Book Antiqua" w:eastAsia="Book Antiqua" w:hAnsi="Book Antiqua" w:cs="Book Antiqua"/>
          <w:color w:val="000000"/>
        </w:rPr>
        <w:t>surgery</w:t>
      </w:r>
      <w:r w:rsidRPr="00E549DC">
        <w:rPr>
          <w:rFonts w:ascii="Book Antiqua" w:eastAsia="Book Antiqua" w:hAnsi="Book Antiqua" w:cs="Book Antiqua"/>
          <w:color w:val="000000"/>
          <w:vertAlign w:val="superscript"/>
        </w:rPr>
        <w:t>[</w:t>
      </w:r>
      <w:proofErr w:type="gramEnd"/>
      <w:r w:rsidRPr="00E549DC">
        <w:rPr>
          <w:rFonts w:ascii="Book Antiqua" w:eastAsia="Book Antiqua" w:hAnsi="Book Antiqua" w:cs="Book Antiqua"/>
          <w:color w:val="000000"/>
          <w:vertAlign w:val="superscript"/>
        </w:rPr>
        <w:t>32]</w:t>
      </w:r>
      <w:r w:rsidRPr="00E549DC">
        <w:rPr>
          <w:rFonts w:ascii="Book Antiqua" w:eastAsia="Book Antiqua" w:hAnsi="Book Antiqua" w:cs="Book Antiqua"/>
          <w:color w:val="000000"/>
        </w:rPr>
        <w:t xml:space="preserve">. Therefore, in patients with high risk of gastric esophageal varices and patients with the potential to undergo any surgical procedures, atezolizumab plus bevacizumab should be used carefully, to manage the risk of bleeding events. Atezolizumab plus bevacizumab may be more suitable for patients who are unsuitable for surgery but with good liver function </w:t>
      </w:r>
      <w:r w:rsidRPr="00E549DC">
        <w:rPr>
          <w:rFonts w:ascii="Book Antiqua" w:eastAsia="Book Antiqua" w:hAnsi="Book Antiqua" w:cs="Book Antiqua"/>
          <w:color w:val="000000"/>
        </w:rPr>
        <w:lastRenderedPageBreak/>
        <w:t>and limited cirrhosis, who have the potential to achieve a long-term survival benefit with systemic therapy.</w:t>
      </w:r>
    </w:p>
    <w:p w14:paraId="4DDE6AA5" w14:textId="77777777" w:rsidR="00A77B3E" w:rsidRPr="00E549DC" w:rsidRDefault="00B677D4" w:rsidP="00C55EEF">
      <w:pPr>
        <w:adjustRightInd w:val="0"/>
        <w:snapToGrid w:val="0"/>
        <w:spacing w:line="360" w:lineRule="auto"/>
        <w:ind w:firstLineChars="100" w:firstLine="240"/>
        <w:jc w:val="both"/>
        <w:rPr>
          <w:rFonts w:ascii="Book Antiqua" w:hAnsi="Book Antiqua"/>
        </w:rPr>
      </w:pPr>
      <w:r w:rsidRPr="00E549DC">
        <w:rPr>
          <w:rFonts w:ascii="Book Antiqua" w:eastAsia="Book Antiqua" w:hAnsi="Book Antiqua" w:cs="Book Antiqua"/>
          <w:color w:val="000000"/>
        </w:rPr>
        <w:t xml:space="preserve">The results of this meta-analysis show that there is currently not one single systemic treatment for advanced HCC associated with superior outcomes across all outcome measurements (ORR, OS, PFS, and safety). This highlights the importance of individualized treatment selection based on specific treatment goals. For example, a number of studies have shown that lenvatinib or lenvatinib combination </w:t>
      </w:r>
      <w:proofErr w:type="gramStart"/>
      <w:r w:rsidRPr="00E549DC">
        <w:rPr>
          <w:rFonts w:ascii="Book Antiqua" w:eastAsia="Book Antiqua" w:hAnsi="Book Antiqua" w:cs="Book Antiqua"/>
          <w:color w:val="000000"/>
        </w:rPr>
        <w:t>therapy</w:t>
      </w:r>
      <w:r w:rsidRPr="00E549DC">
        <w:rPr>
          <w:rFonts w:ascii="Book Antiqua" w:eastAsia="Book Antiqua" w:hAnsi="Book Antiqua" w:cs="Book Antiqua"/>
          <w:color w:val="000000"/>
          <w:vertAlign w:val="superscript"/>
        </w:rPr>
        <w:t>[</w:t>
      </w:r>
      <w:proofErr w:type="gramEnd"/>
      <w:r w:rsidRPr="00E549DC">
        <w:rPr>
          <w:rFonts w:ascii="Book Antiqua" w:eastAsia="Book Antiqua" w:hAnsi="Book Antiqua" w:cs="Book Antiqua"/>
          <w:color w:val="000000"/>
          <w:vertAlign w:val="superscript"/>
        </w:rPr>
        <w:t>33]</w:t>
      </w:r>
      <w:r w:rsidRPr="00E549DC">
        <w:rPr>
          <w:rFonts w:ascii="Book Antiqua" w:eastAsia="Book Antiqua" w:hAnsi="Book Antiqua" w:cs="Book Antiqua"/>
          <w:color w:val="000000"/>
        </w:rPr>
        <w:t xml:space="preserve"> can allow patients to achieve downstaging and become eligible for surgery</w:t>
      </w:r>
      <w:r w:rsidRPr="00E549DC">
        <w:rPr>
          <w:rFonts w:ascii="Book Antiqua" w:eastAsia="Book Antiqua" w:hAnsi="Book Antiqua" w:cs="Book Antiqua"/>
          <w:color w:val="000000"/>
          <w:vertAlign w:val="superscript"/>
        </w:rPr>
        <w:t>[34-36]</w:t>
      </w:r>
      <w:r w:rsidRPr="00E549DC">
        <w:rPr>
          <w:rFonts w:ascii="Book Antiqua" w:eastAsia="Book Antiqua" w:hAnsi="Book Antiqua" w:cs="Book Antiqua"/>
          <w:color w:val="000000"/>
        </w:rPr>
        <w:t>.</w:t>
      </w:r>
      <w:r w:rsidRPr="00E549DC">
        <w:rPr>
          <w:rFonts w:ascii="Book Antiqua" w:eastAsia="Book Antiqua" w:hAnsi="Book Antiqua" w:cs="Book Antiqua"/>
          <w:color w:val="000000"/>
          <w:vertAlign w:val="superscript"/>
        </w:rPr>
        <w:t xml:space="preserve"> </w:t>
      </w:r>
      <w:r w:rsidRPr="00E549DC">
        <w:rPr>
          <w:rFonts w:ascii="Book Antiqua" w:eastAsia="Book Antiqua" w:hAnsi="Book Antiqua" w:cs="Book Antiqua"/>
          <w:color w:val="000000"/>
        </w:rPr>
        <w:t>For patients with HCC ineligible for surgical intervention at diagnosis, we are of the opinion that treatment selection should be objective based. In patients without serious underlying liver disease and for whom surgery may be possible, systemic treatments with the highest ORR are the optimal choice. Conversely, for patients with poor liver function, underlying liver disease, or local advanced HCC, selection of therapies based on longer OS may provide the most benefit.</w:t>
      </w:r>
    </w:p>
    <w:p w14:paraId="68AE225E" w14:textId="7313E8B5" w:rsidR="00A77B3E" w:rsidRPr="00E549DC" w:rsidRDefault="00B677D4" w:rsidP="00C55EEF">
      <w:pPr>
        <w:adjustRightInd w:val="0"/>
        <w:snapToGrid w:val="0"/>
        <w:spacing w:line="360" w:lineRule="auto"/>
        <w:ind w:firstLineChars="100" w:firstLine="240"/>
        <w:jc w:val="both"/>
        <w:rPr>
          <w:rFonts w:ascii="Book Antiqua" w:hAnsi="Book Antiqua"/>
        </w:rPr>
      </w:pPr>
      <w:r w:rsidRPr="00E549DC">
        <w:rPr>
          <w:rFonts w:ascii="Book Antiqua" w:eastAsia="Book Antiqua" w:hAnsi="Book Antiqua" w:cs="Book Antiqua"/>
          <w:color w:val="000000"/>
        </w:rPr>
        <w:t xml:space="preserve">In our analysis, lenvatinib had superior short-term efficacy compared with all other systemic therapies investigated. Lenvatinib ranked first for ORR and TTP, and second for PFS after atezolizumab plus bevacizumab. This finding is supported by the results of another recent network meta-analysis presented at the ASCO Gastrointestinal Symposium 2021 that also ranked atezolizumab plus bevacizumab first for OS but lenvatinib first for </w:t>
      </w:r>
      <w:proofErr w:type="gramStart"/>
      <w:r w:rsidRPr="00E549DC">
        <w:rPr>
          <w:rFonts w:ascii="Book Antiqua" w:eastAsia="Book Antiqua" w:hAnsi="Book Antiqua" w:cs="Book Antiqua"/>
          <w:color w:val="000000"/>
        </w:rPr>
        <w:t>ORR</w:t>
      </w:r>
      <w:r w:rsidRPr="00E549DC">
        <w:rPr>
          <w:rFonts w:ascii="Book Antiqua" w:eastAsia="Book Antiqua" w:hAnsi="Book Antiqua" w:cs="Book Antiqua"/>
          <w:color w:val="000000"/>
          <w:vertAlign w:val="superscript"/>
        </w:rPr>
        <w:t>[</w:t>
      </w:r>
      <w:proofErr w:type="gramEnd"/>
      <w:r w:rsidRPr="00E549DC">
        <w:rPr>
          <w:rFonts w:ascii="Book Antiqua" w:eastAsia="Book Antiqua" w:hAnsi="Book Antiqua" w:cs="Book Antiqua"/>
          <w:color w:val="000000"/>
          <w:vertAlign w:val="superscript"/>
        </w:rPr>
        <w:t>37]</w:t>
      </w:r>
      <w:r w:rsidRPr="00E549DC">
        <w:rPr>
          <w:rFonts w:ascii="Book Antiqua" w:eastAsia="Book Antiqua" w:hAnsi="Book Antiqua" w:cs="Book Antiqua"/>
          <w:color w:val="000000"/>
        </w:rPr>
        <w:t xml:space="preserve">. In addition, although direct comparison of the ORRs (RECIST v1.1) reported for atezolizumab plus bevacizumab and lenvatinib in the IMbrave 100 and REFLECT studies appears to show a moderately higher ORR for atezolizumab plus bevacizumab (27% </w:t>
      </w:r>
      <w:r w:rsidRPr="00E549DC">
        <w:rPr>
          <w:rFonts w:ascii="Book Antiqua" w:eastAsia="Book Antiqua" w:hAnsi="Book Antiqua" w:cs="Book Antiqua"/>
          <w:i/>
          <w:iCs/>
          <w:color w:val="000000"/>
        </w:rPr>
        <w:t>vs</w:t>
      </w:r>
      <w:r w:rsidRPr="00E549DC">
        <w:rPr>
          <w:rFonts w:ascii="Book Antiqua" w:eastAsia="Book Antiqua" w:hAnsi="Book Antiqua" w:cs="Book Antiqua"/>
          <w:color w:val="000000"/>
        </w:rPr>
        <w:t xml:space="preserve"> 18%</w:t>
      </w:r>
      <w:proofErr w:type="gramStart"/>
      <w:r w:rsidRPr="00E549DC">
        <w:rPr>
          <w:rFonts w:ascii="Book Antiqua" w:eastAsia="Book Antiqua" w:hAnsi="Book Antiqua" w:cs="Book Antiqua"/>
          <w:color w:val="000000"/>
        </w:rPr>
        <w:t>)</w:t>
      </w:r>
      <w:r w:rsidRPr="00E549DC">
        <w:rPr>
          <w:rFonts w:ascii="Book Antiqua" w:eastAsia="Book Antiqua" w:hAnsi="Book Antiqua" w:cs="Book Antiqua"/>
          <w:color w:val="000000"/>
          <w:vertAlign w:val="superscript"/>
        </w:rPr>
        <w:t>[</w:t>
      </w:r>
      <w:proofErr w:type="gramEnd"/>
      <w:r w:rsidRPr="00E549DC">
        <w:rPr>
          <w:rFonts w:ascii="Book Antiqua" w:eastAsia="Book Antiqua" w:hAnsi="Book Antiqua" w:cs="Book Antiqua"/>
          <w:color w:val="000000"/>
          <w:vertAlign w:val="superscript"/>
        </w:rPr>
        <w:t>10,11]</w:t>
      </w:r>
      <w:r w:rsidRPr="00E549DC">
        <w:rPr>
          <w:rFonts w:ascii="Book Antiqua" w:eastAsia="Book Antiqua" w:hAnsi="Book Antiqua" w:cs="Book Antiqua"/>
          <w:color w:val="000000"/>
        </w:rPr>
        <w:t xml:space="preserve">, our network analysis provides a more robust comparison of the two therapies by comparing both to sorafenib. There are several possible mechanistic explanations for this finding. First, preclinical studies show that lenvatinib has multiple targets including VEGFR1-3, FGFR1-4, PDGFRα, RET, and KIT, and this </w:t>
      </w:r>
      <w:r w:rsidRPr="00E549DC">
        <w:rPr>
          <w:rFonts w:ascii="Book Antiqua" w:eastAsia="Book Antiqua" w:hAnsi="Book Antiqua" w:cs="Book Antiqua"/>
          <w:color w:val="000000"/>
        </w:rPr>
        <w:lastRenderedPageBreak/>
        <w:t xml:space="preserve">broad spectrum of activity may be one factor explaining the high response rates associated with this </w:t>
      </w:r>
      <w:proofErr w:type="gramStart"/>
      <w:r w:rsidRPr="00E549DC">
        <w:rPr>
          <w:rFonts w:ascii="Book Antiqua" w:eastAsia="Book Antiqua" w:hAnsi="Book Antiqua" w:cs="Book Antiqua"/>
          <w:color w:val="000000"/>
        </w:rPr>
        <w:t>therapy</w:t>
      </w:r>
      <w:r w:rsidRPr="00E549DC">
        <w:rPr>
          <w:rFonts w:ascii="Book Antiqua" w:eastAsia="Book Antiqua" w:hAnsi="Book Antiqua" w:cs="Book Antiqua"/>
          <w:color w:val="000000"/>
          <w:vertAlign w:val="superscript"/>
        </w:rPr>
        <w:t>[</w:t>
      </w:r>
      <w:proofErr w:type="gramEnd"/>
      <w:r w:rsidRPr="00E549DC">
        <w:rPr>
          <w:rFonts w:ascii="Book Antiqua" w:eastAsia="Book Antiqua" w:hAnsi="Book Antiqua" w:cs="Book Antiqua"/>
          <w:color w:val="000000"/>
          <w:vertAlign w:val="superscript"/>
        </w:rPr>
        <w:t>38]</w:t>
      </w:r>
      <w:r w:rsidRPr="00E549DC">
        <w:rPr>
          <w:rFonts w:ascii="Book Antiqua" w:eastAsia="Book Antiqua" w:hAnsi="Book Antiqua" w:cs="Book Antiqua"/>
          <w:color w:val="000000"/>
        </w:rPr>
        <w:t xml:space="preserve">. Furthermore, lenvatinib is a type V TKI with fast binding and relatively slow dissociation compared with other </w:t>
      </w:r>
      <w:proofErr w:type="gramStart"/>
      <w:r w:rsidRPr="00E549DC">
        <w:rPr>
          <w:rFonts w:ascii="Book Antiqua" w:eastAsia="Book Antiqua" w:hAnsi="Book Antiqua" w:cs="Book Antiqua"/>
          <w:color w:val="000000"/>
        </w:rPr>
        <w:t>TKIs</w:t>
      </w:r>
      <w:r w:rsidRPr="00E549DC">
        <w:rPr>
          <w:rFonts w:ascii="Book Antiqua" w:eastAsia="Book Antiqua" w:hAnsi="Book Antiqua" w:cs="Book Antiqua"/>
          <w:color w:val="000000"/>
          <w:vertAlign w:val="superscript"/>
        </w:rPr>
        <w:t>[</w:t>
      </w:r>
      <w:proofErr w:type="gramEnd"/>
      <w:r w:rsidRPr="00E549DC">
        <w:rPr>
          <w:rFonts w:ascii="Book Antiqua" w:eastAsia="Book Antiqua" w:hAnsi="Book Antiqua" w:cs="Book Antiqua"/>
          <w:color w:val="000000"/>
          <w:vertAlign w:val="superscript"/>
        </w:rPr>
        <w:t>39]</w:t>
      </w:r>
      <w:r w:rsidRPr="00E549DC">
        <w:rPr>
          <w:rFonts w:ascii="Book Antiqua" w:eastAsia="Book Antiqua" w:hAnsi="Book Antiqua" w:cs="Book Antiqua"/>
          <w:color w:val="000000"/>
        </w:rPr>
        <w:t xml:space="preserve">. In addition to anti-vascular effects, lenvatinib also has a regulatory effect on the immune microenvironment of liver </w:t>
      </w:r>
      <w:proofErr w:type="gramStart"/>
      <w:r w:rsidRPr="00E549DC">
        <w:rPr>
          <w:rFonts w:ascii="Book Antiqua" w:eastAsia="Book Antiqua" w:hAnsi="Book Antiqua" w:cs="Book Antiqua"/>
          <w:color w:val="000000"/>
        </w:rPr>
        <w:t>cancer</w:t>
      </w:r>
      <w:r w:rsidRPr="00E549DC">
        <w:rPr>
          <w:rFonts w:ascii="Book Antiqua" w:eastAsia="Book Antiqua" w:hAnsi="Book Antiqua" w:cs="Book Antiqua"/>
          <w:color w:val="000000"/>
          <w:vertAlign w:val="superscript"/>
        </w:rPr>
        <w:t>[</w:t>
      </w:r>
      <w:proofErr w:type="gramEnd"/>
      <w:r w:rsidRPr="00E549DC">
        <w:rPr>
          <w:rFonts w:ascii="Book Antiqua" w:eastAsia="Book Antiqua" w:hAnsi="Book Antiqua" w:cs="Book Antiqua"/>
          <w:color w:val="000000"/>
          <w:vertAlign w:val="superscript"/>
        </w:rPr>
        <w:t>40]</w:t>
      </w:r>
      <w:r w:rsidRPr="00E549DC">
        <w:rPr>
          <w:rFonts w:ascii="Book Antiqua" w:eastAsia="Book Antiqua" w:hAnsi="Book Antiqua" w:cs="Book Antiqua"/>
          <w:color w:val="000000"/>
        </w:rPr>
        <w:t>. Preclinical research has shown that, compared with sorafenib, lenvatinib has a significant anti-tumor effect in immunodeficient mice, suggesting that lenvatinib may activate immune function by decreasing the number of tumor-associated macrophages, increasing the proportion of activated CD8+ cells</w:t>
      </w:r>
      <w:r w:rsidRPr="00E549DC">
        <w:rPr>
          <w:rFonts w:ascii="Book Antiqua" w:eastAsia="Book Antiqua" w:hAnsi="Book Antiqua" w:cs="Book Antiqua"/>
          <w:color w:val="000000"/>
          <w:vertAlign w:val="superscript"/>
        </w:rPr>
        <w:t>[40</w:t>
      </w:r>
      <w:r w:rsidR="00536432" w:rsidRPr="00E549DC">
        <w:rPr>
          <w:rFonts w:ascii="Book Antiqua" w:eastAsia="Book Antiqua" w:hAnsi="Book Antiqua" w:cs="Book Antiqua"/>
          <w:color w:val="000000"/>
          <w:vertAlign w:val="superscript"/>
        </w:rPr>
        <w:t>]</w:t>
      </w:r>
      <w:r w:rsidR="00536432" w:rsidRPr="00E549DC">
        <w:rPr>
          <w:rFonts w:ascii="Book Antiqua" w:eastAsia="Book Antiqua" w:hAnsi="Book Antiqua" w:cs="Book Antiqua"/>
          <w:color w:val="000000"/>
        </w:rPr>
        <w:t xml:space="preserve">, </w:t>
      </w:r>
      <w:r w:rsidRPr="00E549DC">
        <w:rPr>
          <w:rFonts w:ascii="Book Antiqua" w:eastAsia="Book Antiqua" w:hAnsi="Book Antiqua" w:cs="Book Antiqua"/>
          <w:color w:val="000000"/>
        </w:rPr>
        <w:t>and increasing activation and infiltration of natural killer cells</w:t>
      </w:r>
      <w:r w:rsidRPr="00E549DC">
        <w:rPr>
          <w:rFonts w:ascii="Book Antiqua" w:eastAsia="Book Antiqua" w:hAnsi="Book Antiqua" w:cs="Book Antiqua"/>
          <w:color w:val="000000"/>
          <w:vertAlign w:val="superscript"/>
        </w:rPr>
        <w:t>[41]</w:t>
      </w:r>
      <w:r w:rsidRPr="00E549DC">
        <w:rPr>
          <w:rFonts w:ascii="Book Antiqua" w:eastAsia="Book Antiqua" w:hAnsi="Book Antiqua" w:cs="Book Antiqua"/>
          <w:color w:val="000000"/>
        </w:rPr>
        <w:t>.</w:t>
      </w:r>
    </w:p>
    <w:p w14:paraId="7B695599" w14:textId="5DD35D77" w:rsidR="00A77B3E" w:rsidRPr="00E549DC" w:rsidRDefault="00B677D4" w:rsidP="00C55EEF">
      <w:pPr>
        <w:adjustRightInd w:val="0"/>
        <w:snapToGrid w:val="0"/>
        <w:spacing w:line="360" w:lineRule="auto"/>
        <w:ind w:firstLineChars="100" w:firstLine="240"/>
        <w:jc w:val="both"/>
        <w:rPr>
          <w:rFonts w:ascii="Book Antiqua" w:hAnsi="Book Antiqua"/>
        </w:rPr>
      </w:pPr>
      <w:r w:rsidRPr="00E549DC">
        <w:rPr>
          <w:rFonts w:ascii="Book Antiqua" w:eastAsia="Book Antiqua" w:hAnsi="Book Antiqua" w:cs="Book Antiqua"/>
          <w:color w:val="000000"/>
        </w:rPr>
        <w:t>HBV-related liver cancer is particularly prevalent in Asian populations, especially in China where 69%</w:t>
      </w:r>
      <w:r w:rsidR="00BE4873" w:rsidRPr="00E549DC">
        <w:rPr>
          <w:rFonts w:ascii="Book Antiqua" w:eastAsia="Book Antiqua" w:hAnsi="Book Antiqua" w:cs="Book Antiqua"/>
          <w:color w:val="000000"/>
        </w:rPr>
        <w:t>-</w:t>
      </w:r>
      <w:r w:rsidRPr="00E549DC">
        <w:rPr>
          <w:rFonts w:ascii="Book Antiqua" w:eastAsia="Book Antiqua" w:hAnsi="Book Antiqua" w:cs="Book Antiqua"/>
          <w:color w:val="000000"/>
        </w:rPr>
        <w:t>80% of liver cancer</w:t>
      </w:r>
      <w:r w:rsidR="00536432" w:rsidRPr="00E549DC">
        <w:rPr>
          <w:rFonts w:ascii="Book Antiqua" w:eastAsia="Book Antiqua" w:hAnsi="Book Antiqua" w:cs="Book Antiqua"/>
          <w:color w:val="000000"/>
        </w:rPr>
        <w:t>s</w:t>
      </w:r>
      <w:r w:rsidRPr="00E549DC">
        <w:rPr>
          <w:rFonts w:ascii="Book Antiqua" w:eastAsia="Book Antiqua" w:hAnsi="Book Antiqua" w:cs="Book Antiqua"/>
          <w:color w:val="000000"/>
        </w:rPr>
        <w:t xml:space="preserve"> </w:t>
      </w:r>
      <w:r w:rsidR="00536432" w:rsidRPr="00E549DC">
        <w:rPr>
          <w:rFonts w:ascii="Book Antiqua" w:eastAsia="Book Antiqua" w:hAnsi="Book Antiqua" w:cs="Book Antiqua"/>
          <w:color w:val="000000"/>
        </w:rPr>
        <w:t xml:space="preserve">have </w:t>
      </w:r>
      <w:r w:rsidRPr="00E549DC">
        <w:rPr>
          <w:rFonts w:ascii="Book Antiqua" w:eastAsia="Book Antiqua" w:hAnsi="Book Antiqua" w:cs="Book Antiqua"/>
          <w:color w:val="000000"/>
        </w:rPr>
        <w:t xml:space="preserve">an HBV </w:t>
      </w:r>
      <w:proofErr w:type="gramStart"/>
      <w:r w:rsidRPr="00E549DC">
        <w:rPr>
          <w:rFonts w:ascii="Book Antiqua" w:eastAsia="Book Antiqua" w:hAnsi="Book Antiqua" w:cs="Book Antiqua"/>
          <w:color w:val="000000"/>
        </w:rPr>
        <w:t>etiology</w:t>
      </w:r>
      <w:r w:rsidRPr="00E549DC">
        <w:rPr>
          <w:rFonts w:ascii="Book Antiqua" w:eastAsia="Book Antiqua" w:hAnsi="Book Antiqua" w:cs="Book Antiqua"/>
          <w:color w:val="000000"/>
          <w:vertAlign w:val="superscript"/>
        </w:rPr>
        <w:t>[</w:t>
      </w:r>
      <w:proofErr w:type="gramEnd"/>
      <w:r w:rsidRPr="00E549DC">
        <w:rPr>
          <w:rFonts w:ascii="Book Antiqua" w:eastAsia="Book Antiqua" w:hAnsi="Book Antiqua" w:cs="Book Antiqua"/>
          <w:color w:val="000000"/>
          <w:vertAlign w:val="superscript"/>
        </w:rPr>
        <w:t>42,43]</w:t>
      </w:r>
      <w:r w:rsidRPr="00E549DC">
        <w:rPr>
          <w:rFonts w:ascii="Book Antiqua" w:eastAsia="Book Antiqua" w:hAnsi="Book Antiqua" w:cs="Book Antiqua"/>
          <w:color w:val="000000"/>
        </w:rPr>
        <w:t xml:space="preserve">. Our meta-analysis of data from patients with HCC and HBV infection suggested that, in terms of OS, atezolizumab plus bevacizumab, lenvatinib, and nivolumab are the three most effective treatments in this patient population. For PFS, lenvatinib ranked first over atezolizumab plus bevacizumab. This finding supports previous meta-analyses that have shown lenvatinib to have a particularly strong anti-tumor effect </w:t>
      </w:r>
      <w:r w:rsidRPr="00E549DC">
        <w:rPr>
          <w:rFonts w:ascii="Book Antiqua" w:eastAsia="Book Antiqua" w:hAnsi="Book Antiqua" w:cs="Book Antiqua"/>
          <w:i/>
          <w:iCs/>
          <w:color w:val="000000"/>
        </w:rPr>
        <w:t>vs</w:t>
      </w:r>
      <w:r w:rsidRPr="00E549DC">
        <w:rPr>
          <w:rFonts w:ascii="Book Antiqua" w:eastAsia="Book Antiqua" w:hAnsi="Book Antiqua" w:cs="Book Antiqua"/>
          <w:color w:val="000000"/>
        </w:rPr>
        <w:t xml:space="preserve"> sorafenib in patients with HBV-related </w:t>
      </w:r>
      <w:proofErr w:type="gramStart"/>
      <w:r w:rsidRPr="00E549DC">
        <w:rPr>
          <w:rFonts w:ascii="Book Antiqua" w:eastAsia="Book Antiqua" w:hAnsi="Book Antiqua" w:cs="Book Antiqua"/>
          <w:color w:val="000000"/>
        </w:rPr>
        <w:t>HCC</w:t>
      </w:r>
      <w:r w:rsidRPr="00E549DC">
        <w:rPr>
          <w:rFonts w:ascii="Book Antiqua" w:eastAsia="Book Antiqua" w:hAnsi="Book Antiqua" w:cs="Book Antiqua"/>
          <w:color w:val="000000"/>
          <w:vertAlign w:val="superscript"/>
        </w:rPr>
        <w:t>[</w:t>
      </w:r>
      <w:proofErr w:type="gramEnd"/>
      <w:r w:rsidRPr="00E549DC">
        <w:rPr>
          <w:rFonts w:ascii="Book Antiqua" w:eastAsia="Book Antiqua" w:hAnsi="Book Antiqua" w:cs="Book Antiqua"/>
          <w:color w:val="000000"/>
          <w:vertAlign w:val="superscript"/>
        </w:rPr>
        <w:t>44,45]</w:t>
      </w:r>
      <w:r w:rsidRPr="00E549DC">
        <w:rPr>
          <w:rFonts w:ascii="Book Antiqua" w:eastAsia="Book Antiqua" w:hAnsi="Book Antiqua" w:cs="Book Antiqua"/>
          <w:color w:val="000000"/>
        </w:rPr>
        <w:t xml:space="preserve">. It is unclear why lenvatinib may have a particularly good anti-tumor effect in HBV-related HCC, but </w:t>
      </w:r>
      <w:r w:rsidR="00536432" w:rsidRPr="00E549DC">
        <w:rPr>
          <w:rFonts w:ascii="Book Antiqua" w:eastAsia="Book Antiqua" w:hAnsi="Book Antiqua" w:cs="Book Antiqua"/>
          <w:color w:val="000000"/>
        </w:rPr>
        <w:t xml:space="preserve">it </w:t>
      </w:r>
      <w:r w:rsidRPr="00E549DC">
        <w:rPr>
          <w:rFonts w:ascii="Book Antiqua" w:eastAsia="Book Antiqua" w:hAnsi="Book Antiqua" w:cs="Book Antiqua"/>
          <w:color w:val="000000"/>
        </w:rPr>
        <w:t xml:space="preserve">may be due to the impact of lenvatinib on the immune microenvironment, as described above. In addition, the China National Health and Health Commission guidelines for diagnosis and treatment of primary liver cancer in China (2019 edition) recommend lenvatinib as a systemic therapy with good efficacy in patients with HBV-related liver </w:t>
      </w:r>
      <w:proofErr w:type="gramStart"/>
      <w:r w:rsidRPr="00E549DC">
        <w:rPr>
          <w:rFonts w:ascii="Book Antiqua" w:eastAsia="Book Antiqua" w:hAnsi="Book Antiqua" w:cs="Book Antiqua"/>
          <w:color w:val="000000"/>
        </w:rPr>
        <w:t>cancer</w:t>
      </w:r>
      <w:r w:rsidRPr="00E549DC">
        <w:rPr>
          <w:rFonts w:ascii="Book Antiqua" w:eastAsia="Book Antiqua" w:hAnsi="Book Antiqua" w:cs="Book Antiqua"/>
          <w:color w:val="000000"/>
          <w:vertAlign w:val="superscript"/>
        </w:rPr>
        <w:t>[</w:t>
      </w:r>
      <w:proofErr w:type="gramEnd"/>
      <w:r w:rsidRPr="00E549DC">
        <w:rPr>
          <w:rFonts w:ascii="Book Antiqua" w:eastAsia="Book Antiqua" w:hAnsi="Book Antiqua" w:cs="Book Antiqua"/>
          <w:color w:val="000000"/>
          <w:vertAlign w:val="superscript"/>
        </w:rPr>
        <w:t>46]</w:t>
      </w:r>
      <w:r w:rsidRPr="00E549DC">
        <w:rPr>
          <w:rFonts w:ascii="Book Antiqua" w:eastAsia="Book Antiqua" w:hAnsi="Book Antiqua" w:cs="Book Antiqua"/>
          <w:color w:val="000000"/>
        </w:rPr>
        <w:t>.</w:t>
      </w:r>
    </w:p>
    <w:p w14:paraId="1305CC8A" w14:textId="1FFF38E4" w:rsidR="00A77B3E" w:rsidRPr="00E549DC" w:rsidRDefault="00B677D4" w:rsidP="00C55EEF">
      <w:pPr>
        <w:adjustRightInd w:val="0"/>
        <w:snapToGrid w:val="0"/>
        <w:spacing w:line="360" w:lineRule="auto"/>
        <w:ind w:firstLineChars="100" w:firstLine="240"/>
        <w:jc w:val="both"/>
        <w:rPr>
          <w:rFonts w:ascii="Book Antiqua" w:hAnsi="Book Antiqua"/>
        </w:rPr>
      </w:pPr>
      <w:r w:rsidRPr="00E549DC">
        <w:rPr>
          <w:rFonts w:ascii="Book Antiqua" w:eastAsia="Book Antiqua" w:hAnsi="Book Antiqua" w:cs="Book Antiqua"/>
          <w:color w:val="000000"/>
        </w:rPr>
        <w:t xml:space="preserve">This network meta-analysis had several possible limitations. First, the quality of studies included in the analysis had some heterogeneity; for example, the analysis included both large Phase III clinical trials, such as </w:t>
      </w:r>
      <w:r w:rsidR="00536432" w:rsidRPr="00E549DC">
        <w:rPr>
          <w:rFonts w:ascii="Book Antiqua" w:eastAsia="Book Antiqua" w:hAnsi="Book Antiqua" w:cs="Book Antiqua"/>
          <w:color w:val="000000"/>
        </w:rPr>
        <w:t xml:space="preserve">REFLECT </w:t>
      </w:r>
      <w:r w:rsidRPr="00E549DC">
        <w:rPr>
          <w:rFonts w:ascii="Book Antiqua" w:eastAsia="Book Antiqua" w:hAnsi="Book Antiqua" w:cs="Book Antiqua"/>
          <w:color w:val="000000"/>
        </w:rPr>
        <w:t xml:space="preserve">and Checkmate 459, and smaller Phase II clinical studies. Second, there was also </w:t>
      </w:r>
      <w:r w:rsidRPr="00E549DC">
        <w:rPr>
          <w:rFonts w:ascii="Book Antiqua" w:eastAsia="Book Antiqua" w:hAnsi="Book Antiqua" w:cs="Book Antiqua"/>
          <w:color w:val="000000"/>
        </w:rPr>
        <w:lastRenderedPageBreak/>
        <w:t xml:space="preserve">heterogeneity in the patient populations included in the analysis, including patients from different geographic regions, of different races, and different proportions of patients with HBV infection. Additionally, it should be noted that second-line therapeutic options for HCC have greatly improved over the past decade. As a result, estimates of first-line OS from older studies are generally shorter than those from more recent studies. However, among the therapies included in this analysis that are currently approved for first-line HCC, only sorafenib has OS data old enough to potentially be biased by this phenomenon. Fortunately, our analysis was based on pooled data from the pivotal study of sorafenib in 2008 and comparator arms of trials conducted between 2008 and 2020, which limits the potential effect of bias from improvements in second-line </w:t>
      </w:r>
      <w:proofErr w:type="gramStart"/>
      <w:r w:rsidRPr="00E549DC">
        <w:rPr>
          <w:rFonts w:ascii="Book Antiqua" w:eastAsia="Book Antiqua" w:hAnsi="Book Antiqua" w:cs="Book Antiqua"/>
          <w:color w:val="000000"/>
        </w:rPr>
        <w:t>therapies</w:t>
      </w:r>
      <w:r w:rsidR="00DD5F0C" w:rsidRPr="00E549DC">
        <w:rPr>
          <w:rFonts w:ascii="Book Antiqua" w:eastAsia="Book Antiqua" w:hAnsi="Book Antiqua" w:cs="Book Antiqua"/>
          <w:color w:val="000000"/>
          <w:vertAlign w:val="superscript"/>
        </w:rPr>
        <w:t>[</w:t>
      </w:r>
      <w:proofErr w:type="gramEnd"/>
      <w:r w:rsidR="00DD5F0C" w:rsidRPr="00E549DC">
        <w:rPr>
          <w:rFonts w:ascii="Book Antiqua" w:eastAsia="Book Antiqua" w:hAnsi="Book Antiqua" w:cs="Book Antiqua"/>
          <w:color w:val="000000"/>
          <w:vertAlign w:val="superscript"/>
        </w:rPr>
        <w:t>47-62]</w:t>
      </w:r>
      <w:r w:rsidRPr="00E549DC">
        <w:rPr>
          <w:rFonts w:ascii="Book Antiqua" w:eastAsia="Book Antiqua" w:hAnsi="Book Antiqua" w:cs="Book Antiqua"/>
          <w:color w:val="000000"/>
        </w:rPr>
        <w:t>. Finally, because multiple interventions were included in the analysis, several had data from only one study and therefore a relatively small sample size, which may have led to bias.</w:t>
      </w:r>
    </w:p>
    <w:p w14:paraId="60848AA5" w14:textId="77777777" w:rsidR="00A77B3E" w:rsidRPr="00E549DC" w:rsidRDefault="00A77B3E" w:rsidP="00C55EEF">
      <w:pPr>
        <w:adjustRightInd w:val="0"/>
        <w:snapToGrid w:val="0"/>
        <w:spacing w:line="360" w:lineRule="auto"/>
        <w:jc w:val="both"/>
        <w:rPr>
          <w:rFonts w:ascii="Book Antiqua" w:hAnsi="Book Antiqua"/>
        </w:rPr>
      </w:pPr>
    </w:p>
    <w:p w14:paraId="57C7C4D7" w14:textId="77777777" w:rsidR="00A77B3E" w:rsidRPr="00E549DC" w:rsidRDefault="00B677D4" w:rsidP="00C55EEF">
      <w:pPr>
        <w:adjustRightInd w:val="0"/>
        <w:snapToGrid w:val="0"/>
        <w:spacing w:line="360" w:lineRule="auto"/>
        <w:jc w:val="both"/>
        <w:rPr>
          <w:rFonts w:ascii="Book Antiqua" w:hAnsi="Book Antiqua"/>
        </w:rPr>
      </w:pPr>
      <w:r w:rsidRPr="00E549DC">
        <w:rPr>
          <w:rFonts w:ascii="Book Antiqua" w:eastAsia="Book Antiqua" w:hAnsi="Book Antiqua" w:cs="Book Antiqua"/>
          <w:b/>
          <w:caps/>
          <w:color w:val="000000"/>
          <w:u w:val="single"/>
        </w:rPr>
        <w:t>CONCLUSION</w:t>
      </w:r>
    </w:p>
    <w:p w14:paraId="25D75156" w14:textId="77777777" w:rsidR="00A77B3E" w:rsidRPr="00E549DC" w:rsidRDefault="00B677D4" w:rsidP="00C55EEF">
      <w:pPr>
        <w:adjustRightInd w:val="0"/>
        <w:snapToGrid w:val="0"/>
        <w:spacing w:line="360" w:lineRule="auto"/>
        <w:jc w:val="both"/>
        <w:rPr>
          <w:rFonts w:ascii="Book Antiqua" w:hAnsi="Book Antiqua"/>
        </w:rPr>
      </w:pPr>
      <w:r w:rsidRPr="00E549DC">
        <w:rPr>
          <w:rFonts w:ascii="Book Antiqua" w:eastAsia="Book Antiqua" w:hAnsi="Book Antiqua" w:cs="Book Antiqua"/>
          <w:color w:val="000000"/>
        </w:rPr>
        <w:t>This network meta-analysis of first-line systemic therapies for advanced HCC revealed that atezolizumab plus bevacizumab is associated with the best OS and PFS, but also with a high incidence of discontinuation due to AEs. The results also showed that lenvatinib is associated with the best ORR of all systemic therapies included in the analysis, as well as a relatively high PFS, particularly in patients with HBV-related liver cancer in whom lenvatinib ranked first for PFS, over atezolizumab plus bevacizumab. Therefore, in patients with unresectable advanced HCC, systemic treatment should be selected based on the individualized treatment goals of each patient.</w:t>
      </w:r>
    </w:p>
    <w:p w14:paraId="505812ED" w14:textId="77777777" w:rsidR="00A77B3E" w:rsidRPr="00E549DC" w:rsidRDefault="00A77B3E" w:rsidP="00C55EEF">
      <w:pPr>
        <w:adjustRightInd w:val="0"/>
        <w:snapToGrid w:val="0"/>
        <w:spacing w:line="360" w:lineRule="auto"/>
        <w:jc w:val="both"/>
        <w:rPr>
          <w:rFonts w:ascii="Book Antiqua" w:hAnsi="Book Antiqua"/>
        </w:rPr>
      </w:pPr>
    </w:p>
    <w:p w14:paraId="5DDB0143" w14:textId="77777777" w:rsidR="00A77B3E" w:rsidRPr="00E549DC" w:rsidRDefault="00B677D4" w:rsidP="00C55EEF">
      <w:pPr>
        <w:adjustRightInd w:val="0"/>
        <w:snapToGrid w:val="0"/>
        <w:spacing w:line="360" w:lineRule="auto"/>
        <w:jc w:val="both"/>
        <w:rPr>
          <w:rFonts w:ascii="Book Antiqua" w:hAnsi="Book Antiqua"/>
        </w:rPr>
      </w:pPr>
      <w:r w:rsidRPr="00E549DC">
        <w:rPr>
          <w:rFonts w:ascii="Book Antiqua" w:eastAsia="Book Antiqua" w:hAnsi="Book Antiqua" w:cs="Book Antiqua"/>
          <w:b/>
          <w:caps/>
          <w:color w:val="000000"/>
          <w:u w:val="single"/>
        </w:rPr>
        <w:t>ARTICLE HIGHLIGHTS</w:t>
      </w:r>
    </w:p>
    <w:p w14:paraId="35CC4826" w14:textId="77777777" w:rsidR="00A77B3E" w:rsidRPr="00E549DC" w:rsidRDefault="00B677D4" w:rsidP="00C55EEF">
      <w:pPr>
        <w:adjustRightInd w:val="0"/>
        <w:snapToGrid w:val="0"/>
        <w:spacing w:line="360" w:lineRule="auto"/>
        <w:jc w:val="both"/>
        <w:rPr>
          <w:rFonts w:ascii="Book Antiqua" w:hAnsi="Book Antiqua"/>
        </w:rPr>
      </w:pPr>
      <w:r w:rsidRPr="00E549DC">
        <w:rPr>
          <w:rFonts w:ascii="Book Antiqua" w:eastAsia="Book Antiqua" w:hAnsi="Book Antiqua" w:cs="Book Antiqua"/>
          <w:b/>
          <w:i/>
          <w:color w:val="000000"/>
        </w:rPr>
        <w:t>Research background</w:t>
      </w:r>
    </w:p>
    <w:p w14:paraId="78F8A75A" w14:textId="5E41BF9F" w:rsidR="00A77B3E" w:rsidRPr="00E549DC" w:rsidRDefault="00B677D4" w:rsidP="00C55EEF">
      <w:pPr>
        <w:adjustRightInd w:val="0"/>
        <w:snapToGrid w:val="0"/>
        <w:spacing w:line="360" w:lineRule="auto"/>
        <w:jc w:val="both"/>
        <w:rPr>
          <w:rFonts w:ascii="Book Antiqua" w:hAnsi="Book Antiqua"/>
        </w:rPr>
      </w:pPr>
      <w:r w:rsidRPr="00E549DC">
        <w:rPr>
          <w:rFonts w:ascii="Book Antiqua" w:eastAsia="Book Antiqua" w:hAnsi="Book Antiqua" w:cs="Book Antiqua"/>
          <w:color w:val="000000"/>
        </w:rPr>
        <w:lastRenderedPageBreak/>
        <w:t xml:space="preserve">The recent expansion of first-line systemic therapy options for patients with advanced hepatocellular carcinoma represents a significant advance in the treatment of this disease. However, the majority of clinical trials in first-line hepatocellular carcinoma </w:t>
      </w:r>
      <w:r w:rsidR="00536432" w:rsidRPr="00E549DC">
        <w:rPr>
          <w:rFonts w:ascii="Book Antiqua" w:eastAsia="Book Antiqua" w:hAnsi="Book Antiqua" w:cs="Book Antiqua"/>
          <w:color w:val="000000"/>
        </w:rPr>
        <w:t xml:space="preserve">management </w:t>
      </w:r>
      <w:r w:rsidRPr="00E549DC">
        <w:rPr>
          <w:rFonts w:ascii="Book Antiqua" w:eastAsia="Book Antiqua" w:hAnsi="Book Antiqua" w:cs="Book Antiqua"/>
          <w:color w:val="000000"/>
        </w:rPr>
        <w:t xml:space="preserve">used placebo or sorafenib as comparators, and there are limited data providing a cross comparison of the efficacy and safety of treatments in this setting, especially for newly-approved immune checkpoint inhibitor and </w:t>
      </w:r>
      <w:r w:rsidR="00124A76" w:rsidRPr="00E549DC">
        <w:rPr>
          <w:rFonts w:ascii="Book Antiqua" w:eastAsia="Book Antiqua" w:hAnsi="Book Antiqua" w:cs="Book Antiqua"/>
          <w:color w:val="000000"/>
        </w:rPr>
        <w:t>vascular endothelial growth factor</w:t>
      </w:r>
      <w:r w:rsidRPr="00E549DC">
        <w:rPr>
          <w:rFonts w:ascii="Book Antiqua" w:eastAsia="Book Antiqua" w:hAnsi="Book Antiqua" w:cs="Book Antiqua"/>
          <w:color w:val="000000"/>
        </w:rPr>
        <w:t xml:space="preserve"> inhibitor combination treatments.</w:t>
      </w:r>
    </w:p>
    <w:p w14:paraId="763927D2" w14:textId="77777777" w:rsidR="00A77B3E" w:rsidRPr="00E549DC" w:rsidRDefault="00A77B3E" w:rsidP="00C55EEF">
      <w:pPr>
        <w:adjustRightInd w:val="0"/>
        <w:snapToGrid w:val="0"/>
        <w:spacing w:line="360" w:lineRule="auto"/>
        <w:jc w:val="both"/>
        <w:rPr>
          <w:rFonts w:ascii="Book Antiqua" w:hAnsi="Book Antiqua"/>
        </w:rPr>
      </w:pPr>
    </w:p>
    <w:p w14:paraId="09B99482" w14:textId="77777777" w:rsidR="00A77B3E" w:rsidRPr="00E549DC" w:rsidRDefault="00B677D4" w:rsidP="00C55EEF">
      <w:pPr>
        <w:adjustRightInd w:val="0"/>
        <w:snapToGrid w:val="0"/>
        <w:spacing w:line="360" w:lineRule="auto"/>
        <w:jc w:val="both"/>
        <w:rPr>
          <w:rFonts w:ascii="Book Antiqua" w:hAnsi="Book Antiqua"/>
        </w:rPr>
      </w:pPr>
      <w:r w:rsidRPr="00E549DC">
        <w:rPr>
          <w:rFonts w:ascii="Book Antiqua" w:eastAsia="Book Antiqua" w:hAnsi="Book Antiqua" w:cs="Book Antiqua"/>
          <w:b/>
          <w:i/>
          <w:color w:val="000000"/>
        </w:rPr>
        <w:t>Research motivation</w:t>
      </w:r>
    </w:p>
    <w:p w14:paraId="2F830463" w14:textId="77777777" w:rsidR="00A77B3E" w:rsidRPr="00E549DC" w:rsidRDefault="00B677D4" w:rsidP="00C55EEF">
      <w:pPr>
        <w:adjustRightInd w:val="0"/>
        <w:snapToGrid w:val="0"/>
        <w:spacing w:line="360" w:lineRule="auto"/>
        <w:jc w:val="both"/>
        <w:rPr>
          <w:rFonts w:ascii="Book Antiqua" w:hAnsi="Book Antiqua"/>
        </w:rPr>
      </w:pPr>
      <w:r w:rsidRPr="00E549DC">
        <w:rPr>
          <w:rFonts w:ascii="Book Antiqua" w:eastAsia="Book Antiqua" w:hAnsi="Book Antiqua" w:cs="Book Antiqua"/>
          <w:color w:val="000000"/>
        </w:rPr>
        <w:t>Clinical trials of recently-approved therapies for hepatocellular carcinoma have revealed differing profiles of efficacy and safety, and comparative data to inform selection of first-line treatments for individual patients are limited. Furthermore, although lenvatinib is widely seen as a standard of care in real clinical practice, and is a recommended first-line therapy in most international treatment guidelines, there are limited head-to-head data comparing lenvatinib with other systemic therapies.</w:t>
      </w:r>
    </w:p>
    <w:p w14:paraId="504C168A" w14:textId="77777777" w:rsidR="00A77B3E" w:rsidRPr="00E549DC" w:rsidRDefault="00A77B3E" w:rsidP="00C55EEF">
      <w:pPr>
        <w:adjustRightInd w:val="0"/>
        <w:snapToGrid w:val="0"/>
        <w:spacing w:line="360" w:lineRule="auto"/>
        <w:jc w:val="both"/>
        <w:rPr>
          <w:rFonts w:ascii="Book Antiqua" w:hAnsi="Book Antiqua"/>
        </w:rPr>
      </w:pPr>
    </w:p>
    <w:p w14:paraId="12099E67" w14:textId="77777777" w:rsidR="00A77B3E" w:rsidRPr="00E549DC" w:rsidRDefault="00B677D4" w:rsidP="00C55EEF">
      <w:pPr>
        <w:adjustRightInd w:val="0"/>
        <w:snapToGrid w:val="0"/>
        <w:spacing w:line="360" w:lineRule="auto"/>
        <w:jc w:val="both"/>
        <w:rPr>
          <w:rFonts w:ascii="Book Antiqua" w:hAnsi="Book Antiqua"/>
        </w:rPr>
      </w:pPr>
      <w:r w:rsidRPr="00E549DC">
        <w:rPr>
          <w:rFonts w:ascii="Book Antiqua" w:eastAsia="Book Antiqua" w:hAnsi="Book Antiqua" w:cs="Book Antiqua"/>
          <w:b/>
          <w:i/>
          <w:color w:val="000000"/>
        </w:rPr>
        <w:t>Research objectives</w:t>
      </w:r>
    </w:p>
    <w:p w14:paraId="160E88F9" w14:textId="53AC3FC8" w:rsidR="00A77B3E" w:rsidRPr="00E549DC" w:rsidRDefault="00B677D4" w:rsidP="00C55EEF">
      <w:pPr>
        <w:adjustRightInd w:val="0"/>
        <w:snapToGrid w:val="0"/>
        <w:spacing w:line="360" w:lineRule="auto"/>
        <w:jc w:val="both"/>
        <w:rPr>
          <w:rFonts w:ascii="Book Antiqua" w:hAnsi="Book Antiqua"/>
        </w:rPr>
      </w:pPr>
      <w:r w:rsidRPr="00E549DC">
        <w:rPr>
          <w:rFonts w:ascii="Book Antiqua" w:eastAsia="Book Antiqua" w:hAnsi="Book Antiqua" w:cs="Book Antiqua"/>
          <w:color w:val="000000"/>
        </w:rPr>
        <w:t xml:space="preserve">The objectives of this network meta-analysis were to systematically review and compare the response rates, survival outcomes, and safety of first-line systemic therapies for advanced hepatocellular carcinoma, and to provide a comparison between lenvatinib and other systemic therapies in this setting. The study also included a sub-group analysis of patients with </w:t>
      </w:r>
      <w:r w:rsidR="00124A76" w:rsidRPr="00E549DC">
        <w:rPr>
          <w:rFonts w:ascii="Book Antiqua" w:eastAsia="Book Antiqua" w:hAnsi="Book Antiqua" w:cs="Book Antiqua"/>
          <w:color w:val="000000"/>
        </w:rPr>
        <w:t>hepatitis B virus</w:t>
      </w:r>
      <w:r w:rsidRPr="00E549DC">
        <w:rPr>
          <w:rFonts w:ascii="Book Antiqua" w:eastAsia="Book Antiqua" w:hAnsi="Book Antiqua" w:cs="Book Antiqua"/>
          <w:color w:val="000000"/>
        </w:rPr>
        <w:t xml:space="preserve"> infection, which is an important population in the Asia-Pacific region and has not been covered by other current meta-analyses.</w:t>
      </w:r>
    </w:p>
    <w:p w14:paraId="46A96ABC" w14:textId="77777777" w:rsidR="00A77B3E" w:rsidRPr="00E549DC" w:rsidRDefault="00A77B3E" w:rsidP="00C55EEF">
      <w:pPr>
        <w:adjustRightInd w:val="0"/>
        <w:snapToGrid w:val="0"/>
        <w:spacing w:line="360" w:lineRule="auto"/>
        <w:jc w:val="both"/>
        <w:rPr>
          <w:rFonts w:ascii="Book Antiqua" w:hAnsi="Book Antiqua"/>
        </w:rPr>
      </w:pPr>
    </w:p>
    <w:p w14:paraId="6C708390" w14:textId="77777777" w:rsidR="00A77B3E" w:rsidRPr="00E549DC" w:rsidRDefault="00B677D4" w:rsidP="00C55EEF">
      <w:pPr>
        <w:adjustRightInd w:val="0"/>
        <w:snapToGrid w:val="0"/>
        <w:spacing w:line="360" w:lineRule="auto"/>
        <w:jc w:val="both"/>
        <w:rPr>
          <w:rFonts w:ascii="Book Antiqua" w:hAnsi="Book Antiqua"/>
        </w:rPr>
      </w:pPr>
      <w:r w:rsidRPr="00E549DC">
        <w:rPr>
          <w:rFonts w:ascii="Book Antiqua" w:eastAsia="Book Antiqua" w:hAnsi="Book Antiqua" w:cs="Book Antiqua"/>
          <w:b/>
          <w:i/>
          <w:color w:val="000000"/>
        </w:rPr>
        <w:t>Research methods</w:t>
      </w:r>
    </w:p>
    <w:p w14:paraId="33742047" w14:textId="1D364943" w:rsidR="00A77B3E" w:rsidRPr="00E549DC" w:rsidRDefault="00B677D4" w:rsidP="00C55EEF">
      <w:pPr>
        <w:adjustRightInd w:val="0"/>
        <w:snapToGrid w:val="0"/>
        <w:spacing w:line="360" w:lineRule="auto"/>
        <w:jc w:val="both"/>
        <w:rPr>
          <w:rFonts w:ascii="Book Antiqua" w:hAnsi="Book Antiqua"/>
        </w:rPr>
      </w:pPr>
      <w:r w:rsidRPr="00E549DC">
        <w:rPr>
          <w:rFonts w:ascii="Book Antiqua" w:eastAsia="Book Antiqua" w:hAnsi="Book Antiqua" w:cs="Book Antiqua"/>
          <w:color w:val="000000"/>
        </w:rPr>
        <w:lastRenderedPageBreak/>
        <w:t xml:space="preserve">We searched PubMed, Science Direct, the Cochrane Database, Excerpta Medica Database, and abstracts from the </w:t>
      </w:r>
      <w:r w:rsidR="00124A76" w:rsidRPr="00E549DC">
        <w:rPr>
          <w:rFonts w:ascii="Book Antiqua" w:eastAsia="Book Antiqua" w:hAnsi="Book Antiqua" w:cs="Book Antiqua"/>
          <w:color w:val="000000"/>
        </w:rPr>
        <w:t>American Society of Clinical Oncology</w:t>
      </w:r>
      <w:r w:rsidRPr="00E549DC">
        <w:rPr>
          <w:rFonts w:ascii="Book Antiqua" w:eastAsia="Book Antiqua" w:hAnsi="Book Antiqua" w:cs="Book Antiqua"/>
          <w:color w:val="000000"/>
        </w:rPr>
        <w:t xml:space="preserve"> 2020 annual congress. Eligible studies were randomized controlled trials of systemic therapy enrolling adults with advanced/unresectable hepatocellular carcinoma. A network meta-analysis was used to synthesize data and perform direct and indirect comparisons between treatments for endpoints including (where available) overall response rate, overall survival, progression-free survival, time-to-progression, incidence of Grade ≥ 3 adverse events, incidence of treatment interruptions due to adverse events, and</w:t>
      </w:r>
      <w:r w:rsidR="00536432" w:rsidRPr="00E549DC">
        <w:rPr>
          <w:rFonts w:ascii="Book Antiqua" w:eastAsia="Book Antiqua" w:hAnsi="Book Antiqua" w:cs="Book Antiqua"/>
          <w:color w:val="000000"/>
        </w:rPr>
        <w:t xml:space="preserve"> </w:t>
      </w:r>
      <w:r w:rsidRPr="00E549DC">
        <w:rPr>
          <w:rFonts w:ascii="Book Antiqua" w:eastAsia="Book Antiqua" w:hAnsi="Book Antiqua" w:cs="Book Antiqua"/>
          <w:color w:val="000000"/>
        </w:rPr>
        <w:t>incidence of dose redu</w:t>
      </w:r>
      <w:r w:rsidR="008B736D" w:rsidRPr="00E549DC">
        <w:rPr>
          <w:rFonts w:ascii="Book Antiqua" w:eastAsia="Book Antiqua" w:hAnsi="Book Antiqua" w:cs="Book Antiqua"/>
          <w:color w:val="000000"/>
        </w:rPr>
        <w:t xml:space="preserve">ctions due to adverse events. </w:t>
      </w:r>
      <w:r w:rsidR="008B736D" w:rsidRPr="00E549DC">
        <w:rPr>
          <w:rFonts w:ascii="Book Antiqua" w:eastAsia="Book Antiqua" w:hAnsi="Book Antiqua" w:cs="Book Antiqua"/>
          <w:i/>
          <w:color w:val="000000"/>
        </w:rPr>
        <w:t>P</w:t>
      </w:r>
      <w:r w:rsidR="008B736D" w:rsidRPr="00E549DC">
        <w:rPr>
          <w:rFonts w:ascii="Book Antiqua" w:eastAsia="Book Antiqua" w:hAnsi="Book Antiqua" w:cs="Book Antiqua"/>
          <w:color w:val="000000"/>
        </w:rPr>
        <w:t xml:space="preserve"> value</w:t>
      </w:r>
      <w:r w:rsidRPr="00E549DC">
        <w:rPr>
          <w:rFonts w:ascii="Book Antiqua" w:eastAsia="Book Antiqua" w:hAnsi="Book Antiqua" w:cs="Book Antiqua"/>
          <w:color w:val="000000"/>
        </w:rPr>
        <w:t>, a frequentist analog to the surface under the cumulative ranking curve, was used to rank treatments.</w:t>
      </w:r>
    </w:p>
    <w:p w14:paraId="09070C1A" w14:textId="77777777" w:rsidR="00A77B3E" w:rsidRPr="00E549DC" w:rsidRDefault="00A77B3E" w:rsidP="00C55EEF">
      <w:pPr>
        <w:adjustRightInd w:val="0"/>
        <w:snapToGrid w:val="0"/>
        <w:spacing w:line="360" w:lineRule="auto"/>
        <w:jc w:val="both"/>
        <w:rPr>
          <w:rFonts w:ascii="Book Antiqua" w:hAnsi="Book Antiqua"/>
        </w:rPr>
      </w:pPr>
    </w:p>
    <w:p w14:paraId="6E67FFC8" w14:textId="77777777" w:rsidR="00A77B3E" w:rsidRPr="00E549DC" w:rsidRDefault="00B677D4" w:rsidP="00C55EEF">
      <w:pPr>
        <w:adjustRightInd w:val="0"/>
        <w:snapToGrid w:val="0"/>
        <w:spacing w:line="360" w:lineRule="auto"/>
        <w:jc w:val="both"/>
        <w:rPr>
          <w:rFonts w:ascii="Book Antiqua" w:hAnsi="Book Antiqua"/>
        </w:rPr>
      </w:pPr>
      <w:r w:rsidRPr="00E549DC">
        <w:rPr>
          <w:rFonts w:ascii="Book Antiqua" w:eastAsia="Book Antiqua" w:hAnsi="Book Antiqua" w:cs="Book Antiqua"/>
          <w:b/>
          <w:i/>
          <w:color w:val="000000"/>
        </w:rPr>
        <w:t>Research results</w:t>
      </w:r>
    </w:p>
    <w:p w14:paraId="26CCA0A8" w14:textId="77777777" w:rsidR="00A77B3E" w:rsidRPr="00E549DC" w:rsidRDefault="00B677D4" w:rsidP="00C55EEF">
      <w:pPr>
        <w:adjustRightInd w:val="0"/>
        <w:snapToGrid w:val="0"/>
        <w:spacing w:line="360" w:lineRule="auto"/>
        <w:jc w:val="both"/>
        <w:rPr>
          <w:rFonts w:ascii="Book Antiqua" w:hAnsi="Book Antiqua"/>
        </w:rPr>
      </w:pPr>
      <w:r w:rsidRPr="00E549DC">
        <w:rPr>
          <w:rFonts w:ascii="Book Antiqua" w:eastAsia="Book Antiqua" w:hAnsi="Book Antiqua" w:cs="Book Antiqua"/>
          <w:color w:val="000000"/>
        </w:rPr>
        <w:t>Treatments included in the analysis were atezolizumab plus bevacizumab, brivanib, donafenib, dovitinib, FOLFOX4, lenvatinib, linifanib, nintedanib, nivolumab, sorafenib, sunitinib, vandetanib, 11 sorafenib combination therapies, and three other combination therapies. Atezolizumab plus bevacizumab was ranked first for progression-free survival and overall survival but also had the highest rate of discontinuations due to adverse events. Lenvatinib ranked first for overall response rate and second for progression-free survival. Our findings show that first-line systemic treatment should be selected based on individualized treatment goals and provide valuable comparative data that can help to inform treatment decisions.</w:t>
      </w:r>
    </w:p>
    <w:p w14:paraId="133C1065" w14:textId="77777777" w:rsidR="00A77B3E" w:rsidRPr="00E549DC" w:rsidRDefault="00A77B3E" w:rsidP="00C55EEF">
      <w:pPr>
        <w:adjustRightInd w:val="0"/>
        <w:snapToGrid w:val="0"/>
        <w:spacing w:line="360" w:lineRule="auto"/>
        <w:jc w:val="both"/>
        <w:rPr>
          <w:rFonts w:ascii="Book Antiqua" w:hAnsi="Book Antiqua"/>
        </w:rPr>
      </w:pPr>
    </w:p>
    <w:p w14:paraId="024DB17C" w14:textId="77777777" w:rsidR="00A77B3E" w:rsidRPr="00E549DC" w:rsidRDefault="00B677D4" w:rsidP="00C55EEF">
      <w:pPr>
        <w:adjustRightInd w:val="0"/>
        <w:snapToGrid w:val="0"/>
        <w:spacing w:line="360" w:lineRule="auto"/>
        <w:jc w:val="both"/>
        <w:rPr>
          <w:rFonts w:ascii="Book Antiqua" w:hAnsi="Book Antiqua"/>
        </w:rPr>
      </w:pPr>
      <w:r w:rsidRPr="00E549DC">
        <w:rPr>
          <w:rFonts w:ascii="Book Antiqua" w:eastAsia="Book Antiqua" w:hAnsi="Book Antiqua" w:cs="Book Antiqua"/>
          <w:b/>
          <w:i/>
          <w:color w:val="000000"/>
        </w:rPr>
        <w:t>Research conclusions</w:t>
      </w:r>
    </w:p>
    <w:p w14:paraId="799E9DC3" w14:textId="46A55F4A" w:rsidR="00A77B3E" w:rsidRPr="00E549DC" w:rsidRDefault="00B677D4" w:rsidP="00C55EEF">
      <w:pPr>
        <w:adjustRightInd w:val="0"/>
        <w:snapToGrid w:val="0"/>
        <w:spacing w:line="360" w:lineRule="auto"/>
        <w:jc w:val="both"/>
        <w:rPr>
          <w:rFonts w:ascii="Book Antiqua" w:hAnsi="Book Antiqua"/>
        </w:rPr>
      </w:pPr>
      <w:r w:rsidRPr="00E549DC">
        <w:rPr>
          <w:rFonts w:ascii="Book Antiqua" w:eastAsia="Book Antiqua" w:hAnsi="Book Antiqua" w:cs="Book Antiqua"/>
          <w:color w:val="000000"/>
        </w:rPr>
        <w:t xml:space="preserve">Our findings suggest </w:t>
      </w:r>
      <w:r w:rsidR="00536432" w:rsidRPr="00E549DC">
        <w:rPr>
          <w:rFonts w:ascii="Book Antiqua" w:eastAsia="Book Antiqua" w:hAnsi="Book Antiqua" w:cs="Book Antiqua"/>
          <w:color w:val="000000"/>
        </w:rPr>
        <w:t xml:space="preserve">that </w:t>
      </w:r>
      <w:r w:rsidRPr="00E549DC">
        <w:rPr>
          <w:rFonts w:ascii="Book Antiqua" w:eastAsia="Book Antiqua" w:hAnsi="Book Antiqua" w:cs="Book Antiqua"/>
          <w:color w:val="000000"/>
        </w:rPr>
        <w:t xml:space="preserve">there is no one single first-line treatment for advanced hepatocellular carcinoma associated with superior outcomes across all outcome </w:t>
      </w:r>
      <w:r w:rsidRPr="00E549DC">
        <w:rPr>
          <w:rFonts w:ascii="Book Antiqua" w:eastAsia="Book Antiqua" w:hAnsi="Book Antiqua" w:cs="Book Antiqua"/>
          <w:color w:val="000000"/>
        </w:rPr>
        <w:lastRenderedPageBreak/>
        <w:t>measurements. Therefore, first-line systemic treatment should be selected based on individualized treatment goals.</w:t>
      </w:r>
    </w:p>
    <w:p w14:paraId="55173921" w14:textId="77777777" w:rsidR="00A77B3E" w:rsidRPr="00E549DC" w:rsidRDefault="00A77B3E" w:rsidP="00C55EEF">
      <w:pPr>
        <w:adjustRightInd w:val="0"/>
        <w:snapToGrid w:val="0"/>
        <w:spacing w:line="360" w:lineRule="auto"/>
        <w:jc w:val="both"/>
        <w:rPr>
          <w:rFonts w:ascii="Book Antiqua" w:hAnsi="Book Antiqua"/>
        </w:rPr>
      </w:pPr>
    </w:p>
    <w:p w14:paraId="76F77822" w14:textId="77777777" w:rsidR="00A77B3E" w:rsidRPr="00E549DC" w:rsidRDefault="00B677D4" w:rsidP="00C55EEF">
      <w:pPr>
        <w:adjustRightInd w:val="0"/>
        <w:snapToGrid w:val="0"/>
        <w:spacing w:line="360" w:lineRule="auto"/>
        <w:jc w:val="both"/>
        <w:rPr>
          <w:rFonts w:ascii="Book Antiqua" w:hAnsi="Book Antiqua"/>
        </w:rPr>
      </w:pPr>
      <w:r w:rsidRPr="00E549DC">
        <w:rPr>
          <w:rFonts w:ascii="Book Antiqua" w:eastAsia="Book Antiqua" w:hAnsi="Book Antiqua" w:cs="Book Antiqua"/>
          <w:b/>
          <w:i/>
          <w:color w:val="000000"/>
        </w:rPr>
        <w:t>Research perspectives</w:t>
      </w:r>
    </w:p>
    <w:p w14:paraId="0EC8A5B1" w14:textId="77777777" w:rsidR="00A77B3E" w:rsidRPr="00E549DC" w:rsidRDefault="00B677D4" w:rsidP="00C55EEF">
      <w:pPr>
        <w:adjustRightInd w:val="0"/>
        <w:snapToGrid w:val="0"/>
        <w:spacing w:line="360" w:lineRule="auto"/>
        <w:jc w:val="both"/>
        <w:rPr>
          <w:rFonts w:ascii="Book Antiqua" w:hAnsi="Book Antiqua"/>
        </w:rPr>
      </w:pPr>
      <w:r w:rsidRPr="00E549DC">
        <w:rPr>
          <w:rFonts w:ascii="Book Antiqua" w:eastAsia="Book Antiqua" w:hAnsi="Book Antiqua" w:cs="Book Antiqua"/>
          <w:color w:val="000000"/>
        </w:rPr>
        <w:t>Future research should continue to evaluate new therapeutic strategies for hepatocellular carcinoma in the context of existing treatments, and provide further information to support treatment selection for individual patients.</w:t>
      </w:r>
    </w:p>
    <w:p w14:paraId="42893C29" w14:textId="77777777" w:rsidR="00A77B3E" w:rsidRPr="00E549DC" w:rsidRDefault="00A77B3E" w:rsidP="00C55EEF">
      <w:pPr>
        <w:adjustRightInd w:val="0"/>
        <w:snapToGrid w:val="0"/>
        <w:spacing w:line="360" w:lineRule="auto"/>
        <w:jc w:val="both"/>
        <w:rPr>
          <w:rFonts w:ascii="Book Antiqua" w:hAnsi="Book Antiqua"/>
        </w:rPr>
      </w:pPr>
    </w:p>
    <w:p w14:paraId="25D5C7F7" w14:textId="77777777" w:rsidR="00A77B3E" w:rsidRPr="00E549DC" w:rsidRDefault="00B677D4" w:rsidP="00C55EEF">
      <w:pPr>
        <w:adjustRightInd w:val="0"/>
        <w:snapToGrid w:val="0"/>
        <w:spacing w:line="360" w:lineRule="auto"/>
        <w:jc w:val="both"/>
        <w:rPr>
          <w:rFonts w:ascii="Book Antiqua" w:hAnsi="Book Antiqua"/>
        </w:rPr>
      </w:pPr>
      <w:r w:rsidRPr="00E549DC">
        <w:rPr>
          <w:rFonts w:ascii="Book Antiqua" w:eastAsia="Book Antiqua" w:hAnsi="Book Antiqua" w:cs="Book Antiqua"/>
          <w:b/>
          <w:color w:val="000000"/>
        </w:rPr>
        <w:t>REFERENCES</w:t>
      </w:r>
    </w:p>
    <w:p w14:paraId="60747F11" w14:textId="77777777" w:rsidR="003106BD" w:rsidRPr="00E549DC" w:rsidRDefault="003106BD" w:rsidP="00C55EEF">
      <w:pPr>
        <w:snapToGrid w:val="0"/>
        <w:spacing w:line="360" w:lineRule="auto"/>
        <w:jc w:val="both"/>
        <w:rPr>
          <w:rFonts w:ascii="Book Antiqua" w:hAnsi="Book Antiqua"/>
        </w:rPr>
      </w:pPr>
      <w:bookmarkStart w:id="7" w:name="OLE_LINK18"/>
      <w:bookmarkStart w:id="8" w:name="OLE_LINK21"/>
      <w:r w:rsidRPr="00E549DC">
        <w:rPr>
          <w:rFonts w:ascii="Book Antiqua" w:eastAsia="Book Antiqua" w:hAnsi="Book Antiqua" w:cs="Book Antiqua"/>
          <w:color w:val="000000"/>
        </w:rPr>
        <w:t xml:space="preserve">1 </w:t>
      </w:r>
      <w:r w:rsidRPr="00E549DC">
        <w:rPr>
          <w:rFonts w:ascii="Book Antiqua" w:eastAsia="Book Antiqua" w:hAnsi="Book Antiqua" w:cs="Book Antiqua"/>
          <w:b/>
          <w:bCs/>
          <w:color w:val="000000"/>
        </w:rPr>
        <w:t>Bray F</w:t>
      </w:r>
      <w:r w:rsidRPr="00E549DC">
        <w:rPr>
          <w:rFonts w:ascii="Book Antiqua" w:eastAsia="Book Antiqua" w:hAnsi="Book Antiqua" w:cs="Book Antiqua"/>
          <w:color w:val="000000"/>
        </w:rPr>
        <w:t xml:space="preserve">, Ferlay J, Soerjomataram I, Siegel RL, Torre LA, Jemal A. Global cancer statistics 2018: GLOBOCAN estimates of incidence and mortality worldwide for 36 cancers in 185 countries. </w:t>
      </w:r>
      <w:r w:rsidRPr="00E549DC">
        <w:rPr>
          <w:rFonts w:ascii="Book Antiqua" w:eastAsia="Book Antiqua" w:hAnsi="Book Antiqua" w:cs="Book Antiqua"/>
          <w:i/>
          <w:iCs/>
          <w:color w:val="000000"/>
        </w:rPr>
        <w:t>CA Cancer J Clin</w:t>
      </w:r>
      <w:r w:rsidRPr="00E549DC">
        <w:rPr>
          <w:rFonts w:ascii="Book Antiqua" w:eastAsia="Book Antiqua" w:hAnsi="Book Antiqua" w:cs="Book Antiqua"/>
          <w:color w:val="000000"/>
        </w:rPr>
        <w:t xml:space="preserve"> 2018; </w:t>
      </w:r>
      <w:r w:rsidRPr="00E549DC">
        <w:rPr>
          <w:rFonts w:ascii="Book Antiqua" w:eastAsia="Book Antiqua" w:hAnsi="Book Antiqua" w:cs="Book Antiqua"/>
          <w:b/>
          <w:bCs/>
          <w:color w:val="000000"/>
        </w:rPr>
        <w:t>68</w:t>
      </w:r>
      <w:r w:rsidRPr="00E549DC">
        <w:rPr>
          <w:rFonts w:ascii="Book Antiqua" w:eastAsia="Book Antiqua" w:hAnsi="Book Antiqua" w:cs="Book Antiqua"/>
          <w:color w:val="000000"/>
        </w:rPr>
        <w:t>: 394-424 [PMID: 30207593 DOI: 10.3322/caac.21492]</w:t>
      </w:r>
    </w:p>
    <w:p w14:paraId="703B8CD5" w14:textId="77777777" w:rsidR="003106BD" w:rsidRPr="00E549DC" w:rsidRDefault="003106BD" w:rsidP="00C55EEF">
      <w:pPr>
        <w:snapToGrid w:val="0"/>
        <w:spacing w:line="360" w:lineRule="auto"/>
        <w:jc w:val="both"/>
        <w:rPr>
          <w:rFonts w:ascii="Book Antiqua" w:hAnsi="Book Antiqua"/>
        </w:rPr>
      </w:pPr>
      <w:r w:rsidRPr="00E549DC">
        <w:rPr>
          <w:rFonts w:ascii="Book Antiqua" w:eastAsia="Book Antiqua" w:hAnsi="Book Antiqua" w:cs="Book Antiqua"/>
          <w:color w:val="000000"/>
        </w:rPr>
        <w:t xml:space="preserve">2 </w:t>
      </w:r>
      <w:r w:rsidRPr="00E549DC">
        <w:rPr>
          <w:rFonts w:ascii="Book Antiqua" w:eastAsia="Book Antiqua" w:hAnsi="Book Antiqua" w:cs="Book Antiqua"/>
          <w:b/>
          <w:bCs/>
          <w:color w:val="000000"/>
        </w:rPr>
        <w:t>Zhou M</w:t>
      </w:r>
      <w:r w:rsidRPr="00E549DC">
        <w:rPr>
          <w:rFonts w:ascii="Book Antiqua" w:eastAsia="Book Antiqua" w:hAnsi="Book Antiqua" w:cs="Book Antiqua"/>
          <w:color w:val="000000"/>
        </w:rPr>
        <w:t xml:space="preserve">, Wang H, Zhu J, Chen W, Wang L, Liu S, Li Y, Wang L, Liu Y, Yin P, Liu J, Yu S, Tan F, Barber RM, Coates MM, Dicker D, Fraser M, González-Medina D, Hamavid H, Hao Y, Hu G, Jiang G, Kan H, Lopez AD, Phillips MR, She J, Vos T, Wan X, Xu G, Yan LL, Yu C, Zhao Y, Zheng Y, Zou X, Naghavi M, Wang Y, Murray CJ, Yang G, Liang X. Cause-specific mortality for 240 causes in China during 1990-2013: a systematic subnational analysis for the Global Burden of Disease Study 2013. </w:t>
      </w:r>
      <w:r w:rsidRPr="00E549DC">
        <w:rPr>
          <w:rFonts w:ascii="Book Antiqua" w:eastAsia="Book Antiqua" w:hAnsi="Book Antiqua" w:cs="Book Antiqua"/>
          <w:i/>
          <w:iCs/>
          <w:color w:val="000000"/>
        </w:rPr>
        <w:t>Lancet</w:t>
      </w:r>
      <w:r w:rsidRPr="00E549DC">
        <w:rPr>
          <w:rFonts w:ascii="Book Antiqua" w:eastAsia="Book Antiqua" w:hAnsi="Book Antiqua" w:cs="Book Antiqua"/>
          <w:color w:val="000000"/>
        </w:rPr>
        <w:t xml:space="preserve"> 2016; </w:t>
      </w:r>
      <w:r w:rsidRPr="00E549DC">
        <w:rPr>
          <w:rFonts w:ascii="Book Antiqua" w:eastAsia="Book Antiqua" w:hAnsi="Book Antiqua" w:cs="Book Antiqua"/>
          <w:b/>
          <w:bCs/>
          <w:color w:val="000000"/>
        </w:rPr>
        <w:t>387</w:t>
      </w:r>
      <w:r w:rsidRPr="00E549DC">
        <w:rPr>
          <w:rFonts w:ascii="Book Antiqua" w:eastAsia="Book Antiqua" w:hAnsi="Book Antiqua" w:cs="Book Antiqua"/>
          <w:color w:val="000000"/>
        </w:rPr>
        <w:t>: 251-272 [PMID: 26510778 DOI: 10.1016/S0140-6736(15)00551-6]</w:t>
      </w:r>
    </w:p>
    <w:p w14:paraId="3796C988" w14:textId="77777777" w:rsidR="003106BD" w:rsidRPr="00E549DC" w:rsidRDefault="003106BD" w:rsidP="00C55EEF">
      <w:pPr>
        <w:snapToGrid w:val="0"/>
        <w:spacing w:line="360" w:lineRule="auto"/>
        <w:jc w:val="both"/>
        <w:rPr>
          <w:rFonts w:ascii="Book Antiqua" w:hAnsi="Book Antiqua"/>
        </w:rPr>
      </w:pPr>
      <w:r w:rsidRPr="00E549DC">
        <w:rPr>
          <w:rFonts w:ascii="Book Antiqua" w:eastAsia="Book Antiqua" w:hAnsi="Book Antiqua" w:cs="Book Antiqua"/>
          <w:color w:val="000000"/>
        </w:rPr>
        <w:t xml:space="preserve">3 </w:t>
      </w:r>
      <w:r w:rsidRPr="00E549DC">
        <w:rPr>
          <w:rFonts w:ascii="Book Antiqua" w:eastAsia="Book Antiqua" w:hAnsi="Book Antiqua" w:cs="Book Antiqua"/>
          <w:b/>
          <w:bCs/>
          <w:color w:val="000000"/>
        </w:rPr>
        <w:t>Allemann P</w:t>
      </w:r>
      <w:r w:rsidRPr="00E549DC">
        <w:rPr>
          <w:rFonts w:ascii="Book Antiqua" w:eastAsia="Book Antiqua" w:hAnsi="Book Antiqua" w:cs="Book Antiqua"/>
          <w:color w:val="000000"/>
        </w:rPr>
        <w:t xml:space="preserve">, Demartines N, Bouzourene H, Tempia A, Halkic N. Long-term outcome after liver resection for hepatocellular carcinoma larger than 10 cm. </w:t>
      </w:r>
      <w:r w:rsidRPr="00E549DC">
        <w:rPr>
          <w:rFonts w:ascii="Book Antiqua" w:eastAsia="Book Antiqua" w:hAnsi="Book Antiqua" w:cs="Book Antiqua"/>
          <w:i/>
          <w:iCs/>
          <w:color w:val="000000"/>
        </w:rPr>
        <w:t>World J Surg</w:t>
      </w:r>
      <w:r w:rsidRPr="00E549DC">
        <w:rPr>
          <w:rFonts w:ascii="Book Antiqua" w:eastAsia="Book Antiqua" w:hAnsi="Book Antiqua" w:cs="Book Antiqua"/>
          <w:color w:val="000000"/>
        </w:rPr>
        <w:t xml:space="preserve"> 2013; </w:t>
      </w:r>
      <w:r w:rsidRPr="00E549DC">
        <w:rPr>
          <w:rFonts w:ascii="Book Antiqua" w:eastAsia="Book Antiqua" w:hAnsi="Book Antiqua" w:cs="Book Antiqua"/>
          <w:b/>
          <w:bCs/>
          <w:color w:val="000000"/>
        </w:rPr>
        <w:t>37</w:t>
      </w:r>
      <w:r w:rsidRPr="00E549DC">
        <w:rPr>
          <w:rFonts w:ascii="Book Antiqua" w:eastAsia="Book Antiqua" w:hAnsi="Book Antiqua" w:cs="Book Antiqua"/>
          <w:color w:val="000000"/>
        </w:rPr>
        <w:t>: 452-458 [PMID: 23188527 DOI: 10.1007/s00268-012-1840-5]</w:t>
      </w:r>
    </w:p>
    <w:p w14:paraId="2EBE2D84" w14:textId="6BE7807A" w:rsidR="003106BD" w:rsidRPr="00E549DC" w:rsidRDefault="003106BD" w:rsidP="00C55EEF">
      <w:pPr>
        <w:snapToGrid w:val="0"/>
        <w:spacing w:line="360" w:lineRule="auto"/>
        <w:jc w:val="both"/>
        <w:rPr>
          <w:rFonts w:ascii="Book Antiqua" w:hAnsi="Book Antiqua"/>
        </w:rPr>
      </w:pPr>
      <w:r w:rsidRPr="00E549DC">
        <w:rPr>
          <w:rFonts w:ascii="Book Antiqua" w:eastAsia="Book Antiqua" w:hAnsi="Book Antiqua" w:cs="Book Antiqua"/>
          <w:color w:val="000000"/>
        </w:rPr>
        <w:t xml:space="preserve">4 </w:t>
      </w:r>
      <w:r w:rsidRPr="00E549DC">
        <w:rPr>
          <w:rFonts w:ascii="Book Antiqua" w:eastAsia="Book Antiqua" w:hAnsi="Book Antiqua" w:cs="Book Antiqua"/>
          <w:b/>
          <w:color w:val="000000"/>
        </w:rPr>
        <w:t>National Comprehensive Cancer Network.</w:t>
      </w:r>
      <w:r w:rsidRPr="00E549DC">
        <w:rPr>
          <w:rFonts w:ascii="Book Antiqua" w:eastAsia="Book Antiqua" w:hAnsi="Book Antiqua" w:cs="Book Antiqua"/>
          <w:color w:val="000000"/>
        </w:rPr>
        <w:t xml:space="preserve"> Hepatobiliary cancers 2020</w:t>
      </w:r>
      <w:r w:rsidR="007E2D43" w:rsidRPr="00E549DC">
        <w:rPr>
          <w:rFonts w:ascii="Book Antiqua" w:eastAsia="Book Antiqua" w:hAnsi="Book Antiqua" w:cs="Book Antiqua"/>
          <w:color w:val="000000"/>
        </w:rPr>
        <w:t xml:space="preserve"> [cited 20 March 2021].</w:t>
      </w:r>
      <w:r w:rsidRPr="00E549DC">
        <w:rPr>
          <w:rFonts w:ascii="Book Antiqua" w:eastAsia="Book Antiqua" w:hAnsi="Book Antiqua" w:cs="Book Antiqua"/>
          <w:color w:val="000000"/>
        </w:rPr>
        <w:t xml:space="preserve"> Available from:</w:t>
      </w:r>
      <w:r w:rsidR="00937412" w:rsidRPr="00E549DC">
        <w:rPr>
          <w:rFonts w:ascii="Book Antiqua" w:eastAsia="Book Antiqua" w:hAnsi="Book Antiqua" w:cs="Book Antiqua"/>
          <w:color w:val="000000"/>
        </w:rPr>
        <w:t xml:space="preserve"> </w:t>
      </w:r>
      <w:r w:rsidRPr="00E549DC">
        <w:rPr>
          <w:rFonts w:ascii="Book Antiqua" w:eastAsia="Book Antiqua" w:hAnsi="Book Antiqua" w:cs="Book Antiqua"/>
          <w:color w:val="000000"/>
        </w:rPr>
        <w:t>https://www.abc-directory.com/site/1034756</w:t>
      </w:r>
    </w:p>
    <w:p w14:paraId="50E4E2E4" w14:textId="77777777" w:rsidR="003106BD" w:rsidRPr="00E549DC" w:rsidRDefault="003106BD" w:rsidP="00C55EEF">
      <w:pPr>
        <w:snapToGrid w:val="0"/>
        <w:spacing w:line="360" w:lineRule="auto"/>
        <w:jc w:val="both"/>
        <w:rPr>
          <w:rFonts w:ascii="Book Antiqua" w:hAnsi="Book Antiqua"/>
        </w:rPr>
      </w:pPr>
      <w:r w:rsidRPr="00E549DC">
        <w:rPr>
          <w:rFonts w:ascii="Book Antiqua" w:eastAsia="Book Antiqua" w:hAnsi="Book Antiqua" w:cs="Book Antiqua"/>
          <w:color w:val="000000"/>
        </w:rPr>
        <w:t xml:space="preserve">5 </w:t>
      </w:r>
      <w:r w:rsidRPr="00E549DC">
        <w:rPr>
          <w:rFonts w:ascii="Book Antiqua" w:eastAsia="Book Antiqua" w:hAnsi="Book Antiqua" w:cs="Book Antiqua"/>
          <w:b/>
          <w:bCs/>
          <w:color w:val="000000"/>
        </w:rPr>
        <w:t>Park JW</w:t>
      </w:r>
      <w:r w:rsidRPr="00E549DC">
        <w:rPr>
          <w:rFonts w:ascii="Book Antiqua" w:eastAsia="Book Antiqua" w:hAnsi="Book Antiqua" w:cs="Book Antiqua"/>
          <w:color w:val="000000"/>
        </w:rPr>
        <w:t xml:space="preserve">, Chen M, Colombo M, Roberts LR, Schwartz M, Chen PJ, Kudo M, Johnson P, Wagner S, Orsini LS, Sherman M. Global patterns of hepatocellular </w:t>
      </w:r>
      <w:r w:rsidRPr="00E549DC">
        <w:rPr>
          <w:rFonts w:ascii="Book Antiqua" w:eastAsia="Book Antiqua" w:hAnsi="Book Antiqua" w:cs="Book Antiqua"/>
          <w:color w:val="000000"/>
        </w:rPr>
        <w:lastRenderedPageBreak/>
        <w:t xml:space="preserve">carcinoma management from diagnosis to death: the BRIDGE Study. </w:t>
      </w:r>
      <w:r w:rsidRPr="00E549DC">
        <w:rPr>
          <w:rFonts w:ascii="Book Antiqua" w:eastAsia="Book Antiqua" w:hAnsi="Book Antiqua" w:cs="Book Antiqua"/>
          <w:i/>
          <w:iCs/>
          <w:color w:val="000000"/>
        </w:rPr>
        <w:t>Liver Int</w:t>
      </w:r>
      <w:r w:rsidRPr="00E549DC">
        <w:rPr>
          <w:rFonts w:ascii="Book Antiqua" w:eastAsia="Book Antiqua" w:hAnsi="Book Antiqua" w:cs="Book Antiqua"/>
          <w:color w:val="000000"/>
        </w:rPr>
        <w:t xml:space="preserve"> 2015; </w:t>
      </w:r>
      <w:r w:rsidRPr="00E549DC">
        <w:rPr>
          <w:rFonts w:ascii="Book Antiqua" w:eastAsia="Book Antiqua" w:hAnsi="Book Antiqua" w:cs="Book Antiqua"/>
          <w:b/>
          <w:bCs/>
          <w:color w:val="000000"/>
        </w:rPr>
        <w:t>35</w:t>
      </w:r>
      <w:r w:rsidRPr="00E549DC">
        <w:rPr>
          <w:rFonts w:ascii="Book Antiqua" w:eastAsia="Book Antiqua" w:hAnsi="Book Antiqua" w:cs="Book Antiqua"/>
          <w:color w:val="000000"/>
        </w:rPr>
        <w:t>: 2155-2166 [PMID: 25752327 DOI: 10.1111/Liv.12818]</w:t>
      </w:r>
    </w:p>
    <w:p w14:paraId="77E118AB" w14:textId="77777777" w:rsidR="003106BD" w:rsidRPr="00E549DC" w:rsidRDefault="003106BD" w:rsidP="00C55EEF">
      <w:pPr>
        <w:snapToGrid w:val="0"/>
        <w:spacing w:line="360" w:lineRule="auto"/>
        <w:jc w:val="both"/>
        <w:rPr>
          <w:rFonts w:ascii="Book Antiqua" w:hAnsi="Book Antiqua"/>
        </w:rPr>
      </w:pPr>
      <w:r w:rsidRPr="00E549DC">
        <w:rPr>
          <w:rFonts w:ascii="Book Antiqua" w:eastAsia="Book Antiqua" w:hAnsi="Book Antiqua" w:cs="Book Antiqua"/>
          <w:color w:val="000000"/>
        </w:rPr>
        <w:t xml:space="preserve">6 </w:t>
      </w:r>
      <w:r w:rsidRPr="00E549DC">
        <w:rPr>
          <w:rFonts w:ascii="Book Antiqua" w:eastAsia="Book Antiqua" w:hAnsi="Book Antiqua" w:cs="Book Antiqua"/>
          <w:b/>
          <w:bCs/>
          <w:color w:val="000000"/>
        </w:rPr>
        <w:t>Forner A</w:t>
      </w:r>
      <w:r w:rsidRPr="00E549DC">
        <w:rPr>
          <w:rFonts w:ascii="Book Antiqua" w:eastAsia="Book Antiqua" w:hAnsi="Book Antiqua" w:cs="Book Antiqua"/>
          <w:color w:val="000000"/>
        </w:rPr>
        <w:t xml:space="preserve">, Reig M, Bruix J. Hepatocellular carcinoma. </w:t>
      </w:r>
      <w:r w:rsidRPr="00E549DC">
        <w:rPr>
          <w:rFonts w:ascii="Book Antiqua" w:eastAsia="Book Antiqua" w:hAnsi="Book Antiqua" w:cs="Book Antiqua"/>
          <w:i/>
          <w:iCs/>
          <w:color w:val="000000"/>
        </w:rPr>
        <w:t>Lancet</w:t>
      </w:r>
      <w:r w:rsidRPr="00E549DC">
        <w:rPr>
          <w:rFonts w:ascii="Book Antiqua" w:eastAsia="Book Antiqua" w:hAnsi="Book Antiqua" w:cs="Book Antiqua"/>
          <w:color w:val="000000"/>
        </w:rPr>
        <w:t xml:space="preserve"> 2018; </w:t>
      </w:r>
      <w:r w:rsidRPr="00E549DC">
        <w:rPr>
          <w:rFonts w:ascii="Book Antiqua" w:eastAsia="Book Antiqua" w:hAnsi="Book Antiqua" w:cs="Book Antiqua"/>
          <w:b/>
          <w:bCs/>
          <w:color w:val="000000"/>
        </w:rPr>
        <w:t>391</w:t>
      </w:r>
      <w:r w:rsidRPr="00E549DC">
        <w:rPr>
          <w:rFonts w:ascii="Book Antiqua" w:eastAsia="Book Antiqua" w:hAnsi="Book Antiqua" w:cs="Book Antiqua"/>
          <w:color w:val="000000"/>
        </w:rPr>
        <w:t>: 1301-1314 [PMID: 29307467 DOI: 10.1016/S0140-6736(18)30010-2]</w:t>
      </w:r>
    </w:p>
    <w:p w14:paraId="117C6224" w14:textId="77777777" w:rsidR="003106BD" w:rsidRPr="00E549DC" w:rsidRDefault="003106BD" w:rsidP="00C55EEF">
      <w:pPr>
        <w:snapToGrid w:val="0"/>
        <w:spacing w:line="360" w:lineRule="auto"/>
        <w:jc w:val="both"/>
        <w:rPr>
          <w:rFonts w:ascii="Book Antiqua" w:hAnsi="Book Antiqua"/>
        </w:rPr>
      </w:pPr>
      <w:r w:rsidRPr="00E549DC">
        <w:rPr>
          <w:rFonts w:ascii="Book Antiqua" w:eastAsia="Book Antiqua" w:hAnsi="Book Antiqua" w:cs="Book Antiqua"/>
          <w:color w:val="000000"/>
        </w:rPr>
        <w:t xml:space="preserve">7 </w:t>
      </w:r>
      <w:r w:rsidRPr="00E549DC">
        <w:rPr>
          <w:rFonts w:ascii="Book Antiqua" w:eastAsia="Book Antiqua" w:hAnsi="Book Antiqua" w:cs="Book Antiqua"/>
          <w:b/>
          <w:bCs/>
          <w:color w:val="000000"/>
        </w:rPr>
        <w:t>Li D</w:t>
      </w:r>
      <w:r w:rsidRPr="00E549DC">
        <w:rPr>
          <w:rFonts w:ascii="Book Antiqua" w:eastAsia="Book Antiqua" w:hAnsi="Book Antiqua" w:cs="Book Antiqua"/>
          <w:color w:val="000000"/>
        </w:rPr>
        <w:t xml:space="preserve">, Sedano S, Allen R, Gong J, Cho M, Sharma S. Current Treatment Landscape for Advanced Hepatocellular Carcinoma: Patient Outcomes and the Impact on Quality of Life. </w:t>
      </w:r>
      <w:r w:rsidRPr="00E549DC">
        <w:rPr>
          <w:rFonts w:ascii="Book Antiqua" w:eastAsia="Book Antiqua" w:hAnsi="Book Antiqua" w:cs="Book Antiqua"/>
          <w:i/>
          <w:iCs/>
          <w:color w:val="000000"/>
        </w:rPr>
        <w:t>Cancers (Basel)</w:t>
      </w:r>
      <w:r w:rsidRPr="00E549DC">
        <w:rPr>
          <w:rFonts w:ascii="Book Antiqua" w:eastAsia="Book Antiqua" w:hAnsi="Book Antiqua" w:cs="Book Antiqua"/>
          <w:color w:val="000000"/>
        </w:rPr>
        <w:t xml:space="preserve"> 2019; </w:t>
      </w:r>
      <w:r w:rsidRPr="00E549DC">
        <w:rPr>
          <w:rFonts w:ascii="Book Antiqua" w:eastAsia="Book Antiqua" w:hAnsi="Book Antiqua" w:cs="Book Antiqua"/>
          <w:b/>
          <w:bCs/>
          <w:color w:val="000000"/>
        </w:rPr>
        <w:t>11</w:t>
      </w:r>
      <w:r w:rsidRPr="00E549DC">
        <w:rPr>
          <w:rFonts w:ascii="Book Antiqua" w:eastAsia="Book Antiqua" w:hAnsi="Book Antiqua" w:cs="Book Antiqua"/>
          <w:color w:val="000000"/>
        </w:rPr>
        <w:t xml:space="preserve"> [PMID: 31216701 DOI: 10.3390/cancers11060841]</w:t>
      </w:r>
    </w:p>
    <w:p w14:paraId="6BCDC908" w14:textId="77777777" w:rsidR="003106BD" w:rsidRPr="00E549DC" w:rsidRDefault="003106BD" w:rsidP="00C55EEF">
      <w:pPr>
        <w:snapToGrid w:val="0"/>
        <w:spacing w:line="360" w:lineRule="auto"/>
        <w:jc w:val="both"/>
        <w:rPr>
          <w:rFonts w:ascii="Book Antiqua" w:hAnsi="Book Antiqua"/>
        </w:rPr>
      </w:pPr>
      <w:r w:rsidRPr="00E549DC">
        <w:rPr>
          <w:rFonts w:ascii="Book Antiqua" w:eastAsia="Book Antiqua" w:hAnsi="Book Antiqua" w:cs="Book Antiqua"/>
          <w:color w:val="000000"/>
        </w:rPr>
        <w:t xml:space="preserve">8 </w:t>
      </w:r>
      <w:r w:rsidRPr="00E549DC">
        <w:rPr>
          <w:rFonts w:ascii="Book Antiqua" w:eastAsia="Book Antiqua" w:hAnsi="Book Antiqua" w:cs="Book Antiqua"/>
          <w:b/>
          <w:bCs/>
          <w:color w:val="000000"/>
        </w:rPr>
        <w:t>Bruix J</w:t>
      </w:r>
      <w:r w:rsidRPr="00E549DC">
        <w:rPr>
          <w:rFonts w:ascii="Book Antiqua" w:eastAsia="Book Antiqua" w:hAnsi="Book Antiqua" w:cs="Book Antiqua"/>
          <w:color w:val="000000"/>
        </w:rPr>
        <w:t xml:space="preserve">, Raoul JL, Sherman M, Mazzaferro V, Bolondi L, Craxi A, Galle PR, Santoro A, Beaugrand M, Sangiovanni A, Porta C, Gerken G, Marrero JA, Nadel A, Shan M, Moscovici M, Voliotis D, Llovet JM. Efficacy and safety of sorafenib in patients with advanced hepatocellular carcinoma: subanalyses of a phase III trial. </w:t>
      </w:r>
      <w:r w:rsidRPr="00E549DC">
        <w:rPr>
          <w:rFonts w:ascii="Book Antiqua" w:eastAsia="Book Antiqua" w:hAnsi="Book Antiqua" w:cs="Book Antiqua"/>
          <w:i/>
          <w:iCs/>
          <w:color w:val="000000"/>
        </w:rPr>
        <w:t>J Hepatol</w:t>
      </w:r>
      <w:r w:rsidRPr="00E549DC">
        <w:rPr>
          <w:rFonts w:ascii="Book Antiqua" w:eastAsia="Book Antiqua" w:hAnsi="Book Antiqua" w:cs="Book Antiqua"/>
          <w:color w:val="000000"/>
        </w:rPr>
        <w:t xml:space="preserve"> 2012; </w:t>
      </w:r>
      <w:r w:rsidRPr="00E549DC">
        <w:rPr>
          <w:rFonts w:ascii="Book Antiqua" w:eastAsia="Book Antiqua" w:hAnsi="Book Antiqua" w:cs="Book Antiqua"/>
          <w:b/>
          <w:bCs/>
          <w:color w:val="000000"/>
        </w:rPr>
        <w:t>57</w:t>
      </w:r>
      <w:r w:rsidRPr="00E549DC">
        <w:rPr>
          <w:rFonts w:ascii="Book Antiqua" w:eastAsia="Book Antiqua" w:hAnsi="Book Antiqua" w:cs="Book Antiqua"/>
          <w:color w:val="000000"/>
        </w:rPr>
        <w:t>: 821-829 [PMID: 22727733 DOI: 10.1016/j.jhep.2012.06.014]</w:t>
      </w:r>
    </w:p>
    <w:p w14:paraId="50A61C76" w14:textId="77777777" w:rsidR="003106BD" w:rsidRPr="00E549DC" w:rsidRDefault="003106BD" w:rsidP="00C55EEF">
      <w:pPr>
        <w:snapToGrid w:val="0"/>
        <w:spacing w:line="360" w:lineRule="auto"/>
        <w:jc w:val="both"/>
        <w:rPr>
          <w:rFonts w:ascii="Book Antiqua" w:hAnsi="Book Antiqua"/>
        </w:rPr>
      </w:pPr>
      <w:r w:rsidRPr="00E549DC">
        <w:rPr>
          <w:rFonts w:ascii="Book Antiqua" w:eastAsia="Book Antiqua" w:hAnsi="Book Antiqua" w:cs="Book Antiqua"/>
          <w:color w:val="000000"/>
        </w:rPr>
        <w:t xml:space="preserve">9 </w:t>
      </w:r>
      <w:r w:rsidRPr="00E549DC">
        <w:rPr>
          <w:rFonts w:ascii="Book Antiqua" w:eastAsia="Book Antiqua" w:hAnsi="Book Antiqua" w:cs="Book Antiqua"/>
          <w:b/>
          <w:bCs/>
          <w:color w:val="000000"/>
        </w:rPr>
        <w:t>Bruix J</w:t>
      </w:r>
      <w:r w:rsidRPr="00E549DC">
        <w:rPr>
          <w:rFonts w:ascii="Book Antiqua" w:eastAsia="Book Antiqua" w:hAnsi="Book Antiqua" w:cs="Book Antiqua"/>
          <w:color w:val="000000"/>
        </w:rPr>
        <w:t xml:space="preserve">, da Fonseca LG, Reig M. Insights into the success and failure of systemic therapy for hepatocellular carcinoma. </w:t>
      </w:r>
      <w:r w:rsidRPr="00E549DC">
        <w:rPr>
          <w:rFonts w:ascii="Book Antiqua" w:eastAsia="Book Antiqua" w:hAnsi="Book Antiqua" w:cs="Book Antiqua"/>
          <w:i/>
          <w:iCs/>
          <w:color w:val="000000"/>
        </w:rPr>
        <w:t>Nat Rev Gastroenterol Hepatol</w:t>
      </w:r>
      <w:r w:rsidRPr="00E549DC">
        <w:rPr>
          <w:rFonts w:ascii="Book Antiqua" w:eastAsia="Book Antiqua" w:hAnsi="Book Antiqua" w:cs="Book Antiqua"/>
          <w:color w:val="000000"/>
        </w:rPr>
        <w:t xml:space="preserve"> 2019; </w:t>
      </w:r>
      <w:r w:rsidRPr="00E549DC">
        <w:rPr>
          <w:rFonts w:ascii="Book Antiqua" w:eastAsia="Book Antiqua" w:hAnsi="Book Antiqua" w:cs="Book Antiqua"/>
          <w:b/>
          <w:bCs/>
          <w:color w:val="000000"/>
        </w:rPr>
        <w:t>16</w:t>
      </w:r>
      <w:r w:rsidRPr="00E549DC">
        <w:rPr>
          <w:rFonts w:ascii="Book Antiqua" w:eastAsia="Book Antiqua" w:hAnsi="Book Antiqua" w:cs="Book Antiqua"/>
          <w:color w:val="000000"/>
        </w:rPr>
        <w:t>: 617-630 [PMID: 31371809 DOI: 10.1038/s41575-019-0179-x]</w:t>
      </w:r>
    </w:p>
    <w:p w14:paraId="0F9EABB8" w14:textId="77777777" w:rsidR="003106BD" w:rsidRPr="00E549DC" w:rsidRDefault="003106BD" w:rsidP="00C55EEF">
      <w:pPr>
        <w:snapToGrid w:val="0"/>
        <w:spacing w:line="360" w:lineRule="auto"/>
        <w:jc w:val="both"/>
        <w:rPr>
          <w:rFonts w:ascii="Book Antiqua" w:hAnsi="Book Antiqua"/>
        </w:rPr>
      </w:pPr>
      <w:r w:rsidRPr="00E549DC">
        <w:rPr>
          <w:rFonts w:ascii="Book Antiqua" w:eastAsia="Book Antiqua" w:hAnsi="Book Antiqua" w:cs="Book Antiqua"/>
          <w:color w:val="000000"/>
        </w:rPr>
        <w:t xml:space="preserve">10 </w:t>
      </w:r>
      <w:r w:rsidRPr="00E549DC">
        <w:rPr>
          <w:rFonts w:ascii="Book Antiqua" w:eastAsia="Book Antiqua" w:hAnsi="Book Antiqua" w:cs="Book Antiqua"/>
          <w:b/>
          <w:bCs/>
          <w:color w:val="000000"/>
        </w:rPr>
        <w:t>Kudo M</w:t>
      </w:r>
      <w:r w:rsidRPr="00E549DC">
        <w:rPr>
          <w:rFonts w:ascii="Book Antiqua" w:eastAsia="Book Antiqua" w:hAnsi="Book Antiqua" w:cs="Book Antiqua"/>
          <w:color w:val="000000"/>
        </w:rPr>
        <w:t xml:space="preserve">, Finn RS, Qin S, Han KH, Ikeda K, Piscaglia F, Baron A, Park JW, Han G, Jassem J, Blanc JF, Vogel A, Komov D, Evans TRJ, Lopez C, Dutcus C, Guo M, Saito K, Kraljevic S, Tamai T, Ren M, Cheng AL. Lenvatinib </w:t>
      </w:r>
      <w:r w:rsidRPr="00E549DC">
        <w:rPr>
          <w:rFonts w:ascii="Book Antiqua" w:eastAsia="Book Antiqua" w:hAnsi="Book Antiqua" w:cs="Book Antiqua"/>
          <w:i/>
          <w:iCs/>
          <w:color w:val="000000"/>
        </w:rPr>
        <w:t>vs</w:t>
      </w:r>
      <w:r w:rsidRPr="00E549DC">
        <w:rPr>
          <w:rFonts w:ascii="Book Antiqua" w:eastAsia="Book Antiqua" w:hAnsi="Book Antiqua" w:cs="Book Antiqua"/>
          <w:color w:val="000000"/>
        </w:rPr>
        <w:t xml:space="preserve"> sorafenib in first-line treatment of patients with unresectable hepatocellular carcinoma: a randomised phase 3 non-inferiority trial. </w:t>
      </w:r>
      <w:r w:rsidRPr="00E549DC">
        <w:rPr>
          <w:rFonts w:ascii="Book Antiqua" w:eastAsia="Book Antiqua" w:hAnsi="Book Antiqua" w:cs="Book Antiqua"/>
          <w:i/>
          <w:iCs/>
          <w:color w:val="000000"/>
        </w:rPr>
        <w:t>Lancet</w:t>
      </w:r>
      <w:r w:rsidRPr="00E549DC">
        <w:rPr>
          <w:rFonts w:ascii="Book Antiqua" w:eastAsia="Book Antiqua" w:hAnsi="Book Antiqua" w:cs="Book Antiqua"/>
          <w:color w:val="000000"/>
        </w:rPr>
        <w:t xml:space="preserve"> 2018; </w:t>
      </w:r>
      <w:r w:rsidRPr="00E549DC">
        <w:rPr>
          <w:rFonts w:ascii="Book Antiqua" w:eastAsia="Book Antiqua" w:hAnsi="Book Antiqua" w:cs="Book Antiqua"/>
          <w:b/>
          <w:bCs/>
          <w:color w:val="000000"/>
        </w:rPr>
        <w:t>391</w:t>
      </w:r>
      <w:r w:rsidRPr="00E549DC">
        <w:rPr>
          <w:rFonts w:ascii="Book Antiqua" w:eastAsia="Book Antiqua" w:hAnsi="Book Antiqua" w:cs="Book Antiqua"/>
          <w:color w:val="000000"/>
        </w:rPr>
        <w:t>: 1163-1173 [PMID: 29433850 DOI: 10.1016/S0140-6736(18)30207-1]</w:t>
      </w:r>
    </w:p>
    <w:p w14:paraId="552E64F2" w14:textId="77777777" w:rsidR="003106BD" w:rsidRPr="00E549DC" w:rsidRDefault="003106BD" w:rsidP="00C55EEF">
      <w:pPr>
        <w:snapToGrid w:val="0"/>
        <w:spacing w:line="360" w:lineRule="auto"/>
        <w:jc w:val="both"/>
        <w:rPr>
          <w:rFonts w:ascii="Book Antiqua" w:hAnsi="Book Antiqua"/>
        </w:rPr>
      </w:pPr>
      <w:r w:rsidRPr="00E549DC">
        <w:rPr>
          <w:rFonts w:ascii="Book Antiqua" w:eastAsia="Book Antiqua" w:hAnsi="Book Antiqua" w:cs="Book Antiqua"/>
          <w:color w:val="000000"/>
        </w:rPr>
        <w:t xml:space="preserve">11 </w:t>
      </w:r>
      <w:r w:rsidRPr="00E549DC">
        <w:rPr>
          <w:rFonts w:ascii="Book Antiqua" w:eastAsia="Book Antiqua" w:hAnsi="Book Antiqua" w:cs="Book Antiqua"/>
          <w:b/>
          <w:bCs/>
          <w:color w:val="000000"/>
        </w:rPr>
        <w:t>Finn RS</w:t>
      </w:r>
      <w:r w:rsidRPr="00E549DC">
        <w:rPr>
          <w:rFonts w:ascii="Book Antiqua" w:eastAsia="Book Antiqua" w:hAnsi="Book Antiqua" w:cs="Book Antiqua"/>
          <w:color w:val="000000"/>
        </w:rPr>
        <w:t xml:space="preserve">, Qin S, Ikeda M, Galle PR, Ducreux M, Kim TY, Kudo M, Breder V, Merle P, Kaseb AO, Li D, Verret W, Xu DZ, Hernandez S, Liu J, Huang C, Mulla S, Wang Y, Lim HY, Zhu AX, Cheng AL; IMbrave150 Investigators. Atezolizumab plus Bevacizumab in Unresectable Hepatocellular Carcinoma. </w:t>
      </w:r>
      <w:r w:rsidRPr="00E549DC">
        <w:rPr>
          <w:rFonts w:ascii="Book Antiqua" w:eastAsia="Book Antiqua" w:hAnsi="Book Antiqua" w:cs="Book Antiqua"/>
          <w:i/>
          <w:iCs/>
          <w:color w:val="000000"/>
        </w:rPr>
        <w:t>N Engl J Med</w:t>
      </w:r>
      <w:r w:rsidRPr="00E549DC">
        <w:rPr>
          <w:rFonts w:ascii="Book Antiqua" w:eastAsia="Book Antiqua" w:hAnsi="Book Antiqua" w:cs="Book Antiqua"/>
          <w:color w:val="000000"/>
        </w:rPr>
        <w:t xml:space="preserve"> 2020; </w:t>
      </w:r>
      <w:r w:rsidRPr="00E549DC">
        <w:rPr>
          <w:rFonts w:ascii="Book Antiqua" w:eastAsia="Book Antiqua" w:hAnsi="Book Antiqua" w:cs="Book Antiqua"/>
          <w:b/>
          <w:bCs/>
          <w:color w:val="000000"/>
        </w:rPr>
        <w:t>382</w:t>
      </w:r>
      <w:r w:rsidRPr="00E549DC">
        <w:rPr>
          <w:rFonts w:ascii="Book Antiqua" w:eastAsia="Book Antiqua" w:hAnsi="Book Antiqua" w:cs="Book Antiqua"/>
          <w:color w:val="000000"/>
        </w:rPr>
        <w:t>: 1894-1905 [PMID: 32402160 DOI: 10.1056/NEJMoa1915745]</w:t>
      </w:r>
    </w:p>
    <w:p w14:paraId="6FE36D1B" w14:textId="77777777" w:rsidR="003106BD" w:rsidRPr="00E549DC" w:rsidRDefault="003106BD" w:rsidP="00C55EEF">
      <w:pPr>
        <w:snapToGrid w:val="0"/>
        <w:spacing w:line="360" w:lineRule="auto"/>
        <w:jc w:val="both"/>
        <w:rPr>
          <w:rFonts w:ascii="Book Antiqua" w:hAnsi="Book Antiqua"/>
        </w:rPr>
      </w:pPr>
      <w:r w:rsidRPr="00E549DC">
        <w:rPr>
          <w:rFonts w:ascii="Book Antiqua" w:eastAsia="Book Antiqua" w:hAnsi="Book Antiqua" w:cs="Book Antiqua"/>
          <w:color w:val="000000"/>
        </w:rPr>
        <w:lastRenderedPageBreak/>
        <w:t xml:space="preserve">12 </w:t>
      </w:r>
      <w:r w:rsidRPr="00E549DC">
        <w:rPr>
          <w:rFonts w:ascii="Book Antiqua" w:eastAsia="Book Antiqua" w:hAnsi="Book Antiqua" w:cs="Book Antiqua"/>
          <w:b/>
          <w:bCs/>
          <w:color w:val="000000"/>
        </w:rPr>
        <w:t>Heimbach JK</w:t>
      </w:r>
      <w:r w:rsidRPr="00E549DC">
        <w:rPr>
          <w:rFonts w:ascii="Book Antiqua" w:eastAsia="Book Antiqua" w:hAnsi="Book Antiqua" w:cs="Book Antiqua"/>
          <w:color w:val="000000"/>
        </w:rPr>
        <w:t xml:space="preserve">. Overview of the Updated AASLD Guidelines for the Management of HCC. </w:t>
      </w:r>
      <w:r w:rsidRPr="00E549DC">
        <w:rPr>
          <w:rFonts w:ascii="Book Antiqua" w:eastAsia="Book Antiqua" w:hAnsi="Book Antiqua" w:cs="Book Antiqua"/>
          <w:i/>
          <w:iCs/>
          <w:color w:val="000000"/>
        </w:rPr>
        <w:t>Gastroenterol Hepatol (N Y)</w:t>
      </w:r>
      <w:r w:rsidRPr="00E549DC">
        <w:rPr>
          <w:rFonts w:ascii="Book Antiqua" w:eastAsia="Book Antiqua" w:hAnsi="Book Antiqua" w:cs="Book Antiqua"/>
          <w:color w:val="000000"/>
        </w:rPr>
        <w:t xml:space="preserve"> 2017; </w:t>
      </w:r>
      <w:r w:rsidRPr="00E549DC">
        <w:rPr>
          <w:rFonts w:ascii="Book Antiqua" w:eastAsia="Book Antiqua" w:hAnsi="Book Antiqua" w:cs="Book Antiqua"/>
          <w:b/>
          <w:bCs/>
          <w:color w:val="000000"/>
        </w:rPr>
        <w:t>13</w:t>
      </w:r>
      <w:r w:rsidRPr="00E549DC">
        <w:rPr>
          <w:rFonts w:ascii="Book Antiqua" w:eastAsia="Book Antiqua" w:hAnsi="Book Antiqua" w:cs="Book Antiqua"/>
          <w:color w:val="000000"/>
        </w:rPr>
        <w:t>: 751-753 [PMID: 29339953]</w:t>
      </w:r>
    </w:p>
    <w:p w14:paraId="02DD92CF" w14:textId="77777777" w:rsidR="003106BD" w:rsidRPr="00E549DC" w:rsidRDefault="003106BD" w:rsidP="00C55EEF">
      <w:pPr>
        <w:snapToGrid w:val="0"/>
        <w:spacing w:line="360" w:lineRule="auto"/>
        <w:jc w:val="both"/>
        <w:rPr>
          <w:rFonts w:ascii="Book Antiqua" w:hAnsi="Book Antiqua"/>
        </w:rPr>
      </w:pPr>
      <w:r w:rsidRPr="00E549DC">
        <w:rPr>
          <w:rFonts w:ascii="Book Antiqua" w:eastAsia="Book Antiqua" w:hAnsi="Book Antiqua" w:cs="Book Antiqua"/>
          <w:color w:val="000000"/>
        </w:rPr>
        <w:t xml:space="preserve">13 </w:t>
      </w:r>
      <w:r w:rsidRPr="00E549DC">
        <w:rPr>
          <w:rFonts w:ascii="Book Antiqua" w:eastAsia="Book Antiqua" w:hAnsi="Book Antiqua" w:cs="Book Antiqua"/>
          <w:b/>
          <w:bCs/>
          <w:color w:val="000000"/>
        </w:rPr>
        <w:t>Vogel A</w:t>
      </w:r>
      <w:r w:rsidRPr="00E549DC">
        <w:rPr>
          <w:rFonts w:ascii="Book Antiqua" w:eastAsia="Book Antiqua" w:hAnsi="Book Antiqua" w:cs="Book Antiqua"/>
          <w:color w:val="000000"/>
        </w:rPr>
        <w:t xml:space="preserve">, Cervantes A, Chau I, Daniele B, Llovet JM, Meyer T, Nault JC, Neumann U, Ricke J, Sangro B, Schirmacher P, Verslype C, Zech CJ, Arnold D, Martinelli E; ESMO Guidelines Committee. Hepatocellular carcinoma: ESMO Clinical Practice Guidelines for diagnosis, treatment and follow-up. </w:t>
      </w:r>
      <w:r w:rsidRPr="00E549DC">
        <w:rPr>
          <w:rFonts w:ascii="Book Antiqua" w:eastAsia="Book Antiqua" w:hAnsi="Book Antiqua" w:cs="Book Antiqua"/>
          <w:i/>
          <w:iCs/>
          <w:color w:val="000000"/>
        </w:rPr>
        <w:t>Ann Oncol</w:t>
      </w:r>
      <w:r w:rsidRPr="00E549DC">
        <w:rPr>
          <w:rFonts w:ascii="Book Antiqua" w:eastAsia="Book Antiqua" w:hAnsi="Book Antiqua" w:cs="Book Antiqua"/>
          <w:color w:val="000000"/>
        </w:rPr>
        <w:t xml:space="preserve"> 2018; </w:t>
      </w:r>
      <w:r w:rsidRPr="00E549DC">
        <w:rPr>
          <w:rFonts w:ascii="Book Antiqua" w:eastAsia="Book Antiqua" w:hAnsi="Book Antiqua" w:cs="Book Antiqua"/>
          <w:b/>
          <w:bCs/>
          <w:color w:val="000000"/>
        </w:rPr>
        <w:t>29</w:t>
      </w:r>
      <w:r w:rsidRPr="00E549DC">
        <w:rPr>
          <w:rFonts w:ascii="Book Antiqua" w:eastAsia="Book Antiqua" w:hAnsi="Book Antiqua" w:cs="Book Antiqua"/>
          <w:color w:val="000000"/>
        </w:rPr>
        <w:t>: iv238-iv255 [PMID: 30285213 DOI: 10.1093/annonc/mdy308]</w:t>
      </w:r>
    </w:p>
    <w:p w14:paraId="0955B531" w14:textId="77777777" w:rsidR="003106BD" w:rsidRPr="00E549DC" w:rsidRDefault="003106BD" w:rsidP="00C55EEF">
      <w:pPr>
        <w:snapToGrid w:val="0"/>
        <w:spacing w:line="360" w:lineRule="auto"/>
        <w:jc w:val="both"/>
        <w:rPr>
          <w:rFonts w:ascii="Book Antiqua" w:hAnsi="Book Antiqua"/>
        </w:rPr>
      </w:pPr>
      <w:r w:rsidRPr="00E549DC">
        <w:rPr>
          <w:rFonts w:ascii="Book Antiqua" w:eastAsia="Book Antiqua" w:hAnsi="Book Antiqua" w:cs="Book Antiqua"/>
          <w:color w:val="000000"/>
        </w:rPr>
        <w:t xml:space="preserve">14 </w:t>
      </w:r>
      <w:r w:rsidRPr="00E549DC">
        <w:rPr>
          <w:rFonts w:ascii="Book Antiqua" w:eastAsia="Book Antiqua" w:hAnsi="Book Antiqua" w:cs="Book Antiqua"/>
          <w:b/>
          <w:bCs/>
          <w:color w:val="000000"/>
        </w:rPr>
        <w:t>Kudo M</w:t>
      </w:r>
      <w:r w:rsidRPr="00E549DC">
        <w:rPr>
          <w:rFonts w:ascii="Book Antiqua" w:eastAsia="Book Antiqua" w:hAnsi="Book Antiqua" w:cs="Book Antiqua"/>
          <w:color w:val="000000"/>
        </w:rPr>
        <w:t xml:space="preserve">. Systemic Therapy for Hepatocellular Carcinoma: Latest Advances. </w:t>
      </w:r>
      <w:r w:rsidRPr="00E549DC">
        <w:rPr>
          <w:rFonts w:ascii="Book Antiqua" w:eastAsia="Book Antiqua" w:hAnsi="Book Antiqua" w:cs="Book Antiqua"/>
          <w:i/>
          <w:iCs/>
          <w:color w:val="000000"/>
        </w:rPr>
        <w:t>Cancers (Basel)</w:t>
      </w:r>
      <w:r w:rsidRPr="00E549DC">
        <w:rPr>
          <w:rFonts w:ascii="Book Antiqua" w:eastAsia="Book Antiqua" w:hAnsi="Book Antiqua" w:cs="Book Antiqua"/>
          <w:color w:val="000000"/>
        </w:rPr>
        <w:t xml:space="preserve"> 2018; </w:t>
      </w:r>
      <w:r w:rsidRPr="00E549DC">
        <w:rPr>
          <w:rFonts w:ascii="Book Antiqua" w:eastAsia="Book Antiqua" w:hAnsi="Book Antiqua" w:cs="Book Antiqua"/>
          <w:b/>
          <w:bCs/>
          <w:color w:val="000000"/>
        </w:rPr>
        <w:t>10</w:t>
      </w:r>
      <w:r w:rsidRPr="00E549DC">
        <w:rPr>
          <w:rFonts w:ascii="Book Antiqua" w:eastAsia="Book Antiqua" w:hAnsi="Book Antiqua" w:cs="Book Antiqua"/>
          <w:color w:val="000000"/>
        </w:rPr>
        <w:t xml:space="preserve"> [PMID: 30380773 DOI: 10.3390/cancers10110412]</w:t>
      </w:r>
    </w:p>
    <w:p w14:paraId="3814CFCD" w14:textId="77777777" w:rsidR="003106BD" w:rsidRPr="00E549DC" w:rsidRDefault="003106BD" w:rsidP="00C55EEF">
      <w:pPr>
        <w:snapToGrid w:val="0"/>
        <w:spacing w:line="360" w:lineRule="auto"/>
        <w:jc w:val="both"/>
        <w:rPr>
          <w:rFonts w:ascii="Book Antiqua" w:hAnsi="Book Antiqua"/>
        </w:rPr>
      </w:pPr>
      <w:r w:rsidRPr="00E549DC">
        <w:rPr>
          <w:rFonts w:ascii="Book Antiqua" w:eastAsia="Book Antiqua" w:hAnsi="Book Antiqua" w:cs="Book Antiqua"/>
          <w:color w:val="000000"/>
        </w:rPr>
        <w:t xml:space="preserve">15 </w:t>
      </w:r>
      <w:r w:rsidRPr="00E549DC">
        <w:rPr>
          <w:rFonts w:ascii="Book Antiqua" w:eastAsia="Book Antiqua" w:hAnsi="Book Antiqua" w:cs="Book Antiqua"/>
          <w:b/>
          <w:bCs/>
          <w:color w:val="000000"/>
        </w:rPr>
        <w:t>Ding W</w:t>
      </w:r>
      <w:r w:rsidRPr="00E549DC">
        <w:rPr>
          <w:rFonts w:ascii="Book Antiqua" w:eastAsia="Book Antiqua" w:hAnsi="Book Antiqua" w:cs="Book Antiqua"/>
          <w:color w:val="000000"/>
        </w:rPr>
        <w:t xml:space="preserve">, Tan Y, Qian Y, Xue W, Wang Y, Jiang P, Xu X. First-line targ veted therapies of advanced hepatocellular carcinoma: A Bayesian network analysis of randomized controlled trials. </w:t>
      </w:r>
      <w:r w:rsidRPr="00E549DC">
        <w:rPr>
          <w:rFonts w:ascii="Book Antiqua" w:eastAsia="Book Antiqua" w:hAnsi="Book Antiqua" w:cs="Book Antiqua"/>
          <w:i/>
          <w:iCs/>
          <w:color w:val="000000"/>
        </w:rPr>
        <w:t>PLoS One</w:t>
      </w:r>
      <w:r w:rsidRPr="00E549DC">
        <w:rPr>
          <w:rFonts w:ascii="Book Antiqua" w:eastAsia="Book Antiqua" w:hAnsi="Book Antiqua" w:cs="Book Antiqua"/>
          <w:color w:val="000000"/>
        </w:rPr>
        <w:t xml:space="preserve"> 2020; </w:t>
      </w:r>
      <w:r w:rsidRPr="00E549DC">
        <w:rPr>
          <w:rFonts w:ascii="Book Antiqua" w:eastAsia="Book Antiqua" w:hAnsi="Book Antiqua" w:cs="Book Antiqua"/>
          <w:b/>
          <w:bCs/>
          <w:color w:val="000000"/>
        </w:rPr>
        <w:t>15</w:t>
      </w:r>
      <w:r w:rsidRPr="00E549DC">
        <w:rPr>
          <w:rFonts w:ascii="Book Antiqua" w:eastAsia="Book Antiqua" w:hAnsi="Book Antiqua" w:cs="Book Antiqua"/>
          <w:color w:val="000000"/>
        </w:rPr>
        <w:t>: e0229492 [PMID: 32134981 DOI: 10.1371/journal.pone.0229492]</w:t>
      </w:r>
    </w:p>
    <w:p w14:paraId="1174C262" w14:textId="77777777" w:rsidR="003106BD" w:rsidRPr="00E549DC" w:rsidRDefault="003106BD" w:rsidP="00C55EEF">
      <w:pPr>
        <w:snapToGrid w:val="0"/>
        <w:spacing w:line="360" w:lineRule="auto"/>
        <w:jc w:val="both"/>
        <w:rPr>
          <w:rFonts w:ascii="Book Antiqua" w:hAnsi="Book Antiqua"/>
        </w:rPr>
      </w:pPr>
      <w:r w:rsidRPr="00E549DC">
        <w:rPr>
          <w:rFonts w:ascii="Book Antiqua" w:eastAsia="Book Antiqua" w:hAnsi="Book Antiqua" w:cs="Book Antiqua"/>
          <w:color w:val="000000"/>
        </w:rPr>
        <w:t xml:space="preserve">16 </w:t>
      </w:r>
      <w:r w:rsidRPr="00E549DC">
        <w:rPr>
          <w:rFonts w:ascii="Book Antiqua" w:eastAsia="Book Antiqua" w:hAnsi="Book Antiqua" w:cs="Book Antiqua"/>
          <w:b/>
          <w:bCs/>
          <w:color w:val="000000"/>
        </w:rPr>
        <w:t>Sonbol MB</w:t>
      </w:r>
      <w:r w:rsidRPr="00E549DC">
        <w:rPr>
          <w:rFonts w:ascii="Book Antiqua" w:eastAsia="Book Antiqua" w:hAnsi="Book Antiqua" w:cs="Book Antiqua"/>
          <w:color w:val="000000"/>
        </w:rPr>
        <w:t xml:space="preserve">, Riaz IB, Naqvi SAA, Almquist DR, Mina S, Almasri J, Shah S, Almader-Douglas D, Uson Junior PLS, Mahipal A, Ma WW, Jin Z, Mody K, Starr J, Borad MJ, Ahn DH, Murad MH, Bekaii-Saab T. Systemic Therapy and Sequencing Options in Advanced Hepatocellular Carcinoma: A Systematic Review and Network Meta-analysis. </w:t>
      </w:r>
      <w:r w:rsidRPr="00E549DC">
        <w:rPr>
          <w:rFonts w:ascii="Book Antiqua" w:eastAsia="Book Antiqua" w:hAnsi="Book Antiqua" w:cs="Book Antiqua"/>
          <w:i/>
          <w:iCs/>
          <w:color w:val="000000"/>
        </w:rPr>
        <w:t>JAMA Oncol</w:t>
      </w:r>
      <w:r w:rsidRPr="00E549DC">
        <w:rPr>
          <w:rFonts w:ascii="Book Antiqua" w:eastAsia="Book Antiqua" w:hAnsi="Book Antiqua" w:cs="Book Antiqua"/>
          <w:color w:val="000000"/>
        </w:rPr>
        <w:t xml:space="preserve"> 2020; </w:t>
      </w:r>
      <w:r w:rsidRPr="00E549DC">
        <w:rPr>
          <w:rFonts w:ascii="Book Antiqua" w:eastAsia="Book Antiqua" w:hAnsi="Book Antiqua" w:cs="Book Antiqua"/>
          <w:b/>
          <w:bCs/>
          <w:color w:val="000000"/>
        </w:rPr>
        <w:t>6</w:t>
      </w:r>
      <w:r w:rsidRPr="00E549DC">
        <w:rPr>
          <w:rFonts w:ascii="Book Antiqua" w:eastAsia="Book Antiqua" w:hAnsi="Book Antiqua" w:cs="Book Antiqua"/>
          <w:color w:val="000000"/>
        </w:rPr>
        <w:t>: e204930 [PMID: 33090186 DOI: 10.1001/jamaoncol.2020.4930]</w:t>
      </w:r>
    </w:p>
    <w:p w14:paraId="4751E8C4" w14:textId="4D7DACA2" w:rsidR="003106BD" w:rsidRPr="00E549DC" w:rsidRDefault="003106BD" w:rsidP="00C55EEF">
      <w:pPr>
        <w:snapToGrid w:val="0"/>
        <w:spacing w:line="360" w:lineRule="auto"/>
        <w:jc w:val="both"/>
        <w:rPr>
          <w:rFonts w:ascii="Book Antiqua" w:hAnsi="Book Antiqua"/>
        </w:rPr>
      </w:pPr>
      <w:r w:rsidRPr="00E549DC">
        <w:rPr>
          <w:rFonts w:ascii="Book Antiqua" w:eastAsia="Book Antiqua" w:hAnsi="Book Antiqua" w:cs="Book Antiqua"/>
          <w:color w:val="000000"/>
        </w:rPr>
        <w:t xml:space="preserve">17 </w:t>
      </w:r>
      <w:r w:rsidR="00937412" w:rsidRPr="00E549DC">
        <w:rPr>
          <w:rFonts w:ascii="Book Antiqua" w:eastAsia="Book Antiqua" w:hAnsi="Book Antiqua" w:cs="Book Antiqua"/>
          <w:b/>
          <w:bCs/>
          <w:color w:val="000000"/>
        </w:rPr>
        <w:t>B</w:t>
      </w:r>
      <w:r w:rsidRPr="00E549DC">
        <w:rPr>
          <w:rFonts w:ascii="Book Antiqua" w:eastAsia="Book Antiqua" w:hAnsi="Book Antiqua" w:cs="Book Antiqua"/>
          <w:b/>
          <w:bCs/>
          <w:color w:val="000000"/>
        </w:rPr>
        <w:t>i F,</w:t>
      </w:r>
      <w:r w:rsidRPr="00E549DC">
        <w:rPr>
          <w:rFonts w:ascii="Book Antiqua" w:eastAsia="Book Antiqua" w:hAnsi="Book Antiqua" w:cs="Book Antiqua"/>
          <w:color w:val="000000"/>
        </w:rPr>
        <w:t xml:space="preserve"> Qin SK, Gu SZ, Bai YX, Chen ZD, Wang ZS, Ying J, Lu YY,</w:t>
      </w:r>
      <w:r w:rsidR="007E2D43" w:rsidRPr="00E549DC">
        <w:rPr>
          <w:rFonts w:ascii="Book Antiqua" w:eastAsia="Book Antiqua" w:hAnsi="Book Antiqua" w:cs="Book Antiqua"/>
          <w:color w:val="000000"/>
        </w:rPr>
        <w:t xml:space="preserve"> </w:t>
      </w:r>
      <w:r w:rsidRPr="00E549DC">
        <w:rPr>
          <w:rFonts w:ascii="Book Antiqua" w:eastAsia="Book Antiqua" w:hAnsi="Book Antiqua" w:cs="Book Antiqua"/>
          <w:color w:val="000000"/>
        </w:rPr>
        <w:t>Meng ZHQ, Pan HM, Yang P, Zhang HL, Chen X, Xu AB, Liu XF, Meng Q, Wu LQ, Chen F.</w:t>
      </w:r>
      <w:r w:rsidR="007E2D43" w:rsidRPr="00E549DC">
        <w:rPr>
          <w:rFonts w:ascii="Book Antiqua" w:eastAsia="Book Antiqua" w:hAnsi="Book Antiqua" w:cs="Book Antiqua"/>
          <w:color w:val="000000"/>
        </w:rPr>
        <w:t xml:space="preserve"> </w:t>
      </w:r>
      <w:bookmarkStart w:id="9" w:name="OLE_LINK9"/>
      <w:bookmarkStart w:id="10" w:name="OLE_LINK10"/>
      <w:bookmarkStart w:id="11" w:name="OLE_LINK11"/>
      <w:r w:rsidRPr="00E549DC">
        <w:rPr>
          <w:rFonts w:ascii="Book Antiqua" w:eastAsia="Book Antiqua" w:hAnsi="Book Antiqua" w:cs="Book Antiqua"/>
          <w:color w:val="000000"/>
        </w:rPr>
        <w:t xml:space="preserve">Donafenib </w:t>
      </w:r>
      <w:r w:rsidRPr="00E549DC">
        <w:rPr>
          <w:rFonts w:ascii="Book Antiqua" w:eastAsia="Book Antiqua" w:hAnsi="Book Antiqua" w:cs="Book Antiqua"/>
          <w:i/>
          <w:iCs/>
          <w:color w:val="000000"/>
        </w:rPr>
        <w:t>vs</w:t>
      </w:r>
      <w:r w:rsidRPr="00E549DC">
        <w:rPr>
          <w:rFonts w:ascii="Book Antiqua" w:eastAsia="Book Antiqua" w:hAnsi="Book Antiqua" w:cs="Book Antiqua"/>
          <w:color w:val="000000"/>
        </w:rPr>
        <w:t xml:space="preserve"> Sorafenib as first-line therapy in advanced hepatocellular carcinoma: an open-label, randomized, multicentre phase II/III trial</w:t>
      </w:r>
      <w:bookmarkEnd w:id="9"/>
      <w:bookmarkEnd w:id="10"/>
      <w:bookmarkEnd w:id="11"/>
      <w:r w:rsidRPr="00E549DC">
        <w:rPr>
          <w:rFonts w:ascii="Book Antiqua" w:eastAsia="Book Antiqua" w:hAnsi="Book Antiqua" w:cs="Book Antiqua"/>
          <w:color w:val="000000"/>
        </w:rPr>
        <w:t xml:space="preserve">. </w:t>
      </w:r>
      <w:r w:rsidRPr="00E549DC">
        <w:rPr>
          <w:rFonts w:ascii="Book Antiqua" w:eastAsia="Book Antiqua" w:hAnsi="Book Antiqua" w:cs="Book Antiqua"/>
          <w:i/>
          <w:color w:val="000000"/>
        </w:rPr>
        <w:t>J Clin Oncol</w:t>
      </w:r>
      <w:r w:rsidR="007E2D43" w:rsidRPr="00E549DC">
        <w:rPr>
          <w:rFonts w:ascii="Book Antiqua" w:eastAsia="Book Antiqua" w:hAnsi="Book Antiqua" w:cs="Book Antiqua"/>
          <w:i/>
          <w:color w:val="000000"/>
        </w:rPr>
        <w:t xml:space="preserve"> </w:t>
      </w:r>
      <w:r w:rsidR="007E2D43" w:rsidRPr="00E549DC">
        <w:rPr>
          <w:rFonts w:ascii="Book Antiqua" w:eastAsia="Book Antiqua" w:hAnsi="Book Antiqua" w:cs="Book Antiqua"/>
          <w:color w:val="000000"/>
        </w:rPr>
        <w:t>2020;</w:t>
      </w:r>
      <w:r w:rsidRPr="00E549DC">
        <w:rPr>
          <w:rFonts w:ascii="Book Antiqua" w:eastAsia="Book Antiqua" w:hAnsi="Book Antiqua" w:cs="Book Antiqua"/>
          <w:color w:val="000000"/>
        </w:rPr>
        <w:t xml:space="preserve"> </w:t>
      </w:r>
      <w:r w:rsidRPr="00E549DC">
        <w:rPr>
          <w:rFonts w:ascii="Book Antiqua" w:eastAsia="Book Antiqua" w:hAnsi="Book Antiqua" w:cs="Book Antiqua"/>
          <w:b/>
          <w:color w:val="000000"/>
        </w:rPr>
        <w:t>38</w:t>
      </w:r>
      <w:r w:rsidRPr="00E549DC">
        <w:rPr>
          <w:rFonts w:ascii="Book Antiqua" w:eastAsia="Book Antiqua" w:hAnsi="Book Antiqua" w:cs="Book Antiqua"/>
          <w:color w:val="000000"/>
        </w:rPr>
        <w:t>: 4506-4506 [</w:t>
      </w:r>
      <w:bookmarkStart w:id="12" w:name="OLE_LINK7"/>
      <w:bookmarkStart w:id="13" w:name="OLE_LINK8"/>
      <w:r w:rsidRPr="00E549DC">
        <w:rPr>
          <w:rFonts w:ascii="Book Antiqua" w:eastAsia="Book Antiqua" w:hAnsi="Book Antiqua" w:cs="Book Antiqua"/>
          <w:color w:val="000000"/>
        </w:rPr>
        <w:t>DOI: 10.1200/JCO.2020.38.15_suppl.4506</w:t>
      </w:r>
      <w:bookmarkEnd w:id="12"/>
      <w:bookmarkEnd w:id="13"/>
      <w:r w:rsidRPr="00E549DC">
        <w:rPr>
          <w:rFonts w:ascii="Book Antiqua" w:eastAsia="Book Antiqua" w:hAnsi="Book Antiqua" w:cs="Book Antiqua"/>
          <w:color w:val="000000"/>
        </w:rPr>
        <w:t>]</w:t>
      </w:r>
    </w:p>
    <w:p w14:paraId="2C5B85C4" w14:textId="77777777" w:rsidR="003106BD" w:rsidRPr="00E549DC" w:rsidRDefault="003106BD" w:rsidP="00C55EEF">
      <w:pPr>
        <w:snapToGrid w:val="0"/>
        <w:spacing w:line="360" w:lineRule="auto"/>
        <w:jc w:val="both"/>
        <w:rPr>
          <w:rFonts w:ascii="Book Antiqua" w:hAnsi="Book Antiqua"/>
        </w:rPr>
      </w:pPr>
      <w:r w:rsidRPr="00E549DC">
        <w:rPr>
          <w:rFonts w:ascii="Book Antiqua" w:eastAsia="Book Antiqua" w:hAnsi="Book Antiqua" w:cs="Book Antiqua"/>
          <w:color w:val="000000"/>
        </w:rPr>
        <w:t xml:space="preserve">18 </w:t>
      </w:r>
      <w:r w:rsidRPr="00E549DC">
        <w:rPr>
          <w:rFonts w:ascii="Book Antiqua" w:eastAsia="Book Antiqua" w:hAnsi="Book Antiqua" w:cs="Book Antiqua"/>
          <w:b/>
          <w:bCs/>
          <w:color w:val="000000"/>
        </w:rPr>
        <w:t>Higgins JP</w:t>
      </w:r>
      <w:r w:rsidRPr="00E549DC">
        <w:rPr>
          <w:rFonts w:ascii="Book Antiqua" w:eastAsia="Book Antiqua" w:hAnsi="Book Antiqua" w:cs="Book Antiqua"/>
          <w:color w:val="000000"/>
        </w:rPr>
        <w:t xml:space="preserve">, Altman DG, Gøtzsche PC, Jüni P, Moher D, Oxman AD, Savovic J, Schulz KF, Weeks L, Sterne JA; Cochrane Bias Methods Group; Cochrane Statistical Methods Group. The Cochrane Collaboration's tool for assessing risk </w:t>
      </w:r>
      <w:r w:rsidRPr="00E549DC">
        <w:rPr>
          <w:rFonts w:ascii="Book Antiqua" w:eastAsia="Book Antiqua" w:hAnsi="Book Antiqua" w:cs="Book Antiqua"/>
          <w:color w:val="000000"/>
        </w:rPr>
        <w:lastRenderedPageBreak/>
        <w:t xml:space="preserve">of bias in randomised trials. </w:t>
      </w:r>
      <w:r w:rsidRPr="00E549DC">
        <w:rPr>
          <w:rFonts w:ascii="Book Antiqua" w:eastAsia="Book Antiqua" w:hAnsi="Book Antiqua" w:cs="Book Antiqua"/>
          <w:i/>
          <w:iCs/>
          <w:color w:val="000000"/>
        </w:rPr>
        <w:t>BMJ</w:t>
      </w:r>
      <w:r w:rsidRPr="00E549DC">
        <w:rPr>
          <w:rFonts w:ascii="Book Antiqua" w:eastAsia="Book Antiqua" w:hAnsi="Book Antiqua" w:cs="Book Antiqua"/>
          <w:color w:val="000000"/>
        </w:rPr>
        <w:t xml:space="preserve"> 2011; </w:t>
      </w:r>
      <w:r w:rsidRPr="00E549DC">
        <w:rPr>
          <w:rFonts w:ascii="Book Antiqua" w:eastAsia="Book Antiqua" w:hAnsi="Book Antiqua" w:cs="Book Antiqua"/>
          <w:b/>
          <w:bCs/>
          <w:color w:val="000000"/>
        </w:rPr>
        <w:t>343</w:t>
      </w:r>
      <w:r w:rsidRPr="00E549DC">
        <w:rPr>
          <w:rFonts w:ascii="Book Antiqua" w:eastAsia="Book Antiqua" w:hAnsi="Book Antiqua" w:cs="Book Antiqua"/>
          <w:color w:val="000000"/>
        </w:rPr>
        <w:t>: d5928 [PMID: 22008217 DOI: 10.1136/bmj.d5928]</w:t>
      </w:r>
    </w:p>
    <w:p w14:paraId="4E276C85" w14:textId="77777777" w:rsidR="003106BD" w:rsidRPr="00E549DC" w:rsidRDefault="003106BD" w:rsidP="00C55EEF">
      <w:pPr>
        <w:snapToGrid w:val="0"/>
        <w:spacing w:line="360" w:lineRule="auto"/>
        <w:jc w:val="both"/>
        <w:rPr>
          <w:rFonts w:ascii="Book Antiqua" w:hAnsi="Book Antiqua"/>
        </w:rPr>
      </w:pPr>
      <w:r w:rsidRPr="00E549DC">
        <w:rPr>
          <w:rFonts w:ascii="Book Antiqua" w:eastAsia="Book Antiqua" w:hAnsi="Book Antiqua" w:cs="Book Antiqua"/>
          <w:color w:val="000000"/>
        </w:rPr>
        <w:t xml:space="preserve">19 </w:t>
      </w:r>
      <w:r w:rsidRPr="00E549DC">
        <w:rPr>
          <w:rFonts w:ascii="Book Antiqua" w:eastAsia="Book Antiqua" w:hAnsi="Book Antiqua" w:cs="Book Antiqua"/>
          <w:b/>
          <w:bCs/>
          <w:color w:val="000000"/>
        </w:rPr>
        <w:t>Rücker G</w:t>
      </w:r>
      <w:r w:rsidRPr="00E549DC">
        <w:rPr>
          <w:rFonts w:ascii="Book Antiqua" w:eastAsia="Book Antiqua" w:hAnsi="Book Antiqua" w:cs="Book Antiqua"/>
          <w:color w:val="000000"/>
        </w:rPr>
        <w:t xml:space="preserve">. Network meta-analysis, electrical networks and graph theory. </w:t>
      </w:r>
      <w:r w:rsidRPr="00E549DC">
        <w:rPr>
          <w:rFonts w:ascii="Book Antiqua" w:eastAsia="Book Antiqua" w:hAnsi="Book Antiqua" w:cs="Book Antiqua"/>
          <w:i/>
          <w:iCs/>
          <w:color w:val="000000"/>
        </w:rPr>
        <w:t>Res Synth Methods</w:t>
      </w:r>
      <w:r w:rsidRPr="00E549DC">
        <w:rPr>
          <w:rFonts w:ascii="Book Antiqua" w:eastAsia="Book Antiqua" w:hAnsi="Book Antiqua" w:cs="Book Antiqua"/>
          <w:color w:val="000000"/>
        </w:rPr>
        <w:t xml:space="preserve"> 2012; </w:t>
      </w:r>
      <w:r w:rsidRPr="00E549DC">
        <w:rPr>
          <w:rFonts w:ascii="Book Antiqua" w:eastAsia="Book Antiqua" w:hAnsi="Book Antiqua" w:cs="Book Antiqua"/>
          <w:b/>
          <w:bCs/>
          <w:color w:val="000000"/>
        </w:rPr>
        <w:t>3</w:t>
      </w:r>
      <w:r w:rsidRPr="00E549DC">
        <w:rPr>
          <w:rFonts w:ascii="Book Antiqua" w:eastAsia="Book Antiqua" w:hAnsi="Book Antiqua" w:cs="Book Antiqua"/>
          <w:color w:val="000000"/>
        </w:rPr>
        <w:t>: 312-324 [PMID: 26053424 DOI: 10.1002/jrsm.1058]</w:t>
      </w:r>
    </w:p>
    <w:p w14:paraId="597B0C9F" w14:textId="77777777" w:rsidR="003106BD" w:rsidRPr="00E549DC" w:rsidRDefault="003106BD" w:rsidP="00C55EEF">
      <w:pPr>
        <w:snapToGrid w:val="0"/>
        <w:spacing w:line="360" w:lineRule="auto"/>
        <w:jc w:val="both"/>
        <w:rPr>
          <w:rFonts w:ascii="Book Antiqua" w:hAnsi="Book Antiqua"/>
        </w:rPr>
      </w:pPr>
      <w:r w:rsidRPr="00E549DC">
        <w:rPr>
          <w:rFonts w:ascii="Book Antiqua" w:eastAsia="Book Antiqua" w:hAnsi="Book Antiqua" w:cs="Book Antiqua"/>
          <w:color w:val="000000"/>
        </w:rPr>
        <w:t xml:space="preserve">20 </w:t>
      </w:r>
      <w:r w:rsidRPr="00E549DC">
        <w:rPr>
          <w:rFonts w:ascii="Book Antiqua" w:eastAsia="Book Antiqua" w:hAnsi="Book Antiqua" w:cs="Book Antiqua"/>
          <w:b/>
          <w:bCs/>
          <w:color w:val="000000"/>
        </w:rPr>
        <w:t>Rücker G</w:t>
      </w:r>
      <w:r w:rsidRPr="00E549DC">
        <w:rPr>
          <w:rFonts w:ascii="Book Antiqua" w:eastAsia="Book Antiqua" w:hAnsi="Book Antiqua" w:cs="Book Antiqua"/>
          <w:color w:val="000000"/>
        </w:rPr>
        <w:t xml:space="preserve">, Schwarzer G. Reduce dimension or reduce weights? Comparing two approaches to multi-arm studies in network meta-analysis. </w:t>
      </w:r>
      <w:r w:rsidRPr="00E549DC">
        <w:rPr>
          <w:rFonts w:ascii="Book Antiqua" w:eastAsia="Book Antiqua" w:hAnsi="Book Antiqua" w:cs="Book Antiqua"/>
          <w:i/>
          <w:iCs/>
          <w:color w:val="000000"/>
        </w:rPr>
        <w:t>Stat Med</w:t>
      </w:r>
      <w:r w:rsidRPr="00E549DC">
        <w:rPr>
          <w:rFonts w:ascii="Book Antiqua" w:eastAsia="Book Antiqua" w:hAnsi="Book Antiqua" w:cs="Book Antiqua"/>
          <w:color w:val="000000"/>
        </w:rPr>
        <w:t xml:space="preserve"> 2014; </w:t>
      </w:r>
      <w:r w:rsidRPr="00E549DC">
        <w:rPr>
          <w:rFonts w:ascii="Book Antiqua" w:eastAsia="Book Antiqua" w:hAnsi="Book Antiqua" w:cs="Book Antiqua"/>
          <w:b/>
          <w:bCs/>
          <w:color w:val="000000"/>
        </w:rPr>
        <w:t>33</w:t>
      </w:r>
      <w:r w:rsidRPr="00E549DC">
        <w:rPr>
          <w:rFonts w:ascii="Book Antiqua" w:eastAsia="Book Antiqua" w:hAnsi="Book Antiqua" w:cs="Book Antiqua"/>
          <w:color w:val="000000"/>
        </w:rPr>
        <w:t>: 4353-4369 [PMID: 24942211 DOI: 10.1002/sim.6236]</w:t>
      </w:r>
    </w:p>
    <w:p w14:paraId="60A01596" w14:textId="77777777" w:rsidR="003106BD" w:rsidRPr="00E549DC" w:rsidRDefault="003106BD" w:rsidP="00C55EEF">
      <w:pPr>
        <w:snapToGrid w:val="0"/>
        <w:spacing w:line="360" w:lineRule="auto"/>
        <w:jc w:val="both"/>
        <w:rPr>
          <w:rFonts w:ascii="Book Antiqua" w:hAnsi="Book Antiqua"/>
        </w:rPr>
      </w:pPr>
      <w:r w:rsidRPr="00E549DC">
        <w:rPr>
          <w:rFonts w:ascii="Book Antiqua" w:eastAsia="Book Antiqua" w:hAnsi="Book Antiqua" w:cs="Book Antiqua"/>
          <w:color w:val="000000"/>
        </w:rPr>
        <w:t xml:space="preserve">21 </w:t>
      </w:r>
      <w:r w:rsidRPr="00E549DC">
        <w:rPr>
          <w:rFonts w:ascii="Book Antiqua" w:eastAsia="Book Antiqua" w:hAnsi="Book Antiqua" w:cs="Book Antiqua"/>
          <w:b/>
          <w:bCs/>
          <w:color w:val="000000"/>
        </w:rPr>
        <w:t>Rücker G</w:t>
      </w:r>
      <w:r w:rsidRPr="00E549DC">
        <w:rPr>
          <w:rFonts w:ascii="Book Antiqua" w:eastAsia="Book Antiqua" w:hAnsi="Book Antiqua" w:cs="Book Antiqua"/>
          <w:color w:val="000000"/>
        </w:rPr>
        <w:t xml:space="preserve">, Schwarzer G. Ranking treatments in frequentist network meta-analysis works without resampling methods. </w:t>
      </w:r>
      <w:r w:rsidRPr="00E549DC">
        <w:rPr>
          <w:rFonts w:ascii="Book Antiqua" w:eastAsia="Book Antiqua" w:hAnsi="Book Antiqua" w:cs="Book Antiqua"/>
          <w:i/>
          <w:iCs/>
          <w:color w:val="000000"/>
        </w:rPr>
        <w:t>BMC Med Res Methodol</w:t>
      </w:r>
      <w:r w:rsidRPr="00E549DC">
        <w:rPr>
          <w:rFonts w:ascii="Book Antiqua" w:eastAsia="Book Antiqua" w:hAnsi="Book Antiqua" w:cs="Book Antiqua"/>
          <w:color w:val="000000"/>
        </w:rPr>
        <w:t xml:space="preserve"> 2015; </w:t>
      </w:r>
      <w:r w:rsidRPr="00E549DC">
        <w:rPr>
          <w:rFonts w:ascii="Book Antiqua" w:eastAsia="Book Antiqua" w:hAnsi="Book Antiqua" w:cs="Book Antiqua"/>
          <w:b/>
          <w:bCs/>
          <w:color w:val="000000"/>
        </w:rPr>
        <w:t>15</w:t>
      </w:r>
      <w:r w:rsidRPr="00E549DC">
        <w:rPr>
          <w:rFonts w:ascii="Book Antiqua" w:eastAsia="Book Antiqua" w:hAnsi="Book Antiqua" w:cs="Book Antiqua"/>
          <w:color w:val="000000"/>
        </w:rPr>
        <w:t>: 58 [PMID: 26227148 DOI: 10.1186/s12874-015-0060-8]</w:t>
      </w:r>
    </w:p>
    <w:p w14:paraId="786915EC" w14:textId="77777777" w:rsidR="003106BD" w:rsidRPr="00E549DC" w:rsidRDefault="003106BD" w:rsidP="00C55EEF">
      <w:pPr>
        <w:snapToGrid w:val="0"/>
        <w:spacing w:line="360" w:lineRule="auto"/>
        <w:jc w:val="both"/>
        <w:rPr>
          <w:rFonts w:ascii="Book Antiqua" w:hAnsi="Book Antiqua"/>
        </w:rPr>
      </w:pPr>
      <w:r w:rsidRPr="00E549DC">
        <w:rPr>
          <w:rFonts w:ascii="Book Antiqua" w:eastAsia="Book Antiqua" w:hAnsi="Book Antiqua" w:cs="Book Antiqua"/>
          <w:color w:val="000000"/>
        </w:rPr>
        <w:t xml:space="preserve">22 </w:t>
      </w:r>
      <w:r w:rsidRPr="00E549DC">
        <w:rPr>
          <w:rFonts w:ascii="Book Antiqua" w:eastAsia="Book Antiqua" w:hAnsi="Book Antiqua" w:cs="Book Antiqua"/>
          <w:b/>
          <w:bCs/>
          <w:color w:val="000000"/>
        </w:rPr>
        <w:t>Johnson PJ</w:t>
      </w:r>
      <w:r w:rsidRPr="00E549DC">
        <w:rPr>
          <w:rFonts w:ascii="Book Antiqua" w:eastAsia="Book Antiqua" w:hAnsi="Book Antiqua" w:cs="Book Antiqua"/>
          <w:color w:val="000000"/>
        </w:rPr>
        <w:t xml:space="preserve">, Qin S, Park JW, Poon RT, Raoul JL, Philip PA, Hsu CH, Hu TH, Heo J, Xu J, Lu L, Chao Y, Boucher E, Han KH, Paik SW, Robles-Aviña J, Kudo M, Yan L, Sobhonslidsuk A, Komov D, Decaens T, Tak WY, Jeng LB, Liu D, Ezzeddine R, Walters I, Cheng AL. Brivanib </w:t>
      </w:r>
      <w:r w:rsidRPr="00E549DC">
        <w:rPr>
          <w:rFonts w:ascii="Book Antiqua" w:eastAsia="Book Antiqua" w:hAnsi="Book Antiqua" w:cs="Book Antiqua"/>
          <w:i/>
          <w:iCs/>
          <w:color w:val="000000"/>
        </w:rPr>
        <w:t>vs</w:t>
      </w:r>
      <w:r w:rsidRPr="00E549DC">
        <w:rPr>
          <w:rFonts w:ascii="Book Antiqua" w:eastAsia="Book Antiqua" w:hAnsi="Book Antiqua" w:cs="Book Antiqua"/>
          <w:color w:val="000000"/>
        </w:rPr>
        <w:t xml:space="preserve"> sorafenib as first-line therapy in patients with unresectable, advanced hepatocellular carcinoma: results from the randomized phase III BRISK-FL study. </w:t>
      </w:r>
      <w:r w:rsidRPr="00E549DC">
        <w:rPr>
          <w:rFonts w:ascii="Book Antiqua" w:eastAsia="Book Antiqua" w:hAnsi="Book Antiqua" w:cs="Book Antiqua"/>
          <w:i/>
          <w:iCs/>
          <w:color w:val="000000"/>
        </w:rPr>
        <w:t>J Clin Oncol</w:t>
      </w:r>
      <w:r w:rsidRPr="00E549DC">
        <w:rPr>
          <w:rFonts w:ascii="Book Antiqua" w:eastAsia="Book Antiqua" w:hAnsi="Book Antiqua" w:cs="Book Antiqua"/>
          <w:color w:val="000000"/>
        </w:rPr>
        <w:t xml:space="preserve"> 2013; </w:t>
      </w:r>
      <w:r w:rsidRPr="00E549DC">
        <w:rPr>
          <w:rFonts w:ascii="Book Antiqua" w:eastAsia="Book Antiqua" w:hAnsi="Book Antiqua" w:cs="Book Antiqua"/>
          <w:b/>
          <w:bCs/>
          <w:color w:val="000000"/>
        </w:rPr>
        <w:t>31</w:t>
      </w:r>
      <w:r w:rsidRPr="00E549DC">
        <w:rPr>
          <w:rFonts w:ascii="Book Antiqua" w:eastAsia="Book Antiqua" w:hAnsi="Book Antiqua" w:cs="Book Antiqua"/>
          <w:color w:val="000000"/>
        </w:rPr>
        <w:t>: 3517-3524 [PMID: 23980084 DOI: 10.1200/JCO.2012.48.4410]</w:t>
      </w:r>
    </w:p>
    <w:p w14:paraId="727AF74B" w14:textId="4C0220CF" w:rsidR="003106BD" w:rsidRPr="00E549DC" w:rsidRDefault="003106BD" w:rsidP="00C55EEF">
      <w:pPr>
        <w:snapToGrid w:val="0"/>
        <w:spacing w:line="360" w:lineRule="auto"/>
        <w:jc w:val="both"/>
        <w:rPr>
          <w:rFonts w:ascii="Book Antiqua" w:hAnsi="Book Antiqua"/>
        </w:rPr>
      </w:pPr>
      <w:r w:rsidRPr="00E549DC">
        <w:rPr>
          <w:rFonts w:ascii="Book Antiqua" w:eastAsia="Book Antiqua" w:hAnsi="Book Antiqua" w:cs="Book Antiqua"/>
          <w:color w:val="000000"/>
        </w:rPr>
        <w:t xml:space="preserve">23 </w:t>
      </w:r>
      <w:r w:rsidRPr="00E549DC">
        <w:rPr>
          <w:rFonts w:ascii="Book Antiqua" w:eastAsia="Book Antiqua" w:hAnsi="Book Antiqua" w:cs="Book Antiqua"/>
          <w:b/>
          <w:bCs/>
          <w:color w:val="000000"/>
        </w:rPr>
        <w:t>Yau T,</w:t>
      </w:r>
      <w:r w:rsidRPr="00E549DC">
        <w:rPr>
          <w:rFonts w:ascii="Book Antiqua" w:eastAsia="Book Antiqua" w:hAnsi="Book Antiqua" w:cs="Book Antiqua"/>
          <w:color w:val="000000"/>
        </w:rPr>
        <w:t xml:space="preserve"> Park JW, Finn RS, Cheng AL, Mathurin P, Edeline J, Kudo M, Han KH, Harding JJ, Merle P, Rosmorduc O, Wyrwicz L, Schott E, Choo SP, Kelley RK, Begic D, Chen G, Neely J, Anderson J, Sangro B. </w:t>
      </w:r>
      <w:bookmarkStart w:id="14" w:name="OLE_LINK12"/>
      <w:bookmarkStart w:id="15" w:name="OLE_LINK13"/>
      <w:r w:rsidRPr="00E549DC">
        <w:rPr>
          <w:rFonts w:ascii="Book Antiqua" w:eastAsia="Book Antiqua" w:hAnsi="Book Antiqua" w:cs="Book Antiqua"/>
          <w:color w:val="000000"/>
        </w:rPr>
        <w:t xml:space="preserve">CheckMate 459: A randomized, multi-center phase III study of nivolumab (NIVO) </w:t>
      </w:r>
      <w:r w:rsidRPr="00E549DC">
        <w:rPr>
          <w:rFonts w:ascii="Book Antiqua" w:eastAsia="Book Antiqua" w:hAnsi="Book Antiqua" w:cs="Book Antiqua"/>
          <w:i/>
          <w:iCs/>
          <w:color w:val="000000"/>
        </w:rPr>
        <w:t>vs</w:t>
      </w:r>
      <w:r w:rsidRPr="00E549DC">
        <w:rPr>
          <w:rFonts w:ascii="Book Antiqua" w:eastAsia="Book Antiqua" w:hAnsi="Book Antiqua" w:cs="Book Antiqua"/>
          <w:color w:val="000000"/>
        </w:rPr>
        <w:t xml:space="preserve"> sorafenib (SOR) as first-line (1L) treatment in patients (pts) with advanced hepatocellular carcinoma (aHCC)</w:t>
      </w:r>
      <w:bookmarkEnd w:id="14"/>
      <w:bookmarkEnd w:id="15"/>
      <w:r w:rsidRPr="00E549DC">
        <w:rPr>
          <w:rFonts w:ascii="Book Antiqua" w:eastAsia="Book Antiqua" w:hAnsi="Book Antiqua" w:cs="Book Antiqua"/>
          <w:color w:val="000000"/>
        </w:rPr>
        <w:t xml:space="preserve">. </w:t>
      </w:r>
      <w:r w:rsidR="007E2D43" w:rsidRPr="00E549DC">
        <w:rPr>
          <w:rFonts w:ascii="Book Antiqua" w:eastAsia="Book Antiqua" w:hAnsi="Book Antiqua" w:cs="Book Antiqua"/>
          <w:i/>
          <w:color w:val="000000"/>
        </w:rPr>
        <w:t>Ann</w:t>
      </w:r>
      <w:r w:rsidRPr="00E549DC">
        <w:rPr>
          <w:rFonts w:ascii="Book Antiqua" w:eastAsia="Book Antiqua" w:hAnsi="Book Antiqua" w:cs="Book Antiqua"/>
          <w:i/>
          <w:color w:val="000000"/>
        </w:rPr>
        <w:t xml:space="preserve"> Oncol</w:t>
      </w:r>
      <w:r w:rsidRPr="00E549DC">
        <w:rPr>
          <w:rFonts w:ascii="Book Antiqua" w:eastAsia="Book Antiqua" w:hAnsi="Book Antiqua" w:cs="Book Antiqua"/>
          <w:color w:val="000000"/>
        </w:rPr>
        <w:t xml:space="preserve"> 2019; </w:t>
      </w:r>
      <w:r w:rsidRPr="00E549DC">
        <w:rPr>
          <w:rFonts w:ascii="Book Antiqua" w:eastAsia="Book Antiqua" w:hAnsi="Book Antiqua" w:cs="Book Antiqua"/>
          <w:b/>
          <w:color w:val="000000"/>
        </w:rPr>
        <w:t>30:</w:t>
      </w:r>
      <w:r w:rsidR="007E2D43" w:rsidRPr="00E549DC">
        <w:rPr>
          <w:rFonts w:ascii="Book Antiqua" w:eastAsia="Book Antiqua" w:hAnsi="Book Antiqua" w:cs="Book Antiqua"/>
          <w:color w:val="000000"/>
        </w:rPr>
        <w:t xml:space="preserve"> 874 [DOI: 10.1093/annonc/mdz394.029]</w:t>
      </w:r>
    </w:p>
    <w:p w14:paraId="726DDC1F" w14:textId="77777777" w:rsidR="003106BD" w:rsidRPr="00E549DC" w:rsidRDefault="003106BD" w:rsidP="00C55EEF">
      <w:pPr>
        <w:snapToGrid w:val="0"/>
        <w:spacing w:line="360" w:lineRule="auto"/>
        <w:jc w:val="both"/>
        <w:rPr>
          <w:rFonts w:ascii="Book Antiqua" w:hAnsi="Book Antiqua"/>
        </w:rPr>
      </w:pPr>
      <w:r w:rsidRPr="00E549DC">
        <w:rPr>
          <w:rFonts w:ascii="Book Antiqua" w:eastAsia="Book Antiqua" w:hAnsi="Book Antiqua" w:cs="Book Antiqua"/>
          <w:color w:val="000000"/>
        </w:rPr>
        <w:t xml:space="preserve">24 </w:t>
      </w:r>
      <w:r w:rsidRPr="00E549DC">
        <w:rPr>
          <w:rFonts w:ascii="Book Antiqua" w:eastAsia="Book Antiqua" w:hAnsi="Book Antiqua" w:cs="Book Antiqua"/>
          <w:b/>
          <w:bCs/>
          <w:color w:val="000000"/>
        </w:rPr>
        <w:t>Cainap C</w:t>
      </w:r>
      <w:r w:rsidRPr="00E549DC">
        <w:rPr>
          <w:rFonts w:ascii="Book Antiqua" w:eastAsia="Book Antiqua" w:hAnsi="Book Antiqua" w:cs="Book Antiqua"/>
          <w:color w:val="000000"/>
        </w:rPr>
        <w:t xml:space="preserve">, Qin S, Huang WT, Chung IJ, Pan H, Cheng Y, Kudo M, Kang YK, Chen PJ, Toh HC, Gorbunova V, Eskens FA, Qian J, McKee MD, Ricker JL, Carlson DM, El-Nowiem S. Linifanib </w:t>
      </w:r>
      <w:r w:rsidRPr="00E549DC">
        <w:rPr>
          <w:rFonts w:ascii="Book Antiqua" w:eastAsia="Book Antiqua" w:hAnsi="Book Antiqua" w:cs="Book Antiqua"/>
          <w:i/>
          <w:iCs/>
          <w:color w:val="000000"/>
        </w:rPr>
        <w:t>vs</w:t>
      </w:r>
      <w:r w:rsidRPr="00E549DC">
        <w:rPr>
          <w:rFonts w:ascii="Book Antiqua" w:eastAsia="Book Antiqua" w:hAnsi="Book Antiqua" w:cs="Book Antiqua"/>
          <w:color w:val="000000"/>
        </w:rPr>
        <w:t xml:space="preserve"> Sorafenib in patients with advanced hepatocellular carcinoma: results of a randomized phase III trial. </w:t>
      </w:r>
      <w:r w:rsidRPr="00E549DC">
        <w:rPr>
          <w:rFonts w:ascii="Book Antiqua" w:eastAsia="Book Antiqua" w:hAnsi="Book Antiqua" w:cs="Book Antiqua"/>
          <w:i/>
          <w:iCs/>
          <w:color w:val="000000"/>
        </w:rPr>
        <w:t>J Clin Oncol</w:t>
      </w:r>
      <w:r w:rsidRPr="00E549DC">
        <w:rPr>
          <w:rFonts w:ascii="Book Antiqua" w:eastAsia="Book Antiqua" w:hAnsi="Book Antiqua" w:cs="Book Antiqua"/>
          <w:color w:val="000000"/>
        </w:rPr>
        <w:t xml:space="preserve"> 2015; </w:t>
      </w:r>
      <w:r w:rsidRPr="00E549DC">
        <w:rPr>
          <w:rFonts w:ascii="Book Antiqua" w:eastAsia="Book Antiqua" w:hAnsi="Book Antiqua" w:cs="Book Antiqua"/>
          <w:b/>
          <w:bCs/>
          <w:color w:val="000000"/>
        </w:rPr>
        <w:t>33</w:t>
      </w:r>
      <w:r w:rsidRPr="00E549DC">
        <w:rPr>
          <w:rFonts w:ascii="Book Antiqua" w:eastAsia="Book Antiqua" w:hAnsi="Book Antiqua" w:cs="Book Antiqua"/>
          <w:color w:val="000000"/>
        </w:rPr>
        <w:t>: 172-179 [PMID: 25488963 DOI: 10.1200/JCO.2013.54.3298]</w:t>
      </w:r>
    </w:p>
    <w:p w14:paraId="7BA29668" w14:textId="77777777" w:rsidR="003106BD" w:rsidRPr="00E549DC" w:rsidRDefault="003106BD" w:rsidP="00C55EEF">
      <w:pPr>
        <w:snapToGrid w:val="0"/>
        <w:spacing w:line="360" w:lineRule="auto"/>
        <w:jc w:val="both"/>
        <w:rPr>
          <w:rFonts w:ascii="Book Antiqua" w:hAnsi="Book Antiqua"/>
        </w:rPr>
      </w:pPr>
      <w:r w:rsidRPr="00E549DC">
        <w:rPr>
          <w:rFonts w:ascii="Book Antiqua" w:eastAsia="Book Antiqua" w:hAnsi="Book Antiqua" w:cs="Book Antiqua"/>
          <w:color w:val="000000"/>
        </w:rPr>
        <w:lastRenderedPageBreak/>
        <w:t xml:space="preserve">25 </w:t>
      </w:r>
      <w:r w:rsidRPr="00E549DC">
        <w:rPr>
          <w:rFonts w:ascii="Book Antiqua" w:eastAsia="Book Antiqua" w:hAnsi="Book Antiqua" w:cs="Book Antiqua"/>
          <w:b/>
          <w:bCs/>
          <w:color w:val="000000"/>
        </w:rPr>
        <w:t>Cheng AL</w:t>
      </w:r>
      <w:r w:rsidRPr="00E549DC">
        <w:rPr>
          <w:rFonts w:ascii="Book Antiqua" w:eastAsia="Book Antiqua" w:hAnsi="Book Antiqua" w:cs="Book Antiqua"/>
          <w:color w:val="000000"/>
        </w:rPr>
        <w:t xml:space="preserve">, Kang YK, Chen Z, Tsao CJ, Qin S, Kim JS, Luo R, Feng J, Ye S, Yang TS, Xu J, Sun Y, Liang H, Liu J, Wang J, Tak WY, Pan H, Burock K, Zou J, Voliotis D, Guan Z. Efficacy and safety of sorafenib in patients in the Asia-Pacific region with advanced hepatocellular carcinoma: a phase III randomised, double-blind, placebo-controlled trial. </w:t>
      </w:r>
      <w:r w:rsidRPr="00E549DC">
        <w:rPr>
          <w:rFonts w:ascii="Book Antiqua" w:eastAsia="Book Antiqua" w:hAnsi="Book Antiqua" w:cs="Book Antiqua"/>
          <w:i/>
          <w:iCs/>
          <w:color w:val="000000"/>
        </w:rPr>
        <w:t>Lancet Oncol</w:t>
      </w:r>
      <w:r w:rsidRPr="00E549DC">
        <w:rPr>
          <w:rFonts w:ascii="Book Antiqua" w:eastAsia="Book Antiqua" w:hAnsi="Book Antiqua" w:cs="Book Antiqua"/>
          <w:color w:val="000000"/>
        </w:rPr>
        <w:t xml:space="preserve"> 2009; </w:t>
      </w:r>
      <w:r w:rsidRPr="00E549DC">
        <w:rPr>
          <w:rFonts w:ascii="Book Antiqua" w:eastAsia="Book Antiqua" w:hAnsi="Book Antiqua" w:cs="Book Antiqua"/>
          <w:b/>
          <w:bCs/>
          <w:color w:val="000000"/>
        </w:rPr>
        <w:t>10</w:t>
      </w:r>
      <w:r w:rsidRPr="00E549DC">
        <w:rPr>
          <w:rFonts w:ascii="Book Antiqua" w:eastAsia="Book Antiqua" w:hAnsi="Book Antiqua" w:cs="Book Antiqua"/>
          <w:color w:val="000000"/>
        </w:rPr>
        <w:t>: 25-34 [PMID: 19095497 DOI: 10.1016/S1470-2045(08)70285-7]</w:t>
      </w:r>
    </w:p>
    <w:p w14:paraId="27710B72" w14:textId="77777777" w:rsidR="003106BD" w:rsidRPr="00E549DC" w:rsidRDefault="003106BD" w:rsidP="00C55EEF">
      <w:pPr>
        <w:snapToGrid w:val="0"/>
        <w:spacing w:line="360" w:lineRule="auto"/>
        <w:jc w:val="both"/>
        <w:rPr>
          <w:rFonts w:ascii="Book Antiqua" w:hAnsi="Book Antiqua"/>
        </w:rPr>
      </w:pPr>
      <w:r w:rsidRPr="00E549DC">
        <w:rPr>
          <w:rFonts w:ascii="Book Antiqua" w:eastAsia="Book Antiqua" w:hAnsi="Book Antiqua" w:cs="Book Antiqua"/>
          <w:color w:val="000000"/>
        </w:rPr>
        <w:t xml:space="preserve">26 </w:t>
      </w:r>
      <w:r w:rsidRPr="00E549DC">
        <w:rPr>
          <w:rFonts w:ascii="Book Antiqua" w:eastAsia="Book Antiqua" w:hAnsi="Book Antiqua" w:cs="Book Antiqua"/>
          <w:b/>
          <w:bCs/>
          <w:color w:val="000000"/>
        </w:rPr>
        <w:t>Zhu AX</w:t>
      </w:r>
      <w:r w:rsidRPr="00E549DC">
        <w:rPr>
          <w:rFonts w:ascii="Book Antiqua" w:eastAsia="Book Antiqua" w:hAnsi="Book Antiqua" w:cs="Book Antiqua"/>
          <w:color w:val="000000"/>
        </w:rPr>
        <w:t xml:space="preserve">, Rosmorduc O, Evans TR, Ross PJ, Santoro A, Carrilho FJ, Bruix J, Qin S, Thuluvath PJ, Llovet JM, Leberre MA, Jensen M, Meinhardt G, Kang YK. SEARCH: a phase III, randomized, double-blind, placebo-controlled trial of sorafenib plus erlotinib in patients with advanced hepatocellular carcinoma. </w:t>
      </w:r>
      <w:r w:rsidRPr="00E549DC">
        <w:rPr>
          <w:rFonts w:ascii="Book Antiqua" w:eastAsia="Book Antiqua" w:hAnsi="Book Antiqua" w:cs="Book Antiqua"/>
          <w:i/>
          <w:iCs/>
          <w:color w:val="000000"/>
        </w:rPr>
        <w:t>J Clin Oncol</w:t>
      </w:r>
      <w:r w:rsidRPr="00E549DC">
        <w:rPr>
          <w:rFonts w:ascii="Book Antiqua" w:eastAsia="Book Antiqua" w:hAnsi="Book Antiqua" w:cs="Book Antiqua"/>
          <w:color w:val="000000"/>
        </w:rPr>
        <w:t xml:space="preserve"> 2015; </w:t>
      </w:r>
      <w:r w:rsidRPr="00E549DC">
        <w:rPr>
          <w:rFonts w:ascii="Book Antiqua" w:eastAsia="Book Antiqua" w:hAnsi="Book Antiqua" w:cs="Book Antiqua"/>
          <w:b/>
          <w:bCs/>
          <w:color w:val="000000"/>
        </w:rPr>
        <w:t>33</w:t>
      </w:r>
      <w:r w:rsidRPr="00E549DC">
        <w:rPr>
          <w:rFonts w:ascii="Book Antiqua" w:eastAsia="Book Antiqua" w:hAnsi="Book Antiqua" w:cs="Book Antiqua"/>
          <w:color w:val="000000"/>
        </w:rPr>
        <w:t>: 559-566 [PMID: 25547503 DOI: 10.1200/JCO.2013.53.7746]</w:t>
      </w:r>
    </w:p>
    <w:p w14:paraId="36D0CB0A" w14:textId="77777777" w:rsidR="003106BD" w:rsidRPr="00E549DC" w:rsidRDefault="003106BD" w:rsidP="00C55EEF">
      <w:pPr>
        <w:snapToGrid w:val="0"/>
        <w:spacing w:line="360" w:lineRule="auto"/>
        <w:jc w:val="both"/>
        <w:rPr>
          <w:rFonts w:ascii="Book Antiqua" w:hAnsi="Book Antiqua"/>
        </w:rPr>
      </w:pPr>
      <w:r w:rsidRPr="00E549DC">
        <w:rPr>
          <w:rFonts w:ascii="Book Antiqua" w:eastAsia="Book Antiqua" w:hAnsi="Book Antiqua" w:cs="Book Antiqua"/>
          <w:color w:val="000000"/>
        </w:rPr>
        <w:t xml:space="preserve">27 </w:t>
      </w:r>
      <w:r w:rsidRPr="00E549DC">
        <w:rPr>
          <w:rFonts w:ascii="Book Antiqua" w:eastAsia="Book Antiqua" w:hAnsi="Book Antiqua" w:cs="Book Antiqua"/>
          <w:b/>
          <w:bCs/>
          <w:color w:val="000000"/>
        </w:rPr>
        <w:t>Tak WY</w:t>
      </w:r>
      <w:r w:rsidRPr="00E549DC">
        <w:rPr>
          <w:rFonts w:ascii="Book Antiqua" w:eastAsia="Book Antiqua" w:hAnsi="Book Antiqua" w:cs="Book Antiqua"/>
          <w:color w:val="000000"/>
        </w:rPr>
        <w:t xml:space="preserve">, Ryoo BY, Lim HY, Kim DY, Okusaka T, Ikeda M, Hidaka H, Yeon JE, Mizukoshi E, Morimoto M, Lee MA, Yasui K, Kawaguchi Y, Heo J, Morita S, Kim TY, Furuse J, Katayama K, Aramaki T, Hara R, Kimura T, Nakamura O, Kudo M. Phase I/II study of first-line combination therapy with sorafenib plus resminostat, an oral HDAC inhibitor, </w:t>
      </w:r>
      <w:r w:rsidRPr="00E549DC">
        <w:rPr>
          <w:rFonts w:ascii="Book Antiqua" w:eastAsia="Book Antiqua" w:hAnsi="Book Antiqua" w:cs="Book Antiqua"/>
          <w:i/>
          <w:iCs/>
          <w:color w:val="000000"/>
        </w:rPr>
        <w:t>vs</w:t>
      </w:r>
      <w:r w:rsidRPr="00E549DC">
        <w:rPr>
          <w:rFonts w:ascii="Book Antiqua" w:eastAsia="Book Antiqua" w:hAnsi="Book Antiqua" w:cs="Book Antiqua"/>
          <w:color w:val="000000"/>
        </w:rPr>
        <w:t xml:space="preserve"> sorafenib monotherapy for advanced hepatocellular carcinoma in east Asian patients. </w:t>
      </w:r>
      <w:r w:rsidRPr="00E549DC">
        <w:rPr>
          <w:rFonts w:ascii="Book Antiqua" w:eastAsia="Book Antiqua" w:hAnsi="Book Antiqua" w:cs="Book Antiqua"/>
          <w:i/>
          <w:iCs/>
          <w:color w:val="000000"/>
        </w:rPr>
        <w:t>Invest New Drugs</w:t>
      </w:r>
      <w:r w:rsidRPr="00E549DC">
        <w:rPr>
          <w:rFonts w:ascii="Book Antiqua" w:eastAsia="Book Antiqua" w:hAnsi="Book Antiqua" w:cs="Book Antiqua"/>
          <w:color w:val="000000"/>
        </w:rPr>
        <w:t xml:space="preserve"> 2018; </w:t>
      </w:r>
      <w:r w:rsidRPr="00E549DC">
        <w:rPr>
          <w:rFonts w:ascii="Book Antiqua" w:eastAsia="Book Antiqua" w:hAnsi="Book Antiqua" w:cs="Book Antiqua"/>
          <w:b/>
          <w:bCs/>
          <w:color w:val="000000"/>
        </w:rPr>
        <w:t>36</w:t>
      </w:r>
      <w:r w:rsidRPr="00E549DC">
        <w:rPr>
          <w:rFonts w:ascii="Book Antiqua" w:eastAsia="Book Antiqua" w:hAnsi="Book Antiqua" w:cs="Book Antiqua"/>
          <w:color w:val="000000"/>
        </w:rPr>
        <w:t>: 1072-1084 [PMID: 30198057 DOI: 10.1007/s10637-018-0658-x]</w:t>
      </w:r>
    </w:p>
    <w:p w14:paraId="030A0213" w14:textId="77777777" w:rsidR="003106BD" w:rsidRPr="00E549DC" w:rsidRDefault="003106BD" w:rsidP="00C55EEF">
      <w:pPr>
        <w:snapToGrid w:val="0"/>
        <w:spacing w:line="360" w:lineRule="auto"/>
        <w:jc w:val="both"/>
        <w:rPr>
          <w:rFonts w:ascii="Book Antiqua" w:hAnsi="Book Antiqua"/>
        </w:rPr>
      </w:pPr>
      <w:r w:rsidRPr="00E549DC">
        <w:rPr>
          <w:rFonts w:ascii="Book Antiqua" w:eastAsia="Book Antiqua" w:hAnsi="Book Antiqua" w:cs="Book Antiqua"/>
          <w:color w:val="000000"/>
        </w:rPr>
        <w:t xml:space="preserve">28 </w:t>
      </w:r>
      <w:r w:rsidRPr="00E549DC">
        <w:rPr>
          <w:rFonts w:ascii="Book Antiqua" w:eastAsia="Book Antiqua" w:hAnsi="Book Antiqua" w:cs="Book Antiqua"/>
          <w:b/>
          <w:bCs/>
          <w:color w:val="000000"/>
        </w:rPr>
        <w:t>Cheng AL</w:t>
      </w:r>
      <w:r w:rsidRPr="00E549DC">
        <w:rPr>
          <w:rFonts w:ascii="Book Antiqua" w:eastAsia="Book Antiqua" w:hAnsi="Book Antiqua" w:cs="Book Antiqua"/>
          <w:color w:val="000000"/>
        </w:rPr>
        <w:t xml:space="preserve">, Kang YK, He AR, Lim HY, Ryoo BY, Hung CH, Sheen IS, Izumi N, Austin T, Wang Q, Greenberg J, Shiratori S, Beckman RA, Kudo M; Investigators’ Study Group. Safety and efficacy of tigatuzumab plus sorafenib as first-line therapy in subjects with advanced hepatocellular carcinoma: A phase 2 randomized study. </w:t>
      </w:r>
      <w:r w:rsidRPr="00E549DC">
        <w:rPr>
          <w:rFonts w:ascii="Book Antiqua" w:eastAsia="Book Antiqua" w:hAnsi="Book Antiqua" w:cs="Book Antiqua"/>
          <w:i/>
          <w:iCs/>
          <w:color w:val="000000"/>
        </w:rPr>
        <w:t>J Hepatol</w:t>
      </w:r>
      <w:r w:rsidRPr="00E549DC">
        <w:rPr>
          <w:rFonts w:ascii="Book Antiqua" w:eastAsia="Book Antiqua" w:hAnsi="Book Antiqua" w:cs="Book Antiqua"/>
          <w:color w:val="000000"/>
        </w:rPr>
        <w:t xml:space="preserve"> 2015; </w:t>
      </w:r>
      <w:r w:rsidRPr="00E549DC">
        <w:rPr>
          <w:rFonts w:ascii="Book Antiqua" w:eastAsia="Book Antiqua" w:hAnsi="Book Antiqua" w:cs="Book Antiqua"/>
          <w:b/>
          <w:bCs/>
          <w:color w:val="000000"/>
        </w:rPr>
        <w:t>63</w:t>
      </w:r>
      <w:r w:rsidRPr="00E549DC">
        <w:rPr>
          <w:rFonts w:ascii="Book Antiqua" w:eastAsia="Book Antiqua" w:hAnsi="Book Antiqua" w:cs="Book Antiqua"/>
          <w:color w:val="000000"/>
        </w:rPr>
        <w:t>: 896-904 [PMID: 26071796 DOI: 10.1016/j.jhep.2015.06.001]</w:t>
      </w:r>
    </w:p>
    <w:p w14:paraId="31FE324C" w14:textId="77777777" w:rsidR="003106BD" w:rsidRPr="00E549DC" w:rsidRDefault="003106BD" w:rsidP="00C55EEF">
      <w:pPr>
        <w:snapToGrid w:val="0"/>
        <w:spacing w:line="360" w:lineRule="auto"/>
        <w:jc w:val="both"/>
        <w:rPr>
          <w:rFonts w:ascii="Book Antiqua" w:hAnsi="Book Antiqua"/>
        </w:rPr>
      </w:pPr>
      <w:r w:rsidRPr="00E549DC">
        <w:rPr>
          <w:rFonts w:ascii="Book Antiqua" w:eastAsia="Book Antiqua" w:hAnsi="Book Antiqua" w:cs="Book Antiqua"/>
          <w:color w:val="000000"/>
        </w:rPr>
        <w:t xml:space="preserve">29 </w:t>
      </w:r>
      <w:r w:rsidRPr="00E549DC">
        <w:rPr>
          <w:rFonts w:ascii="Book Antiqua" w:eastAsia="Book Antiqua" w:hAnsi="Book Antiqua" w:cs="Book Antiqua"/>
          <w:b/>
          <w:bCs/>
          <w:color w:val="000000"/>
        </w:rPr>
        <w:t>Cheng AL</w:t>
      </w:r>
      <w:r w:rsidRPr="00E549DC">
        <w:rPr>
          <w:rFonts w:ascii="Book Antiqua" w:eastAsia="Book Antiqua" w:hAnsi="Book Antiqua" w:cs="Book Antiqua"/>
          <w:color w:val="000000"/>
        </w:rPr>
        <w:t xml:space="preserve">, Kang YK, Lin DY, Park JW, Kudo M, Qin S, Chung HC, Song X, Xu J, Poggi G, Omata M, Pitman Lowenthal S, Lanzalone S, Yang L, Lechuga MJ, Raymond E. Sunitinib </w:t>
      </w:r>
      <w:r w:rsidRPr="00E549DC">
        <w:rPr>
          <w:rFonts w:ascii="Book Antiqua" w:eastAsia="Book Antiqua" w:hAnsi="Book Antiqua" w:cs="Book Antiqua"/>
          <w:i/>
          <w:iCs/>
          <w:color w:val="000000"/>
        </w:rPr>
        <w:t>vs</w:t>
      </w:r>
      <w:r w:rsidRPr="00E549DC">
        <w:rPr>
          <w:rFonts w:ascii="Book Antiqua" w:eastAsia="Book Antiqua" w:hAnsi="Book Antiqua" w:cs="Book Antiqua"/>
          <w:color w:val="000000"/>
        </w:rPr>
        <w:t xml:space="preserve"> sorafenib in advanced hepatocellular cancer: results of a </w:t>
      </w:r>
      <w:r w:rsidRPr="00E549DC">
        <w:rPr>
          <w:rFonts w:ascii="Book Antiqua" w:eastAsia="Book Antiqua" w:hAnsi="Book Antiqua" w:cs="Book Antiqua"/>
          <w:color w:val="000000"/>
        </w:rPr>
        <w:lastRenderedPageBreak/>
        <w:t xml:space="preserve">randomized phase III trial. </w:t>
      </w:r>
      <w:r w:rsidRPr="00E549DC">
        <w:rPr>
          <w:rFonts w:ascii="Book Antiqua" w:eastAsia="Book Antiqua" w:hAnsi="Book Antiqua" w:cs="Book Antiqua"/>
          <w:i/>
          <w:iCs/>
          <w:color w:val="000000"/>
        </w:rPr>
        <w:t>J Clin Oncol</w:t>
      </w:r>
      <w:r w:rsidRPr="00E549DC">
        <w:rPr>
          <w:rFonts w:ascii="Book Antiqua" w:eastAsia="Book Antiqua" w:hAnsi="Book Antiqua" w:cs="Book Antiqua"/>
          <w:color w:val="000000"/>
        </w:rPr>
        <w:t xml:space="preserve"> 2013; </w:t>
      </w:r>
      <w:r w:rsidRPr="00E549DC">
        <w:rPr>
          <w:rFonts w:ascii="Book Antiqua" w:eastAsia="Book Antiqua" w:hAnsi="Book Antiqua" w:cs="Book Antiqua"/>
          <w:b/>
          <w:bCs/>
          <w:color w:val="000000"/>
        </w:rPr>
        <w:t>31</w:t>
      </w:r>
      <w:r w:rsidRPr="00E549DC">
        <w:rPr>
          <w:rFonts w:ascii="Book Antiqua" w:eastAsia="Book Antiqua" w:hAnsi="Book Antiqua" w:cs="Book Antiqua"/>
          <w:color w:val="000000"/>
        </w:rPr>
        <w:t>: 4067-4075 [PMID: 24081937 DOI: 10.1200/JCO.2012.45.8372]</w:t>
      </w:r>
    </w:p>
    <w:p w14:paraId="7FDC6B91" w14:textId="77777777" w:rsidR="003106BD" w:rsidRPr="00E549DC" w:rsidRDefault="003106BD" w:rsidP="00C55EEF">
      <w:pPr>
        <w:snapToGrid w:val="0"/>
        <w:spacing w:line="360" w:lineRule="auto"/>
        <w:jc w:val="both"/>
        <w:rPr>
          <w:rFonts w:ascii="Book Antiqua" w:hAnsi="Book Antiqua"/>
        </w:rPr>
      </w:pPr>
      <w:r w:rsidRPr="00E549DC">
        <w:rPr>
          <w:rFonts w:ascii="Book Antiqua" w:eastAsia="Book Antiqua" w:hAnsi="Book Antiqua" w:cs="Book Antiqua"/>
          <w:color w:val="000000"/>
        </w:rPr>
        <w:t xml:space="preserve">30 </w:t>
      </w:r>
      <w:r w:rsidRPr="00E549DC">
        <w:rPr>
          <w:rFonts w:ascii="Book Antiqua" w:eastAsia="Book Antiqua" w:hAnsi="Book Antiqua" w:cs="Book Antiqua"/>
          <w:b/>
          <w:bCs/>
          <w:color w:val="000000"/>
        </w:rPr>
        <w:t>Yi M</w:t>
      </w:r>
      <w:r w:rsidRPr="00E549DC">
        <w:rPr>
          <w:rFonts w:ascii="Book Antiqua" w:eastAsia="Book Antiqua" w:hAnsi="Book Antiqua" w:cs="Book Antiqua"/>
          <w:color w:val="000000"/>
        </w:rPr>
        <w:t xml:space="preserve">, Jiao D, Qin S, Chu Q, Wu K, Li A. Synergistic effect of immune checkpoint blockade and anti-angiogenesis in cancer treatment. </w:t>
      </w:r>
      <w:r w:rsidRPr="00E549DC">
        <w:rPr>
          <w:rFonts w:ascii="Book Antiqua" w:eastAsia="Book Antiqua" w:hAnsi="Book Antiqua" w:cs="Book Antiqua"/>
          <w:i/>
          <w:iCs/>
          <w:color w:val="000000"/>
        </w:rPr>
        <w:t>Mol Cancer</w:t>
      </w:r>
      <w:r w:rsidRPr="00E549DC">
        <w:rPr>
          <w:rFonts w:ascii="Book Antiqua" w:eastAsia="Book Antiqua" w:hAnsi="Book Antiqua" w:cs="Book Antiqua"/>
          <w:color w:val="000000"/>
        </w:rPr>
        <w:t xml:space="preserve"> 2019; </w:t>
      </w:r>
      <w:r w:rsidRPr="00E549DC">
        <w:rPr>
          <w:rFonts w:ascii="Book Antiqua" w:eastAsia="Book Antiqua" w:hAnsi="Book Antiqua" w:cs="Book Antiqua"/>
          <w:b/>
          <w:bCs/>
          <w:color w:val="000000"/>
        </w:rPr>
        <w:t>18</w:t>
      </w:r>
      <w:r w:rsidRPr="00E549DC">
        <w:rPr>
          <w:rFonts w:ascii="Book Antiqua" w:eastAsia="Book Antiqua" w:hAnsi="Book Antiqua" w:cs="Book Antiqua"/>
          <w:color w:val="000000"/>
        </w:rPr>
        <w:t>: 60 [PMID: 30925919 DOI: 10.1186/s12943-019-0974-6]</w:t>
      </w:r>
    </w:p>
    <w:p w14:paraId="4617A857" w14:textId="77777777" w:rsidR="003106BD" w:rsidRPr="00E549DC" w:rsidRDefault="003106BD" w:rsidP="00C55EEF">
      <w:pPr>
        <w:snapToGrid w:val="0"/>
        <w:spacing w:line="360" w:lineRule="auto"/>
        <w:jc w:val="both"/>
        <w:rPr>
          <w:rFonts w:ascii="Book Antiqua" w:hAnsi="Book Antiqua"/>
        </w:rPr>
      </w:pPr>
      <w:r w:rsidRPr="00E549DC">
        <w:rPr>
          <w:rFonts w:ascii="Book Antiqua" w:eastAsia="Book Antiqua" w:hAnsi="Book Antiqua" w:cs="Book Antiqua"/>
          <w:color w:val="000000"/>
        </w:rPr>
        <w:t xml:space="preserve">31 </w:t>
      </w:r>
      <w:r w:rsidRPr="00E549DC">
        <w:rPr>
          <w:rFonts w:ascii="Book Antiqua" w:eastAsia="Book Antiqua" w:hAnsi="Book Antiqua" w:cs="Book Antiqua"/>
          <w:b/>
          <w:bCs/>
          <w:color w:val="000000"/>
        </w:rPr>
        <w:t>Lee MS</w:t>
      </w:r>
      <w:r w:rsidRPr="00E549DC">
        <w:rPr>
          <w:rFonts w:ascii="Book Antiqua" w:eastAsia="Book Antiqua" w:hAnsi="Book Antiqua" w:cs="Book Antiqua"/>
          <w:color w:val="000000"/>
        </w:rPr>
        <w:t xml:space="preserve">, Ryoo BY, Hsu CH, Numata K, Stein S, Verret W, Hack SP, Spahn J, Liu B, Abdullah H, Wang Y, He AR, Lee KH; GO30140 investigators. Atezolizumab with or without bevacizumab in unresectable hepatocellular carcinoma (GO30140): an open-label, multicentre, phase 1b study. </w:t>
      </w:r>
      <w:r w:rsidRPr="00E549DC">
        <w:rPr>
          <w:rFonts w:ascii="Book Antiqua" w:eastAsia="Book Antiqua" w:hAnsi="Book Antiqua" w:cs="Book Antiqua"/>
          <w:i/>
          <w:iCs/>
          <w:color w:val="000000"/>
        </w:rPr>
        <w:t>Lancet Oncol</w:t>
      </w:r>
      <w:r w:rsidRPr="00E549DC">
        <w:rPr>
          <w:rFonts w:ascii="Book Antiqua" w:eastAsia="Book Antiqua" w:hAnsi="Book Antiqua" w:cs="Book Antiqua"/>
          <w:color w:val="000000"/>
        </w:rPr>
        <w:t xml:space="preserve"> 2020; </w:t>
      </w:r>
      <w:r w:rsidRPr="00E549DC">
        <w:rPr>
          <w:rFonts w:ascii="Book Antiqua" w:eastAsia="Book Antiqua" w:hAnsi="Book Antiqua" w:cs="Book Antiqua"/>
          <w:b/>
          <w:bCs/>
          <w:color w:val="000000"/>
        </w:rPr>
        <w:t>21</w:t>
      </w:r>
      <w:r w:rsidRPr="00E549DC">
        <w:rPr>
          <w:rFonts w:ascii="Book Antiqua" w:eastAsia="Book Antiqua" w:hAnsi="Book Antiqua" w:cs="Book Antiqua"/>
          <w:color w:val="000000"/>
        </w:rPr>
        <w:t>: 808-820 [PMID: 32502443 DOI: 10.1016/S1470-2045(20)30156-X]</w:t>
      </w:r>
    </w:p>
    <w:p w14:paraId="14A1E574" w14:textId="28E08758" w:rsidR="003106BD" w:rsidRPr="00E549DC" w:rsidRDefault="003106BD" w:rsidP="00C55EEF">
      <w:pPr>
        <w:snapToGrid w:val="0"/>
        <w:spacing w:line="360" w:lineRule="auto"/>
        <w:jc w:val="both"/>
        <w:rPr>
          <w:rFonts w:ascii="Book Antiqua" w:eastAsia="Book Antiqua" w:hAnsi="Book Antiqua" w:cs="Book Antiqua"/>
          <w:color w:val="000000"/>
        </w:rPr>
      </w:pPr>
      <w:r w:rsidRPr="00E549DC">
        <w:rPr>
          <w:rFonts w:ascii="Book Antiqua" w:eastAsia="Book Antiqua" w:hAnsi="Book Antiqua" w:cs="Book Antiqua"/>
          <w:color w:val="000000"/>
        </w:rPr>
        <w:t xml:space="preserve">32 </w:t>
      </w:r>
      <w:bookmarkStart w:id="16" w:name="OLE_LINK14"/>
      <w:bookmarkStart w:id="17" w:name="OLE_LINK15"/>
      <w:r w:rsidR="009F2030" w:rsidRPr="00E549DC">
        <w:rPr>
          <w:rFonts w:ascii="Book Antiqua" w:eastAsia="Book Antiqua" w:hAnsi="Book Antiqua" w:cs="Book Antiqua"/>
          <w:b/>
          <w:color w:val="000000"/>
        </w:rPr>
        <w:t xml:space="preserve">ten Doesschate T, </w:t>
      </w:r>
      <w:r w:rsidR="009F2030" w:rsidRPr="00E549DC">
        <w:rPr>
          <w:rFonts w:ascii="Book Antiqua" w:eastAsia="Book Antiqua" w:hAnsi="Book Antiqua" w:cs="Book Antiqua"/>
          <w:color w:val="000000"/>
        </w:rPr>
        <w:t>van Haren E, Wijma RA, Koch BCP.</w:t>
      </w:r>
      <w:r w:rsidR="009F2030" w:rsidRPr="00E549DC">
        <w:rPr>
          <w:rFonts w:ascii="Book Antiqua" w:hAnsi="Book Antiqua" w:cs="Book Antiqua"/>
          <w:color w:val="000000"/>
          <w:lang w:eastAsia="zh-CN"/>
        </w:rPr>
        <w:t xml:space="preserve"> </w:t>
      </w:r>
      <w:r w:rsidR="009F2030" w:rsidRPr="00E549DC">
        <w:rPr>
          <w:rFonts w:ascii="Book Antiqua" w:eastAsia="Book Antiqua" w:hAnsi="Book Antiqua" w:cs="Book Antiqua"/>
          <w:color w:val="000000"/>
        </w:rPr>
        <w:t>The effectiveness of nitrofurantoin, fosfomycin and trimethoprim for the treatment of cystitis in relation to renal function.</w:t>
      </w:r>
      <w:bookmarkStart w:id="18" w:name="OLE_LINK19"/>
      <w:r w:rsidR="00D403E4" w:rsidRPr="00E549DC">
        <w:rPr>
          <w:rFonts w:ascii="Book Antiqua" w:eastAsia="Book Antiqua" w:hAnsi="Book Antiqua" w:cs="Book Antiqua"/>
          <w:color w:val="000000"/>
        </w:rPr>
        <w:t xml:space="preserve"> </w:t>
      </w:r>
      <w:r w:rsidR="009F2030" w:rsidRPr="00E549DC">
        <w:rPr>
          <w:rFonts w:ascii="Book Antiqua" w:eastAsia="Book Antiqua" w:hAnsi="Book Antiqua" w:cs="Book Antiqua"/>
          <w:i/>
          <w:color w:val="000000"/>
        </w:rPr>
        <w:t>Clin Microbiol Infec</w:t>
      </w:r>
      <w:bookmarkEnd w:id="18"/>
      <w:r w:rsidR="009F2030" w:rsidRPr="00E549DC">
        <w:rPr>
          <w:rFonts w:ascii="Book Antiqua" w:eastAsia="Book Antiqua" w:hAnsi="Book Antiqua" w:cs="Book Antiqua"/>
          <w:color w:val="000000"/>
        </w:rPr>
        <w:t xml:space="preserve"> 2020; </w:t>
      </w:r>
      <w:r w:rsidR="009F2030" w:rsidRPr="00E549DC">
        <w:rPr>
          <w:rFonts w:ascii="Book Antiqua" w:eastAsia="Book Antiqua" w:hAnsi="Book Antiqua" w:cs="Book Antiqua"/>
          <w:b/>
          <w:color w:val="000000"/>
        </w:rPr>
        <w:t>26</w:t>
      </w:r>
      <w:r w:rsidR="009F2030" w:rsidRPr="00E549DC">
        <w:rPr>
          <w:rFonts w:ascii="Book Antiqua" w:eastAsia="Book Antiqua" w:hAnsi="Book Antiqua" w:cs="Book Antiqua"/>
          <w:color w:val="000000"/>
        </w:rPr>
        <w:t xml:space="preserve"> [DOI: 10.1016/j.cmi.2020.03.001]</w:t>
      </w:r>
    </w:p>
    <w:bookmarkEnd w:id="16"/>
    <w:bookmarkEnd w:id="17"/>
    <w:p w14:paraId="21EC506F" w14:textId="77777777" w:rsidR="003106BD" w:rsidRPr="00E549DC" w:rsidRDefault="003106BD" w:rsidP="00C55EEF">
      <w:pPr>
        <w:snapToGrid w:val="0"/>
        <w:spacing w:line="360" w:lineRule="auto"/>
        <w:jc w:val="both"/>
        <w:rPr>
          <w:rFonts w:ascii="Book Antiqua" w:hAnsi="Book Antiqua"/>
        </w:rPr>
      </w:pPr>
      <w:r w:rsidRPr="00E549DC">
        <w:rPr>
          <w:rFonts w:ascii="Book Antiqua" w:eastAsia="Book Antiqua" w:hAnsi="Book Antiqua" w:cs="Book Antiqua"/>
          <w:color w:val="000000"/>
        </w:rPr>
        <w:t xml:space="preserve">33 </w:t>
      </w:r>
      <w:r w:rsidRPr="00E549DC">
        <w:rPr>
          <w:rFonts w:ascii="Book Antiqua" w:eastAsia="Book Antiqua" w:hAnsi="Book Antiqua" w:cs="Book Antiqua"/>
          <w:b/>
          <w:bCs/>
          <w:color w:val="000000"/>
        </w:rPr>
        <w:t>Kudo M</w:t>
      </w:r>
      <w:r w:rsidRPr="00E549DC">
        <w:rPr>
          <w:rFonts w:ascii="Book Antiqua" w:eastAsia="Book Antiqua" w:hAnsi="Book Antiqua" w:cs="Book Antiqua"/>
          <w:color w:val="000000"/>
        </w:rPr>
        <w:t xml:space="preserve">, Ueshima K, Chan S, Minami T, Chishina H, Aoki T, Takita M, Hagiwara S, Minami Y, Ida H, Takenaka M, Sakurai T, Watanabe T, Morita M, Ogawa C, Wada Y, Ikeda M, Ishii H, Izumi N, Nishida N. Lenvatinib as an Initial Treatment in Patients with Intermediate-Stage Hepatocellular Carcinoma Beyond Up-To-Seven Criteria and Child-Pugh A Liver Function: A Proof-Of-Concept Study. </w:t>
      </w:r>
      <w:r w:rsidRPr="00E549DC">
        <w:rPr>
          <w:rFonts w:ascii="Book Antiqua" w:eastAsia="Book Antiqua" w:hAnsi="Book Antiqua" w:cs="Book Antiqua"/>
          <w:i/>
          <w:iCs/>
          <w:color w:val="000000"/>
        </w:rPr>
        <w:t>Cancers (Basel)</w:t>
      </w:r>
      <w:r w:rsidRPr="00E549DC">
        <w:rPr>
          <w:rFonts w:ascii="Book Antiqua" w:eastAsia="Book Antiqua" w:hAnsi="Book Antiqua" w:cs="Book Antiqua"/>
          <w:color w:val="000000"/>
        </w:rPr>
        <w:t xml:space="preserve"> 2019; </w:t>
      </w:r>
      <w:r w:rsidRPr="00E549DC">
        <w:rPr>
          <w:rFonts w:ascii="Book Antiqua" w:eastAsia="Book Antiqua" w:hAnsi="Book Antiqua" w:cs="Book Antiqua"/>
          <w:b/>
          <w:bCs/>
          <w:color w:val="000000"/>
        </w:rPr>
        <w:t>11</w:t>
      </w:r>
      <w:r w:rsidRPr="00E549DC">
        <w:rPr>
          <w:rFonts w:ascii="Book Antiqua" w:eastAsia="Book Antiqua" w:hAnsi="Book Antiqua" w:cs="Book Antiqua"/>
          <w:color w:val="000000"/>
        </w:rPr>
        <w:t xml:space="preserve"> [PMID: 31370183 DOI: 10.3390/cancers11081084]</w:t>
      </w:r>
    </w:p>
    <w:p w14:paraId="01D67C22" w14:textId="2309A4D1" w:rsidR="003106BD" w:rsidRPr="00E549DC" w:rsidRDefault="003106BD" w:rsidP="00C55EEF">
      <w:pPr>
        <w:snapToGrid w:val="0"/>
        <w:spacing w:line="360" w:lineRule="auto"/>
        <w:jc w:val="both"/>
        <w:rPr>
          <w:rFonts w:ascii="Book Antiqua" w:hAnsi="Book Antiqua"/>
        </w:rPr>
      </w:pPr>
      <w:r w:rsidRPr="00E549DC">
        <w:rPr>
          <w:rFonts w:ascii="Book Antiqua" w:eastAsia="Book Antiqua" w:hAnsi="Book Antiqua" w:cs="Book Antiqua"/>
          <w:color w:val="000000"/>
        </w:rPr>
        <w:t xml:space="preserve">34 </w:t>
      </w:r>
      <w:r w:rsidR="00FE2DF0" w:rsidRPr="00E549DC">
        <w:rPr>
          <w:rFonts w:ascii="Book Antiqua" w:eastAsia="Book Antiqua" w:hAnsi="Book Antiqua" w:cs="Book Antiqua"/>
          <w:b/>
          <w:bCs/>
          <w:color w:val="000000"/>
        </w:rPr>
        <w:t>Sun H</w:t>
      </w:r>
      <w:r w:rsidRPr="00E549DC">
        <w:rPr>
          <w:rFonts w:ascii="Book Antiqua" w:eastAsia="Book Antiqua" w:hAnsi="Book Antiqua" w:cs="Book Antiqua"/>
          <w:b/>
          <w:bCs/>
          <w:color w:val="000000"/>
        </w:rPr>
        <w:t>C,</w:t>
      </w:r>
      <w:r w:rsidR="00FE2DF0" w:rsidRPr="00E549DC">
        <w:rPr>
          <w:rFonts w:ascii="Book Antiqua" w:eastAsia="Book Antiqua" w:hAnsi="Book Antiqua" w:cs="Book Antiqua"/>
          <w:color w:val="000000"/>
        </w:rPr>
        <w:t xml:space="preserve"> Zhu X</w:t>
      </w:r>
      <w:r w:rsidRPr="00E549DC">
        <w:rPr>
          <w:rFonts w:ascii="Book Antiqua" w:eastAsia="Book Antiqua" w:hAnsi="Book Antiqua" w:cs="Book Antiqua"/>
          <w:color w:val="000000"/>
        </w:rPr>
        <w:t xml:space="preserve">D, Huang C, </w:t>
      </w:r>
      <w:r w:rsidR="00FE2DF0" w:rsidRPr="00E549DC">
        <w:rPr>
          <w:rFonts w:ascii="Book Antiqua" w:eastAsia="Book Antiqua" w:hAnsi="Book Antiqua" w:cs="Book Antiqua"/>
          <w:color w:val="000000"/>
        </w:rPr>
        <w:t>Shen YH, Ge NL, Chen Y, Tan C</w:t>
      </w:r>
      <w:r w:rsidRPr="00E549DC">
        <w:rPr>
          <w:rFonts w:ascii="Book Antiqua" w:eastAsia="Book Antiqua" w:hAnsi="Book Antiqua" w:cs="Book Antiqua"/>
          <w:color w:val="000000"/>
        </w:rPr>
        <w:t xml:space="preserve">J, Zhou J, Fan J. Combination therapy with lenvatinib and anti-PD-1 antibodies for unresectable or advanced hepatocellular carcinoma: A real-world study. </w:t>
      </w:r>
      <w:r w:rsidRPr="00E549DC">
        <w:rPr>
          <w:rFonts w:ascii="Book Antiqua" w:eastAsia="Book Antiqua" w:hAnsi="Book Antiqua" w:cs="Book Antiqua"/>
          <w:i/>
          <w:color w:val="000000"/>
        </w:rPr>
        <w:t xml:space="preserve">J Clin Oncol </w:t>
      </w:r>
      <w:r w:rsidRPr="00E549DC">
        <w:rPr>
          <w:rFonts w:ascii="Book Antiqua" w:eastAsia="Book Antiqua" w:hAnsi="Book Antiqua" w:cs="Book Antiqua"/>
          <w:color w:val="000000"/>
        </w:rPr>
        <w:t xml:space="preserve">2020; </w:t>
      </w:r>
      <w:r w:rsidRPr="00E549DC">
        <w:rPr>
          <w:rFonts w:ascii="Book Antiqua" w:eastAsia="Book Antiqua" w:hAnsi="Book Antiqua" w:cs="Book Antiqua"/>
          <w:b/>
          <w:color w:val="000000"/>
        </w:rPr>
        <w:t xml:space="preserve">38: </w:t>
      </w:r>
      <w:r w:rsidRPr="00E549DC">
        <w:rPr>
          <w:rFonts w:ascii="Book Antiqua" w:eastAsia="Book Antiqua" w:hAnsi="Book Antiqua" w:cs="Book Antiqua"/>
          <w:color w:val="000000"/>
        </w:rPr>
        <w:t>e16610-e16610 [DOI: 10.1200/JCO.2020.38.15_suppl.e16610]</w:t>
      </w:r>
    </w:p>
    <w:p w14:paraId="1C64D49C" w14:textId="77777777" w:rsidR="003106BD" w:rsidRPr="00E549DC" w:rsidRDefault="003106BD" w:rsidP="00C55EEF">
      <w:pPr>
        <w:snapToGrid w:val="0"/>
        <w:spacing w:line="360" w:lineRule="auto"/>
        <w:jc w:val="both"/>
        <w:rPr>
          <w:rFonts w:ascii="Book Antiqua" w:hAnsi="Book Antiqua"/>
        </w:rPr>
      </w:pPr>
      <w:r w:rsidRPr="00E549DC">
        <w:rPr>
          <w:rFonts w:ascii="Book Antiqua" w:eastAsia="Book Antiqua" w:hAnsi="Book Antiqua" w:cs="Book Antiqua"/>
          <w:color w:val="000000"/>
        </w:rPr>
        <w:t xml:space="preserve">35 </w:t>
      </w:r>
      <w:r w:rsidRPr="00E549DC">
        <w:rPr>
          <w:rFonts w:ascii="Book Antiqua" w:eastAsia="Book Antiqua" w:hAnsi="Book Antiqua" w:cs="Book Antiqua"/>
          <w:b/>
          <w:bCs/>
          <w:color w:val="000000"/>
        </w:rPr>
        <w:t>Chen X</w:t>
      </w:r>
      <w:r w:rsidRPr="00E549DC">
        <w:rPr>
          <w:rFonts w:ascii="Book Antiqua" w:eastAsia="Book Antiqua" w:hAnsi="Book Antiqua" w:cs="Book Antiqua"/>
          <w:color w:val="000000"/>
        </w:rPr>
        <w:t xml:space="preserve">, Zhang Y, Zhang N, Ge Y, Jia W. Lenvatinib combined nivolumab injection followed by extended right hepatectomy is a feasible treatment for patients with massive hepatocellular carcinoma: a case report. </w:t>
      </w:r>
      <w:r w:rsidRPr="00E549DC">
        <w:rPr>
          <w:rFonts w:ascii="Book Antiqua" w:eastAsia="Book Antiqua" w:hAnsi="Book Antiqua" w:cs="Book Antiqua"/>
          <w:i/>
          <w:iCs/>
          <w:color w:val="000000"/>
        </w:rPr>
        <w:t>Onco Targets Ther</w:t>
      </w:r>
      <w:r w:rsidRPr="00E549DC">
        <w:rPr>
          <w:rFonts w:ascii="Book Antiqua" w:eastAsia="Book Antiqua" w:hAnsi="Book Antiqua" w:cs="Book Antiqua"/>
          <w:color w:val="000000"/>
        </w:rPr>
        <w:t xml:space="preserve"> 2019; </w:t>
      </w:r>
      <w:r w:rsidRPr="00E549DC">
        <w:rPr>
          <w:rFonts w:ascii="Book Antiqua" w:eastAsia="Book Antiqua" w:hAnsi="Book Antiqua" w:cs="Book Antiqua"/>
          <w:b/>
          <w:bCs/>
          <w:color w:val="000000"/>
        </w:rPr>
        <w:t>12</w:t>
      </w:r>
      <w:r w:rsidRPr="00E549DC">
        <w:rPr>
          <w:rFonts w:ascii="Book Antiqua" w:eastAsia="Book Antiqua" w:hAnsi="Book Antiqua" w:cs="Book Antiqua"/>
          <w:color w:val="000000"/>
        </w:rPr>
        <w:t>: 7355-7359 [PMID: 31686845 DOI: 10.2147/OTT.S217123]</w:t>
      </w:r>
    </w:p>
    <w:p w14:paraId="633D1740" w14:textId="77777777" w:rsidR="003106BD" w:rsidRPr="00E549DC" w:rsidRDefault="003106BD" w:rsidP="00C55EEF">
      <w:pPr>
        <w:snapToGrid w:val="0"/>
        <w:spacing w:line="360" w:lineRule="auto"/>
        <w:jc w:val="both"/>
        <w:rPr>
          <w:rFonts w:ascii="Book Antiqua" w:hAnsi="Book Antiqua"/>
        </w:rPr>
      </w:pPr>
      <w:r w:rsidRPr="00E549DC">
        <w:rPr>
          <w:rFonts w:ascii="Book Antiqua" w:eastAsia="Book Antiqua" w:hAnsi="Book Antiqua" w:cs="Book Antiqua"/>
          <w:color w:val="000000"/>
        </w:rPr>
        <w:lastRenderedPageBreak/>
        <w:t xml:space="preserve">36 </w:t>
      </w:r>
      <w:r w:rsidRPr="00E549DC">
        <w:rPr>
          <w:rFonts w:ascii="Book Antiqua" w:eastAsia="Book Antiqua" w:hAnsi="Book Antiqua" w:cs="Book Antiqua"/>
          <w:b/>
          <w:bCs/>
          <w:color w:val="000000"/>
        </w:rPr>
        <w:t>He M</w:t>
      </w:r>
      <w:r w:rsidRPr="00E549DC">
        <w:rPr>
          <w:rFonts w:ascii="Book Antiqua" w:eastAsia="Book Antiqua" w:hAnsi="Book Antiqua" w:cs="Book Antiqua"/>
          <w:color w:val="000000"/>
        </w:rPr>
        <w:t xml:space="preserve">, Li Q, Zou R, Shen J, Fang W, Tan G, Zhou Y, Wu X, Xu L, Wei W, Le Y, Zhou Z, Zhao M, Guo Y, Guo R, Chen M, Shi M. Sorafenib Plus Hepatic Arterial Infusion of Oxaliplatin, Fluorouracil, and Leucovorin </w:t>
      </w:r>
      <w:r w:rsidRPr="00E549DC">
        <w:rPr>
          <w:rFonts w:ascii="Book Antiqua" w:eastAsia="Book Antiqua" w:hAnsi="Book Antiqua" w:cs="Book Antiqua"/>
          <w:i/>
          <w:iCs/>
          <w:color w:val="000000"/>
        </w:rPr>
        <w:t>vs</w:t>
      </w:r>
      <w:r w:rsidRPr="00E549DC">
        <w:rPr>
          <w:rFonts w:ascii="Book Antiqua" w:eastAsia="Book Antiqua" w:hAnsi="Book Antiqua" w:cs="Book Antiqua"/>
          <w:color w:val="000000"/>
        </w:rPr>
        <w:t xml:space="preserve"> Sorafenib Alone for Hepatocellular Carcinoma With Portal Vein Invasion: A Randomized Clinical Trial. </w:t>
      </w:r>
      <w:r w:rsidRPr="00E549DC">
        <w:rPr>
          <w:rFonts w:ascii="Book Antiqua" w:eastAsia="Book Antiqua" w:hAnsi="Book Antiqua" w:cs="Book Antiqua"/>
          <w:i/>
          <w:iCs/>
          <w:color w:val="000000"/>
        </w:rPr>
        <w:t>JAMA Oncol</w:t>
      </w:r>
      <w:r w:rsidRPr="00E549DC">
        <w:rPr>
          <w:rFonts w:ascii="Book Antiqua" w:eastAsia="Book Antiqua" w:hAnsi="Book Antiqua" w:cs="Book Antiqua"/>
          <w:color w:val="000000"/>
        </w:rPr>
        <w:t xml:space="preserve"> 2019; </w:t>
      </w:r>
      <w:r w:rsidRPr="00E549DC">
        <w:rPr>
          <w:rFonts w:ascii="Book Antiqua" w:eastAsia="Book Antiqua" w:hAnsi="Book Antiqua" w:cs="Book Antiqua"/>
          <w:b/>
          <w:bCs/>
          <w:color w:val="000000"/>
        </w:rPr>
        <w:t>5</w:t>
      </w:r>
      <w:r w:rsidRPr="00E549DC">
        <w:rPr>
          <w:rFonts w:ascii="Book Antiqua" w:eastAsia="Book Antiqua" w:hAnsi="Book Antiqua" w:cs="Book Antiqua"/>
          <w:color w:val="000000"/>
        </w:rPr>
        <w:t>: 953-960 [PMID: 31070690 DOI: 10.1001/jamaoncol.2019.0250]</w:t>
      </w:r>
    </w:p>
    <w:p w14:paraId="39B1D408" w14:textId="0B652C85" w:rsidR="003106BD" w:rsidRPr="00E549DC" w:rsidRDefault="003106BD" w:rsidP="00C55EEF">
      <w:pPr>
        <w:snapToGrid w:val="0"/>
        <w:spacing w:line="360" w:lineRule="auto"/>
        <w:jc w:val="both"/>
        <w:rPr>
          <w:rFonts w:ascii="Book Antiqua" w:hAnsi="Book Antiqua"/>
        </w:rPr>
      </w:pPr>
      <w:r w:rsidRPr="00E549DC">
        <w:rPr>
          <w:rFonts w:ascii="Book Antiqua" w:eastAsia="Book Antiqua" w:hAnsi="Book Antiqua" w:cs="Book Antiqua"/>
          <w:color w:val="000000"/>
        </w:rPr>
        <w:t xml:space="preserve">37 </w:t>
      </w:r>
      <w:r w:rsidRPr="00E549DC">
        <w:rPr>
          <w:rFonts w:ascii="Book Antiqua" w:eastAsia="Book Antiqua" w:hAnsi="Book Antiqua" w:cs="Book Antiqua"/>
          <w:b/>
          <w:bCs/>
          <w:color w:val="000000"/>
        </w:rPr>
        <w:t>Park R,</w:t>
      </w:r>
      <w:r w:rsidRPr="00E549DC">
        <w:rPr>
          <w:rFonts w:ascii="Book Antiqua" w:eastAsia="Book Antiqua" w:hAnsi="Book Antiqua" w:cs="Book Antiqua"/>
          <w:color w:val="000000"/>
        </w:rPr>
        <w:t xml:space="preserve"> Silva L, Nissaisorakarn V, Riano I, Saeed A.</w:t>
      </w:r>
      <w:bookmarkStart w:id="19" w:name="OLE_LINK20"/>
      <w:r w:rsidRPr="00E549DC">
        <w:rPr>
          <w:rFonts w:ascii="Book Antiqua" w:eastAsia="Book Antiqua" w:hAnsi="Book Antiqua" w:cs="Book Antiqua"/>
          <w:color w:val="000000"/>
        </w:rPr>
        <w:t xml:space="preserve"> Comparison of systemic therapy efficacy in advanced hepatocellular carcinoma: Systematic review and frequentist network meta-analysis of randomized controlled trials</w:t>
      </w:r>
      <w:bookmarkEnd w:id="19"/>
      <w:r w:rsidRPr="00E549DC">
        <w:rPr>
          <w:rFonts w:ascii="Book Antiqua" w:eastAsia="Book Antiqua" w:hAnsi="Book Antiqua" w:cs="Book Antiqua"/>
          <w:color w:val="000000"/>
        </w:rPr>
        <w:t xml:space="preserve">. </w:t>
      </w:r>
      <w:r w:rsidR="009F2030" w:rsidRPr="00E549DC">
        <w:rPr>
          <w:rFonts w:ascii="Book Antiqua" w:eastAsia="Book Antiqua" w:hAnsi="Book Antiqua" w:cs="Book Antiqua"/>
          <w:i/>
          <w:color w:val="000000"/>
        </w:rPr>
        <w:t>J Clin Oncol</w:t>
      </w:r>
      <w:r w:rsidR="009F2030" w:rsidRPr="00E549DC">
        <w:rPr>
          <w:rFonts w:ascii="Book Antiqua" w:eastAsia="Book Antiqua" w:hAnsi="Book Antiqua" w:cs="Book Antiqua"/>
          <w:color w:val="000000"/>
        </w:rPr>
        <w:t xml:space="preserve"> </w:t>
      </w:r>
      <w:r w:rsidR="00B7601A" w:rsidRPr="00E549DC">
        <w:rPr>
          <w:rFonts w:ascii="Book Antiqua" w:eastAsia="Book Antiqua" w:hAnsi="Book Antiqua" w:cs="Book Antiqua"/>
          <w:color w:val="000000"/>
        </w:rPr>
        <w:t xml:space="preserve">2021; </w:t>
      </w:r>
      <w:r w:rsidR="00B7601A" w:rsidRPr="00E549DC">
        <w:rPr>
          <w:rFonts w:ascii="Book Antiqua" w:eastAsia="Book Antiqua" w:hAnsi="Book Antiqua" w:cs="Book Antiqua"/>
          <w:b/>
          <w:color w:val="000000"/>
        </w:rPr>
        <w:t>39:</w:t>
      </w:r>
      <w:r w:rsidR="00B7601A" w:rsidRPr="00E549DC">
        <w:rPr>
          <w:rFonts w:ascii="Book Antiqua" w:eastAsia="Book Antiqua" w:hAnsi="Book Antiqua" w:cs="Book Antiqua"/>
          <w:color w:val="000000"/>
        </w:rPr>
        <w:t xml:space="preserve"> 293-293</w:t>
      </w:r>
      <w:r w:rsidRPr="00E549DC">
        <w:rPr>
          <w:rFonts w:ascii="Book Antiqua" w:eastAsia="Book Antiqua" w:hAnsi="Book Antiqua" w:cs="Book Antiqua"/>
          <w:color w:val="000000"/>
        </w:rPr>
        <w:t xml:space="preserve"> [DOI: 10.1200/JCO.2021.39.3_suppl.293]</w:t>
      </w:r>
    </w:p>
    <w:p w14:paraId="76201251" w14:textId="77777777" w:rsidR="003106BD" w:rsidRPr="00E549DC" w:rsidRDefault="003106BD" w:rsidP="00C55EEF">
      <w:pPr>
        <w:snapToGrid w:val="0"/>
        <w:spacing w:line="360" w:lineRule="auto"/>
        <w:jc w:val="both"/>
        <w:rPr>
          <w:rFonts w:ascii="Book Antiqua" w:hAnsi="Book Antiqua"/>
        </w:rPr>
      </w:pPr>
      <w:r w:rsidRPr="00E549DC">
        <w:rPr>
          <w:rFonts w:ascii="Book Antiqua" w:eastAsia="Book Antiqua" w:hAnsi="Book Antiqua" w:cs="Book Antiqua"/>
          <w:color w:val="000000"/>
        </w:rPr>
        <w:t xml:space="preserve">38 </w:t>
      </w:r>
      <w:r w:rsidRPr="00E549DC">
        <w:rPr>
          <w:rFonts w:ascii="Book Antiqua" w:eastAsia="Book Antiqua" w:hAnsi="Book Antiqua" w:cs="Book Antiqua"/>
          <w:b/>
          <w:bCs/>
          <w:color w:val="000000"/>
        </w:rPr>
        <w:t>Yamamoto Y</w:t>
      </w:r>
      <w:r w:rsidRPr="00E549DC">
        <w:rPr>
          <w:rFonts w:ascii="Book Antiqua" w:eastAsia="Book Antiqua" w:hAnsi="Book Antiqua" w:cs="Book Antiqua"/>
          <w:color w:val="000000"/>
        </w:rPr>
        <w:t xml:space="preserve">, Matsui J, Matsushima T, Obaishi H, Miyazaki K, Nakamura K, Tohyama O, Semba T, Yamaguchi A, Hoshi SS, Mimura F, Haneda T, Fukuda Y, Kamata JI, Takahashi K, Matsukura M, Wakabayashi T, Asada M, Nomoto KI, Watanabe T, Dezso Z, Yoshimatsu K, Funahashi Y, Tsuruoka A. Lenvatinib, an angiogenesis inhibitor targeting VEGFR/FGFR, shows broad antitumor activity in human tumor xenograft models associated with microvessel density and pericyte coverage. </w:t>
      </w:r>
      <w:r w:rsidRPr="00E549DC">
        <w:rPr>
          <w:rFonts w:ascii="Book Antiqua" w:eastAsia="Book Antiqua" w:hAnsi="Book Antiqua" w:cs="Book Antiqua"/>
          <w:i/>
          <w:iCs/>
          <w:color w:val="000000"/>
        </w:rPr>
        <w:t>Vasc Cell</w:t>
      </w:r>
      <w:r w:rsidRPr="00E549DC">
        <w:rPr>
          <w:rFonts w:ascii="Book Antiqua" w:eastAsia="Book Antiqua" w:hAnsi="Book Antiqua" w:cs="Book Antiqua"/>
          <w:color w:val="000000"/>
        </w:rPr>
        <w:t xml:space="preserve"> 2014; </w:t>
      </w:r>
      <w:r w:rsidRPr="00E549DC">
        <w:rPr>
          <w:rFonts w:ascii="Book Antiqua" w:eastAsia="Book Antiqua" w:hAnsi="Book Antiqua" w:cs="Book Antiqua"/>
          <w:b/>
          <w:bCs/>
          <w:color w:val="000000"/>
        </w:rPr>
        <w:t>6</w:t>
      </w:r>
      <w:r w:rsidRPr="00E549DC">
        <w:rPr>
          <w:rFonts w:ascii="Book Antiqua" w:eastAsia="Book Antiqua" w:hAnsi="Book Antiqua" w:cs="Book Antiqua"/>
          <w:color w:val="000000"/>
        </w:rPr>
        <w:t>: 18 [PMID: 25197551 DOI: 10.1186/2045-824X-6-18]</w:t>
      </w:r>
    </w:p>
    <w:p w14:paraId="476B9E58" w14:textId="77777777" w:rsidR="003106BD" w:rsidRPr="00E549DC" w:rsidRDefault="003106BD" w:rsidP="00C55EEF">
      <w:pPr>
        <w:snapToGrid w:val="0"/>
        <w:spacing w:line="360" w:lineRule="auto"/>
        <w:jc w:val="both"/>
        <w:rPr>
          <w:rFonts w:ascii="Book Antiqua" w:hAnsi="Book Antiqua"/>
        </w:rPr>
      </w:pPr>
      <w:r w:rsidRPr="00E549DC">
        <w:rPr>
          <w:rFonts w:ascii="Book Antiqua" w:eastAsia="Book Antiqua" w:hAnsi="Book Antiqua" w:cs="Book Antiqua"/>
          <w:color w:val="000000"/>
        </w:rPr>
        <w:t xml:space="preserve">39 </w:t>
      </w:r>
      <w:r w:rsidRPr="00E549DC">
        <w:rPr>
          <w:rFonts w:ascii="Book Antiqua" w:eastAsia="Book Antiqua" w:hAnsi="Book Antiqua" w:cs="Book Antiqua"/>
          <w:b/>
          <w:bCs/>
          <w:color w:val="000000"/>
        </w:rPr>
        <w:t>Okamoto K</w:t>
      </w:r>
      <w:r w:rsidRPr="00E549DC">
        <w:rPr>
          <w:rFonts w:ascii="Book Antiqua" w:eastAsia="Book Antiqua" w:hAnsi="Book Antiqua" w:cs="Book Antiqua"/>
          <w:color w:val="000000"/>
        </w:rPr>
        <w:t xml:space="preserve">, Ikemori-Kawada M, Jestel A, von König K, Funahashi Y, Matsushima T, Tsuruoka A, Inoue A, Matsui J. Distinct binding mode of multikinase inhibitor lenvatinib revealed by biochemical characterization. </w:t>
      </w:r>
      <w:r w:rsidRPr="00E549DC">
        <w:rPr>
          <w:rFonts w:ascii="Book Antiqua" w:eastAsia="Book Antiqua" w:hAnsi="Book Antiqua" w:cs="Book Antiqua"/>
          <w:i/>
          <w:iCs/>
          <w:color w:val="000000"/>
        </w:rPr>
        <w:t>ACS Med Chem Lett</w:t>
      </w:r>
      <w:r w:rsidRPr="00E549DC">
        <w:rPr>
          <w:rFonts w:ascii="Book Antiqua" w:eastAsia="Book Antiqua" w:hAnsi="Book Antiqua" w:cs="Book Antiqua"/>
          <w:color w:val="000000"/>
        </w:rPr>
        <w:t xml:space="preserve"> 2015; </w:t>
      </w:r>
      <w:r w:rsidRPr="00E549DC">
        <w:rPr>
          <w:rFonts w:ascii="Book Antiqua" w:eastAsia="Book Antiqua" w:hAnsi="Book Antiqua" w:cs="Book Antiqua"/>
          <w:b/>
          <w:bCs/>
          <w:color w:val="000000"/>
        </w:rPr>
        <w:t>6</w:t>
      </w:r>
      <w:r w:rsidRPr="00E549DC">
        <w:rPr>
          <w:rFonts w:ascii="Book Antiqua" w:eastAsia="Book Antiqua" w:hAnsi="Book Antiqua" w:cs="Book Antiqua"/>
          <w:color w:val="000000"/>
        </w:rPr>
        <w:t>: 89-94 [PMID: 25589937 DOI: 10.1021/mL500394m]</w:t>
      </w:r>
    </w:p>
    <w:p w14:paraId="06A6659F" w14:textId="77777777" w:rsidR="003106BD" w:rsidRPr="00E549DC" w:rsidRDefault="003106BD" w:rsidP="00C55EEF">
      <w:pPr>
        <w:snapToGrid w:val="0"/>
        <w:spacing w:line="360" w:lineRule="auto"/>
        <w:jc w:val="both"/>
        <w:rPr>
          <w:rFonts w:ascii="Book Antiqua" w:hAnsi="Book Antiqua"/>
        </w:rPr>
      </w:pPr>
      <w:r w:rsidRPr="00E549DC">
        <w:rPr>
          <w:rFonts w:ascii="Book Antiqua" w:eastAsia="Book Antiqua" w:hAnsi="Book Antiqua" w:cs="Book Antiqua"/>
          <w:color w:val="000000"/>
        </w:rPr>
        <w:t xml:space="preserve">40 </w:t>
      </w:r>
      <w:r w:rsidRPr="00E549DC">
        <w:rPr>
          <w:rFonts w:ascii="Book Antiqua" w:eastAsia="Book Antiqua" w:hAnsi="Book Antiqua" w:cs="Book Antiqua"/>
          <w:b/>
          <w:bCs/>
          <w:color w:val="000000"/>
        </w:rPr>
        <w:t>Kato Y</w:t>
      </w:r>
      <w:r w:rsidRPr="00E549DC">
        <w:rPr>
          <w:rFonts w:ascii="Book Antiqua" w:eastAsia="Book Antiqua" w:hAnsi="Book Antiqua" w:cs="Book Antiqua"/>
          <w:color w:val="000000"/>
        </w:rPr>
        <w:t xml:space="preserve">, Tabata K, Kimura T, Yachie-Kinoshita A, Ozawa Y, Yamada K, Ito J, Tachino S, Hori Y, Matsuki M, Matsuoka Y, Ghosh S, Kitano H, Nomoto K, Matsui J, Funahashi Y. Lenvatinib plus anti-PD-1 antibody combination treatment activates CD8+ T cells through reduction of tumor-associated macrophage and activation of the interferon pathway. </w:t>
      </w:r>
      <w:r w:rsidRPr="00E549DC">
        <w:rPr>
          <w:rFonts w:ascii="Book Antiqua" w:eastAsia="Book Antiqua" w:hAnsi="Book Antiqua" w:cs="Book Antiqua"/>
          <w:i/>
          <w:iCs/>
          <w:color w:val="000000"/>
        </w:rPr>
        <w:t>PLoS One</w:t>
      </w:r>
      <w:r w:rsidRPr="00E549DC">
        <w:rPr>
          <w:rFonts w:ascii="Book Antiqua" w:eastAsia="Book Antiqua" w:hAnsi="Book Antiqua" w:cs="Book Antiqua"/>
          <w:color w:val="000000"/>
        </w:rPr>
        <w:t xml:space="preserve"> 2019; </w:t>
      </w:r>
      <w:r w:rsidRPr="00E549DC">
        <w:rPr>
          <w:rFonts w:ascii="Book Antiqua" w:eastAsia="Book Antiqua" w:hAnsi="Book Antiqua" w:cs="Book Antiqua"/>
          <w:b/>
          <w:bCs/>
          <w:color w:val="000000"/>
        </w:rPr>
        <w:t>14</w:t>
      </w:r>
      <w:r w:rsidRPr="00E549DC">
        <w:rPr>
          <w:rFonts w:ascii="Book Antiqua" w:eastAsia="Book Antiqua" w:hAnsi="Book Antiqua" w:cs="Book Antiqua"/>
          <w:color w:val="000000"/>
        </w:rPr>
        <w:t>: e0212513 [PMID: 30811474 DOI: 10.1371/journal.pone.0212513]</w:t>
      </w:r>
    </w:p>
    <w:p w14:paraId="38953B76" w14:textId="77777777" w:rsidR="003106BD" w:rsidRPr="00E549DC" w:rsidRDefault="003106BD" w:rsidP="00C55EEF">
      <w:pPr>
        <w:snapToGrid w:val="0"/>
        <w:spacing w:line="360" w:lineRule="auto"/>
        <w:jc w:val="both"/>
        <w:rPr>
          <w:rFonts w:ascii="Book Antiqua" w:hAnsi="Book Antiqua"/>
        </w:rPr>
      </w:pPr>
      <w:r w:rsidRPr="00E549DC">
        <w:rPr>
          <w:rFonts w:ascii="Book Antiqua" w:eastAsia="Book Antiqua" w:hAnsi="Book Antiqua" w:cs="Book Antiqua"/>
          <w:color w:val="000000"/>
        </w:rPr>
        <w:lastRenderedPageBreak/>
        <w:t xml:space="preserve">41 </w:t>
      </w:r>
      <w:r w:rsidRPr="00E549DC">
        <w:rPr>
          <w:rFonts w:ascii="Book Antiqua" w:eastAsia="Book Antiqua" w:hAnsi="Book Antiqua" w:cs="Book Antiqua"/>
          <w:b/>
          <w:bCs/>
          <w:color w:val="000000"/>
        </w:rPr>
        <w:t>Zhang Q</w:t>
      </w:r>
      <w:r w:rsidRPr="00E549DC">
        <w:rPr>
          <w:rFonts w:ascii="Book Antiqua" w:eastAsia="Book Antiqua" w:hAnsi="Book Antiqua" w:cs="Book Antiqua"/>
          <w:color w:val="000000"/>
        </w:rPr>
        <w:t xml:space="preserve">, Liu H, Wang H, Lu M, Miao Y, Ding J, Li H, Gao X, Sun S, Zheng J. Lenvatinib promotes antitumor immunity by enhancing the tumor infiltration and activation of NK cells. </w:t>
      </w:r>
      <w:r w:rsidRPr="00E549DC">
        <w:rPr>
          <w:rFonts w:ascii="Book Antiqua" w:eastAsia="Book Antiqua" w:hAnsi="Book Antiqua" w:cs="Book Antiqua"/>
          <w:i/>
          <w:iCs/>
          <w:color w:val="000000"/>
        </w:rPr>
        <w:t>Am J Cancer Res</w:t>
      </w:r>
      <w:r w:rsidRPr="00E549DC">
        <w:rPr>
          <w:rFonts w:ascii="Book Antiqua" w:eastAsia="Book Antiqua" w:hAnsi="Book Antiqua" w:cs="Book Antiqua"/>
          <w:color w:val="000000"/>
        </w:rPr>
        <w:t xml:space="preserve"> 2019; </w:t>
      </w:r>
      <w:r w:rsidRPr="00E549DC">
        <w:rPr>
          <w:rFonts w:ascii="Book Antiqua" w:eastAsia="Book Antiqua" w:hAnsi="Book Antiqua" w:cs="Book Antiqua"/>
          <w:b/>
          <w:bCs/>
          <w:color w:val="000000"/>
        </w:rPr>
        <w:t>9</w:t>
      </w:r>
      <w:r w:rsidRPr="00E549DC">
        <w:rPr>
          <w:rFonts w:ascii="Book Antiqua" w:eastAsia="Book Antiqua" w:hAnsi="Book Antiqua" w:cs="Book Antiqua"/>
          <w:color w:val="000000"/>
        </w:rPr>
        <w:t>: 1382-1395 [PMID: 31392076]</w:t>
      </w:r>
    </w:p>
    <w:p w14:paraId="5016E845" w14:textId="77777777" w:rsidR="003106BD" w:rsidRPr="00E549DC" w:rsidRDefault="003106BD" w:rsidP="00C55EEF">
      <w:pPr>
        <w:snapToGrid w:val="0"/>
        <w:spacing w:line="360" w:lineRule="auto"/>
        <w:jc w:val="both"/>
        <w:rPr>
          <w:rFonts w:ascii="Book Antiqua" w:hAnsi="Book Antiqua"/>
        </w:rPr>
      </w:pPr>
      <w:r w:rsidRPr="00E549DC">
        <w:rPr>
          <w:rFonts w:ascii="Book Antiqua" w:eastAsia="Book Antiqua" w:hAnsi="Book Antiqua" w:cs="Book Antiqua"/>
          <w:color w:val="000000"/>
        </w:rPr>
        <w:t xml:space="preserve">42 </w:t>
      </w:r>
      <w:r w:rsidRPr="00E549DC">
        <w:rPr>
          <w:rFonts w:ascii="Book Antiqua" w:eastAsia="Book Antiqua" w:hAnsi="Book Antiqua" w:cs="Book Antiqua"/>
          <w:b/>
          <w:bCs/>
          <w:color w:val="000000"/>
        </w:rPr>
        <w:t>Zhu RX</w:t>
      </w:r>
      <w:r w:rsidRPr="00E549DC">
        <w:rPr>
          <w:rFonts w:ascii="Book Antiqua" w:eastAsia="Book Antiqua" w:hAnsi="Book Antiqua" w:cs="Book Antiqua"/>
          <w:color w:val="000000"/>
        </w:rPr>
        <w:t xml:space="preserve">, Seto WK, Lai CL, Yuen MF. Epidemiology of Hepatocellular Carcinoma in the Asia-Pacific Region. </w:t>
      </w:r>
      <w:r w:rsidRPr="00E549DC">
        <w:rPr>
          <w:rFonts w:ascii="Book Antiqua" w:eastAsia="Book Antiqua" w:hAnsi="Book Antiqua" w:cs="Book Antiqua"/>
          <w:i/>
          <w:iCs/>
          <w:color w:val="000000"/>
        </w:rPr>
        <w:t>Gut Liver</w:t>
      </w:r>
      <w:r w:rsidRPr="00E549DC">
        <w:rPr>
          <w:rFonts w:ascii="Book Antiqua" w:eastAsia="Book Antiqua" w:hAnsi="Book Antiqua" w:cs="Book Antiqua"/>
          <w:color w:val="000000"/>
        </w:rPr>
        <w:t xml:space="preserve"> 2016; </w:t>
      </w:r>
      <w:r w:rsidRPr="00E549DC">
        <w:rPr>
          <w:rFonts w:ascii="Book Antiqua" w:eastAsia="Book Antiqua" w:hAnsi="Book Antiqua" w:cs="Book Antiqua"/>
          <w:b/>
          <w:bCs/>
          <w:color w:val="000000"/>
        </w:rPr>
        <w:t>10</w:t>
      </w:r>
      <w:r w:rsidRPr="00E549DC">
        <w:rPr>
          <w:rFonts w:ascii="Book Antiqua" w:eastAsia="Book Antiqua" w:hAnsi="Book Antiqua" w:cs="Book Antiqua"/>
          <w:color w:val="000000"/>
        </w:rPr>
        <w:t>: 332-339 [PMID: 27114433 DOI: 10.5009/gnl15257]</w:t>
      </w:r>
    </w:p>
    <w:p w14:paraId="19D98712" w14:textId="77777777" w:rsidR="003106BD" w:rsidRPr="00E549DC" w:rsidRDefault="003106BD" w:rsidP="00C55EEF">
      <w:pPr>
        <w:snapToGrid w:val="0"/>
        <w:spacing w:line="360" w:lineRule="auto"/>
        <w:jc w:val="both"/>
        <w:rPr>
          <w:rFonts w:ascii="Book Antiqua" w:hAnsi="Book Antiqua"/>
        </w:rPr>
      </w:pPr>
      <w:r w:rsidRPr="00E549DC">
        <w:rPr>
          <w:rFonts w:ascii="Book Antiqua" w:eastAsia="Book Antiqua" w:hAnsi="Book Antiqua" w:cs="Book Antiqua"/>
          <w:color w:val="000000"/>
        </w:rPr>
        <w:t xml:space="preserve">43 </w:t>
      </w:r>
      <w:r w:rsidRPr="00E549DC">
        <w:rPr>
          <w:rFonts w:ascii="Book Antiqua" w:eastAsia="Book Antiqua" w:hAnsi="Book Antiqua" w:cs="Book Antiqua"/>
          <w:b/>
          <w:bCs/>
          <w:color w:val="000000"/>
        </w:rPr>
        <w:t>Fan JH</w:t>
      </w:r>
      <w:r w:rsidRPr="00E549DC">
        <w:rPr>
          <w:rFonts w:ascii="Book Antiqua" w:eastAsia="Book Antiqua" w:hAnsi="Book Antiqua" w:cs="Book Antiqua"/>
          <w:color w:val="000000"/>
        </w:rPr>
        <w:t xml:space="preserve">, Wang JB, Jiang Y, Xiang W, Liang H, Wei WQ, Qiao YL, Boffetta P. Attributable causes of liver cancer mortality and incidence in china. </w:t>
      </w:r>
      <w:r w:rsidRPr="00E549DC">
        <w:rPr>
          <w:rFonts w:ascii="Book Antiqua" w:eastAsia="Book Antiqua" w:hAnsi="Book Antiqua" w:cs="Book Antiqua"/>
          <w:i/>
          <w:iCs/>
          <w:color w:val="000000"/>
        </w:rPr>
        <w:t>Asian Pac J Cancer Prev</w:t>
      </w:r>
      <w:r w:rsidRPr="00E549DC">
        <w:rPr>
          <w:rFonts w:ascii="Book Antiqua" w:eastAsia="Book Antiqua" w:hAnsi="Book Antiqua" w:cs="Book Antiqua"/>
          <w:color w:val="000000"/>
        </w:rPr>
        <w:t xml:space="preserve"> 2013; </w:t>
      </w:r>
      <w:r w:rsidRPr="00E549DC">
        <w:rPr>
          <w:rFonts w:ascii="Book Antiqua" w:eastAsia="Book Antiqua" w:hAnsi="Book Antiqua" w:cs="Book Antiqua"/>
          <w:b/>
          <w:bCs/>
          <w:color w:val="000000"/>
        </w:rPr>
        <w:t>14</w:t>
      </w:r>
      <w:r w:rsidRPr="00E549DC">
        <w:rPr>
          <w:rFonts w:ascii="Book Antiqua" w:eastAsia="Book Antiqua" w:hAnsi="Book Antiqua" w:cs="Book Antiqua"/>
          <w:color w:val="000000"/>
        </w:rPr>
        <w:t>: 7251-7256 [PMID: 24460283 DOI: 10.7314/apjcp.2013.14.12.7251]</w:t>
      </w:r>
    </w:p>
    <w:p w14:paraId="491F7583" w14:textId="77777777" w:rsidR="003106BD" w:rsidRPr="00E549DC" w:rsidRDefault="003106BD" w:rsidP="00C55EEF">
      <w:pPr>
        <w:snapToGrid w:val="0"/>
        <w:spacing w:line="360" w:lineRule="auto"/>
        <w:jc w:val="both"/>
        <w:rPr>
          <w:rFonts w:ascii="Book Antiqua" w:hAnsi="Book Antiqua"/>
        </w:rPr>
      </w:pPr>
      <w:r w:rsidRPr="00E549DC">
        <w:rPr>
          <w:rFonts w:ascii="Book Antiqua" w:eastAsia="Book Antiqua" w:hAnsi="Book Antiqua" w:cs="Book Antiqua"/>
          <w:color w:val="000000"/>
        </w:rPr>
        <w:t xml:space="preserve">44 </w:t>
      </w:r>
      <w:r w:rsidRPr="00E549DC">
        <w:rPr>
          <w:rFonts w:ascii="Book Antiqua" w:eastAsia="Book Antiqua" w:hAnsi="Book Antiqua" w:cs="Book Antiqua"/>
          <w:b/>
          <w:bCs/>
          <w:color w:val="000000"/>
        </w:rPr>
        <w:t>Casadei Gardini A</w:t>
      </w:r>
      <w:r w:rsidRPr="00E549DC">
        <w:rPr>
          <w:rFonts w:ascii="Book Antiqua" w:eastAsia="Book Antiqua" w:hAnsi="Book Antiqua" w:cs="Book Antiqua"/>
          <w:color w:val="000000"/>
        </w:rPr>
        <w:t xml:space="preserve">, Puzzoni M, Montagnani F, Marisi G, Tamburini E, Cucchetti A, Solaini L, Foschi FG, Conti F, Ercolani G, Cascinu S, Scartozzi M. Profile of lenvatinib in the treatment of hepatocellular carcinoma: design, development, potential place in therapy and network meta-analysis of hepatitis B and hepatitis C in all Phase III trials. </w:t>
      </w:r>
      <w:r w:rsidRPr="00E549DC">
        <w:rPr>
          <w:rFonts w:ascii="Book Antiqua" w:eastAsia="Book Antiqua" w:hAnsi="Book Antiqua" w:cs="Book Antiqua"/>
          <w:i/>
          <w:iCs/>
          <w:color w:val="000000"/>
        </w:rPr>
        <w:t>Onco Targets Ther</w:t>
      </w:r>
      <w:r w:rsidRPr="00E549DC">
        <w:rPr>
          <w:rFonts w:ascii="Book Antiqua" w:eastAsia="Book Antiqua" w:hAnsi="Book Antiqua" w:cs="Book Antiqua"/>
          <w:color w:val="000000"/>
        </w:rPr>
        <w:t xml:space="preserve"> 2019; </w:t>
      </w:r>
      <w:r w:rsidRPr="00E549DC">
        <w:rPr>
          <w:rFonts w:ascii="Book Antiqua" w:eastAsia="Book Antiqua" w:hAnsi="Book Antiqua" w:cs="Book Antiqua"/>
          <w:b/>
          <w:bCs/>
          <w:color w:val="000000"/>
        </w:rPr>
        <w:t>12</w:t>
      </w:r>
      <w:r w:rsidRPr="00E549DC">
        <w:rPr>
          <w:rFonts w:ascii="Book Antiqua" w:eastAsia="Book Antiqua" w:hAnsi="Book Antiqua" w:cs="Book Antiqua"/>
          <w:color w:val="000000"/>
        </w:rPr>
        <w:t>: 2981-2988 [PMID: 31118665 DOI: 10.2147/OTT.S192572]</w:t>
      </w:r>
    </w:p>
    <w:p w14:paraId="56EBF05D" w14:textId="77777777" w:rsidR="003106BD" w:rsidRPr="00E549DC" w:rsidRDefault="003106BD" w:rsidP="00C55EEF">
      <w:pPr>
        <w:snapToGrid w:val="0"/>
        <w:spacing w:line="360" w:lineRule="auto"/>
        <w:jc w:val="both"/>
        <w:rPr>
          <w:rFonts w:ascii="Book Antiqua" w:hAnsi="Book Antiqua"/>
        </w:rPr>
      </w:pPr>
      <w:r w:rsidRPr="00E549DC">
        <w:rPr>
          <w:rFonts w:ascii="Book Antiqua" w:eastAsia="Book Antiqua" w:hAnsi="Book Antiqua" w:cs="Book Antiqua"/>
          <w:color w:val="000000"/>
        </w:rPr>
        <w:t xml:space="preserve">45 </w:t>
      </w:r>
      <w:r w:rsidRPr="00E549DC">
        <w:rPr>
          <w:rFonts w:ascii="Book Antiqua" w:eastAsia="Book Antiqua" w:hAnsi="Book Antiqua" w:cs="Book Antiqua"/>
          <w:b/>
          <w:bCs/>
          <w:color w:val="000000"/>
        </w:rPr>
        <w:t>Park J</w:t>
      </w:r>
      <w:r w:rsidRPr="00E549DC">
        <w:rPr>
          <w:rFonts w:ascii="Book Antiqua" w:eastAsia="Book Antiqua" w:hAnsi="Book Antiqua" w:cs="Book Antiqua"/>
          <w:color w:val="000000"/>
        </w:rPr>
        <w:t xml:space="preserve">, Cho J, Lim JH, Lee MH, Kim J. Relative Efficacy of Systemic Treatments for Patients with Advanced Hepatocellular Carcinoma According to Viral Status: A Systematic Review and Network Meta-Analysis. </w:t>
      </w:r>
      <w:r w:rsidRPr="00E549DC">
        <w:rPr>
          <w:rFonts w:ascii="Book Antiqua" w:eastAsia="Book Antiqua" w:hAnsi="Book Antiqua" w:cs="Book Antiqua"/>
          <w:i/>
          <w:iCs/>
          <w:color w:val="000000"/>
        </w:rPr>
        <w:t>Target Oncol</w:t>
      </w:r>
      <w:r w:rsidRPr="00E549DC">
        <w:rPr>
          <w:rFonts w:ascii="Book Antiqua" w:eastAsia="Book Antiqua" w:hAnsi="Book Antiqua" w:cs="Book Antiqua"/>
          <w:color w:val="000000"/>
        </w:rPr>
        <w:t xml:space="preserve"> 2019; </w:t>
      </w:r>
      <w:r w:rsidRPr="00E549DC">
        <w:rPr>
          <w:rFonts w:ascii="Book Antiqua" w:eastAsia="Book Antiqua" w:hAnsi="Book Antiqua" w:cs="Book Antiqua"/>
          <w:b/>
          <w:bCs/>
          <w:color w:val="000000"/>
        </w:rPr>
        <w:t>14</w:t>
      </w:r>
      <w:r w:rsidRPr="00E549DC">
        <w:rPr>
          <w:rFonts w:ascii="Book Antiqua" w:eastAsia="Book Antiqua" w:hAnsi="Book Antiqua" w:cs="Book Antiqua"/>
          <w:color w:val="000000"/>
        </w:rPr>
        <w:t>: 395-403 [PMID: 31290003 DOI: 10.1007/s11523-019-00651-7]</w:t>
      </w:r>
    </w:p>
    <w:p w14:paraId="34710E75" w14:textId="3931503C" w:rsidR="003106BD" w:rsidRPr="00E549DC" w:rsidRDefault="003106BD" w:rsidP="00C55EEF">
      <w:pPr>
        <w:snapToGrid w:val="0"/>
        <w:spacing w:line="360" w:lineRule="auto"/>
        <w:jc w:val="both"/>
        <w:rPr>
          <w:rFonts w:ascii="Book Antiqua" w:hAnsi="Book Antiqua"/>
        </w:rPr>
      </w:pPr>
      <w:r w:rsidRPr="00E549DC">
        <w:rPr>
          <w:rFonts w:ascii="Book Antiqua" w:eastAsia="Book Antiqua" w:hAnsi="Book Antiqua" w:cs="Book Antiqua"/>
          <w:color w:val="000000"/>
        </w:rPr>
        <w:t xml:space="preserve">46 </w:t>
      </w:r>
      <w:r w:rsidRPr="00E549DC">
        <w:rPr>
          <w:rFonts w:ascii="Book Antiqua" w:eastAsia="Book Antiqua" w:hAnsi="Book Antiqua" w:cs="Book Antiqua"/>
          <w:b/>
          <w:bCs/>
          <w:color w:val="000000"/>
        </w:rPr>
        <w:t>Department of Medical Administration,</w:t>
      </w:r>
      <w:r w:rsidRPr="00E549DC">
        <w:rPr>
          <w:rFonts w:ascii="Book Antiqua" w:eastAsia="Book Antiqua" w:hAnsi="Book Antiqua" w:cs="Book Antiqua"/>
          <w:bCs/>
          <w:color w:val="000000"/>
        </w:rPr>
        <w:t xml:space="preserve"> National Health and Health Commission of the People's Republic of China</w:t>
      </w:r>
      <w:r w:rsidRPr="00E549DC">
        <w:rPr>
          <w:rFonts w:ascii="Book Antiqua" w:eastAsia="Book Antiqua" w:hAnsi="Book Antiqua" w:cs="Book Antiqua"/>
          <w:color w:val="000000"/>
        </w:rPr>
        <w:t xml:space="preserve">. [Guidelines for diagnosis and treatment of primary liver cancer in China (2019 edition)]. </w:t>
      </w:r>
      <w:r w:rsidRPr="00E549DC">
        <w:rPr>
          <w:rFonts w:ascii="Book Antiqua" w:eastAsia="Book Antiqua" w:hAnsi="Book Antiqua" w:cs="Book Antiqua"/>
          <w:i/>
          <w:iCs/>
          <w:color w:val="000000"/>
        </w:rPr>
        <w:t>Zhonghua Gan Zang Bing Za Zhi</w:t>
      </w:r>
      <w:r w:rsidRPr="00E549DC">
        <w:rPr>
          <w:rFonts w:ascii="Book Antiqua" w:eastAsia="Book Antiqua" w:hAnsi="Book Antiqua" w:cs="Book Antiqua"/>
          <w:color w:val="000000"/>
        </w:rPr>
        <w:t xml:space="preserve"> 2020; </w:t>
      </w:r>
      <w:r w:rsidRPr="00E549DC">
        <w:rPr>
          <w:rFonts w:ascii="Book Antiqua" w:eastAsia="Book Antiqua" w:hAnsi="Book Antiqua" w:cs="Book Antiqua"/>
          <w:b/>
          <w:bCs/>
          <w:color w:val="000000"/>
        </w:rPr>
        <w:t>28</w:t>
      </w:r>
      <w:r w:rsidRPr="00E549DC">
        <w:rPr>
          <w:rFonts w:ascii="Book Antiqua" w:eastAsia="Book Antiqua" w:hAnsi="Book Antiqua" w:cs="Book Antiqua"/>
          <w:color w:val="000000"/>
        </w:rPr>
        <w:t>: 112-128 [PMID: 32164061 DOI: 10.3760/cma.j.issn.1007-3418.2020.02.004]</w:t>
      </w:r>
    </w:p>
    <w:p w14:paraId="70445CD7" w14:textId="77777777" w:rsidR="003106BD" w:rsidRPr="00E549DC" w:rsidRDefault="003106BD" w:rsidP="00C55EEF">
      <w:pPr>
        <w:snapToGrid w:val="0"/>
        <w:spacing w:line="360" w:lineRule="auto"/>
        <w:jc w:val="both"/>
        <w:rPr>
          <w:rFonts w:ascii="Book Antiqua" w:hAnsi="Book Antiqua"/>
        </w:rPr>
      </w:pPr>
      <w:r w:rsidRPr="00E549DC">
        <w:rPr>
          <w:rFonts w:ascii="Book Antiqua" w:eastAsia="Book Antiqua" w:hAnsi="Book Antiqua" w:cs="Book Antiqua"/>
          <w:color w:val="000000"/>
        </w:rPr>
        <w:t xml:space="preserve">47 </w:t>
      </w:r>
      <w:r w:rsidRPr="00E549DC">
        <w:rPr>
          <w:rFonts w:ascii="Book Antiqua" w:eastAsia="Book Antiqua" w:hAnsi="Book Antiqua" w:cs="Book Antiqua"/>
          <w:b/>
          <w:bCs/>
          <w:color w:val="000000"/>
        </w:rPr>
        <w:t>Yen CJ</w:t>
      </w:r>
      <w:r w:rsidRPr="00E549DC">
        <w:rPr>
          <w:rFonts w:ascii="Book Antiqua" w:eastAsia="Book Antiqua" w:hAnsi="Book Antiqua" w:cs="Book Antiqua"/>
          <w:color w:val="000000"/>
        </w:rPr>
        <w:t xml:space="preserve">, Kim TY, Feng YH, Chao Y, Lin DY, Ryoo BY, Huang DC, Schnell D, Hocke J, Loembé AB, Cheng AL. A Phase I/Randomized Phase II Study to Evaluate the Safety, Pharmacokinetics, and Efficacy of Nintedanib </w:t>
      </w:r>
      <w:r w:rsidRPr="00E549DC">
        <w:rPr>
          <w:rFonts w:ascii="Book Antiqua" w:eastAsia="Book Antiqua" w:hAnsi="Book Antiqua" w:cs="Book Antiqua"/>
          <w:i/>
          <w:iCs/>
          <w:color w:val="000000"/>
        </w:rPr>
        <w:t>vs</w:t>
      </w:r>
      <w:r w:rsidRPr="00E549DC">
        <w:rPr>
          <w:rFonts w:ascii="Book Antiqua" w:eastAsia="Book Antiqua" w:hAnsi="Book Antiqua" w:cs="Book Antiqua"/>
          <w:color w:val="000000"/>
        </w:rPr>
        <w:t xml:space="preserve"> Sorafenib in Asian Patients with Advanced Hepatocellular Carcinoma. </w:t>
      </w:r>
      <w:r w:rsidRPr="00E549DC">
        <w:rPr>
          <w:rFonts w:ascii="Book Antiqua" w:eastAsia="Book Antiqua" w:hAnsi="Book Antiqua" w:cs="Book Antiqua"/>
          <w:i/>
          <w:iCs/>
          <w:color w:val="000000"/>
        </w:rPr>
        <w:t>Liver Cancer</w:t>
      </w:r>
      <w:r w:rsidRPr="00E549DC">
        <w:rPr>
          <w:rFonts w:ascii="Book Antiqua" w:eastAsia="Book Antiqua" w:hAnsi="Book Antiqua" w:cs="Book Antiqua"/>
          <w:color w:val="000000"/>
        </w:rPr>
        <w:t xml:space="preserve"> 2018; </w:t>
      </w:r>
      <w:r w:rsidRPr="00E549DC">
        <w:rPr>
          <w:rFonts w:ascii="Book Antiqua" w:eastAsia="Book Antiqua" w:hAnsi="Book Antiqua" w:cs="Book Antiqua"/>
          <w:b/>
          <w:bCs/>
          <w:color w:val="000000"/>
        </w:rPr>
        <w:t>7</w:t>
      </w:r>
      <w:r w:rsidRPr="00E549DC">
        <w:rPr>
          <w:rFonts w:ascii="Book Antiqua" w:eastAsia="Book Antiqua" w:hAnsi="Book Antiqua" w:cs="Book Antiqua"/>
          <w:color w:val="000000"/>
        </w:rPr>
        <w:t>: 165-178 [PMID: 29888206 DOI: 10.1159/000486460]</w:t>
      </w:r>
    </w:p>
    <w:p w14:paraId="09AAA91B" w14:textId="77777777" w:rsidR="003106BD" w:rsidRPr="00E549DC" w:rsidRDefault="003106BD" w:rsidP="00C55EEF">
      <w:pPr>
        <w:snapToGrid w:val="0"/>
        <w:spacing w:line="360" w:lineRule="auto"/>
        <w:jc w:val="both"/>
        <w:rPr>
          <w:rFonts w:ascii="Book Antiqua" w:hAnsi="Book Antiqua"/>
        </w:rPr>
      </w:pPr>
      <w:r w:rsidRPr="00E549DC">
        <w:rPr>
          <w:rFonts w:ascii="Book Antiqua" w:eastAsia="Book Antiqua" w:hAnsi="Book Antiqua" w:cs="Book Antiqua"/>
          <w:color w:val="000000"/>
        </w:rPr>
        <w:t xml:space="preserve">48 </w:t>
      </w:r>
      <w:r w:rsidRPr="00E549DC">
        <w:rPr>
          <w:rFonts w:ascii="Book Antiqua" w:eastAsia="Book Antiqua" w:hAnsi="Book Antiqua" w:cs="Book Antiqua"/>
          <w:b/>
          <w:bCs/>
          <w:color w:val="000000"/>
        </w:rPr>
        <w:t>Ciuleanu T</w:t>
      </w:r>
      <w:r w:rsidRPr="00E549DC">
        <w:rPr>
          <w:rFonts w:ascii="Book Antiqua" w:eastAsia="Book Antiqua" w:hAnsi="Book Antiqua" w:cs="Book Antiqua"/>
          <w:color w:val="000000"/>
        </w:rPr>
        <w:t xml:space="preserve">, Bazin I, Lungulescu D, Miron L, Bondarenko I, Deptala A, Rodriguez-Torres M, Giantonio B, Fox NL, Wissel P, Egger J, Ding M, Kalyani RN, Humphreys R, Gribbin M, Sun W. A randomized, double-blind, placebo-controlled phase II study to assess the efficacy and safety of mapatumumab with sorafenib in patients with advanced hepatocellular carcinoma. </w:t>
      </w:r>
      <w:r w:rsidRPr="00E549DC">
        <w:rPr>
          <w:rFonts w:ascii="Book Antiqua" w:eastAsia="Book Antiqua" w:hAnsi="Book Antiqua" w:cs="Book Antiqua"/>
          <w:i/>
          <w:iCs/>
          <w:color w:val="000000"/>
        </w:rPr>
        <w:t>Ann Oncol</w:t>
      </w:r>
      <w:r w:rsidRPr="00E549DC">
        <w:rPr>
          <w:rFonts w:ascii="Book Antiqua" w:eastAsia="Book Antiqua" w:hAnsi="Book Antiqua" w:cs="Book Antiqua"/>
          <w:color w:val="000000"/>
        </w:rPr>
        <w:t xml:space="preserve"> 2016; </w:t>
      </w:r>
      <w:r w:rsidRPr="00E549DC">
        <w:rPr>
          <w:rFonts w:ascii="Book Antiqua" w:eastAsia="Book Antiqua" w:hAnsi="Book Antiqua" w:cs="Book Antiqua"/>
          <w:b/>
          <w:bCs/>
          <w:color w:val="000000"/>
        </w:rPr>
        <w:t>27</w:t>
      </w:r>
      <w:r w:rsidRPr="00E549DC">
        <w:rPr>
          <w:rFonts w:ascii="Book Antiqua" w:eastAsia="Book Antiqua" w:hAnsi="Book Antiqua" w:cs="Book Antiqua"/>
          <w:color w:val="000000"/>
        </w:rPr>
        <w:t>: 680-687 [PMID: 26802147 DOI: 10.1093/annonc/mdw004]</w:t>
      </w:r>
    </w:p>
    <w:p w14:paraId="7326342B" w14:textId="77777777" w:rsidR="003106BD" w:rsidRPr="00E549DC" w:rsidRDefault="003106BD" w:rsidP="00C55EEF">
      <w:pPr>
        <w:snapToGrid w:val="0"/>
        <w:spacing w:line="360" w:lineRule="auto"/>
        <w:jc w:val="both"/>
        <w:rPr>
          <w:rFonts w:ascii="Book Antiqua" w:hAnsi="Book Antiqua"/>
        </w:rPr>
      </w:pPr>
      <w:r w:rsidRPr="00E549DC">
        <w:rPr>
          <w:rFonts w:ascii="Book Antiqua" w:eastAsia="Book Antiqua" w:hAnsi="Book Antiqua" w:cs="Book Antiqua"/>
          <w:color w:val="000000"/>
        </w:rPr>
        <w:t xml:space="preserve">49 </w:t>
      </w:r>
      <w:r w:rsidRPr="00E549DC">
        <w:rPr>
          <w:rFonts w:ascii="Book Antiqua" w:eastAsia="Book Antiqua" w:hAnsi="Book Antiqua" w:cs="Book Antiqua"/>
          <w:b/>
          <w:bCs/>
          <w:color w:val="000000"/>
        </w:rPr>
        <w:t>Abou-Alfa GK</w:t>
      </w:r>
      <w:r w:rsidRPr="00E549DC">
        <w:rPr>
          <w:rFonts w:ascii="Book Antiqua" w:eastAsia="Book Antiqua" w:hAnsi="Book Antiqua" w:cs="Book Antiqua"/>
          <w:color w:val="000000"/>
        </w:rPr>
        <w:t xml:space="preserve">, Johnson P, Knox JJ, Capanu M, Davidenko I, Lacava J, Leung T, Gansukh B, Saltz LB. Doxorubicin plus sorafenib </w:t>
      </w:r>
      <w:r w:rsidRPr="00E549DC">
        <w:rPr>
          <w:rFonts w:ascii="Book Antiqua" w:eastAsia="Book Antiqua" w:hAnsi="Book Antiqua" w:cs="Book Antiqua"/>
          <w:i/>
          <w:iCs/>
          <w:color w:val="000000"/>
        </w:rPr>
        <w:t>vs</w:t>
      </w:r>
      <w:r w:rsidRPr="00E549DC">
        <w:rPr>
          <w:rFonts w:ascii="Book Antiqua" w:eastAsia="Book Antiqua" w:hAnsi="Book Antiqua" w:cs="Book Antiqua"/>
          <w:color w:val="000000"/>
        </w:rPr>
        <w:t xml:space="preserve"> doxorubicin alone in patients with advanced hepatocellular carcinoma: a randomized trial. </w:t>
      </w:r>
      <w:r w:rsidRPr="00E549DC">
        <w:rPr>
          <w:rFonts w:ascii="Book Antiqua" w:eastAsia="Book Antiqua" w:hAnsi="Book Antiqua" w:cs="Book Antiqua"/>
          <w:i/>
          <w:iCs/>
          <w:color w:val="000000"/>
        </w:rPr>
        <w:t>JAMA</w:t>
      </w:r>
      <w:r w:rsidRPr="00E549DC">
        <w:rPr>
          <w:rFonts w:ascii="Book Antiqua" w:eastAsia="Book Antiqua" w:hAnsi="Book Antiqua" w:cs="Book Antiqua"/>
          <w:color w:val="000000"/>
        </w:rPr>
        <w:t xml:space="preserve"> 2010; </w:t>
      </w:r>
      <w:r w:rsidRPr="00E549DC">
        <w:rPr>
          <w:rFonts w:ascii="Book Antiqua" w:eastAsia="Book Antiqua" w:hAnsi="Book Antiqua" w:cs="Book Antiqua"/>
          <w:b/>
          <w:bCs/>
          <w:color w:val="000000"/>
        </w:rPr>
        <w:t>304</w:t>
      </w:r>
      <w:r w:rsidRPr="00E549DC">
        <w:rPr>
          <w:rFonts w:ascii="Book Antiqua" w:eastAsia="Book Antiqua" w:hAnsi="Book Antiqua" w:cs="Book Antiqua"/>
          <w:color w:val="000000"/>
        </w:rPr>
        <w:t>: 2154-2160 [PMID: 21081728 DOI: 10.1001/jama.2010.1672]</w:t>
      </w:r>
    </w:p>
    <w:p w14:paraId="1BAC3AC7" w14:textId="77777777" w:rsidR="003106BD" w:rsidRPr="00E549DC" w:rsidRDefault="003106BD" w:rsidP="00C55EEF">
      <w:pPr>
        <w:snapToGrid w:val="0"/>
        <w:spacing w:line="360" w:lineRule="auto"/>
        <w:jc w:val="both"/>
        <w:rPr>
          <w:rFonts w:ascii="Book Antiqua" w:hAnsi="Book Antiqua"/>
        </w:rPr>
      </w:pPr>
      <w:r w:rsidRPr="00E549DC">
        <w:rPr>
          <w:rFonts w:ascii="Book Antiqua" w:eastAsia="Book Antiqua" w:hAnsi="Book Antiqua" w:cs="Book Antiqua"/>
          <w:color w:val="000000"/>
        </w:rPr>
        <w:t xml:space="preserve">50 </w:t>
      </w:r>
      <w:r w:rsidRPr="00E549DC">
        <w:rPr>
          <w:rFonts w:ascii="Book Antiqua" w:eastAsia="Book Antiqua" w:hAnsi="Book Antiqua" w:cs="Book Antiqua"/>
          <w:b/>
          <w:bCs/>
          <w:color w:val="000000"/>
        </w:rPr>
        <w:t>Cheng AL</w:t>
      </w:r>
      <w:r w:rsidRPr="00E549DC">
        <w:rPr>
          <w:rFonts w:ascii="Book Antiqua" w:eastAsia="Book Antiqua" w:hAnsi="Book Antiqua" w:cs="Book Antiqua"/>
          <w:color w:val="000000"/>
        </w:rPr>
        <w:t xml:space="preserve">, Thongprasert S, Lim HY, Sukeepaisarnjaroen W, Yang TS, Wu CC, Chao Y, Chan SL, Kudo M, Ikeda M, Kang YK, Pan H, Numata K, Han G, Balsara B, Zhang Y, Rodriguez AM, Zhang Y, Wang Y, Poon RT. Randomized, open-label phase 2 study comparing frontline dovitinib </w:t>
      </w:r>
      <w:r w:rsidRPr="00E549DC">
        <w:rPr>
          <w:rFonts w:ascii="Book Antiqua" w:eastAsia="Book Antiqua" w:hAnsi="Book Antiqua" w:cs="Book Antiqua"/>
          <w:i/>
          <w:iCs/>
          <w:color w:val="000000"/>
        </w:rPr>
        <w:t>vs</w:t>
      </w:r>
      <w:r w:rsidRPr="00E549DC">
        <w:rPr>
          <w:rFonts w:ascii="Book Antiqua" w:eastAsia="Book Antiqua" w:hAnsi="Book Antiqua" w:cs="Book Antiqua"/>
          <w:color w:val="000000"/>
        </w:rPr>
        <w:t xml:space="preserve"> sorafenib in patients with advanced hepatocellular carcinoma. </w:t>
      </w:r>
      <w:r w:rsidRPr="00E549DC">
        <w:rPr>
          <w:rFonts w:ascii="Book Antiqua" w:eastAsia="Book Antiqua" w:hAnsi="Book Antiqua" w:cs="Book Antiqua"/>
          <w:i/>
          <w:iCs/>
          <w:color w:val="000000"/>
        </w:rPr>
        <w:t>Hepatology</w:t>
      </w:r>
      <w:r w:rsidRPr="00E549DC">
        <w:rPr>
          <w:rFonts w:ascii="Book Antiqua" w:eastAsia="Book Antiqua" w:hAnsi="Book Antiqua" w:cs="Book Antiqua"/>
          <w:color w:val="000000"/>
        </w:rPr>
        <w:t xml:space="preserve"> 2016; </w:t>
      </w:r>
      <w:r w:rsidRPr="00E549DC">
        <w:rPr>
          <w:rFonts w:ascii="Book Antiqua" w:eastAsia="Book Antiqua" w:hAnsi="Book Antiqua" w:cs="Book Antiqua"/>
          <w:b/>
          <w:bCs/>
          <w:color w:val="000000"/>
        </w:rPr>
        <w:t>64</w:t>
      </w:r>
      <w:r w:rsidRPr="00E549DC">
        <w:rPr>
          <w:rFonts w:ascii="Book Antiqua" w:eastAsia="Book Antiqua" w:hAnsi="Book Antiqua" w:cs="Book Antiqua"/>
          <w:color w:val="000000"/>
        </w:rPr>
        <w:t>: 774-784 [PMID: 27082062 DOI: 10.1002/hep.28600]</w:t>
      </w:r>
    </w:p>
    <w:p w14:paraId="3957A029" w14:textId="77777777" w:rsidR="003106BD" w:rsidRPr="00E549DC" w:rsidRDefault="003106BD" w:rsidP="00C55EEF">
      <w:pPr>
        <w:snapToGrid w:val="0"/>
        <w:spacing w:line="360" w:lineRule="auto"/>
        <w:jc w:val="both"/>
        <w:rPr>
          <w:rFonts w:ascii="Book Antiqua" w:hAnsi="Book Antiqua"/>
        </w:rPr>
      </w:pPr>
      <w:r w:rsidRPr="00E549DC">
        <w:rPr>
          <w:rFonts w:ascii="Book Antiqua" w:eastAsia="Book Antiqua" w:hAnsi="Book Antiqua" w:cs="Book Antiqua"/>
          <w:color w:val="000000"/>
        </w:rPr>
        <w:t xml:space="preserve">51 </w:t>
      </w:r>
      <w:r w:rsidRPr="00E549DC">
        <w:rPr>
          <w:rFonts w:ascii="Book Antiqua" w:eastAsia="Book Antiqua" w:hAnsi="Book Antiqua" w:cs="Book Antiqua"/>
          <w:b/>
          <w:bCs/>
          <w:color w:val="000000"/>
        </w:rPr>
        <w:t>Hsu C</w:t>
      </w:r>
      <w:r w:rsidRPr="00E549DC">
        <w:rPr>
          <w:rFonts w:ascii="Book Antiqua" w:eastAsia="Book Antiqua" w:hAnsi="Book Antiqua" w:cs="Book Antiqua"/>
          <w:color w:val="000000"/>
        </w:rPr>
        <w:t xml:space="preserve">, Yang TS, Huo TI, Hsieh RK, Yu CW, Hwang WS, Hsieh TY, Huang WT, Chao Y, Meng R, Cheng AL. Vandetanib in patients with inoperable hepatocellular carcinoma: a phase II, randomized, double-blind, placebo-controlled study. </w:t>
      </w:r>
      <w:r w:rsidRPr="00E549DC">
        <w:rPr>
          <w:rFonts w:ascii="Book Antiqua" w:eastAsia="Book Antiqua" w:hAnsi="Book Antiqua" w:cs="Book Antiqua"/>
          <w:i/>
          <w:iCs/>
          <w:color w:val="000000"/>
        </w:rPr>
        <w:t>J Hepatol</w:t>
      </w:r>
      <w:r w:rsidRPr="00E549DC">
        <w:rPr>
          <w:rFonts w:ascii="Book Antiqua" w:eastAsia="Book Antiqua" w:hAnsi="Book Antiqua" w:cs="Book Antiqua"/>
          <w:color w:val="000000"/>
        </w:rPr>
        <w:t xml:space="preserve"> 2012; </w:t>
      </w:r>
      <w:r w:rsidRPr="00E549DC">
        <w:rPr>
          <w:rFonts w:ascii="Book Antiqua" w:eastAsia="Book Antiqua" w:hAnsi="Book Antiqua" w:cs="Book Antiqua"/>
          <w:b/>
          <w:bCs/>
          <w:color w:val="000000"/>
        </w:rPr>
        <w:t>56</w:t>
      </w:r>
      <w:r w:rsidRPr="00E549DC">
        <w:rPr>
          <w:rFonts w:ascii="Book Antiqua" w:eastAsia="Book Antiqua" w:hAnsi="Book Antiqua" w:cs="Book Antiqua"/>
          <w:color w:val="000000"/>
        </w:rPr>
        <w:t>: 1097-1103 [PMID: 22245891 DOI: 10.1016/j.jhep.2011.12.013]</w:t>
      </w:r>
    </w:p>
    <w:p w14:paraId="71A823C0" w14:textId="77777777" w:rsidR="003106BD" w:rsidRPr="00E549DC" w:rsidRDefault="003106BD" w:rsidP="00C55EEF">
      <w:pPr>
        <w:snapToGrid w:val="0"/>
        <w:spacing w:line="360" w:lineRule="auto"/>
        <w:jc w:val="both"/>
        <w:rPr>
          <w:rFonts w:ascii="Book Antiqua" w:hAnsi="Book Antiqua"/>
        </w:rPr>
      </w:pPr>
      <w:r w:rsidRPr="00E549DC">
        <w:rPr>
          <w:rFonts w:ascii="Book Antiqua" w:eastAsia="Book Antiqua" w:hAnsi="Book Antiqua" w:cs="Book Antiqua"/>
          <w:color w:val="000000"/>
        </w:rPr>
        <w:t xml:space="preserve">52 </w:t>
      </w:r>
      <w:r w:rsidRPr="00E549DC">
        <w:rPr>
          <w:rFonts w:ascii="Book Antiqua" w:eastAsia="Book Antiqua" w:hAnsi="Book Antiqua" w:cs="Book Antiqua"/>
          <w:b/>
          <w:bCs/>
          <w:color w:val="000000"/>
        </w:rPr>
        <w:t>Llovet JM</w:t>
      </w:r>
      <w:r w:rsidRPr="00E549DC">
        <w:rPr>
          <w:rFonts w:ascii="Book Antiqua" w:eastAsia="Book Antiqua" w:hAnsi="Book Antiqua" w:cs="Book Antiqua"/>
          <w:color w:val="000000"/>
        </w:rPr>
        <w:t xml:space="preserve">, Ricci S, Mazzaferro V, Hilgard P, Gane E, Blanc JF, de Oliveira AC, Santoro A, Raoul JL, Forner A, Schwartz M, Porta C, Zeuzem S, Bolondi L, Greten TF, Galle PR, Seitz JF, Borbath I, Häussinger D, Giannaris T, Shan M, Moscovici M, Voliotis D, Bruix J; SHARP Investigators Study Group. Sorafenib in advanced hepatocellular carcinoma. </w:t>
      </w:r>
      <w:r w:rsidRPr="00E549DC">
        <w:rPr>
          <w:rFonts w:ascii="Book Antiqua" w:eastAsia="Book Antiqua" w:hAnsi="Book Antiqua" w:cs="Book Antiqua"/>
          <w:i/>
          <w:iCs/>
          <w:color w:val="000000"/>
        </w:rPr>
        <w:t>N Engl J Med</w:t>
      </w:r>
      <w:r w:rsidRPr="00E549DC">
        <w:rPr>
          <w:rFonts w:ascii="Book Antiqua" w:eastAsia="Book Antiqua" w:hAnsi="Book Antiqua" w:cs="Book Antiqua"/>
          <w:color w:val="000000"/>
        </w:rPr>
        <w:t xml:space="preserve"> 2008; </w:t>
      </w:r>
      <w:r w:rsidRPr="00E549DC">
        <w:rPr>
          <w:rFonts w:ascii="Book Antiqua" w:eastAsia="Book Antiqua" w:hAnsi="Book Antiqua" w:cs="Book Antiqua"/>
          <w:b/>
          <w:bCs/>
          <w:color w:val="000000"/>
        </w:rPr>
        <w:t>359</w:t>
      </w:r>
      <w:r w:rsidRPr="00E549DC">
        <w:rPr>
          <w:rFonts w:ascii="Book Antiqua" w:eastAsia="Book Antiqua" w:hAnsi="Book Antiqua" w:cs="Book Antiqua"/>
          <w:color w:val="000000"/>
        </w:rPr>
        <w:t>: 378-390 [PMID: 18650514 DOI: 10.1056/NEJMoa0708857]</w:t>
      </w:r>
    </w:p>
    <w:p w14:paraId="5A707B4D" w14:textId="77777777" w:rsidR="003106BD" w:rsidRPr="00E549DC" w:rsidRDefault="003106BD" w:rsidP="00C55EEF">
      <w:pPr>
        <w:snapToGrid w:val="0"/>
        <w:spacing w:line="360" w:lineRule="auto"/>
        <w:jc w:val="both"/>
        <w:rPr>
          <w:rFonts w:ascii="Book Antiqua" w:hAnsi="Book Antiqua"/>
        </w:rPr>
      </w:pPr>
      <w:r w:rsidRPr="00E549DC">
        <w:rPr>
          <w:rFonts w:ascii="Book Antiqua" w:eastAsia="Book Antiqua" w:hAnsi="Book Antiqua" w:cs="Book Antiqua"/>
          <w:color w:val="000000"/>
        </w:rPr>
        <w:t xml:space="preserve">53 </w:t>
      </w:r>
      <w:r w:rsidRPr="00E549DC">
        <w:rPr>
          <w:rFonts w:ascii="Book Antiqua" w:eastAsia="Book Antiqua" w:hAnsi="Book Antiqua" w:cs="Book Antiqua"/>
          <w:b/>
          <w:bCs/>
          <w:color w:val="000000"/>
        </w:rPr>
        <w:t>Palmer DH</w:t>
      </w:r>
      <w:r w:rsidRPr="00E549DC">
        <w:rPr>
          <w:rFonts w:ascii="Book Antiqua" w:eastAsia="Book Antiqua" w:hAnsi="Book Antiqua" w:cs="Book Antiqua"/>
          <w:color w:val="000000"/>
        </w:rPr>
        <w:t xml:space="preserve">, Ma YT, Peck-Radosavljevic M, Ross P, Graham J, Fartoux L, Deptala A, Studeny M, Schnell D, Hocke J, Loembé AB, Meyer T. A multicentre, open-label, phase-I/randomised phase-II study to evaluate safety, pharmacokinetics, and efficacy of nintedanib vs. sorafenib in European patients with advanced hepatocellular carcinoma. </w:t>
      </w:r>
      <w:r w:rsidRPr="00E549DC">
        <w:rPr>
          <w:rFonts w:ascii="Book Antiqua" w:eastAsia="Book Antiqua" w:hAnsi="Book Antiqua" w:cs="Book Antiqua"/>
          <w:i/>
          <w:iCs/>
          <w:color w:val="000000"/>
        </w:rPr>
        <w:t>Br J Cancer</w:t>
      </w:r>
      <w:r w:rsidRPr="00E549DC">
        <w:rPr>
          <w:rFonts w:ascii="Book Antiqua" w:eastAsia="Book Antiqua" w:hAnsi="Book Antiqua" w:cs="Book Antiqua"/>
          <w:color w:val="000000"/>
        </w:rPr>
        <w:t xml:space="preserve"> 2018; </w:t>
      </w:r>
      <w:r w:rsidRPr="00E549DC">
        <w:rPr>
          <w:rFonts w:ascii="Book Antiqua" w:eastAsia="Book Antiqua" w:hAnsi="Book Antiqua" w:cs="Book Antiqua"/>
          <w:b/>
          <w:bCs/>
          <w:color w:val="000000"/>
        </w:rPr>
        <w:t>118</w:t>
      </w:r>
      <w:r w:rsidRPr="00E549DC">
        <w:rPr>
          <w:rFonts w:ascii="Book Antiqua" w:eastAsia="Book Antiqua" w:hAnsi="Book Antiqua" w:cs="Book Antiqua"/>
          <w:color w:val="000000"/>
        </w:rPr>
        <w:t>: 1162-1168 [PMID: 29563636 DOI: 10.1038/s41416-018-0051-8]</w:t>
      </w:r>
    </w:p>
    <w:p w14:paraId="2837313C" w14:textId="77777777" w:rsidR="003106BD" w:rsidRPr="00E549DC" w:rsidRDefault="003106BD" w:rsidP="00C55EEF">
      <w:pPr>
        <w:snapToGrid w:val="0"/>
        <w:spacing w:line="360" w:lineRule="auto"/>
        <w:jc w:val="both"/>
        <w:rPr>
          <w:rFonts w:ascii="Book Antiqua" w:hAnsi="Book Antiqua"/>
        </w:rPr>
      </w:pPr>
      <w:r w:rsidRPr="00E549DC">
        <w:rPr>
          <w:rFonts w:ascii="Book Antiqua" w:eastAsia="Book Antiqua" w:hAnsi="Book Antiqua" w:cs="Book Antiqua"/>
          <w:color w:val="000000"/>
        </w:rPr>
        <w:t xml:space="preserve">54 </w:t>
      </w:r>
      <w:r w:rsidRPr="00E549DC">
        <w:rPr>
          <w:rFonts w:ascii="Book Antiqua" w:eastAsia="Book Antiqua" w:hAnsi="Book Antiqua" w:cs="Book Antiqua"/>
          <w:b/>
          <w:bCs/>
          <w:color w:val="000000"/>
        </w:rPr>
        <w:t>Thomas MB</w:t>
      </w:r>
      <w:r w:rsidRPr="00E549DC">
        <w:rPr>
          <w:rFonts w:ascii="Book Antiqua" w:eastAsia="Book Antiqua" w:hAnsi="Book Antiqua" w:cs="Book Antiqua"/>
          <w:color w:val="000000"/>
        </w:rPr>
        <w:t xml:space="preserve">, Garrett-Mayer E, Anis M, Anderton K, Bentz T, Edwards A, Brisendine A, Weiss G, Siegel AB, Bendell J, Baron A, Duddalwar V, El-Khoueiry A. A Randomized Phase II Open-Label Multi-Institution Study of the Combination of Bevacizumab and Erlotinib Compared to Sorafenib in the First-Line Treatment of Patients with Advanced Hepatocellular Carcinoma. </w:t>
      </w:r>
      <w:r w:rsidRPr="00E549DC">
        <w:rPr>
          <w:rFonts w:ascii="Book Antiqua" w:eastAsia="Book Antiqua" w:hAnsi="Book Antiqua" w:cs="Book Antiqua"/>
          <w:i/>
          <w:iCs/>
          <w:color w:val="000000"/>
        </w:rPr>
        <w:t>Oncology</w:t>
      </w:r>
      <w:r w:rsidRPr="00E549DC">
        <w:rPr>
          <w:rFonts w:ascii="Book Antiqua" w:eastAsia="Book Antiqua" w:hAnsi="Book Antiqua" w:cs="Book Antiqua"/>
          <w:color w:val="000000"/>
        </w:rPr>
        <w:t xml:space="preserve"> 2018; </w:t>
      </w:r>
      <w:r w:rsidRPr="00E549DC">
        <w:rPr>
          <w:rFonts w:ascii="Book Antiqua" w:eastAsia="Book Antiqua" w:hAnsi="Book Antiqua" w:cs="Book Antiqua"/>
          <w:b/>
          <w:bCs/>
          <w:color w:val="000000"/>
        </w:rPr>
        <w:t>94</w:t>
      </w:r>
      <w:r w:rsidRPr="00E549DC">
        <w:rPr>
          <w:rFonts w:ascii="Book Antiqua" w:eastAsia="Book Antiqua" w:hAnsi="Book Antiqua" w:cs="Book Antiqua"/>
          <w:color w:val="000000"/>
        </w:rPr>
        <w:t>: 329-339 [PMID: 29719302 DOI: 10.1159/000485384]</w:t>
      </w:r>
    </w:p>
    <w:p w14:paraId="686892BA" w14:textId="77777777" w:rsidR="003106BD" w:rsidRPr="00E549DC" w:rsidRDefault="003106BD" w:rsidP="00C55EEF">
      <w:pPr>
        <w:snapToGrid w:val="0"/>
        <w:spacing w:line="360" w:lineRule="auto"/>
        <w:jc w:val="both"/>
        <w:rPr>
          <w:rFonts w:ascii="Book Antiqua" w:hAnsi="Book Antiqua"/>
        </w:rPr>
      </w:pPr>
      <w:r w:rsidRPr="00E549DC">
        <w:rPr>
          <w:rFonts w:ascii="Book Antiqua" w:eastAsia="Book Antiqua" w:hAnsi="Book Antiqua" w:cs="Book Antiqua"/>
          <w:color w:val="000000"/>
        </w:rPr>
        <w:t xml:space="preserve">55 </w:t>
      </w:r>
      <w:r w:rsidRPr="00E549DC">
        <w:rPr>
          <w:rFonts w:ascii="Book Antiqua" w:eastAsia="Book Antiqua" w:hAnsi="Book Antiqua" w:cs="Book Antiqua"/>
          <w:b/>
          <w:bCs/>
          <w:color w:val="000000"/>
        </w:rPr>
        <w:t>Abou-Alfa GK</w:t>
      </w:r>
      <w:r w:rsidRPr="00E549DC">
        <w:rPr>
          <w:rFonts w:ascii="Book Antiqua" w:eastAsia="Book Antiqua" w:hAnsi="Book Antiqua" w:cs="Book Antiqua"/>
          <w:color w:val="000000"/>
        </w:rPr>
        <w:t xml:space="preserve">, Shi Q, Knox JJ, Kaubisch A, Niedzwiecki D, Posey J, Tan BR Jr, Kavan P, Goel R, Lammers PE, Bekaii-Saab TS, Tam VC, Rajdev L, Kelley RK, El Dika I, Zemla T, Potaracke RI, Balletti J, El-Khoueiry AB, Harding JH, Suga JM, Schwartz LH, Goldberg RM, Bertagnolli MM, Meyerhardt J, O'Reilly EM, Venook AP. Assessment of Treatment With Sorafenib Plus Doxorubicin </w:t>
      </w:r>
      <w:r w:rsidRPr="00E549DC">
        <w:rPr>
          <w:rFonts w:ascii="Book Antiqua" w:eastAsia="Book Antiqua" w:hAnsi="Book Antiqua" w:cs="Book Antiqua"/>
          <w:i/>
          <w:iCs/>
          <w:color w:val="000000"/>
        </w:rPr>
        <w:t>vs</w:t>
      </w:r>
      <w:r w:rsidRPr="00E549DC">
        <w:rPr>
          <w:rFonts w:ascii="Book Antiqua" w:eastAsia="Book Antiqua" w:hAnsi="Book Antiqua" w:cs="Book Antiqua"/>
          <w:color w:val="000000"/>
        </w:rPr>
        <w:t xml:space="preserve"> Sorafenib Alone in Patients With Advanced Hepatocellular Carcinoma: Phase 3 CALGB 80802 Randomized Clinical Trial. </w:t>
      </w:r>
      <w:r w:rsidRPr="00E549DC">
        <w:rPr>
          <w:rFonts w:ascii="Book Antiqua" w:eastAsia="Book Antiqua" w:hAnsi="Book Antiqua" w:cs="Book Antiqua"/>
          <w:i/>
          <w:iCs/>
          <w:color w:val="000000"/>
        </w:rPr>
        <w:t>JAMA Oncol</w:t>
      </w:r>
      <w:r w:rsidRPr="00E549DC">
        <w:rPr>
          <w:rFonts w:ascii="Book Antiqua" w:eastAsia="Book Antiqua" w:hAnsi="Book Antiqua" w:cs="Book Antiqua"/>
          <w:color w:val="000000"/>
        </w:rPr>
        <w:t xml:space="preserve"> 2019 [PMID: 31486832 DOI: 10.1001/jamaoncol.2019.2792]</w:t>
      </w:r>
    </w:p>
    <w:p w14:paraId="0ED1D1CD" w14:textId="77777777" w:rsidR="003106BD" w:rsidRPr="00E549DC" w:rsidRDefault="003106BD" w:rsidP="00C55EEF">
      <w:pPr>
        <w:snapToGrid w:val="0"/>
        <w:spacing w:line="360" w:lineRule="auto"/>
        <w:jc w:val="both"/>
        <w:rPr>
          <w:rFonts w:ascii="Book Antiqua" w:hAnsi="Book Antiqua"/>
        </w:rPr>
      </w:pPr>
      <w:r w:rsidRPr="00E549DC">
        <w:rPr>
          <w:rFonts w:ascii="Book Antiqua" w:eastAsia="Book Antiqua" w:hAnsi="Book Antiqua" w:cs="Book Antiqua"/>
          <w:color w:val="000000"/>
        </w:rPr>
        <w:t xml:space="preserve">56 </w:t>
      </w:r>
      <w:r w:rsidRPr="00E549DC">
        <w:rPr>
          <w:rFonts w:ascii="Book Antiqua" w:eastAsia="Book Antiqua" w:hAnsi="Book Antiqua" w:cs="Book Antiqua"/>
          <w:b/>
          <w:bCs/>
          <w:color w:val="000000"/>
        </w:rPr>
        <w:t>Jouve JL</w:t>
      </w:r>
      <w:r w:rsidRPr="00E549DC">
        <w:rPr>
          <w:rFonts w:ascii="Book Antiqua" w:eastAsia="Book Antiqua" w:hAnsi="Book Antiqua" w:cs="Book Antiqua"/>
          <w:color w:val="000000"/>
        </w:rPr>
        <w:t xml:space="preserve">, Lecomte T, Bouché O, Barbier E, Khemissa Akouz F, Riachi G, Nguyen Khac E, Ollivier-Hourmand I, Debette-Gratien M, Faroux R, Villing AL, Vergniol J, Ramee JF, Bronowicki JP, Seitz JF, Legoux JL, Denis J, Manfredi S, Phelip JM; PRODIGE-11 investigators/collaborators. Pravastatin combination with sorafenib does not improve survival in advanced hepatocellular carcinoma. </w:t>
      </w:r>
      <w:r w:rsidRPr="00E549DC">
        <w:rPr>
          <w:rFonts w:ascii="Book Antiqua" w:eastAsia="Book Antiqua" w:hAnsi="Book Antiqua" w:cs="Book Antiqua"/>
          <w:i/>
          <w:iCs/>
          <w:color w:val="000000"/>
        </w:rPr>
        <w:t>J Hepatol</w:t>
      </w:r>
      <w:r w:rsidRPr="00E549DC">
        <w:rPr>
          <w:rFonts w:ascii="Book Antiqua" w:eastAsia="Book Antiqua" w:hAnsi="Book Antiqua" w:cs="Book Antiqua"/>
          <w:color w:val="000000"/>
        </w:rPr>
        <w:t xml:space="preserve"> 2019; </w:t>
      </w:r>
      <w:r w:rsidRPr="00E549DC">
        <w:rPr>
          <w:rFonts w:ascii="Book Antiqua" w:eastAsia="Book Antiqua" w:hAnsi="Book Antiqua" w:cs="Book Antiqua"/>
          <w:b/>
          <w:bCs/>
          <w:color w:val="000000"/>
        </w:rPr>
        <w:t>71</w:t>
      </w:r>
      <w:r w:rsidRPr="00E549DC">
        <w:rPr>
          <w:rFonts w:ascii="Book Antiqua" w:eastAsia="Book Antiqua" w:hAnsi="Book Antiqua" w:cs="Book Antiqua"/>
          <w:color w:val="000000"/>
        </w:rPr>
        <w:t>: 516-522 [PMID: 31125576 DOI: 10.1016/j.jhep.2019.04.021]</w:t>
      </w:r>
    </w:p>
    <w:p w14:paraId="226A4BFD" w14:textId="77777777" w:rsidR="003106BD" w:rsidRPr="00E549DC" w:rsidRDefault="003106BD" w:rsidP="00C55EEF">
      <w:pPr>
        <w:snapToGrid w:val="0"/>
        <w:spacing w:line="360" w:lineRule="auto"/>
        <w:jc w:val="both"/>
        <w:rPr>
          <w:rFonts w:ascii="Book Antiqua" w:hAnsi="Book Antiqua"/>
        </w:rPr>
      </w:pPr>
      <w:r w:rsidRPr="00E549DC">
        <w:rPr>
          <w:rFonts w:ascii="Book Antiqua" w:eastAsia="Book Antiqua" w:hAnsi="Book Antiqua" w:cs="Book Antiqua"/>
          <w:color w:val="000000"/>
        </w:rPr>
        <w:t xml:space="preserve">57 </w:t>
      </w:r>
      <w:r w:rsidRPr="00E549DC">
        <w:rPr>
          <w:rFonts w:ascii="Book Antiqua" w:eastAsia="Book Antiqua" w:hAnsi="Book Antiqua" w:cs="Book Antiqua"/>
          <w:b/>
          <w:bCs/>
          <w:color w:val="000000"/>
        </w:rPr>
        <w:t>Lee FA</w:t>
      </w:r>
      <w:r w:rsidRPr="00E549DC">
        <w:rPr>
          <w:rFonts w:ascii="Book Antiqua" w:eastAsia="Book Antiqua" w:hAnsi="Book Antiqua" w:cs="Book Antiqua"/>
          <w:color w:val="000000"/>
        </w:rPr>
        <w:t xml:space="preserve">, Zee BC, Cheung FY, Kwong P, Chiang CL, Leung KC, Siu SW, Lee C, Lai M, Kwok C, Chong M, Jolivet J, Tung S. Randomized Phase II Study of the X-linked Inhibitor of Apoptosis (XIAP) Antisense AEG35156 in Combination With Sorafenib in Patients With Advanced Hepatocellular Carcinoma (HCC). </w:t>
      </w:r>
      <w:r w:rsidRPr="00E549DC">
        <w:rPr>
          <w:rFonts w:ascii="Book Antiqua" w:eastAsia="Book Antiqua" w:hAnsi="Book Antiqua" w:cs="Book Antiqua"/>
          <w:i/>
          <w:iCs/>
          <w:color w:val="000000"/>
        </w:rPr>
        <w:t>Am J Clin Oncol</w:t>
      </w:r>
      <w:r w:rsidRPr="00E549DC">
        <w:rPr>
          <w:rFonts w:ascii="Book Antiqua" w:eastAsia="Book Antiqua" w:hAnsi="Book Antiqua" w:cs="Book Antiqua"/>
          <w:color w:val="000000"/>
        </w:rPr>
        <w:t xml:space="preserve"> 2016; </w:t>
      </w:r>
      <w:r w:rsidRPr="00E549DC">
        <w:rPr>
          <w:rFonts w:ascii="Book Antiqua" w:eastAsia="Book Antiqua" w:hAnsi="Book Antiqua" w:cs="Book Antiqua"/>
          <w:b/>
          <w:bCs/>
          <w:color w:val="000000"/>
        </w:rPr>
        <w:t>39</w:t>
      </w:r>
      <w:r w:rsidRPr="00E549DC">
        <w:rPr>
          <w:rFonts w:ascii="Book Antiqua" w:eastAsia="Book Antiqua" w:hAnsi="Book Antiqua" w:cs="Book Antiqua"/>
          <w:color w:val="000000"/>
        </w:rPr>
        <w:t>: 609-613 [PMID: 24977690 DOI: 10.1097/coc.0000000000000099]</w:t>
      </w:r>
    </w:p>
    <w:p w14:paraId="62F1EA52" w14:textId="77777777" w:rsidR="003106BD" w:rsidRPr="00E549DC" w:rsidRDefault="003106BD" w:rsidP="00C55EEF">
      <w:pPr>
        <w:snapToGrid w:val="0"/>
        <w:spacing w:line="360" w:lineRule="auto"/>
        <w:jc w:val="both"/>
        <w:rPr>
          <w:rFonts w:ascii="Book Antiqua" w:hAnsi="Book Antiqua"/>
        </w:rPr>
      </w:pPr>
      <w:r w:rsidRPr="00E549DC">
        <w:rPr>
          <w:rFonts w:ascii="Book Antiqua" w:eastAsia="Book Antiqua" w:hAnsi="Book Antiqua" w:cs="Book Antiqua"/>
          <w:color w:val="000000"/>
        </w:rPr>
        <w:t xml:space="preserve">58 </w:t>
      </w:r>
      <w:r w:rsidRPr="00E549DC">
        <w:rPr>
          <w:rFonts w:ascii="Book Antiqua" w:eastAsia="Book Antiqua" w:hAnsi="Book Antiqua" w:cs="Book Antiqua"/>
          <w:b/>
          <w:bCs/>
          <w:color w:val="000000"/>
        </w:rPr>
        <w:t>Assenat E</w:t>
      </w:r>
      <w:r w:rsidRPr="00E549DC">
        <w:rPr>
          <w:rFonts w:ascii="Book Antiqua" w:eastAsia="Book Antiqua" w:hAnsi="Book Antiqua" w:cs="Book Antiqua"/>
          <w:color w:val="000000"/>
        </w:rPr>
        <w:t>, Pageaux GP, Thézenas S, Peron JM, Bécouarn Y, Seitz JF, Merle P, Blanc JF, Bouché O, Ramdani M, Poujol S, de Forges H, Ychou M, Boige V. Sorafenib alone vs. sorafenib plus GEMOX as 1</w:t>
      </w:r>
      <w:r w:rsidRPr="00E549DC">
        <w:rPr>
          <w:rFonts w:ascii="Book Antiqua" w:eastAsia="Book Antiqua" w:hAnsi="Book Antiqua" w:cs="Book Antiqua"/>
          <w:color w:val="000000"/>
          <w:vertAlign w:val="superscript"/>
        </w:rPr>
        <w:t>st</w:t>
      </w:r>
      <w:r w:rsidRPr="00E549DC">
        <w:rPr>
          <w:rFonts w:ascii="Book Antiqua" w:eastAsia="Book Antiqua" w:hAnsi="Book Antiqua" w:cs="Book Antiqua"/>
          <w:color w:val="000000"/>
        </w:rPr>
        <w:t xml:space="preserve">-line treatment for advanced HCC: the phase II randomised PRODIGE 10 trial. </w:t>
      </w:r>
      <w:r w:rsidRPr="00E549DC">
        <w:rPr>
          <w:rFonts w:ascii="Book Antiqua" w:eastAsia="Book Antiqua" w:hAnsi="Book Antiqua" w:cs="Book Antiqua"/>
          <w:i/>
          <w:iCs/>
          <w:color w:val="000000"/>
        </w:rPr>
        <w:t>Br J Cancer</w:t>
      </w:r>
      <w:r w:rsidRPr="00E549DC">
        <w:rPr>
          <w:rFonts w:ascii="Book Antiqua" w:eastAsia="Book Antiqua" w:hAnsi="Book Antiqua" w:cs="Book Antiqua"/>
          <w:color w:val="000000"/>
        </w:rPr>
        <w:t xml:space="preserve"> 2019; </w:t>
      </w:r>
      <w:r w:rsidRPr="00E549DC">
        <w:rPr>
          <w:rFonts w:ascii="Book Antiqua" w:eastAsia="Book Antiqua" w:hAnsi="Book Antiqua" w:cs="Book Antiqua"/>
          <w:b/>
          <w:bCs/>
          <w:color w:val="000000"/>
        </w:rPr>
        <w:t>120</w:t>
      </w:r>
      <w:r w:rsidRPr="00E549DC">
        <w:rPr>
          <w:rFonts w:ascii="Book Antiqua" w:eastAsia="Book Antiqua" w:hAnsi="Book Antiqua" w:cs="Book Antiqua"/>
          <w:color w:val="000000"/>
        </w:rPr>
        <w:t>: 896-902 [PMID: 30944458 DOI: 10.1038/s41416-019-0443-4]</w:t>
      </w:r>
    </w:p>
    <w:p w14:paraId="75B73B94" w14:textId="77777777" w:rsidR="003106BD" w:rsidRPr="00E549DC" w:rsidRDefault="003106BD" w:rsidP="00C55EEF">
      <w:pPr>
        <w:snapToGrid w:val="0"/>
        <w:spacing w:line="360" w:lineRule="auto"/>
        <w:jc w:val="both"/>
        <w:rPr>
          <w:rFonts w:ascii="Book Antiqua" w:hAnsi="Book Antiqua"/>
        </w:rPr>
      </w:pPr>
      <w:r w:rsidRPr="00E549DC">
        <w:rPr>
          <w:rFonts w:ascii="Book Antiqua" w:eastAsia="Book Antiqua" w:hAnsi="Book Antiqua" w:cs="Book Antiqua"/>
          <w:color w:val="000000"/>
        </w:rPr>
        <w:t xml:space="preserve">59 </w:t>
      </w:r>
      <w:r w:rsidRPr="00E549DC">
        <w:rPr>
          <w:rFonts w:ascii="Book Antiqua" w:eastAsia="Book Antiqua" w:hAnsi="Book Antiqua" w:cs="Book Antiqua"/>
          <w:b/>
          <w:bCs/>
          <w:color w:val="000000"/>
        </w:rPr>
        <w:t>Azim HA</w:t>
      </w:r>
      <w:r w:rsidRPr="00E549DC">
        <w:rPr>
          <w:rFonts w:ascii="Book Antiqua" w:eastAsia="Book Antiqua" w:hAnsi="Book Antiqua" w:cs="Book Antiqua"/>
          <w:color w:val="000000"/>
        </w:rPr>
        <w:t xml:space="preserve">, Omar A, Atef H, Zawahry H, Shaker MK, Abdelmaksoud AK, EzzElarab M, Abdel-Rahman O, Ismail M, Kassem L, Waked I. Sorafenib plus tegafur-uracil (UFT) </w:t>
      </w:r>
      <w:r w:rsidRPr="00E549DC">
        <w:rPr>
          <w:rFonts w:ascii="Book Antiqua" w:eastAsia="Book Antiqua" w:hAnsi="Book Antiqua" w:cs="Book Antiqua"/>
          <w:i/>
          <w:iCs/>
          <w:color w:val="000000"/>
        </w:rPr>
        <w:t>vs</w:t>
      </w:r>
      <w:r w:rsidRPr="00E549DC">
        <w:rPr>
          <w:rFonts w:ascii="Book Antiqua" w:eastAsia="Book Antiqua" w:hAnsi="Book Antiqua" w:cs="Book Antiqua"/>
          <w:color w:val="000000"/>
        </w:rPr>
        <w:t xml:space="preserve"> sorafenib as first line systemic treatment for patients with advanced stage HCC: a Phase II trial (ESLC01 study). </w:t>
      </w:r>
      <w:r w:rsidRPr="00E549DC">
        <w:rPr>
          <w:rFonts w:ascii="Book Antiqua" w:eastAsia="Book Antiqua" w:hAnsi="Book Antiqua" w:cs="Book Antiqua"/>
          <w:i/>
          <w:iCs/>
          <w:color w:val="000000"/>
        </w:rPr>
        <w:t>J Hepatocell Carcinoma</w:t>
      </w:r>
      <w:r w:rsidRPr="00E549DC">
        <w:rPr>
          <w:rFonts w:ascii="Book Antiqua" w:eastAsia="Book Antiqua" w:hAnsi="Book Antiqua" w:cs="Book Antiqua"/>
          <w:color w:val="000000"/>
        </w:rPr>
        <w:t xml:space="preserve"> 2018; </w:t>
      </w:r>
      <w:r w:rsidRPr="00E549DC">
        <w:rPr>
          <w:rFonts w:ascii="Book Antiqua" w:eastAsia="Book Antiqua" w:hAnsi="Book Antiqua" w:cs="Book Antiqua"/>
          <w:b/>
          <w:bCs/>
          <w:color w:val="000000"/>
        </w:rPr>
        <w:t>5</w:t>
      </w:r>
      <w:r w:rsidRPr="00E549DC">
        <w:rPr>
          <w:rFonts w:ascii="Book Antiqua" w:eastAsia="Book Antiqua" w:hAnsi="Book Antiqua" w:cs="Book Antiqua"/>
          <w:color w:val="000000"/>
        </w:rPr>
        <w:t>: 109-119 [PMID: 30510922 DOI: 10.2147/JHC.S169285]</w:t>
      </w:r>
    </w:p>
    <w:p w14:paraId="11759D45" w14:textId="77777777" w:rsidR="003106BD" w:rsidRPr="00E549DC" w:rsidRDefault="003106BD" w:rsidP="00C55EEF">
      <w:pPr>
        <w:snapToGrid w:val="0"/>
        <w:spacing w:line="360" w:lineRule="auto"/>
        <w:jc w:val="both"/>
        <w:rPr>
          <w:rFonts w:ascii="Book Antiqua" w:hAnsi="Book Antiqua"/>
        </w:rPr>
      </w:pPr>
      <w:r w:rsidRPr="00E549DC">
        <w:rPr>
          <w:rFonts w:ascii="Book Antiqua" w:eastAsia="Book Antiqua" w:hAnsi="Book Antiqua" w:cs="Book Antiqua"/>
          <w:color w:val="000000"/>
        </w:rPr>
        <w:t xml:space="preserve">60 </w:t>
      </w:r>
      <w:r w:rsidRPr="00E549DC">
        <w:rPr>
          <w:rFonts w:ascii="Book Antiqua" w:eastAsia="Book Antiqua" w:hAnsi="Book Antiqua" w:cs="Book Antiqua"/>
          <w:b/>
          <w:bCs/>
          <w:color w:val="000000"/>
        </w:rPr>
        <w:t>Koeberle D</w:t>
      </w:r>
      <w:r w:rsidRPr="00E549DC">
        <w:rPr>
          <w:rFonts w:ascii="Book Antiqua" w:eastAsia="Book Antiqua" w:hAnsi="Book Antiqua" w:cs="Book Antiqua"/>
          <w:color w:val="000000"/>
        </w:rPr>
        <w:t xml:space="preserve">, Dufour JF, Demeter G, Li Q, Ribi K, Samaras P, Saletti P, Roth AD, Horber D, Buehlmann M, Wagner AD, Montemurro M, Lakatos G, Feilchenfeldt J, Peck-Radosavljevic M, Rauch D, Tschanz B, Bodoky G; Swiss Group for Clinical Cancer Research (SAKK). Sorafenib with or without everolimus in patients with advanced hepatocellular carcinoma (HCC): a randomized multicenter, multinational phase II trial (SAKK 77/08 and SASL 29). </w:t>
      </w:r>
      <w:r w:rsidRPr="00E549DC">
        <w:rPr>
          <w:rFonts w:ascii="Book Antiqua" w:eastAsia="Book Antiqua" w:hAnsi="Book Antiqua" w:cs="Book Antiqua"/>
          <w:i/>
          <w:iCs/>
          <w:color w:val="000000"/>
        </w:rPr>
        <w:t>Ann Oncol</w:t>
      </w:r>
      <w:r w:rsidRPr="00E549DC">
        <w:rPr>
          <w:rFonts w:ascii="Book Antiqua" w:eastAsia="Book Antiqua" w:hAnsi="Book Antiqua" w:cs="Book Antiqua"/>
          <w:color w:val="000000"/>
        </w:rPr>
        <w:t xml:space="preserve"> 2016; </w:t>
      </w:r>
      <w:r w:rsidRPr="00E549DC">
        <w:rPr>
          <w:rFonts w:ascii="Book Antiqua" w:eastAsia="Book Antiqua" w:hAnsi="Book Antiqua" w:cs="Book Antiqua"/>
          <w:b/>
          <w:bCs/>
          <w:color w:val="000000"/>
        </w:rPr>
        <w:t>27</w:t>
      </w:r>
      <w:r w:rsidRPr="00E549DC">
        <w:rPr>
          <w:rFonts w:ascii="Book Antiqua" w:eastAsia="Book Antiqua" w:hAnsi="Book Antiqua" w:cs="Book Antiqua"/>
          <w:color w:val="000000"/>
        </w:rPr>
        <w:t>: 856-861 [PMID: 26884590 DOI: 10.1093/annonc/mdw054]</w:t>
      </w:r>
    </w:p>
    <w:p w14:paraId="681F2752" w14:textId="77777777" w:rsidR="003106BD" w:rsidRPr="00E549DC" w:rsidRDefault="003106BD" w:rsidP="00C55EEF">
      <w:pPr>
        <w:snapToGrid w:val="0"/>
        <w:spacing w:line="360" w:lineRule="auto"/>
        <w:jc w:val="both"/>
        <w:rPr>
          <w:rFonts w:ascii="Book Antiqua" w:hAnsi="Book Antiqua"/>
        </w:rPr>
      </w:pPr>
      <w:r w:rsidRPr="00E549DC">
        <w:rPr>
          <w:rFonts w:ascii="Book Antiqua" w:eastAsia="Book Antiqua" w:hAnsi="Book Antiqua" w:cs="Book Antiqua"/>
          <w:color w:val="000000"/>
        </w:rPr>
        <w:t xml:space="preserve">61 </w:t>
      </w:r>
      <w:r w:rsidRPr="00E549DC">
        <w:rPr>
          <w:rFonts w:ascii="Book Antiqua" w:eastAsia="Book Antiqua" w:hAnsi="Book Antiqua" w:cs="Book Antiqua"/>
          <w:b/>
          <w:bCs/>
          <w:color w:val="000000"/>
        </w:rPr>
        <w:t>Qin S</w:t>
      </w:r>
      <w:r w:rsidRPr="00E549DC">
        <w:rPr>
          <w:rFonts w:ascii="Book Antiqua" w:eastAsia="Book Antiqua" w:hAnsi="Book Antiqua" w:cs="Book Antiqua"/>
          <w:color w:val="000000"/>
        </w:rPr>
        <w:t xml:space="preserve">, Bai Y, Lim HY, Thongprasert S, Chao Y, Fan J, Yang TS, Bhudhisawasdi V, Kang WK, Zhou Y, Lee JH, Sun Y. Randomized, multicenter, open-label study of oxaliplatin plus fluorouracil/Leucovorin </w:t>
      </w:r>
      <w:r w:rsidRPr="00E549DC">
        <w:rPr>
          <w:rFonts w:ascii="Book Antiqua" w:eastAsia="Book Antiqua" w:hAnsi="Book Antiqua" w:cs="Book Antiqua"/>
          <w:i/>
          <w:iCs/>
          <w:color w:val="000000"/>
        </w:rPr>
        <w:t>vs</w:t>
      </w:r>
      <w:r w:rsidRPr="00E549DC">
        <w:rPr>
          <w:rFonts w:ascii="Book Antiqua" w:eastAsia="Book Antiqua" w:hAnsi="Book Antiqua" w:cs="Book Antiqua"/>
          <w:color w:val="000000"/>
        </w:rPr>
        <w:t xml:space="preserve"> doxorubicin as palliative chemotherapy in patients with advanced hepatocellular carcinoma from Asia. </w:t>
      </w:r>
      <w:r w:rsidRPr="00E549DC">
        <w:rPr>
          <w:rFonts w:ascii="Book Antiqua" w:eastAsia="Book Antiqua" w:hAnsi="Book Antiqua" w:cs="Book Antiqua"/>
          <w:i/>
          <w:iCs/>
          <w:color w:val="000000"/>
        </w:rPr>
        <w:t>J Clin Oncol</w:t>
      </w:r>
      <w:r w:rsidRPr="00E549DC">
        <w:rPr>
          <w:rFonts w:ascii="Book Antiqua" w:eastAsia="Book Antiqua" w:hAnsi="Book Antiqua" w:cs="Book Antiqua"/>
          <w:color w:val="000000"/>
        </w:rPr>
        <w:t xml:space="preserve"> 2013; </w:t>
      </w:r>
      <w:r w:rsidRPr="00E549DC">
        <w:rPr>
          <w:rFonts w:ascii="Book Antiqua" w:eastAsia="Book Antiqua" w:hAnsi="Book Antiqua" w:cs="Book Antiqua"/>
          <w:b/>
          <w:bCs/>
          <w:color w:val="000000"/>
        </w:rPr>
        <w:t>31</w:t>
      </w:r>
      <w:r w:rsidRPr="00E549DC">
        <w:rPr>
          <w:rFonts w:ascii="Book Antiqua" w:eastAsia="Book Antiqua" w:hAnsi="Book Antiqua" w:cs="Book Antiqua"/>
          <w:color w:val="000000"/>
        </w:rPr>
        <w:t>: 3501-3508 [PMID: 23980077 DOI: 10.1200/JCO.2012.44.5643]</w:t>
      </w:r>
    </w:p>
    <w:p w14:paraId="0E346B07" w14:textId="77777777" w:rsidR="003106BD" w:rsidRPr="00E549DC" w:rsidRDefault="003106BD" w:rsidP="00C55EEF">
      <w:pPr>
        <w:snapToGrid w:val="0"/>
        <w:spacing w:line="360" w:lineRule="auto"/>
        <w:jc w:val="both"/>
        <w:rPr>
          <w:rFonts w:ascii="Book Antiqua" w:hAnsi="Book Antiqua"/>
        </w:rPr>
      </w:pPr>
      <w:r w:rsidRPr="00E549DC">
        <w:rPr>
          <w:rFonts w:ascii="Book Antiqua" w:eastAsia="Book Antiqua" w:hAnsi="Book Antiqua" w:cs="Book Antiqua"/>
          <w:color w:val="000000"/>
        </w:rPr>
        <w:t xml:space="preserve">62 </w:t>
      </w:r>
      <w:r w:rsidRPr="00E549DC">
        <w:rPr>
          <w:rFonts w:ascii="Book Antiqua" w:eastAsia="Book Antiqua" w:hAnsi="Book Antiqua" w:cs="Book Antiqua"/>
          <w:b/>
          <w:bCs/>
          <w:color w:val="000000"/>
        </w:rPr>
        <w:t>Yeo W</w:t>
      </w:r>
      <w:r w:rsidRPr="00E549DC">
        <w:rPr>
          <w:rFonts w:ascii="Book Antiqua" w:eastAsia="Book Antiqua" w:hAnsi="Book Antiqua" w:cs="Book Antiqua"/>
          <w:color w:val="000000"/>
        </w:rPr>
        <w:t xml:space="preserve">, Mok TS, Zee B, Leung TW, Lai PB, Lau WY, Koh J, Mo FK, Yu SC, Chan AT, Hui P, Ma B, Lam KC, Ho WM, Wong HT, Tang A, Johnson PJ. A randomized phase III study of doxorubicin </w:t>
      </w:r>
      <w:r w:rsidRPr="00E549DC">
        <w:rPr>
          <w:rFonts w:ascii="Book Antiqua" w:eastAsia="Book Antiqua" w:hAnsi="Book Antiqua" w:cs="Book Antiqua"/>
          <w:i/>
          <w:iCs/>
          <w:color w:val="000000"/>
        </w:rPr>
        <w:t>vs</w:t>
      </w:r>
      <w:r w:rsidRPr="00E549DC">
        <w:rPr>
          <w:rFonts w:ascii="Book Antiqua" w:eastAsia="Book Antiqua" w:hAnsi="Book Antiqua" w:cs="Book Antiqua"/>
          <w:color w:val="000000"/>
        </w:rPr>
        <w:t xml:space="preserve"> cisplatin/interferon alpha-2b/doxorubicin/fluorouracil (PIAF) combination chemotherapy for unresectable hepatocellular carcinoma. </w:t>
      </w:r>
      <w:r w:rsidRPr="00E549DC">
        <w:rPr>
          <w:rFonts w:ascii="Book Antiqua" w:eastAsia="Book Antiqua" w:hAnsi="Book Antiqua" w:cs="Book Antiqua"/>
          <w:i/>
          <w:iCs/>
          <w:color w:val="000000"/>
        </w:rPr>
        <w:t>J Natl Cancer Inst</w:t>
      </w:r>
      <w:r w:rsidRPr="00E549DC">
        <w:rPr>
          <w:rFonts w:ascii="Book Antiqua" w:eastAsia="Book Antiqua" w:hAnsi="Book Antiqua" w:cs="Book Antiqua"/>
          <w:color w:val="000000"/>
        </w:rPr>
        <w:t xml:space="preserve"> 2005; </w:t>
      </w:r>
      <w:r w:rsidRPr="00E549DC">
        <w:rPr>
          <w:rFonts w:ascii="Book Antiqua" w:eastAsia="Book Antiqua" w:hAnsi="Book Antiqua" w:cs="Book Antiqua"/>
          <w:b/>
          <w:bCs/>
          <w:color w:val="000000"/>
        </w:rPr>
        <w:t>97</w:t>
      </w:r>
      <w:r w:rsidRPr="00E549DC">
        <w:rPr>
          <w:rFonts w:ascii="Book Antiqua" w:eastAsia="Book Antiqua" w:hAnsi="Book Antiqua" w:cs="Book Antiqua"/>
          <w:color w:val="000000"/>
        </w:rPr>
        <w:t>: 1532-1538 [PMID: 16234567 DOI: 10.1093/jnci/dji315]</w:t>
      </w:r>
    </w:p>
    <w:bookmarkEnd w:id="7"/>
    <w:bookmarkEnd w:id="8"/>
    <w:p w14:paraId="63A55E1D" w14:textId="77777777" w:rsidR="00A77B3E" w:rsidRPr="00E549DC" w:rsidRDefault="00A77B3E" w:rsidP="00C55EEF">
      <w:pPr>
        <w:adjustRightInd w:val="0"/>
        <w:snapToGrid w:val="0"/>
        <w:spacing w:line="360" w:lineRule="auto"/>
        <w:jc w:val="both"/>
        <w:rPr>
          <w:rFonts w:ascii="Book Antiqua" w:hAnsi="Book Antiqua"/>
        </w:rPr>
        <w:sectPr w:rsidR="00A77B3E" w:rsidRPr="00E549DC" w:rsidSect="00651CF8">
          <w:type w:val="continuous"/>
          <w:pgSz w:w="12240" w:h="15840"/>
          <w:pgMar w:top="1440" w:right="1800" w:bottom="1440" w:left="1800" w:header="720" w:footer="720" w:gutter="0"/>
          <w:cols w:space="720"/>
          <w:docGrid w:linePitch="360"/>
        </w:sectPr>
      </w:pPr>
    </w:p>
    <w:p w14:paraId="5A185BF8" w14:textId="3D0CBF53" w:rsidR="00A77B3E" w:rsidRPr="00E549DC" w:rsidRDefault="00B7601A" w:rsidP="00C55EEF">
      <w:pPr>
        <w:adjustRightInd w:val="0"/>
        <w:snapToGrid w:val="0"/>
        <w:spacing w:line="360" w:lineRule="auto"/>
        <w:jc w:val="both"/>
        <w:rPr>
          <w:rFonts w:ascii="Book Antiqua" w:hAnsi="Book Antiqua"/>
        </w:rPr>
      </w:pPr>
      <w:r w:rsidRPr="00E549DC">
        <w:rPr>
          <w:rFonts w:ascii="Book Antiqua" w:eastAsia="Book Antiqua" w:hAnsi="Book Antiqua" w:cs="Book Antiqua"/>
          <w:b/>
          <w:color w:val="000000"/>
        </w:rPr>
        <w:br w:type="page"/>
      </w:r>
      <w:r w:rsidR="00B677D4" w:rsidRPr="00E549DC">
        <w:rPr>
          <w:rFonts w:ascii="Book Antiqua" w:eastAsia="Book Antiqua" w:hAnsi="Book Antiqua" w:cs="Book Antiqua"/>
          <w:b/>
          <w:color w:val="000000"/>
        </w:rPr>
        <w:t>Footnotes</w:t>
      </w:r>
    </w:p>
    <w:p w14:paraId="738D2656" w14:textId="77777777" w:rsidR="00A77B3E" w:rsidRPr="00E549DC" w:rsidRDefault="00B677D4" w:rsidP="00C55EEF">
      <w:pPr>
        <w:adjustRightInd w:val="0"/>
        <w:snapToGrid w:val="0"/>
        <w:spacing w:line="360" w:lineRule="auto"/>
        <w:jc w:val="both"/>
        <w:rPr>
          <w:rFonts w:ascii="Book Antiqua" w:hAnsi="Book Antiqua"/>
        </w:rPr>
      </w:pPr>
      <w:r w:rsidRPr="00E549DC">
        <w:rPr>
          <w:rFonts w:ascii="Book Antiqua" w:eastAsia="Book Antiqua" w:hAnsi="Book Antiqua" w:cs="Book Antiqua"/>
          <w:b/>
          <w:bCs/>
          <w:color w:val="000000"/>
        </w:rPr>
        <w:t xml:space="preserve">Conflict-of-interest statement: </w:t>
      </w:r>
      <w:r w:rsidRPr="00E549DC">
        <w:rPr>
          <w:rFonts w:ascii="Book Antiqua" w:eastAsia="Book Antiqua" w:hAnsi="Book Antiqua" w:cs="Book Antiqua"/>
          <w:color w:val="000000"/>
        </w:rPr>
        <w:t>The authors have no declarations of interest to declare.</w:t>
      </w:r>
    </w:p>
    <w:p w14:paraId="0904AB01" w14:textId="77777777" w:rsidR="00A77B3E" w:rsidRPr="00E549DC" w:rsidRDefault="00A77B3E" w:rsidP="00C55EEF">
      <w:pPr>
        <w:adjustRightInd w:val="0"/>
        <w:snapToGrid w:val="0"/>
        <w:spacing w:line="360" w:lineRule="auto"/>
        <w:jc w:val="both"/>
        <w:rPr>
          <w:rFonts w:ascii="Book Antiqua" w:hAnsi="Book Antiqua"/>
        </w:rPr>
      </w:pPr>
    </w:p>
    <w:p w14:paraId="1320FF49" w14:textId="77777777" w:rsidR="00A77B3E" w:rsidRPr="00E549DC" w:rsidRDefault="00B677D4" w:rsidP="00C55EEF">
      <w:pPr>
        <w:adjustRightInd w:val="0"/>
        <w:snapToGrid w:val="0"/>
        <w:spacing w:line="360" w:lineRule="auto"/>
        <w:jc w:val="both"/>
        <w:rPr>
          <w:rFonts w:ascii="Book Antiqua" w:hAnsi="Book Antiqua"/>
        </w:rPr>
      </w:pPr>
      <w:r w:rsidRPr="00E549DC">
        <w:rPr>
          <w:rFonts w:ascii="Book Antiqua" w:eastAsia="Book Antiqua" w:hAnsi="Book Antiqua" w:cs="Book Antiqua"/>
          <w:b/>
          <w:bCs/>
          <w:color w:val="000000"/>
        </w:rPr>
        <w:t xml:space="preserve">PRISMA 2009 Checklist statement: </w:t>
      </w:r>
      <w:r w:rsidRPr="00E549DC">
        <w:rPr>
          <w:rFonts w:ascii="Book Antiqua" w:eastAsia="Book Antiqua" w:hAnsi="Book Antiqua" w:cs="Book Antiqua"/>
          <w:color w:val="000000"/>
        </w:rPr>
        <w:t>The authors have read the PRISMA 2009 Checklist, and the manuscript was prepared and revised according to the PRISMA 2009 Checklist.</w:t>
      </w:r>
    </w:p>
    <w:p w14:paraId="73EE56A7" w14:textId="77777777" w:rsidR="00A77B3E" w:rsidRPr="00E549DC" w:rsidRDefault="00A77B3E" w:rsidP="00C55EEF">
      <w:pPr>
        <w:adjustRightInd w:val="0"/>
        <w:snapToGrid w:val="0"/>
        <w:spacing w:line="360" w:lineRule="auto"/>
        <w:jc w:val="both"/>
        <w:rPr>
          <w:rFonts w:ascii="Book Antiqua" w:hAnsi="Book Antiqua"/>
        </w:rPr>
      </w:pPr>
    </w:p>
    <w:p w14:paraId="197F3B48" w14:textId="77777777" w:rsidR="00A77B3E" w:rsidRPr="00E549DC" w:rsidRDefault="00B677D4" w:rsidP="00C55EEF">
      <w:pPr>
        <w:adjustRightInd w:val="0"/>
        <w:snapToGrid w:val="0"/>
        <w:spacing w:line="360" w:lineRule="auto"/>
        <w:jc w:val="both"/>
        <w:rPr>
          <w:rFonts w:ascii="Book Antiqua" w:hAnsi="Book Antiqua"/>
        </w:rPr>
      </w:pPr>
      <w:r w:rsidRPr="00E549DC">
        <w:rPr>
          <w:rFonts w:ascii="Book Antiqua" w:eastAsia="Book Antiqua" w:hAnsi="Book Antiqua" w:cs="Book Antiqua"/>
          <w:b/>
          <w:bCs/>
          <w:color w:val="000000"/>
        </w:rPr>
        <w:t xml:space="preserve">Open-Access: </w:t>
      </w:r>
      <w:bookmarkStart w:id="20" w:name="OLE_LINK3"/>
      <w:bookmarkStart w:id="21" w:name="OLE_LINK4"/>
      <w:r w:rsidRPr="00E549DC">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20"/>
      <w:bookmarkEnd w:id="21"/>
    </w:p>
    <w:p w14:paraId="41120150" w14:textId="77777777" w:rsidR="00A77B3E" w:rsidRPr="00E549DC" w:rsidRDefault="00A77B3E" w:rsidP="00C55EEF">
      <w:pPr>
        <w:adjustRightInd w:val="0"/>
        <w:snapToGrid w:val="0"/>
        <w:spacing w:line="360" w:lineRule="auto"/>
        <w:jc w:val="both"/>
        <w:rPr>
          <w:rFonts w:ascii="Book Antiqua" w:hAnsi="Book Antiqua"/>
        </w:rPr>
      </w:pPr>
    </w:p>
    <w:p w14:paraId="6AC930D4" w14:textId="13C1A0AC" w:rsidR="00A77B3E" w:rsidRPr="00E549DC" w:rsidRDefault="00B677D4" w:rsidP="00C55EEF">
      <w:pPr>
        <w:adjustRightInd w:val="0"/>
        <w:snapToGrid w:val="0"/>
        <w:spacing w:line="360" w:lineRule="auto"/>
        <w:jc w:val="both"/>
        <w:rPr>
          <w:rFonts w:ascii="Book Antiqua" w:hAnsi="Book Antiqua"/>
        </w:rPr>
      </w:pPr>
      <w:r w:rsidRPr="00E549DC">
        <w:rPr>
          <w:rFonts w:ascii="Book Antiqua" w:eastAsia="Book Antiqua" w:hAnsi="Book Antiqua" w:cs="Book Antiqua"/>
          <w:b/>
          <w:color w:val="000000"/>
        </w:rPr>
        <w:t xml:space="preserve">Manuscript source: </w:t>
      </w:r>
      <w:r w:rsidRPr="00E549DC">
        <w:rPr>
          <w:rFonts w:ascii="Book Antiqua" w:eastAsia="Book Antiqua" w:hAnsi="Book Antiqua" w:cs="Book Antiqua"/>
          <w:color w:val="000000"/>
        </w:rPr>
        <w:t xml:space="preserve">Unsolicited </w:t>
      </w:r>
      <w:r w:rsidR="009F2030" w:rsidRPr="00E549DC">
        <w:rPr>
          <w:rFonts w:ascii="Book Antiqua" w:eastAsia="Book Antiqua" w:hAnsi="Book Antiqua" w:cs="Book Antiqua"/>
          <w:color w:val="000000"/>
        </w:rPr>
        <w:t>manuscript</w:t>
      </w:r>
    </w:p>
    <w:p w14:paraId="43631BE4" w14:textId="77777777" w:rsidR="00A77B3E" w:rsidRPr="00E549DC" w:rsidRDefault="00A77B3E" w:rsidP="00C55EEF">
      <w:pPr>
        <w:adjustRightInd w:val="0"/>
        <w:snapToGrid w:val="0"/>
        <w:spacing w:line="360" w:lineRule="auto"/>
        <w:jc w:val="both"/>
        <w:rPr>
          <w:rFonts w:ascii="Book Antiqua" w:hAnsi="Book Antiqua"/>
        </w:rPr>
      </w:pPr>
    </w:p>
    <w:p w14:paraId="4C31E2CD" w14:textId="77777777" w:rsidR="00A77B3E" w:rsidRPr="00E549DC" w:rsidRDefault="00B677D4" w:rsidP="00C55EEF">
      <w:pPr>
        <w:adjustRightInd w:val="0"/>
        <w:snapToGrid w:val="0"/>
        <w:spacing w:line="360" w:lineRule="auto"/>
        <w:jc w:val="both"/>
        <w:rPr>
          <w:rFonts w:ascii="Book Antiqua" w:hAnsi="Book Antiqua"/>
        </w:rPr>
      </w:pPr>
      <w:r w:rsidRPr="00E549DC">
        <w:rPr>
          <w:rFonts w:ascii="Book Antiqua" w:eastAsia="Book Antiqua" w:hAnsi="Book Antiqua" w:cs="Book Antiqua"/>
          <w:b/>
          <w:color w:val="000000"/>
        </w:rPr>
        <w:t xml:space="preserve">Peer-review started: </w:t>
      </w:r>
      <w:r w:rsidRPr="00E549DC">
        <w:rPr>
          <w:rFonts w:ascii="Book Antiqua" w:eastAsia="Book Antiqua" w:hAnsi="Book Antiqua" w:cs="Book Antiqua"/>
          <w:color w:val="000000"/>
        </w:rPr>
        <w:t>January 26, 2021</w:t>
      </w:r>
    </w:p>
    <w:p w14:paraId="30D6BEAC" w14:textId="77777777" w:rsidR="00A77B3E" w:rsidRPr="00E549DC" w:rsidRDefault="00B677D4" w:rsidP="00C55EEF">
      <w:pPr>
        <w:adjustRightInd w:val="0"/>
        <w:snapToGrid w:val="0"/>
        <w:spacing w:line="360" w:lineRule="auto"/>
        <w:jc w:val="both"/>
        <w:rPr>
          <w:rFonts w:ascii="Book Antiqua" w:hAnsi="Book Antiqua"/>
        </w:rPr>
      </w:pPr>
      <w:r w:rsidRPr="00E549DC">
        <w:rPr>
          <w:rFonts w:ascii="Book Antiqua" w:eastAsia="Book Antiqua" w:hAnsi="Book Antiqua" w:cs="Book Antiqua"/>
          <w:b/>
          <w:color w:val="000000"/>
        </w:rPr>
        <w:t xml:space="preserve">First decision: </w:t>
      </w:r>
      <w:r w:rsidRPr="00E549DC">
        <w:rPr>
          <w:rFonts w:ascii="Book Antiqua" w:eastAsia="Book Antiqua" w:hAnsi="Book Antiqua" w:cs="Book Antiqua"/>
          <w:color w:val="000000"/>
        </w:rPr>
        <w:t>February 27, 2021</w:t>
      </w:r>
    </w:p>
    <w:p w14:paraId="395D8B0D" w14:textId="1FD66E6D" w:rsidR="00A77B3E" w:rsidRPr="00E549DC" w:rsidRDefault="00B677D4" w:rsidP="00C55EEF">
      <w:pPr>
        <w:adjustRightInd w:val="0"/>
        <w:snapToGrid w:val="0"/>
        <w:spacing w:line="360" w:lineRule="auto"/>
        <w:jc w:val="both"/>
        <w:rPr>
          <w:rFonts w:ascii="Book Antiqua" w:hAnsi="Book Antiqua"/>
        </w:rPr>
      </w:pPr>
      <w:r w:rsidRPr="00E549DC">
        <w:rPr>
          <w:rFonts w:ascii="Book Antiqua" w:eastAsia="Book Antiqua" w:hAnsi="Book Antiqua" w:cs="Book Antiqua"/>
          <w:b/>
          <w:color w:val="000000"/>
        </w:rPr>
        <w:t xml:space="preserve">Article in press: </w:t>
      </w:r>
      <w:r w:rsidR="00DF6CAC" w:rsidRPr="00E549DC">
        <w:rPr>
          <w:rFonts w:ascii="Book Antiqua" w:eastAsia="Book Antiqua" w:hAnsi="Book Antiqua" w:cs="Book Antiqua"/>
          <w:color w:val="000000"/>
        </w:rPr>
        <w:t>April 21, 2021</w:t>
      </w:r>
    </w:p>
    <w:p w14:paraId="54AC3EE6" w14:textId="77777777" w:rsidR="00A77B3E" w:rsidRPr="00E549DC" w:rsidRDefault="00A77B3E" w:rsidP="00C55EEF">
      <w:pPr>
        <w:adjustRightInd w:val="0"/>
        <w:snapToGrid w:val="0"/>
        <w:spacing w:line="360" w:lineRule="auto"/>
        <w:jc w:val="both"/>
        <w:rPr>
          <w:rFonts w:ascii="Book Antiqua" w:hAnsi="Book Antiqua"/>
        </w:rPr>
      </w:pPr>
    </w:p>
    <w:p w14:paraId="6EF5DAD6" w14:textId="77777777" w:rsidR="00A77B3E" w:rsidRPr="00E549DC" w:rsidRDefault="00B677D4" w:rsidP="00C55EEF">
      <w:pPr>
        <w:adjustRightInd w:val="0"/>
        <w:snapToGrid w:val="0"/>
        <w:spacing w:line="360" w:lineRule="auto"/>
        <w:jc w:val="both"/>
        <w:rPr>
          <w:rFonts w:ascii="Book Antiqua" w:hAnsi="Book Antiqua"/>
        </w:rPr>
      </w:pPr>
      <w:r w:rsidRPr="00E549DC">
        <w:rPr>
          <w:rFonts w:ascii="Book Antiqua" w:eastAsia="Book Antiqua" w:hAnsi="Book Antiqua" w:cs="Book Antiqua"/>
          <w:b/>
          <w:color w:val="000000"/>
        </w:rPr>
        <w:t xml:space="preserve">Specialty type: </w:t>
      </w:r>
      <w:r w:rsidRPr="00E549DC">
        <w:rPr>
          <w:rFonts w:ascii="Book Antiqua" w:eastAsia="Book Antiqua" w:hAnsi="Book Antiqua" w:cs="Book Antiqua"/>
          <w:color w:val="000000"/>
        </w:rPr>
        <w:t xml:space="preserve">Oncology </w:t>
      </w:r>
    </w:p>
    <w:p w14:paraId="68D94969" w14:textId="77777777" w:rsidR="00A77B3E" w:rsidRPr="00E549DC" w:rsidRDefault="00B677D4" w:rsidP="00C55EEF">
      <w:pPr>
        <w:adjustRightInd w:val="0"/>
        <w:snapToGrid w:val="0"/>
        <w:spacing w:line="360" w:lineRule="auto"/>
        <w:jc w:val="both"/>
        <w:rPr>
          <w:rFonts w:ascii="Book Antiqua" w:hAnsi="Book Antiqua"/>
        </w:rPr>
      </w:pPr>
      <w:r w:rsidRPr="00E549DC">
        <w:rPr>
          <w:rFonts w:ascii="Book Antiqua" w:eastAsia="Book Antiqua" w:hAnsi="Book Antiqua" w:cs="Book Antiqua"/>
          <w:b/>
          <w:color w:val="000000"/>
        </w:rPr>
        <w:t xml:space="preserve">Country/Territory of origin: </w:t>
      </w:r>
      <w:r w:rsidRPr="00E549DC">
        <w:rPr>
          <w:rFonts w:ascii="Book Antiqua" w:eastAsia="Book Antiqua" w:hAnsi="Book Antiqua" w:cs="Book Antiqua"/>
          <w:color w:val="000000"/>
        </w:rPr>
        <w:t>China</w:t>
      </w:r>
    </w:p>
    <w:p w14:paraId="72E24324" w14:textId="77777777" w:rsidR="00A77B3E" w:rsidRPr="00E549DC" w:rsidRDefault="00B677D4" w:rsidP="00C55EEF">
      <w:pPr>
        <w:adjustRightInd w:val="0"/>
        <w:snapToGrid w:val="0"/>
        <w:spacing w:line="360" w:lineRule="auto"/>
        <w:jc w:val="both"/>
        <w:rPr>
          <w:rFonts w:ascii="Book Antiqua" w:hAnsi="Book Antiqua"/>
        </w:rPr>
      </w:pPr>
      <w:r w:rsidRPr="00E549DC">
        <w:rPr>
          <w:rFonts w:ascii="Book Antiqua" w:eastAsia="Book Antiqua" w:hAnsi="Book Antiqua" w:cs="Book Antiqua"/>
          <w:b/>
          <w:color w:val="000000"/>
        </w:rPr>
        <w:t>Peer-review report’s scientific quality classification</w:t>
      </w:r>
    </w:p>
    <w:p w14:paraId="6D36C1E6" w14:textId="77777777" w:rsidR="00A77B3E" w:rsidRPr="00E549DC" w:rsidRDefault="00B677D4" w:rsidP="00C55EEF">
      <w:pPr>
        <w:adjustRightInd w:val="0"/>
        <w:snapToGrid w:val="0"/>
        <w:spacing w:line="360" w:lineRule="auto"/>
        <w:jc w:val="both"/>
        <w:rPr>
          <w:rFonts w:ascii="Book Antiqua" w:hAnsi="Book Antiqua"/>
        </w:rPr>
      </w:pPr>
      <w:r w:rsidRPr="00E549DC">
        <w:rPr>
          <w:rFonts w:ascii="Book Antiqua" w:eastAsia="Book Antiqua" w:hAnsi="Book Antiqua" w:cs="Book Antiqua"/>
          <w:color w:val="000000"/>
        </w:rPr>
        <w:t>Grade A (Excellent): A</w:t>
      </w:r>
    </w:p>
    <w:p w14:paraId="68B97E47" w14:textId="77777777" w:rsidR="00A77B3E" w:rsidRPr="00E549DC" w:rsidRDefault="00B677D4" w:rsidP="00C55EEF">
      <w:pPr>
        <w:adjustRightInd w:val="0"/>
        <w:snapToGrid w:val="0"/>
        <w:spacing w:line="360" w:lineRule="auto"/>
        <w:jc w:val="both"/>
        <w:rPr>
          <w:rFonts w:ascii="Book Antiqua" w:hAnsi="Book Antiqua"/>
        </w:rPr>
      </w:pPr>
      <w:r w:rsidRPr="00E549DC">
        <w:rPr>
          <w:rFonts w:ascii="Book Antiqua" w:eastAsia="Book Antiqua" w:hAnsi="Book Antiqua" w:cs="Book Antiqua"/>
          <w:color w:val="000000"/>
        </w:rPr>
        <w:t>Grade B (Very good): 0</w:t>
      </w:r>
    </w:p>
    <w:p w14:paraId="2F2E4F06" w14:textId="77777777" w:rsidR="00A77B3E" w:rsidRPr="00E549DC" w:rsidRDefault="00B677D4" w:rsidP="00C55EEF">
      <w:pPr>
        <w:adjustRightInd w:val="0"/>
        <w:snapToGrid w:val="0"/>
        <w:spacing w:line="360" w:lineRule="auto"/>
        <w:jc w:val="both"/>
        <w:rPr>
          <w:rFonts w:ascii="Book Antiqua" w:hAnsi="Book Antiqua"/>
        </w:rPr>
      </w:pPr>
      <w:r w:rsidRPr="00E549DC">
        <w:rPr>
          <w:rFonts w:ascii="Book Antiqua" w:eastAsia="Book Antiqua" w:hAnsi="Book Antiqua" w:cs="Book Antiqua"/>
          <w:color w:val="000000"/>
        </w:rPr>
        <w:t>Grade C (Good): 0</w:t>
      </w:r>
    </w:p>
    <w:p w14:paraId="1E9A5BDE" w14:textId="77777777" w:rsidR="00A77B3E" w:rsidRPr="00E549DC" w:rsidRDefault="00B677D4" w:rsidP="00C55EEF">
      <w:pPr>
        <w:adjustRightInd w:val="0"/>
        <w:snapToGrid w:val="0"/>
        <w:spacing w:line="360" w:lineRule="auto"/>
        <w:jc w:val="both"/>
        <w:rPr>
          <w:rFonts w:ascii="Book Antiqua" w:hAnsi="Book Antiqua"/>
        </w:rPr>
      </w:pPr>
      <w:r w:rsidRPr="00E549DC">
        <w:rPr>
          <w:rFonts w:ascii="Book Antiqua" w:eastAsia="Book Antiqua" w:hAnsi="Book Antiqua" w:cs="Book Antiqua"/>
          <w:color w:val="000000"/>
        </w:rPr>
        <w:t>Grade D (Fair): 0</w:t>
      </w:r>
    </w:p>
    <w:p w14:paraId="32C0BC96" w14:textId="74DA447E" w:rsidR="00A77B3E" w:rsidRPr="00E549DC" w:rsidRDefault="00B677D4" w:rsidP="00C55EEF">
      <w:pPr>
        <w:adjustRightInd w:val="0"/>
        <w:snapToGrid w:val="0"/>
        <w:spacing w:line="360" w:lineRule="auto"/>
        <w:jc w:val="both"/>
        <w:rPr>
          <w:rFonts w:ascii="Book Antiqua" w:hAnsi="Book Antiqua"/>
        </w:rPr>
      </w:pPr>
      <w:r w:rsidRPr="00E549DC">
        <w:rPr>
          <w:rFonts w:ascii="Book Antiqua" w:eastAsia="Book Antiqua" w:hAnsi="Book Antiqua" w:cs="Book Antiqua"/>
          <w:color w:val="000000"/>
        </w:rPr>
        <w:t>Grade E (Poor): 0</w:t>
      </w:r>
    </w:p>
    <w:p w14:paraId="270F940B" w14:textId="338E82F5" w:rsidR="00A77B3E" w:rsidRPr="00E549DC" w:rsidRDefault="00B677D4" w:rsidP="00C55EEF">
      <w:pPr>
        <w:adjustRightInd w:val="0"/>
        <w:snapToGrid w:val="0"/>
        <w:spacing w:line="360" w:lineRule="auto"/>
        <w:jc w:val="both"/>
        <w:rPr>
          <w:rFonts w:ascii="Book Antiqua" w:hAnsi="Book Antiqua" w:cs="Book Antiqua"/>
          <w:color w:val="000000"/>
          <w:lang w:eastAsia="zh-CN"/>
        </w:rPr>
      </w:pPr>
      <w:r w:rsidRPr="00E549DC">
        <w:rPr>
          <w:rFonts w:ascii="Book Antiqua" w:eastAsia="Book Antiqua" w:hAnsi="Book Antiqua" w:cs="Book Antiqua"/>
          <w:b/>
          <w:color w:val="000000"/>
        </w:rPr>
        <w:t xml:space="preserve">P-Reviewer: </w:t>
      </w:r>
      <w:r w:rsidRPr="00E549DC">
        <w:rPr>
          <w:rFonts w:ascii="Book Antiqua" w:eastAsia="Book Antiqua" w:hAnsi="Book Antiqua" w:cs="Book Antiqua"/>
          <w:color w:val="000000"/>
        </w:rPr>
        <w:t>Kamimura K</w:t>
      </w:r>
      <w:r w:rsidRPr="00E549DC">
        <w:rPr>
          <w:rFonts w:ascii="Book Antiqua" w:eastAsia="Book Antiqua" w:hAnsi="Book Antiqua" w:cs="Book Antiqua"/>
          <w:b/>
          <w:color w:val="000000"/>
        </w:rPr>
        <w:t xml:space="preserve"> S-Editor: </w:t>
      </w:r>
      <w:r w:rsidRPr="00E549DC">
        <w:rPr>
          <w:rFonts w:ascii="Book Antiqua" w:eastAsia="Book Antiqua" w:hAnsi="Book Antiqua" w:cs="Book Antiqua"/>
          <w:color w:val="000000"/>
        </w:rPr>
        <w:t>Zhang L</w:t>
      </w:r>
      <w:r w:rsidR="00D403E4" w:rsidRPr="00E549DC">
        <w:rPr>
          <w:rFonts w:ascii="Book Antiqua" w:eastAsia="Book Antiqua" w:hAnsi="Book Antiqua" w:cs="Book Antiqua"/>
          <w:b/>
          <w:color w:val="000000"/>
        </w:rPr>
        <w:t xml:space="preserve"> L-Editor: </w:t>
      </w:r>
      <w:r w:rsidR="00536432" w:rsidRPr="00E549DC">
        <w:rPr>
          <w:rFonts w:ascii="Book Antiqua" w:eastAsia="Book Antiqua" w:hAnsi="Book Antiqua" w:cs="Book Antiqua"/>
          <w:color w:val="000000"/>
        </w:rPr>
        <w:t>Wang TQ</w:t>
      </w:r>
      <w:r w:rsidR="00536432" w:rsidRPr="00E549DC">
        <w:rPr>
          <w:rFonts w:ascii="Book Antiqua" w:eastAsia="Book Antiqua" w:hAnsi="Book Antiqua" w:cs="Book Antiqua"/>
          <w:b/>
          <w:color w:val="000000"/>
        </w:rPr>
        <w:t xml:space="preserve"> </w:t>
      </w:r>
      <w:r w:rsidRPr="00E549DC">
        <w:rPr>
          <w:rFonts w:ascii="Book Antiqua" w:eastAsia="Book Antiqua" w:hAnsi="Book Antiqua" w:cs="Book Antiqua"/>
          <w:b/>
          <w:color w:val="000000"/>
        </w:rPr>
        <w:t>P-Editor:</w:t>
      </w:r>
      <w:r w:rsidRPr="00E549DC">
        <w:rPr>
          <w:rFonts w:ascii="Book Antiqua" w:eastAsia="Book Antiqua" w:hAnsi="Book Antiqua" w:cs="Book Antiqua"/>
          <w:color w:val="000000"/>
        </w:rPr>
        <w:t xml:space="preserve"> </w:t>
      </w:r>
      <w:r w:rsidR="00DF6CAC" w:rsidRPr="00E549DC">
        <w:rPr>
          <w:rFonts w:ascii="Book Antiqua" w:hAnsi="Book Antiqua" w:cs="Book Antiqua" w:hint="eastAsia"/>
          <w:color w:val="000000"/>
          <w:lang w:eastAsia="zh-CN"/>
        </w:rPr>
        <w:t>Wang LL</w:t>
      </w:r>
    </w:p>
    <w:p w14:paraId="063DAB6C" w14:textId="77777777" w:rsidR="009F2030" w:rsidRPr="00E549DC" w:rsidRDefault="009F2030" w:rsidP="00C55EEF">
      <w:pPr>
        <w:adjustRightInd w:val="0"/>
        <w:snapToGrid w:val="0"/>
        <w:spacing w:line="360" w:lineRule="auto"/>
        <w:jc w:val="both"/>
        <w:rPr>
          <w:rFonts w:ascii="Book Antiqua" w:hAnsi="Book Antiqua"/>
        </w:rPr>
        <w:sectPr w:rsidR="009F2030" w:rsidRPr="00E549DC" w:rsidSect="00651CF8">
          <w:type w:val="continuous"/>
          <w:pgSz w:w="12240" w:h="15840"/>
          <w:pgMar w:top="1440" w:right="1800" w:bottom="1440" w:left="1800" w:header="720" w:footer="720" w:gutter="0"/>
          <w:cols w:space="720"/>
          <w:docGrid w:linePitch="360"/>
        </w:sectPr>
      </w:pPr>
    </w:p>
    <w:p w14:paraId="1BAF43C3" w14:textId="38EB9A38" w:rsidR="00A77B3E" w:rsidRPr="00E549DC" w:rsidRDefault="00651CF8" w:rsidP="00C55EEF">
      <w:pPr>
        <w:adjustRightInd w:val="0"/>
        <w:snapToGrid w:val="0"/>
        <w:spacing w:line="360" w:lineRule="auto"/>
        <w:jc w:val="both"/>
        <w:rPr>
          <w:rFonts w:ascii="Book Antiqua" w:eastAsia="Book Antiqua" w:hAnsi="Book Antiqua" w:cs="Book Antiqua"/>
          <w:b/>
          <w:color w:val="000000"/>
        </w:rPr>
      </w:pPr>
      <w:r w:rsidRPr="00E549DC">
        <w:rPr>
          <w:rFonts w:ascii="Book Antiqua" w:eastAsia="Book Antiqua" w:hAnsi="Book Antiqua" w:cs="Book Antiqua"/>
          <w:b/>
          <w:color w:val="000000"/>
        </w:rPr>
        <w:br w:type="page"/>
      </w:r>
      <w:r w:rsidR="00B677D4" w:rsidRPr="00E549DC">
        <w:rPr>
          <w:rFonts w:ascii="Book Antiqua" w:eastAsia="Book Antiqua" w:hAnsi="Book Antiqua" w:cs="Book Antiqua"/>
          <w:b/>
          <w:color w:val="000000"/>
        </w:rPr>
        <w:t>Figure Legends</w:t>
      </w:r>
    </w:p>
    <w:p w14:paraId="1F4FBBA9" w14:textId="1D93F071" w:rsidR="00B677D4" w:rsidRPr="00E549DC" w:rsidRDefault="00651CF8" w:rsidP="00C55EEF">
      <w:pPr>
        <w:adjustRightInd w:val="0"/>
        <w:snapToGrid w:val="0"/>
        <w:spacing w:line="360" w:lineRule="auto"/>
        <w:jc w:val="both"/>
        <w:rPr>
          <w:rFonts w:ascii="Book Antiqua" w:hAnsi="Book Antiqua"/>
        </w:rPr>
      </w:pPr>
      <w:r w:rsidRPr="00E549DC">
        <w:rPr>
          <w:rFonts w:ascii="Book Antiqua" w:hAnsi="Book Antiqua"/>
          <w:noProof/>
          <w:lang w:eastAsia="zh-CN"/>
        </w:rPr>
        <w:drawing>
          <wp:inline distT="0" distB="0" distL="0" distR="0" wp14:anchorId="4F7BEAF4" wp14:editId="2C84F257">
            <wp:extent cx="5486400" cy="634238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6342380"/>
                    </a:xfrm>
                    <a:prstGeom prst="rect">
                      <a:avLst/>
                    </a:prstGeom>
                  </pic:spPr>
                </pic:pic>
              </a:graphicData>
            </a:graphic>
          </wp:inline>
        </w:drawing>
      </w:r>
    </w:p>
    <w:p w14:paraId="3BAE6E94" w14:textId="51456C74" w:rsidR="00A77B3E" w:rsidRPr="00E549DC" w:rsidRDefault="00B677D4" w:rsidP="00C55EEF">
      <w:pPr>
        <w:adjustRightInd w:val="0"/>
        <w:snapToGrid w:val="0"/>
        <w:spacing w:line="360" w:lineRule="auto"/>
        <w:jc w:val="both"/>
        <w:rPr>
          <w:rFonts w:ascii="Book Antiqua" w:eastAsia="Book Antiqua" w:hAnsi="Book Antiqua" w:cs="Book Antiqua"/>
          <w:b/>
          <w:bCs/>
          <w:color w:val="000000"/>
        </w:rPr>
      </w:pPr>
      <w:bookmarkStart w:id="22" w:name="OLE_LINK22"/>
      <w:bookmarkStart w:id="23" w:name="OLE_LINK23"/>
      <w:r w:rsidRPr="00E549DC">
        <w:rPr>
          <w:rFonts w:ascii="Book Antiqua" w:eastAsia="Book Antiqua" w:hAnsi="Book Antiqua" w:cs="Book Antiqua"/>
          <w:b/>
          <w:bCs/>
          <w:color w:val="000000"/>
        </w:rPr>
        <w:t>Figure 1 Flow chart of study selection and search terms</w:t>
      </w:r>
      <w:r w:rsidR="00651CF8" w:rsidRPr="00E549DC">
        <w:rPr>
          <w:rFonts w:ascii="Book Antiqua" w:eastAsia="Book Antiqua" w:hAnsi="Book Antiqua" w:cs="Book Antiqua"/>
          <w:b/>
          <w:bCs/>
          <w:color w:val="000000"/>
        </w:rPr>
        <w:t>.</w:t>
      </w:r>
      <w:r w:rsidR="00651CF8" w:rsidRPr="00E549DC">
        <w:rPr>
          <w:rFonts w:ascii="Book Antiqua" w:hAnsi="Book Antiqua" w:cs="Book Antiqua"/>
          <w:b/>
          <w:bCs/>
          <w:color w:val="000000"/>
          <w:lang w:eastAsia="zh-CN"/>
        </w:rPr>
        <w:t xml:space="preserve"> </w:t>
      </w:r>
      <w:r w:rsidR="00536432" w:rsidRPr="00E549DC">
        <w:rPr>
          <w:rFonts w:ascii="Book Antiqua" w:eastAsia="Book Antiqua" w:hAnsi="Book Antiqua" w:cs="Book Antiqua"/>
          <w:color w:val="000000"/>
        </w:rPr>
        <w:t>D</w:t>
      </w:r>
      <w:r w:rsidRPr="00E549DC">
        <w:rPr>
          <w:rFonts w:ascii="Book Antiqua" w:eastAsia="Book Antiqua" w:hAnsi="Book Antiqua" w:cs="Book Antiqua"/>
          <w:color w:val="000000"/>
        </w:rPr>
        <w:t>ifferent therapeutics were searched for using individual searches to allow easier processing of the results; NOT was used for databases allowing use of this operator.</w:t>
      </w:r>
      <w:r w:rsidR="008B736D" w:rsidRPr="00E549DC">
        <w:rPr>
          <w:rFonts w:ascii="Book Antiqua" w:eastAsia="Book Antiqua" w:hAnsi="Book Antiqua" w:cs="Book Antiqua"/>
          <w:color w:val="000000"/>
        </w:rPr>
        <w:t xml:space="preserve"> ASCO: American Society of Clinical Oncology.</w:t>
      </w:r>
    </w:p>
    <w:bookmarkEnd w:id="22"/>
    <w:bookmarkEnd w:id="23"/>
    <w:p w14:paraId="70413228" w14:textId="54A71403" w:rsidR="00B677D4" w:rsidRPr="00E549DC" w:rsidRDefault="00016629" w:rsidP="00C55EEF">
      <w:pPr>
        <w:adjustRightInd w:val="0"/>
        <w:snapToGrid w:val="0"/>
        <w:spacing w:line="360" w:lineRule="auto"/>
        <w:jc w:val="both"/>
        <w:rPr>
          <w:rFonts w:ascii="Book Antiqua" w:eastAsia="Book Antiqua" w:hAnsi="Book Antiqua" w:cs="Book Antiqua"/>
          <w:color w:val="000000"/>
        </w:rPr>
      </w:pPr>
      <w:r w:rsidRPr="00E549DC">
        <w:rPr>
          <w:rFonts w:ascii="Book Antiqua" w:eastAsia="Book Antiqua" w:hAnsi="Book Antiqua" w:cs="Book Antiqua"/>
          <w:color w:val="000000"/>
        </w:rPr>
        <w:br w:type="page"/>
      </w:r>
      <w:r w:rsidR="00B677D4" w:rsidRPr="00E549DC">
        <w:rPr>
          <w:rFonts w:ascii="Book Antiqua" w:eastAsia="Book Antiqua" w:hAnsi="Book Antiqua" w:cs="Book Antiqua"/>
          <w:noProof/>
          <w:color w:val="000000"/>
          <w:lang w:eastAsia="zh-CN"/>
        </w:rPr>
        <w:drawing>
          <wp:inline distT="0" distB="0" distL="0" distR="0" wp14:anchorId="28B7882A" wp14:editId="25465887">
            <wp:extent cx="5943600" cy="224663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246630"/>
                    </a:xfrm>
                    <a:prstGeom prst="rect">
                      <a:avLst/>
                    </a:prstGeom>
                  </pic:spPr>
                </pic:pic>
              </a:graphicData>
            </a:graphic>
          </wp:inline>
        </w:drawing>
      </w:r>
    </w:p>
    <w:p w14:paraId="5D7CA737" w14:textId="14459CF2" w:rsidR="00A77B3E" w:rsidRPr="00E549DC" w:rsidRDefault="00B677D4" w:rsidP="00C55EEF">
      <w:pPr>
        <w:adjustRightInd w:val="0"/>
        <w:snapToGrid w:val="0"/>
        <w:spacing w:line="360" w:lineRule="auto"/>
        <w:jc w:val="both"/>
        <w:rPr>
          <w:rFonts w:ascii="Book Antiqua" w:hAnsi="Book Antiqua"/>
        </w:rPr>
      </w:pPr>
      <w:r w:rsidRPr="00E549DC">
        <w:rPr>
          <w:rFonts w:ascii="Book Antiqua" w:eastAsia="Book Antiqua" w:hAnsi="Book Antiqua" w:cs="Book Antiqua"/>
          <w:b/>
          <w:bCs/>
          <w:color w:val="000000"/>
        </w:rPr>
        <w:t>Figure 2 Response rates of first-line systemic therapy in patients with advanced hepatocellular carcinoma.</w:t>
      </w:r>
      <w:r w:rsidRPr="00E549DC">
        <w:rPr>
          <w:rFonts w:ascii="Book Antiqua" w:eastAsia="Book Antiqua" w:hAnsi="Book Antiqua" w:cs="Book Antiqua"/>
          <w:color w:val="000000"/>
        </w:rPr>
        <w:t xml:space="preserve"> A: Network diagram</w:t>
      </w:r>
      <w:r w:rsidR="008B736D" w:rsidRPr="00E549DC">
        <w:rPr>
          <w:rFonts w:ascii="Book Antiqua" w:eastAsia="Book Antiqua" w:hAnsi="Book Antiqua" w:cs="Book Antiqua"/>
          <w:color w:val="000000"/>
        </w:rPr>
        <w:t>;</w:t>
      </w:r>
      <w:r w:rsidRPr="00E549DC">
        <w:rPr>
          <w:rFonts w:ascii="Book Antiqua" w:eastAsia="Book Antiqua" w:hAnsi="Book Antiqua" w:cs="Book Antiqua"/>
          <w:color w:val="000000"/>
        </w:rPr>
        <w:t xml:space="preserve"> </w:t>
      </w:r>
      <w:r w:rsidR="008B736D" w:rsidRPr="00E549DC">
        <w:rPr>
          <w:rFonts w:ascii="Book Antiqua" w:eastAsia="Book Antiqua" w:hAnsi="Book Antiqua" w:cs="Book Antiqua"/>
          <w:color w:val="000000"/>
        </w:rPr>
        <w:t xml:space="preserve">B: </w:t>
      </w:r>
      <w:r w:rsidR="009D21FD" w:rsidRPr="00E549DC">
        <w:rPr>
          <w:rFonts w:ascii="Book Antiqua" w:eastAsia="Book Antiqua" w:hAnsi="Book Antiqua" w:cs="Book Antiqua"/>
          <w:color w:val="000000"/>
        </w:rPr>
        <w:t xml:space="preserve">Interventions </w:t>
      </w:r>
      <w:r w:rsidR="008B736D" w:rsidRPr="00E549DC">
        <w:rPr>
          <w:rFonts w:ascii="Book Antiqua" w:eastAsia="Book Antiqua" w:hAnsi="Book Antiqua" w:cs="Book Antiqua"/>
          <w:color w:val="000000"/>
        </w:rPr>
        <w:t xml:space="preserve">ranked by </w:t>
      </w:r>
      <w:r w:rsidR="008B736D" w:rsidRPr="00E549DC">
        <w:rPr>
          <w:rFonts w:ascii="Book Antiqua" w:eastAsia="Book Antiqua" w:hAnsi="Book Antiqua" w:cs="Book Antiqua"/>
          <w:i/>
          <w:color w:val="000000"/>
        </w:rPr>
        <w:t>P</w:t>
      </w:r>
      <w:r w:rsidR="008B736D" w:rsidRPr="00E549DC">
        <w:rPr>
          <w:rFonts w:ascii="Book Antiqua" w:eastAsia="Book Antiqua" w:hAnsi="Book Antiqua" w:cs="Book Antiqua"/>
          <w:color w:val="000000"/>
        </w:rPr>
        <w:t xml:space="preserve"> value</w:t>
      </w:r>
      <w:r w:rsidRPr="00E549DC">
        <w:rPr>
          <w:rFonts w:ascii="Book Antiqua" w:eastAsia="Book Antiqua" w:hAnsi="Book Antiqua" w:cs="Book Antiqua"/>
          <w:color w:val="000000"/>
        </w:rPr>
        <w:t xml:space="preserve"> with risk ratios and 95%</w:t>
      </w:r>
      <w:r w:rsidR="008B736D" w:rsidRPr="00E549DC">
        <w:rPr>
          <w:rFonts w:ascii="Book Antiqua" w:eastAsia="Book Antiqua" w:hAnsi="Book Antiqua" w:cs="Book Antiqua"/>
          <w:color w:val="000000"/>
        </w:rPr>
        <w:t xml:space="preserve"> confidence interval</w:t>
      </w:r>
      <w:r w:rsidRPr="00E549DC">
        <w:rPr>
          <w:rFonts w:ascii="Book Antiqua" w:eastAsia="Book Antiqua" w:hAnsi="Book Antiqua" w:cs="Book Antiqua"/>
          <w:color w:val="000000"/>
        </w:rPr>
        <w:t xml:space="preserve"> for overall response rate for each treatment </w:t>
      </w:r>
      <w:r w:rsidRPr="00E549DC">
        <w:rPr>
          <w:rFonts w:ascii="Book Antiqua" w:eastAsia="Book Antiqua" w:hAnsi="Book Antiqua" w:cs="Book Antiqua"/>
          <w:i/>
          <w:color w:val="000000"/>
        </w:rPr>
        <w:t>vs</w:t>
      </w:r>
      <w:r w:rsidRPr="00E549DC">
        <w:rPr>
          <w:rFonts w:ascii="Book Antiqua" w:eastAsia="Book Antiqua" w:hAnsi="Book Antiqua" w:cs="Book Antiqua"/>
          <w:color w:val="000000"/>
        </w:rPr>
        <w:t xml:space="preserve"> lenvatinib</w:t>
      </w:r>
      <w:r w:rsidR="00651CF8" w:rsidRPr="00E549DC">
        <w:rPr>
          <w:rFonts w:ascii="Book Antiqua" w:eastAsia="Book Antiqua" w:hAnsi="Book Antiqua" w:cs="Book Antiqua"/>
          <w:color w:val="000000"/>
        </w:rPr>
        <w:t>.</w:t>
      </w:r>
      <w:r w:rsidR="00651CF8" w:rsidRPr="00E549DC">
        <w:rPr>
          <w:rFonts w:ascii="Book Antiqua" w:hAnsi="Book Antiqua"/>
          <w:lang w:eastAsia="zh-CN"/>
        </w:rPr>
        <w:t xml:space="preserve"> </w:t>
      </w:r>
      <w:r w:rsidRPr="00E549DC">
        <w:rPr>
          <w:rFonts w:ascii="Book Antiqua" w:eastAsia="Book Antiqua" w:hAnsi="Book Antiqua" w:cs="Book Antiqua"/>
          <w:color w:val="000000"/>
        </w:rPr>
        <w:t>CI: Confidence interval; GEMOX: Gemcitabine and oxaliplatin; ORR: Overall response rate; RR: Risk ratio.</w:t>
      </w:r>
    </w:p>
    <w:p w14:paraId="36C3554A" w14:textId="1D8E7AEE" w:rsidR="00B677D4" w:rsidRPr="00E549DC" w:rsidRDefault="00016629" w:rsidP="00C55EEF">
      <w:pPr>
        <w:adjustRightInd w:val="0"/>
        <w:snapToGrid w:val="0"/>
        <w:spacing w:line="360" w:lineRule="auto"/>
        <w:jc w:val="both"/>
        <w:rPr>
          <w:rFonts w:ascii="Book Antiqua" w:eastAsia="Book Antiqua" w:hAnsi="Book Antiqua" w:cs="Book Antiqua"/>
          <w:color w:val="000000"/>
        </w:rPr>
      </w:pPr>
      <w:r w:rsidRPr="00E549DC">
        <w:rPr>
          <w:rFonts w:ascii="Book Antiqua" w:eastAsia="Book Antiqua" w:hAnsi="Book Antiqua" w:cs="Book Antiqua"/>
          <w:color w:val="000000"/>
        </w:rPr>
        <w:br w:type="page"/>
      </w:r>
      <w:r w:rsidR="00B677D4" w:rsidRPr="00E549DC">
        <w:rPr>
          <w:rFonts w:ascii="Book Antiqua" w:eastAsia="Book Antiqua" w:hAnsi="Book Antiqua" w:cs="Book Antiqua"/>
          <w:noProof/>
          <w:color w:val="000000"/>
          <w:lang w:eastAsia="zh-CN"/>
        </w:rPr>
        <w:drawing>
          <wp:inline distT="0" distB="0" distL="0" distR="0" wp14:anchorId="7E0EB3D4" wp14:editId="34403593">
            <wp:extent cx="5943600" cy="56210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5621020"/>
                    </a:xfrm>
                    <a:prstGeom prst="rect">
                      <a:avLst/>
                    </a:prstGeom>
                  </pic:spPr>
                </pic:pic>
              </a:graphicData>
            </a:graphic>
          </wp:inline>
        </w:drawing>
      </w:r>
    </w:p>
    <w:p w14:paraId="18A3425E" w14:textId="71E79611" w:rsidR="00B677D4" w:rsidRPr="00E549DC" w:rsidRDefault="00B677D4" w:rsidP="00C55EEF">
      <w:pPr>
        <w:adjustRightInd w:val="0"/>
        <w:snapToGrid w:val="0"/>
        <w:spacing w:line="360" w:lineRule="auto"/>
        <w:jc w:val="both"/>
        <w:rPr>
          <w:rFonts w:ascii="Book Antiqua" w:eastAsia="Book Antiqua" w:hAnsi="Book Antiqua" w:cs="Book Antiqua"/>
          <w:color w:val="000000"/>
        </w:rPr>
      </w:pPr>
      <w:r w:rsidRPr="00E549DC">
        <w:rPr>
          <w:rFonts w:ascii="Book Antiqua" w:eastAsia="Book Antiqua" w:hAnsi="Book Antiqua" w:cs="Book Antiqua"/>
          <w:b/>
          <w:bCs/>
          <w:color w:val="000000"/>
        </w:rPr>
        <w:t xml:space="preserve">Figure 3 Survival outcomes in patients with advanced </w:t>
      </w:r>
      <w:r w:rsidR="008B736D" w:rsidRPr="00E549DC">
        <w:rPr>
          <w:rFonts w:ascii="Book Antiqua" w:eastAsia="Book Antiqua" w:hAnsi="Book Antiqua" w:cs="Book Antiqua"/>
          <w:b/>
          <w:color w:val="000000"/>
        </w:rPr>
        <w:t>hepatocellular carcinoma</w:t>
      </w:r>
      <w:r w:rsidRPr="00E549DC">
        <w:rPr>
          <w:rFonts w:ascii="Book Antiqua" w:eastAsia="Book Antiqua" w:hAnsi="Book Antiqua" w:cs="Book Antiqua"/>
          <w:b/>
          <w:bCs/>
          <w:color w:val="000000"/>
        </w:rPr>
        <w:t xml:space="preserve"> following first-line systemic therapy.</w:t>
      </w:r>
      <w:r w:rsidRPr="00E549DC">
        <w:rPr>
          <w:rFonts w:ascii="Book Antiqua" w:eastAsia="Book Antiqua" w:hAnsi="Book Antiqua" w:cs="Book Antiqua"/>
          <w:color w:val="000000"/>
        </w:rPr>
        <w:t xml:space="preserve"> </w:t>
      </w:r>
      <w:r w:rsidR="000B6B06" w:rsidRPr="00E549DC">
        <w:rPr>
          <w:rFonts w:ascii="Book Antiqua" w:eastAsia="Book Antiqua" w:hAnsi="Book Antiqua" w:cs="Book Antiqua"/>
          <w:color w:val="000000"/>
        </w:rPr>
        <w:t xml:space="preserve">A, C, and E: </w:t>
      </w:r>
      <w:r w:rsidRPr="00E549DC">
        <w:rPr>
          <w:rFonts w:ascii="Book Antiqua" w:eastAsia="Book Antiqua" w:hAnsi="Book Antiqua" w:cs="Book Antiqua"/>
          <w:color w:val="000000"/>
        </w:rPr>
        <w:t>Network diagrams</w:t>
      </w:r>
      <w:r w:rsidR="008B736D" w:rsidRPr="00E549DC">
        <w:rPr>
          <w:rFonts w:ascii="Book Antiqua" w:eastAsia="Book Antiqua" w:hAnsi="Book Antiqua" w:cs="Book Antiqua"/>
          <w:color w:val="000000"/>
        </w:rPr>
        <w:t>;</w:t>
      </w:r>
      <w:r w:rsidRPr="00E549DC">
        <w:rPr>
          <w:rFonts w:ascii="Book Antiqua" w:eastAsia="Book Antiqua" w:hAnsi="Book Antiqua" w:cs="Book Antiqua"/>
          <w:color w:val="000000"/>
        </w:rPr>
        <w:t xml:space="preserve"> </w:t>
      </w:r>
      <w:r w:rsidR="000B6B06" w:rsidRPr="00E549DC">
        <w:rPr>
          <w:rFonts w:ascii="Book Antiqua" w:eastAsia="Book Antiqua" w:hAnsi="Book Antiqua" w:cs="Book Antiqua"/>
          <w:color w:val="000000"/>
        </w:rPr>
        <w:t>B:</w:t>
      </w:r>
      <w:r w:rsidRPr="00E549DC">
        <w:rPr>
          <w:rFonts w:ascii="Book Antiqua" w:eastAsia="Book Antiqua" w:hAnsi="Book Antiqua" w:cs="Book Antiqua"/>
          <w:color w:val="000000"/>
        </w:rPr>
        <w:t xml:space="preserve"> </w:t>
      </w:r>
      <w:r w:rsidR="008B736D" w:rsidRPr="00E549DC">
        <w:rPr>
          <w:rFonts w:ascii="Book Antiqua" w:eastAsia="Book Antiqua" w:hAnsi="Book Antiqua" w:cs="Book Antiqua"/>
          <w:color w:val="000000"/>
        </w:rPr>
        <w:t xml:space="preserve">Interventions </w:t>
      </w:r>
      <w:r w:rsidRPr="00E549DC">
        <w:rPr>
          <w:rFonts w:ascii="Book Antiqua" w:eastAsia="Book Antiqua" w:hAnsi="Book Antiqua" w:cs="Book Antiqua"/>
          <w:color w:val="000000"/>
        </w:rPr>
        <w:t xml:space="preserve">ranked by </w:t>
      </w:r>
      <w:r w:rsidRPr="00E549DC">
        <w:rPr>
          <w:rFonts w:ascii="Book Antiqua" w:eastAsia="Book Antiqua" w:hAnsi="Book Antiqua" w:cs="Book Antiqua"/>
          <w:i/>
          <w:iCs/>
          <w:color w:val="000000"/>
        </w:rPr>
        <w:t>P</w:t>
      </w:r>
      <w:r w:rsidR="008B736D" w:rsidRPr="00E549DC">
        <w:rPr>
          <w:rFonts w:ascii="Book Antiqua" w:eastAsia="Book Antiqua" w:hAnsi="Book Antiqua" w:cs="Book Antiqua"/>
          <w:color w:val="000000"/>
        </w:rPr>
        <w:t xml:space="preserve"> value</w:t>
      </w:r>
      <w:r w:rsidRPr="00E549DC">
        <w:rPr>
          <w:rFonts w:ascii="Book Antiqua" w:eastAsia="Book Antiqua" w:hAnsi="Book Antiqua" w:cs="Book Antiqua"/>
          <w:color w:val="000000"/>
        </w:rPr>
        <w:t xml:space="preserve"> with hazard ratios for progression-free survival, </w:t>
      </w:r>
      <w:r w:rsidR="000B6B06" w:rsidRPr="00E549DC">
        <w:rPr>
          <w:rFonts w:ascii="Book Antiqua" w:eastAsia="Book Antiqua" w:hAnsi="Book Antiqua" w:cs="Book Antiqua"/>
          <w:color w:val="000000"/>
        </w:rPr>
        <w:t xml:space="preserve">D: </w:t>
      </w:r>
      <w:r w:rsidR="008B736D" w:rsidRPr="00E549DC">
        <w:rPr>
          <w:rFonts w:ascii="Book Antiqua" w:eastAsia="Book Antiqua" w:hAnsi="Book Antiqua" w:cs="Book Antiqua"/>
          <w:color w:val="000000"/>
        </w:rPr>
        <w:t xml:space="preserve">Time </w:t>
      </w:r>
      <w:r w:rsidRPr="00E549DC">
        <w:rPr>
          <w:rFonts w:ascii="Book Antiqua" w:eastAsia="Book Antiqua" w:hAnsi="Book Antiqua" w:cs="Book Antiqua"/>
          <w:color w:val="000000"/>
        </w:rPr>
        <w:t>to progression</w:t>
      </w:r>
      <w:r w:rsidR="000B6B06" w:rsidRPr="00E549DC">
        <w:rPr>
          <w:rFonts w:ascii="Book Antiqua" w:eastAsia="Book Antiqua" w:hAnsi="Book Antiqua" w:cs="Book Antiqua"/>
          <w:color w:val="000000"/>
        </w:rPr>
        <w:t xml:space="preserve"> </w:t>
      </w:r>
      <w:r w:rsidRPr="00E549DC">
        <w:rPr>
          <w:rFonts w:ascii="Book Antiqua" w:eastAsia="Book Antiqua" w:hAnsi="Book Antiqua" w:cs="Book Antiqua"/>
          <w:color w:val="000000"/>
        </w:rPr>
        <w:t xml:space="preserve">and </w:t>
      </w:r>
      <w:r w:rsidR="000B6B06" w:rsidRPr="00E549DC">
        <w:rPr>
          <w:rFonts w:ascii="Book Antiqua" w:eastAsia="Book Antiqua" w:hAnsi="Book Antiqua" w:cs="Book Antiqua"/>
          <w:color w:val="000000"/>
        </w:rPr>
        <w:t xml:space="preserve">F: </w:t>
      </w:r>
      <w:r w:rsidRPr="00E549DC">
        <w:rPr>
          <w:rFonts w:ascii="Book Antiqua" w:eastAsia="Book Antiqua" w:hAnsi="Book Antiqua" w:cs="Book Antiqua"/>
          <w:color w:val="000000"/>
        </w:rPr>
        <w:t xml:space="preserve">overall survival for each treatment </w:t>
      </w:r>
      <w:r w:rsidRPr="00E549DC">
        <w:rPr>
          <w:rFonts w:ascii="Book Antiqua" w:eastAsia="Book Antiqua" w:hAnsi="Book Antiqua" w:cs="Book Antiqua"/>
          <w:i/>
          <w:iCs/>
          <w:color w:val="000000"/>
        </w:rPr>
        <w:t>vs</w:t>
      </w:r>
      <w:r w:rsidRPr="00E549DC">
        <w:rPr>
          <w:rFonts w:ascii="Book Antiqua" w:eastAsia="Book Antiqua" w:hAnsi="Book Antiqua" w:cs="Book Antiqua"/>
          <w:color w:val="000000"/>
        </w:rPr>
        <w:t xml:space="preserve"> lenvatinib</w:t>
      </w:r>
      <w:r w:rsidR="000B6B06" w:rsidRPr="00E549DC">
        <w:rPr>
          <w:rFonts w:ascii="Book Antiqua" w:eastAsia="Book Antiqua" w:hAnsi="Book Antiqua" w:cs="Book Antiqua"/>
          <w:color w:val="000000"/>
        </w:rPr>
        <w:t>.</w:t>
      </w:r>
      <w:r w:rsidR="00651CF8" w:rsidRPr="00E549DC">
        <w:rPr>
          <w:rFonts w:ascii="Book Antiqua" w:hAnsi="Book Antiqua"/>
          <w:lang w:eastAsia="zh-CN"/>
        </w:rPr>
        <w:t xml:space="preserve"> </w:t>
      </w:r>
      <w:r w:rsidRPr="00E549DC">
        <w:rPr>
          <w:rFonts w:ascii="Book Antiqua" w:eastAsia="Book Antiqua" w:hAnsi="Book Antiqua" w:cs="Book Antiqua"/>
          <w:color w:val="000000"/>
        </w:rPr>
        <w:t>CI: Confidence interval; FOLFOX4: Oxaliplatin/folinic acid/5-fluorouracil; HCC: Hepatocellular carcinoma; HR: Hazard ratio; OS: Overall survival; PIAF: Cisplatin/interferon α-2b/doxorubicin/5-fluorouracil; TTP: Time to progression</w:t>
      </w:r>
      <w:r w:rsidR="008B736D" w:rsidRPr="00E549DC">
        <w:rPr>
          <w:rFonts w:ascii="Book Antiqua" w:eastAsia="Book Antiqua" w:hAnsi="Book Antiqua" w:cs="Book Antiqua"/>
          <w:color w:val="000000"/>
        </w:rPr>
        <w:t>.</w:t>
      </w:r>
    </w:p>
    <w:p w14:paraId="6D6D9F60" w14:textId="77777777" w:rsidR="008B736D" w:rsidRPr="00E549DC" w:rsidRDefault="008B736D" w:rsidP="00C55EEF">
      <w:pPr>
        <w:adjustRightInd w:val="0"/>
        <w:snapToGrid w:val="0"/>
        <w:spacing w:line="360" w:lineRule="auto"/>
        <w:jc w:val="both"/>
        <w:rPr>
          <w:rFonts w:ascii="Book Antiqua" w:hAnsi="Book Antiqua"/>
        </w:rPr>
        <w:sectPr w:rsidR="008B736D" w:rsidRPr="00E549DC" w:rsidSect="00651CF8">
          <w:type w:val="continuous"/>
          <w:pgSz w:w="12240" w:h="15840"/>
          <w:pgMar w:top="1440" w:right="1800" w:bottom="1440" w:left="1800" w:header="720" w:footer="720" w:gutter="0"/>
          <w:cols w:space="720"/>
          <w:docGrid w:linePitch="360"/>
        </w:sectPr>
      </w:pPr>
    </w:p>
    <w:p w14:paraId="3891D128" w14:textId="77777777" w:rsidR="00B677D4" w:rsidRPr="00E549DC" w:rsidRDefault="00B677D4" w:rsidP="00C55EEF">
      <w:pPr>
        <w:adjustRightInd w:val="0"/>
        <w:snapToGrid w:val="0"/>
        <w:spacing w:line="360" w:lineRule="auto"/>
        <w:jc w:val="both"/>
        <w:rPr>
          <w:rFonts w:ascii="Book Antiqua" w:eastAsia="宋体" w:hAnsi="Book Antiqua" w:cs="Calibri"/>
          <w:b/>
          <w:bCs/>
          <w:kern w:val="2"/>
          <w:lang w:eastAsia="zh-CN"/>
        </w:rPr>
      </w:pPr>
      <w:r w:rsidRPr="00E549DC">
        <w:rPr>
          <w:rFonts w:ascii="Book Antiqua" w:eastAsia="宋体" w:hAnsi="Book Antiqua" w:cs="Calibri"/>
          <w:b/>
          <w:bCs/>
          <w:kern w:val="2"/>
          <w:lang w:eastAsia="zh-CN"/>
        </w:rPr>
        <w:t>Table 1 Details of included studies</w:t>
      </w:r>
    </w:p>
    <w:tbl>
      <w:tblPr>
        <w:tblW w:w="0" w:type="auto"/>
        <w:tblBorders>
          <w:top w:val="single" w:sz="4" w:space="0" w:color="auto"/>
          <w:bottom w:val="single" w:sz="4" w:space="0" w:color="auto"/>
        </w:tblBorders>
        <w:tblLook w:val="0600" w:firstRow="0" w:lastRow="0" w:firstColumn="0" w:lastColumn="0" w:noHBand="1" w:noVBand="1"/>
      </w:tblPr>
      <w:tblGrid>
        <w:gridCol w:w="936"/>
        <w:gridCol w:w="407"/>
        <w:gridCol w:w="2885"/>
        <w:gridCol w:w="1187"/>
        <w:gridCol w:w="1203"/>
        <w:gridCol w:w="1057"/>
        <w:gridCol w:w="1901"/>
      </w:tblGrid>
      <w:tr w:rsidR="00EE6FFD" w:rsidRPr="00E549DC" w14:paraId="7D682942" w14:textId="77777777" w:rsidTr="00721903">
        <w:trPr>
          <w:trHeight w:val="270"/>
        </w:trPr>
        <w:tc>
          <w:tcPr>
            <w:tcW w:w="0" w:type="auto"/>
            <w:tcBorders>
              <w:top w:val="single" w:sz="4" w:space="0" w:color="auto"/>
              <w:bottom w:val="single" w:sz="4" w:space="0" w:color="auto"/>
            </w:tcBorders>
            <w:noWrap/>
            <w:hideMark/>
          </w:tcPr>
          <w:p w14:paraId="4D11AB98" w14:textId="463B5A98" w:rsidR="00EE6FFD" w:rsidRPr="00E549DC" w:rsidRDefault="008B736D" w:rsidP="00C55EEF">
            <w:pPr>
              <w:adjustRightInd w:val="0"/>
              <w:snapToGrid w:val="0"/>
              <w:spacing w:line="360" w:lineRule="auto"/>
              <w:jc w:val="both"/>
              <w:rPr>
                <w:rFonts w:ascii="Book Antiqua" w:eastAsia="等线" w:hAnsi="Book Antiqua" w:cs="Calibri"/>
                <w:b/>
                <w:bCs/>
                <w:color w:val="000000"/>
              </w:rPr>
            </w:pPr>
            <w:bookmarkStart w:id="24" w:name="_Hlk48569016"/>
            <w:r w:rsidRPr="00E549DC">
              <w:rPr>
                <w:rFonts w:ascii="Book Antiqua" w:eastAsia="等线" w:hAnsi="Book Antiqua" w:cs="Calibri"/>
                <w:b/>
                <w:color w:val="000000"/>
              </w:rPr>
              <w:t>Ref.</w:t>
            </w:r>
          </w:p>
        </w:tc>
        <w:tc>
          <w:tcPr>
            <w:tcW w:w="0" w:type="auto"/>
            <w:tcBorders>
              <w:top w:val="single" w:sz="4" w:space="0" w:color="auto"/>
              <w:bottom w:val="single" w:sz="4" w:space="0" w:color="auto"/>
            </w:tcBorders>
          </w:tcPr>
          <w:p w14:paraId="414AB3DE" w14:textId="17EF6076" w:rsidR="00EE6FFD" w:rsidRPr="00E549DC" w:rsidRDefault="00D403E4" w:rsidP="00C55EEF">
            <w:pPr>
              <w:adjustRightInd w:val="0"/>
              <w:snapToGrid w:val="0"/>
              <w:spacing w:line="360" w:lineRule="auto"/>
              <w:jc w:val="both"/>
              <w:rPr>
                <w:rFonts w:ascii="Book Antiqua" w:eastAsia="等线" w:hAnsi="Book Antiqua" w:cs="Calibri"/>
                <w:b/>
                <w:color w:val="000000"/>
              </w:rPr>
            </w:pPr>
            <w:r w:rsidRPr="00E549DC">
              <w:rPr>
                <w:rFonts w:ascii="Book Antiqua" w:eastAsia="等线" w:hAnsi="Book Antiqua" w:cs="Calibri"/>
                <w:b/>
                <w:color w:val="000000"/>
              </w:rPr>
              <w:t>Y</w:t>
            </w:r>
            <w:r w:rsidR="00687B14" w:rsidRPr="00E549DC">
              <w:rPr>
                <w:rFonts w:ascii="Book Antiqua" w:eastAsia="等线" w:hAnsi="Book Antiqua" w:cs="Calibri"/>
                <w:b/>
                <w:color w:val="000000"/>
              </w:rPr>
              <w:t>ea</w:t>
            </w:r>
            <w:r w:rsidRPr="00E549DC">
              <w:rPr>
                <w:rFonts w:ascii="Book Antiqua" w:eastAsia="等线" w:hAnsi="Book Antiqua" w:cs="Calibri"/>
                <w:b/>
                <w:color w:val="000000"/>
              </w:rPr>
              <w:t>r</w:t>
            </w:r>
          </w:p>
        </w:tc>
        <w:tc>
          <w:tcPr>
            <w:tcW w:w="0" w:type="auto"/>
            <w:tcBorders>
              <w:top w:val="single" w:sz="4" w:space="0" w:color="auto"/>
              <w:bottom w:val="single" w:sz="4" w:space="0" w:color="auto"/>
            </w:tcBorders>
            <w:noWrap/>
            <w:hideMark/>
          </w:tcPr>
          <w:p w14:paraId="39F0CBAC" w14:textId="26D12A26" w:rsidR="00EE6FFD" w:rsidRPr="00E549DC" w:rsidRDefault="00EE6FFD" w:rsidP="00C55EEF">
            <w:pPr>
              <w:adjustRightInd w:val="0"/>
              <w:snapToGrid w:val="0"/>
              <w:spacing w:line="360" w:lineRule="auto"/>
              <w:jc w:val="both"/>
              <w:rPr>
                <w:rFonts w:ascii="Book Antiqua" w:eastAsia="等线" w:hAnsi="Book Antiqua" w:cs="Calibri"/>
                <w:b/>
                <w:bCs/>
                <w:color w:val="000000"/>
              </w:rPr>
            </w:pPr>
            <w:r w:rsidRPr="00E549DC">
              <w:rPr>
                <w:rFonts w:ascii="Book Antiqua" w:eastAsia="等线" w:hAnsi="Book Antiqua" w:cs="Calibri"/>
                <w:b/>
                <w:color w:val="000000"/>
              </w:rPr>
              <w:t>Experimental arm(s)</w:t>
            </w:r>
          </w:p>
        </w:tc>
        <w:tc>
          <w:tcPr>
            <w:tcW w:w="0" w:type="auto"/>
            <w:tcBorders>
              <w:top w:val="single" w:sz="4" w:space="0" w:color="auto"/>
              <w:bottom w:val="single" w:sz="4" w:space="0" w:color="auto"/>
            </w:tcBorders>
            <w:noWrap/>
            <w:hideMark/>
          </w:tcPr>
          <w:p w14:paraId="65C25D13" w14:textId="77777777" w:rsidR="00EE6FFD" w:rsidRPr="00E549DC" w:rsidRDefault="00EE6FFD" w:rsidP="00C55EEF">
            <w:pPr>
              <w:adjustRightInd w:val="0"/>
              <w:snapToGrid w:val="0"/>
              <w:spacing w:line="360" w:lineRule="auto"/>
              <w:jc w:val="both"/>
              <w:rPr>
                <w:rFonts w:ascii="Book Antiqua" w:eastAsia="等线" w:hAnsi="Book Antiqua" w:cs="Calibri"/>
                <w:b/>
                <w:bCs/>
                <w:color w:val="000000"/>
              </w:rPr>
            </w:pPr>
            <w:r w:rsidRPr="00E549DC">
              <w:rPr>
                <w:rFonts w:ascii="Book Antiqua" w:eastAsia="等线" w:hAnsi="Book Antiqua" w:cs="Calibri"/>
                <w:b/>
                <w:color w:val="000000"/>
              </w:rPr>
              <w:t>Comparator arm</w:t>
            </w:r>
          </w:p>
        </w:tc>
        <w:tc>
          <w:tcPr>
            <w:tcW w:w="0" w:type="auto"/>
            <w:tcBorders>
              <w:top w:val="single" w:sz="4" w:space="0" w:color="auto"/>
              <w:bottom w:val="single" w:sz="4" w:space="0" w:color="auto"/>
            </w:tcBorders>
            <w:noWrap/>
            <w:hideMark/>
          </w:tcPr>
          <w:p w14:paraId="6C7988B4" w14:textId="77777777" w:rsidR="00EE6FFD" w:rsidRPr="00E549DC" w:rsidRDefault="00EE6FFD" w:rsidP="00C55EEF">
            <w:pPr>
              <w:adjustRightInd w:val="0"/>
              <w:snapToGrid w:val="0"/>
              <w:spacing w:line="360" w:lineRule="auto"/>
              <w:jc w:val="both"/>
              <w:rPr>
                <w:rFonts w:ascii="Book Antiqua" w:eastAsia="等线" w:hAnsi="Book Antiqua" w:cs="Calibri"/>
                <w:b/>
                <w:bCs/>
                <w:color w:val="000000"/>
              </w:rPr>
            </w:pPr>
            <w:r w:rsidRPr="00E549DC">
              <w:rPr>
                <w:rFonts w:ascii="Book Antiqua" w:eastAsia="等线" w:hAnsi="Book Antiqua" w:cs="Calibri"/>
                <w:b/>
                <w:color w:val="000000"/>
              </w:rPr>
              <w:t>Primary endpoint</w:t>
            </w:r>
          </w:p>
        </w:tc>
        <w:tc>
          <w:tcPr>
            <w:tcW w:w="0" w:type="auto"/>
            <w:tcBorders>
              <w:top w:val="single" w:sz="4" w:space="0" w:color="auto"/>
              <w:bottom w:val="single" w:sz="4" w:space="0" w:color="auto"/>
            </w:tcBorders>
            <w:noWrap/>
          </w:tcPr>
          <w:p w14:paraId="0D7E4353" w14:textId="77777777" w:rsidR="00EE6FFD" w:rsidRPr="00E549DC" w:rsidRDefault="00EE6FFD" w:rsidP="00C55EEF">
            <w:pPr>
              <w:adjustRightInd w:val="0"/>
              <w:snapToGrid w:val="0"/>
              <w:spacing w:line="360" w:lineRule="auto"/>
              <w:jc w:val="both"/>
              <w:rPr>
                <w:rFonts w:ascii="Book Antiqua" w:eastAsia="等线" w:hAnsi="Book Antiqua" w:cs="Calibri"/>
                <w:b/>
                <w:bCs/>
                <w:color w:val="000000"/>
              </w:rPr>
            </w:pPr>
            <w:r w:rsidRPr="00E549DC">
              <w:rPr>
                <w:rFonts w:ascii="Book Antiqua" w:eastAsia="等线" w:hAnsi="Book Antiqua" w:cs="Calibri"/>
                <w:b/>
                <w:color w:val="000000"/>
              </w:rPr>
              <w:t>Analysis timing</w:t>
            </w:r>
          </w:p>
        </w:tc>
        <w:tc>
          <w:tcPr>
            <w:tcW w:w="0" w:type="auto"/>
            <w:tcBorders>
              <w:top w:val="single" w:sz="4" w:space="0" w:color="auto"/>
              <w:bottom w:val="single" w:sz="4" w:space="0" w:color="auto"/>
            </w:tcBorders>
            <w:noWrap/>
          </w:tcPr>
          <w:p w14:paraId="3FE98A37" w14:textId="14F2DFDF" w:rsidR="00EE6FFD" w:rsidRPr="00E549DC" w:rsidRDefault="00EE6FFD" w:rsidP="00C55EEF">
            <w:pPr>
              <w:adjustRightInd w:val="0"/>
              <w:snapToGrid w:val="0"/>
              <w:spacing w:line="360" w:lineRule="auto"/>
              <w:jc w:val="both"/>
              <w:rPr>
                <w:rFonts w:ascii="Book Antiqua" w:eastAsia="等线" w:hAnsi="Book Antiqua" w:cs="Calibri"/>
                <w:b/>
                <w:bCs/>
                <w:color w:val="000000"/>
              </w:rPr>
            </w:pPr>
            <w:r w:rsidRPr="00E549DC">
              <w:rPr>
                <w:rFonts w:ascii="Book Antiqua" w:eastAsia="等线" w:hAnsi="Book Antiqua" w:cs="Calibri"/>
                <w:b/>
                <w:color w:val="000000"/>
              </w:rPr>
              <w:t>Survival outcomes, mo</w:t>
            </w:r>
          </w:p>
        </w:tc>
      </w:tr>
      <w:tr w:rsidR="00EE6FFD" w:rsidRPr="00E549DC" w14:paraId="44C6087A" w14:textId="77777777" w:rsidTr="00721903">
        <w:trPr>
          <w:trHeight w:val="270"/>
        </w:trPr>
        <w:tc>
          <w:tcPr>
            <w:tcW w:w="0" w:type="auto"/>
            <w:tcBorders>
              <w:top w:val="single" w:sz="4" w:space="0" w:color="auto"/>
            </w:tcBorders>
            <w:noWrap/>
            <w:hideMark/>
          </w:tcPr>
          <w:p w14:paraId="2003BB8B" w14:textId="7B99C6F0"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 xml:space="preserve">Yen </w:t>
            </w:r>
            <w:r w:rsidRPr="00E549DC">
              <w:rPr>
                <w:rFonts w:ascii="Book Antiqua" w:eastAsia="等线" w:hAnsi="Book Antiqua" w:cs="Calibri"/>
                <w:i/>
                <w:iCs/>
                <w:color w:val="000000"/>
              </w:rPr>
              <w:t>et al</w:t>
            </w:r>
            <w:r w:rsidRPr="00E549DC">
              <w:rPr>
                <w:rFonts w:ascii="Book Antiqua" w:eastAsia="等线" w:hAnsi="Book Antiqua" w:cs="Calibri"/>
                <w:noProof/>
                <w:color w:val="000000"/>
                <w:vertAlign w:val="superscript"/>
              </w:rPr>
              <w:t>[47]</w:t>
            </w:r>
          </w:p>
        </w:tc>
        <w:tc>
          <w:tcPr>
            <w:tcW w:w="0" w:type="auto"/>
            <w:tcBorders>
              <w:top w:val="single" w:sz="4" w:space="0" w:color="auto"/>
            </w:tcBorders>
          </w:tcPr>
          <w:p w14:paraId="4BDF8A09" w14:textId="2F4B7CEB"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2018</w:t>
            </w:r>
          </w:p>
        </w:tc>
        <w:tc>
          <w:tcPr>
            <w:tcW w:w="0" w:type="auto"/>
            <w:tcBorders>
              <w:top w:val="single" w:sz="4" w:space="0" w:color="auto"/>
            </w:tcBorders>
            <w:noWrap/>
            <w:hideMark/>
          </w:tcPr>
          <w:p w14:paraId="4A3E92FF" w14:textId="69E33119"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Nintedanib</w:t>
            </w:r>
          </w:p>
        </w:tc>
        <w:tc>
          <w:tcPr>
            <w:tcW w:w="0" w:type="auto"/>
            <w:tcBorders>
              <w:top w:val="single" w:sz="4" w:space="0" w:color="auto"/>
            </w:tcBorders>
            <w:noWrap/>
            <w:hideMark/>
          </w:tcPr>
          <w:p w14:paraId="5D9A0FC2" w14:textId="77777777"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Sorafenib</w:t>
            </w:r>
          </w:p>
        </w:tc>
        <w:tc>
          <w:tcPr>
            <w:tcW w:w="0" w:type="auto"/>
            <w:tcBorders>
              <w:top w:val="single" w:sz="4" w:space="0" w:color="auto"/>
            </w:tcBorders>
            <w:noWrap/>
            <w:hideMark/>
          </w:tcPr>
          <w:p w14:paraId="7A5B7E7C" w14:textId="77777777"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TTP</w:t>
            </w:r>
          </w:p>
        </w:tc>
        <w:tc>
          <w:tcPr>
            <w:tcW w:w="0" w:type="auto"/>
            <w:tcBorders>
              <w:top w:val="single" w:sz="4" w:space="0" w:color="auto"/>
            </w:tcBorders>
            <w:noWrap/>
          </w:tcPr>
          <w:p w14:paraId="41CC4323" w14:textId="5593B6B7"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PFS: Final</w:t>
            </w:r>
            <w:r w:rsidR="008B736D" w:rsidRPr="00E549DC">
              <w:rPr>
                <w:rFonts w:ascii="Book Antiqua" w:eastAsia="等线" w:hAnsi="Book Antiqua" w:cs="Calibri"/>
                <w:color w:val="000000"/>
              </w:rPr>
              <w:t>;</w:t>
            </w:r>
            <w:r w:rsidR="008B736D" w:rsidRPr="00E549DC">
              <w:rPr>
                <w:rFonts w:ascii="Book Antiqua" w:eastAsia="等线" w:hAnsi="Book Antiqua" w:cs="Calibri"/>
                <w:color w:val="000000"/>
                <w:lang w:eastAsia="zh-CN"/>
              </w:rPr>
              <w:t xml:space="preserve"> </w:t>
            </w:r>
            <w:r w:rsidRPr="00E549DC">
              <w:rPr>
                <w:rFonts w:ascii="Book Antiqua" w:eastAsia="等线" w:hAnsi="Book Antiqua" w:cs="Calibri"/>
                <w:color w:val="000000"/>
              </w:rPr>
              <w:t>OS: Final</w:t>
            </w:r>
          </w:p>
        </w:tc>
        <w:tc>
          <w:tcPr>
            <w:tcW w:w="0" w:type="auto"/>
            <w:tcBorders>
              <w:top w:val="single" w:sz="4" w:space="0" w:color="auto"/>
            </w:tcBorders>
            <w:noWrap/>
          </w:tcPr>
          <w:p w14:paraId="14D1841D" w14:textId="7A2EC9AA"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 xml:space="preserve">PFS: 2.7 </w:t>
            </w:r>
            <w:r w:rsidRPr="00E549DC">
              <w:rPr>
                <w:rFonts w:ascii="Book Antiqua" w:eastAsia="等线" w:hAnsi="Book Antiqua" w:cs="Calibri"/>
                <w:i/>
                <w:iCs/>
                <w:color w:val="000000"/>
              </w:rPr>
              <w:t>vs</w:t>
            </w:r>
            <w:r w:rsidRPr="00E549DC">
              <w:rPr>
                <w:rFonts w:ascii="Book Antiqua" w:eastAsia="等线" w:hAnsi="Book Antiqua" w:cs="Calibri"/>
                <w:color w:val="000000"/>
              </w:rPr>
              <w:t xml:space="preserve"> 3.7</w:t>
            </w:r>
            <w:r w:rsidR="008B736D" w:rsidRPr="00E549DC">
              <w:rPr>
                <w:rFonts w:ascii="Book Antiqua" w:eastAsia="等线" w:hAnsi="Book Antiqua" w:cs="Calibri"/>
                <w:color w:val="000000"/>
              </w:rPr>
              <w:t>;</w:t>
            </w:r>
            <w:r w:rsidR="008B736D" w:rsidRPr="00E549DC">
              <w:rPr>
                <w:rFonts w:ascii="Book Antiqua" w:eastAsia="等线" w:hAnsi="Book Antiqua" w:cs="Calibri"/>
                <w:color w:val="000000"/>
                <w:lang w:eastAsia="zh-CN"/>
              </w:rPr>
              <w:t xml:space="preserve"> </w:t>
            </w:r>
            <w:r w:rsidRPr="00E549DC">
              <w:rPr>
                <w:rFonts w:ascii="Book Antiqua" w:eastAsia="等线" w:hAnsi="Book Antiqua" w:cs="Calibri"/>
                <w:color w:val="000000"/>
              </w:rPr>
              <w:t xml:space="preserve">OS: 10.2 </w:t>
            </w:r>
            <w:r w:rsidRPr="00E549DC">
              <w:rPr>
                <w:rFonts w:ascii="Book Antiqua" w:eastAsia="等线" w:hAnsi="Book Antiqua" w:cs="Calibri"/>
                <w:i/>
                <w:iCs/>
                <w:color w:val="000000"/>
              </w:rPr>
              <w:t>vs</w:t>
            </w:r>
            <w:r w:rsidRPr="00E549DC">
              <w:rPr>
                <w:rFonts w:ascii="Book Antiqua" w:eastAsia="等线" w:hAnsi="Book Antiqua" w:cs="Calibri"/>
                <w:color w:val="000000"/>
              </w:rPr>
              <w:t xml:space="preserve"> 1.1</w:t>
            </w:r>
          </w:p>
        </w:tc>
      </w:tr>
      <w:tr w:rsidR="00EE6FFD" w:rsidRPr="00E549DC" w14:paraId="579F8EE8" w14:textId="77777777" w:rsidTr="00721903">
        <w:trPr>
          <w:trHeight w:val="270"/>
        </w:trPr>
        <w:tc>
          <w:tcPr>
            <w:tcW w:w="0" w:type="auto"/>
            <w:noWrap/>
            <w:hideMark/>
          </w:tcPr>
          <w:p w14:paraId="7C401625" w14:textId="66A429FD"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 xml:space="preserve">Ciuleanu </w:t>
            </w:r>
            <w:r w:rsidRPr="00E549DC">
              <w:rPr>
                <w:rFonts w:ascii="Book Antiqua" w:eastAsia="等线" w:hAnsi="Book Antiqua" w:cs="Calibri"/>
                <w:i/>
                <w:iCs/>
                <w:color w:val="000000"/>
              </w:rPr>
              <w:t>et al</w:t>
            </w:r>
            <w:r w:rsidRPr="00E549DC">
              <w:rPr>
                <w:rFonts w:ascii="Book Antiqua" w:eastAsia="等线" w:hAnsi="Book Antiqua" w:cs="Calibri"/>
                <w:noProof/>
                <w:color w:val="000000"/>
                <w:vertAlign w:val="superscript"/>
              </w:rPr>
              <w:t>[48]</w:t>
            </w:r>
          </w:p>
        </w:tc>
        <w:tc>
          <w:tcPr>
            <w:tcW w:w="0" w:type="auto"/>
          </w:tcPr>
          <w:p w14:paraId="1E222E79" w14:textId="44A9FF6F"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2016</w:t>
            </w:r>
          </w:p>
        </w:tc>
        <w:tc>
          <w:tcPr>
            <w:tcW w:w="0" w:type="auto"/>
            <w:noWrap/>
            <w:hideMark/>
          </w:tcPr>
          <w:p w14:paraId="419E83E0" w14:textId="59BF6212"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Mapatumumab + sorafenib</w:t>
            </w:r>
          </w:p>
        </w:tc>
        <w:tc>
          <w:tcPr>
            <w:tcW w:w="0" w:type="auto"/>
            <w:noWrap/>
            <w:hideMark/>
          </w:tcPr>
          <w:p w14:paraId="7935FAB8" w14:textId="77777777"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Placebo + sorafenib</w:t>
            </w:r>
          </w:p>
        </w:tc>
        <w:tc>
          <w:tcPr>
            <w:tcW w:w="0" w:type="auto"/>
            <w:noWrap/>
            <w:hideMark/>
          </w:tcPr>
          <w:p w14:paraId="26E05696" w14:textId="77777777"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TTP</w:t>
            </w:r>
          </w:p>
        </w:tc>
        <w:tc>
          <w:tcPr>
            <w:tcW w:w="0" w:type="auto"/>
            <w:noWrap/>
          </w:tcPr>
          <w:p w14:paraId="0381AA25" w14:textId="002CDFD1"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PFS: Final</w:t>
            </w:r>
            <w:r w:rsidR="008B736D" w:rsidRPr="00E549DC">
              <w:rPr>
                <w:rFonts w:ascii="Book Antiqua" w:eastAsia="等线" w:hAnsi="Book Antiqua" w:cs="Calibri"/>
                <w:color w:val="000000"/>
              </w:rPr>
              <w:t>;</w:t>
            </w:r>
            <w:r w:rsidR="008B736D" w:rsidRPr="00E549DC">
              <w:rPr>
                <w:rFonts w:ascii="Book Antiqua" w:eastAsia="等线" w:hAnsi="Book Antiqua" w:cs="Calibri"/>
                <w:color w:val="000000"/>
                <w:lang w:eastAsia="zh-CN"/>
              </w:rPr>
              <w:t xml:space="preserve"> </w:t>
            </w:r>
            <w:r w:rsidRPr="00E549DC">
              <w:rPr>
                <w:rFonts w:ascii="Book Antiqua" w:eastAsia="等线" w:hAnsi="Book Antiqua" w:cs="Calibri"/>
                <w:color w:val="000000"/>
              </w:rPr>
              <w:t>OS: Final</w:t>
            </w:r>
          </w:p>
        </w:tc>
        <w:tc>
          <w:tcPr>
            <w:tcW w:w="0" w:type="auto"/>
            <w:noWrap/>
          </w:tcPr>
          <w:p w14:paraId="7504E3AE" w14:textId="1E67D35C"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 xml:space="preserve">PFS: 3.2 </w:t>
            </w:r>
            <w:r w:rsidRPr="00E549DC">
              <w:rPr>
                <w:rFonts w:ascii="Book Antiqua" w:eastAsia="等线" w:hAnsi="Book Antiqua" w:cs="Calibri"/>
                <w:i/>
                <w:iCs/>
                <w:color w:val="000000"/>
              </w:rPr>
              <w:t>vs</w:t>
            </w:r>
            <w:r w:rsidRPr="00E549DC">
              <w:rPr>
                <w:rFonts w:ascii="Book Antiqua" w:eastAsia="等线" w:hAnsi="Book Antiqua" w:cs="Calibri"/>
                <w:color w:val="000000"/>
              </w:rPr>
              <w:t xml:space="preserve"> 4.3</w:t>
            </w:r>
            <w:r w:rsidR="008B736D" w:rsidRPr="00E549DC">
              <w:rPr>
                <w:rFonts w:ascii="Book Antiqua" w:eastAsia="等线" w:hAnsi="Book Antiqua" w:cs="Calibri"/>
                <w:color w:val="000000"/>
              </w:rPr>
              <w:t>;</w:t>
            </w:r>
            <w:r w:rsidR="008B736D" w:rsidRPr="00E549DC">
              <w:rPr>
                <w:rFonts w:ascii="Book Antiqua" w:eastAsia="等线" w:hAnsi="Book Antiqua" w:cs="Calibri"/>
                <w:color w:val="000000"/>
                <w:lang w:eastAsia="zh-CN"/>
              </w:rPr>
              <w:t xml:space="preserve"> </w:t>
            </w:r>
            <w:r w:rsidRPr="00E549DC">
              <w:rPr>
                <w:rFonts w:ascii="Book Antiqua" w:eastAsia="等线" w:hAnsi="Book Antiqua" w:cs="Calibri"/>
                <w:color w:val="000000"/>
              </w:rPr>
              <w:t xml:space="preserve">OS: 10.0 </w:t>
            </w:r>
            <w:r w:rsidRPr="00E549DC">
              <w:rPr>
                <w:rFonts w:ascii="Book Antiqua" w:eastAsia="等线" w:hAnsi="Book Antiqua" w:cs="Calibri"/>
                <w:i/>
                <w:iCs/>
                <w:color w:val="000000"/>
              </w:rPr>
              <w:t>vs</w:t>
            </w:r>
            <w:r w:rsidRPr="00E549DC">
              <w:rPr>
                <w:rFonts w:ascii="Book Antiqua" w:eastAsia="等线" w:hAnsi="Book Antiqua" w:cs="Calibri"/>
                <w:color w:val="000000"/>
              </w:rPr>
              <w:t xml:space="preserve"> 10.1</w:t>
            </w:r>
          </w:p>
        </w:tc>
      </w:tr>
      <w:tr w:rsidR="00EE6FFD" w:rsidRPr="00E549DC" w14:paraId="0D22ACC2" w14:textId="77777777" w:rsidTr="00721903">
        <w:trPr>
          <w:trHeight w:val="270"/>
        </w:trPr>
        <w:tc>
          <w:tcPr>
            <w:tcW w:w="0" w:type="auto"/>
            <w:noWrap/>
            <w:hideMark/>
          </w:tcPr>
          <w:p w14:paraId="1F3A4E7F" w14:textId="63AABE20"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 xml:space="preserve">Finn </w:t>
            </w:r>
            <w:r w:rsidRPr="00E549DC">
              <w:rPr>
                <w:rFonts w:ascii="Book Antiqua" w:eastAsia="等线" w:hAnsi="Book Antiqua" w:cs="Calibri"/>
                <w:i/>
                <w:iCs/>
                <w:color w:val="000000"/>
              </w:rPr>
              <w:t>et al</w:t>
            </w:r>
            <w:r w:rsidRPr="00E549DC">
              <w:rPr>
                <w:rFonts w:ascii="Book Antiqua" w:eastAsia="等线" w:hAnsi="Book Antiqua" w:cs="Calibri"/>
                <w:noProof/>
                <w:color w:val="000000"/>
                <w:vertAlign w:val="superscript"/>
              </w:rPr>
              <w:t>[11]</w:t>
            </w:r>
          </w:p>
        </w:tc>
        <w:tc>
          <w:tcPr>
            <w:tcW w:w="0" w:type="auto"/>
          </w:tcPr>
          <w:p w14:paraId="420DF83A" w14:textId="1E55CB27"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2020</w:t>
            </w:r>
          </w:p>
        </w:tc>
        <w:tc>
          <w:tcPr>
            <w:tcW w:w="0" w:type="auto"/>
            <w:noWrap/>
            <w:hideMark/>
          </w:tcPr>
          <w:p w14:paraId="1AE22D6A" w14:textId="205D9AF2"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Atezolizumab + bevacizumab</w:t>
            </w:r>
          </w:p>
        </w:tc>
        <w:tc>
          <w:tcPr>
            <w:tcW w:w="0" w:type="auto"/>
            <w:noWrap/>
            <w:hideMark/>
          </w:tcPr>
          <w:p w14:paraId="71F4F5B9" w14:textId="77777777"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Sorafenib</w:t>
            </w:r>
          </w:p>
        </w:tc>
        <w:tc>
          <w:tcPr>
            <w:tcW w:w="0" w:type="auto"/>
            <w:noWrap/>
            <w:hideMark/>
          </w:tcPr>
          <w:p w14:paraId="5D83BF94" w14:textId="77777777"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OS and PFS</w:t>
            </w:r>
          </w:p>
        </w:tc>
        <w:tc>
          <w:tcPr>
            <w:tcW w:w="0" w:type="auto"/>
            <w:noWrap/>
          </w:tcPr>
          <w:p w14:paraId="5D32F8C5" w14:textId="2C1EDCBC"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PFS: Final</w:t>
            </w:r>
            <w:r w:rsidR="008B736D" w:rsidRPr="00E549DC">
              <w:rPr>
                <w:rFonts w:ascii="Book Antiqua" w:eastAsia="等线" w:hAnsi="Book Antiqua" w:cs="Calibri"/>
                <w:color w:val="000000"/>
              </w:rPr>
              <w:t>;</w:t>
            </w:r>
            <w:r w:rsidR="008B736D" w:rsidRPr="00E549DC">
              <w:rPr>
                <w:rFonts w:ascii="Book Antiqua" w:eastAsia="等线" w:hAnsi="Book Antiqua" w:cs="Calibri"/>
                <w:color w:val="000000"/>
                <w:lang w:eastAsia="zh-CN"/>
              </w:rPr>
              <w:t xml:space="preserve"> </w:t>
            </w:r>
            <w:r w:rsidRPr="00E549DC">
              <w:rPr>
                <w:rFonts w:ascii="Book Antiqua" w:eastAsia="等线" w:hAnsi="Book Antiqua" w:cs="Calibri"/>
                <w:color w:val="000000"/>
              </w:rPr>
              <w:t>OS: Final</w:t>
            </w:r>
          </w:p>
        </w:tc>
        <w:tc>
          <w:tcPr>
            <w:tcW w:w="0" w:type="auto"/>
            <w:noWrap/>
          </w:tcPr>
          <w:p w14:paraId="1BD9C9E2" w14:textId="58EBD8E9"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 xml:space="preserve">PFS: 6.8 </w:t>
            </w:r>
            <w:r w:rsidRPr="00E549DC">
              <w:rPr>
                <w:rFonts w:ascii="Book Antiqua" w:eastAsia="等线" w:hAnsi="Book Antiqua" w:cs="Calibri"/>
                <w:i/>
                <w:iCs/>
                <w:color w:val="000000"/>
              </w:rPr>
              <w:t>vs</w:t>
            </w:r>
            <w:r w:rsidRPr="00E549DC">
              <w:rPr>
                <w:rFonts w:ascii="Book Antiqua" w:eastAsia="等线" w:hAnsi="Book Antiqua" w:cs="Calibri"/>
                <w:color w:val="000000"/>
              </w:rPr>
              <w:t xml:space="preserve"> 4.3</w:t>
            </w:r>
            <w:r w:rsidR="008B736D" w:rsidRPr="00E549DC">
              <w:rPr>
                <w:rFonts w:ascii="Book Antiqua" w:eastAsia="等线" w:hAnsi="Book Antiqua" w:cs="Calibri"/>
                <w:color w:val="000000"/>
              </w:rPr>
              <w:t>;</w:t>
            </w:r>
            <w:r w:rsidR="008B736D" w:rsidRPr="00E549DC">
              <w:rPr>
                <w:rFonts w:ascii="Book Antiqua" w:eastAsia="等线" w:hAnsi="Book Antiqua" w:cs="Calibri"/>
                <w:color w:val="000000"/>
                <w:lang w:eastAsia="zh-CN"/>
              </w:rPr>
              <w:t xml:space="preserve"> </w:t>
            </w:r>
            <w:r w:rsidRPr="00E549DC">
              <w:rPr>
                <w:rFonts w:ascii="Book Antiqua" w:eastAsia="等线" w:hAnsi="Book Antiqua" w:cs="Calibri"/>
                <w:color w:val="000000"/>
              </w:rPr>
              <w:t xml:space="preserve">OS: NE </w:t>
            </w:r>
            <w:r w:rsidRPr="00E549DC">
              <w:rPr>
                <w:rFonts w:ascii="Book Antiqua" w:eastAsia="等线" w:hAnsi="Book Antiqua" w:cs="Calibri"/>
                <w:i/>
                <w:iCs/>
                <w:color w:val="000000"/>
              </w:rPr>
              <w:t>vs</w:t>
            </w:r>
            <w:r w:rsidRPr="00E549DC">
              <w:rPr>
                <w:rFonts w:ascii="Book Antiqua" w:eastAsia="等线" w:hAnsi="Book Antiqua" w:cs="Calibri"/>
                <w:color w:val="000000"/>
              </w:rPr>
              <w:t xml:space="preserve"> 13.2</w:t>
            </w:r>
          </w:p>
        </w:tc>
      </w:tr>
      <w:tr w:rsidR="00EE6FFD" w:rsidRPr="00E549DC" w14:paraId="798AFF07" w14:textId="77777777" w:rsidTr="00721903">
        <w:trPr>
          <w:trHeight w:val="270"/>
        </w:trPr>
        <w:tc>
          <w:tcPr>
            <w:tcW w:w="0" w:type="auto"/>
            <w:noWrap/>
            <w:hideMark/>
          </w:tcPr>
          <w:p w14:paraId="064A5729" w14:textId="144188A0"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 xml:space="preserve">Abou-Alfa </w:t>
            </w:r>
            <w:r w:rsidRPr="00E549DC">
              <w:rPr>
                <w:rFonts w:ascii="Book Antiqua" w:eastAsia="等线" w:hAnsi="Book Antiqua" w:cs="Calibri"/>
                <w:i/>
                <w:iCs/>
                <w:color w:val="000000"/>
              </w:rPr>
              <w:t>et al</w:t>
            </w:r>
            <w:r w:rsidRPr="00E549DC">
              <w:rPr>
                <w:rFonts w:ascii="Book Antiqua" w:eastAsia="等线" w:hAnsi="Book Antiqua" w:cs="Calibri"/>
                <w:noProof/>
                <w:color w:val="000000"/>
                <w:vertAlign w:val="superscript"/>
              </w:rPr>
              <w:t>[49]</w:t>
            </w:r>
          </w:p>
        </w:tc>
        <w:tc>
          <w:tcPr>
            <w:tcW w:w="0" w:type="auto"/>
          </w:tcPr>
          <w:p w14:paraId="582186BD" w14:textId="709A4C6E"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2010</w:t>
            </w:r>
          </w:p>
        </w:tc>
        <w:tc>
          <w:tcPr>
            <w:tcW w:w="0" w:type="auto"/>
            <w:noWrap/>
            <w:hideMark/>
          </w:tcPr>
          <w:p w14:paraId="6CFE7AB6" w14:textId="2CF89965"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Doxorubicin + sorafenib</w:t>
            </w:r>
          </w:p>
        </w:tc>
        <w:tc>
          <w:tcPr>
            <w:tcW w:w="0" w:type="auto"/>
            <w:noWrap/>
            <w:hideMark/>
          </w:tcPr>
          <w:p w14:paraId="79B68882" w14:textId="77777777"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Doxorubicin + placebo</w:t>
            </w:r>
          </w:p>
        </w:tc>
        <w:tc>
          <w:tcPr>
            <w:tcW w:w="0" w:type="auto"/>
            <w:noWrap/>
          </w:tcPr>
          <w:p w14:paraId="6A9FCEBF" w14:textId="77777777"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TTP</w:t>
            </w:r>
          </w:p>
        </w:tc>
        <w:tc>
          <w:tcPr>
            <w:tcW w:w="0" w:type="auto"/>
            <w:noWrap/>
          </w:tcPr>
          <w:p w14:paraId="09710A4B" w14:textId="1EF18C7F"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PFS: Final</w:t>
            </w:r>
            <w:r w:rsidR="008B736D" w:rsidRPr="00E549DC">
              <w:rPr>
                <w:rFonts w:ascii="Book Antiqua" w:eastAsia="等线" w:hAnsi="Book Antiqua" w:cs="Calibri"/>
                <w:color w:val="000000"/>
              </w:rPr>
              <w:t>;</w:t>
            </w:r>
            <w:r w:rsidR="008B736D" w:rsidRPr="00E549DC">
              <w:rPr>
                <w:rFonts w:ascii="Book Antiqua" w:eastAsia="等线" w:hAnsi="Book Antiqua" w:cs="Calibri"/>
                <w:color w:val="000000"/>
                <w:lang w:eastAsia="zh-CN"/>
              </w:rPr>
              <w:t xml:space="preserve"> </w:t>
            </w:r>
            <w:r w:rsidRPr="00E549DC">
              <w:rPr>
                <w:rFonts w:ascii="Book Antiqua" w:eastAsia="等线" w:hAnsi="Book Antiqua" w:cs="Calibri"/>
                <w:color w:val="000000"/>
              </w:rPr>
              <w:t>OS: Final</w:t>
            </w:r>
          </w:p>
        </w:tc>
        <w:tc>
          <w:tcPr>
            <w:tcW w:w="0" w:type="auto"/>
            <w:noWrap/>
          </w:tcPr>
          <w:p w14:paraId="54025BDD" w14:textId="3F9871E6"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 xml:space="preserve">PFS: 6.0 </w:t>
            </w:r>
            <w:r w:rsidRPr="00E549DC">
              <w:rPr>
                <w:rFonts w:ascii="Book Antiqua" w:eastAsia="等线" w:hAnsi="Book Antiqua" w:cs="Calibri"/>
                <w:i/>
                <w:iCs/>
                <w:color w:val="000000"/>
              </w:rPr>
              <w:t>vs</w:t>
            </w:r>
            <w:r w:rsidRPr="00E549DC">
              <w:rPr>
                <w:rFonts w:ascii="Book Antiqua" w:eastAsia="等线" w:hAnsi="Book Antiqua" w:cs="Calibri"/>
                <w:color w:val="000000"/>
              </w:rPr>
              <w:t xml:space="preserve"> 2.7</w:t>
            </w:r>
            <w:r w:rsidR="008B736D" w:rsidRPr="00E549DC">
              <w:rPr>
                <w:rFonts w:ascii="Book Antiqua" w:eastAsia="等线" w:hAnsi="Book Antiqua" w:cs="Calibri"/>
                <w:color w:val="000000"/>
              </w:rPr>
              <w:t>;</w:t>
            </w:r>
            <w:r w:rsidR="008B736D" w:rsidRPr="00E549DC">
              <w:rPr>
                <w:rFonts w:ascii="Book Antiqua" w:eastAsia="等线" w:hAnsi="Book Antiqua" w:cs="Calibri"/>
                <w:color w:val="000000"/>
                <w:lang w:eastAsia="zh-CN"/>
              </w:rPr>
              <w:t xml:space="preserve"> </w:t>
            </w:r>
            <w:r w:rsidRPr="00E549DC">
              <w:rPr>
                <w:rFonts w:ascii="Book Antiqua" w:eastAsia="等线" w:hAnsi="Book Antiqua" w:cs="Calibri"/>
                <w:color w:val="000000"/>
              </w:rPr>
              <w:t xml:space="preserve">OS: 13.7 </w:t>
            </w:r>
            <w:r w:rsidRPr="00E549DC">
              <w:rPr>
                <w:rFonts w:ascii="Book Antiqua" w:eastAsia="等线" w:hAnsi="Book Antiqua" w:cs="Calibri"/>
                <w:i/>
                <w:iCs/>
                <w:color w:val="000000"/>
              </w:rPr>
              <w:t>vs</w:t>
            </w:r>
            <w:r w:rsidRPr="00E549DC">
              <w:rPr>
                <w:rFonts w:ascii="Book Antiqua" w:eastAsia="等线" w:hAnsi="Book Antiqua" w:cs="Calibri"/>
                <w:color w:val="000000"/>
              </w:rPr>
              <w:t xml:space="preserve"> 6.5</w:t>
            </w:r>
          </w:p>
        </w:tc>
      </w:tr>
      <w:tr w:rsidR="00EE6FFD" w:rsidRPr="00E549DC" w14:paraId="3D474FB2" w14:textId="77777777" w:rsidTr="00721903">
        <w:trPr>
          <w:trHeight w:val="270"/>
        </w:trPr>
        <w:tc>
          <w:tcPr>
            <w:tcW w:w="0" w:type="auto"/>
            <w:noWrap/>
            <w:hideMark/>
          </w:tcPr>
          <w:p w14:paraId="6466B643" w14:textId="12E2FB60"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 xml:space="preserve">Cheng </w:t>
            </w:r>
            <w:r w:rsidRPr="00E549DC">
              <w:rPr>
                <w:rFonts w:ascii="Book Antiqua" w:eastAsia="等线" w:hAnsi="Book Antiqua" w:cs="Calibri"/>
                <w:i/>
                <w:iCs/>
                <w:color w:val="000000"/>
              </w:rPr>
              <w:t>et al</w:t>
            </w:r>
            <w:r w:rsidRPr="00E549DC">
              <w:rPr>
                <w:rFonts w:ascii="Book Antiqua" w:eastAsia="等线" w:hAnsi="Book Antiqua" w:cs="Calibri"/>
                <w:noProof/>
                <w:color w:val="000000"/>
                <w:vertAlign w:val="superscript"/>
              </w:rPr>
              <w:t>[50]</w:t>
            </w:r>
          </w:p>
        </w:tc>
        <w:tc>
          <w:tcPr>
            <w:tcW w:w="0" w:type="auto"/>
          </w:tcPr>
          <w:p w14:paraId="057DA867" w14:textId="395E5725"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2016</w:t>
            </w:r>
          </w:p>
        </w:tc>
        <w:tc>
          <w:tcPr>
            <w:tcW w:w="0" w:type="auto"/>
            <w:noWrap/>
            <w:hideMark/>
          </w:tcPr>
          <w:p w14:paraId="536B18F5" w14:textId="193AF2B4"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Dovitinib</w:t>
            </w:r>
          </w:p>
        </w:tc>
        <w:tc>
          <w:tcPr>
            <w:tcW w:w="0" w:type="auto"/>
            <w:noWrap/>
            <w:hideMark/>
          </w:tcPr>
          <w:p w14:paraId="4EA94911" w14:textId="77777777"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Sorafenib</w:t>
            </w:r>
          </w:p>
        </w:tc>
        <w:tc>
          <w:tcPr>
            <w:tcW w:w="0" w:type="auto"/>
            <w:noWrap/>
            <w:hideMark/>
          </w:tcPr>
          <w:p w14:paraId="4F64F7C1" w14:textId="77777777"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OS and TTP</w:t>
            </w:r>
          </w:p>
        </w:tc>
        <w:tc>
          <w:tcPr>
            <w:tcW w:w="0" w:type="auto"/>
            <w:noWrap/>
          </w:tcPr>
          <w:p w14:paraId="5451586D" w14:textId="2228460B"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TTP: Final</w:t>
            </w:r>
            <w:r w:rsidR="008B736D" w:rsidRPr="00E549DC">
              <w:rPr>
                <w:rFonts w:ascii="Book Antiqua" w:eastAsia="等线" w:hAnsi="Book Antiqua" w:cs="Calibri"/>
                <w:color w:val="000000"/>
              </w:rPr>
              <w:t>;</w:t>
            </w:r>
            <w:r w:rsidR="008B736D" w:rsidRPr="00E549DC">
              <w:rPr>
                <w:rFonts w:ascii="Book Antiqua" w:eastAsia="等线" w:hAnsi="Book Antiqua" w:cs="Calibri"/>
                <w:color w:val="000000"/>
                <w:lang w:eastAsia="zh-CN"/>
              </w:rPr>
              <w:t xml:space="preserve"> </w:t>
            </w:r>
            <w:r w:rsidRPr="00E549DC">
              <w:rPr>
                <w:rFonts w:ascii="Book Antiqua" w:eastAsia="等线" w:hAnsi="Book Antiqua" w:cs="Calibri"/>
                <w:color w:val="000000"/>
              </w:rPr>
              <w:t>OS: Final</w:t>
            </w:r>
          </w:p>
        </w:tc>
        <w:tc>
          <w:tcPr>
            <w:tcW w:w="0" w:type="auto"/>
            <w:noWrap/>
          </w:tcPr>
          <w:p w14:paraId="3598AD90" w14:textId="47793C81"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 xml:space="preserve">TTP: 4.1 </w:t>
            </w:r>
            <w:r w:rsidRPr="00E549DC">
              <w:rPr>
                <w:rFonts w:ascii="Book Antiqua" w:eastAsia="等线" w:hAnsi="Book Antiqua" w:cs="Calibri"/>
                <w:i/>
                <w:iCs/>
                <w:color w:val="000000"/>
              </w:rPr>
              <w:t>vs</w:t>
            </w:r>
            <w:r w:rsidRPr="00E549DC">
              <w:rPr>
                <w:rFonts w:ascii="Book Antiqua" w:eastAsia="等线" w:hAnsi="Book Antiqua" w:cs="Calibri"/>
                <w:color w:val="000000"/>
              </w:rPr>
              <w:t xml:space="preserve"> 4.1</w:t>
            </w:r>
            <w:r w:rsidR="008B736D" w:rsidRPr="00E549DC">
              <w:rPr>
                <w:rFonts w:ascii="Book Antiqua" w:eastAsia="等线" w:hAnsi="Book Antiqua" w:cs="Calibri"/>
                <w:color w:val="000000"/>
              </w:rPr>
              <w:t>;</w:t>
            </w:r>
            <w:r w:rsidR="008B736D" w:rsidRPr="00E549DC">
              <w:rPr>
                <w:rFonts w:ascii="Book Antiqua" w:eastAsia="等线" w:hAnsi="Book Antiqua" w:cs="Calibri"/>
                <w:color w:val="000000"/>
                <w:lang w:eastAsia="zh-CN"/>
              </w:rPr>
              <w:t xml:space="preserve"> </w:t>
            </w:r>
            <w:r w:rsidRPr="00E549DC">
              <w:rPr>
                <w:rFonts w:ascii="Book Antiqua" w:eastAsia="等线" w:hAnsi="Book Antiqua" w:cs="Calibri"/>
                <w:color w:val="000000"/>
              </w:rPr>
              <w:t xml:space="preserve">OS: 8.0 </w:t>
            </w:r>
            <w:r w:rsidRPr="00E549DC">
              <w:rPr>
                <w:rFonts w:ascii="Book Antiqua" w:eastAsia="等线" w:hAnsi="Book Antiqua" w:cs="Calibri"/>
                <w:i/>
                <w:iCs/>
                <w:color w:val="000000"/>
              </w:rPr>
              <w:t>vs</w:t>
            </w:r>
            <w:r w:rsidRPr="00E549DC">
              <w:rPr>
                <w:rFonts w:ascii="Book Antiqua" w:eastAsia="等线" w:hAnsi="Book Antiqua" w:cs="Calibri"/>
                <w:color w:val="000000"/>
              </w:rPr>
              <w:t xml:space="preserve"> 8.4</w:t>
            </w:r>
          </w:p>
        </w:tc>
      </w:tr>
      <w:tr w:rsidR="00EE6FFD" w:rsidRPr="00E549DC" w14:paraId="75C53858" w14:textId="77777777" w:rsidTr="00721903">
        <w:trPr>
          <w:trHeight w:val="270"/>
        </w:trPr>
        <w:tc>
          <w:tcPr>
            <w:tcW w:w="0" w:type="auto"/>
            <w:noWrap/>
            <w:hideMark/>
          </w:tcPr>
          <w:p w14:paraId="73C92618" w14:textId="56151BE9"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 xml:space="preserve">Cheng </w:t>
            </w:r>
            <w:r w:rsidRPr="00E549DC">
              <w:rPr>
                <w:rFonts w:ascii="Book Antiqua" w:eastAsia="等线" w:hAnsi="Book Antiqua" w:cs="Calibri"/>
                <w:i/>
                <w:iCs/>
                <w:color w:val="000000"/>
              </w:rPr>
              <w:t>et al</w:t>
            </w:r>
            <w:r w:rsidRPr="00E549DC">
              <w:rPr>
                <w:rFonts w:ascii="Book Antiqua" w:eastAsia="等线" w:hAnsi="Book Antiqua" w:cs="Calibri"/>
                <w:noProof/>
                <w:color w:val="000000"/>
                <w:vertAlign w:val="superscript"/>
              </w:rPr>
              <w:t>[28]</w:t>
            </w:r>
          </w:p>
        </w:tc>
        <w:tc>
          <w:tcPr>
            <w:tcW w:w="0" w:type="auto"/>
          </w:tcPr>
          <w:p w14:paraId="0FD0B199" w14:textId="0EADC5DD" w:rsidR="00EE6FFD" w:rsidRPr="00E549DC" w:rsidRDefault="00EE6FFD" w:rsidP="00C55EEF">
            <w:pPr>
              <w:widowControl w:val="0"/>
              <w:adjustRightInd w:val="0"/>
              <w:snapToGrid w:val="0"/>
              <w:spacing w:line="360" w:lineRule="auto"/>
              <w:jc w:val="both"/>
              <w:rPr>
                <w:rFonts w:ascii="Book Antiqua" w:eastAsia="宋体" w:hAnsi="Book Antiqua" w:cs="Calibri"/>
                <w:color w:val="000000"/>
              </w:rPr>
            </w:pPr>
            <w:r w:rsidRPr="00E549DC">
              <w:rPr>
                <w:rFonts w:ascii="Book Antiqua" w:eastAsia="等线" w:hAnsi="Book Antiqua" w:cs="Calibri"/>
                <w:color w:val="000000"/>
              </w:rPr>
              <w:t>2015</w:t>
            </w:r>
          </w:p>
        </w:tc>
        <w:tc>
          <w:tcPr>
            <w:tcW w:w="0" w:type="auto"/>
            <w:noWrap/>
            <w:hideMark/>
          </w:tcPr>
          <w:p w14:paraId="2948CE8E" w14:textId="470329CB" w:rsidR="00EE6FFD" w:rsidRPr="00E549DC" w:rsidRDefault="00EE6FFD" w:rsidP="00C55EEF">
            <w:pPr>
              <w:widowControl w:val="0"/>
              <w:adjustRightInd w:val="0"/>
              <w:snapToGrid w:val="0"/>
              <w:spacing w:line="360" w:lineRule="auto"/>
              <w:jc w:val="both"/>
              <w:rPr>
                <w:rFonts w:ascii="Book Antiqua" w:eastAsia="宋体" w:hAnsi="Book Antiqua" w:cs="Calibri"/>
                <w:color w:val="000000"/>
              </w:rPr>
            </w:pPr>
            <w:r w:rsidRPr="00E549DC">
              <w:rPr>
                <w:rFonts w:ascii="Book Antiqua" w:eastAsia="宋体" w:hAnsi="Book Antiqua" w:cs="Calibri"/>
                <w:color w:val="000000"/>
              </w:rPr>
              <w:t>Tigatuzumab (6 + 2) + sorafenib</w:t>
            </w:r>
            <w:r w:rsidR="008B736D" w:rsidRPr="00E549DC">
              <w:rPr>
                <w:rFonts w:ascii="Book Antiqua" w:eastAsia="宋体" w:hAnsi="Book Antiqua" w:cs="Calibri"/>
                <w:color w:val="000000"/>
              </w:rPr>
              <w:t>;</w:t>
            </w:r>
            <w:r w:rsidR="008B736D" w:rsidRPr="00E549DC">
              <w:rPr>
                <w:rFonts w:ascii="Book Antiqua" w:eastAsia="宋体" w:hAnsi="Book Antiqua" w:cs="Calibri"/>
                <w:color w:val="000000"/>
                <w:lang w:eastAsia="zh-CN"/>
              </w:rPr>
              <w:t xml:space="preserve"> </w:t>
            </w:r>
            <w:r w:rsidRPr="00E549DC">
              <w:rPr>
                <w:rFonts w:ascii="Book Antiqua" w:eastAsia="宋体" w:hAnsi="Book Antiqua" w:cs="Calibri"/>
                <w:color w:val="000000"/>
              </w:rPr>
              <w:t>Tigatuzumab (6 + 6) + sorafenib</w:t>
            </w:r>
          </w:p>
        </w:tc>
        <w:tc>
          <w:tcPr>
            <w:tcW w:w="0" w:type="auto"/>
            <w:noWrap/>
            <w:hideMark/>
          </w:tcPr>
          <w:p w14:paraId="6928DE79" w14:textId="77777777"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Sorafenib</w:t>
            </w:r>
          </w:p>
        </w:tc>
        <w:tc>
          <w:tcPr>
            <w:tcW w:w="0" w:type="auto"/>
            <w:noWrap/>
            <w:hideMark/>
          </w:tcPr>
          <w:p w14:paraId="5FEBAD55" w14:textId="77777777"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TTP</w:t>
            </w:r>
          </w:p>
        </w:tc>
        <w:tc>
          <w:tcPr>
            <w:tcW w:w="0" w:type="auto"/>
            <w:noWrap/>
          </w:tcPr>
          <w:p w14:paraId="25D9E536" w14:textId="5CD48535"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TTP: Final</w:t>
            </w:r>
            <w:r w:rsidR="008B736D" w:rsidRPr="00E549DC">
              <w:rPr>
                <w:rFonts w:ascii="Book Antiqua" w:eastAsia="等线" w:hAnsi="Book Antiqua" w:cs="Calibri"/>
                <w:color w:val="000000"/>
              </w:rPr>
              <w:t>;</w:t>
            </w:r>
            <w:r w:rsidR="008B736D" w:rsidRPr="00E549DC">
              <w:rPr>
                <w:rFonts w:ascii="Book Antiqua" w:eastAsia="等线" w:hAnsi="Book Antiqua" w:cs="Calibri"/>
                <w:color w:val="000000"/>
                <w:lang w:eastAsia="zh-CN"/>
              </w:rPr>
              <w:t xml:space="preserve"> </w:t>
            </w:r>
            <w:r w:rsidRPr="00E549DC">
              <w:rPr>
                <w:rFonts w:ascii="Book Antiqua" w:eastAsia="等线" w:hAnsi="Book Antiqua" w:cs="Calibri"/>
                <w:color w:val="000000"/>
              </w:rPr>
              <w:t>OS: Final</w:t>
            </w:r>
          </w:p>
        </w:tc>
        <w:tc>
          <w:tcPr>
            <w:tcW w:w="0" w:type="auto"/>
            <w:noWrap/>
          </w:tcPr>
          <w:p w14:paraId="7A10E8F0" w14:textId="0D8282BD"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 xml:space="preserve">TTP: 3.0 </w:t>
            </w:r>
            <w:r w:rsidRPr="00E549DC">
              <w:rPr>
                <w:rFonts w:ascii="Book Antiqua" w:eastAsia="等线" w:hAnsi="Book Antiqua" w:cs="Calibri"/>
                <w:i/>
                <w:iCs/>
                <w:color w:val="000000"/>
              </w:rPr>
              <w:t>vs</w:t>
            </w:r>
            <w:r w:rsidRPr="00E549DC">
              <w:rPr>
                <w:rFonts w:ascii="Book Antiqua" w:eastAsia="等线" w:hAnsi="Book Antiqua" w:cs="Calibri"/>
                <w:color w:val="000000"/>
              </w:rPr>
              <w:t xml:space="preserve"> 3.9 </w:t>
            </w:r>
            <w:r w:rsidRPr="00E549DC">
              <w:rPr>
                <w:rFonts w:ascii="Book Antiqua" w:eastAsia="等线" w:hAnsi="Book Antiqua" w:cs="Calibri"/>
                <w:i/>
                <w:iCs/>
                <w:color w:val="000000"/>
              </w:rPr>
              <w:t>vs</w:t>
            </w:r>
            <w:r w:rsidRPr="00E549DC">
              <w:rPr>
                <w:rFonts w:ascii="Book Antiqua" w:eastAsia="等线" w:hAnsi="Book Antiqua" w:cs="Calibri"/>
                <w:color w:val="000000"/>
              </w:rPr>
              <w:t xml:space="preserve"> 2.8</w:t>
            </w:r>
            <w:r w:rsidR="008B736D" w:rsidRPr="00E549DC">
              <w:rPr>
                <w:rFonts w:ascii="Book Antiqua" w:eastAsia="等线" w:hAnsi="Book Antiqua" w:cs="Calibri"/>
                <w:color w:val="000000"/>
              </w:rPr>
              <w:t>;</w:t>
            </w:r>
            <w:r w:rsidR="008B736D" w:rsidRPr="00E549DC">
              <w:rPr>
                <w:rFonts w:ascii="Book Antiqua" w:eastAsia="等线" w:hAnsi="Book Antiqua" w:cs="Calibri"/>
                <w:color w:val="000000"/>
                <w:lang w:eastAsia="zh-CN"/>
              </w:rPr>
              <w:t xml:space="preserve"> </w:t>
            </w:r>
            <w:r w:rsidRPr="00E549DC">
              <w:rPr>
                <w:rFonts w:ascii="Book Antiqua" w:eastAsia="等线" w:hAnsi="Book Antiqua" w:cs="Calibri"/>
                <w:color w:val="000000"/>
              </w:rPr>
              <w:t xml:space="preserve">OS: 8.2 </w:t>
            </w:r>
            <w:r w:rsidRPr="00E549DC">
              <w:rPr>
                <w:rFonts w:ascii="Book Antiqua" w:eastAsia="等线" w:hAnsi="Book Antiqua" w:cs="Calibri"/>
                <w:i/>
                <w:iCs/>
                <w:color w:val="000000"/>
              </w:rPr>
              <w:t>vs</w:t>
            </w:r>
            <w:r w:rsidRPr="00E549DC">
              <w:rPr>
                <w:rFonts w:ascii="Book Antiqua" w:eastAsia="等线" w:hAnsi="Book Antiqua" w:cs="Calibri"/>
                <w:color w:val="000000"/>
              </w:rPr>
              <w:t xml:space="preserve"> 12.2 </w:t>
            </w:r>
            <w:r w:rsidRPr="00E549DC">
              <w:rPr>
                <w:rFonts w:ascii="Book Antiqua" w:eastAsia="等线" w:hAnsi="Book Antiqua" w:cs="Calibri"/>
                <w:i/>
                <w:iCs/>
                <w:color w:val="000000"/>
              </w:rPr>
              <w:t>vs</w:t>
            </w:r>
            <w:r w:rsidRPr="00E549DC">
              <w:rPr>
                <w:rFonts w:ascii="Book Antiqua" w:eastAsia="等线" w:hAnsi="Book Antiqua" w:cs="Calibri"/>
                <w:color w:val="000000"/>
              </w:rPr>
              <w:t xml:space="preserve"> 8.2</w:t>
            </w:r>
          </w:p>
        </w:tc>
      </w:tr>
      <w:tr w:rsidR="00EE6FFD" w:rsidRPr="00E549DC" w14:paraId="5C743A8C" w14:textId="77777777" w:rsidTr="00721903">
        <w:trPr>
          <w:trHeight w:val="270"/>
        </w:trPr>
        <w:tc>
          <w:tcPr>
            <w:tcW w:w="0" w:type="auto"/>
            <w:noWrap/>
            <w:hideMark/>
          </w:tcPr>
          <w:p w14:paraId="2A0F7D3C" w14:textId="2D19FF5C"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 xml:space="preserve">Hsu </w:t>
            </w:r>
            <w:r w:rsidRPr="00E549DC">
              <w:rPr>
                <w:rFonts w:ascii="Book Antiqua" w:eastAsia="等线" w:hAnsi="Book Antiqua" w:cs="Calibri"/>
                <w:i/>
                <w:iCs/>
                <w:color w:val="000000"/>
              </w:rPr>
              <w:t>et al</w:t>
            </w:r>
            <w:r w:rsidRPr="00E549DC">
              <w:rPr>
                <w:rFonts w:ascii="Book Antiqua" w:eastAsia="等线" w:hAnsi="Book Antiqua" w:cs="Calibri"/>
                <w:noProof/>
                <w:color w:val="000000"/>
                <w:vertAlign w:val="superscript"/>
              </w:rPr>
              <w:t>[51]</w:t>
            </w:r>
          </w:p>
        </w:tc>
        <w:tc>
          <w:tcPr>
            <w:tcW w:w="0" w:type="auto"/>
          </w:tcPr>
          <w:p w14:paraId="4D54A849" w14:textId="0CB4042C" w:rsidR="00EE6FFD" w:rsidRPr="00E549DC" w:rsidRDefault="00EE6FFD" w:rsidP="00C55EEF">
            <w:pPr>
              <w:widowControl w:val="0"/>
              <w:adjustRightInd w:val="0"/>
              <w:snapToGrid w:val="0"/>
              <w:spacing w:line="360" w:lineRule="auto"/>
              <w:jc w:val="both"/>
              <w:rPr>
                <w:rFonts w:ascii="Book Antiqua" w:eastAsia="宋体" w:hAnsi="Book Antiqua" w:cs="Calibri"/>
                <w:color w:val="000000"/>
              </w:rPr>
            </w:pPr>
            <w:r w:rsidRPr="00E549DC">
              <w:rPr>
                <w:rFonts w:ascii="Book Antiqua" w:eastAsia="等线" w:hAnsi="Book Antiqua" w:cs="Calibri"/>
                <w:color w:val="000000"/>
              </w:rPr>
              <w:t>2012</w:t>
            </w:r>
          </w:p>
        </w:tc>
        <w:tc>
          <w:tcPr>
            <w:tcW w:w="0" w:type="auto"/>
            <w:noWrap/>
            <w:hideMark/>
          </w:tcPr>
          <w:p w14:paraId="643D6F41" w14:textId="19CC6229" w:rsidR="00EE6FFD" w:rsidRPr="00E549DC" w:rsidRDefault="00EE6FFD" w:rsidP="00C55EEF">
            <w:pPr>
              <w:widowControl w:val="0"/>
              <w:adjustRightInd w:val="0"/>
              <w:snapToGrid w:val="0"/>
              <w:spacing w:line="360" w:lineRule="auto"/>
              <w:jc w:val="both"/>
              <w:rPr>
                <w:rFonts w:ascii="Book Antiqua" w:eastAsia="宋体" w:hAnsi="Book Antiqua" w:cs="Calibri"/>
                <w:color w:val="000000"/>
              </w:rPr>
            </w:pPr>
            <w:r w:rsidRPr="00E549DC">
              <w:rPr>
                <w:rFonts w:ascii="Book Antiqua" w:eastAsia="宋体" w:hAnsi="Book Antiqua" w:cs="Calibri"/>
                <w:color w:val="000000"/>
              </w:rPr>
              <w:t>Vandetanib 300 mg/d</w:t>
            </w:r>
            <w:r w:rsidR="008B736D" w:rsidRPr="00E549DC">
              <w:rPr>
                <w:rFonts w:ascii="Book Antiqua" w:eastAsia="宋体" w:hAnsi="Book Antiqua" w:cs="Calibri"/>
                <w:color w:val="000000"/>
              </w:rPr>
              <w:t>;</w:t>
            </w:r>
            <w:r w:rsidR="008B736D" w:rsidRPr="00E549DC">
              <w:rPr>
                <w:rFonts w:ascii="Book Antiqua" w:eastAsia="宋体" w:hAnsi="Book Antiqua" w:cs="Calibri"/>
                <w:color w:val="000000"/>
                <w:lang w:eastAsia="zh-CN"/>
              </w:rPr>
              <w:t xml:space="preserve"> </w:t>
            </w:r>
            <w:r w:rsidRPr="00E549DC">
              <w:rPr>
                <w:rFonts w:ascii="Book Antiqua" w:eastAsia="宋体" w:hAnsi="Book Antiqua" w:cs="Calibri"/>
                <w:color w:val="000000"/>
              </w:rPr>
              <w:t>Vandetanib 100 mg/d</w:t>
            </w:r>
          </w:p>
        </w:tc>
        <w:tc>
          <w:tcPr>
            <w:tcW w:w="0" w:type="auto"/>
            <w:noWrap/>
            <w:hideMark/>
          </w:tcPr>
          <w:p w14:paraId="23E1F0C0" w14:textId="77777777"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Placebo</w:t>
            </w:r>
          </w:p>
        </w:tc>
        <w:tc>
          <w:tcPr>
            <w:tcW w:w="0" w:type="auto"/>
            <w:noWrap/>
            <w:hideMark/>
          </w:tcPr>
          <w:p w14:paraId="2DDDAAF3" w14:textId="77777777"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Tumor stabilization rate</w:t>
            </w:r>
          </w:p>
        </w:tc>
        <w:tc>
          <w:tcPr>
            <w:tcW w:w="0" w:type="auto"/>
            <w:noWrap/>
          </w:tcPr>
          <w:p w14:paraId="4B67C0E6" w14:textId="6338CBD5"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PFS: Final</w:t>
            </w:r>
            <w:r w:rsidR="008B736D" w:rsidRPr="00E549DC">
              <w:rPr>
                <w:rFonts w:ascii="Book Antiqua" w:eastAsia="等线" w:hAnsi="Book Antiqua" w:cs="Calibri"/>
                <w:color w:val="000000"/>
              </w:rPr>
              <w:t>;</w:t>
            </w:r>
            <w:r w:rsidR="008B736D" w:rsidRPr="00E549DC">
              <w:rPr>
                <w:rFonts w:ascii="Book Antiqua" w:eastAsia="等线" w:hAnsi="Book Antiqua" w:cs="Calibri"/>
                <w:color w:val="000000"/>
                <w:lang w:eastAsia="zh-CN"/>
              </w:rPr>
              <w:t xml:space="preserve"> </w:t>
            </w:r>
            <w:r w:rsidRPr="00E549DC">
              <w:rPr>
                <w:rFonts w:ascii="Book Antiqua" w:eastAsia="等线" w:hAnsi="Book Antiqua" w:cs="Calibri"/>
                <w:color w:val="000000"/>
              </w:rPr>
              <w:t>OS: Final</w:t>
            </w:r>
          </w:p>
        </w:tc>
        <w:tc>
          <w:tcPr>
            <w:tcW w:w="0" w:type="auto"/>
            <w:noWrap/>
          </w:tcPr>
          <w:p w14:paraId="0E15268A" w14:textId="299A5101"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 xml:space="preserve">PFS: 1.1 </w:t>
            </w:r>
            <w:r w:rsidRPr="00E549DC">
              <w:rPr>
                <w:rFonts w:ascii="Book Antiqua" w:eastAsia="等线" w:hAnsi="Book Antiqua" w:cs="Calibri"/>
                <w:i/>
                <w:iCs/>
                <w:color w:val="000000"/>
              </w:rPr>
              <w:t>vs</w:t>
            </w:r>
            <w:r w:rsidRPr="00E549DC">
              <w:rPr>
                <w:rFonts w:ascii="Book Antiqua" w:eastAsia="等线" w:hAnsi="Book Antiqua" w:cs="Calibri"/>
                <w:color w:val="000000"/>
              </w:rPr>
              <w:t xml:space="preserve"> 0.7 </w:t>
            </w:r>
            <w:r w:rsidRPr="00E549DC">
              <w:rPr>
                <w:rFonts w:ascii="Book Antiqua" w:eastAsia="等线" w:hAnsi="Book Antiqua" w:cs="Calibri"/>
                <w:i/>
                <w:iCs/>
                <w:color w:val="000000"/>
              </w:rPr>
              <w:t>vs</w:t>
            </w:r>
            <w:r w:rsidRPr="00E549DC">
              <w:rPr>
                <w:rFonts w:ascii="Book Antiqua" w:eastAsia="等线" w:hAnsi="Book Antiqua" w:cs="Calibri"/>
                <w:color w:val="000000"/>
              </w:rPr>
              <w:t xml:space="preserve"> 1.0</w:t>
            </w:r>
            <w:r w:rsidR="008B736D" w:rsidRPr="00E549DC">
              <w:rPr>
                <w:rFonts w:ascii="Book Antiqua" w:eastAsia="等线" w:hAnsi="Book Antiqua" w:cs="Calibri"/>
                <w:color w:val="000000"/>
              </w:rPr>
              <w:t>;</w:t>
            </w:r>
            <w:r w:rsidR="008B736D" w:rsidRPr="00E549DC">
              <w:rPr>
                <w:rFonts w:ascii="Book Antiqua" w:eastAsia="等线" w:hAnsi="Book Antiqua" w:cs="Calibri"/>
                <w:color w:val="000000"/>
                <w:lang w:eastAsia="zh-CN"/>
              </w:rPr>
              <w:t xml:space="preserve"> </w:t>
            </w:r>
            <w:r w:rsidRPr="00E549DC">
              <w:rPr>
                <w:rFonts w:ascii="Book Antiqua" w:eastAsia="等线" w:hAnsi="Book Antiqua" w:cs="Calibri"/>
                <w:color w:val="000000"/>
              </w:rPr>
              <w:t xml:space="preserve">OS: 6.0 </w:t>
            </w:r>
            <w:r w:rsidRPr="00E549DC">
              <w:rPr>
                <w:rFonts w:ascii="Book Antiqua" w:eastAsia="等线" w:hAnsi="Book Antiqua" w:cs="Calibri"/>
                <w:i/>
                <w:iCs/>
                <w:color w:val="000000"/>
              </w:rPr>
              <w:t>vs</w:t>
            </w:r>
            <w:r w:rsidRPr="00E549DC">
              <w:rPr>
                <w:rFonts w:ascii="Book Antiqua" w:eastAsia="等线" w:hAnsi="Book Antiqua" w:cs="Calibri"/>
                <w:color w:val="000000"/>
              </w:rPr>
              <w:t xml:space="preserve"> 5.8 </w:t>
            </w:r>
            <w:r w:rsidRPr="00E549DC">
              <w:rPr>
                <w:rFonts w:ascii="Book Antiqua" w:eastAsia="等线" w:hAnsi="Book Antiqua" w:cs="Calibri"/>
                <w:i/>
                <w:iCs/>
                <w:color w:val="000000"/>
              </w:rPr>
              <w:t>vs</w:t>
            </w:r>
            <w:r w:rsidRPr="00E549DC">
              <w:rPr>
                <w:rFonts w:ascii="Book Antiqua" w:eastAsia="等线" w:hAnsi="Book Antiqua" w:cs="Calibri"/>
                <w:color w:val="000000"/>
              </w:rPr>
              <w:t xml:space="preserve"> 4.3</w:t>
            </w:r>
          </w:p>
        </w:tc>
      </w:tr>
      <w:tr w:rsidR="00EE6FFD" w:rsidRPr="00E549DC" w14:paraId="3A41916A" w14:textId="77777777" w:rsidTr="00721903">
        <w:trPr>
          <w:trHeight w:val="270"/>
        </w:trPr>
        <w:tc>
          <w:tcPr>
            <w:tcW w:w="0" w:type="auto"/>
            <w:noWrap/>
            <w:hideMark/>
          </w:tcPr>
          <w:p w14:paraId="71F6F276" w14:textId="5E4A4346"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 xml:space="preserve">Johnson </w:t>
            </w:r>
            <w:r w:rsidRPr="00E549DC">
              <w:rPr>
                <w:rFonts w:ascii="Book Antiqua" w:eastAsia="等线" w:hAnsi="Book Antiqua" w:cs="Calibri"/>
                <w:i/>
                <w:iCs/>
                <w:color w:val="000000"/>
              </w:rPr>
              <w:t>et al</w:t>
            </w:r>
            <w:r w:rsidRPr="00E549DC">
              <w:rPr>
                <w:rFonts w:ascii="Book Antiqua" w:eastAsia="等线" w:hAnsi="Book Antiqua" w:cs="Calibri"/>
                <w:noProof/>
                <w:color w:val="000000"/>
                <w:vertAlign w:val="superscript"/>
              </w:rPr>
              <w:t>[22]</w:t>
            </w:r>
          </w:p>
        </w:tc>
        <w:tc>
          <w:tcPr>
            <w:tcW w:w="0" w:type="auto"/>
          </w:tcPr>
          <w:p w14:paraId="09F8C812" w14:textId="7B109C55"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2013</w:t>
            </w:r>
          </w:p>
        </w:tc>
        <w:tc>
          <w:tcPr>
            <w:tcW w:w="0" w:type="auto"/>
            <w:noWrap/>
            <w:hideMark/>
          </w:tcPr>
          <w:p w14:paraId="29C07E66" w14:textId="43C8D0A3"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Sorafenib</w:t>
            </w:r>
          </w:p>
        </w:tc>
        <w:tc>
          <w:tcPr>
            <w:tcW w:w="0" w:type="auto"/>
            <w:noWrap/>
            <w:hideMark/>
          </w:tcPr>
          <w:p w14:paraId="58BDC753" w14:textId="77777777"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Brivanib</w:t>
            </w:r>
          </w:p>
        </w:tc>
        <w:tc>
          <w:tcPr>
            <w:tcW w:w="0" w:type="auto"/>
            <w:noWrap/>
            <w:hideMark/>
          </w:tcPr>
          <w:p w14:paraId="0394A4CE" w14:textId="77777777"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OS</w:t>
            </w:r>
          </w:p>
        </w:tc>
        <w:tc>
          <w:tcPr>
            <w:tcW w:w="0" w:type="auto"/>
            <w:noWrap/>
          </w:tcPr>
          <w:p w14:paraId="5B08553B" w14:textId="7817DEB1"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PFS: No</w:t>
            </w:r>
            <w:r w:rsidR="008B736D" w:rsidRPr="00E549DC">
              <w:rPr>
                <w:rFonts w:ascii="Book Antiqua" w:eastAsia="等线" w:hAnsi="Book Antiqua" w:cs="Calibri"/>
                <w:color w:val="000000"/>
              </w:rPr>
              <w:t>;</w:t>
            </w:r>
            <w:r w:rsidR="008B736D" w:rsidRPr="00E549DC">
              <w:rPr>
                <w:rFonts w:ascii="Book Antiqua" w:eastAsia="等线" w:hAnsi="Book Antiqua" w:cs="Calibri"/>
                <w:color w:val="000000"/>
                <w:lang w:eastAsia="zh-CN"/>
              </w:rPr>
              <w:t xml:space="preserve"> </w:t>
            </w:r>
            <w:r w:rsidRPr="00E549DC">
              <w:rPr>
                <w:rFonts w:ascii="Book Antiqua" w:eastAsia="等线" w:hAnsi="Book Antiqua" w:cs="Calibri"/>
                <w:color w:val="000000"/>
              </w:rPr>
              <w:t>OS: Final</w:t>
            </w:r>
          </w:p>
        </w:tc>
        <w:tc>
          <w:tcPr>
            <w:tcW w:w="0" w:type="auto"/>
            <w:noWrap/>
          </w:tcPr>
          <w:p w14:paraId="39E5A6EC" w14:textId="616DA955"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 xml:space="preserve">PFS: 4.1 </w:t>
            </w:r>
            <w:r w:rsidRPr="00E549DC">
              <w:rPr>
                <w:rFonts w:ascii="Book Antiqua" w:eastAsia="等线" w:hAnsi="Book Antiqua" w:cs="Calibri"/>
                <w:i/>
                <w:iCs/>
                <w:color w:val="000000"/>
              </w:rPr>
              <w:t>vs</w:t>
            </w:r>
            <w:r w:rsidRPr="00E549DC">
              <w:rPr>
                <w:rFonts w:ascii="Book Antiqua" w:eastAsia="等线" w:hAnsi="Book Antiqua" w:cs="Calibri"/>
                <w:color w:val="000000"/>
              </w:rPr>
              <w:t xml:space="preserve"> 4.2</w:t>
            </w:r>
            <w:r w:rsidR="008B736D" w:rsidRPr="00E549DC">
              <w:rPr>
                <w:rFonts w:ascii="Book Antiqua" w:eastAsia="等线" w:hAnsi="Book Antiqua" w:cs="Calibri"/>
                <w:color w:val="000000"/>
              </w:rPr>
              <w:t>;</w:t>
            </w:r>
            <w:r w:rsidR="008B736D" w:rsidRPr="00E549DC">
              <w:rPr>
                <w:rFonts w:ascii="Book Antiqua" w:eastAsia="等线" w:hAnsi="Book Antiqua" w:cs="Calibri"/>
                <w:color w:val="000000"/>
                <w:lang w:eastAsia="zh-CN"/>
              </w:rPr>
              <w:t xml:space="preserve"> </w:t>
            </w:r>
            <w:r w:rsidRPr="00E549DC">
              <w:rPr>
                <w:rFonts w:ascii="Book Antiqua" w:eastAsia="等线" w:hAnsi="Book Antiqua" w:cs="Calibri"/>
                <w:color w:val="000000"/>
              </w:rPr>
              <w:t xml:space="preserve">OS: 9.9 </w:t>
            </w:r>
            <w:r w:rsidRPr="00E549DC">
              <w:rPr>
                <w:rFonts w:ascii="Book Antiqua" w:eastAsia="等线" w:hAnsi="Book Antiqua" w:cs="Calibri"/>
                <w:i/>
                <w:iCs/>
                <w:color w:val="000000"/>
              </w:rPr>
              <w:t>vs</w:t>
            </w:r>
            <w:r w:rsidRPr="00E549DC">
              <w:rPr>
                <w:rFonts w:ascii="Book Antiqua" w:eastAsia="等线" w:hAnsi="Book Antiqua" w:cs="Calibri"/>
                <w:color w:val="000000"/>
              </w:rPr>
              <w:t xml:space="preserve"> 9.5</w:t>
            </w:r>
          </w:p>
        </w:tc>
      </w:tr>
      <w:tr w:rsidR="00EE6FFD" w:rsidRPr="00E549DC" w14:paraId="774FFE9A" w14:textId="77777777" w:rsidTr="00721903">
        <w:trPr>
          <w:trHeight w:val="270"/>
        </w:trPr>
        <w:tc>
          <w:tcPr>
            <w:tcW w:w="0" w:type="auto"/>
            <w:noWrap/>
            <w:hideMark/>
          </w:tcPr>
          <w:p w14:paraId="007455A5" w14:textId="7367D5F6"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 xml:space="preserve">Cainap </w:t>
            </w:r>
            <w:r w:rsidRPr="00E549DC">
              <w:rPr>
                <w:rFonts w:ascii="Book Antiqua" w:eastAsia="等线" w:hAnsi="Book Antiqua" w:cs="Calibri"/>
                <w:i/>
                <w:iCs/>
                <w:color w:val="000000"/>
              </w:rPr>
              <w:t>et al</w:t>
            </w:r>
            <w:r w:rsidRPr="00E549DC">
              <w:rPr>
                <w:rFonts w:ascii="Book Antiqua" w:eastAsia="等线" w:hAnsi="Book Antiqua" w:cs="Calibri"/>
                <w:noProof/>
                <w:color w:val="000000"/>
                <w:vertAlign w:val="superscript"/>
              </w:rPr>
              <w:t>[24]</w:t>
            </w:r>
          </w:p>
        </w:tc>
        <w:tc>
          <w:tcPr>
            <w:tcW w:w="0" w:type="auto"/>
          </w:tcPr>
          <w:p w14:paraId="736A02BB" w14:textId="17B1E82F"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2015</w:t>
            </w:r>
          </w:p>
        </w:tc>
        <w:tc>
          <w:tcPr>
            <w:tcW w:w="0" w:type="auto"/>
            <w:noWrap/>
            <w:hideMark/>
          </w:tcPr>
          <w:p w14:paraId="0A064F05" w14:textId="28201FA0"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Linifanib</w:t>
            </w:r>
          </w:p>
        </w:tc>
        <w:tc>
          <w:tcPr>
            <w:tcW w:w="0" w:type="auto"/>
            <w:noWrap/>
            <w:hideMark/>
          </w:tcPr>
          <w:p w14:paraId="2F122F83" w14:textId="77777777"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Sorafenib</w:t>
            </w:r>
          </w:p>
        </w:tc>
        <w:tc>
          <w:tcPr>
            <w:tcW w:w="0" w:type="auto"/>
            <w:noWrap/>
            <w:hideMark/>
          </w:tcPr>
          <w:p w14:paraId="67B57883" w14:textId="77777777"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OS</w:t>
            </w:r>
          </w:p>
        </w:tc>
        <w:tc>
          <w:tcPr>
            <w:tcW w:w="0" w:type="auto"/>
            <w:noWrap/>
          </w:tcPr>
          <w:p w14:paraId="38269A2F" w14:textId="1EA12ED5"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PFS: Final</w:t>
            </w:r>
            <w:r w:rsidR="008B736D" w:rsidRPr="00E549DC">
              <w:rPr>
                <w:rFonts w:ascii="Book Antiqua" w:eastAsia="等线" w:hAnsi="Book Antiqua" w:cs="Calibri"/>
                <w:color w:val="000000"/>
              </w:rPr>
              <w:t>;</w:t>
            </w:r>
            <w:r w:rsidR="008B736D" w:rsidRPr="00E549DC">
              <w:rPr>
                <w:rFonts w:ascii="Book Antiqua" w:eastAsia="等线" w:hAnsi="Book Antiqua" w:cs="Calibri"/>
                <w:color w:val="000000"/>
                <w:lang w:eastAsia="zh-CN"/>
              </w:rPr>
              <w:t xml:space="preserve"> </w:t>
            </w:r>
            <w:r w:rsidRPr="00E549DC">
              <w:rPr>
                <w:rFonts w:ascii="Book Antiqua" w:eastAsia="等线" w:hAnsi="Book Antiqua" w:cs="Calibri"/>
                <w:color w:val="000000"/>
              </w:rPr>
              <w:t>OS: Final</w:t>
            </w:r>
          </w:p>
        </w:tc>
        <w:tc>
          <w:tcPr>
            <w:tcW w:w="0" w:type="auto"/>
            <w:noWrap/>
          </w:tcPr>
          <w:p w14:paraId="62B29020" w14:textId="4FEF0177"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 xml:space="preserve">PFS: 4.2 </w:t>
            </w:r>
            <w:r w:rsidRPr="00E549DC">
              <w:rPr>
                <w:rFonts w:ascii="Book Antiqua" w:eastAsia="等线" w:hAnsi="Book Antiqua" w:cs="Calibri"/>
                <w:i/>
                <w:iCs/>
                <w:color w:val="000000"/>
              </w:rPr>
              <w:t>vs</w:t>
            </w:r>
            <w:r w:rsidRPr="00E549DC">
              <w:rPr>
                <w:rFonts w:ascii="Book Antiqua" w:eastAsia="等线" w:hAnsi="Book Antiqua" w:cs="Calibri"/>
                <w:color w:val="000000"/>
              </w:rPr>
              <w:t xml:space="preserve"> 2.9</w:t>
            </w:r>
            <w:r w:rsidR="008B736D" w:rsidRPr="00E549DC">
              <w:rPr>
                <w:rFonts w:ascii="Book Antiqua" w:eastAsia="等线" w:hAnsi="Book Antiqua" w:cs="Calibri"/>
                <w:color w:val="000000"/>
              </w:rPr>
              <w:t>;</w:t>
            </w:r>
            <w:r w:rsidR="008B736D" w:rsidRPr="00E549DC">
              <w:rPr>
                <w:rFonts w:ascii="Book Antiqua" w:eastAsia="等线" w:hAnsi="Book Antiqua" w:cs="Calibri"/>
                <w:color w:val="000000"/>
                <w:lang w:eastAsia="zh-CN"/>
              </w:rPr>
              <w:t xml:space="preserve"> </w:t>
            </w:r>
            <w:r w:rsidRPr="00E549DC">
              <w:rPr>
                <w:rFonts w:ascii="Book Antiqua" w:eastAsia="等线" w:hAnsi="Book Antiqua" w:cs="Calibri"/>
                <w:color w:val="000000"/>
              </w:rPr>
              <w:t xml:space="preserve">OS: 9.1 </w:t>
            </w:r>
            <w:r w:rsidRPr="00E549DC">
              <w:rPr>
                <w:rFonts w:ascii="Book Antiqua" w:eastAsia="等线" w:hAnsi="Book Antiqua" w:cs="Calibri"/>
                <w:i/>
                <w:iCs/>
                <w:color w:val="000000"/>
              </w:rPr>
              <w:t>vs</w:t>
            </w:r>
            <w:r w:rsidRPr="00E549DC">
              <w:rPr>
                <w:rFonts w:ascii="Book Antiqua" w:eastAsia="等线" w:hAnsi="Book Antiqua" w:cs="Calibri"/>
                <w:color w:val="000000"/>
              </w:rPr>
              <w:t xml:space="preserve"> 9.8</w:t>
            </w:r>
          </w:p>
        </w:tc>
      </w:tr>
      <w:tr w:rsidR="00EE6FFD" w:rsidRPr="00E549DC" w14:paraId="250449C9" w14:textId="77777777" w:rsidTr="00721903">
        <w:trPr>
          <w:trHeight w:val="270"/>
        </w:trPr>
        <w:tc>
          <w:tcPr>
            <w:tcW w:w="0" w:type="auto"/>
            <w:noWrap/>
            <w:hideMark/>
          </w:tcPr>
          <w:p w14:paraId="52E75820" w14:textId="4501C6E8"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 xml:space="preserve">Kudo </w:t>
            </w:r>
            <w:r w:rsidRPr="00E549DC">
              <w:rPr>
                <w:rFonts w:ascii="Book Antiqua" w:eastAsia="等线" w:hAnsi="Book Antiqua" w:cs="Calibri"/>
                <w:i/>
                <w:iCs/>
                <w:color w:val="000000"/>
              </w:rPr>
              <w:t>et al</w:t>
            </w:r>
            <w:r w:rsidRPr="00E549DC">
              <w:rPr>
                <w:rFonts w:ascii="Book Antiqua" w:eastAsia="等线" w:hAnsi="Book Antiqua" w:cs="Calibri"/>
                <w:noProof/>
                <w:color w:val="000000"/>
                <w:vertAlign w:val="superscript"/>
              </w:rPr>
              <w:t>[10]</w:t>
            </w:r>
          </w:p>
        </w:tc>
        <w:tc>
          <w:tcPr>
            <w:tcW w:w="0" w:type="auto"/>
          </w:tcPr>
          <w:p w14:paraId="6E1A4153" w14:textId="192B489F"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2018</w:t>
            </w:r>
          </w:p>
        </w:tc>
        <w:tc>
          <w:tcPr>
            <w:tcW w:w="0" w:type="auto"/>
            <w:noWrap/>
            <w:hideMark/>
          </w:tcPr>
          <w:p w14:paraId="102C98F9" w14:textId="44F7B652"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Lenvatinib</w:t>
            </w:r>
          </w:p>
        </w:tc>
        <w:tc>
          <w:tcPr>
            <w:tcW w:w="0" w:type="auto"/>
            <w:noWrap/>
            <w:hideMark/>
          </w:tcPr>
          <w:p w14:paraId="19F537AA" w14:textId="77777777"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Sorafenib</w:t>
            </w:r>
          </w:p>
        </w:tc>
        <w:tc>
          <w:tcPr>
            <w:tcW w:w="0" w:type="auto"/>
            <w:noWrap/>
            <w:hideMark/>
          </w:tcPr>
          <w:p w14:paraId="6F6538DD" w14:textId="77777777"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OS</w:t>
            </w:r>
          </w:p>
        </w:tc>
        <w:tc>
          <w:tcPr>
            <w:tcW w:w="0" w:type="auto"/>
            <w:noWrap/>
          </w:tcPr>
          <w:p w14:paraId="4CC943B6" w14:textId="3ABE9B66"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PFS: No</w:t>
            </w:r>
            <w:r w:rsidR="008B736D" w:rsidRPr="00E549DC">
              <w:rPr>
                <w:rFonts w:ascii="Book Antiqua" w:eastAsia="等线" w:hAnsi="Book Antiqua" w:cs="Calibri"/>
                <w:color w:val="000000"/>
              </w:rPr>
              <w:t>;</w:t>
            </w:r>
            <w:r w:rsidR="008B736D" w:rsidRPr="00E549DC">
              <w:rPr>
                <w:rFonts w:ascii="Book Antiqua" w:eastAsia="等线" w:hAnsi="Book Antiqua" w:cs="Calibri"/>
                <w:color w:val="000000"/>
                <w:lang w:eastAsia="zh-CN"/>
              </w:rPr>
              <w:t xml:space="preserve"> </w:t>
            </w:r>
            <w:r w:rsidRPr="00E549DC">
              <w:rPr>
                <w:rFonts w:ascii="Book Antiqua" w:eastAsia="等线" w:hAnsi="Book Antiqua" w:cs="Calibri"/>
                <w:color w:val="000000"/>
              </w:rPr>
              <w:t>OS: Final</w:t>
            </w:r>
          </w:p>
        </w:tc>
        <w:tc>
          <w:tcPr>
            <w:tcW w:w="0" w:type="auto"/>
            <w:noWrap/>
          </w:tcPr>
          <w:p w14:paraId="4A150F99" w14:textId="7AF824A9"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 xml:space="preserve">PFS: 7.4 </w:t>
            </w:r>
            <w:r w:rsidRPr="00E549DC">
              <w:rPr>
                <w:rFonts w:ascii="Book Antiqua" w:eastAsia="等线" w:hAnsi="Book Antiqua" w:cs="Calibri"/>
                <w:i/>
                <w:iCs/>
                <w:color w:val="000000"/>
              </w:rPr>
              <w:t>vs</w:t>
            </w:r>
            <w:r w:rsidRPr="00E549DC">
              <w:rPr>
                <w:rFonts w:ascii="Book Antiqua" w:eastAsia="等线" w:hAnsi="Book Antiqua" w:cs="Calibri"/>
                <w:color w:val="000000"/>
              </w:rPr>
              <w:t xml:space="preserve"> 3.7</w:t>
            </w:r>
            <w:r w:rsidR="008B736D" w:rsidRPr="00E549DC">
              <w:rPr>
                <w:rFonts w:ascii="Book Antiqua" w:eastAsia="等线" w:hAnsi="Book Antiqua" w:cs="Calibri"/>
                <w:color w:val="000000"/>
              </w:rPr>
              <w:t>;</w:t>
            </w:r>
            <w:r w:rsidR="008B736D" w:rsidRPr="00E549DC">
              <w:rPr>
                <w:rFonts w:ascii="Book Antiqua" w:eastAsia="等线" w:hAnsi="Book Antiqua" w:cs="Calibri"/>
                <w:color w:val="000000"/>
                <w:lang w:eastAsia="zh-CN"/>
              </w:rPr>
              <w:t xml:space="preserve"> </w:t>
            </w:r>
            <w:r w:rsidRPr="00E549DC">
              <w:rPr>
                <w:rFonts w:ascii="Book Antiqua" w:eastAsia="等线" w:hAnsi="Book Antiqua" w:cs="Calibri"/>
                <w:color w:val="000000"/>
              </w:rPr>
              <w:t xml:space="preserve">OS: 13.6 </w:t>
            </w:r>
            <w:r w:rsidRPr="00E549DC">
              <w:rPr>
                <w:rFonts w:ascii="Book Antiqua" w:eastAsia="等线" w:hAnsi="Book Antiqua" w:cs="Calibri"/>
                <w:i/>
                <w:iCs/>
                <w:color w:val="000000"/>
              </w:rPr>
              <w:t>vs</w:t>
            </w:r>
            <w:r w:rsidRPr="00E549DC">
              <w:rPr>
                <w:rFonts w:ascii="Book Antiqua" w:eastAsia="等线" w:hAnsi="Book Antiqua" w:cs="Calibri"/>
                <w:color w:val="000000"/>
              </w:rPr>
              <w:t xml:space="preserve"> 12.3</w:t>
            </w:r>
          </w:p>
        </w:tc>
      </w:tr>
      <w:tr w:rsidR="00EE6FFD" w:rsidRPr="00E549DC" w14:paraId="5DD20912" w14:textId="77777777" w:rsidTr="00721903">
        <w:trPr>
          <w:trHeight w:val="270"/>
        </w:trPr>
        <w:tc>
          <w:tcPr>
            <w:tcW w:w="0" w:type="auto"/>
            <w:noWrap/>
            <w:hideMark/>
          </w:tcPr>
          <w:p w14:paraId="308F5865" w14:textId="7DA75D92"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 xml:space="preserve">Yau </w:t>
            </w:r>
            <w:r w:rsidRPr="00E549DC">
              <w:rPr>
                <w:rFonts w:ascii="Book Antiqua" w:eastAsia="等线" w:hAnsi="Book Antiqua" w:cs="Calibri"/>
                <w:i/>
                <w:iCs/>
                <w:color w:val="000000"/>
              </w:rPr>
              <w:t>et al</w:t>
            </w:r>
            <w:r w:rsidRPr="00E549DC">
              <w:rPr>
                <w:rFonts w:ascii="Book Antiqua" w:eastAsia="等线" w:hAnsi="Book Antiqua" w:cs="Calibri"/>
                <w:noProof/>
                <w:color w:val="000000"/>
                <w:vertAlign w:val="superscript"/>
              </w:rPr>
              <w:t>[23]</w:t>
            </w:r>
          </w:p>
        </w:tc>
        <w:tc>
          <w:tcPr>
            <w:tcW w:w="0" w:type="auto"/>
          </w:tcPr>
          <w:p w14:paraId="0DEB49E0" w14:textId="3F6CDE2B"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2019</w:t>
            </w:r>
          </w:p>
        </w:tc>
        <w:tc>
          <w:tcPr>
            <w:tcW w:w="0" w:type="auto"/>
            <w:noWrap/>
            <w:hideMark/>
          </w:tcPr>
          <w:p w14:paraId="063EF343" w14:textId="00490FAF"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Nivolumab</w:t>
            </w:r>
          </w:p>
        </w:tc>
        <w:tc>
          <w:tcPr>
            <w:tcW w:w="0" w:type="auto"/>
            <w:noWrap/>
            <w:hideMark/>
          </w:tcPr>
          <w:p w14:paraId="3806F947" w14:textId="77777777"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Sorafenib</w:t>
            </w:r>
          </w:p>
        </w:tc>
        <w:tc>
          <w:tcPr>
            <w:tcW w:w="0" w:type="auto"/>
            <w:noWrap/>
            <w:hideMark/>
          </w:tcPr>
          <w:p w14:paraId="7E95EB83" w14:textId="77777777"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OS</w:t>
            </w:r>
          </w:p>
        </w:tc>
        <w:tc>
          <w:tcPr>
            <w:tcW w:w="0" w:type="auto"/>
            <w:noWrap/>
          </w:tcPr>
          <w:p w14:paraId="326E5C88" w14:textId="2303779F"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PFS: Final</w:t>
            </w:r>
            <w:r w:rsidR="008B736D" w:rsidRPr="00E549DC">
              <w:rPr>
                <w:rFonts w:ascii="Book Antiqua" w:eastAsia="等线" w:hAnsi="Book Antiqua" w:cs="Calibri"/>
                <w:color w:val="000000"/>
              </w:rPr>
              <w:t>;</w:t>
            </w:r>
            <w:r w:rsidR="008B736D" w:rsidRPr="00E549DC">
              <w:rPr>
                <w:rFonts w:ascii="Book Antiqua" w:eastAsia="等线" w:hAnsi="Book Antiqua" w:cs="Calibri"/>
                <w:color w:val="000000"/>
                <w:lang w:eastAsia="zh-CN"/>
              </w:rPr>
              <w:t xml:space="preserve"> </w:t>
            </w:r>
            <w:r w:rsidRPr="00E549DC">
              <w:rPr>
                <w:rFonts w:ascii="Book Antiqua" w:eastAsia="等线" w:hAnsi="Book Antiqua" w:cs="Calibri"/>
                <w:color w:val="000000"/>
              </w:rPr>
              <w:t>OS: Final</w:t>
            </w:r>
          </w:p>
        </w:tc>
        <w:tc>
          <w:tcPr>
            <w:tcW w:w="0" w:type="auto"/>
            <w:noWrap/>
          </w:tcPr>
          <w:p w14:paraId="1B3510CB" w14:textId="4468434A"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 xml:space="preserve">PFS: 3.7 </w:t>
            </w:r>
            <w:r w:rsidRPr="00E549DC">
              <w:rPr>
                <w:rFonts w:ascii="Book Antiqua" w:eastAsia="等线" w:hAnsi="Book Antiqua" w:cs="Calibri"/>
                <w:i/>
                <w:iCs/>
                <w:color w:val="000000"/>
              </w:rPr>
              <w:t>vs</w:t>
            </w:r>
            <w:r w:rsidRPr="00E549DC">
              <w:rPr>
                <w:rFonts w:ascii="Book Antiqua" w:eastAsia="等线" w:hAnsi="Book Antiqua" w:cs="Calibri"/>
                <w:color w:val="000000"/>
              </w:rPr>
              <w:t xml:space="preserve"> 3.8</w:t>
            </w:r>
            <w:r w:rsidR="008B736D" w:rsidRPr="00E549DC">
              <w:rPr>
                <w:rFonts w:ascii="Book Antiqua" w:eastAsia="等线" w:hAnsi="Book Antiqua" w:cs="Calibri"/>
                <w:color w:val="000000"/>
              </w:rPr>
              <w:t>;</w:t>
            </w:r>
            <w:r w:rsidR="008B736D" w:rsidRPr="00E549DC">
              <w:rPr>
                <w:rFonts w:ascii="Book Antiqua" w:eastAsia="等线" w:hAnsi="Book Antiqua" w:cs="Calibri"/>
                <w:color w:val="000000"/>
                <w:lang w:eastAsia="zh-CN"/>
              </w:rPr>
              <w:t xml:space="preserve"> </w:t>
            </w:r>
            <w:r w:rsidRPr="00E549DC">
              <w:rPr>
                <w:rFonts w:ascii="Book Antiqua" w:eastAsia="等线" w:hAnsi="Book Antiqua" w:cs="Calibri"/>
                <w:color w:val="000000"/>
              </w:rPr>
              <w:t xml:space="preserve">OS: 16.4 </w:t>
            </w:r>
            <w:r w:rsidRPr="00E549DC">
              <w:rPr>
                <w:rFonts w:ascii="Book Antiqua" w:eastAsia="等线" w:hAnsi="Book Antiqua" w:cs="Calibri"/>
                <w:i/>
                <w:iCs/>
                <w:color w:val="000000"/>
              </w:rPr>
              <w:t>vs</w:t>
            </w:r>
            <w:r w:rsidRPr="00E549DC">
              <w:rPr>
                <w:rFonts w:ascii="Book Antiqua" w:eastAsia="等线" w:hAnsi="Book Antiqua" w:cs="Calibri"/>
                <w:color w:val="000000"/>
              </w:rPr>
              <w:t xml:space="preserve"> 14.7</w:t>
            </w:r>
          </w:p>
        </w:tc>
      </w:tr>
      <w:tr w:rsidR="00EE6FFD" w:rsidRPr="00E549DC" w14:paraId="5D659B78" w14:textId="77777777" w:rsidTr="00721903">
        <w:trPr>
          <w:trHeight w:val="270"/>
        </w:trPr>
        <w:tc>
          <w:tcPr>
            <w:tcW w:w="0" w:type="auto"/>
            <w:noWrap/>
            <w:hideMark/>
          </w:tcPr>
          <w:p w14:paraId="5DB2E2C3" w14:textId="69A98071"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 xml:space="preserve">Cheng </w:t>
            </w:r>
            <w:r w:rsidRPr="00E549DC">
              <w:rPr>
                <w:rFonts w:ascii="Book Antiqua" w:eastAsia="等线" w:hAnsi="Book Antiqua" w:cs="Calibri"/>
                <w:i/>
                <w:iCs/>
                <w:color w:val="000000"/>
              </w:rPr>
              <w:t>et al</w:t>
            </w:r>
            <w:r w:rsidRPr="00E549DC">
              <w:rPr>
                <w:rFonts w:ascii="Book Antiqua" w:eastAsia="等线" w:hAnsi="Book Antiqua" w:cs="Calibri"/>
                <w:noProof/>
                <w:color w:val="000000"/>
                <w:vertAlign w:val="superscript"/>
              </w:rPr>
              <w:t>[29]</w:t>
            </w:r>
          </w:p>
        </w:tc>
        <w:tc>
          <w:tcPr>
            <w:tcW w:w="0" w:type="auto"/>
          </w:tcPr>
          <w:p w14:paraId="72D52ECF" w14:textId="2F753F4A"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2013</w:t>
            </w:r>
          </w:p>
        </w:tc>
        <w:tc>
          <w:tcPr>
            <w:tcW w:w="0" w:type="auto"/>
            <w:noWrap/>
            <w:hideMark/>
          </w:tcPr>
          <w:p w14:paraId="32B229E8" w14:textId="167DCAAE"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Sunitinib</w:t>
            </w:r>
          </w:p>
        </w:tc>
        <w:tc>
          <w:tcPr>
            <w:tcW w:w="0" w:type="auto"/>
            <w:noWrap/>
            <w:hideMark/>
          </w:tcPr>
          <w:p w14:paraId="77FE85AA" w14:textId="77777777"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Sorafenib</w:t>
            </w:r>
          </w:p>
        </w:tc>
        <w:tc>
          <w:tcPr>
            <w:tcW w:w="0" w:type="auto"/>
            <w:noWrap/>
          </w:tcPr>
          <w:p w14:paraId="7A5AC989" w14:textId="77777777"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OS</w:t>
            </w:r>
          </w:p>
        </w:tc>
        <w:tc>
          <w:tcPr>
            <w:tcW w:w="0" w:type="auto"/>
            <w:noWrap/>
          </w:tcPr>
          <w:p w14:paraId="07F27380" w14:textId="1698115E"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PFS: Final</w:t>
            </w:r>
            <w:r w:rsidR="008B736D" w:rsidRPr="00E549DC">
              <w:rPr>
                <w:rFonts w:ascii="Book Antiqua" w:eastAsia="等线" w:hAnsi="Book Antiqua" w:cs="Calibri"/>
                <w:color w:val="000000"/>
              </w:rPr>
              <w:t>;</w:t>
            </w:r>
          </w:p>
          <w:p w14:paraId="7B45AA2C" w14:textId="77777777"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OS: Final</w:t>
            </w:r>
          </w:p>
        </w:tc>
        <w:tc>
          <w:tcPr>
            <w:tcW w:w="0" w:type="auto"/>
            <w:noWrap/>
          </w:tcPr>
          <w:p w14:paraId="66336990" w14:textId="2F5AD886"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 xml:space="preserve">PFS: 3.6 </w:t>
            </w:r>
            <w:r w:rsidRPr="00E549DC">
              <w:rPr>
                <w:rFonts w:ascii="Book Antiqua" w:eastAsia="等线" w:hAnsi="Book Antiqua" w:cs="Calibri"/>
                <w:i/>
                <w:iCs/>
                <w:color w:val="000000"/>
              </w:rPr>
              <w:t>vs</w:t>
            </w:r>
            <w:r w:rsidRPr="00E549DC">
              <w:rPr>
                <w:rFonts w:ascii="Book Antiqua" w:eastAsia="等线" w:hAnsi="Book Antiqua" w:cs="Calibri"/>
                <w:color w:val="000000"/>
              </w:rPr>
              <w:t xml:space="preserve"> 3.0</w:t>
            </w:r>
            <w:r w:rsidR="008B736D" w:rsidRPr="00E549DC">
              <w:rPr>
                <w:rFonts w:ascii="Book Antiqua" w:eastAsia="等线" w:hAnsi="Book Antiqua" w:cs="Calibri"/>
                <w:color w:val="000000"/>
              </w:rPr>
              <w:t>;</w:t>
            </w:r>
            <w:r w:rsidR="008B736D" w:rsidRPr="00E549DC">
              <w:rPr>
                <w:rFonts w:ascii="Book Antiqua" w:eastAsia="等线" w:hAnsi="Book Antiqua" w:cs="Calibri"/>
                <w:color w:val="000000"/>
                <w:lang w:eastAsia="zh-CN"/>
              </w:rPr>
              <w:t xml:space="preserve"> </w:t>
            </w:r>
            <w:r w:rsidRPr="00E549DC">
              <w:rPr>
                <w:rFonts w:ascii="Book Antiqua" w:eastAsia="等线" w:hAnsi="Book Antiqua" w:cs="Calibri"/>
                <w:color w:val="000000"/>
              </w:rPr>
              <w:t xml:space="preserve">OS: 7.9 </w:t>
            </w:r>
            <w:r w:rsidRPr="00E549DC">
              <w:rPr>
                <w:rFonts w:ascii="Book Antiqua" w:eastAsia="等线" w:hAnsi="Book Antiqua" w:cs="Calibri"/>
                <w:i/>
                <w:iCs/>
                <w:color w:val="000000"/>
              </w:rPr>
              <w:t>vs</w:t>
            </w:r>
            <w:r w:rsidRPr="00E549DC">
              <w:rPr>
                <w:rFonts w:ascii="Book Antiqua" w:eastAsia="等线" w:hAnsi="Book Antiqua" w:cs="Calibri"/>
                <w:color w:val="000000"/>
              </w:rPr>
              <w:t xml:space="preserve"> 10.2</w:t>
            </w:r>
          </w:p>
        </w:tc>
      </w:tr>
      <w:tr w:rsidR="00EE6FFD" w:rsidRPr="00E549DC" w14:paraId="0350FF7E" w14:textId="77777777" w:rsidTr="00721903">
        <w:trPr>
          <w:trHeight w:val="270"/>
        </w:trPr>
        <w:tc>
          <w:tcPr>
            <w:tcW w:w="0" w:type="auto"/>
            <w:noWrap/>
            <w:hideMark/>
          </w:tcPr>
          <w:p w14:paraId="1E0A227D" w14:textId="09AB8CA2"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 xml:space="preserve">Zhu </w:t>
            </w:r>
            <w:r w:rsidRPr="00E549DC">
              <w:rPr>
                <w:rFonts w:ascii="Book Antiqua" w:eastAsia="等线" w:hAnsi="Book Antiqua" w:cs="Calibri"/>
                <w:i/>
                <w:iCs/>
                <w:color w:val="000000"/>
              </w:rPr>
              <w:t>et al</w:t>
            </w:r>
            <w:r w:rsidRPr="00E549DC">
              <w:rPr>
                <w:rFonts w:ascii="Book Antiqua" w:eastAsia="等线" w:hAnsi="Book Antiqua" w:cs="Calibri"/>
                <w:noProof/>
                <w:color w:val="000000"/>
                <w:vertAlign w:val="superscript"/>
              </w:rPr>
              <w:t>[26]</w:t>
            </w:r>
          </w:p>
        </w:tc>
        <w:tc>
          <w:tcPr>
            <w:tcW w:w="0" w:type="auto"/>
          </w:tcPr>
          <w:p w14:paraId="6087BFA4" w14:textId="457E4859"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2015</w:t>
            </w:r>
          </w:p>
        </w:tc>
        <w:tc>
          <w:tcPr>
            <w:tcW w:w="0" w:type="auto"/>
            <w:noWrap/>
            <w:hideMark/>
          </w:tcPr>
          <w:p w14:paraId="05D9CB5D" w14:textId="7771B709"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Sorafenib + erlotinib</w:t>
            </w:r>
          </w:p>
        </w:tc>
        <w:tc>
          <w:tcPr>
            <w:tcW w:w="0" w:type="auto"/>
            <w:noWrap/>
            <w:hideMark/>
          </w:tcPr>
          <w:p w14:paraId="3E93847F" w14:textId="2996337F"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Sorafenib</w:t>
            </w:r>
            <w:r w:rsidR="008B736D" w:rsidRPr="00E549DC">
              <w:rPr>
                <w:rFonts w:ascii="Book Antiqua" w:eastAsia="等线" w:hAnsi="Book Antiqua" w:cs="Calibri"/>
                <w:color w:val="000000"/>
                <w:lang w:eastAsia="zh-CN"/>
              </w:rPr>
              <w:t xml:space="preserve"> </w:t>
            </w:r>
            <w:r w:rsidRPr="00E549DC">
              <w:rPr>
                <w:rFonts w:ascii="Book Antiqua" w:eastAsia="等线" w:hAnsi="Book Antiqua" w:cs="Calibri"/>
                <w:color w:val="000000"/>
              </w:rPr>
              <w:t>+ placebo</w:t>
            </w:r>
          </w:p>
        </w:tc>
        <w:tc>
          <w:tcPr>
            <w:tcW w:w="0" w:type="auto"/>
            <w:noWrap/>
            <w:hideMark/>
          </w:tcPr>
          <w:p w14:paraId="3C4ED6BA" w14:textId="77777777"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OS</w:t>
            </w:r>
          </w:p>
        </w:tc>
        <w:tc>
          <w:tcPr>
            <w:tcW w:w="0" w:type="auto"/>
            <w:noWrap/>
          </w:tcPr>
          <w:p w14:paraId="37906833" w14:textId="6E5D9132"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TTP: Final</w:t>
            </w:r>
            <w:r w:rsidR="008B736D" w:rsidRPr="00E549DC">
              <w:rPr>
                <w:rFonts w:ascii="Book Antiqua" w:eastAsia="等线" w:hAnsi="Book Antiqua" w:cs="Calibri"/>
                <w:color w:val="000000"/>
              </w:rPr>
              <w:t>;</w:t>
            </w:r>
            <w:r w:rsidRPr="00E549DC">
              <w:rPr>
                <w:rFonts w:ascii="Book Antiqua" w:eastAsia="等线" w:hAnsi="Book Antiqua" w:cs="Calibri"/>
                <w:color w:val="000000"/>
              </w:rPr>
              <w:t xml:space="preserve"> </w:t>
            </w:r>
            <w:r w:rsidRPr="00E549DC">
              <w:rPr>
                <w:rFonts w:ascii="Book Antiqua" w:eastAsia="等线" w:hAnsi="Book Antiqua" w:cs="Calibri"/>
                <w:color w:val="000000"/>
              </w:rPr>
              <w:br/>
              <w:t>OS: Final</w:t>
            </w:r>
          </w:p>
        </w:tc>
        <w:tc>
          <w:tcPr>
            <w:tcW w:w="0" w:type="auto"/>
            <w:noWrap/>
          </w:tcPr>
          <w:p w14:paraId="50EBDB83" w14:textId="3EF2281D"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 xml:space="preserve">TTP: 3.2 </w:t>
            </w:r>
            <w:r w:rsidRPr="00E549DC">
              <w:rPr>
                <w:rFonts w:ascii="Book Antiqua" w:eastAsia="等线" w:hAnsi="Book Antiqua" w:cs="Calibri"/>
                <w:i/>
                <w:iCs/>
                <w:color w:val="000000"/>
              </w:rPr>
              <w:t>vs</w:t>
            </w:r>
            <w:r w:rsidRPr="00E549DC">
              <w:rPr>
                <w:rFonts w:ascii="Book Antiqua" w:eastAsia="等线" w:hAnsi="Book Antiqua" w:cs="Calibri"/>
                <w:color w:val="000000"/>
              </w:rPr>
              <w:t xml:space="preserve"> 4.0</w:t>
            </w:r>
            <w:r w:rsidR="008B736D" w:rsidRPr="00E549DC">
              <w:rPr>
                <w:rFonts w:ascii="Book Antiqua" w:eastAsia="等线" w:hAnsi="Book Antiqua" w:cs="Calibri"/>
                <w:color w:val="000000"/>
              </w:rPr>
              <w:t>;</w:t>
            </w:r>
            <w:r w:rsidR="008B736D" w:rsidRPr="00E549DC">
              <w:rPr>
                <w:rFonts w:ascii="Book Antiqua" w:eastAsia="等线" w:hAnsi="Book Antiqua" w:cs="Calibri"/>
                <w:color w:val="000000"/>
                <w:lang w:eastAsia="zh-CN"/>
              </w:rPr>
              <w:t xml:space="preserve"> </w:t>
            </w:r>
            <w:r w:rsidRPr="00E549DC">
              <w:rPr>
                <w:rFonts w:ascii="Book Antiqua" w:eastAsia="等线" w:hAnsi="Book Antiqua" w:cs="Calibri"/>
                <w:color w:val="000000"/>
              </w:rPr>
              <w:t xml:space="preserve">OS: 9.5 </w:t>
            </w:r>
            <w:r w:rsidRPr="00E549DC">
              <w:rPr>
                <w:rFonts w:ascii="Book Antiqua" w:eastAsia="等线" w:hAnsi="Book Antiqua" w:cs="Calibri"/>
                <w:i/>
                <w:iCs/>
                <w:color w:val="000000"/>
              </w:rPr>
              <w:t>vs</w:t>
            </w:r>
            <w:r w:rsidRPr="00E549DC">
              <w:rPr>
                <w:rFonts w:ascii="Book Antiqua" w:eastAsia="等线" w:hAnsi="Book Antiqua" w:cs="Calibri"/>
                <w:color w:val="000000"/>
              </w:rPr>
              <w:t xml:space="preserve"> 8.5</w:t>
            </w:r>
          </w:p>
        </w:tc>
      </w:tr>
      <w:tr w:rsidR="00EE6FFD" w:rsidRPr="00E549DC" w14:paraId="2AFF418F" w14:textId="77777777" w:rsidTr="00721903">
        <w:trPr>
          <w:trHeight w:val="270"/>
        </w:trPr>
        <w:tc>
          <w:tcPr>
            <w:tcW w:w="0" w:type="auto"/>
            <w:noWrap/>
            <w:hideMark/>
          </w:tcPr>
          <w:p w14:paraId="55664283" w14:textId="42EBA5D8"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Llovet</w:t>
            </w:r>
            <w:r w:rsidRPr="00E549DC">
              <w:rPr>
                <w:rFonts w:ascii="Book Antiqua" w:eastAsia="等线" w:hAnsi="Book Antiqua" w:cs="Calibri"/>
                <w:i/>
                <w:iCs/>
                <w:color w:val="000000"/>
              </w:rPr>
              <w:t xml:space="preserve"> et al</w:t>
            </w:r>
            <w:r w:rsidRPr="00E549DC">
              <w:rPr>
                <w:rFonts w:ascii="Book Antiqua" w:eastAsia="等线" w:hAnsi="Book Antiqua" w:cs="Calibri"/>
                <w:noProof/>
                <w:color w:val="000000"/>
                <w:vertAlign w:val="superscript"/>
              </w:rPr>
              <w:t>[52]</w:t>
            </w:r>
          </w:p>
        </w:tc>
        <w:tc>
          <w:tcPr>
            <w:tcW w:w="0" w:type="auto"/>
          </w:tcPr>
          <w:p w14:paraId="0B2A9726" w14:textId="1EE56BA0"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2008</w:t>
            </w:r>
          </w:p>
        </w:tc>
        <w:tc>
          <w:tcPr>
            <w:tcW w:w="0" w:type="auto"/>
            <w:noWrap/>
            <w:hideMark/>
          </w:tcPr>
          <w:p w14:paraId="4F128F35" w14:textId="52CFDBA8"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Sorafenib</w:t>
            </w:r>
          </w:p>
        </w:tc>
        <w:tc>
          <w:tcPr>
            <w:tcW w:w="0" w:type="auto"/>
            <w:noWrap/>
            <w:hideMark/>
          </w:tcPr>
          <w:p w14:paraId="160CB927" w14:textId="77777777"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Placebo</w:t>
            </w:r>
          </w:p>
        </w:tc>
        <w:tc>
          <w:tcPr>
            <w:tcW w:w="0" w:type="auto"/>
            <w:noWrap/>
            <w:hideMark/>
          </w:tcPr>
          <w:p w14:paraId="0127B8EE" w14:textId="77777777"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OS and TTP</w:t>
            </w:r>
          </w:p>
        </w:tc>
        <w:tc>
          <w:tcPr>
            <w:tcW w:w="0" w:type="auto"/>
            <w:noWrap/>
          </w:tcPr>
          <w:p w14:paraId="2D0B04B0" w14:textId="141C7EC7"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TTP: Final</w:t>
            </w:r>
            <w:r w:rsidR="008B736D" w:rsidRPr="00E549DC">
              <w:rPr>
                <w:rFonts w:ascii="Book Antiqua" w:eastAsia="等线" w:hAnsi="Book Antiqua" w:cs="Calibri"/>
                <w:color w:val="000000"/>
              </w:rPr>
              <w:t>;</w:t>
            </w:r>
            <w:r w:rsidR="008B736D" w:rsidRPr="00E549DC">
              <w:rPr>
                <w:rFonts w:ascii="Book Antiqua" w:eastAsia="等线" w:hAnsi="Book Antiqua" w:cs="Calibri"/>
                <w:color w:val="000000"/>
                <w:lang w:eastAsia="zh-CN"/>
              </w:rPr>
              <w:t xml:space="preserve"> </w:t>
            </w:r>
            <w:r w:rsidRPr="00E549DC">
              <w:rPr>
                <w:rFonts w:ascii="Book Antiqua" w:eastAsia="等线" w:hAnsi="Book Antiqua" w:cs="Calibri"/>
                <w:color w:val="000000"/>
              </w:rPr>
              <w:t>OS: Final</w:t>
            </w:r>
          </w:p>
        </w:tc>
        <w:tc>
          <w:tcPr>
            <w:tcW w:w="0" w:type="auto"/>
            <w:noWrap/>
          </w:tcPr>
          <w:p w14:paraId="466EFD7B" w14:textId="07A3DB3E"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 xml:space="preserve">TSP: 5.5 </w:t>
            </w:r>
            <w:r w:rsidRPr="00E549DC">
              <w:rPr>
                <w:rFonts w:ascii="Book Antiqua" w:eastAsia="等线" w:hAnsi="Book Antiqua" w:cs="Calibri"/>
                <w:i/>
                <w:iCs/>
                <w:color w:val="000000"/>
              </w:rPr>
              <w:t>vs</w:t>
            </w:r>
            <w:r w:rsidRPr="00E549DC">
              <w:rPr>
                <w:rFonts w:ascii="Book Antiqua" w:eastAsia="等线" w:hAnsi="Book Antiqua" w:cs="Calibri"/>
                <w:color w:val="000000"/>
              </w:rPr>
              <w:t xml:space="preserve"> 2.8</w:t>
            </w:r>
            <w:r w:rsidR="008B736D" w:rsidRPr="00E549DC">
              <w:rPr>
                <w:rFonts w:ascii="Book Antiqua" w:eastAsia="等线" w:hAnsi="Book Antiqua" w:cs="Calibri"/>
                <w:color w:val="000000"/>
              </w:rPr>
              <w:t>;</w:t>
            </w:r>
            <w:r w:rsidR="008B736D" w:rsidRPr="00E549DC">
              <w:rPr>
                <w:rFonts w:ascii="Book Antiqua" w:eastAsia="等线" w:hAnsi="Book Antiqua" w:cs="Calibri"/>
                <w:color w:val="000000"/>
                <w:lang w:eastAsia="zh-CN"/>
              </w:rPr>
              <w:t xml:space="preserve"> </w:t>
            </w:r>
            <w:r w:rsidRPr="00E549DC">
              <w:rPr>
                <w:rFonts w:ascii="Book Antiqua" w:eastAsia="等线" w:hAnsi="Book Antiqua" w:cs="Calibri"/>
                <w:color w:val="000000"/>
              </w:rPr>
              <w:t xml:space="preserve">OS: 10.7 </w:t>
            </w:r>
            <w:r w:rsidRPr="00E549DC">
              <w:rPr>
                <w:rFonts w:ascii="Book Antiqua" w:eastAsia="等线" w:hAnsi="Book Antiqua" w:cs="Calibri"/>
                <w:i/>
                <w:iCs/>
                <w:color w:val="000000"/>
              </w:rPr>
              <w:t>vs</w:t>
            </w:r>
            <w:r w:rsidRPr="00E549DC">
              <w:rPr>
                <w:rFonts w:ascii="Book Antiqua" w:eastAsia="等线" w:hAnsi="Book Antiqua" w:cs="Calibri"/>
                <w:color w:val="000000"/>
              </w:rPr>
              <w:t xml:space="preserve"> 7.9</w:t>
            </w:r>
          </w:p>
        </w:tc>
      </w:tr>
      <w:tr w:rsidR="00EE6FFD" w:rsidRPr="00E549DC" w14:paraId="472000D8" w14:textId="77777777" w:rsidTr="00721903">
        <w:trPr>
          <w:trHeight w:val="270"/>
        </w:trPr>
        <w:tc>
          <w:tcPr>
            <w:tcW w:w="0" w:type="auto"/>
            <w:noWrap/>
            <w:hideMark/>
          </w:tcPr>
          <w:p w14:paraId="1D82D7AE" w14:textId="5B96D200"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 xml:space="preserve">Cheng </w:t>
            </w:r>
            <w:r w:rsidRPr="00E549DC">
              <w:rPr>
                <w:rFonts w:ascii="Book Antiqua" w:eastAsia="等线" w:hAnsi="Book Antiqua" w:cs="Calibri"/>
                <w:i/>
                <w:iCs/>
                <w:color w:val="000000"/>
              </w:rPr>
              <w:t>et al</w:t>
            </w:r>
            <w:r w:rsidRPr="00E549DC">
              <w:rPr>
                <w:rFonts w:ascii="Book Antiqua" w:eastAsia="等线" w:hAnsi="Book Antiqua" w:cs="Calibri"/>
                <w:noProof/>
                <w:color w:val="000000"/>
                <w:vertAlign w:val="superscript"/>
              </w:rPr>
              <w:t>[25]</w:t>
            </w:r>
          </w:p>
        </w:tc>
        <w:tc>
          <w:tcPr>
            <w:tcW w:w="0" w:type="auto"/>
          </w:tcPr>
          <w:p w14:paraId="09F7E41C" w14:textId="0FE78EA6"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2009</w:t>
            </w:r>
          </w:p>
        </w:tc>
        <w:tc>
          <w:tcPr>
            <w:tcW w:w="0" w:type="auto"/>
            <w:noWrap/>
            <w:hideMark/>
          </w:tcPr>
          <w:p w14:paraId="3F98E1B0" w14:textId="7BF53B7B"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Sorafenib</w:t>
            </w:r>
          </w:p>
        </w:tc>
        <w:tc>
          <w:tcPr>
            <w:tcW w:w="0" w:type="auto"/>
            <w:noWrap/>
            <w:hideMark/>
          </w:tcPr>
          <w:p w14:paraId="6716EE9B" w14:textId="77777777"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Placebo</w:t>
            </w:r>
          </w:p>
        </w:tc>
        <w:tc>
          <w:tcPr>
            <w:tcW w:w="0" w:type="auto"/>
            <w:noWrap/>
            <w:hideMark/>
          </w:tcPr>
          <w:p w14:paraId="75CCB00F" w14:textId="77777777"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w:t>
            </w:r>
          </w:p>
        </w:tc>
        <w:tc>
          <w:tcPr>
            <w:tcW w:w="0" w:type="auto"/>
            <w:noWrap/>
          </w:tcPr>
          <w:p w14:paraId="1CF25F63" w14:textId="71A5F572"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TTP: Final</w:t>
            </w:r>
            <w:r w:rsidR="008B736D" w:rsidRPr="00E549DC">
              <w:rPr>
                <w:rFonts w:ascii="Book Antiqua" w:eastAsia="等线" w:hAnsi="Book Antiqua" w:cs="Calibri"/>
                <w:color w:val="000000"/>
              </w:rPr>
              <w:t>;</w:t>
            </w:r>
            <w:r w:rsidR="008B736D" w:rsidRPr="00E549DC">
              <w:rPr>
                <w:rFonts w:ascii="Book Antiqua" w:eastAsia="等线" w:hAnsi="Book Antiqua" w:cs="Calibri"/>
                <w:color w:val="000000"/>
                <w:lang w:eastAsia="zh-CN"/>
              </w:rPr>
              <w:t xml:space="preserve"> </w:t>
            </w:r>
            <w:r w:rsidRPr="00E549DC">
              <w:rPr>
                <w:rFonts w:ascii="Book Antiqua" w:eastAsia="等线" w:hAnsi="Book Antiqua" w:cs="Calibri"/>
                <w:color w:val="000000"/>
              </w:rPr>
              <w:t>OS: Final</w:t>
            </w:r>
          </w:p>
        </w:tc>
        <w:tc>
          <w:tcPr>
            <w:tcW w:w="0" w:type="auto"/>
            <w:noWrap/>
          </w:tcPr>
          <w:p w14:paraId="19901270" w14:textId="779B05F0"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 xml:space="preserve">TTP: 2.8 </w:t>
            </w:r>
            <w:r w:rsidRPr="00E549DC">
              <w:rPr>
                <w:rFonts w:ascii="Book Antiqua" w:eastAsia="等线" w:hAnsi="Book Antiqua" w:cs="Calibri"/>
                <w:i/>
                <w:iCs/>
                <w:color w:val="000000"/>
              </w:rPr>
              <w:t>vs</w:t>
            </w:r>
            <w:r w:rsidRPr="00E549DC">
              <w:rPr>
                <w:rFonts w:ascii="Book Antiqua" w:eastAsia="等线" w:hAnsi="Book Antiqua" w:cs="Calibri"/>
                <w:color w:val="000000"/>
              </w:rPr>
              <w:t xml:space="preserve"> 1.4</w:t>
            </w:r>
            <w:r w:rsidR="008B736D" w:rsidRPr="00E549DC">
              <w:rPr>
                <w:rFonts w:ascii="Book Antiqua" w:eastAsia="等线" w:hAnsi="Book Antiqua" w:cs="Calibri"/>
                <w:color w:val="000000"/>
              </w:rPr>
              <w:t>;</w:t>
            </w:r>
            <w:r w:rsidR="008B736D" w:rsidRPr="00E549DC">
              <w:rPr>
                <w:rFonts w:ascii="Book Antiqua" w:eastAsia="等线" w:hAnsi="Book Antiqua" w:cs="Calibri"/>
                <w:color w:val="000000"/>
                <w:lang w:eastAsia="zh-CN"/>
              </w:rPr>
              <w:t xml:space="preserve"> </w:t>
            </w:r>
            <w:r w:rsidRPr="00E549DC">
              <w:rPr>
                <w:rFonts w:ascii="Book Antiqua" w:eastAsia="等线" w:hAnsi="Book Antiqua" w:cs="Calibri"/>
                <w:color w:val="000000"/>
              </w:rPr>
              <w:t xml:space="preserve">OS: 6.5 </w:t>
            </w:r>
            <w:r w:rsidRPr="00E549DC">
              <w:rPr>
                <w:rFonts w:ascii="Book Antiqua" w:eastAsia="等线" w:hAnsi="Book Antiqua" w:cs="Calibri"/>
                <w:i/>
                <w:iCs/>
                <w:color w:val="000000"/>
              </w:rPr>
              <w:t>vs</w:t>
            </w:r>
            <w:r w:rsidRPr="00E549DC">
              <w:rPr>
                <w:rFonts w:ascii="Book Antiqua" w:eastAsia="等线" w:hAnsi="Book Antiqua" w:cs="Calibri"/>
                <w:color w:val="000000"/>
              </w:rPr>
              <w:t xml:space="preserve"> 4.2</w:t>
            </w:r>
          </w:p>
        </w:tc>
      </w:tr>
      <w:tr w:rsidR="00EE6FFD" w:rsidRPr="00E549DC" w14:paraId="397BCD94" w14:textId="77777777" w:rsidTr="00721903">
        <w:trPr>
          <w:trHeight w:val="270"/>
        </w:trPr>
        <w:tc>
          <w:tcPr>
            <w:tcW w:w="0" w:type="auto"/>
            <w:noWrap/>
            <w:hideMark/>
          </w:tcPr>
          <w:p w14:paraId="31CD341D" w14:textId="47431CA7"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Palmer</w:t>
            </w:r>
            <w:r w:rsidRPr="00E549DC">
              <w:rPr>
                <w:rFonts w:ascii="Book Antiqua" w:eastAsia="等线" w:hAnsi="Book Antiqua" w:cs="Calibri"/>
                <w:i/>
                <w:iCs/>
                <w:color w:val="000000"/>
              </w:rPr>
              <w:t xml:space="preserve"> et al</w:t>
            </w:r>
            <w:r w:rsidRPr="00E549DC">
              <w:rPr>
                <w:rFonts w:ascii="Book Antiqua" w:eastAsia="等线" w:hAnsi="Book Antiqua" w:cs="Calibri"/>
                <w:noProof/>
                <w:color w:val="000000"/>
                <w:vertAlign w:val="superscript"/>
              </w:rPr>
              <w:t>[53]</w:t>
            </w:r>
          </w:p>
        </w:tc>
        <w:tc>
          <w:tcPr>
            <w:tcW w:w="0" w:type="auto"/>
          </w:tcPr>
          <w:p w14:paraId="64796FC5" w14:textId="49411946"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2018</w:t>
            </w:r>
          </w:p>
        </w:tc>
        <w:tc>
          <w:tcPr>
            <w:tcW w:w="0" w:type="auto"/>
            <w:noWrap/>
            <w:hideMark/>
          </w:tcPr>
          <w:p w14:paraId="2855079D" w14:textId="05F6B48E"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Nintedanib</w:t>
            </w:r>
          </w:p>
        </w:tc>
        <w:tc>
          <w:tcPr>
            <w:tcW w:w="0" w:type="auto"/>
            <w:noWrap/>
            <w:hideMark/>
          </w:tcPr>
          <w:p w14:paraId="6111EC06" w14:textId="77777777"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Sorafenib</w:t>
            </w:r>
          </w:p>
        </w:tc>
        <w:tc>
          <w:tcPr>
            <w:tcW w:w="0" w:type="auto"/>
            <w:noWrap/>
            <w:hideMark/>
          </w:tcPr>
          <w:p w14:paraId="079881CB" w14:textId="77777777"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TTP</w:t>
            </w:r>
          </w:p>
        </w:tc>
        <w:tc>
          <w:tcPr>
            <w:tcW w:w="0" w:type="auto"/>
            <w:noWrap/>
          </w:tcPr>
          <w:p w14:paraId="2C067762" w14:textId="53F238F0"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PFS: Final</w:t>
            </w:r>
            <w:r w:rsidR="008B736D" w:rsidRPr="00E549DC">
              <w:rPr>
                <w:rFonts w:ascii="Book Antiqua" w:eastAsia="等线" w:hAnsi="Book Antiqua" w:cs="Calibri"/>
                <w:color w:val="000000"/>
              </w:rPr>
              <w:t>;</w:t>
            </w:r>
            <w:r w:rsidR="008B736D" w:rsidRPr="00E549DC">
              <w:rPr>
                <w:rFonts w:ascii="Book Antiqua" w:eastAsia="等线" w:hAnsi="Book Antiqua" w:cs="Calibri"/>
                <w:color w:val="000000"/>
                <w:lang w:eastAsia="zh-CN"/>
              </w:rPr>
              <w:t xml:space="preserve"> </w:t>
            </w:r>
            <w:r w:rsidRPr="00E549DC">
              <w:rPr>
                <w:rFonts w:ascii="Book Antiqua" w:eastAsia="等线" w:hAnsi="Book Antiqua" w:cs="Calibri"/>
                <w:color w:val="000000"/>
              </w:rPr>
              <w:t>OS: Final</w:t>
            </w:r>
          </w:p>
        </w:tc>
        <w:tc>
          <w:tcPr>
            <w:tcW w:w="0" w:type="auto"/>
            <w:noWrap/>
          </w:tcPr>
          <w:p w14:paraId="273864B2" w14:textId="40C2D2CA"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 xml:space="preserve">PFS: 5.3 </w:t>
            </w:r>
            <w:r w:rsidRPr="00E549DC">
              <w:rPr>
                <w:rFonts w:ascii="Book Antiqua" w:eastAsia="等线" w:hAnsi="Book Antiqua" w:cs="Calibri"/>
                <w:i/>
                <w:iCs/>
                <w:color w:val="000000"/>
              </w:rPr>
              <w:t>vs</w:t>
            </w:r>
            <w:r w:rsidRPr="00E549DC">
              <w:rPr>
                <w:rFonts w:ascii="Book Antiqua" w:eastAsia="等线" w:hAnsi="Book Antiqua" w:cs="Calibri"/>
                <w:color w:val="000000"/>
              </w:rPr>
              <w:t xml:space="preserve"> 3.9</w:t>
            </w:r>
            <w:r w:rsidR="008B736D" w:rsidRPr="00E549DC">
              <w:rPr>
                <w:rFonts w:ascii="Book Antiqua" w:eastAsia="等线" w:hAnsi="Book Antiqua" w:cs="Calibri"/>
                <w:color w:val="000000"/>
              </w:rPr>
              <w:t>;</w:t>
            </w:r>
            <w:r w:rsidR="008B736D" w:rsidRPr="00E549DC">
              <w:rPr>
                <w:rFonts w:ascii="Book Antiqua" w:eastAsia="等线" w:hAnsi="Book Antiqua" w:cs="Calibri"/>
                <w:color w:val="000000"/>
                <w:lang w:eastAsia="zh-CN"/>
              </w:rPr>
              <w:t xml:space="preserve"> </w:t>
            </w:r>
            <w:r w:rsidRPr="00E549DC">
              <w:rPr>
                <w:rFonts w:ascii="Book Antiqua" w:eastAsia="等线" w:hAnsi="Book Antiqua" w:cs="Calibri"/>
                <w:color w:val="000000"/>
              </w:rPr>
              <w:t xml:space="preserve">OS: 11.9 </w:t>
            </w:r>
            <w:r w:rsidRPr="00E549DC">
              <w:rPr>
                <w:rFonts w:ascii="Book Antiqua" w:eastAsia="等线" w:hAnsi="Book Antiqua" w:cs="Calibri"/>
                <w:i/>
                <w:iCs/>
                <w:color w:val="000000"/>
              </w:rPr>
              <w:t>vs</w:t>
            </w:r>
            <w:r w:rsidRPr="00E549DC">
              <w:rPr>
                <w:rFonts w:ascii="Book Antiqua" w:eastAsia="等线" w:hAnsi="Book Antiqua" w:cs="Calibri"/>
                <w:color w:val="000000"/>
              </w:rPr>
              <w:t xml:space="preserve"> 11.4</w:t>
            </w:r>
          </w:p>
        </w:tc>
      </w:tr>
      <w:tr w:rsidR="00EE6FFD" w:rsidRPr="00E549DC" w14:paraId="777C7F31" w14:textId="77777777" w:rsidTr="00721903">
        <w:trPr>
          <w:trHeight w:val="270"/>
        </w:trPr>
        <w:tc>
          <w:tcPr>
            <w:tcW w:w="0" w:type="auto"/>
            <w:noWrap/>
            <w:hideMark/>
          </w:tcPr>
          <w:p w14:paraId="5D8A7ED8" w14:textId="5CE447B5"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 xml:space="preserve">Thomas </w:t>
            </w:r>
            <w:r w:rsidRPr="00E549DC">
              <w:rPr>
                <w:rFonts w:ascii="Book Antiqua" w:eastAsia="等线" w:hAnsi="Book Antiqua" w:cs="Calibri"/>
                <w:i/>
                <w:iCs/>
                <w:color w:val="000000"/>
              </w:rPr>
              <w:t>et al</w:t>
            </w:r>
            <w:r w:rsidRPr="00E549DC">
              <w:rPr>
                <w:rFonts w:ascii="Book Antiqua" w:eastAsia="等线" w:hAnsi="Book Antiqua" w:cs="Calibri"/>
                <w:noProof/>
                <w:color w:val="000000"/>
                <w:vertAlign w:val="superscript"/>
              </w:rPr>
              <w:t>[54]</w:t>
            </w:r>
          </w:p>
        </w:tc>
        <w:tc>
          <w:tcPr>
            <w:tcW w:w="0" w:type="auto"/>
          </w:tcPr>
          <w:p w14:paraId="20953E0E" w14:textId="34C705FE"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2018</w:t>
            </w:r>
          </w:p>
        </w:tc>
        <w:tc>
          <w:tcPr>
            <w:tcW w:w="0" w:type="auto"/>
            <w:noWrap/>
            <w:hideMark/>
          </w:tcPr>
          <w:p w14:paraId="2530FEFC" w14:textId="21C1BDA6"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Bevacizumab + erlotinib</w:t>
            </w:r>
          </w:p>
        </w:tc>
        <w:tc>
          <w:tcPr>
            <w:tcW w:w="0" w:type="auto"/>
            <w:noWrap/>
            <w:hideMark/>
          </w:tcPr>
          <w:p w14:paraId="63B2CD35" w14:textId="77777777"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Sorafenib</w:t>
            </w:r>
          </w:p>
        </w:tc>
        <w:tc>
          <w:tcPr>
            <w:tcW w:w="0" w:type="auto"/>
            <w:noWrap/>
            <w:hideMark/>
          </w:tcPr>
          <w:p w14:paraId="5D7744EA" w14:textId="77777777"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OS</w:t>
            </w:r>
          </w:p>
        </w:tc>
        <w:tc>
          <w:tcPr>
            <w:tcW w:w="0" w:type="auto"/>
            <w:noWrap/>
          </w:tcPr>
          <w:p w14:paraId="48AD4884" w14:textId="0411D3D9"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PFS: No</w:t>
            </w:r>
            <w:r w:rsidR="008B736D" w:rsidRPr="00E549DC">
              <w:rPr>
                <w:rFonts w:ascii="Book Antiqua" w:eastAsia="等线" w:hAnsi="Book Antiqua" w:cs="Calibri"/>
                <w:color w:val="000000"/>
              </w:rPr>
              <w:t>;</w:t>
            </w:r>
            <w:r w:rsidR="008B736D" w:rsidRPr="00E549DC">
              <w:rPr>
                <w:rFonts w:ascii="Book Antiqua" w:eastAsia="等线" w:hAnsi="Book Antiqua" w:cs="Calibri"/>
                <w:color w:val="000000"/>
                <w:lang w:eastAsia="zh-CN"/>
              </w:rPr>
              <w:t xml:space="preserve"> </w:t>
            </w:r>
            <w:r w:rsidRPr="00E549DC">
              <w:rPr>
                <w:rFonts w:ascii="Book Antiqua" w:eastAsia="等线" w:hAnsi="Book Antiqua" w:cs="Calibri"/>
                <w:color w:val="000000"/>
              </w:rPr>
              <w:t>OS: Final</w:t>
            </w:r>
          </w:p>
        </w:tc>
        <w:tc>
          <w:tcPr>
            <w:tcW w:w="0" w:type="auto"/>
            <w:noWrap/>
          </w:tcPr>
          <w:p w14:paraId="0301CF5B" w14:textId="791A25AD"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 xml:space="preserve">PFS: 4.4 </w:t>
            </w:r>
            <w:r w:rsidRPr="00E549DC">
              <w:rPr>
                <w:rFonts w:ascii="Book Antiqua" w:eastAsia="等线" w:hAnsi="Book Antiqua" w:cs="Calibri"/>
                <w:i/>
                <w:iCs/>
                <w:color w:val="000000"/>
              </w:rPr>
              <w:t>vs</w:t>
            </w:r>
            <w:r w:rsidRPr="00E549DC">
              <w:rPr>
                <w:rFonts w:ascii="Book Antiqua" w:eastAsia="等线" w:hAnsi="Book Antiqua" w:cs="Calibri"/>
                <w:color w:val="000000"/>
              </w:rPr>
              <w:t xml:space="preserve"> 2.8</w:t>
            </w:r>
            <w:r w:rsidR="008B736D" w:rsidRPr="00E549DC">
              <w:rPr>
                <w:rFonts w:ascii="Book Antiqua" w:eastAsia="等线" w:hAnsi="Book Antiqua" w:cs="Calibri"/>
                <w:color w:val="000000"/>
              </w:rPr>
              <w:t>;</w:t>
            </w:r>
            <w:r w:rsidR="008B736D" w:rsidRPr="00E549DC">
              <w:rPr>
                <w:rFonts w:ascii="Book Antiqua" w:eastAsia="等线" w:hAnsi="Book Antiqua" w:cs="Calibri"/>
                <w:color w:val="000000"/>
                <w:lang w:eastAsia="zh-CN"/>
              </w:rPr>
              <w:t xml:space="preserve"> </w:t>
            </w:r>
            <w:r w:rsidRPr="00E549DC">
              <w:rPr>
                <w:rFonts w:ascii="Book Antiqua" w:eastAsia="等线" w:hAnsi="Book Antiqua" w:cs="Calibri"/>
                <w:color w:val="000000"/>
              </w:rPr>
              <w:t xml:space="preserve">OS: 8.6 </w:t>
            </w:r>
            <w:r w:rsidRPr="00E549DC">
              <w:rPr>
                <w:rFonts w:ascii="Book Antiqua" w:eastAsia="等线" w:hAnsi="Book Antiqua" w:cs="Calibri"/>
                <w:i/>
                <w:iCs/>
                <w:color w:val="000000"/>
              </w:rPr>
              <w:t>vs</w:t>
            </w:r>
            <w:r w:rsidRPr="00E549DC">
              <w:rPr>
                <w:rFonts w:ascii="Book Antiqua" w:eastAsia="等线" w:hAnsi="Book Antiqua" w:cs="Calibri"/>
                <w:color w:val="000000"/>
              </w:rPr>
              <w:t xml:space="preserve"> 8.6</w:t>
            </w:r>
          </w:p>
        </w:tc>
      </w:tr>
      <w:tr w:rsidR="00EE6FFD" w:rsidRPr="00E549DC" w14:paraId="4CB581B5" w14:textId="77777777" w:rsidTr="00721903">
        <w:trPr>
          <w:trHeight w:val="270"/>
        </w:trPr>
        <w:tc>
          <w:tcPr>
            <w:tcW w:w="0" w:type="auto"/>
            <w:noWrap/>
            <w:hideMark/>
          </w:tcPr>
          <w:p w14:paraId="7E28704A" w14:textId="4C25F363"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 xml:space="preserve">Abou-Alfa </w:t>
            </w:r>
            <w:r w:rsidRPr="00E549DC">
              <w:rPr>
                <w:rFonts w:ascii="Book Antiqua" w:eastAsia="等线" w:hAnsi="Book Antiqua" w:cs="Calibri"/>
                <w:i/>
                <w:iCs/>
                <w:color w:val="000000"/>
              </w:rPr>
              <w:t>et al</w:t>
            </w:r>
            <w:r w:rsidRPr="00E549DC">
              <w:rPr>
                <w:rFonts w:ascii="Book Antiqua" w:eastAsia="等线" w:hAnsi="Book Antiqua" w:cs="Calibri"/>
                <w:noProof/>
                <w:color w:val="000000"/>
                <w:vertAlign w:val="superscript"/>
              </w:rPr>
              <w:t>[55]</w:t>
            </w:r>
          </w:p>
        </w:tc>
        <w:tc>
          <w:tcPr>
            <w:tcW w:w="0" w:type="auto"/>
          </w:tcPr>
          <w:p w14:paraId="2CC5F60C" w14:textId="1E772EE3"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2019</w:t>
            </w:r>
          </w:p>
        </w:tc>
        <w:tc>
          <w:tcPr>
            <w:tcW w:w="0" w:type="auto"/>
            <w:noWrap/>
            <w:hideMark/>
          </w:tcPr>
          <w:p w14:paraId="7068B09B" w14:textId="187A7422"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Sorafenib + doxorubicin</w:t>
            </w:r>
          </w:p>
        </w:tc>
        <w:tc>
          <w:tcPr>
            <w:tcW w:w="0" w:type="auto"/>
            <w:noWrap/>
            <w:hideMark/>
          </w:tcPr>
          <w:p w14:paraId="7B4C0F89" w14:textId="77777777"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Sorafenib</w:t>
            </w:r>
          </w:p>
        </w:tc>
        <w:tc>
          <w:tcPr>
            <w:tcW w:w="0" w:type="auto"/>
            <w:noWrap/>
            <w:hideMark/>
          </w:tcPr>
          <w:p w14:paraId="2FFCE3E5" w14:textId="77777777"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OS</w:t>
            </w:r>
          </w:p>
        </w:tc>
        <w:tc>
          <w:tcPr>
            <w:tcW w:w="0" w:type="auto"/>
            <w:noWrap/>
          </w:tcPr>
          <w:p w14:paraId="38D1E8ED" w14:textId="2DFE8862"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PFS: Final</w:t>
            </w:r>
            <w:r w:rsidR="008B736D" w:rsidRPr="00E549DC">
              <w:rPr>
                <w:rFonts w:ascii="Book Antiqua" w:eastAsia="等线" w:hAnsi="Book Antiqua" w:cs="Calibri"/>
                <w:color w:val="000000"/>
              </w:rPr>
              <w:t>;</w:t>
            </w:r>
            <w:r w:rsidR="008B736D" w:rsidRPr="00E549DC">
              <w:rPr>
                <w:rFonts w:ascii="Book Antiqua" w:eastAsia="等线" w:hAnsi="Book Antiqua" w:cs="Calibri"/>
                <w:color w:val="000000"/>
                <w:lang w:eastAsia="zh-CN"/>
              </w:rPr>
              <w:t xml:space="preserve"> </w:t>
            </w:r>
            <w:r w:rsidRPr="00E549DC">
              <w:rPr>
                <w:rFonts w:ascii="Book Antiqua" w:eastAsia="等线" w:hAnsi="Book Antiqua" w:cs="Calibri"/>
                <w:color w:val="000000"/>
              </w:rPr>
              <w:t>OS: Final</w:t>
            </w:r>
          </w:p>
        </w:tc>
        <w:tc>
          <w:tcPr>
            <w:tcW w:w="0" w:type="auto"/>
            <w:noWrap/>
          </w:tcPr>
          <w:p w14:paraId="54409589" w14:textId="3EBA1924"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 xml:space="preserve">PFS: 4.0 </w:t>
            </w:r>
            <w:r w:rsidRPr="00E549DC">
              <w:rPr>
                <w:rFonts w:ascii="Book Antiqua" w:eastAsia="等线" w:hAnsi="Book Antiqua" w:cs="Calibri"/>
                <w:i/>
                <w:iCs/>
                <w:color w:val="000000"/>
              </w:rPr>
              <w:t>vs</w:t>
            </w:r>
            <w:r w:rsidRPr="00E549DC">
              <w:rPr>
                <w:rFonts w:ascii="Book Antiqua" w:eastAsia="等线" w:hAnsi="Book Antiqua" w:cs="Calibri"/>
                <w:color w:val="000000"/>
              </w:rPr>
              <w:t xml:space="preserve"> 3.7</w:t>
            </w:r>
            <w:r w:rsidR="008B736D" w:rsidRPr="00E549DC">
              <w:rPr>
                <w:rFonts w:ascii="Book Antiqua" w:eastAsia="等线" w:hAnsi="Book Antiqua" w:cs="Calibri"/>
                <w:color w:val="000000"/>
              </w:rPr>
              <w:t>;</w:t>
            </w:r>
            <w:r w:rsidR="008B736D" w:rsidRPr="00E549DC">
              <w:rPr>
                <w:rFonts w:ascii="Book Antiqua" w:eastAsia="等线" w:hAnsi="Book Antiqua" w:cs="Calibri"/>
                <w:color w:val="000000"/>
                <w:lang w:eastAsia="zh-CN"/>
              </w:rPr>
              <w:t xml:space="preserve"> </w:t>
            </w:r>
            <w:r w:rsidRPr="00E549DC">
              <w:rPr>
                <w:rFonts w:ascii="Book Antiqua" w:eastAsia="等线" w:hAnsi="Book Antiqua" w:cs="Calibri"/>
                <w:color w:val="000000"/>
              </w:rPr>
              <w:t>OS: 9.3 vs. 9.4</w:t>
            </w:r>
          </w:p>
        </w:tc>
      </w:tr>
      <w:tr w:rsidR="00EE6FFD" w:rsidRPr="00E549DC" w14:paraId="0E52FC84" w14:textId="77777777" w:rsidTr="00721903">
        <w:trPr>
          <w:trHeight w:val="270"/>
        </w:trPr>
        <w:tc>
          <w:tcPr>
            <w:tcW w:w="0" w:type="auto"/>
            <w:noWrap/>
            <w:hideMark/>
          </w:tcPr>
          <w:p w14:paraId="6A3DEDE5" w14:textId="5A7CED60"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 xml:space="preserve">Tak </w:t>
            </w:r>
            <w:r w:rsidRPr="00E549DC">
              <w:rPr>
                <w:rFonts w:ascii="Book Antiqua" w:eastAsia="等线" w:hAnsi="Book Antiqua" w:cs="Calibri"/>
                <w:i/>
                <w:iCs/>
                <w:color w:val="000000"/>
              </w:rPr>
              <w:t>et al</w:t>
            </w:r>
            <w:r w:rsidRPr="00E549DC">
              <w:rPr>
                <w:rFonts w:ascii="Book Antiqua" w:eastAsia="等线" w:hAnsi="Book Antiqua" w:cs="Calibri"/>
                <w:noProof/>
                <w:color w:val="000000"/>
                <w:vertAlign w:val="superscript"/>
              </w:rPr>
              <w:t>[27]</w:t>
            </w:r>
          </w:p>
        </w:tc>
        <w:tc>
          <w:tcPr>
            <w:tcW w:w="0" w:type="auto"/>
          </w:tcPr>
          <w:p w14:paraId="734DB340" w14:textId="5D097BC1"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2018</w:t>
            </w:r>
          </w:p>
        </w:tc>
        <w:tc>
          <w:tcPr>
            <w:tcW w:w="0" w:type="auto"/>
            <w:noWrap/>
            <w:hideMark/>
          </w:tcPr>
          <w:p w14:paraId="64DC4EAB" w14:textId="417CFEF4"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Sorafenib</w:t>
            </w:r>
          </w:p>
        </w:tc>
        <w:tc>
          <w:tcPr>
            <w:tcW w:w="0" w:type="auto"/>
            <w:noWrap/>
            <w:hideMark/>
          </w:tcPr>
          <w:p w14:paraId="72C2E636" w14:textId="77777777"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Sorafenib + resminostat</w:t>
            </w:r>
          </w:p>
        </w:tc>
        <w:tc>
          <w:tcPr>
            <w:tcW w:w="0" w:type="auto"/>
            <w:noWrap/>
            <w:hideMark/>
          </w:tcPr>
          <w:p w14:paraId="3A069BA1" w14:textId="77777777"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TTP</w:t>
            </w:r>
          </w:p>
        </w:tc>
        <w:tc>
          <w:tcPr>
            <w:tcW w:w="0" w:type="auto"/>
            <w:noWrap/>
          </w:tcPr>
          <w:p w14:paraId="09C16780" w14:textId="04E9E4F3"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TTP: Final</w:t>
            </w:r>
            <w:r w:rsidR="008B736D" w:rsidRPr="00E549DC">
              <w:rPr>
                <w:rFonts w:ascii="Book Antiqua" w:eastAsia="等线" w:hAnsi="Book Antiqua" w:cs="Calibri"/>
                <w:color w:val="000000"/>
              </w:rPr>
              <w:t>;</w:t>
            </w:r>
            <w:r w:rsidR="008B736D" w:rsidRPr="00E549DC">
              <w:rPr>
                <w:rFonts w:ascii="Book Antiqua" w:eastAsia="等线" w:hAnsi="Book Antiqua" w:cs="Calibri"/>
                <w:color w:val="000000"/>
                <w:lang w:eastAsia="zh-CN"/>
              </w:rPr>
              <w:t xml:space="preserve"> </w:t>
            </w:r>
            <w:r w:rsidRPr="00E549DC">
              <w:rPr>
                <w:rFonts w:ascii="Book Antiqua" w:eastAsia="等线" w:hAnsi="Book Antiqua" w:cs="Calibri"/>
                <w:color w:val="000000"/>
              </w:rPr>
              <w:t>OS: Final</w:t>
            </w:r>
          </w:p>
        </w:tc>
        <w:tc>
          <w:tcPr>
            <w:tcW w:w="0" w:type="auto"/>
            <w:noWrap/>
          </w:tcPr>
          <w:p w14:paraId="7D931329" w14:textId="704F7EC9"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 xml:space="preserve">TTP: 2.8 </w:t>
            </w:r>
            <w:r w:rsidRPr="00E549DC">
              <w:rPr>
                <w:rFonts w:ascii="Book Antiqua" w:eastAsia="等线" w:hAnsi="Book Antiqua" w:cs="Calibri"/>
                <w:i/>
                <w:iCs/>
                <w:color w:val="000000"/>
              </w:rPr>
              <w:t>vs</w:t>
            </w:r>
            <w:r w:rsidRPr="00E549DC">
              <w:rPr>
                <w:rFonts w:ascii="Book Antiqua" w:eastAsia="等线" w:hAnsi="Book Antiqua" w:cs="Calibri"/>
                <w:color w:val="000000"/>
              </w:rPr>
              <w:t xml:space="preserve"> 2.8</w:t>
            </w:r>
            <w:r w:rsidR="008B736D" w:rsidRPr="00E549DC">
              <w:rPr>
                <w:rFonts w:ascii="Book Antiqua" w:eastAsia="等线" w:hAnsi="Book Antiqua" w:cs="Calibri"/>
                <w:color w:val="000000"/>
              </w:rPr>
              <w:t>;</w:t>
            </w:r>
            <w:r w:rsidR="008B736D" w:rsidRPr="00E549DC">
              <w:rPr>
                <w:rFonts w:ascii="Book Antiqua" w:eastAsia="等线" w:hAnsi="Book Antiqua" w:cs="Calibri"/>
                <w:color w:val="000000"/>
                <w:lang w:eastAsia="zh-CN"/>
              </w:rPr>
              <w:t xml:space="preserve"> </w:t>
            </w:r>
            <w:r w:rsidRPr="00E549DC">
              <w:rPr>
                <w:rFonts w:ascii="Book Antiqua" w:eastAsia="等线" w:hAnsi="Book Antiqua" w:cs="Calibri"/>
                <w:color w:val="000000"/>
              </w:rPr>
              <w:t xml:space="preserve">OS: 14.1 </w:t>
            </w:r>
            <w:r w:rsidRPr="00E549DC">
              <w:rPr>
                <w:rFonts w:ascii="Book Antiqua" w:eastAsia="等线" w:hAnsi="Book Antiqua" w:cs="Calibri"/>
                <w:i/>
                <w:iCs/>
                <w:color w:val="000000"/>
              </w:rPr>
              <w:t>vs</w:t>
            </w:r>
            <w:r w:rsidRPr="00E549DC">
              <w:rPr>
                <w:rFonts w:ascii="Book Antiqua" w:eastAsia="等线" w:hAnsi="Book Antiqua" w:cs="Calibri"/>
                <w:color w:val="000000"/>
              </w:rPr>
              <w:t xml:space="preserve"> 11.8</w:t>
            </w:r>
          </w:p>
        </w:tc>
      </w:tr>
      <w:tr w:rsidR="00EE6FFD" w:rsidRPr="00E549DC" w14:paraId="1A73D7CC" w14:textId="77777777" w:rsidTr="00721903">
        <w:trPr>
          <w:trHeight w:val="270"/>
        </w:trPr>
        <w:tc>
          <w:tcPr>
            <w:tcW w:w="0" w:type="auto"/>
            <w:noWrap/>
            <w:hideMark/>
          </w:tcPr>
          <w:p w14:paraId="20AE07BB" w14:textId="7D7B63F5"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 xml:space="preserve">Jouve </w:t>
            </w:r>
            <w:r w:rsidRPr="00E549DC">
              <w:rPr>
                <w:rFonts w:ascii="Book Antiqua" w:eastAsia="等线" w:hAnsi="Book Antiqua" w:cs="Calibri"/>
                <w:i/>
                <w:iCs/>
                <w:color w:val="000000"/>
              </w:rPr>
              <w:t>et al</w:t>
            </w:r>
            <w:r w:rsidRPr="00E549DC">
              <w:rPr>
                <w:rFonts w:ascii="Book Antiqua" w:eastAsia="等线" w:hAnsi="Book Antiqua" w:cs="Calibri"/>
                <w:noProof/>
                <w:color w:val="000000"/>
                <w:vertAlign w:val="superscript"/>
              </w:rPr>
              <w:t>[56]</w:t>
            </w:r>
          </w:p>
        </w:tc>
        <w:tc>
          <w:tcPr>
            <w:tcW w:w="0" w:type="auto"/>
          </w:tcPr>
          <w:p w14:paraId="3C113A7A" w14:textId="671F24DE"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2019</w:t>
            </w:r>
          </w:p>
        </w:tc>
        <w:tc>
          <w:tcPr>
            <w:tcW w:w="0" w:type="auto"/>
            <w:noWrap/>
            <w:hideMark/>
          </w:tcPr>
          <w:p w14:paraId="4F6B581D" w14:textId="06E28B93"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Sorafenib + pravastatin</w:t>
            </w:r>
          </w:p>
        </w:tc>
        <w:tc>
          <w:tcPr>
            <w:tcW w:w="0" w:type="auto"/>
            <w:noWrap/>
            <w:hideMark/>
          </w:tcPr>
          <w:p w14:paraId="64203FCD" w14:textId="77777777"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Sorafenib</w:t>
            </w:r>
          </w:p>
        </w:tc>
        <w:tc>
          <w:tcPr>
            <w:tcW w:w="0" w:type="auto"/>
            <w:noWrap/>
            <w:hideMark/>
          </w:tcPr>
          <w:p w14:paraId="443C918F" w14:textId="77777777"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OS</w:t>
            </w:r>
          </w:p>
        </w:tc>
        <w:tc>
          <w:tcPr>
            <w:tcW w:w="0" w:type="auto"/>
            <w:noWrap/>
          </w:tcPr>
          <w:p w14:paraId="084AA978" w14:textId="6A757439"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PFS: Final</w:t>
            </w:r>
            <w:r w:rsidR="008B736D" w:rsidRPr="00E549DC">
              <w:rPr>
                <w:rFonts w:ascii="Book Antiqua" w:eastAsia="等线" w:hAnsi="Book Antiqua" w:cs="Calibri"/>
                <w:color w:val="000000"/>
              </w:rPr>
              <w:t>;</w:t>
            </w:r>
            <w:r w:rsidR="008B736D" w:rsidRPr="00E549DC">
              <w:rPr>
                <w:rFonts w:ascii="Book Antiqua" w:eastAsia="等线" w:hAnsi="Book Antiqua" w:cs="Calibri"/>
                <w:color w:val="000000"/>
                <w:lang w:eastAsia="zh-CN"/>
              </w:rPr>
              <w:t xml:space="preserve"> </w:t>
            </w:r>
            <w:r w:rsidRPr="00E549DC">
              <w:rPr>
                <w:rFonts w:ascii="Book Antiqua" w:eastAsia="等线" w:hAnsi="Book Antiqua" w:cs="Calibri"/>
                <w:color w:val="000000"/>
              </w:rPr>
              <w:t>OS: Final</w:t>
            </w:r>
          </w:p>
        </w:tc>
        <w:tc>
          <w:tcPr>
            <w:tcW w:w="0" w:type="auto"/>
            <w:noWrap/>
          </w:tcPr>
          <w:p w14:paraId="3DC06F1F" w14:textId="3C62C026"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 xml:space="preserve">PFS: 5.0 </w:t>
            </w:r>
            <w:r w:rsidRPr="00E549DC">
              <w:rPr>
                <w:rFonts w:ascii="Book Antiqua" w:eastAsia="等线" w:hAnsi="Book Antiqua" w:cs="Calibri"/>
                <w:i/>
                <w:iCs/>
                <w:color w:val="000000"/>
              </w:rPr>
              <w:t>vs</w:t>
            </w:r>
            <w:r w:rsidRPr="00E549DC">
              <w:rPr>
                <w:rFonts w:ascii="Book Antiqua" w:eastAsia="等线" w:hAnsi="Book Antiqua" w:cs="Calibri"/>
                <w:color w:val="000000"/>
              </w:rPr>
              <w:t xml:space="preserve"> 5.4</w:t>
            </w:r>
            <w:r w:rsidR="008B736D" w:rsidRPr="00E549DC">
              <w:rPr>
                <w:rFonts w:ascii="Book Antiqua" w:eastAsia="等线" w:hAnsi="Book Antiqua" w:cs="Calibri"/>
                <w:color w:val="000000"/>
              </w:rPr>
              <w:t>;</w:t>
            </w:r>
            <w:r w:rsidR="008B736D" w:rsidRPr="00E549DC">
              <w:rPr>
                <w:rFonts w:ascii="Book Antiqua" w:eastAsia="等线" w:hAnsi="Book Antiqua" w:cs="Calibri"/>
                <w:color w:val="000000"/>
                <w:lang w:eastAsia="zh-CN"/>
              </w:rPr>
              <w:t xml:space="preserve"> </w:t>
            </w:r>
            <w:r w:rsidRPr="00E549DC">
              <w:rPr>
                <w:rFonts w:ascii="Book Antiqua" w:eastAsia="等线" w:hAnsi="Book Antiqua" w:cs="Calibri"/>
                <w:color w:val="000000"/>
              </w:rPr>
              <w:t xml:space="preserve">OS: 10.7 </w:t>
            </w:r>
            <w:r w:rsidRPr="00E549DC">
              <w:rPr>
                <w:rFonts w:ascii="Book Antiqua" w:eastAsia="等线" w:hAnsi="Book Antiqua" w:cs="Calibri"/>
                <w:i/>
                <w:iCs/>
                <w:color w:val="000000"/>
              </w:rPr>
              <w:t>vs</w:t>
            </w:r>
            <w:r w:rsidRPr="00E549DC">
              <w:rPr>
                <w:rFonts w:ascii="Book Antiqua" w:eastAsia="等线" w:hAnsi="Book Antiqua" w:cs="Calibri"/>
                <w:color w:val="000000"/>
              </w:rPr>
              <w:t xml:space="preserve"> 10.5</w:t>
            </w:r>
          </w:p>
        </w:tc>
      </w:tr>
      <w:tr w:rsidR="00EE6FFD" w:rsidRPr="00E549DC" w14:paraId="674A0F80" w14:textId="77777777" w:rsidTr="00721903">
        <w:trPr>
          <w:trHeight w:val="270"/>
        </w:trPr>
        <w:tc>
          <w:tcPr>
            <w:tcW w:w="0" w:type="auto"/>
            <w:noWrap/>
            <w:hideMark/>
          </w:tcPr>
          <w:p w14:paraId="692A7749" w14:textId="2196979F"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 xml:space="preserve">Lee </w:t>
            </w:r>
            <w:r w:rsidRPr="00E549DC">
              <w:rPr>
                <w:rFonts w:ascii="Book Antiqua" w:eastAsia="等线" w:hAnsi="Book Antiqua" w:cs="Calibri"/>
                <w:i/>
                <w:iCs/>
                <w:color w:val="000000"/>
              </w:rPr>
              <w:t>et al</w:t>
            </w:r>
            <w:r w:rsidRPr="00E549DC">
              <w:rPr>
                <w:rFonts w:ascii="Book Antiqua" w:eastAsia="等线" w:hAnsi="Book Antiqua" w:cs="Calibri"/>
                <w:noProof/>
                <w:color w:val="000000"/>
                <w:vertAlign w:val="superscript"/>
              </w:rPr>
              <w:t>[57]</w:t>
            </w:r>
          </w:p>
        </w:tc>
        <w:tc>
          <w:tcPr>
            <w:tcW w:w="0" w:type="auto"/>
          </w:tcPr>
          <w:p w14:paraId="3D286AA9" w14:textId="01F1A7AD"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2016</w:t>
            </w:r>
          </w:p>
        </w:tc>
        <w:tc>
          <w:tcPr>
            <w:tcW w:w="0" w:type="auto"/>
            <w:noWrap/>
            <w:hideMark/>
          </w:tcPr>
          <w:p w14:paraId="1D2F24FB" w14:textId="7BFD3D5F"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AEG35156 + sorafenib</w:t>
            </w:r>
          </w:p>
        </w:tc>
        <w:tc>
          <w:tcPr>
            <w:tcW w:w="0" w:type="auto"/>
            <w:noWrap/>
            <w:hideMark/>
          </w:tcPr>
          <w:p w14:paraId="34AA7585" w14:textId="77777777"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Sorafenib</w:t>
            </w:r>
          </w:p>
        </w:tc>
        <w:tc>
          <w:tcPr>
            <w:tcW w:w="0" w:type="auto"/>
            <w:noWrap/>
            <w:hideMark/>
          </w:tcPr>
          <w:p w14:paraId="0A6B3BF9" w14:textId="77777777"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PFS</w:t>
            </w:r>
          </w:p>
        </w:tc>
        <w:tc>
          <w:tcPr>
            <w:tcW w:w="0" w:type="auto"/>
            <w:noWrap/>
          </w:tcPr>
          <w:p w14:paraId="4582B886" w14:textId="7C60DD90"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PFS: Final</w:t>
            </w:r>
            <w:r w:rsidR="008B736D" w:rsidRPr="00E549DC">
              <w:rPr>
                <w:rFonts w:ascii="Book Antiqua" w:eastAsia="等线" w:hAnsi="Book Antiqua" w:cs="Calibri"/>
                <w:color w:val="000000"/>
              </w:rPr>
              <w:t>;</w:t>
            </w:r>
            <w:r w:rsidR="008B736D" w:rsidRPr="00E549DC">
              <w:rPr>
                <w:rFonts w:ascii="Book Antiqua" w:eastAsia="等线" w:hAnsi="Book Antiqua" w:cs="Calibri"/>
                <w:color w:val="000000"/>
                <w:lang w:eastAsia="zh-CN"/>
              </w:rPr>
              <w:t xml:space="preserve"> </w:t>
            </w:r>
            <w:r w:rsidRPr="00E549DC">
              <w:rPr>
                <w:rFonts w:ascii="Book Antiqua" w:eastAsia="等线" w:hAnsi="Book Antiqua" w:cs="Calibri"/>
                <w:color w:val="000000"/>
              </w:rPr>
              <w:t>OS: Final</w:t>
            </w:r>
          </w:p>
        </w:tc>
        <w:tc>
          <w:tcPr>
            <w:tcW w:w="0" w:type="auto"/>
            <w:noWrap/>
          </w:tcPr>
          <w:p w14:paraId="36C60F69" w14:textId="4467D81F"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 xml:space="preserve">PFS: 4.0 </w:t>
            </w:r>
            <w:r w:rsidRPr="00E549DC">
              <w:rPr>
                <w:rFonts w:ascii="Book Antiqua" w:eastAsia="等线" w:hAnsi="Book Antiqua" w:cs="Calibri"/>
                <w:i/>
                <w:iCs/>
                <w:color w:val="000000"/>
              </w:rPr>
              <w:t>vs</w:t>
            </w:r>
            <w:r w:rsidRPr="00E549DC">
              <w:rPr>
                <w:rFonts w:ascii="Book Antiqua" w:eastAsia="等线" w:hAnsi="Book Antiqua" w:cs="Calibri"/>
                <w:color w:val="000000"/>
              </w:rPr>
              <w:t xml:space="preserve"> 2.6</w:t>
            </w:r>
            <w:r w:rsidR="008B736D" w:rsidRPr="00E549DC">
              <w:rPr>
                <w:rFonts w:ascii="Book Antiqua" w:eastAsia="等线" w:hAnsi="Book Antiqua" w:cs="Calibri"/>
                <w:color w:val="000000"/>
              </w:rPr>
              <w:t>;</w:t>
            </w:r>
            <w:r w:rsidR="008B736D" w:rsidRPr="00E549DC">
              <w:rPr>
                <w:rFonts w:ascii="Book Antiqua" w:eastAsia="等线" w:hAnsi="Book Antiqua" w:cs="Calibri"/>
                <w:color w:val="000000"/>
                <w:lang w:eastAsia="zh-CN"/>
              </w:rPr>
              <w:t xml:space="preserve"> </w:t>
            </w:r>
            <w:r w:rsidRPr="00E549DC">
              <w:rPr>
                <w:rFonts w:ascii="Book Antiqua" w:eastAsia="等线" w:hAnsi="Book Antiqua" w:cs="Calibri"/>
                <w:color w:val="000000"/>
              </w:rPr>
              <w:t xml:space="preserve">OS: 6.5 </w:t>
            </w:r>
            <w:r w:rsidRPr="00E549DC">
              <w:rPr>
                <w:rFonts w:ascii="Book Antiqua" w:eastAsia="等线" w:hAnsi="Book Antiqua" w:cs="Calibri"/>
                <w:i/>
                <w:iCs/>
                <w:color w:val="000000"/>
              </w:rPr>
              <w:t>vs</w:t>
            </w:r>
            <w:r w:rsidRPr="00E549DC">
              <w:rPr>
                <w:rFonts w:ascii="Book Antiqua" w:eastAsia="等线" w:hAnsi="Book Antiqua" w:cs="Calibri"/>
                <w:color w:val="000000"/>
              </w:rPr>
              <w:t xml:space="preserve"> 5.4</w:t>
            </w:r>
          </w:p>
        </w:tc>
      </w:tr>
      <w:tr w:rsidR="00EE6FFD" w:rsidRPr="00E549DC" w14:paraId="7E20D514" w14:textId="77777777" w:rsidTr="00721903">
        <w:trPr>
          <w:trHeight w:val="270"/>
        </w:trPr>
        <w:tc>
          <w:tcPr>
            <w:tcW w:w="0" w:type="auto"/>
            <w:noWrap/>
            <w:hideMark/>
          </w:tcPr>
          <w:p w14:paraId="1F4191F8" w14:textId="762BC4FA"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 xml:space="preserve">Assenat </w:t>
            </w:r>
            <w:r w:rsidRPr="00E549DC">
              <w:rPr>
                <w:rFonts w:ascii="Book Antiqua" w:eastAsia="等线" w:hAnsi="Book Antiqua" w:cs="Calibri"/>
                <w:i/>
                <w:iCs/>
                <w:color w:val="000000"/>
              </w:rPr>
              <w:t>et al</w:t>
            </w:r>
            <w:r w:rsidRPr="00E549DC">
              <w:rPr>
                <w:rFonts w:ascii="Book Antiqua" w:eastAsia="等线" w:hAnsi="Book Antiqua" w:cs="Calibri"/>
                <w:noProof/>
                <w:color w:val="000000"/>
                <w:vertAlign w:val="superscript"/>
              </w:rPr>
              <w:t>[58]</w:t>
            </w:r>
          </w:p>
        </w:tc>
        <w:tc>
          <w:tcPr>
            <w:tcW w:w="0" w:type="auto"/>
          </w:tcPr>
          <w:p w14:paraId="1257B137" w14:textId="7C59F72F"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2019</w:t>
            </w:r>
          </w:p>
        </w:tc>
        <w:tc>
          <w:tcPr>
            <w:tcW w:w="0" w:type="auto"/>
            <w:noWrap/>
            <w:hideMark/>
          </w:tcPr>
          <w:p w14:paraId="3189A339" w14:textId="5290A6B1"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Sorafenib + GEMOX</w:t>
            </w:r>
          </w:p>
        </w:tc>
        <w:tc>
          <w:tcPr>
            <w:tcW w:w="0" w:type="auto"/>
            <w:noWrap/>
            <w:hideMark/>
          </w:tcPr>
          <w:p w14:paraId="08478A2B" w14:textId="77777777"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Sorafenib</w:t>
            </w:r>
          </w:p>
        </w:tc>
        <w:tc>
          <w:tcPr>
            <w:tcW w:w="0" w:type="auto"/>
            <w:noWrap/>
            <w:hideMark/>
          </w:tcPr>
          <w:p w14:paraId="3B8C3989" w14:textId="77777777"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PFS</w:t>
            </w:r>
          </w:p>
        </w:tc>
        <w:tc>
          <w:tcPr>
            <w:tcW w:w="0" w:type="auto"/>
            <w:noWrap/>
          </w:tcPr>
          <w:p w14:paraId="3853F64B" w14:textId="28CA6CA9"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PFS: Final</w:t>
            </w:r>
            <w:r w:rsidR="008B736D" w:rsidRPr="00E549DC">
              <w:rPr>
                <w:rFonts w:ascii="Book Antiqua" w:eastAsia="等线" w:hAnsi="Book Antiqua" w:cs="Calibri"/>
                <w:color w:val="000000"/>
              </w:rPr>
              <w:t>;</w:t>
            </w:r>
            <w:r w:rsidR="008B736D" w:rsidRPr="00E549DC">
              <w:rPr>
                <w:rFonts w:ascii="Book Antiqua" w:eastAsia="等线" w:hAnsi="Book Antiqua" w:cs="Calibri"/>
                <w:color w:val="000000"/>
                <w:lang w:eastAsia="zh-CN"/>
              </w:rPr>
              <w:t xml:space="preserve"> </w:t>
            </w:r>
            <w:r w:rsidRPr="00E549DC">
              <w:rPr>
                <w:rFonts w:ascii="Book Antiqua" w:eastAsia="等线" w:hAnsi="Book Antiqua" w:cs="Calibri"/>
                <w:color w:val="000000"/>
              </w:rPr>
              <w:t>OS: Final</w:t>
            </w:r>
          </w:p>
        </w:tc>
        <w:tc>
          <w:tcPr>
            <w:tcW w:w="0" w:type="auto"/>
            <w:noWrap/>
          </w:tcPr>
          <w:p w14:paraId="465D2352" w14:textId="0F216AD2"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 xml:space="preserve">PFS: 6.2 </w:t>
            </w:r>
            <w:r w:rsidRPr="00E549DC">
              <w:rPr>
                <w:rFonts w:ascii="Book Antiqua" w:eastAsia="等线" w:hAnsi="Book Antiqua" w:cs="Calibri"/>
                <w:i/>
                <w:iCs/>
                <w:color w:val="000000"/>
              </w:rPr>
              <w:t>vs</w:t>
            </w:r>
            <w:r w:rsidRPr="00E549DC">
              <w:rPr>
                <w:rFonts w:ascii="Book Antiqua" w:eastAsia="等线" w:hAnsi="Book Antiqua" w:cs="Calibri"/>
                <w:color w:val="000000"/>
              </w:rPr>
              <w:t xml:space="preserve"> 4.6</w:t>
            </w:r>
            <w:r w:rsidR="008B736D" w:rsidRPr="00E549DC">
              <w:rPr>
                <w:rFonts w:ascii="Book Antiqua" w:eastAsia="等线" w:hAnsi="Book Antiqua" w:cs="Calibri"/>
                <w:color w:val="000000"/>
              </w:rPr>
              <w:t>;</w:t>
            </w:r>
            <w:r w:rsidR="008B736D" w:rsidRPr="00E549DC">
              <w:rPr>
                <w:rFonts w:ascii="Book Antiqua" w:eastAsia="等线" w:hAnsi="Book Antiqua" w:cs="Calibri"/>
                <w:color w:val="000000"/>
                <w:lang w:eastAsia="zh-CN"/>
              </w:rPr>
              <w:t xml:space="preserve"> </w:t>
            </w:r>
            <w:r w:rsidRPr="00E549DC">
              <w:rPr>
                <w:rFonts w:ascii="Book Antiqua" w:eastAsia="等线" w:hAnsi="Book Antiqua" w:cs="Calibri"/>
                <w:color w:val="000000"/>
              </w:rPr>
              <w:t xml:space="preserve">OS:13.5 </w:t>
            </w:r>
            <w:r w:rsidRPr="00E549DC">
              <w:rPr>
                <w:rFonts w:ascii="Book Antiqua" w:eastAsia="等线" w:hAnsi="Book Antiqua" w:cs="Calibri"/>
                <w:i/>
                <w:iCs/>
                <w:color w:val="000000"/>
              </w:rPr>
              <w:t>vs</w:t>
            </w:r>
            <w:r w:rsidRPr="00E549DC">
              <w:rPr>
                <w:rFonts w:ascii="Book Antiqua" w:eastAsia="等线" w:hAnsi="Book Antiqua" w:cs="Calibri"/>
                <w:color w:val="000000"/>
              </w:rPr>
              <w:t xml:space="preserve"> 14.8</w:t>
            </w:r>
          </w:p>
        </w:tc>
      </w:tr>
      <w:tr w:rsidR="00EE6FFD" w:rsidRPr="00E549DC" w14:paraId="11FFB857" w14:textId="77777777" w:rsidTr="00721903">
        <w:trPr>
          <w:trHeight w:val="270"/>
        </w:trPr>
        <w:tc>
          <w:tcPr>
            <w:tcW w:w="0" w:type="auto"/>
            <w:noWrap/>
            <w:hideMark/>
          </w:tcPr>
          <w:p w14:paraId="4C9B6DBB" w14:textId="1B6F9138"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 xml:space="preserve">Azim </w:t>
            </w:r>
            <w:r w:rsidRPr="00E549DC">
              <w:rPr>
                <w:rFonts w:ascii="Book Antiqua" w:eastAsia="等线" w:hAnsi="Book Antiqua" w:cs="Calibri"/>
                <w:i/>
                <w:iCs/>
                <w:color w:val="000000"/>
              </w:rPr>
              <w:t>et al</w:t>
            </w:r>
            <w:r w:rsidRPr="00E549DC">
              <w:rPr>
                <w:rFonts w:ascii="Book Antiqua" w:eastAsia="等线" w:hAnsi="Book Antiqua" w:cs="Calibri"/>
                <w:noProof/>
                <w:color w:val="000000"/>
                <w:vertAlign w:val="superscript"/>
              </w:rPr>
              <w:t>[59]</w:t>
            </w:r>
          </w:p>
        </w:tc>
        <w:tc>
          <w:tcPr>
            <w:tcW w:w="0" w:type="auto"/>
          </w:tcPr>
          <w:p w14:paraId="425FD0A8" w14:textId="5C43FBEF"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2018</w:t>
            </w:r>
          </w:p>
        </w:tc>
        <w:tc>
          <w:tcPr>
            <w:tcW w:w="0" w:type="auto"/>
            <w:noWrap/>
            <w:hideMark/>
          </w:tcPr>
          <w:p w14:paraId="01CD7661" w14:textId="49364773"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Sorafenib + tegafur–uracil</w:t>
            </w:r>
          </w:p>
        </w:tc>
        <w:tc>
          <w:tcPr>
            <w:tcW w:w="0" w:type="auto"/>
            <w:noWrap/>
            <w:hideMark/>
          </w:tcPr>
          <w:p w14:paraId="424319BD" w14:textId="77777777"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Sorafenib</w:t>
            </w:r>
          </w:p>
        </w:tc>
        <w:tc>
          <w:tcPr>
            <w:tcW w:w="0" w:type="auto"/>
            <w:noWrap/>
            <w:hideMark/>
          </w:tcPr>
          <w:p w14:paraId="233F51D7" w14:textId="77777777"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TTP</w:t>
            </w:r>
          </w:p>
        </w:tc>
        <w:tc>
          <w:tcPr>
            <w:tcW w:w="0" w:type="auto"/>
            <w:noWrap/>
          </w:tcPr>
          <w:p w14:paraId="7FC31ED5" w14:textId="6AC137D1"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PFS: Final</w:t>
            </w:r>
            <w:r w:rsidR="008B736D" w:rsidRPr="00E549DC">
              <w:rPr>
                <w:rFonts w:ascii="Book Antiqua" w:eastAsia="等线" w:hAnsi="Book Antiqua" w:cs="Calibri"/>
                <w:color w:val="000000"/>
              </w:rPr>
              <w:t>;</w:t>
            </w:r>
            <w:r w:rsidR="008B736D" w:rsidRPr="00E549DC">
              <w:rPr>
                <w:rFonts w:ascii="Book Antiqua" w:eastAsia="等线" w:hAnsi="Book Antiqua" w:cs="Calibri"/>
                <w:color w:val="000000"/>
                <w:lang w:eastAsia="zh-CN"/>
              </w:rPr>
              <w:t xml:space="preserve"> </w:t>
            </w:r>
            <w:r w:rsidRPr="00E549DC">
              <w:rPr>
                <w:rFonts w:ascii="Book Antiqua" w:eastAsia="等线" w:hAnsi="Book Antiqua" w:cs="Calibri"/>
                <w:color w:val="000000"/>
              </w:rPr>
              <w:t>OS: Final</w:t>
            </w:r>
          </w:p>
        </w:tc>
        <w:tc>
          <w:tcPr>
            <w:tcW w:w="0" w:type="auto"/>
            <w:noWrap/>
          </w:tcPr>
          <w:p w14:paraId="63CEDCF6" w14:textId="2F3315A2"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 xml:space="preserve">PFS: 6.0 </w:t>
            </w:r>
            <w:r w:rsidRPr="00E549DC">
              <w:rPr>
                <w:rFonts w:ascii="Book Antiqua" w:eastAsia="等线" w:hAnsi="Book Antiqua" w:cs="Calibri"/>
                <w:i/>
                <w:iCs/>
                <w:color w:val="000000"/>
              </w:rPr>
              <w:t>vs</w:t>
            </w:r>
            <w:r w:rsidRPr="00E549DC">
              <w:rPr>
                <w:rFonts w:ascii="Book Antiqua" w:eastAsia="等线" w:hAnsi="Book Antiqua" w:cs="Calibri"/>
                <w:color w:val="000000"/>
              </w:rPr>
              <w:t xml:space="preserve"> 6.0</w:t>
            </w:r>
            <w:r w:rsidR="008B736D" w:rsidRPr="00E549DC">
              <w:rPr>
                <w:rFonts w:ascii="Book Antiqua" w:eastAsia="等线" w:hAnsi="Book Antiqua" w:cs="Calibri"/>
                <w:color w:val="000000"/>
              </w:rPr>
              <w:t>;</w:t>
            </w:r>
            <w:r w:rsidR="008B736D" w:rsidRPr="00E549DC">
              <w:rPr>
                <w:rFonts w:ascii="Book Antiqua" w:eastAsia="等线" w:hAnsi="Book Antiqua" w:cs="Calibri"/>
                <w:color w:val="000000"/>
                <w:lang w:eastAsia="zh-CN"/>
              </w:rPr>
              <w:t xml:space="preserve"> </w:t>
            </w:r>
            <w:r w:rsidRPr="00E549DC">
              <w:rPr>
                <w:rFonts w:ascii="Book Antiqua" w:eastAsia="等线" w:hAnsi="Book Antiqua" w:cs="Calibri"/>
                <w:color w:val="000000"/>
              </w:rPr>
              <w:t xml:space="preserve">OS: 8.2 </w:t>
            </w:r>
            <w:r w:rsidRPr="00E549DC">
              <w:rPr>
                <w:rFonts w:ascii="Book Antiqua" w:eastAsia="等线" w:hAnsi="Book Antiqua" w:cs="Calibri"/>
                <w:i/>
                <w:iCs/>
                <w:color w:val="000000"/>
              </w:rPr>
              <w:t>vs</w:t>
            </w:r>
            <w:r w:rsidRPr="00E549DC">
              <w:rPr>
                <w:rFonts w:ascii="Book Antiqua" w:eastAsia="等线" w:hAnsi="Book Antiqua" w:cs="Calibri"/>
                <w:color w:val="000000"/>
              </w:rPr>
              <w:t xml:space="preserve"> 10.5</w:t>
            </w:r>
          </w:p>
        </w:tc>
      </w:tr>
      <w:tr w:rsidR="00EE6FFD" w:rsidRPr="00E549DC" w14:paraId="1063E1D8" w14:textId="77777777" w:rsidTr="00721903">
        <w:trPr>
          <w:trHeight w:val="270"/>
        </w:trPr>
        <w:tc>
          <w:tcPr>
            <w:tcW w:w="0" w:type="auto"/>
            <w:noWrap/>
            <w:hideMark/>
          </w:tcPr>
          <w:p w14:paraId="1A4F9575" w14:textId="6313DFD0"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 xml:space="preserve">Koeberle </w:t>
            </w:r>
            <w:r w:rsidRPr="00E549DC">
              <w:rPr>
                <w:rFonts w:ascii="Book Antiqua" w:eastAsia="等线" w:hAnsi="Book Antiqua" w:cs="Calibri"/>
                <w:i/>
                <w:iCs/>
                <w:color w:val="000000"/>
              </w:rPr>
              <w:t>et al</w:t>
            </w:r>
            <w:r w:rsidRPr="00E549DC">
              <w:rPr>
                <w:rFonts w:ascii="Book Antiqua" w:eastAsia="等线" w:hAnsi="Book Antiqua" w:cs="Calibri"/>
                <w:noProof/>
                <w:color w:val="000000"/>
                <w:vertAlign w:val="superscript"/>
              </w:rPr>
              <w:t>[60]</w:t>
            </w:r>
          </w:p>
        </w:tc>
        <w:tc>
          <w:tcPr>
            <w:tcW w:w="0" w:type="auto"/>
          </w:tcPr>
          <w:p w14:paraId="273C7438" w14:textId="31ECDAF2"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2016</w:t>
            </w:r>
          </w:p>
        </w:tc>
        <w:tc>
          <w:tcPr>
            <w:tcW w:w="0" w:type="auto"/>
            <w:noWrap/>
            <w:hideMark/>
          </w:tcPr>
          <w:p w14:paraId="7A2577A7" w14:textId="70D49A9D"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Sorafenib</w:t>
            </w:r>
          </w:p>
        </w:tc>
        <w:tc>
          <w:tcPr>
            <w:tcW w:w="0" w:type="auto"/>
            <w:noWrap/>
            <w:hideMark/>
          </w:tcPr>
          <w:p w14:paraId="0A6C2CD2" w14:textId="77777777"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Sorafenib + everolimus</w:t>
            </w:r>
          </w:p>
        </w:tc>
        <w:tc>
          <w:tcPr>
            <w:tcW w:w="0" w:type="auto"/>
            <w:noWrap/>
            <w:hideMark/>
          </w:tcPr>
          <w:p w14:paraId="73001E2C" w14:textId="77777777"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PFS</w:t>
            </w:r>
          </w:p>
        </w:tc>
        <w:tc>
          <w:tcPr>
            <w:tcW w:w="0" w:type="auto"/>
            <w:noWrap/>
          </w:tcPr>
          <w:p w14:paraId="1A5687E9" w14:textId="0C026DA5"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PFS: Final</w:t>
            </w:r>
            <w:r w:rsidR="008B736D" w:rsidRPr="00E549DC">
              <w:rPr>
                <w:rFonts w:ascii="Book Antiqua" w:eastAsia="等线" w:hAnsi="Book Antiqua" w:cs="Calibri"/>
                <w:color w:val="000000"/>
              </w:rPr>
              <w:t>;</w:t>
            </w:r>
            <w:r w:rsidR="008B736D" w:rsidRPr="00E549DC">
              <w:rPr>
                <w:rFonts w:ascii="Book Antiqua" w:eastAsia="等线" w:hAnsi="Book Antiqua" w:cs="Calibri"/>
                <w:color w:val="000000"/>
                <w:lang w:eastAsia="zh-CN"/>
              </w:rPr>
              <w:t xml:space="preserve"> </w:t>
            </w:r>
            <w:r w:rsidRPr="00E549DC">
              <w:rPr>
                <w:rFonts w:ascii="Book Antiqua" w:eastAsia="等线" w:hAnsi="Book Antiqua" w:cs="Calibri"/>
                <w:color w:val="000000"/>
              </w:rPr>
              <w:t>OS: Final</w:t>
            </w:r>
          </w:p>
        </w:tc>
        <w:tc>
          <w:tcPr>
            <w:tcW w:w="0" w:type="auto"/>
            <w:noWrap/>
          </w:tcPr>
          <w:p w14:paraId="5A15C643" w14:textId="0F8D5691"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 xml:space="preserve">PFS: 6.6 </w:t>
            </w:r>
            <w:r w:rsidRPr="00E549DC">
              <w:rPr>
                <w:rFonts w:ascii="Book Antiqua" w:eastAsia="等线" w:hAnsi="Book Antiqua" w:cs="Calibri"/>
                <w:i/>
                <w:iCs/>
                <w:color w:val="000000"/>
              </w:rPr>
              <w:t>vs</w:t>
            </w:r>
            <w:r w:rsidRPr="00E549DC">
              <w:rPr>
                <w:rFonts w:ascii="Book Antiqua" w:eastAsia="等线" w:hAnsi="Book Antiqua" w:cs="Calibri"/>
                <w:color w:val="000000"/>
              </w:rPr>
              <w:t xml:space="preserve"> 5.7</w:t>
            </w:r>
            <w:r w:rsidR="008B736D" w:rsidRPr="00E549DC">
              <w:rPr>
                <w:rFonts w:ascii="Book Antiqua" w:eastAsia="等线" w:hAnsi="Book Antiqua" w:cs="Calibri"/>
                <w:color w:val="000000"/>
              </w:rPr>
              <w:t>;</w:t>
            </w:r>
            <w:r w:rsidR="008B736D" w:rsidRPr="00E549DC">
              <w:rPr>
                <w:rFonts w:ascii="Book Antiqua" w:eastAsia="等线" w:hAnsi="Book Antiqua" w:cs="Calibri"/>
                <w:color w:val="000000"/>
                <w:lang w:eastAsia="zh-CN"/>
              </w:rPr>
              <w:t xml:space="preserve"> </w:t>
            </w:r>
            <w:r w:rsidRPr="00E549DC">
              <w:rPr>
                <w:rFonts w:ascii="Book Antiqua" w:eastAsia="等线" w:hAnsi="Book Antiqua" w:cs="Calibri"/>
                <w:color w:val="000000"/>
              </w:rPr>
              <w:t xml:space="preserve">OS: 10.0 </w:t>
            </w:r>
            <w:r w:rsidRPr="00E549DC">
              <w:rPr>
                <w:rFonts w:ascii="Book Antiqua" w:eastAsia="等线" w:hAnsi="Book Antiqua" w:cs="Calibri"/>
                <w:i/>
                <w:iCs/>
                <w:color w:val="000000"/>
              </w:rPr>
              <w:t>vs</w:t>
            </w:r>
            <w:r w:rsidRPr="00E549DC">
              <w:rPr>
                <w:rFonts w:ascii="Book Antiqua" w:eastAsia="等线" w:hAnsi="Book Antiqua" w:cs="Calibri"/>
                <w:color w:val="000000"/>
              </w:rPr>
              <w:t xml:space="preserve"> 12</w:t>
            </w:r>
          </w:p>
        </w:tc>
      </w:tr>
      <w:tr w:rsidR="00EE6FFD" w:rsidRPr="00E549DC" w14:paraId="7F200846" w14:textId="77777777" w:rsidTr="00721903">
        <w:trPr>
          <w:trHeight w:val="270"/>
        </w:trPr>
        <w:tc>
          <w:tcPr>
            <w:tcW w:w="0" w:type="auto"/>
            <w:noWrap/>
            <w:hideMark/>
          </w:tcPr>
          <w:p w14:paraId="62DBC55A" w14:textId="55612E20"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Bi</w:t>
            </w:r>
            <w:r w:rsidRPr="00E549DC">
              <w:rPr>
                <w:rFonts w:ascii="Book Antiqua" w:eastAsia="等线" w:hAnsi="Book Antiqua" w:cs="Calibri"/>
                <w:i/>
                <w:iCs/>
                <w:color w:val="000000"/>
              </w:rPr>
              <w:t xml:space="preserve"> et al</w:t>
            </w:r>
            <w:r w:rsidRPr="00E549DC">
              <w:rPr>
                <w:rFonts w:ascii="Book Antiqua" w:eastAsia="等线" w:hAnsi="Book Antiqua" w:cs="Calibri"/>
                <w:noProof/>
                <w:color w:val="000000"/>
                <w:vertAlign w:val="superscript"/>
              </w:rPr>
              <w:t>[17]</w:t>
            </w:r>
          </w:p>
        </w:tc>
        <w:tc>
          <w:tcPr>
            <w:tcW w:w="0" w:type="auto"/>
          </w:tcPr>
          <w:p w14:paraId="12E71019" w14:textId="1FBDC51B"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2020</w:t>
            </w:r>
          </w:p>
        </w:tc>
        <w:tc>
          <w:tcPr>
            <w:tcW w:w="0" w:type="auto"/>
            <w:noWrap/>
            <w:hideMark/>
          </w:tcPr>
          <w:p w14:paraId="242EFC24" w14:textId="5543537F"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Donafinib</w:t>
            </w:r>
          </w:p>
        </w:tc>
        <w:tc>
          <w:tcPr>
            <w:tcW w:w="0" w:type="auto"/>
            <w:noWrap/>
            <w:hideMark/>
          </w:tcPr>
          <w:p w14:paraId="398BC0E1" w14:textId="77777777"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Sorafenib</w:t>
            </w:r>
          </w:p>
        </w:tc>
        <w:tc>
          <w:tcPr>
            <w:tcW w:w="0" w:type="auto"/>
            <w:noWrap/>
            <w:hideMark/>
          </w:tcPr>
          <w:p w14:paraId="41733C5F" w14:textId="77777777"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OS</w:t>
            </w:r>
          </w:p>
        </w:tc>
        <w:tc>
          <w:tcPr>
            <w:tcW w:w="0" w:type="auto"/>
            <w:noWrap/>
          </w:tcPr>
          <w:p w14:paraId="362ECF05" w14:textId="141867F5"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PFS: Final</w:t>
            </w:r>
            <w:r w:rsidR="008B736D" w:rsidRPr="00E549DC">
              <w:rPr>
                <w:rFonts w:ascii="Book Antiqua" w:eastAsia="等线" w:hAnsi="Book Antiqua" w:cs="Calibri"/>
                <w:color w:val="000000"/>
              </w:rPr>
              <w:t>;</w:t>
            </w:r>
            <w:r w:rsidR="008B736D" w:rsidRPr="00E549DC">
              <w:rPr>
                <w:rFonts w:ascii="Book Antiqua" w:eastAsia="等线" w:hAnsi="Book Antiqua" w:cs="Calibri"/>
                <w:color w:val="000000"/>
                <w:lang w:eastAsia="zh-CN"/>
              </w:rPr>
              <w:t xml:space="preserve"> </w:t>
            </w:r>
            <w:r w:rsidRPr="00E549DC">
              <w:rPr>
                <w:rFonts w:ascii="Book Antiqua" w:eastAsia="等线" w:hAnsi="Book Antiqua" w:cs="Calibri"/>
                <w:color w:val="000000"/>
              </w:rPr>
              <w:t>OS: Final</w:t>
            </w:r>
          </w:p>
        </w:tc>
        <w:tc>
          <w:tcPr>
            <w:tcW w:w="0" w:type="auto"/>
            <w:noWrap/>
          </w:tcPr>
          <w:p w14:paraId="7E041ED7" w14:textId="7589E6C9"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 xml:space="preserve">PFS: 3.7 </w:t>
            </w:r>
            <w:r w:rsidRPr="00E549DC">
              <w:rPr>
                <w:rFonts w:ascii="Book Antiqua" w:eastAsia="等线" w:hAnsi="Book Antiqua" w:cs="Calibri"/>
                <w:i/>
                <w:iCs/>
                <w:color w:val="000000"/>
              </w:rPr>
              <w:t>vs</w:t>
            </w:r>
            <w:r w:rsidRPr="00E549DC">
              <w:rPr>
                <w:rFonts w:ascii="Book Antiqua" w:eastAsia="等线" w:hAnsi="Book Antiqua" w:cs="Calibri"/>
                <w:color w:val="000000"/>
              </w:rPr>
              <w:t xml:space="preserve"> 3.6</w:t>
            </w:r>
            <w:r w:rsidR="008B736D" w:rsidRPr="00E549DC">
              <w:rPr>
                <w:rFonts w:ascii="Book Antiqua" w:eastAsia="等线" w:hAnsi="Book Antiqua" w:cs="Calibri"/>
                <w:color w:val="000000"/>
              </w:rPr>
              <w:t>;</w:t>
            </w:r>
            <w:r w:rsidR="008B736D" w:rsidRPr="00E549DC">
              <w:rPr>
                <w:rFonts w:ascii="Book Antiqua" w:eastAsia="等线" w:hAnsi="Book Antiqua" w:cs="Calibri"/>
                <w:color w:val="000000"/>
                <w:lang w:eastAsia="zh-CN"/>
              </w:rPr>
              <w:t xml:space="preserve"> </w:t>
            </w:r>
            <w:r w:rsidRPr="00E549DC">
              <w:rPr>
                <w:rFonts w:ascii="Book Antiqua" w:eastAsia="等线" w:hAnsi="Book Antiqua" w:cs="Calibri"/>
                <w:color w:val="000000"/>
              </w:rPr>
              <w:t xml:space="preserve">OS: 21.1 </w:t>
            </w:r>
            <w:r w:rsidRPr="00E549DC">
              <w:rPr>
                <w:rFonts w:ascii="Book Antiqua" w:eastAsia="等线" w:hAnsi="Book Antiqua" w:cs="Calibri"/>
                <w:i/>
                <w:iCs/>
                <w:color w:val="000000"/>
              </w:rPr>
              <w:t>vs</w:t>
            </w:r>
            <w:r w:rsidRPr="00E549DC">
              <w:rPr>
                <w:rFonts w:ascii="Book Antiqua" w:eastAsia="等线" w:hAnsi="Book Antiqua" w:cs="Calibri"/>
                <w:color w:val="000000"/>
              </w:rPr>
              <w:t xml:space="preserve"> 10.3</w:t>
            </w:r>
          </w:p>
        </w:tc>
      </w:tr>
      <w:tr w:rsidR="00EE6FFD" w:rsidRPr="00E549DC" w14:paraId="2770C834" w14:textId="77777777" w:rsidTr="00721903">
        <w:trPr>
          <w:trHeight w:val="270"/>
        </w:trPr>
        <w:tc>
          <w:tcPr>
            <w:tcW w:w="0" w:type="auto"/>
            <w:noWrap/>
            <w:hideMark/>
          </w:tcPr>
          <w:p w14:paraId="0AEA7479" w14:textId="6E7426E6"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 xml:space="preserve">Qin </w:t>
            </w:r>
            <w:r w:rsidRPr="00E549DC">
              <w:rPr>
                <w:rFonts w:ascii="Book Antiqua" w:eastAsia="等线" w:hAnsi="Book Antiqua" w:cs="Calibri"/>
                <w:i/>
                <w:iCs/>
                <w:color w:val="000000"/>
              </w:rPr>
              <w:t>et al</w:t>
            </w:r>
            <w:r w:rsidRPr="00E549DC">
              <w:rPr>
                <w:rFonts w:ascii="Book Antiqua" w:eastAsia="等线" w:hAnsi="Book Antiqua" w:cs="Calibri"/>
                <w:noProof/>
                <w:color w:val="000000"/>
                <w:vertAlign w:val="superscript"/>
              </w:rPr>
              <w:t>[61]</w:t>
            </w:r>
          </w:p>
        </w:tc>
        <w:tc>
          <w:tcPr>
            <w:tcW w:w="0" w:type="auto"/>
          </w:tcPr>
          <w:p w14:paraId="3F8276C7" w14:textId="36E29588"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2013</w:t>
            </w:r>
          </w:p>
        </w:tc>
        <w:tc>
          <w:tcPr>
            <w:tcW w:w="0" w:type="auto"/>
            <w:noWrap/>
            <w:hideMark/>
          </w:tcPr>
          <w:p w14:paraId="5F82EFFD" w14:textId="45614435"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FOLFOX4</w:t>
            </w:r>
          </w:p>
        </w:tc>
        <w:tc>
          <w:tcPr>
            <w:tcW w:w="0" w:type="auto"/>
            <w:noWrap/>
            <w:hideMark/>
          </w:tcPr>
          <w:p w14:paraId="3D3DB94B" w14:textId="77777777"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Doxorubicin</w:t>
            </w:r>
          </w:p>
        </w:tc>
        <w:tc>
          <w:tcPr>
            <w:tcW w:w="0" w:type="auto"/>
            <w:noWrap/>
            <w:hideMark/>
          </w:tcPr>
          <w:p w14:paraId="03FA39CE" w14:textId="77777777"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OS</w:t>
            </w:r>
          </w:p>
        </w:tc>
        <w:tc>
          <w:tcPr>
            <w:tcW w:w="0" w:type="auto"/>
            <w:noWrap/>
          </w:tcPr>
          <w:p w14:paraId="56D39AD3" w14:textId="49795BB2"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PFS: Final</w:t>
            </w:r>
            <w:r w:rsidR="008B736D" w:rsidRPr="00E549DC">
              <w:rPr>
                <w:rFonts w:ascii="Book Antiqua" w:eastAsia="等线" w:hAnsi="Book Antiqua" w:cs="Calibri"/>
                <w:color w:val="000000"/>
              </w:rPr>
              <w:t>;</w:t>
            </w:r>
            <w:r w:rsidR="008B736D" w:rsidRPr="00E549DC">
              <w:rPr>
                <w:rFonts w:ascii="Book Antiqua" w:eastAsia="等线" w:hAnsi="Book Antiqua" w:cs="Calibri"/>
                <w:color w:val="000000"/>
                <w:lang w:eastAsia="zh-CN"/>
              </w:rPr>
              <w:t xml:space="preserve"> </w:t>
            </w:r>
            <w:r w:rsidRPr="00E549DC">
              <w:rPr>
                <w:rFonts w:ascii="Book Antiqua" w:eastAsia="等线" w:hAnsi="Book Antiqua" w:cs="Calibri"/>
                <w:color w:val="000000"/>
              </w:rPr>
              <w:t>OS: Final</w:t>
            </w:r>
          </w:p>
        </w:tc>
        <w:tc>
          <w:tcPr>
            <w:tcW w:w="0" w:type="auto"/>
            <w:noWrap/>
          </w:tcPr>
          <w:p w14:paraId="60BC009F" w14:textId="04A91E19"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 xml:space="preserve">PFS: 2.9 </w:t>
            </w:r>
            <w:r w:rsidRPr="00E549DC">
              <w:rPr>
                <w:rFonts w:ascii="Book Antiqua" w:eastAsia="等线" w:hAnsi="Book Antiqua" w:cs="Calibri"/>
                <w:i/>
                <w:iCs/>
                <w:color w:val="000000"/>
              </w:rPr>
              <w:t>vs</w:t>
            </w:r>
            <w:r w:rsidRPr="00E549DC">
              <w:rPr>
                <w:rFonts w:ascii="Book Antiqua" w:eastAsia="等线" w:hAnsi="Book Antiqua" w:cs="Calibri"/>
                <w:color w:val="000000"/>
              </w:rPr>
              <w:t xml:space="preserve"> 1.8</w:t>
            </w:r>
            <w:r w:rsidR="008B736D" w:rsidRPr="00E549DC">
              <w:rPr>
                <w:rFonts w:ascii="Book Antiqua" w:eastAsia="等线" w:hAnsi="Book Antiqua" w:cs="Calibri"/>
                <w:color w:val="000000"/>
              </w:rPr>
              <w:t>;</w:t>
            </w:r>
            <w:r w:rsidR="008B736D" w:rsidRPr="00E549DC">
              <w:rPr>
                <w:rFonts w:ascii="Book Antiqua" w:eastAsia="等线" w:hAnsi="Book Antiqua" w:cs="Calibri"/>
                <w:color w:val="000000"/>
                <w:lang w:eastAsia="zh-CN"/>
              </w:rPr>
              <w:t xml:space="preserve"> </w:t>
            </w:r>
            <w:r w:rsidRPr="00E549DC">
              <w:rPr>
                <w:rFonts w:ascii="Book Antiqua" w:eastAsia="等线" w:hAnsi="Book Antiqua" w:cs="Calibri"/>
                <w:color w:val="000000"/>
              </w:rPr>
              <w:t xml:space="preserve">OS: 6.4 </w:t>
            </w:r>
            <w:r w:rsidRPr="00E549DC">
              <w:rPr>
                <w:rFonts w:ascii="Book Antiqua" w:eastAsia="等线" w:hAnsi="Book Antiqua" w:cs="Calibri"/>
                <w:i/>
                <w:iCs/>
                <w:color w:val="000000"/>
              </w:rPr>
              <w:t>vs</w:t>
            </w:r>
            <w:r w:rsidRPr="00E549DC">
              <w:rPr>
                <w:rFonts w:ascii="Book Antiqua" w:eastAsia="等线" w:hAnsi="Book Antiqua" w:cs="Calibri"/>
                <w:color w:val="000000"/>
              </w:rPr>
              <w:t xml:space="preserve"> 5.0</w:t>
            </w:r>
          </w:p>
        </w:tc>
      </w:tr>
      <w:tr w:rsidR="00EE6FFD" w:rsidRPr="00E549DC" w14:paraId="1E5F63E0" w14:textId="77777777" w:rsidTr="00721903">
        <w:trPr>
          <w:trHeight w:val="270"/>
        </w:trPr>
        <w:tc>
          <w:tcPr>
            <w:tcW w:w="0" w:type="auto"/>
            <w:noWrap/>
            <w:hideMark/>
          </w:tcPr>
          <w:p w14:paraId="2CBD30B5" w14:textId="311601CC"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 xml:space="preserve">Yeo </w:t>
            </w:r>
            <w:r w:rsidRPr="00E549DC">
              <w:rPr>
                <w:rFonts w:ascii="Book Antiqua" w:eastAsia="等线" w:hAnsi="Book Antiqua" w:cs="Calibri"/>
                <w:i/>
                <w:iCs/>
                <w:color w:val="000000"/>
              </w:rPr>
              <w:t>et al</w:t>
            </w:r>
            <w:r w:rsidRPr="00E549DC">
              <w:rPr>
                <w:rFonts w:ascii="Book Antiqua" w:eastAsia="等线" w:hAnsi="Book Antiqua" w:cs="Calibri"/>
                <w:noProof/>
                <w:color w:val="000000"/>
                <w:vertAlign w:val="superscript"/>
              </w:rPr>
              <w:t>[62]</w:t>
            </w:r>
          </w:p>
        </w:tc>
        <w:tc>
          <w:tcPr>
            <w:tcW w:w="0" w:type="auto"/>
          </w:tcPr>
          <w:p w14:paraId="057F24DC" w14:textId="40D42D4B" w:rsidR="00EE6FFD" w:rsidRPr="00E549DC" w:rsidRDefault="00EE6FFD" w:rsidP="00C55EEF">
            <w:pPr>
              <w:widowControl w:val="0"/>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2005</w:t>
            </w:r>
          </w:p>
        </w:tc>
        <w:tc>
          <w:tcPr>
            <w:tcW w:w="0" w:type="auto"/>
            <w:noWrap/>
            <w:hideMark/>
          </w:tcPr>
          <w:p w14:paraId="710263F8" w14:textId="0B137BC0" w:rsidR="00EE6FFD" w:rsidRPr="00E549DC" w:rsidRDefault="00EE6FFD" w:rsidP="00C55EEF">
            <w:pPr>
              <w:widowControl w:val="0"/>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Doxorubicin</w:t>
            </w:r>
          </w:p>
        </w:tc>
        <w:tc>
          <w:tcPr>
            <w:tcW w:w="0" w:type="auto"/>
            <w:noWrap/>
            <w:hideMark/>
          </w:tcPr>
          <w:p w14:paraId="03C22798" w14:textId="77777777" w:rsidR="00EE6FFD" w:rsidRPr="00E549DC" w:rsidRDefault="00EE6FFD" w:rsidP="00C55EEF">
            <w:pPr>
              <w:widowControl w:val="0"/>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PIAF</w:t>
            </w:r>
          </w:p>
        </w:tc>
        <w:tc>
          <w:tcPr>
            <w:tcW w:w="0" w:type="auto"/>
            <w:noWrap/>
            <w:hideMark/>
          </w:tcPr>
          <w:p w14:paraId="4A75A77E" w14:textId="77777777" w:rsidR="00EE6FFD" w:rsidRPr="00E549DC" w:rsidRDefault="00EE6FFD" w:rsidP="00C55EEF">
            <w:pPr>
              <w:widowControl w:val="0"/>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OS</w:t>
            </w:r>
          </w:p>
        </w:tc>
        <w:tc>
          <w:tcPr>
            <w:tcW w:w="0" w:type="auto"/>
            <w:noWrap/>
          </w:tcPr>
          <w:p w14:paraId="17EFFD03" w14:textId="3D61ADF4"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PFS: No</w:t>
            </w:r>
            <w:r w:rsidR="008B736D" w:rsidRPr="00E549DC">
              <w:rPr>
                <w:rFonts w:ascii="Book Antiqua" w:eastAsia="等线" w:hAnsi="Book Antiqua" w:cs="Calibri"/>
                <w:color w:val="000000"/>
              </w:rPr>
              <w:t>;</w:t>
            </w:r>
            <w:r w:rsidR="008B736D" w:rsidRPr="00E549DC">
              <w:rPr>
                <w:rFonts w:ascii="Book Antiqua" w:eastAsia="等线" w:hAnsi="Book Antiqua" w:cs="Calibri"/>
                <w:color w:val="000000"/>
                <w:lang w:eastAsia="zh-CN"/>
              </w:rPr>
              <w:t xml:space="preserve"> </w:t>
            </w:r>
            <w:r w:rsidRPr="00E549DC">
              <w:rPr>
                <w:rFonts w:ascii="Book Antiqua" w:eastAsia="等线" w:hAnsi="Book Antiqua" w:cs="Calibri"/>
                <w:color w:val="000000"/>
              </w:rPr>
              <w:t>OS: Final</w:t>
            </w:r>
          </w:p>
        </w:tc>
        <w:tc>
          <w:tcPr>
            <w:tcW w:w="0" w:type="auto"/>
            <w:noWrap/>
          </w:tcPr>
          <w:p w14:paraId="6CCA0CF1" w14:textId="7F692DFD" w:rsidR="00EE6FFD" w:rsidRPr="00E549DC" w:rsidRDefault="00EE6FFD"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 xml:space="preserve">OS: 6.8 </w:t>
            </w:r>
            <w:r w:rsidRPr="00E549DC">
              <w:rPr>
                <w:rFonts w:ascii="Book Antiqua" w:eastAsia="等线" w:hAnsi="Book Antiqua" w:cs="Calibri"/>
                <w:i/>
                <w:iCs/>
                <w:color w:val="000000"/>
              </w:rPr>
              <w:t>vs</w:t>
            </w:r>
            <w:r w:rsidRPr="00E549DC">
              <w:rPr>
                <w:rFonts w:ascii="Book Antiqua" w:eastAsia="等线" w:hAnsi="Book Antiqua" w:cs="Calibri"/>
                <w:color w:val="000000"/>
              </w:rPr>
              <w:t xml:space="preserve"> 8.7</w:t>
            </w:r>
          </w:p>
        </w:tc>
      </w:tr>
    </w:tbl>
    <w:bookmarkEnd w:id="24"/>
    <w:p w14:paraId="78578C0C" w14:textId="121331DE" w:rsidR="00B677D4" w:rsidRPr="00E549DC" w:rsidRDefault="00B677D4" w:rsidP="00C55EEF">
      <w:pPr>
        <w:adjustRightInd w:val="0"/>
        <w:snapToGrid w:val="0"/>
        <w:spacing w:line="360" w:lineRule="auto"/>
        <w:jc w:val="both"/>
        <w:rPr>
          <w:rFonts w:ascii="Book Antiqua" w:eastAsia="宋体" w:hAnsi="Book Antiqua" w:cs="Calibri"/>
          <w:kern w:val="2"/>
          <w:lang w:eastAsia="zh-CN"/>
        </w:rPr>
      </w:pPr>
      <w:r w:rsidRPr="00E549DC">
        <w:rPr>
          <w:rFonts w:ascii="Book Antiqua" w:eastAsia="宋体" w:hAnsi="Book Antiqua" w:cs="Calibri"/>
          <w:kern w:val="2"/>
          <w:lang w:eastAsia="zh-CN"/>
        </w:rPr>
        <w:t>FOLFOX4</w:t>
      </w:r>
      <w:r w:rsidR="0062368C" w:rsidRPr="00E549DC">
        <w:rPr>
          <w:rFonts w:ascii="Book Antiqua" w:eastAsia="宋体" w:hAnsi="Book Antiqua" w:cs="Calibri"/>
          <w:kern w:val="2"/>
          <w:lang w:eastAsia="zh-CN"/>
        </w:rPr>
        <w:t>:</w:t>
      </w:r>
      <w:r w:rsidRPr="00E549DC">
        <w:rPr>
          <w:rFonts w:ascii="Book Antiqua" w:eastAsia="宋体" w:hAnsi="Book Antiqua" w:cs="Calibri"/>
          <w:kern w:val="2"/>
          <w:lang w:eastAsia="zh-CN"/>
        </w:rPr>
        <w:t xml:space="preserve"> </w:t>
      </w:r>
      <w:r w:rsidR="0062368C" w:rsidRPr="00E549DC">
        <w:rPr>
          <w:rFonts w:ascii="Book Antiqua" w:eastAsia="宋体" w:hAnsi="Book Antiqua" w:cs="Calibri"/>
          <w:kern w:val="2"/>
          <w:lang w:eastAsia="zh-CN"/>
        </w:rPr>
        <w:t>O</w:t>
      </w:r>
      <w:r w:rsidRPr="00E549DC">
        <w:rPr>
          <w:rFonts w:ascii="Book Antiqua" w:eastAsia="宋体" w:hAnsi="Book Antiqua" w:cs="Calibri"/>
          <w:kern w:val="2"/>
          <w:lang w:eastAsia="zh-CN"/>
        </w:rPr>
        <w:t>xaliplatin/folinic acid/5-fluorouracil; GEMOX</w:t>
      </w:r>
      <w:r w:rsidR="0062368C" w:rsidRPr="00E549DC">
        <w:rPr>
          <w:rFonts w:ascii="Book Antiqua" w:eastAsia="宋体" w:hAnsi="Book Antiqua" w:cs="Calibri"/>
          <w:kern w:val="2"/>
          <w:lang w:eastAsia="zh-CN"/>
        </w:rPr>
        <w:t>:</w:t>
      </w:r>
      <w:r w:rsidRPr="00E549DC">
        <w:rPr>
          <w:rFonts w:ascii="Book Antiqua" w:eastAsia="宋体" w:hAnsi="Book Antiqua" w:cs="Calibri"/>
          <w:kern w:val="2"/>
          <w:lang w:eastAsia="zh-CN"/>
        </w:rPr>
        <w:t xml:space="preserve"> </w:t>
      </w:r>
      <w:r w:rsidR="0062368C" w:rsidRPr="00E549DC">
        <w:rPr>
          <w:rFonts w:ascii="Book Antiqua" w:eastAsia="宋体" w:hAnsi="Book Antiqua" w:cs="Calibri"/>
          <w:kern w:val="2"/>
          <w:lang w:eastAsia="zh-CN"/>
        </w:rPr>
        <w:t>G</w:t>
      </w:r>
      <w:r w:rsidRPr="00E549DC">
        <w:rPr>
          <w:rFonts w:ascii="Book Antiqua" w:eastAsia="宋体" w:hAnsi="Book Antiqua" w:cs="Calibri"/>
          <w:kern w:val="2"/>
          <w:lang w:eastAsia="zh-CN"/>
        </w:rPr>
        <w:t xml:space="preserve">emcitabine and oxaliplatin; NE, </w:t>
      </w:r>
      <w:r w:rsidR="0062368C" w:rsidRPr="00E549DC">
        <w:rPr>
          <w:rFonts w:ascii="Book Antiqua" w:eastAsia="宋体" w:hAnsi="Book Antiqua" w:cs="Calibri"/>
          <w:kern w:val="2"/>
          <w:lang w:eastAsia="zh-CN"/>
        </w:rPr>
        <w:t>N</w:t>
      </w:r>
      <w:r w:rsidRPr="00E549DC">
        <w:rPr>
          <w:rFonts w:ascii="Book Antiqua" w:eastAsia="宋体" w:hAnsi="Book Antiqua" w:cs="Calibri"/>
          <w:kern w:val="2"/>
          <w:lang w:eastAsia="zh-CN"/>
        </w:rPr>
        <w:t xml:space="preserve">ot reported; OS, </w:t>
      </w:r>
      <w:r w:rsidR="009D21FD" w:rsidRPr="00E549DC">
        <w:rPr>
          <w:rFonts w:ascii="Book Antiqua" w:eastAsia="宋体" w:hAnsi="Book Antiqua" w:cs="Calibri"/>
          <w:kern w:val="2"/>
          <w:lang w:eastAsia="zh-CN"/>
        </w:rPr>
        <w:t xml:space="preserve">Overall </w:t>
      </w:r>
      <w:r w:rsidRPr="00E549DC">
        <w:rPr>
          <w:rFonts w:ascii="Book Antiqua" w:eastAsia="宋体" w:hAnsi="Book Antiqua" w:cs="Calibri"/>
          <w:kern w:val="2"/>
          <w:lang w:eastAsia="zh-CN"/>
        </w:rPr>
        <w:t xml:space="preserve">survival; PFS, </w:t>
      </w:r>
      <w:r w:rsidR="0062368C" w:rsidRPr="00E549DC">
        <w:rPr>
          <w:rFonts w:ascii="Book Antiqua" w:eastAsia="宋体" w:hAnsi="Book Antiqua" w:cs="Calibri"/>
          <w:kern w:val="2"/>
          <w:lang w:eastAsia="zh-CN"/>
        </w:rPr>
        <w:t>P</w:t>
      </w:r>
      <w:r w:rsidRPr="00E549DC">
        <w:rPr>
          <w:rFonts w:ascii="Book Antiqua" w:eastAsia="宋体" w:hAnsi="Book Antiqua" w:cs="Calibri"/>
          <w:kern w:val="2"/>
          <w:lang w:eastAsia="zh-CN"/>
        </w:rPr>
        <w:t xml:space="preserve">rogression-free survival; PIAF, </w:t>
      </w:r>
      <w:r w:rsidR="0062368C" w:rsidRPr="00E549DC">
        <w:rPr>
          <w:rFonts w:ascii="Book Antiqua" w:eastAsia="宋体" w:hAnsi="Book Antiqua" w:cs="Calibri"/>
          <w:kern w:val="2"/>
          <w:lang w:eastAsia="zh-CN"/>
        </w:rPr>
        <w:t>C</w:t>
      </w:r>
      <w:r w:rsidRPr="00E549DC">
        <w:rPr>
          <w:rFonts w:ascii="Book Antiqua" w:eastAsia="宋体" w:hAnsi="Book Antiqua" w:cs="Calibri"/>
          <w:kern w:val="2"/>
          <w:lang w:eastAsia="zh-CN"/>
        </w:rPr>
        <w:t xml:space="preserve">isplatin/interferon α-2b/doxorubicin/5-fluorouracil; TTP, </w:t>
      </w:r>
      <w:r w:rsidR="0062368C" w:rsidRPr="00E549DC">
        <w:rPr>
          <w:rFonts w:ascii="Book Antiqua" w:eastAsia="宋体" w:hAnsi="Book Antiqua" w:cs="Calibri"/>
          <w:kern w:val="2"/>
          <w:lang w:eastAsia="zh-CN"/>
        </w:rPr>
        <w:t>T</w:t>
      </w:r>
      <w:r w:rsidRPr="00E549DC">
        <w:rPr>
          <w:rFonts w:ascii="Book Antiqua" w:eastAsia="宋体" w:hAnsi="Book Antiqua" w:cs="Calibri"/>
          <w:kern w:val="2"/>
          <w:lang w:eastAsia="zh-CN"/>
        </w:rPr>
        <w:t>ime to progression.</w:t>
      </w:r>
    </w:p>
    <w:p w14:paraId="51A49621" w14:textId="5F7004C6" w:rsidR="00B677D4" w:rsidRPr="00E549DC" w:rsidRDefault="000B6B06" w:rsidP="00C55EEF">
      <w:pPr>
        <w:adjustRightInd w:val="0"/>
        <w:snapToGrid w:val="0"/>
        <w:spacing w:line="360" w:lineRule="auto"/>
        <w:jc w:val="both"/>
        <w:rPr>
          <w:rFonts w:ascii="Book Antiqua" w:eastAsia="宋体" w:hAnsi="Book Antiqua" w:cs="Calibri"/>
          <w:b/>
          <w:bCs/>
          <w:kern w:val="2"/>
          <w:lang w:eastAsia="zh-CN"/>
        </w:rPr>
      </w:pPr>
      <w:r w:rsidRPr="00E549DC">
        <w:rPr>
          <w:rFonts w:ascii="Book Antiqua" w:eastAsia="宋体" w:hAnsi="Book Antiqua" w:cs="Calibri"/>
          <w:kern w:val="2"/>
          <w:lang w:eastAsia="zh-CN"/>
        </w:rPr>
        <w:br w:type="page"/>
      </w:r>
      <w:r w:rsidR="00B677D4" w:rsidRPr="00E549DC">
        <w:rPr>
          <w:rFonts w:ascii="Book Antiqua" w:eastAsia="宋体" w:hAnsi="Book Antiqua" w:cs="Calibri"/>
          <w:b/>
          <w:bCs/>
          <w:kern w:val="2"/>
          <w:lang w:eastAsia="zh-CN"/>
        </w:rPr>
        <w:t>Table 2 Patient characteristics in the included studies</w:t>
      </w:r>
    </w:p>
    <w:tbl>
      <w:tblPr>
        <w:tblW w:w="0" w:type="auto"/>
        <w:jc w:val="center"/>
        <w:tblBorders>
          <w:top w:val="single" w:sz="4" w:space="0" w:color="auto"/>
          <w:bottom w:val="single" w:sz="4" w:space="0" w:color="auto"/>
        </w:tblBorders>
        <w:tblLook w:val="0600" w:firstRow="0" w:lastRow="0" w:firstColumn="0" w:lastColumn="0" w:noHBand="1" w:noVBand="1"/>
      </w:tblPr>
      <w:tblGrid>
        <w:gridCol w:w="1485"/>
        <w:gridCol w:w="552"/>
        <w:gridCol w:w="2530"/>
        <w:gridCol w:w="461"/>
        <w:gridCol w:w="1160"/>
        <w:gridCol w:w="897"/>
        <w:gridCol w:w="1349"/>
        <w:gridCol w:w="1142"/>
      </w:tblGrid>
      <w:tr w:rsidR="00B677D4" w:rsidRPr="00E549DC" w14:paraId="2CF08BD6" w14:textId="77777777" w:rsidTr="00721903">
        <w:trPr>
          <w:trHeight w:val="270"/>
          <w:jc w:val="center"/>
        </w:trPr>
        <w:tc>
          <w:tcPr>
            <w:tcW w:w="0" w:type="auto"/>
            <w:tcBorders>
              <w:top w:val="single" w:sz="4" w:space="0" w:color="auto"/>
              <w:bottom w:val="single" w:sz="4" w:space="0" w:color="auto"/>
            </w:tcBorders>
            <w:noWrap/>
            <w:hideMark/>
          </w:tcPr>
          <w:p w14:paraId="32204DE0" w14:textId="1D22E33F" w:rsidR="00B677D4" w:rsidRPr="00E549DC" w:rsidRDefault="008B736D" w:rsidP="00C55EEF">
            <w:pPr>
              <w:adjustRightInd w:val="0"/>
              <w:snapToGrid w:val="0"/>
              <w:spacing w:line="360" w:lineRule="auto"/>
              <w:jc w:val="both"/>
              <w:rPr>
                <w:rFonts w:ascii="Book Antiqua" w:eastAsia="等线" w:hAnsi="Book Antiqua" w:cs="Calibri"/>
                <w:b/>
                <w:bCs/>
                <w:color w:val="000000"/>
              </w:rPr>
            </w:pPr>
            <w:r w:rsidRPr="00E549DC">
              <w:rPr>
                <w:rFonts w:ascii="Book Antiqua" w:eastAsia="等线" w:hAnsi="Book Antiqua" w:cs="Calibri"/>
                <w:b/>
                <w:color w:val="000000"/>
              </w:rPr>
              <w:t>Ref.</w:t>
            </w:r>
          </w:p>
        </w:tc>
        <w:tc>
          <w:tcPr>
            <w:tcW w:w="0" w:type="auto"/>
            <w:tcBorders>
              <w:top w:val="single" w:sz="4" w:space="0" w:color="auto"/>
              <w:bottom w:val="single" w:sz="4" w:space="0" w:color="auto"/>
            </w:tcBorders>
          </w:tcPr>
          <w:p w14:paraId="1C5854B5" w14:textId="0A431236" w:rsidR="00B677D4" w:rsidRPr="00E549DC" w:rsidRDefault="00B677D4" w:rsidP="00C55EEF">
            <w:pPr>
              <w:adjustRightInd w:val="0"/>
              <w:snapToGrid w:val="0"/>
              <w:spacing w:line="360" w:lineRule="auto"/>
              <w:jc w:val="both"/>
              <w:rPr>
                <w:rFonts w:ascii="Book Antiqua" w:eastAsia="等线" w:hAnsi="Book Antiqua" w:cs="Calibri"/>
                <w:b/>
                <w:bCs/>
                <w:color w:val="000000"/>
              </w:rPr>
            </w:pPr>
            <w:r w:rsidRPr="00E549DC">
              <w:rPr>
                <w:rFonts w:ascii="Book Antiqua" w:eastAsia="等线" w:hAnsi="Book Antiqua" w:cs="Calibri"/>
                <w:b/>
                <w:color w:val="000000"/>
              </w:rPr>
              <w:t>Y</w:t>
            </w:r>
            <w:r w:rsidR="00B243BA" w:rsidRPr="00E549DC">
              <w:rPr>
                <w:rFonts w:ascii="Book Antiqua" w:eastAsia="等线" w:hAnsi="Book Antiqua" w:cs="Calibri"/>
                <w:b/>
                <w:color w:val="000000"/>
              </w:rPr>
              <w:t>ea</w:t>
            </w:r>
            <w:r w:rsidRPr="00E549DC">
              <w:rPr>
                <w:rFonts w:ascii="Book Antiqua" w:eastAsia="等线" w:hAnsi="Book Antiqua" w:cs="Calibri"/>
                <w:b/>
                <w:color w:val="000000"/>
              </w:rPr>
              <w:t>r</w:t>
            </w:r>
          </w:p>
        </w:tc>
        <w:tc>
          <w:tcPr>
            <w:tcW w:w="0" w:type="auto"/>
            <w:tcBorders>
              <w:top w:val="single" w:sz="4" w:space="0" w:color="auto"/>
              <w:bottom w:val="single" w:sz="4" w:space="0" w:color="auto"/>
            </w:tcBorders>
            <w:noWrap/>
            <w:hideMark/>
          </w:tcPr>
          <w:p w14:paraId="03B65E6D" w14:textId="77777777" w:rsidR="00B677D4" w:rsidRPr="00E549DC" w:rsidRDefault="00B677D4" w:rsidP="00C55EEF">
            <w:pPr>
              <w:adjustRightInd w:val="0"/>
              <w:snapToGrid w:val="0"/>
              <w:spacing w:line="360" w:lineRule="auto"/>
              <w:jc w:val="both"/>
              <w:rPr>
                <w:rFonts w:ascii="Book Antiqua" w:eastAsia="等线" w:hAnsi="Book Antiqua" w:cs="Calibri"/>
                <w:b/>
                <w:bCs/>
                <w:color w:val="000000"/>
              </w:rPr>
            </w:pPr>
            <w:r w:rsidRPr="00E549DC">
              <w:rPr>
                <w:rFonts w:ascii="Book Antiqua" w:eastAsia="等线" w:hAnsi="Book Antiqua" w:cs="Calibri"/>
                <w:b/>
                <w:color w:val="000000"/>
              </w:rPr>
              <w:t>Treatments</w:t>
            </w:r>
          </w:p>
        </w:tc>
        <w:tc>
          <w:tcPr>
            <w:tcW w:w="0" w:type="auto"/>
            <w:tcBorders>
              <w:top w:val="single" w:sz="4" w:space="0" w:color="auto"/>
              <w:bottom w:val="single" w:sz="4" w:space="0" w:color="auto"/>
            </w:tcBorders>
          </w:tcPr>
          <w:p w14:paraId="065137B2" w14:textId="77777777" w:rsidR="00B677D4" w:rsidRPr="00E549DC" w:rsidRDefault="00B677D4" w:rsidP="00C55EEF">
            <w:pPr>
              <w:adjustRightInd w:val="0"/>
              <w:snapToGrid w:val="0"/>
              <w:spacing w:line="360" w:lineRule="auto"/>
              <w:jc w:val="both"/>
              <w:rPr>
                <w:rFonts w:ascii="Book Antiqua" w:eastAsia="等线" w:hAnsi="Book Antiqua" w:cs="Calibri"/>
                <w:b/>
                <w:bCs/>
                <w:i/>
                <w:iCs/>
                <w:color w:val="000000"/>
              </w:rPr>
            </w:pPr>
            <w:r w:rsidRPr="00E549DC">
              <w:rPr>
                <w:rFonts w:ascii="Book Antiqua" w:eastAsia="等线" w:hAnsi="Book Antiqua" w:cs="Calibri"/>
                <w:b/>
                <w:i/>
                <w:iCs/>
                <w:color w:val="000000"/>
              </w:rPr>
              <w:t>n</w:t>
            </w:r>
          </w:p>
        </w:tc>
        <w:tc>
          <w:tcPr>
            <w:tcW w:w="0" w:type="auto"/>
            <w:tcBorders>
              <w:top w:val="single" w:sz="4" w:space="0" w:color="auto"/>
              <w:bottom w:val="single" w:sz="4" w:space="0" w:color="auto"/>
            </w:tcBorders>
            <w:noWrap/>
          </w:tcPr>
          <w:p w14:paraId="74D24EB3" w14:textId="6C191707" w:rsidR="00B677D4" w:rsidRPr="00E549DC" w:rsidRDefault="00B677D4" w:rsidP="00C55EEF">
            <w:pPr>
              <w:adjustRightInd w:val="0"/>
              <w:snapToGrid w:val="0"/>
              <w:spacing w:line="360" w:lineRule="auto"/>
              <w:jc w:val="both"/>
              <w:rPr>
                <w:rFonts w:ascii="Book Antiqua" w:eastAsia="等线" w:hAnsi="Book Antiqua" w:cs="Calibri"/>
                <w:b/>
                <w:bCs/>
                <w:color w:val="000000"/>
              </w:rPr>
            </w:pPr>
            <w:r w:rsidRPr="00E549DC">
              <w:rPr>
                <w:rFonts w:ascii="Book Antiqua" w:eastAsia="等线" w:hAnsi="Book Antiqua" w:cs="Calibri"/>
                <w:b/>
                <w:color w:val="000000"/>
              </w:rPr>
              <w:t>Age, median</w:t>
            </w:r>
          </w:p>
        </w:tc>
        <w:tc>
          <w:tcPr>
            <w:tcW w:w="0" w:type="auto"/>
            <w:tcBorders>
              <w:top w:val="single" w:sz="4" w:space="0" w:color="auto"/>
              <w:bottom w:val="single" w:sz="4" w:space="0" w:color="auto"/>
            </w:tcBorders>
            <w:noWrap/>
          </w:tcPr>
          <w:p w14:paraId="43221B38" w14:textId="77777777" w:rsidR="00B677D4" w:rsidRPr="00E549DC" w:rsidRDefault="00B677D4" w:rsidP="00C55EEF">
            <w:pPr>
              <w:adjustRightInd w:val="0"/>
              <w:snapToGrid w:val="0"/>
              <w:spacing w:line="360" w:lineRule="auto"/>
              <w:jc w:val="both"/>
              <w:rPr>
                <w:rFonts w:ascii="Book Antiqua" w:eastAsia="等线" w:hAnsi="Book Antiqua" w:cs="Calibri"/>
                <w:b/>
                <w:bCs/>
                <w:color w:val="000000"/>
              </w:rPr>
            </w:pPr>
            <w:r w:rsidRPr="00E549DC">
              <w:rPr>
                <w:rFonts w:ascii="Book Antiqua" w:eastAsia="等线" w:hAnsi="Book Antiqua" w:cs="Calibri"/>
                <w:b/>
                <w:color w:val="000000"/>
              </w:rPr>
              <w:t>Males, %</w:t>
            </w:r>
          </w:p>
        </w:tc>
        <w:tc>
          <w:tcPr>
            <w:tcW w:w="0" w:type="auto"/>
            <w:tcBorders>
              <w:top w:val="single" w:sz="4" w:space="0" w:color="auto"/>
              <w:bottom w:val="single" w:sz="4" w:space="0" w:color="auto"/>
            </w:tcBorders>
            <w:noWrap/>
          </w:tcPr>
          <w:p w14:paraId="0E7B064B" w14:textId="77777777" w:rsidR="00B677D4" w:rsidRPr="00E549DC" w:rsidRDefault="00B677D4" w:rsidP="00C55EEF">
            <w:pPr>
              <w:adjustRightInd w:val="0"/>
              <w:snapToGrid w:val="0"/>
              <w:spacing w:line="360" w:lineRule="auto"/>
              <w:jc w:val="both"/>
              <w:rPr>
                <w:rFonts w:ascii="Book Antiqua" w:eastAsia="等线" w:hAnsi="Book Antiqua" w:cs="Calibri"/>
                <w:b/>
                <w:bCs/>
                <w:color w:val="000000"/>
              </w:rPr>
            </w:pPr>
            <w:r w:rsidRPr="00E549DC">
              <w:rPr>
                <w:rFonts w:ascii="Book Antiqua" w:eastAsia="等线" w:hAnsi="Book Antiqua" w:cs="Calibri"/>
                <w:b/>
                <w:color w:val="000000"/>
              </w:rPr>
              <w:t>ECOG 0/1–2, %</w:t>
            </w:r>
          </w:p>
        </w:tc>
        <w:tc>
          <w:tcPr>
            <w:tcW w:w="0" w:type="auto"/>
            <w:tcBorders>
              <w:top w:val="single" w:sz="4" w:space="0" w:color="auto"/>
              <w:bottom w:val="single" w:sz="4" w:space="0" w:color="auto"/>
            </w:tcBorders>
          </w:tcPr>
          <w:p w14:paraId="20AD21A5" w14:textId="77777777" w:rsidR="00B677D4" w:rsidRPr="00E549DC" w:rsidRDefault="00B677D4" w:rsidP="00C55EEF">
            <w:pPr>
              <w:adjustRightInd w:val="0"/>
              <w:snapToGrid w:val="0"/>
              <w:spacing w:line="360" w:lineRule="auto"/>
              <w:jc w:val="both"/>
              <w:rPr>
                <w:rFonts w:ascii="Book Antiqua" w:eastAsia="等线" w:hAnsi="Book Antiqua" w:cs="Calibri"/>
                <w:b/>
                <w:bCs/>
                <w:color w:val="000000"/>
              </w:rPr>
            </w:pPr>
            <w:r w:rsidRPr="00E549DC">
              <w:rPr>
                <w:rFonts w:ascii="Book Antiqua" w:eastAsia="等线" w:hAnsi="Book Antiqua" w:cs="Calibri"/>
                <w:b/>
                <w:color w:val="000000"/>
              </w:rPr>
              <w:t>Extrahepatic disease, %</w:t>
            </w:r>
          </w:p>
        </w:tc>
      </w:tr>
      <w:tr w:rsidR="00B677D4" w:rsidRPr="00E549DC" w14:paraId="01FD3D35" w14:textId="77777777" w:rsidTr="00721903">
        <w:trPr>
          <w:trHeight w:val="270"/>
          <w:jc w:val="center"/>
        </w:trPr>
        <w:tc>
          <w:tcPr>
            <w:tcW w:w="0" w:type="auto"/>
            <w:tcBorders>
              <w:top w:val="single" w:sz="4" w:space="0" w:color="auto"/>
            </w:tcBorders>
            <w:noWrap/>
            <w:hideMark/>
          </w:tcPr>
          <w:p w14:paraId="233162DE" w14:textId="3FB1D1E4"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Yen</w:t>
            </w:r>
            <w:r w:rsidR="004939B0" w:rsidRPr="00E549DC">
              <w:rPr>
                <w:rFonts w:ascii="Book Antiqua" w:eastAsia="等线" w:hAnsi="Book Antiqua" w:cs="Calibri"/>
                <w:i/>
                <w:iCs/>
                <w:color w:val="000000"/>
              </w:rPr>
              <w:t xml:space="preserve"> et al</w:t>
            </w:r>
            <w:r w:rsidRPr="00E549DC">
              <w:rPr>
                <w:rFonts w:ascii="Book Antiqua" w:eastAsia="等线" w:hAnsi="Book Antiqua" w:cs="Calibri"/>
                <w:noProof/>
                <w:color w:val="000000"/>
                <w:vertAlign w:val="superscript"/>
              </w:rPr>
              <w:t>[47]</w:t>
            </w:r>
          </w:p>
        </w:tc>
        <w:tc>
          <w:tcPr>
            <w:tcW w:w="0" w:type="auto"/>
            <w:tcBorders>
              <w:top w:val="single" w:sz="4" w:space="0" w:color="auto"/>
            </w:tcBorders>
          </w:tcPr>
          <w:p w14:paraId="38AA951F"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2018</w:t>
            </w:r>
          </w:p>
        </w:tc>
        <w:tc>
          <w:tcPr>
            <w:tcW w:w="0" w:type="auto"/>
            <w:tcBorders>
              <w:top w:val="single" w:sz="4" w:space="0" w:color="auto"/>
            </w:tcBorders>
            <w:noWrap/>
            <w:hideMark/>
          </w:tcPr>
          <w:p w14:paraId="0327A221"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Nintedanib</w:t>
            </w:r>
          </w:p>
        </w:tc>
        <w:tc>
          <w:tcPr>
            <w:tcW w:w="0" w:type="auto"/>
            <w:tcBorders>
              <w:top w:val="single" w:sz="4" w:space="0" w:color="auto"/>
            </w:tcBorders>
          </w:tcPr>
          <w:p w14:paraId="228373A1"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63</w:t>
            </w:r>
          </w:p>
        </w:tc>
        <w:tc>
          <w:tcPr>
            <w:tcW w:w="0" w:type="auto"/>
            <w:tcBorders>
              <w:top w:val="single" w:sz="4" w:space="0" w:color="auto"/>
            </w:tcBorders>
            <w:noWrap/>
            <w:hideMark/>
          </w:tcPr>
          <w:p w14:paraId="27F79E57"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58</w:t>
            </w:r>
          </w:p>
        </w:tc>
        <w:tc>
          <w:tcPr>
            <w:tcW w:w="0" w:type="auto"/>
            <w:tcBorders>
              <w:top w:val="single" w:sz="4" w:space="0" w:color="auto"/>
            </w:tcBorders>
            <w:noWrap/>
            <w:hideMark/>
          </w:tcPr>
          <w:p w14:paraId="61823895"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91</w:t>
            </w:r>
          </w:p>
        </w:tc>
        <w:tc>
          <w:tcPr>
            <w:tcW w:w="0" w:type="auto"/>
            <w:tcBorders>
              <w:top w:val="single" w:sz="4" w:space="0" w:color="auto"/>
            </w:tcBorders>
            <w:noWrap/>
          </w:tcPr>
          <w:p w14:paraId="5BC1A92F"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55.6/44.5</w:t>
            </w:r>
          </w:p>
        </w:tc>
        <w:tc>
          <w:tcPr>
            <w:tcW w:w="0" w:type="auto"/>
            <w:tcBorders>
              <w:top w:val="single" w:sz="4" w:space="0" w:color="auto"/>
            </w:tcBorders>
          </w:tcPr>
          <w:p w14:paraId="2F844FFC"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68.3</w:t>
            </w:r>
          </w:p>
        </w:tc>
      </w:tr>
      <w:tr w:rsidR="00B677D4" w:rsidRPr="00E549DC" w14:paraId="162052BB" w14:textId="77777777" w:rsidTr="00721903">
        <w:trPr>
          <w:trHeight w:val="270"/>
          <w:jc w:val="center"/>
        </w:trPr>
        <w:tc>
          <w:tcPr>
            <w:tcW w:w="0" w:type="auto"/>
            <w:noWrap/>
          </w:tcPr>
          <w:p w14:paraId="6B21D8BE"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p>
        </w:tc>
        <w:tc>
          <w:tcPr>
            <w:tcW w:w="0" w:type="auto"/>
          </w:tcPr>
          <w:p w14:paraId="0C84DD9A"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p>
        </w:tc>
        <w:tc>
          <w:tcPr>
            <w:tcW w:w="0" w:type="auto"/>
            <w:noWrap/>
          </w:tcPr>
          <w:p w14:paraId="603608A0"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Sorafenib</w:t>
            </w:r>
          </w:p>
        </w:tc>
        <w:tc>
          <w:tcPr>
            <w:tcW w:w="0" w:type="auto"/>
          </w:tcPr>
          <w:p w14:paraId="13F5DE5C"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32</w:t>
            </w:r>
          </w:p>
        </w:tc>
        <w:tc>
          <w:tcPr>
            <w:tcW w:w="0" w:type="auto"/>
            <w:noWrap/>
          </w:tcPr>
          <w:p w14:paraId="5A60290A"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62</w:t>
            </w:r>
          </w:p>
        </w:tc>
        <w:tc>
          <w:tcPr>
            <w:tcW w:w="0" w:type="auto"/>
            <w:noWrap/>
          </w:tcPr>
          <w:p w14:paraId="3613589F"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81</w:t>
            </w:r>
          </w:p>
        </w:tc>
        <w:tc>
          <w:tcPr>
            <w:tcW w:w="0" w:type="auto"/>
            <w:noWrap/>
          </w:tcPr>
          <w:p w14:paraId="1F3BAC7F"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56.3/43.8</w:t>
            </w:r>
          </w:p>
        </w:tc>
        <w:tc>
          <w:tcPr>
            <w:tcW w:w="0" w:type="auto"/>
          </w:tcPr>
          <w:p w14:paraId="4F554AB8"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68.3</w:t>
            </w:r>
          </w:p>
        </w:tc>
      </w:tr>
      <w:tr w:rsidR="00B677D4" w:rsidRPr="00E549DC" w14:paraId="5A39CCDB" w14:textId="77777777" w:rsidTr="00721903">
        <w:trPr>
          <w:trHeight w:val="270"/>
          <w:jc w:val="center"/>
        </w:trPr>
        <w:tc>
          <w:tcPr>
            <w:tcW w:w="0" w:type="auto"/>
            <w:noWrap/>
            <w:hideMark/>
          </w:tcPr>
          <w:p w14:paraId="71129A43" w14:textId="02002EA0"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Ciuleanu</w:t>
            </w:r>
            <w:r w:rsidR="004939B0" w:rsidRPr="00E549DC">
              <w:rPr>
                <w:rFonts w:ascii="Book Antiqua" w:eastAsia="等线" w:hAnsi="Book Antiqua" w:cs="Calibri"/>
                <w:i/>
                <w:iCs/>
                <w:color w:val="000000"/>
              </w:rPr>
              <w:t xml:space="preserve"> et al</w:t>
            </w:r>
            <w:r w:rsidRPr="00E549DC">
              <w:rPr>
                <w:rFonts w:ascii="Book Antiqua" w:eastAsia="等线" w:hAnsi="Book Antiqua" w:cs="Calibri"/>
                <w:noProof/>
                <w:color w:val="000000"/>
                <w:vertAlign w:val="superscript"/>
              </w:rPr>
              <w:t>[48]</w:t>
            </w:r>
          </w:p>
        </w:tc>
        <w:tc>
          <w:tcPr>
            <w:tcW w:w="0" w:type="auto"/>
          </w:tcPr>
          <w:p w14:paraId="71B4DD5F"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2016</w:t>
            </w:r>
          </w:p>
        </w:tc>
        <w:tc>
          <w:tcPr>
            <w:tcW w:w="0" w:type="auto"/>
            <w:noWrap/>
            <w:hideMark/>
          </w:tcPr>
          <w:p w14:paraId="429D680B"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Mapatumumab + sorafenib</w:t>
            </w:r>
          </w:p>
        </w:tc>
        <w:tc>
          <w:tcPr>
            <w:tcW w:w="0" w:type="auto"/>
          </w:tcPr>
          <w:p w14:paraId="2BAD4271"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50</w:t>
            </w:r>
          </w:p>
        </w:tc>
        <w:tc>
          <w:tcPr>
            <w:tcW w:w="0" w:type="auto"/>
            <w:noWrap/>
            <w:hideMark/>
          </w:tcPr>
          <w:p w14:paraId="30DAB7BA"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60</w:t>
            </w:r>
          </w:p>
        </w:tc>
        <w:tc>
          <w:tcPr>
            <w:tcW w:w="0" w:type="auto"/>
            <w:noWrap/>
            <w:hideMark/>
          </w:tcPr>
          <w:p w14:paraId="51C729C5"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52</w:t>
            </w:r>
          </w:p>
        </w:tc>
        <w:tc>
          <w:tcPr>
            <w:tcW w:w="0" w:type="auto"/>
            <w:noWrap/>
          </w:tcPr>
          <w:p w14:paraId="609A442E"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36.0/64.0</w:t>
            </w:r>
          </w:p>
        </w:tc>
        <w:tc>
          <w:tcPr>
            <w:tcW w:w="0" w:type="auto"/>
          </w:tcPr>
          <w:p w14:paraId="19367BD8"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66.0</w:t>
            </w:r>
          </w:p>
        </w:tc>
      </w:tr>
      <w:tr w:rsidR="00B677D4" w:rsidRPr="00E549DC" w14:paraId="7D4A1DD0" w14:textId="77777777" w:rsidTr="00721903">
        <w:trPr>
          <w:trHeight w:val="270"/>
          <w:jc w:val="center"/>
        </w:trPr>
        <w:tc>
          <w:tcPr>
            <w:tcW w:w="0" w:type="auto"/>
            <w:noWrap/>
          </w:tcPr>
          <w:p w14:paraId="7674E105"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p>
        </w:tc>
        <w:tc>
          <w:tcPr>
            <w:tcW w:w="0" w:type="auto"/>
          </w:tcPr>
          <w:p w14:paraId="7CE9797E"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p>
        </w:tc>
        <w:tc>
          <w:tcPr>
            <w:tcW w:w="0" w:type="auto"/>
            <w:noWrap/>
          </w:tcPr>
          <w:p w14:paraId="23E6E092"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Placebo + sorafenib</w:t>
            </w:r>
          </w:p>
        </w:tc>
        <w:tc>
          <w:tcPr>
            <w:tcW w:w="0" w:type="auto"/>
          </w:tcPr>
          <w:p w14:paraId="6B41F603"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51</w:t>
            </w:r>
          </w:p>
        </w:tc>
        <w:tc>
          <w:tcPr>
            <w:tcW w:w="0" w:type="auto"/>
            <w:noWrap/>
          </w:tcPr>
          <w:p w14:paraId="5C87BB09"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61</w:t>
            </w:r>
          </w:p>
        </w:tc>
        <w:tc>
          <w:tcPr>
            <w:tcW w:w="0" w:type="auto"/>
            <w:noWrap/>
          </w:tcPr>
          <w:p w14:paraId="5E1F427A"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77</w:t>
            </w:r>
          </w:p>
        </w:tc>
        <w:tc>
          <w:tcPr>
            <w:tcW w:w="0" w:type="auto"/>
            <w:noWrap/>
          </w:tcPr>
          <w:p w14:paraId="704625F9"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33.3/66.6</w:t>
            </w:r>
          </w:p>
        </w:tc>
        <w:tc>
          <w:tcPr>
            <w:tcW w:w="0" w:type="auto"/>
          </w:tcPr>
          <w:p w14:paraId="4E2BB1A0"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49.0</w:t>
            </w:r>
          </w:p>
        </w:tc>
      </w:tr>
      <w:tr w:rsidR="00B677D4" w:rsidRPr="00E549DC" w14:paraId="1FB08951" w14:textId="77777777" w:rsidTr="00721903">
        <w:trPr>
          <w:trHeight w:val="270"/>
          <w:jc w:val="center"/>
        </w:trPr>
        <w:tc>
          <w:tcPr>
            <w:tcW w:w="0" w:type="auto"/>
            <w:noWrap/>
            <w:hideMark/>
          </w:tcPr>
          <w:p w14:paraId="1F66BAD6" w14:textId="79430549"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Finn</w:t>
            </w:r>
            <w:r w:rsidR="004939B0" w:rsidRPr="00E549DC">
              <w:rPr>
                <w:rFonts w:ascii="Book Antiqua" w:eastAsia="等线" w:hAnsi="Book Antiqua" w:cs="Calibri"/>
                <w:i/>
                <w:iCs/>
                <w:color w:val="000000"/>
              </w:rPr>
              <w:t xml:space="preserve"> et al</w:t>
            </w:r>
            <w:r w:rsidRPr="00E549DC">
              <w:rPr>
                <w:rFonts w:ascii="Book Antiqua" w:eastAsia="等线" w:hAnsi="Book Antiqua" w:cs="Calibri"/>
                <w:noProof/>
                <w:color w:val="000000"/>
                <w:vertAlign w:val="superscript"/>
              </w:rPr>
              <w:t>[11]</w:t>
            </w:r>
          </w:p>
        </w:tc>
        <w:tc>
          <w:tcPr>
            <w:tcW w:w="0" w:type="auto"/>
          </w:tcPr>
          <w:p w14:paraId="431A6A66"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2020</w:t>
            </w:r>
          </w:p>
        </w:tc>
        <w:tc>
          <w:tcPr>
            <w:tcW w:w="0" w:type="auto"/>
            <w:noWrap/>
            <w:hideMark/>
          </w:tcPr>
          <w:p w14:paraId="6770AFE8"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Atezolizumab + bevacizumab</w:t>
            </w:r>
          </w:p>
        </w:tc>
        <w:tc>
          <w:tcPr>
            <w:tcW w:w="0" w:type="auto"/>
          </w:tcPr>
          <w:p w14:paraId="691943DA"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336</w:t>
            </w:r>
          </w:p>
        </w:tc>
        <w:tc>
          <w:tcPr>
            <w:tcW w:w="0" w:type="auto"/>
            <w:noWrap/>
            <w:hideMark/>
          </w:tcPr>
          <w:p w14:paraId="094CE39B"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64</w:t>
            </w:r>
          </w:p>
        </w:tc>
        <w:tc>
          <w:tcPr>
            <w:tcW w:w="0" w:type="auto"/>
            <w:noWrap/>
            <w:hideMark/>
          </w:tcPr>
          <w:p w14:paraId="65C469E1"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82</w:t>
            </w:r>
          </w:p>
        </w:tc>
        <w:tc>
          <w:tcPr>
            <w:tcW w:w="0" w:type="auto"/>
            <w:noWrap/>
          </w:tcPr>
          <w:p w14:paraId="3B1EBBE6"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62.0/38.0</w:t>
            </w:r>
          </w:p>
        </w:tc>
        <w:tc>
          <w:tcPr>
            <w:tcW w:w="0" w:type="auto"/>
          </w:tcPr>
          <w:p w14:paraId="251B3442"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63.0</w:t>
            </w:r>
          </w:p>
        </w:tc>
      </w:tr>
      <w:tr w:rsidR="00B677D4" w:rsidRPr="00E549DC" w14:paraId="6FF71432" w14:textId="77777777" w:rsidTr="00721903">
        <w:trPr>
          <w:trHeight w:val="270"/>
          <w:jc w:val="center"/>
        </w:trPr>
        <w:tc>
          <w:tcPr>
            <w:tcW w:w="0" w:type="auto"/>
            <w:noWrap/>
          </w:tcPr>
          <w:p w14:paraId="5290AAE3"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p>
        </w:tc>
        <w:tc>
          <w:tcPr>
            <w:tcW w:w="0" w:type="auto"/>
          </w:tcPr>
          <w:p w14:paraId="12F8A4BA"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p>
        </w:tc>
        <w:tc>
          <w:tcPr>
            <w:tcW w:w="0" w:type="auto"/>
            <w:noWrap/>
          </w:tcPr>
          <w:p w14:paraId="67D43A60"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Sorafenib</w:t>
            </w:r>
          </w:p>
        </w:tc>
        <w:tc>
          <w:tcPr>
            <w:tcW w:w="0" w:type="auto"/>
          </w:tcPr>
          <w:p w14:paraId="53D067AA"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165</w:t>
            </w:r>
          </w:p>
        </w:tc>
        <w:tc>
          <w:tcPr>
            <w:tcW w:w="0" w:type="auto"/>
            <w:noWrap/>
          </w:tcPr>
          <w:p w14:paraId="7D25C915"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66</w:t>
            </w:r>
          </w:p>
        </w:tc>
        <w:tc>
          <w:tcPr>
            <w:tcW w:w="0" w:type="auto"/>
            <w:noWrap/>
          </w:tcPr>
          <w:p w14:paraId="2DA03326"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83</w:t>
            </w:r>
          </w:p>
        </w:tc>
        <w:tc>
          <w:tcPr>
            <w:tcW w:w="0" w:type="auto"/>
            <w:noWrap/>
          </w:tcPr>
          <w:p w14:paraId="75D710D8"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62.0/38.0</w:t>
            </w:r>
          </w:p>
        </w:tc>
        <w:tc>
          <w:tcPr>
            <w:tcW w:w="0" w:type="auto"/>
          </w:tcPr>
          <w:p w14:paraId="56AE18B7"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56.0</w:t>
            </w:r>
          </w:p>
        </w:tc>
      </w:tr>
      <w:tr w:rsidR="00B677D4" w:rsidRPr="00E549DC" w14:paraId="68F4D7BC" w14:textId="77777777" w:rsidTr="00721903">
        <w:trPr>
          <w:trHeight w:val="270"/>
          <w:jc w:val="center"/>
        </w:trPr>
        <w:tc>
          <w:tcPr>
            <w:tcW w:w="0" w:type="auto"/>
            <w:noWrap/>
            <w:hideMark/>
          </w:tcPr>
          <w:p w14:paraId="74CEBBB2" w14:textId="52C8A4A1"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Abou-Alfa</w:t>
            </w:r>
            <w:r w:rsidR="004939B0" w:rsidRPr="00E549DC">
              <w:rPr>
                <w:rFonts w:ascii="Book Antiqua" w:eastAsia="等线" w:hAnsi="Book Antiqua" w:cs="Calibri"/>
                <w:i/>
                <w:iCs/>
                <w:color w:val="000000"/>
              </w:rPr>
              <w:t xml:space="preserve"> et al</w:t>
            </w:r>
            <w:r w:rsidRPr="00E549DC">
              <w:rPr>
                <w:rFonts w:ascii="Book Antiqua" w:eastAsia="等线" w:hAnsi="Book Antiqua" w:cs="Calibri"/>
                <w:noProof/>
                <w:color w:val="000000"/>
                <w:vertAlign w:val="superscript"/>
              </w:rPr>
              <w:t>[49]</w:t>
            </w:r>
          </w:p>
        </w:tc>
        <w:tc>
          <w:tcPr>
            <w:tcW w:w="0" w:type="auto"/>
          </w:tcPr>
          <w:p w14:paraId="3A038D7B"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2010</w:t>
            </w:r>
          </w:p>
        </w:tc>
        <w:tc>
          <w:tcPr>
            <w:tcW w:w="0" w:type="auto"/>
            <w:noWrap/>
            <w:hideMark/>
          </w:tcPr>
          <w:p w14:paraId="35577E3A"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Doxorubicin + sorafenib</w:t>
            </w:r>
          </w:p>
        </w:tc>
        <w:tc>
          <w:tcPr>
            <w:tcW w:w="0" w:type="auto"/>
          </w:tcPr>
          <w:p w14:paraId="7892490A"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47</w:t>
            </w:r>
          </w:p>
        </w:tc>
        <w:tc>
          <w:tcPr>
            <w:tcW w:w="0" w:type="auto"/>
            <w:noWrap/>
            <w:hideMark/>
          </w:tcPr>
          <w:p w14:paraId="1F08F9E6"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66</w:t>
            </w:r>
          </w:p>
        </w:tc>
        <w:tc>
          <w:tcPr>
            <w:tcW w:w="0" w:type="auto"/>
            <w:noWrap/>
            <w:hideMark/>
          </w:tcPr>
          <w:p w14:paraId="3667AA5F"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66</w:t>
            </w:r>
          </w:p>
        </w:tc>
        <w:tc>
          <w:tcPr>
            <w:tcW w:w="0" w:type="auto"/>
            <w:noWrap/>
          </w:tcPr>
          <w:p w14:paraId="41FFD2BB"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w:t>
            </w:r>
          </w:p>
        </w:tc>
        <w:tc>
          <w:tcPr>
            <w:tcW w:w="0" w:type="auto"/>
          </w:tcPr>
          <w:p w14:paraId="0E443012"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51.1</w:t>
            </w:r>
          </w:p>
        </w:tc>
      </w:tr>
      <w:tr w:rsidR="00B677D4" w:rsidRPr="00E549DC" w14:paraId="1EA89391" w14:textId="77777777" w:rsidTr="00721903">
        <w:trPr>
          <w:trHeight w:val="270"/>
          <w:jc w:val="center"/>
        </w:trPr>
        <w:tc>
          <w:tcPr>
            <w:tcW w:w="0" w:type="auto"/>
            <w:noWrap/>
          </w:tcPr>
          <w:p w14:paraId="14054627"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p>
        </w:tc>
        <w:tc>
          <w:tcPr>
            <w:tcW w:w="0" w:type="auto"/>
          </w:tcPr>
          <w:p w14:paraId="29610D80"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p>
        </w:tc>
        <w:tc>
          <w:tcPr>
            <w:tcW w:w="0" w:type="auto"/>
            <w:noWrap/>
          </w:tcPr>
          <w:p w14:paraId="0B4FBE58"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Doxorubicin + placebo</w:t>
            </w:r>
          </w:p>
        </w:tc>
        <w:tc>
          <w:tcPr>
            <w:tcW w:w="0" w:type="auto"/>
          </w:tcPr>
          <w:p w14:paraId="0D45FD74"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49</w:t>
            </w:r>
          </w:p>
        </w:tc>
        <w:tc>
          <w:tcPr>
            <w:tcW w:w="0" w:type="auto"/>
            <w:noWrap/>
          </w:tcPr>
          <w:p w14:paraId="5119098E"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65</w:t>
            </w:r>
          </w:p>
        </w:tc>
        <w:tc>
          <w:tcPr>
            <w:tcW w:w="0" w:type="auto"/>
            <w:noWrap/>
          </w:tcPr>
          <w:p w14:paraId="48907230"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86</w:t>
            </w:r>
          </w:p>
        </w:tc>
        <w:tc>
          <w:tcPr>
            <w:tcW w:w="0" w:type="auto"/>
            <w:noWrap/>
          </w:tcPr>
          <w:p w14:paraId="687980F7"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w:t>
            </w:r>
          </w:p>
        </w:tc>
        <w:tc>
          <w:tcPr>
            <w:tcW w:w="0" w:type="auto"/>
          </w:tcPr>
          <w:p w14:paraId="1855624B"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79.6</w:t>
            </w:r>
          </w:p>
        </w:tc>
      </w:tr>
      <w:tr w:rsidR="00B677D4" w:rsidRPr="00E549DC" w14:paraId="71CB292E" w14:textId="77777777" w:rsidTr="00721903">
        <w:trPr>
          <w:trHeight w:val="270"/>
          <w:jc w:val="center"/>
        </w:trPr>
        <w:tc>
          <w:tcPr>
            <w:tcW w:w="0" w:type="auto"/>
            <w:noWrap/>
            <w:hideMark/>
          </w:tcPr>
          <w:p w14:paraId="4431DD9E" w14:textId="332568DA"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Cheng</w:t>
            </w:r>
            <w:r w:rsidR="004939B0" w:rsidRPr="00E549DC">
              <w:rPr>
                <w:rFonts w:ascii="Book Antiqua" w:eastAsia="等线" w:hAnsi="Book Antiqua" w:cs="Calibri"/>
                <w:i/>
                <w:iCs/>
                <w:color w:val="000000"/>
              </w:rPr>
              <w:t xml:space="preserve"> et al</w:t>
            </w:r>
            <w:r w:rsidRPr="00E549DC">
              <w:rPr>
                <w:rFonts w:ascii="Book Antiqua" w:eastAsia="等线" w:hAnsi="Book Antiqua" w:cs="Calibri"/>
                <w:noProof/>
                <w:color w:val="000000"/>
                <w:vertAlign w:val="superscript"/>
              </w:rPr>
              <w:t>[50]</w:t>
            </w:r>
          </w:p>
        </w:tc>
        <w:tc>
          <w:tcPr>
            <w:tcW w:w="0" w:type="auto"/>
          </w:tcPr>
          <w:p w14:paraId="480FDC3A"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2016</w:t>
            </w:r>
          </w:p>
        </w:tc>
        <w:tc>
          <w:tcPr>
            <w:tcW w:w="0" w:type="auto"/>
            <w:noWrap/>
            <w:hideMark/>
          </w:tcPr>
          <w:p w14:paraId="23807124"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Dovitinib</w:t>
            </w:r>
          </w:p>
        </w:tc>
        <w:tc>
          <w:tcPr>
            <w:tcW w:w="0" w:type="auto"/>
          </w:tcPr>
          <w:p w14:paraId="11814447"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82</w:t>
            </w:r>
          </w:p>
        </w:tc>
        <w:tc>
          <w:tcPr>
            <w:tcW w:w="0" w:type="auto"/>
            <w:noWrap/>
            <w:hideMark/>
          </w:tcPr>
          <w:p w14:paraId="2725153C"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56</w:t>
            </w:r>
          </w:p>
        </w:tc>
        <w:tc>
          <w:tcPr>
            <w:tcW w:w="0" w:type="auto"/>
            <w:noWrap/>
            <w:hideMark/>
          </w:tcPr>
          <w:p w14:paraId="54AC7689"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89</w:t>
            </w:r>
          </w:p>
        </w:tc>
        <w:tc>
          <w:tcPr>
            <w:tcW w:w="0" w:type="auto"/>
            <w:noWrap/>
          </w:tcPr>
          <w:p w14:paraId="774C5A81"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63.0/37.0</w:t>
            </w:r>
          </w:p>
        </w:tc>
        <w:tc>
          <w:tcPr>
            <w:tcW w:w="0" w:type="auto"/>
          </w:tcPr>
          <w:p w14:paraId="473906EA"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w:t>
            </w:r>
          </w:p>
        </w:tc>
      </w:tr>
      <w:tr w:rsidR="00B677D4" w:rsidRPr="00E549DC" w14:paraId="65715584" w14:textId="77777777" w:rsidTr="00721903">
        <w:trPr>
          <w:trHeight w:val="270"/>
          <w:jc w:val="center"/>
        </w:trPr>
        <w:tc>
          <w:tcPr>
            <w:tcW w:w="0" w:type="auto"/>
            <w:noWrap/>
          </w:tcPr>
          <w:p w14:paraId="19F7B250"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p>
        </w:tc>
        <w:tc>
          <w:tcPr>
            <w:tcW w:w="0" w:type="auto"/>
          </w:tcPr>
          <w:p w14:paraId="4E80706B"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p>
        </w:tc>
        <w:tc>
          <w:tcPr>
            <w:tcW w:w="0" w:type="auto"/>
            <w:noWrap/>
          </w:tcPr>
          <w:p w14:paraId="30658C0B"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Sorafenib</w:t>
            </w:r>
          </w:p>
        </w:tc>
        <w:tc>
          <w:tcPr>
            <w:tcW w:w="0" w:type="auto"/>
          </w:tcPr>
          <w:p w14:paraId="42BA4D4D"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83</w:t>
            </w:r>
          </w:p>
        </w:tc>
        <w:tc>
          <w:tcPr>
            <w:tcW w:w="0" w:type="auto"/>
            <w:noWrap/>
          </w:tcPr>
          <w:p w14:paraId="00344B82"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56</w:t>
            </w:r>
          </w:p>
        </w:tc>
        <w:tc>
          <w:tcPr>
            <w:tcW w:w="0" w:type="auto"/>
            <w:noWrap/>
          </w:tcPr>
          <w:p w14:paraId="7141671B"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81</w:t>
            </w:r>
          </w:p>
        </w:tc>
        <w:tc>
          <w:tcPr>
            <w:tcW w:w="0" w:type="auto"/>
            <w:noWrap/>
          </w:tcPr>
          <w:p w14:paraId="751D6F71"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64.0/35.0</w:t>
            </w:r>
          </w:p>
        </w:tc>
        <w:tc>
          <w:tcPr>
            <w:tcW w:w="0" w:type="auto"/>
          </w:tcPr>
          <w:p w14:paraId="05493B37"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w:t>
            </w:r>
          </w:p>
        </w:tc>
      </w:tr>
      <w:tr w:rsidR="00B677D4" w:rsidRPr="00E549DC" w14:paraId="24CD1FC4" w14:textId="77777777" w:rsidTr="00721903">
        <w:trPr>
          <w:trHeight w:val="270"/>
          <w:jc w:val="center"/>
        </w:trPr>
        <w:tc>
          <w:tcPr>
            <w:tcW w:w="0" w:type="auto"/>
            <w:noWrap/>
            <w:hideMark/>
          </w:tcPr>
          <w:p w14:paraId="47EA8D0F" w14:textId="54AAED20"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Cheng</w:t>
            </w:r>
            <w:r w:rsidR="004939B0" w:rsidRPr="00E549DC">
              <w:rPr>
                <w:rFonts w:ascii="Book Antiqua" w:eastAsia="等线" w:hAnsi="Book Antiqua" w:cs="Calibri"/>
                <w:i/>
                <w:iCs/>
                <w:color w:val="000000"/>
              </w:rPr>
              <w:t xml:space="preserve"> et al</w:t>
            </w:r>
            <w:r w:rsidRPr="00E549DC">
              <w:rPr>
                <w:rFonts w:ascii="Book Antiqua" w:eastAsia="等线" w:hAnsi="Book Antiqua" w:cs="Calibri"/>
                <w:noProof/>
                <w:color w:val="000000"/>
                <w:vertAlign w:val="superscript"/>
              </w:rPr>
              <w:t>[28]</w:t>
            </w:r>
          </w:p>
        </w:tc>
        <w:tc>
          <w:tcPr>
            <w:tcW w:w="0" w:type="auto"/>
          </w:tcPr>
          <w:p w14:paraId="0C3245B4"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2015</w:t>
            </w:r>
          </w:p>
        </w:tc>
        <w:tc>
          <w:tcPr>
            <w:tcW w:w="0" w:type="auto"/>
            <w:noWrap/>
            <w:hideMark/>
          </w:tcPr>
          <w:p w14:paraId="7FA8C847" w14:textId="60D78A35"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Tigatuzumab (6</w:t>
            </w:r>
            <w:r w:rsidR="000B6B06" w:rsidRPr="00E549DC">
              <w:rPr>
                <w:rFonts w:ascii="Book Antiqua" w:eastAsia="等线" w:hAnsi="Book Antiqua" w:cs="Calibri"/>
                <w:color w:val="000000"/>
              </w:rPr>
              <w:t xml:space="preserve"> </w:t>
            </w:r>
            <w:r w:rsidRPr="00E549DC">
              <w:rPr>
                <w:rFonts w:ascii="Book Antiqua" w:eastAsia="等线" w:hAnsi="Book Antiqua" w:cs="Calibri"/>
                <w:color w:val="000000"/>
              </w:rPr>
              <w:t>+</w:t>
            </w:r>
            <w:r w:rsidR="000B6B06" w:rsidRPr="00E549DC">
              <w:rPr>
                <w:rFonts w:ascii="Book Antiqua" w:eastAsia="等线" w:hAnsi="Book Antiqua" w:cs="Calibri"/>
                <w:color w:val="000000"/>
              </w:rPr>
              <w:t xml:space="preserve"> </w:t>
            </w:r>
            <w:r w:rsidRPr="00E549DC">
              <w:rPr>
                <w:rFonts w:ascii="Book Antiqua" w:eastAsia="等线" w:hAnsi="Book Antiqua" w:cs="Calibri"/>
                <w:color w:val="000000"/>
              </w:rPr>
              <w:t>2) + sorafenib</w:t>
            </w:r>
          </w:p>
        </w:tc>
        <w:tc>
          <w:tcPr>
            <w:tcW w:w="0" w:type="auto"/>
          </w:tcPr>
          <w:p w14:paraId="09184D59"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53</w:t>
            </w:r>
          </w:p>
        </w:tc>
        <w:tc>
          <w:tcPr>
            <w:tcW w:w="0" w:type="auto"/>
            <w:noWrap/>
            <w:hideMark/>
          </w:tcPr>
          <w:p w14:paraId="045C050F"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63</w:t>
            </w:r>
          </w:p>
        </w:tc>
        <w:tc>
          <w:tcPr>
            <w:tcW w:w="0" w:type="auto"/>
            <w:noWrap/>
            <w:hideMark/>
          </w:tcPr>
          <w:p w14:paraId="593ACCFD"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85</w:t>
            </w:r>
          </w:p>
        </w:tc>
        <w:tc>
          <w:tcPr>
            <w:tcW w:w="0" w:type="auto"/>
            <w:noWrap/>
          </w:tcPr>
          <w:p w14:paraId="3FD6FD1F"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60.4/39.6</w:t>
            </w:r>
          </w:p>
        </w:tc>
        <w:tc>
          <w:tcPr>
            <w:tcW w:w="0" w:type="auto"/>
          </w:tcPr>
          <w:p w14:paraId="35B967BA"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w:t>
            </w:r>
          </w:p>
        </w:tc>
      </w:tr>
      <w:tr w:rsidR="00B677D4" w:rsidRPr="00E549DC" w14:paraId="0D455D5E" w14:textId="77777777" w:rsidTr="00721903">
        <w:trPr>
          <w:trHeight w:val="270"/>
          <w:jc w:val="center"/>
        </w:trPr>
        <w:tc>
          <w:tcPr>
            <w:tcW w:w="0" w:type="auto"/>
            <w:noWrap/>
          </w:tcPr>
          <w:p w14:paraId="6C4869D5"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p>
        </w:tc>
        <w:tc>
          <w:tcPr>
            <w:tcW w:w="0" w:type="auto"/>
          </w:tcPr>
          <w:p w14:paraId="31110318"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p>
        </w:tc>
        <w:tc>
          <w:tcPr>
            <w:tcW w:w="0" w:type="auto"/>
            <w:noWrap/>
          </w:tcPr>
          <w:p w14:paraId="74B08D27" w14:textId="2B9D9833"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Tigatuzumab (6</w:t>
            </w:r>
            <w:r w:rsidR="000B6B06" w:rsidRPr="00E549DC">
              <w:rPr>
                <w:rFonts w:ascii="Book Antiqua" w:eastAsia="等线" w:hAnsi="Book Antiqua" w:cs="Calibri"/>
                <w:color w:val="000000"/>
              </w:rPr>
              <w:t xml:space="preserve"> </w:t>
            </w:r>
            <w:r w:rsidRPr="00E549DC">
              <w:rPr>
                <w:rFonts w:ascii="Book Antiqua" w:eastAsia="等线" w:hAnsi="Book Antiqua" w:cs="Calibri"/>
                <w:color w:val="000000"/>
              </w:rPr>
              <w:t>+</w:t>
            </w:r>
            <w:r w:rsidR="000B6B06" w:rsidRPr="00E549DC">
              <w:rPr>
                <w:rFonts w:ascii="Book Antiqua" w:eastAsia="等线" w:hAnsi="Book Antiqua" w:cs="Calibri"/>
                <w:color w:val="000000"/>
              </w:rPr>
              <w:t xml:space="preserve"> </w:t>
            </w:r>
            <w:r w:rsidRPr="00E549DC">
              <w:rPr>
                <w:rFonts w:ascii="Book Antiqua" w:eastAsia="等线" w:hAnsi="Book Antiqua" w:cs="Calibri"/>
                <w:color w:val="000000"/>
              </w:rPr>
              <w:t>6) + sorafenib</w:t>
            </w:r>
          </w:p>
        </w:tc>
        <w:tc>
          <w:tcPr>
            <w:tcW w:w="0" w:type="auto"/>
          </w:tcPr>
          <w:p w14:paraId="3423FE6A"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54</w:t>
            </w:r>
          </w:p>
        </w:tc>
        <w:tc>
          <w:tcPr>
            <w:tcW w:w="0" w:type="auto"/>
            <w:noWrap/>
          </w:tcPr>
          <w:p w14:paraId="63E3FC0D"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63</w:t>
            </w:r>
          </w:p>
        </w:tc>
        <w:tc>
          <w:tcPr>
            <w:tcW w:w="0" w:type="auto"/>
            <w:noWrap/>
          </w:tcPr>
          <w:p w14:paraId="3C496CDE"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83</w:t>
            </w:r>
          </w:p>
        </w:tc>
        <w:tc>
          <w:tcPr>
            <w:tcW w:w="0" w:type="auto"/>
            <w:noWrap/>
          </w:tcPr>
          <w:p w14:paraId="67E25AEF"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57.4/42.6</w:t>
            </w:r>
          </w:p>
        </w:tc>
        <w:tc>
          <w:tcPr>
            <w:tcW w:w="0" w:type="auto"/>
          </w:tcPr>
          <w:p w14:paraId="71C77E4E"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w:t>
            </w:r>
          </w:p>
        </w:tc>
      </w:tr>
      <w:tr w:rsidR="00B677D4" w:rsidRPr="00E549DC" w14:paraId="711FEF06" w14:textId="77777777" w:rsidTr="00721903">
        <w:trPr>
          <w:trHeight w:val="270"/>
          <w:jc w:val="center"/>
        </w:trPr>
        <w:tc>
          <w:tcPr>
            <w:tcW w:w="0" w:type="auto"/>
            <w:noWrap/>
          </w:tcPr>
          <w:p w14:paraId="391B8955"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p>
        </w:tc>
        <w:tc>
          <w:tcPr>
            <w:tcW w:w="0" w:type="auto"/>
          </w:tcPr>
          <w:p w14:paraId="707065D5"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p>
        </w:tc>
        <w:tc>
          <w:tcPr>
            <w:tcW w:w="0" w:type="auto"/>
            <w:noWrap/>
          </w:tcPr>
          <w:p w14:paraId="22FF820F"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Sorafenib</w:t>
            </w:r>
          </w:p>
        </w:tc>
        <w:tc>
          <w:tcPr>
            <w:tcW w:w="0" w:type="auto"/>
          </w:tcPr>
          <w:p w14:paraId="3F2D3FA8"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55</w:t>
            </w:r>
          </w:p>
        </w:tc>
        <w:tc>
          <w:tcPr>
            <w:tcW w:w="0" w:type="auto"/>
            <w:noWrap/>
          </w:tcPr>
          <w:p w14:paraId="45EFF170"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66</w:t>
            </w:r>
          </w:p>
        </w:tc>
        <w:tc>
          <w:tcPr>
            <w:tcW w:w="0" w:type="auto"/>
            <w:noWrap/>
          </w:tcPr>
          <w:p w14:paraId="210E34A0"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80</w:t>
            </w:r>
          </w:p>
        </w:tc>
        <w:tc>
          <w:tcPr>
            <w:tcW w:w="0" w:type="auto"/>
            <w:noWrap/>
          </w:tcPr>
          <w:p w14:paraId="390596EC"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54.5/45.5</w:t>
            </w:r>
          </w:p>
        </w:tc>
        <w:tc>
          <w:tcPr>
            <w:tcW w:w="0" w:type="auto"/>
          </w:tcPr>
          <w:p w14:paraId="267BA970"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w:t>
            </w:r>
          </w:p>
        </w:tc>
      </w:tr>
      <w:tr w:rsidR="00B677D4" w:rsidRPr="00E549DC" w14:paraId="6EA96736" w14:textId="77777777" w:rsidTr="00721903">
        <w:trPr>
          <w:trHeight w:val="270"/>
          <w:jc w:val="center"/>
        </w:trPr>
        <w:tc>
          <w:tcPr>
            <w:tcW w:w="0" w:type="auto"/>
            <w:noWrap/>
            <w:hideMark/>
          </w:tcPr>
          <w:p w14:paraId="7121A200" w14:textId="4B49098B"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Hsu</w:t>
            </w:r>
            <w:r w:rsidR="004939B0" w:rsidRPr="00E549DC">
              <w:rPr>
                <w:rFonts w:ascii="Book Antiqua" w:eastAsia="等线" w:hAnsi="Book Antiqua" w:cs="Calibri"/>
                <w:i/>
                <w:iCs/>
                <w:color w:val="000000"/>
              </w:rPr>
              <w:t xml:space="preserve"> et al</w:t>
            </w:r>
            <w:r w:rsidRPr="00E549DC">
              <w:rPr>
                <w:rFonts w:ascii="Book Antiqua" w:eastAsia="等线" w:hAnsi="Book Antiqua" w:cs="Calibri"/>
                <w:noProof/>
                <w:color w:val="000000"/>
                <w:vertAlign w:val="superscript"/>
              </w:rPr>
              <w:t>[51]</w:t>
            </w:r>
          </w:p>
        </w:tc>
        <w:tc>
          <w:tcPr>
            <w:tcW w:w="0" w:type="auto"/>
          </w:tcPr>
          <w:p w14:paraId="3250DEB3"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2012</w:t>
            </w:r>
          </w:p>
        </w:tc>
        <w:tc>
          <w:tcPr>
            <w:tcW w:w="0" w:type="auto"/>
            <w:noWrap/>
            <w:hideMark/>
          </w:tcPr>
          <w:p w14:paraId="637C46E0"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Vandetanib 300 mg/d</w:t>
            </w:r>
          </w:p>
        </w:tc>
        <w:tc>
          <w:tcPr>
            <w:tcW w:w="0" w:type="auto"/>
          </w:tcPr>
          <w:p w14:paraId="31B7F503"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19</w:t>
            </w:r>
          </w:p>
        </w:tc>
        <w:tc>
          <w:tcPr>
            <w:tcW w:w="0" w:type="auto"/>
            <w:noWrap/>
            <w:hideMark/>
          </w:tcPr>
          <w:p w14:paraId="793F54AB"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55</w:t>
            </w:r>
          </w:p>
        </w:tc>
        <w:tc>
          <w:tcPr>
            <w:tcW w:w="0" w:type="auto"/>
            <w:noWrap/>
            <w:hideMark/>
          </w:tcPr>
          <w:p w14:paraId="0DA0297F"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95</w:t>
            </w:r>
          </w:p>
        </w:tc>
        <w:tc>
          <w:tcPr>
            <w:tcW w:w="0" w:type="auto"/>
            <w:noWrap/>
          </w:tcPr>
          <w:p w14:paraId="5464ACE6"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w:t>
            </w:r>
          </w:p>
        </w:tc>
        <w:tc>
          <w:tcPr>
            <w:tcW w:w="0" w:type="auto"/>
          </w:tcPr>
          <w:p w14:paraId="3549E380"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w:t>
            </w:r>
          </w:p>
        </w:tc>
      </w:tr>
      <w:tr w:rsidR="00B677D4" w:rsidRPr="00E549DC" w14:paraId="1417B962" w14:textId="77777777" w:rsidTr="00721903">
        <w:trPr>
          <w:trHeight w:val="270"/>
          <w:jc w:val="center"/>
        </w:trPr>
        <w:tc>
          <w:tcPr>
            <w:tcW w:w="0" w:type="auto"/>
            <w:noWrap/>
          </w:tcPr>
          <w:p w14:paraId="73E967EB"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p>
        </w:tc>
        <w:tc>
          <w:tcPr>
            <w:tcW w:w="0" w:type="auto"/>
          </w:tcPr>
          <w:p w14:paraId="5C449263"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p>
        </w:tc>
        <w:tc>
          <w:tcPr>
            <w:tcW w:w="0" w:type="auto"/>
            <w:noWrap/>
          </w:tcPr>
          <w:p w14:paraId="4DB0CF15"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Vandetanib 100 mg/d</w:t>
            </w:r>
          </w:p>
        </w:tc>
        <w:tc>
          <w:tcPr>
            <w:tcW w:w="0" w:type="auto"/>
          </w:tcPr>
          <w:p w14:paraId="130540C8"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25</w:t>
            </w:r>
          </w:p>
        </w:tc>
        <w:tc>
          <w:tcPr>
            <w:tcW w:w="0" w:type="auto"/>
            <w:noWrap/>
          </w:tcPr>
          <w:p w14:paraId="4B92FE90"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61</w:t>
            </w:r>
          </w:p>
        </w:tc>
        <w:tc>
          <w:tcPr>
            <w:tcW w:w="0" w:type="auto"/>
            <w:noWrap/>
          </w:tcPr>
          <w:p w14:paraId="613CC635"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68</w:t>
            </w:r>
          </w:p>
        </w:tc>
        <w:tc>
          <w:tcPr>
            <w:tcW w:w="0" w:type="auto"/>
            <w:noWrap/>
          </w:tcPr>
          <w:p w14:paraId="738CCEAB"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w:t>
            </w:r>
          </w:p>
        </w:tc>
        <w:tc>
          <w:tcPr>
            <w:tcW w:w="0" w:type="auto"/>
          </w:tcPr>
          <w:p w14:paraId="7BE17A24"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w:t>
            </w:r>
          </w:p>
        </w:tc>
      </w:tr>
      <w:tr w:rsidR="00B677D4" w:rsidRPr="00E549DC" w14:paraId="787004FC" w14:textId="77777777" w:rsidTr="00721903">
        <w:trPr>
          <w:trHeight w:val="270"/>
          <w:jc w:val="center"/>
        </w:trPr>
        <w:tc>
          <w:tcPr>
            <w:tcW w:w="0" w:type="auto"/>
            <w:noWrap/>
          </w:tcPr>
          <w:p w14:paraId="6D2F9348"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p>
        </w:tc>
        <w:tc>
          <w:tcPr>
            <w:tcW w:w="0" w:type="auto"/>
          </w:tcPr>
          <w:p w14:paraId="55321137"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p>
        </w:tc>
        <w:tc>
          <w:tcPr>
            <w:tcW w:w="0" w:type="auto"/>
            <w:noWrap/>
          </w:tcPr>
          <w:p w14:paraId="7CCB3FB9"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Placebo</w:t>
            </w:r>
          </w:p>
        </w:tc>
        <w:tc>
          <w:tcPr>
            <w:tcW w:w="0" w:type="auto"/>
          </w:tcPr>
          <w:p w14:paraId="1C5886C2"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23</w:t>
            </w:r>
          </w:p>
        </w:tc>
        <w:tc>
          <w:tcPr>
            <w:tcW w:w="0" w:type="auto"/>
            <w:noWrap/>
          </w:tcPr>
          <w:p w14:paraId="0B367F58"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56</w:t>
            </w:r>
          </w:p>
        </w:tc>
        <w:tc>
          <w:tcPr>
            <w:tcW w:w="0" w:type="auto"/>
            <w:noWrap/>
          </w:tcPr>
          <w:p w14:paraId="44C015A8"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87</w:t>
            </w:r>
          </w:p>
        </w:tc>
        <w:tc>
          <w:tcPr>
            <w:tcW w:w="0" w:type="auto"/>
            <w:noWrap/>
          </w:tcPr>
          <w:p w14:paraId="180B9AD6"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w:t>
            </w:r>
          </w:p>
        </w:tc>
        <w:tc>
          <w:tcPr>
            <w:tcW w:w="0" w:type="auto"/>
          </w:tcPr>
          <w:p w14:paraId="103FBE31"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w:t>
            </w:r>
          </w:p>
        </w:tc>
      </w:tr>
      <w:tr w:rsidR="00B677D4" w:rsidRPr="00E549DC" w14:paraId="253D80AD" w14:textId="77777777" w:rsidTr="00721903">
        <w:trPr>
          <w:trHeight w:val="270"/>
          <w:jc w:val="center"/>
        </w:trPr>
        <w:tc>
          <w:tcPr>
            <w:tcW w:w="0" w:type="auto"/>
            <w:noWrap/>
            <w:hideMark/>
          </w:tcPr>
          <w:p w14:paraId="7C7C37AC" w14:textId="26821895"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Johnson</w:t>
            </w:r>
            <w:r w:rsidR="004939B0" w:rsidRPr="00E549DC">
              <w:rPr>
                <w:rFonts w:ascii="Book Antiqua" w:eastAsia="等线" w:hAnsi="Book Antiqua" w:cs="Calibri"/>
                <w:i/>
                <w:iCs/>
                <w:color w:val="000000"/>
              </w:rPr>
              <w:t xml:space="preserve"> et al</w:t>
            </w:r>
            <w:r w:rsidRPr="00E549DC">
              <w:rPr>
                <w:rFonts w:ascii="Book Antiqua" w:eastAsia="等线" w:hAnsi="Book Antiqua" w:cs="Calibri"/>
                <w:noProof/>
                <w:color w:val="000000"/>
                <w:vertAlign w:val="superscript"/>
              </w:rPr>
              <w:t>[22]</w:t>
            </w:r>
          </w:p>
        </w:tc>
        <w:tc>
          <w:tcPr>
            <w:tcW w:w="0" w:type="auto"/>
          </w:tcPr>
          <w:p w14:paraId="4470B2B3"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2013</w:t>
            </w:r>
          </w:p>
        </w:tc>
        <w:tc>
          <w:tcPr>
            <w:tcW w:w="0" w:type="auto"/>
            <w:noWrap/>
            <w:hideMark/>
          </w:tcPr>
          <w:p w14:paraId="3284688D"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Sorafenib</w:t>
            </w:r>
          </w:p>
        </w:tc>
        <w:tc>
          <w:tcPr>
            <w:tcW w:w="0" w:type="auto"/>
          </w:tcPr>
          <w:p w14:paraId="1CABB5CD"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578</w:t>
            </w:r>
          </w:p>
        </w:tc>
        <w:tc>
          <w:tcPr>
            <w:tcW w:w="0" w:type="auto"/>
            <w:noWrap/>
            <w:hideMark/>
          </w:tcPr>
          <w:p w14:paraId="026A4561"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60</w:t>
            </w:r>
          </w:p>
        </w:tc>
        <w:tc>
          <w:tcPr>
            <w:tcW w:w="0" w:type="auto"/>
            <w:noWrap/>
            <w:hideMark/>
          </w:tcPr>
          <w:p w14:paraId="41F44DCA"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84</w:t>
            </w:r>
          </w:p>
        </w:tc>
        <w:tc>
          <w:tcPr>
            <w:tcW w:w="0" w:type="auto"/>
            <w:noWrap/>
          </w:tcPr>
          <w:p w14:paraId="54591706"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61.0/39.0</w:t>
            </w:r>
          </w:p>
        </w:tc>
        <w:tc>
          <w:tcPr>
            <w:tcW w:w="0" w:type="auto"/>
          </w:tcPr>
          <w:p w14:paraId="78D52D73"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62.0</w:t>
            </w:r>
          </w:p>
        </w:tc>
      </w:tr>
      <w:tr w:rsidR="00B677D4" w:rsidRPr="00E549DC" w14:paraId="0152B659" w14:textId="77777777" w:rsidTr="00721903">
        <w:trPr>
          <w:trHeight w:val="270"/>
          <w:jc w:val="center"/>
        </w:trPr>
        <w:tc>
          <w:tcPr>
            <w:tcW w:w="0" w:type="auto"/>
            <w:noWrap/>
          </w:tcPr>
          <w:p w14:paraId="437E35E7"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p>
        </w:tc>
        <w:tc>
          <w:tcPr>
            <w:tcW w:w="0" w:type="auto"/>
          </w:tcPr>
          <w:p w14:paraId="5BE6BC94"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p>
        </w:tc>
        <w:tc>
          <w:tcPr>
            <w:tcW w:w="0" w:type="auto"/>
            <w:noWrap/>
          </w:tcPr>
          <w:p w14:paraId="3DDD558E"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Brivanib</w:t>
            </w:r>
          </w:p>
        </w:tc>
        <w:tc>
          <w:tcPr>
            <w:tcW w:w="0" w:type="auto"/>
          </w:tcPr>
          <w:p w14:paraId="6F27EF9E"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577</w:t>
            </w:r>
          </w:p>
        </w:tc>
        <w:tc>
          <w:tcPr>
            <w:tcW w:w="0" w:type="auto"/>
            <w:noWrap/>
          </w:tcPr>
          <w:p w14:paraId="6A2061BA"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61</w:t>
            </w:r>
          </w:p>
        </w:tc>
        <w:tc>
          <w:tcPr>
            <w:tcW w:w="0" w:type="auto"/>
            <w:noWrap/>
          </w:tcPr>
          <w:p w14:paraId="77521AF9"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84</w:t>
            </w:r>
          </w:p>
        </w:tc>
        <w:tc>
          <w:tcPr>
            <w:tcW w:w="0" w:type="auto"/>
            <w:noWrap/>
          </w:tcPr>
          <w:p w14:paraId="23E1ACB5"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64.0/36.0</w:t>
            </w:r>
          </w:p>
        </w:tc>
        <w:tc>
          <w:tcPr>
            <w:tcW w:w="0" w:type="auto"/>
          </w:tcPr>
          <w:p w14:paraId="23AB651C"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63.0</w:t>
            </w:r>
          </w:p>
        </w:tc>
      </w:tr>
      <w:tr w:rsidR="00B677D4" w:rsidRPr="00E549DC" w14:paraId="181C2877" w14:textId="77777777" w:rsidTr="00721903">
        <w:trPr>
          <w:trHeight w:val="270"/>
          <w:jc w:val="center"/>
        </w:trPr>
        <w:tc>
          <w:tcPr>
            <w:tcW w:w="0" w:type="auto"/>
            <w:noWrap/>
            <w:hideMark/>
          </w:tcPr>
          <w:p w14:paraId="5D2A1945" w14:textId="4FA2CF61"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Cainap</w:t>
            </w:r>
            <w:r w:rsidR="004939B0" w:rsidRPr="00E549DC">
              <w:rPr>
                <w:rFonts w:ascii="Book Antiqua" w:eastAsia="等线" w:hAnsi="Book Antiqua" w:cs="Calibri"/>
                <w:i/>
                <w:iCs/>
                <w:color w:val="000000"/>
              </w:rPr>
              <w:t xml:space="preserve"> et al</w:t>
            </w:r>
            <w:r w:rsidRPr="00E549DC">
              <w:rPr>
                <w:rFonts w:ascii="Book Antiqua" w:eastAsia="等线" w:hAnsi="Book Antiqua" w:cs="Calibri"/>
                <w:noProof/>
                <w:color w:val="000000"/>
                <w:vertAlign w:val="superscript"/>
              </w:rPr>
              <w:t>[24]</w:t>
            </w:r>
          </w:p>
        </w:tc>
        <w:tc>
          <w:tcPr>
            <w:tcW w:w="0" w:type="auto"/>
          </w:tcPr>
          <w:p w14:paraId="33185AF6"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2015</w:t>
            </w:r>
          </w:p>
        </w:tc>
        <w:tc>
          <w:tcPr>
            <w:tcW w:w="0" w:type="auto"/>
            <w:noWrap/>
            <w:hideMark/>
          </w:tcPr>
          <w:p w14:paraId="48666E14"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Linifanib</w:t>
            </w:r>
          </w:p>
        </w:tc>
        <w:tc>
          <w:tcPr>
            <w:tcW w:w="0" w:type="auto"/>
          </w:tcPr>
          <w:p w14:paraId="1C99BF86"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514</w:t>
            </w:r>
          </w:p>
        </w:tc>
        <w:tc>
          <w:tcPr>
            <w:tcW w:w="0" w:type="auto"/>
            <w:noWrap/>
            <w:hideMark/>
          </w:tcPr>
          <w:p w14:paraId="51552B61"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59</w:t>
            </w:r>
          </w:p>
        </w:tc>
        <w:tc>
          <w:tcPr>
            <w:tcW w:w="0" w:type="auto"/>
            <w:noWrap/>
            <w:hideMark/>
          </w:tcPr>
          <w:p w14:paraId="4B6E0ED1"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86</w:t>
            </w:r>
          </w:p>
        </w:tc>
        <w:tc>
          <w:tcPr>
            <w:tcW w:w="0" w:type="auto"/>
            <w:noWrap/>
          </w:tcPr>
          <w:p w14:paraId="583B34F3"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62.8/37.2</w:t>
            </w:r>
          </w:p>
        </w:tc>
        <w:tc>
          <w:tcPr>
            <w:tcW w:w="0" w:type="auto"/>
          </w:tcPr>
          <w:p w14:paraId="726B43FD"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59.7</w:t>
            </w:r>
          </w:p>
        </w:tc>
      </w:tr>
      <w:tr w:rsidR="00B677D4" w:rsidRPr="00E549DC" w14:paraId="6CD25B05" w14:textId="77777777" w:rsidTr="00721903">
        <w:trPr>
          <w:trHeight w:val="270"/>
          <w:jc w:val="center"/>
        </w:trPr>
        <w:tc>
          <w:tcPr>
            <w:tcW w:w="0" w:type="auto"/>
            <w:noWrap/>
          </w:tcPr>
          <w:p w14:paraId="0B4911E9"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p>
        </w:tc>
        <w:tc>
          <w:tcPr>
            <w:tcW w:w="0" w:type="auto"/>
          </w:tcPr>
          <w:p w14:paraId="0D40BF5C"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p>
        </w:tc>
        <w:tc>
          <w:tcPr>
            <w:tcW w:w="0" w:type="auto"/>
            <w:noWrap/>
          </w:tcPr>
          <w:p w14:paraId="07F9EA3E"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Sorafenib</w:t>
            </w:r>
          </w:p>
        </w:tc>
        <w:tc>
          <w:tcPr>
            <w:tcW w:w="0" w:type="auto"/>
          </w:tcPr>
          <w:p w14:paraId="199BFA62"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521</w:t>
            </w:r>
          </w:p>
        </w:tc>
        <w:tc>
          <w:tcPr>
            <w:tcW w:w="0" w:type="auto"/>
            <w:noWrap/>
          </w:tcPr>
          <w:p w14:paraId="0FE13B60"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60</w:t>
            </w:r>
          </w:p>
        </w:tc>
        <w:tc>
          <w:tcPr>
            <w:tcW w:w="0" w:type="auto"/>
            <w:noWrap/>
          </w:tcPr>
          <w:p w14:paraId="4EAF8713"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84</w:t>
            </w:r>
          </w:p>
        </w:tc>
        <w:tc>
          <w:tcPr>
            <w:tcW w:w="0" w:type="auto"/>
            <w:noWrap/>
          </w:tcPr>
          <w:p w14:paraId="3EDDBC65"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66.2/33.8</w:t>
            </w:r>
          </w:p>
        </w:tc>
        <w:tc>
          <w:tcPr>
            <w:tcW w:w="0" w:type="auto"/>
          </w:tcPr>
          <w:p w14:paraId="5B913606"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56.8</w:t>
            </w:r>
          </w:p>
        </w:tc>
      </w:tr>
      <w:tr w:rsidR="00B677D4" w:rsidRPr="00E549DC" w14:paraId="4DAE05D6" w14:textId="77777777" w:rsidTr="00721903">
        <w:trPr>
          <w:trHeight w:val="270"/>
          <w:jc w:val="center"/>
        </w:trPr>
        <w:tc>
          <w:tcPr>
            <w:tcW w:w="0" w:type="auto"/>
            <w:noWrap/>
            <w:hideMark/>
          </w:tcPr>
          <w:p w14:paraId="5CFABCA9" w14:textId="43C349D1"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Kudo</w:t>
            </w:r>
            <w:r w:rsidR="004939B0" w:rsidRPr="00E549DC">
              <w:rPr>
                <w:rFonts w:ascii="Book Antiqua" w:eastAsia="等线" w:hAnsi="Book Antiqua" w:cs="Calibri"/>
                <w:i/>
                <w:iCs/>
                <w:color w:val="000000"/>
              </w:rPr>
              <w:t xml:space="preserve"> et al</w:t>
            </w:r>
            <w:r w:rsidRPr="00E549DC">
              <w:rPr>
                <w:rFonts w:ascii="Book Antiqua" w:eastAsia="等线" w:hAnsi="Book Antiqua" w:cs="Calibri"/>
                <w:noProof/>
                <w:color w:val="000000"/>
                <w:vertAlign w:val="superscript"/>
              </w:rPr>
              <w:t>[10]</w:t>
            </w:r>
          </w:p>
        </w:tc>
        <w:tc>
          <w:tcPr>
            <w:tcW w:w="0" w:type="auto"/>
          </w:tcPr>
          <w:p w14:paraId="1A248453"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2018</w:t>
            </w:r>
          </w:p>
        </w:tc>
        <w:tc>
          <w:tcPr>
            <w:tcW w:w="0" w:type="auto"/>
            <w:noWrap/>
            <w:hideMark/>
          </w:tcPr>
          <w:p w14:paraId="05F53155"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Lenvatinib</w:t>
            </w:r>
          </w:p>
        </w:tc>
        <w:tc>
          <w:tcPr>
            <w:tcW w:w="0" w:type="auto"/>
          </w:tcPr>
          <w:p w14:paraId="2A7240CE"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478</w:t>
            </w:r>
          </w:p>
        </w:tc>
        <w:tc>
          <w:tcPr>
            <w:tcW w:w="0" w:type="auto"/>
            <w:noWrap/>
            <w:hideMark/>
          </w:tcPr>
          <w:p w14:paraId="7C2CD7C7"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63</w:t>
            </w:r>
          </w:p>
        </w:tc>
        <w:tc>
          <w:tcPr>
            <w:tcW w:w="0" w:type="auto"/>
            <w:noWrap/>
            <w:hideMark/>
          </w:tcPr>
          <w:p w14:paraId="5F5EEF4B"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85</w:t>
            </w:r>
          </w:p>
        </w:tc>
        <w:tc>
          <w:tcPr>
            <w:tcW w:w="0" w:type="auto"/>
            <w:noWrap/>
          </w:tcPr>
          <w:p w14:paraId="580EEFC7"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w:t>
            </w:r>
          </w:p>
        </w:tc>
        <w:tc>
          <w:tcPr>
            <w:tcW w:w="0" w:type="auto"/>
          </w:tcPr>
          <w:p w14:paraId="501195D6"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w:t>
            </w:r>
          </w:p>
        </w:tc>
      </w:tr>
      <w:tr w:rsidR="00B677D4" w:rsidRPr="00E549DC" w14:paraId="7F740EA4" w14:textId="77777777" w:rsidTr="00721903">
        <w:trPr>
          <w:trHeight w:val="270"/>
          <w:jc w:val="center"/>
        </w:trPr>
        <w:tc>
          <w:tcPr>
            <w:tcW w:w="0" w:type="auto"/>
            <w:noWrap/>
          </w:tcPr>
          <w:p w14:paraId="2822CD71"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p>
        </w:tc>
        <w:tc>
          <w:tcPr>
            <w:tcW w:w="0" w:type="auto"/>
          </w:tcPr>
          <w:p w14:paraId="5A3034B3"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p>
        </w:tc>
        <w:tc>
          <w:tcPr>
            <w:tcW w:w="0" w:type="auto"/>
            <w:noWrap/>
          </w:tcPr>
          <w:p w14:paraId="0662B044"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Sorafenib</w:t>
            </w:r>
          </w:p>
        </w:tc>
        <w:tc>
          <w:tcPr>
            <w:tcW w:w="0" w:type="auto"/>
          </w:tcPr>
          <w:p w14:paraId="1310D023"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476</w:t>
            </w:r>
          </w:p>
        </w:tc>
        <w:tc>
          <w:tcPr>
            <w:tcW w:w="0" w:type="auto"/>
            <w:noWrap/>
          </w:tcPr>
          <w:p w14:paraId="070D815F"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62</w:t>
            </w:r>
          </w:p>
        </w:tc>
        <w:tc>
          <w:tcPr>
            <w:tcW w:w="0" w:type="auto"/>
            <w:noWrap/>
          </w:tcPr>
          <w:p w14:paraId="2C28C4E6"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84</w:t>
            </w:r>
          </w:p>
        </w:tc>
        <w:tc>
          <w:tcPr>
            <w:tcW w:w="0" w:type="auto"/>
            <w:noWrap/>
          </w:tcPr>
          <w:p w14:paraId="3316658D"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w:t>
            </w:r>
          </w:p>
        </w:tc>
        <w:tc>
          <w:tcPr>
            <w:tcW w:w="0" w:type="auto"/>
          </w:tcPr>
          <w:p w14:paraId="7D429C53"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w:t>
            </w:r>
          </w:p>
        </w:tc>
      </w:tr>
      <w:tr w:rsidR="00B677D4" w:rsidRPr="00E549DC" w14:paraId="42BFB708" w14:textId="77777777" w:rsidTr="00721903">
        <w:trPr>
          <w:trHeight w:val="270"/>
          <w:jc w:val="center"/>
        </w:trPr>
        <w:tc>
          <w:tcPr>
            <w:tcW w:w="0" w:type="auto"/>
            <w:noWrap/>
            <w:hideMark/>
          </w:tcPr>
          <w:p w14:paraId="22629866" w14:textId="35C910EC"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Yau</w:t>
            </w:r>
            <w:r w:rsidR="004939B0" w:rsidRPr="00E549DC">
              <w:rPr>
                <w:rFonts w:ascii="Book Antiqua" w:eastAsia="等线" w:hAnsi="Book Antiqua" w:cs="Calibri"/>
                <w:i/>
                <w:iCs/>
                <w:color w:val="000000"/>
              </w:rPr>
              <w:t xml:space="preserve"> et al</w:t>
            </w:r>
            <w:r w:rsidRPr="00E549DC">
              <w:rPr>
                <w:rFonts w:ascii="Book Antiqua" w:eastAsia="等线" w:hAnsi="Book Antiqua" w:cs="Calibri"/>
                <w:noProof/>
                <w:color w:val="000000"/>
                <w:vertAlign w:val="superscript"/>
              </w:rPr>
              <w:t>[23]</w:t>
            </w:r>
          </w:p>
        </w:tc>
        <w:tc>
          <w:tcPr>
            <w:tcW w:w="0" w:type="auto"/>
          </w:tcPr>
          <w:p w14:paraId="3B7D4D68"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2019</w:t>
            </w:r>
          </w:p>
        </w:tc>
        <w:tc>
          <w:tcPr>
            <w:tcW w:w="0" w:type="auto"/>
            <w:noWrap/>
            <w:hideMark/>
          </w:tcPr>
          <w:p w14:paraId="510F6C24"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Nivolumab</w:t>
            </w:r>
          </w:p>
        </w:tc>
        <w:tc>
          <w:tcPr>
            <w:tcW w:w="0" w:type="auto"/>
          </w:tcPr>
          <w:p w14:paraId="57B4875B"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371</w:t>
            </w:r>
          </w:p>
        </w:tc>
        <w:tc>
          <w:tcPr>
            <w:tcW w:w="0" w:type="auto"/>
            <w:noWrap/>
            <w:hideMark/>
          </w:tcPr>
          <w:p w14:paraId="43B98593"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65</w:t>
            </w:r>
          </w:p>
        </w:tc>
        <w:tc>
          <w:tcPr>
            <w:tcW w:w="0" w:type="auto"/>
            <w:noWrap/>
            <w:hideMark/>
          </w:tcPr>
          <w:p w14:paraId="3F46383C"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85</w:t>
            </w:r>
          </w:p>
        </w:tc>
        <w:tc>
          <w:tcPr>
            <w:tcW w:w="0" w:type="auto"/>
            <w:noWrap/>
          </w:tcPr>
          <w:p w14:paraId="03E83BDA"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w:t>
            </w:r>
          </w:p>
        </w:tc>
        <w:tc>
          <w:tcPr>
            <w:tcW w:w="0" w:type="auto"/>
          </w:tcPr>
          <w:p w14:paraId="7F4CDCCE"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w:t>
            </w:r>
          </w:p>
        </w:tc>
      </w:tr>
      <w:tr w:rsidR="00B677D4" w:rsidRPr="00E549DC" w14:paraId="6DE46BE7" w14:textId="77777777" w:rsidTr="00721903">
        <w:trPr>
          <w:trHeight w:val="270"/>
          <w:jc w:val="center"/>
        </w:trPr>
        <w:tc>
          <w:tcPr>
            <w:tcW w:w="0" w:type="auto"/>
            <w:noWrap/>
          </w:tcPr>
          <w:p w14:paraId="4FDD92D6"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p>
        </w:tc>
        <w:tc>
          <w:tcPr>
            <w:tcW w:w="0" w:type="auto"/>
          </w:tcPr>
          <w:p w14:paraId="0256E8EC"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p>
        </w:tc>
        <w:tc>
          <w:tcPr>
            <w:tcW w:w="0" w:type="auto"/>
            <w:noWrap/>
          </w:tcPr>
          <w:p w14:paraId="5B325CA8"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Sorafenib</w:t>
            </w:r>
          </w:p>
        </w:tc>
        <w:tc>
          <w:tcPr>
            <w:tcW w:w="0" w:type="auto"/>
          </w:tcPr>
          <w:p w14:paraId="36197858"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372</w:t>
            </w:r>
          </w:p>
        </w:tc>
        <w:tc>
          <w:tcPr>
            <w:tcW w:w="0" w:type="auto"/>
            <w:noWrap/>
          </w:tcPr>
          <w:p w14:paraId="0A2A9440"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65</w:t>
            </w:r>
          </w:p>
        </w:tc>
        <w:tc>
          <w:tcPr>
            <w:tcW w:w="0" w:type="auto"/>
            <w:noWrap/>
          </w:tcPr>
          <w:p w14:paraId="1E860B48"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85</w:t>
            </w:r>
          </w:p>
        </w:tc>
        <w:tc>
          <w:tcPr>
            <w:tcW w:w="0" w:type="auto"/>
            <w:noWrap/>
          </w:tcPr>
          <w:p w14:paraId="176B8D32"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w:t>
            </w:r>
          </w:p>
        </w:tc>
        <w:tc>
          <w:tcPr>
            <w:tcW w:w="0" w:type="auto"/>
          </w:tcPr>
          <w:p w14:paraId="141467F2"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w:t>
            </w:r>
          </w:p>
        </w:tc>
      </w:tr>
      <w:tr w:rsidR="00B677D4" w:rsidRPr="00E549DC" w14:paraId="271570BE" w14:textId="77777777" w:rsidTr="00721903">
        <w:trPr>
          <w:trHeight w:val="270"/>
          <w:jc w:val="center"/>
        </w:trPr>
        <w:tc>
          <w:tcPr>
            <w:tcW w:w="0" w:type="auto"/>
            <w:noWrap/>
            <w:hideMark/>
          </w:tcPr>
          <w:p w14:paraId="6F0C7793" w14:textId="3E93A8AD"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Cheng</w:t>
            </w:r>
            <w:r w:rsidR="004939B0" w:rsidRPr="00E549DC">
              <w:rPr>
                <w:rFonts w:ascii="Book Antiqua" w:eastAsia="等线" w:hAnsi="Book Antiqua" w:cs="Calibri"/>
                <w:i/>
                <w:iCs/>
                <w:color w:val="000000"/>
              </w:rPr>
              <w:t xml:space="preserve"> et al</w:t>
            </w:r>
            <w:r w:rsidRPr="00E549DC">
              <w:rPr>
                <w:rFonts w:ascii="Book Antiqua" w:eastAsia="等线" w:hAnsi="Book Antiqua" w:cs="Calibri"/>
                <w:noProof/>
                <w:color w:val="000000"/>
                <w:vertAlign w:val="superscript"/>
              </w:rPr>
              <w:t>[29]</w:t>
            </w:r>
          </w:p>
        </w:tc>
        <w:tc>
          <w:tcPr>
            <w:tcW w:w="0" w:type="auto"/>
          </w:tcPr>
          <w:p w14:paraId="4C542994"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2013</w:t>
            </w:r>
          </w:p>
        </w:tc>
        <w:tc>
          <w:tcPr>
            <w:tcW w:w="0" w:type="auto"/>
            <w:noWrap/>
            <w:hideMark/>
          </w:tcPr>
          <w:p w14:paraId="53CBF140"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Sunitinib</w:t>
            </w:r>
          </w:p>
        </w:tc>
        <w:tc>
          <w:tcPr>
            <w:tcW w:w="0" w:type="auto"/>
          </w:tcPr>
          <w:p w14:paraId="51F2FFF6"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530</w:t>
            </w:r>
          </w:p>
        </w:tc>
        <w:tc>
          <w:tcPr>
            <w:tcW w:w="0" w:type="auto"/>
            <w:noWrap/>
            <w:hideMark/>
          </w:tcPr>
          <w:p w14:paraId="725266CB"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59</w:t>
            </w:r>
          </w:p>
        </w:tc>
        <w:tc>
          <w:tcPr>
            <w:tcW w:w="0" w:type="auto"/>
            <w:noWrap/>
            <w:hideMark/>
          </w:tcPr>
          <w:p w14:paraId="5E3E5F33"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82</w:t>
            </w:r>
          </w:p>
        </w:tc>
        <w:tc>
          <w:tcPr>
            <w:tcW w:w="0" w:type="auto"/>
            <w:noWrap/>
          </w:tcPr>
          <w:p w14:paraId="19D6FF45"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52.5/46.8</w:t>
            </w:r>
          </w:p>
        </w:tc>
        <w:tc>
          <w:tcPr>
            <w:tcW w:w="0" w:type="auto"/>
          </w:tcPr>
          <w:p w14:paraId="680BC870"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78.9</w:t>
            </w:r>
          </w:p>
        </w:tc>
      </w:tr>
      <w:tr w:rsidR="00B677D4" w:rsidRPr="00E549DC" w14:paraId="7AC6FB34" w14:textId="77777777" w:rsidTr="00721903">
        <w:trPr>
          <w:trHeight w:val="270"/>
          <w:jc w:val="center"/>
        </w:trPr>
        <w:tc>
          <w:tcPr>
            <w:tcW w:w="0" w:type="auto"/>
            <w:noWrap/>
          </w:tcPr>
          <w:p w14:paraId="7C92ECC1"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p>
        </w:tc>
        <w:tc>
          <w:tcPr>
            <w:tcW w:w="0" w:type="auto"/>
          </w:tcPr>
          <w:p w14:paraId="2B91B01C"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p>
        </w:tc>
        <w:tc>
          <w:tcPr>
            <w:tcW w:w="0" w:type="auto"/>
            <w:noWrap/>
          </w:tcPr>
          <w:p w14:paraId="0F1DEFBA"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Sorafenib</w:t>
            </w:r>
          </w:p>
        </w:tc>
        <w:tc>
          <w:tcPr>
            <w:tcW w:w="0" w:type="auto"/>
          </w:tcPr>
          <w:p w14:paraId="0A8265FA"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544</w:t>
            </w:r>
          </w:p>
        </w:tc>
        <w:tc>
          <w:tcPr>
            <w:tcW w:w="0" w:type="auto"/>
            <w:noWrap/>
          </w:tcPr>
          <w:p w14:paraId="478ECC29"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59</w:t>
            </w:r>
          </w:p>
        </w:tc>
        <w:tc>
          <w:tcPr>
            <w:tcW w:w="0" w:type="auto"/>
            <w:noWrap/>
          </w:tcPr>
          <w:p w14:paraId="4C3B1E68"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84</w:t>
            </w:r>
          </w:p>
        </w:tc>
        <w:tc>
          <w:tcPr>
            <w:tcW w:w="0" w:type="auto"/>
            <w:noWrap/>
          </w:tcPr>
          <w:p w14:paraId="130A49A3"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52.9/46.7</w:t>
            </w:r>
          </w:p>
        </w:tc>
        <w:tc>
          <w:tcPr>
            <w:tcW w:w="0" w:type="auto"/>
          </w:tcPr>
          <w:p w14:paraId="0CB79B21"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76.3</w:t>
            </w:r>
          </w:p>
        </w:tc>
      </w:tr>
      <w:tr w:rsidR="00B677D4" w:rsidRPr="00E549DC" w14:paraId="25568768" w14:textId="77777777" w:rsidTr="00721903">
        <w:trPr>
          <w:trHeight w:val="270"/>
          <w:jc w:val="center"/>
        </w:trPr>
        <w:tc>
          <w:tcPr>
            <w:tcW w:w="0" w:type="auto"/>
            <w:noWrap/>
            <w:hideMark/>
          </w:tcPr>
          <w:p w14:paraId="3E9FFF43" w14:textId="1B41CACE"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Zhu</w:t>
            </w:r>
            <w:r w:rsidR="004939B0" w:rsidRPr="00E549DC">
              <w:rPr>
                <w:rFonts w:ascii="Book Antiqua" w:eastAsia="等线" w:hAnsi="Book Antiqua" w:cs="Calibri"/>
                <w:i/>
                <w:iCs/>
                <w:color w:val="000000"/>
              </w:rPr>
              <w:t xml:space="preserve"> et al</w:t>
            </w:r>
            <w:r w:rsidRPr="00E549DC">
              <w:rPr>
                <w:rFonts w:ascii="Book Antiqua" w:eastAsia="等线" w:hAnsi="Book Antiqua" w:cs="Calibri"/>
                <w:noProof/>
                <w:color w:val="000000"/>
                <w:vertAlign w:val="superscript"/>
              </w:rPr>
              <w:t>[26]</w:t>
            </w:r>
          </w:p>
        </w:tc>
        <w:tc>
          <w:tcPr>
            <w:tcW w:w="0" w:type="auto"/>
          </w:tcPr>
          <w:p w14:paraId="1B109378"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2015</w:t>
            </w:r>
          </w:p>
        </w:tc>
        <w:tc>
          <w:tcPr>
            <w:tcW w:w="0" w:type="auto"/>
            <w:noWrap/>
            <w:hideMark/>
          </w:tcPr>
          <w:p w14:paraId="65F62C2C"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Sorafenib + erlotinib</w:t>
            </w:r>
          </w:p>
        </w:tc>
        <w:tc>
          <w:tcPr>
            <w:tcW w:w="0" w:type="auto"/>
          </w:tcPr>
          <w:p w14:paraId="30097C10"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362</w:t>
            </w:r>
          </w:p>
        </w:tc>
        <w:tc>
          <w:tcPr>
            <w:tcW w:w="0" w:type="auto"/>
            <w:noWrap/>
            <w:hideMark/>
          </w:tcPr>
          <w:p w14:paraId="76E930C0"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60</w:t>
            </w:r>
          </w:p>
        </w:tc>
        <w:tc>
          <w:tcPr>
            <w:tcW w:w="0" w:type="auto"/>
            <w:noWrap/>
            <w:hideMark/>
          </w:tcPr>
          <w:p w14:paraId="6B0025C4"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82</w:t>
            </w:r>
          </w:p>
        </w:tc>
        <w:tc>
          <w:tcPr>
            <w:tcW w:w="0" w:type="auto"/>
            <w:noWrap/>
          </w:tcPr>
          <w:p w14:paraId="7FB5BF51"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61.3/38.7</w:t>
            </w:r>
          </w:p>
        </w:tc>
        <w:tc>
          <w:tcPr>
            <w:tcW w:w="0" w:type="auto"/>
          </w:tcPr>
          <w:p w14:paraId="7A799503"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56.6</w:t>
            </w:r>
          </w:p>
        </w:tc>
      </w:tr>
      <w:tr w:rsidR="00B677D4" w:rsidRPr="00E549DC" w14:paraId="1C99C954" w14:textId="77777777" w:rsidTr="00721903">
        <w:trPr>
          <w:trHeight w:val="270"/>
          <w:jc w:val="center"/>
        </w:trPr>
        <w:tc>
          <w:tcPr>
            <w:tcW w:w="0" w:type="auto"/>
            <w:noWrap/>
          </w:tcPr>
          <w:p w14:paraId="0395693E"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p>
        </w:tc>
        <w:tc>
          <w:tcPr>
            <w:tcW w:w="0" w:type="auto"/>
          </w:tcPr>
          <w:p w14:paraId="15F31571"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p>
        </w:tc>
        <w:tc>
          <w:tcPr>
            <w:tcW w:w="0" w:type="auto"/>
            <w:noWrap/>
          </w:tcPr>
          <w:p w14:paraId="298A4015"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Sorafenib + placebo</w:t>
            </w:r>
          </w:p>
        </w:tc>
        <w:tc>
          <w:tcPr>
            <w:tcW w:w="0" w:type="auto"/>
          </w:tcPr>
          <w:p w14:paraId="37C929AA"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358</w:t>
            </w:r>
          </w:p>
        </w:tc>
        <w:tc>
          <w:tcPr>
            <w:tcW w:w="0" w:type="auto"/>
            <w:noWrap/>
          </w:tcPr>
          <w:p w14:paraId="3B5035E6"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61</w:t>
            </w:r>
          </w:p>
        </w:tc>
        <w:tc>
          <w:tcPr>
            <w:tcW w:w="0" w:type="auto"/>
            <w:noWrap/>
          </w:tcPr>
          <w:p w14:paraId="0F309BEA"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80</w:t>
            </w:r>
          </w:p>
        </w:tc>
        <w:tc>
          <w:tcPr>
            <w:tcW w:w="0" w:type="auto"/>
            <w:noWrap/>
          </w:tcPr>
          <w:p w14:paraId="56DA0DF0"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60.3/39.7</w:t>
            </w:r>
          </w:p>
        </w:tc>
        <w:tc>
          <w:tcPr>
            <w:tcW w:w="0" w:type="auto"/>
          </w:tcPr>
          <w:p w14:paraId="0655974B"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61.2</w:t>
            </w:r>
          </w:p>
        </w:tc>
      </w:tr>
      <w:tr w:rsidR="00B677D4" w:rsidRPr="00E549DC" w14:paraId="376616CC" w14:textId="77777777" w:rsidTr="00721903">
        <w:trPr>
          <w:trHeight w:val="270"/>
          <w:jc w:val="center"/>
        </w:trPr>
        <w:tc>
          <w:tcPr>
            <w:tcW w:w="0" w:type="auto"/>
            <w:noWrap/>
            <w:hideMark/>
          </w:tcPr>
          <w:p w14:paraId="52CD4E04" w14:textId="439E2758"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Llovet</w:t>
            </w:r>
            <w:r w:rsidR="004939B0" w:rsidRPr="00E549DC">
              <w:rPr>
                <w:rFonts w:ascii="Book Antiqua" w:eastAsia="等线" w:hAnsi="Book Antiqua" w:cs="Calibri"/>
                <w:i/>
                <w:iCs/>
                <w:color w:val="000000"/>
              </w:rPr>
              <w:t xml:space="preserve"> et al</w:t>
            </w:r>
            <w:r w:rsidRPr="00E549DC">
              <w:rPr>
                <w:rFonts w:ascii="Book Antiqua" w:eastAsia="等线" w:hAnsi="Book Antiqua" w:cs="Calibri"/>
                <w:noProof/>
                <w:color w:val="000000"/>
                <w:vertAlign w:val="superscript"/>
              </w:rPr>
              <w:t>[52]</w:t>
            </w:r>
          </w:p>
        </w:tc>
        <w:tc>
          <w:tcPr>
            <w:tcW w:w="0" w:type="auto"/>
          </w:tcPr>
          <w:p w14:paraId="2936D9A1"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2008</w:t>
            </w:r>
          </w:p>
        </w:tc>
        <w:tc>
          <w:tcPr>
            <w:tcW w:w="0" w:type="auto"/>
            <w:noWrap/>
            <w:hideMark/>
          </w:tcPr>
          <w:p w14:paraId="3847B7BA"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Sorafenib</w:t>
            </w:r>
          </w:p>
        </w:tc>
        <w:tc>
          <w:tcPr>
            <w:tcW w:w="0" w:type="auto"/>
          </w:tcPr>
          <w:p w14:paraId="326023ED"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299</w:t>
            </w:r>
          </w:p>
        </w:tc>
        <w:tc>
          <w:tcPr>
            <w:tcW w:w="0" w:type="auto"/>
            <w:noWrap/>
            <w:hideMark/>
          </w:tcPr>
          <w:p w14:paraId="2D4F0E45"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65</w:t>
            </w:r>
          </w:p>
        </w:tc>
        <w:tc>
          <w:tcPr>
            <w:tcW w:w="0" w:type="auto"/>
            <w:noWrap/>
            <w:hideMark/>
          </w:tcPr>
          <w:p w14:paraId="4CE3385E"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87</w:t>
            </w:r>
          </w:p>
        </w:tc>
        <w:tc>
          <w:tcPr>
            <w:tcW w:w="0" w:type="auto"/>
            <w:noWrap/>
          </w:tcPr>
          <w:p w14:paraId="43F65D0B"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54.0/46.0</w:t>
            </w:r>
          </w:p>
        </w:tc>
        <w:tc>
          <w:tcPr>
            <w:tcW w:w="0" w:type="auto"/>
          </w:tcPr>
          <w:p w14:paraId="5D5C423D"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53.0</w:t>
            </w:r>
          </w:p>
        </w:tc>
      </w:tr>
      <w:tr w:rsidR="00B677D4" w:rsidRPr="00E549DC" w14:paraId="0009B413" w14:textId="77777777" w:rsidTr="00721903">
        <w:trPr>
          <w:trHeight w:val="270"/>
          <w:jc w:val="center"/>
        </w:trPr>
        <w:tc>
          <w:tcPr>
            <w:tcW w:w="0" w:type="auto"/>
            <w:noWrap/>
          </w:tcPr>
          <w:p w14:paraId="62855484"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p>
        </w:tc>
        <w:tc>
          <w:tcPr>
            <w:tcW w:w="0" w:type="auto"/>
          </w:tcPr>
          <w:p w14:paraId="300845F0"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p>
        </w:tc>
        <w:tc>
          <w:tcPr>
            <w:tcW w:w="0" w:type="auto"/>
            <w:noWrap/>
          </w:tcPr>
          <w:p w14:paraId="486FD6F0"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Placebo</w:t>
            </w:r>
          </w:p>
        </w:tc>
        <w:tc>
          <w:tcPr>
            <w:tcW w:w="0" w:type="auto"/>
          </w:tcPr>
          <w:p w14:paraId="05958B5C"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303</w:t>
            </w:r>
          </w:p>
        </w:tc>
        <w:tc>
          <w:tcPr>
            <w:tcW w:w="0" w:type="auto"/>
            <w:noWrap/>
          </w:tcPr>
          <w:p w14:paraId="550FF78D"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66</w:t>
            </w:r>
          </w:p>
        </w:tc>
        <w:tc>
          <w:tcPr>
            <w:tcW w:w="0" w:type="auto"/>
            <w:noWrap/>
          </w:tcPr>
          <w:p w14:paraId="6098BFBA"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87</w:t>
            </w:r>
          </w:p>
        </w:tc>
        <w:tc>
          <w:tcPr>
            <w:tcW w:w="0" w:type="auto"/>
            <w:noWrap/>
          </w:tcPr>
          <w:p w14:paraId="5F0024CD"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54.0/46.0</w:t>
            </w:r>
          </w:p>
        </w:tc>
        <w:tc>
          <w:tcPr>
            <w:tcW w:w="0" w:type="auto"/>
          </w:tcPr>
          <w:p w14:paraId="2390AB55"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50.0</w:t>
            </w:r>
          </w:p>
        </w:tc>
      </w:tr>
      <w:tr w:rsidR="00B677D4" w:rsidRPr="00E549DC" w14:paraId="4031F87C" w14:textId="77777777" w:rsidTr="00721903">
        <w:trPr>
          <w:trHeight w:val="270"/>
          <w:jc w:val="center"/>
        </w:trPr>
        <w:tc>
          <w:tcPr>
            <w:tcW w:w="0" w:type="auto"/>
            <w:noWrap/>
            <w:hideMark/>
          </w:tcPr>
          <w:p w14:paraId="0F4DE85D" w14:textId="6C8120C0"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Cheng</w:t>
            </w:r>
            <w:r w:rsidR="004939B0" w:rsidRPr="00E549DC">
              <w:rPr>
                <w:rFonts w:ascii="Book Antiqua" w:eastAsia="等线" w:hAnsi="Book Antiqua" w:cs="Calibri"/>
                <w:i/>
                <w:iCs/>
                <w:color w:val="000000"/>
              </w:rPr>
              <w:t xml:space="preserve"> et al</w:t>
            </w:r>
            <w:r w:rsidRPr="00E549DC">
              <w:rPr>
                <w:rFonts w:ascii="Book Antiqua" w:eastAsia="等线" w:hAnsi="Book Antiqua" w:cs="Calibri"/>
                <w:noProof/>
                <w:color w:val="000000"/>
                <w:vertAlign w:val="superscript"/>
              </w:rPr>
              <w:t>[25]</w:t>
            </w:r>
          </w:p>
        </w:tc>
        <w:tc>
          <w:tcPr>
            <w:tcW w:w="0" w:type="auto"/>
          </w:tcPr>
          <w:p w14:paraId="3AD7F8C0"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2009</w:t>
            </w:r>
          </w:p>
        </w:tc>
        <w:tc>
          <w:tcPr>
            <w:tcW w:w="0" w:type="auto"/>
            <w:noWrap/>
            <w:hideMark/>
          </w:tcPr>
          <w:p w14:paraId="0A6EB164"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Sorafenib</w:t>
            </w:r>
          </w:p>
        </w:tc>
        <w:tc>
          <w:tcPr>
            <w:tcW w:w="0" w:type="auto"/>
          </w:tcPr>
          <w:p w14:paraId="53981036"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150</w:t>
            </w:r>
          </w:p>
        </w:tc>
        <w:tc>
          <w:tcPr>
            <w:tcW w:w="0" w:type="auto"/>
            <w:noWrap/>
            <w:hideMark/>
          </w:tcPr>
          <w:p w14:paraId="0BB2BB04"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51</w:t>
            </w:r>
          </w:p>
        </w:tc>
        <w:tc>
          <w:tcPr>
            <w:tcW w:w="0" w:type="auto"/>
            <w:noWrap/>
            <w:hideMark/>
          </w:tcPr>
          <w:p w14:paraId="62BD424C"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85</w:t>
            </w:r>
          </w:p>
        </w:tc>
        <w:tc>
          <w:tcPr>
            <w:tcW w:w="0" w:type="auto"/>
            <w:noWrap/>
          </w:tcPr>
          <w:p w14:paraId="11A54025"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25.3/74.6</w:t>
            </w:r>
          </w:p>
        </w:tc>
        <w:tc>
          <w:tcPr>
            <w:tcW w:w="0" w:type="auto"/>
          </w:tcPr>
          <w:p w14:paraId="0B9A7973"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68.7</w:t>
            </w:r>
          </w:p>
        </w:tc>
      </w:tr>
      <w:tr w:rsidR="00B677D4" w:rsidRPr="00E549DC" w14:paraId="6F70F87A" w14:textId="77777777" w:rsidTr="00721903">
        <w:trPr>
          <w:trHeight w:val="270"/>
          <w:jc w:val="center"/>
        </w:trPr>
        <w:tc>
          <w:tcPr>
            <w:tcW w:w="0" w:type="auto"/>
            <w:noWrap/>
          </w:tcPr>
          <w:p w14:paraId="5816805E"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p>
        </w:tc>
        <w:tc>
          <w:tcPr>
            <w:tcW w:w="0" w:type="auto"/>
          </w:tcPr>
          <w:p w14:paraId="72476F63"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p>
        </w:tc>
        <w:tc>
          <w:tcPr>
            <w:tcW w:w="0" w:type="auto"/>
            <w:noWrap/>
          </w:tcPr>
          <w:p w14:paraId="39890F9E"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Placebo</w:t>
            </w:r>
          </w:p>
        </w:tc>
        <w:tc>
          <w:tcPr>
            <w:tcW w:w="0" w:type="auto"/>
          </w:tcPr>
          <w:p w14:paraId="5A28F48B"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76</w:t>
            </w:r>
          </w:p>
        </w:tc>
        <w:tc>
          <w:tcPr>
            <w:tcW w:w="0" w:type="auto"/>
            <w:noWrap/>
          </w:tcPr>
          <w:p w14:paraId="703A51A8"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52</w:t>
            </w:r>
          </w:p>
        </w:tc>
        <w:tc>
          <w:tcPr>
            <w:tcW w:w="0" w:type="auto"/>
            <w:noWrap/>
          </w:tcPr>
          <w:p w14:paraId="085BA015"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87</w:t>
            </w:r>
          </w:p>
        </w:tc>
        <w:tc>
          <w:tcPr>
            <w:tcW w:w="0" w:type="auto"/>
            <w:noWrap/>
          </w:tcPr>
          <w:p w14:paraId="3E18F775"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27.6/72.4</w:t>
            </w:r>
          </w:p>
        </w:tc>
        <w:tc>
          <w:tcPr>
            <w:tcW w:w="0" w:type="auto"/>
          </w:tcPr>
          <w:p w14:paraId="5EDA1553"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68.4</w:t>
            </w:r>
          </w:p>
        </w:tc>
      </w:tr>
      <w:tr w:rsidR="00B677D4" w:rsidRPr="00E549DC" w14:paraId="55DD021E" w14:textId="77777777" w:rsidTr="00721903">
        <w:trPr>
          <w:trHeight w:val="270"/>
          <w:jc w:val="center"/>
        </w:trPr>
        <w:tc>
          <w:tcPr>
            <w:tcW w:w="0" w:type="auto"/>
            <w:noWrap/>
            <w:hideMark/>
          </w:tcPr>
          <w:p w14:paraId="5BF94CAA" w14:textId="4855A360"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Palmer</w:t>
            </w:r>
            <w:r w:rsidR="004939B0" w:rsidRPr="00E549DC">
              <w:rPr>
                <w:rFonts w:ascii="Book Antiqua" w:eastAsia="等线" w:hAnsi="Book Antiqua" w:cs="Calibri"/>
                <w:i/>
                <w:iCs/>
                <w:color w:val="000000"/>
              </w:rPr>
              <w:t xml:space="preserve"> et al</w:t>
            </w:r>
            <w:r w:rsidRPr="00E549DC">
              <w:rPr>
                <w:rFonts w:ascii="Book Antiqua" w:eastAsia="等线" w:hAnsi="Book Antiqua" w:cs="Calibri"/>
                <w:noProof/>
                <w:color w:val="000000"/>
                <w:vertAlign w:val="superscript"/>
              </w:rPr>
              <w:t>[53]</w:t>
            </w:r>
          </w:p>
        </w:tc>
        <w:tc>
          <w:tcPr>
            <w:tcW w:w="0" w:type="auto"/>
          </w:tcPr>
          <w:p w14:paraId="05FF08C7"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2018</w:t>
            </w:r>
          </w:p>
        </w:tc>
        <w:tc>
          <w:tcPr>
            <w:tcW w:w="0" w:type="auto"/>
            <w:noWrap/>
            <w:hideMark/>
          </w:tcPr>
          <w:p w14:paraId="240066CD"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Nintedanib</w:t>
            </w:r>
          </w:p>
        </w:tc>
        <w:tc>
          <w:tcPr>
            <w:tcW w:w="0" w:type="auto"/>
          </w:tcPr>
          <w:p w14:paraId="3E749C44"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62</w:t>
            </w:r>
          </w:p>
        </w:tc>
        <w:tc>
          <w:tcPr>
            <w:tcW w:w="0" w:type="auto"/>
            <w:noWrap/>
            <w:hideMark/>
          </w:tcPr>
          <w:p w14:paraId="1A9BB5B8"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66</w:t>
            </w:r>
          </w:p>
        </w:tc>
        <w:tc>
          <w:tcPr>
            <w:tcW w:w="0" w:type="auto"/>
            <w:noWrap/>
            <w:hideMark/>
          </w:tcPr>
          <w:p w14:paraId="62972597"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77</w:t>
            </w:r>
          </w:p>
        </w:tc>
        <w:tc>
          <w:tcPr>
            <w:tcW w:w="0" w:type="auto"/>
            <w:noWrap/>
          </w:tcPr>
          <w:p w14:paraId="5B89F236"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51.6/48.4</w:t>
            </w:r>
          </w:p>
        </w:tc>
        <w:tc>
          <w:tcPr>
            <w:tcW w:w="0" w:type="auto"/>
          </w:tcPr>
          <w:p w14:paraId="561DF215"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64.5</w:t>
            </w:r>
          </w:p>
        </w:tc>
      </w:tr>
      <w:tr w:rsidR="00B677D4" w:rsidRPr="00E549DC" w14:paraId="353D5CAE" w14:textId="77777777" w:rsidTr="00721903">
        <w:trPr>
          <w:trHeight w:val="270"/>
          <w:jc w:val="center"/>
        </w:trPr>
        <w:tc>
          <w:tcPr>
            <w:tcW w:w="0" w:type="auto"/>
            <w:noWrap/>
          </w:tcPr>
          <w:p w14:paraId="1AA727B8"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p>
        </w:tc>
        <w:tc>
          <w:tcPr>
            <w:tcW w:w="0" w:type="auto"/>
          </w:tcPr>
          <w:p w14:paraId="19AB8A20"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p>
        </w:tc>
        <w:tc>
          <w:tcPr>
            <w:tcW w:w="0" w:type="auto"/>
            <w:noWrap/>
          </w:tcPr>
          <w:p w14:paraId="64DE9DA7"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Sorafenib</w:t>
            </w:r>
          </w:p>
        </w:tc>
        <w:tc>
          <w:tcPr>
            <w:tcW w:w="0" w:type="auto"/>
          </w:tcPr>
          <w:p w14:paraId="4B52FA11"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31</w:t>
            </w:r>
          </w:p>
        </w:tc>
        <w:tc>
          <w:tcPr>
            <w:tcW w:w="0" w:type="auto"/>
            <w:noWrap/>
          </w:tcPr>
          <w:p w14:paraId="49503551"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64</w:t>
            </w:r>
          </w:p>
        </w:tc>
        <w:tc>
          <w:tcPr>
            <w:tcW w:w="0" w:type="auto"/>
            <w:noWrap/>
          </w:tcPr>
          <w:p w14:paraId="251A47C8"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84</w:t>
            </w:r>
          </w:p>
        </w:tc>
        <w:tc>
          <w:tcPr>
            <w:tcW w:w="0" w:type="auto"/>
            <w:noWrap/>
          </w:tcPr>
          <w:p w14:paraId="7C4097F2"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58.1/33.0</w:t>
            </w:r>
          </w:p>
        </w:tc>
        <w:tc>
          <w:tcPr>
            <w:tcW w:w="0" w:type="auto"/>
          </w:tcPr>
          <w:p w14:paraId="55122C61"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67.7</w:t>
            </w:r>
          </w:p>
        </w:tc>
      </w:tr>
      <w:tr w:rsidR="00B677D4" w:rsidRPr="00E549DC" w14:paraId="7AEC123A" w14:textId="77777777" w:rsidTr="00721903">
        <w:trPr>
          <w:trHeight w:val="270"/>
          <w:jc w:val="center"/>
        </w:trPr>
        <w:tc>
          <w:tcPr>
            <w:tcW w:w="0" w:type="auto"/>
            <w:noWrap/>
            <w:hideMark/>
          </w:tcPr>
          <w:p w14:paraId="0E195814" w14:textId="57297A2F"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Thomas</w:t>
            </w:r>
            <w:r w:rsidR="004939B0" w:rsidRPr="00E549DC">
              <w:rPr>
                <w:rFonts w:ascii="Book Antiqua" w:eastAsia="等线" w:hAnsi="Book Antiqua" w:cs="Calibri"/>
                <w:i/>
                <w:iCs/>
                <w:color w:val="000000"/>
              </w:rPr>
              <w:t xml:space="preserve"> et al</w:t>
            </w:r>
            <w:r w:rsidRPr="00E549DC">
              <w:rPr>
                <w:rFonts w:ascii="Book Antiqua" w:eastAsia="等线" w:hAnsi="Book Antiqua" w:cs="Calibri"/>
                <w:noProof/>
                <w:color w:val="000000"/>
                <w:vertAlign w:val="superscript"/>
              </w:rPr>
              <w:t>[54]</w:t>
            </w:r>
          </w:p>
        </w:tc>
        <w:tc>
          <w:tcPr>
            <w:tcW w:w="0" w:type="auto"/>
          </w:tcPr>
          <w:p w14:paraId="7D54BB13"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2018</w:t>
            </w:r>
          </w:p>
        </w:tc>
        <w:tc>
          <w:tcPr>
            <w:tcW w:w="0" w:type="auto"/>
            <w:noWrap/>
            <w:hideMark/>
          </w:tcPr>
          <w:p w14:paraId="3699B081"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Bevacizumab + erlotinib</w:t>
            </w:r>
          </w:p>
        </w:tc>
        <w:tc>
          <w:tcPr>
            <w:tcW w:w="0" w:type="auto"/>
          </w:tcPr>
          <w:p w14:paraId="41150E38"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47</w:t>
            </w:r>
          </w:p>
        </w:tc>
        <w:tc>
          <w:tcPr>
            <w:tcW w:w="0" w:type="auto"/>
            <w:noWrap/>
            <w:hideMark/>
          </w:tcPr>
          <w:p w14:paraId="5FCF4D83"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61</w:t>
            </w:r>
          </w:p>
        </w:tc>
        <w:tc>
          <w:tcPr>
            <w:tcW w:w="0" w:type="auto"/>
            <w:noWrap/>
            <w:hideMark/>
          </w:tcPr>
          <w:p w14:paraId="2EDD8C42"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NR</w:t>
            </w:r>
          </w:p>
        </w:tc>
        <w:tc>
          <w:tcPr>
            <w:tcW w:w="0" w:type="auto"/>
            <w:noWrap/>
          </w:tcPr>
          <w:p w14:paraId="045A8883"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32.0/68.0</w:t>
            </w:r>
          </w:p>
        </w:tc>
        <w:tc>
          <w:tcPr>
            <w:tcW w:w="0" w:type="auto"/>
          </w:tcPr>
          <w:p w14:paraId="2033B679"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40.0</w:t>
            </w:r>
          </w:p>
        </w:tc>
      </w:tr>
      <w:tr w:rsidR="00B677D4" w:rsidRPr="00E549DC" w14:paraId="68D40E31" w14:textId="77777777" w:rsidTr="00721903">
        <w:trPr>
          <w:trHeight w:val="270"/>
          <w:jc w:val="center"/>
        </w:trPr>
        <w:tc>
          <w:tcPr>
            <w:tcW w:w="0" w:type="auto"/>
            <w:noWrap/>
          </w:tcPr>
          <w:p w14:paraId="4D8425D8"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p>
        </w:tc>
        <w:tc>
          <w:tcPr>
            <w:tcW w:w="0" w:type="auto"/>
          </w:tcPr>
          <w:p w14:paraId="61ACA329"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p>
        </w:tc>
        <w:tc>
          <w:tcPr>
            <w:tcW w:w="0" w:type="auto"/>
            <w:noWrap/>
          </w:tcPr>
          <w:p w14:paraId="36FC57FA"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Sorafenib</w:t>
            </w:r>
          </w:p>
        </w:tc>
        <w:tc>
          <w:tcPr>
            <w:tcW w:w="0" w:type="auto"/>
          </w:tcPr>
          <w:p w14:paraId="09C7E3DF"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43</w:t>
            </w:r>
          </w:p>
        </w:tc>
        <w:tc>
          <w:tcPr>
            <w:tcW w:w="0" w:type="auto"/>
            <w:noWrap/>
          </w:tcPr>
          <w:p w14:paraId="547D9184"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61</w:t>
            </w:r>
          </w:p>
        </w:tc>
        <w:tc>
          <w:tcPr>
            <w:tcW w:w="0" w:type="auto"/>
            <w:noWrap/>
          </w:tcPr>
          <w:p w14:paraId="704454EF"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NR</w:t>
            </w:r>
          </w:p>
        </w:tc>
        <w:tc>
          <w:tcPr>
            <w:tcW w:w="0" w:type="auto"/>
            <w:noWrap/>
          </w:tcPr>
          <w:p w14:paraId="087B48D1"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40.0/60.0</w:t>
            </w:r>
          </w:p>
        </w:tc>
        <w:tc>
          <w:tcPr>
            <w:tcW w:w="0" w:type="auto"/>
          </w:tcPr>
          <w:p w14:paraId="7CA5344B"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25.0</w:t>
            </w:r>
          </w:p>
        </w:tc>
      </w:tr>
      <w:tr w:rsidR="00B677D4" w:rsidRPr="00E549DC" w14:paraId="25DC9FB5" w14:textId="77777777" w:rsidTr="00721903">
        <w:trPr>
          <w:trHeight w:val="270"/>
          <w:jc w:val="center"/>
        </w:trPr>
        <w:tc>
          <w:tcPr>
            <w:tcW w:w="0" w:type="auto"/>
            <w:noWrap/>
            <w:tcMar>
              <w:right w:w="0" w:type="dxa"/>
            </w:tcMar>
            <w:hideMark/>
          </w:tcPr>
          <w:p w14:paraId="2A314BD6" w14:textId="2D9DD18D"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Abou-Alfa</w:t>
            </w:r>
            <w:r w:rsidR="004939B0" w:rsidRPr="00E549DC">
              <w:rPr>
                <w:rFonts w:ascii="Book Antiqua" w:eastAsia="等线" w:hAnsi="Book Antiqua" w:cs="Calibri"/>
                <w:i/>
                <w:iCs/>
                <w:color w:val="000000"/>
              </w:rPr>
              <w:t xml:space="preserve"> et al</w:t>
            </w:r>
            <w:r w:rsidRPr="00E549DC">
              <w:rPr>
                <w:rFonts w:ascii="Book Antiqua" w:eastAsia="等线" w:hAnsi="Book Antiqua" w:cs="Calibri"/>
                <w:noProof/>
                <w:color w:val="000000"/>
                <w:vertAlign w:val="superscript"/>
              </w:rPr>
              <w:t>[55]</w:t>
            </w:r>
          </w:p>
        </w:tc>
        <w:tc>
          <w:tcPr>
            <w:tcW w:w="0" w:type="auto"/>
          </w:tcPr>
          <w:p w14:paraId="40372902"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2019</w:t>
            </w:r>
          </w:p>
        </w:tc>
        <w:tc>
          <w:tcPr>
            <w:tcW w:w="0" w:type="auto"/>
            <w:noWrap/>
            <w:hideMark/>
          </w:tcPr>
          <w:p w14:paraId="1F2D0A85"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Sorafenib + doxorubicin</w:t>
            </w:r>
          </w:p>
        </w:tc>
        <w:tc>
          <w:tcPr>
            <w:tcW w:w="0" w:type="auto"/>
          </w:tcPr>
          <w:p w14:paraId="1DF94D29"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180</w:t>
            </w:r>
          </w:p>
        </w:tc>
        <w:tc>
          <w:tcPr>
            <w:tcW w:w="0" w:type="auto"/>
            <w:noWrap/>
            <w:hideMark/>
          </w:tcPr>
          <w:p w14:paraId="0011E442"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62</w:t>
            </w:r>
          </w:p>
        </w:tc>
        <w:tc>
          <w:tcPr>
            <w:tcW w:w="0" w:type="auto"/>
            <w:noWrap/>
            <w:hideMark/>
          </w:tcPr>
          <w:p w14:paraId="496E5A98"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85</w:t>
            </w:r>
          </w:p>
        </w:tc>
        <w:tc>
          <w:tcPr>
            <w:tcW w:w="0" w:type="auto"/>
            <w:noWrap/>
          </w:tcPr>
          <w:p w14:paraId="29964FEA"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36.1/63.9</w:t>
            </w:r>
          </w:p>
        </w:tc>
        <w:tc>
          <w:tcPr>
            <w:tcW w:w="0" w:type="auto"/>
          </w:tcPr>
          <w:p w14:paraId="06848B32"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w:t>
            </w:r>
          </w:p>
        </w:tc>
      </w:tr>
      <w:tr w:rsidR="00B677D4" w:rsidRPr="00E549DC" w14:paraId="21C9310E" w14:textId="77777777" w:rsidTr="00721903">
        <w:trPr>
          <w:trHeight w:val="270"/>
          <w:jc w:val="center"/>
        </w:trPr>
        <w:tc>
          <w:tcPr>
            <w:tcW w:w="0" w:type="auto"/>
            <w:noWrap/>
          </w:tcPr>
          <w:p w14:paraId="1BE7B27B"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p>
        </w:tc>
        <w:tc>
          <w:tcPr>
            <w:tcW w:w="0" w:type="auto"/>
          </w:tcPr>
          <w:p w14:paraId="22B6D65A"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p>
        </w:tc>
        <w:tc>
          <w:tcPr>
            <w:tcW w:w="0" w:type="auto"/>
            <w:noWrap/>
          </w:tcPr>
          <w:p w14:paraId="5B4A00FA"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Sorafenib</w:t>
            </w:r>
          </w:p>
        </w:tc>
        <w:tc>
          <w:tcPr>
            <w:tcW w:w="0" w:type="auto"/>
          </w:tcPr>
          <w:p w14:paraId="41145F32"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176</w:t>
            </w:r>
          </w:p>
        </w:tc>
        <w:tc>
          <w:tcPr>
            <w:tcW w:w="0" w:type="auto"/>
            <w:noWrap/>
          </w:tcPr>
          <w:p w14:paraId="4594DBFA"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62</w:t>
            </w:r>
          </w:p>
        </w:tc>
        <w:tc>
          <w:tcPr>
            <w:tcW w:w="0" w:type="auto"/>
            <w:noWrap/>
          </w:tcPr>
          <w:p w14:paraId="7AC7E55A"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87</w:t>
            </w:r>
          </w:p>
        </w:tc>
        <w:tc>
          <w:tcPr>
            <w:tcW w:w="0" w:type="auto"/>
            <w:noWrap/>
          </w:tcPr>
          <w:p w14:paraId="61B69E3C"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39.8/60.2</w:t>
            </w:r>
          </w:p>
        </w:tc>
        <w:tc>
          <w:tcPr>
            <w:tcW w:w="0" w:type="auto"/>
          </w:tcPr>
          <w:p w14:paraId="35E15D68"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w:t>
            </w:r>
          </w:p>
        </w:tc>
      </w:tr>
      <w:tr w:rsidR="00B677D4" w:rsidRPr="00E549DC" w14:paraId="4E5AB64C" w14:textId="77777777" w:rsidTr="00721903">
        <w:trPr>
          <w:trHeight w:val="270"/>
          <w:jc w:val="center"/>
        </w:trPr>
        <w:tc>
          <w:tcPr>
            <w:tcW w:w="0" w:type="auto"/>
            <w:noWrap/>
            <w:hideMark/>
          </w:tcPr>
          <w:p w14:paraId="3E6BAA7F" w14:textId="4130DE38"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Tak</w:t>
            </w:r>
            <w:r w:rsidR="004939B0" w:rsidRPr="00E549DC">
              <w:rPr>
                <w:rFonts w:ascii="Book Antiqua" w:eastAsia="等线" w:hAnsi="Book Antiqua" w:cs="Calibri"/>
                <w:i/>
                <w:iCs/>
                <w:color w:val="000000"/>
              </w:rPr>
              <w:t xml:space="preserve"> et al</w:t>
            </w:r>
            <w:r w:rsidRPr="00E549DC">
              <w:rPr>
                <w:rFonts w:ascii="Book Antiqua" w:eastAsia="等线" w:hAnsi="Book Antiqua" w:cs="Calibri"/>
                <w:noProof/>
                <w:color w:val="000000"/>
                <w:vertAlign w:val="superscript"/>
              </w:rPr>
              <w:t>[27]</w:t>
            </w:r>
          </w:p>
        </w:tc>
        <w:tc>
          <w:tcPr>
            <w:tcW w:w="0" w:type="auto"/>
          </w:tcPr>
          <w:p w14:paraId="43789DC2"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2018</w:t>
            </w:r>
          </w:p>
        </w:tc>
        <w:tc>
          <w:tcPr>
            <w:tcW w:w="0" w:type="auto"/>
            <w:noWrap/>
            <w:hideMark/>
          </w:tcPr>
          <w:p w14:paraId="0548EA3B"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Sorafenib</w:t>
            </w:r>
          </w:p>
        </w:tc>
        <w:tc>
          <w:tcPr>
            <w:tcW w:w="0" w:type="auto"/>
          </w:tcPr>
          <w:p w14:paraId="594E893D"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84</w:t>
            </w:r>
          </w:p>
        </w:tc>
        <w:tc>
          <w:tcPr>
            <w:tcW w:w="0" w:type="auto"/>
            <w:noWrap/>
            <w:hideMark/>
          </w:tcPr>
          <w:p w14:paraId="34F3BEA8"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62</w:t>
            </w:r>
          </w:p>
        </w:tc>
        <w:tc>
          <w:tcPr>
            <w:tcW w:w="0" w:type="auto"/>
            <w:noWrap/>
            <w:hideMark/>
          </w:tcPr>
          <w:p w14:paraId="05E5F02D"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87</w:t>
            </w:r>
          </w:p>
        </w:tc>
        <w:tc>
          <w:tcPr>
            <w:tcW w:w="0" w:type="auto"/>
            <w:noWrap/>
          </w:tcPr>
          <w:p w14:paraId="613BAA37"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w:t>
            </w:r>
          </w:p>
        </w:tc>
        <w:tc>
          <w:tcPr>
            <w:tcW w:w="0" w:type="auto"/>
          </w:tcPr>
          <w:p w14:paraId="48FDDED7"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56.0</w:t>
            </w:r>
          </w:p>
        </w:tc>
      </w:tr>
      <w:tr w:rsidR="00B677D4" w:rsidRPr="00E549DC" w14:paraId="77A44361" w14:textId="77777777" w:rsidTr="00721903">
        <w:trPr>
          <w:trHeight w:val="270"/>
          <w:jc w:val="center"/>
        </w:trPr>
        <w:tc>
          <w:tcPr>
            <w:tcW w:w="0" w:type="auto"/>
            <w:noWrap/>
          </w:tcPr>
          <w:p w14:paraId="0910536F"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p>
        </w:tc>
        <w:tc>
          <w:tcPr>
            <w:tcW w:w="0" w:type="auto"/>
          </w:tcPr>
          <w:p w14:paraId="525D8A49"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p>
        </w:tc>
        <w:tc>
          <w:tcPr>
            <w:tcW w:w="0" w:type="auto"/>
            <w:noWrap/>
          </w:tcPr>
          <w:p w14:paraId="698EFEDD"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Sorafenib + resminostat</w:t>
            </w:r>
          </w:p>
        </w:tc>
        <w:tc>
          <w:tcPr>
            <w:tcW w:w="0" w:type="auto"/>
          </w:tcPr>
          <w:p w14:paraId="2DD45727"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86</w:t>
            </w:r>
          </w:p>
        </w:tc>
        <w:tc>
          <w:tcPr>
            <w:tcW w:w="0" w:type="auto"/>
            <w:noWrap/>
          </w:tcPr>
          <w:p w14:paraId="4620381A"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65</w:t>
            </w:r>
          </w:p>
        </w:tc>
        <w:tc>
          <w:tcPr>
            <w:tcW w:w="0" w:type="auto"/>
            <w:noWrap/>
          </w:tcPr>
          <w:p w14:paraId="5D151B7B"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80</w:t>
            </w:r>
          </w:p>
        </w:tc>
        <w:tc>
          <w:tcPr>
            <w:tcW w:w="0" w:type="auto"/>
            <w:noWrap/>
          </w:tcPr>
          <w:p w14:paraId="0DCC15F4"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w:t>
            </w:r>
          </w:p>
        </w:tc>
        <w:tc>
          <w:tcPr>
            <w:tcW w:w="0" w:type="auto"/>
          </w:tcPr>
          <w:p w14:paraId="6972E411"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51.8</w:t>
            </w:r>
          </w:p>
        </w:tc>
      </w:tr>
      <w:tr w:rsidR="00B677D4" w:rsidRPr="00E549DC" w14:paraId="49644D48" w14:textId="77777777" w:rsidTr="00721903">
        <w:trPr>
          <w:trHeight w:val="270"/>
          <w:jc w:val="center"/>
        </w:trPr>
        <w:tc>
          <w:tcPr>
            <w:tcW w:w="0" w:type="auto"/>
            <w:noWrap/>
            <w:hideMark/>
          </w:tcPr>
          <w:p w14:paraId="73B9CCF5" w14:textId="10ABEEC2"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Jouve</w:t>
            </w:r>
            <w:r w:rsidR="004939B0" w:rsidRPr="00E549DC">
              <w:rPr>
                <w:rFonts w:ascii="Book Antiqua" w:eastAsia="等线" w:hAnsi="Book Antiqua" w:cs="Calibri"/>
                <w:i/>
                <w:iCs/>
                <w:color w:val="000000"/>
              </w:rPr>
              <w:t xml:space="preserve"> et al</w:t>
            </w:r>
            <w:r w:rsidRPr="00E549DC">
              <w:rPr>
                <w:rFonts w:ascii="Book Antiqua" w:eastAsia="等线" w:hAnsi="Book Antiqua" w:cs="Calibri"/>
                <w:noProof/>
                <w:color w:val="000000"/>
                <w:vertAlign w:val="superscript"/>
              </w:rPr>
              <w:t>[56]</w:t>
            </w:r>
          </w:p>
        </w:tc>
        <w:tc>
          <w:tcPr>
            <w:tcW w:w="0" w:type="auto"/>
          </w:tcPr>
          <w:p w14:paraId="39F8C26C"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2019</w:t>
            </w:r>
          </w:p>
        </w:tc>
        <w:tc>
          <w:tcPr>
            <w:tcW w:w="0" w:type="auto"/>
            <w:noWrap/>
            <w:hideMark/>
          </w:tcPr>
          <w:p w14:paraId="174786F9"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Sorafenib + pravastatin</w:t>
            </w:r>
          </w:p>
        </w:tc>
        <w:tc>
          <w:tcPr>
            <w:tcW w:w="0" w:type="auto"/>
          </w:tcPr>
          <w:p w14:paraId="2E11BADA"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162</w:t>
            </w:r>
          </w:p>
        </w:tc>
        <w:tc>
          <w:tcPr>
            <w:tcW w:w="0" w:type="auto"/>
            <w:noWrap/>
            <w:hideMark/>
          </w:tcPr>
          <w:p w14:paraId="793A001A"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68</w:t>
            </w:r>
          </w:p>
        </w:tc>
        <w:tc>
          <w:tcPr>
            <w:tcW w:w="0" w:type="auto"/>
            <w:noWrap/>
            <w:hideMark/>
          </w:tcPr>
          <w:p w14:paraId="4122ED84"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96</w:t>
            </w:r>
          </w:p>
        </w:tc>
        <w:tc>
          <w:tcPr>
            <w:tcW w:w="0" w:type="auto"/>
            <w:noWrap/>
          </w:tcPr>
          <w:p w14:paraId="73FEB565"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w:t>
            </w:r>
          </w:p>
        </w:tc>
        <w:tc>
          <w:tcPr>
            <w:tcW w:w="0" w:type="auto"/>
          </w:tcPr>
          <w:p w14:paraId="0D81D8BC"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29.0</w:t>
            </w:r>
          </w:p>
        </w:tc>
      </w:tr>
      <w:tr w:rsidR="00B677D4" w:rsidRPr="00E549DC" w14:paraId="32ACA50A" w14:textId="77777777" w:rsidTr="00721903">
        <w:trPr>
          <w:trHeight w:val="270"/>
          <w:jc w:val="center"/>
        </w:trPr>
        <w:tc>
          <w:tcPr>
            <w:tcW w:w="0" w:type="auto"/>
            <w:noWrap/>
          </w:tcPr>
          <w:p w14:paraId="27F5AAB5"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p>
        </w:tc>
        <w:tc>
          <w:tcPr>
            <w:tcW w:w="0" w:type="auto"/>
          </w:tcPr>
          <w:p w14:paraId="16A2BCA5"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p>
        </w:tc>
        <w:tc>
          <w:tcPr>
            <w:tcW w:w="0" w:type="auto"/>
            <w:noWrap/>
          </w:tcPr>
          <w:p w14:paraId="7C2BC614"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Sorafenib</w:t>
            </w:r>
          </w:p>
        </w:tc>
        <w:tc>
          <w:tcPr>
            <w:tcW w:w="0" w:type="auto"/>
          </w:tcPr>
          <w:p w14:paraId="365AD9B0"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161</w:t>
            </w:r>
          </w:p>
        </w:tc>
        <w:tc>
          <w:tcPr>
            <w:tcW w:w="0" w:type="auto"/>
            <w:noWrap/>
          </w:tcPr>
          <w:p w14:paraId="565E087B"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68</w:t>
            </w:r>
          </w:p>
        </w:tc>
        <w:tc>
          <w:tcPr>
            <w:tcW w:w="0" w:type="auto"/>
            <w:noWrap/>
          </w:tcPr>
          <w:p w14:paraId="707844D3"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88</w:t>
            </w:r>
          </w:p>
        </w:tc>
        <w:tc>
          <w:tcPr>
            <w:tcW w:w="0" w:type="auto"/>
            <w:noWrap/>
          </w:tcPr>
          <w:p w14:paraId="50F5534E"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w:t>
            </w:r>
          </w:p>
        </w:tc>
        <w:tc>
          <w:tcPr>
            <w:tcW w:w="0" w:type="auto"/>
          </w:tcPr>
          <w:p w14:paraId="6E89AC87"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30.4</w:t>
            </w:r>
          </w:p>
        </w:tc>
      </w:tr>
      <w:tr w:rsidR="00B677D4" w:rsidRPr="00E549DC" w14:paraId="221FF2B2" w14:textId="77777777" w:rsidTr="00721903">
        <w:trPr>
          <w:trHeight w:val="270"/>
          <w:jc w:val="center"/>
        </w:trPr>
        <w:tc>
          <w:tcPr>
            <w:tcW w:w="0" w:type="auto"/>
            <w:noWrap/>
            <w:hideMark/>
          </w:tcPr>
          <w:p w14:paraId="24443CFD" w14:textId="62E3924D"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Lee</w:t>
            </w:r>
            <w:r w:rsidR="004939B0" w:rsidRPr="00E549DC">
              <w:rPr>
                <w:rFonts w:ascii="Book Antiqua" w:eastAsia="等线" w:hAnsi="Book Antiqua" w:cs="Calibri"/>
                <w:i/>
                <w:iCs/>
                <w:color w:val="000000"/>
              </w:rPr>
              <w:t xml:space="preserve"> et al</w:t>
            </w:r>
            <w:r w:rsidRPr="00E549DC">
              <w:rPr>
                <w:rFonts w:ascii="Book Antiqua" w:eastAsia="等线" w:hAnsi="Book Antiqua" w:cs="Calibri"/>
                <w:noProof/>
                <w:color w:val="000000"/>
                <w:vertAlign w:val="superscript"/>
              </w:rPr>
              <w:t>[57]</w:t>
            </w:r>
          </w:p>
        </w:tc>
        <w:tc>
          <w:tcPr>
            <w:tcW w:w="0" w:type="auto"/>
          </w:tcPr>
          <w:p w14:paraId="68E46CE8"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2016</w:t>
            </w:r>
          </w:p>
        </w:tc>
        <w:tc>
          <w:tcPr>
            <w:tcW w:w="0" w:type="auto"/>
            <w:noWrap/>
            <w:hideMark/>
          </w:tcPr>
          <w:p w14:paraId="1E32E690"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AEG35156 + sorafenib</w:t>
            </w:r>
          </w:p>
        </w:tc>
        <w:tc>
          <w:tcPr>
            <w:tcW w:w="0" w:type="auto"/>
          </w:tcPr>
          <w:p w14:paraId="21C3D378"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31</w:t>
            </w:r>
          </w:p>
        </w:tc>
        <w:tc>
          <w:tcPr>
            <w:tcW w:w="0" w:type="auto"/>
            <w:noWrap/>
            <w:hideMark/>
          </w:tcPr>
          <w:p w14:paraId="70945C10"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61</w:t>
            </w:r>
          </w:p>
        </w:tc>
        <w:tc>
          <w:tcPr>
            <w:tcW w:w="0" w:type="auto"/>
            <w:noWrap/>
            <w:hideMark/>
          </w:tcPr>
          <w:p w14:paraId="069CB7DE"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87</w:t>
            </w:r>
          </w:p>
        </w:tc>
        <w:tc>
          <w:tcPr>
            <w:tcW w:w="0" w:type="auto"/>
            <w:noWrap/>
          </w:tcPr>
          <w:p w14:paraId="45468269"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3.2/96.8</w:t>
            </w:r>
          </w:p>
        </w:tc>
        <w:tc>
          <w:tcPr>
            <w:tcW w:w="0" w:type="auto"/>
          </w:tcPr>
          <w:p w14:paraId="3D05C9EA"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w:t>
            </w:r>
          </w:p>
        </w:tc>
      </w:tr>
      <w:tr w:rsidR="00B677D4" w:rsidRPr="00E549DC" w14:paraId="22D2A3B3" w14:textId="77777777" w:rsidTr="00721903">
        <w:trPr>
          <w:trHeight w:val="270"/>
          <w:jc w:val="center"/>
        </w:trPr>
        <w:tc>
          <w:tcPr>
            <w:tcW w:w="0" w:type="auto"/>
            <w:noWrap/>
          </w:tcPr>
          <w:p w14:paraId="3EAE6497"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p>
        </w:tc>
        <w:tc>
          <w:tcPr>
            <w:tcW w:w="0" w:type="auto"/>
          </w:tcPr>
          <w:p w14:paraId="4355CB19"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p>
        </w:tc>
        <w:tc>
          <w:tcPr>
            <w:tcW w:w="0" w:type="auto"/>
            <w:noWrap/>
          </w:tcPr>
          <w:p w14:paraId="4D5D5A8B"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Sorafenib</w:t>
            </w:r>
          </w:p>
        </w:tc>
        <w:tc>
          <w:tcPr>
            <w:tcW w:w="0" w:type="auto"/>
          </w:tcPr>
          <w:p w14:paraId="116765E2"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17</w:t>
            </w:r>
          </w:p>
        </w:tc>
        <w:tc>
          <w:tcPr>
            <w:tcW w:w="0" w:type="auto"/>
            <w:noWrap/>
          </w:tcPr>
          <w:p w14:paraId="46BC4B58"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54</w:t>
            </w:r>
          </w:p>
        </w:tc>
        <w:tc>
          <w:tcPr>
            <w:tcW w:w="0" w:type="auto"/>
            <w:noWrap/>
          </w:tcPr>
          <w:p w14:paraId="40A34A4E"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88</w:t>
            </w:r>
          </w:p>
        </w:tc>
        <w:tc>
          <w:tcPr>
            <w:tcW w:w="0" w:type="auto"/>
            <w:noWrap/>
          </w:tcPr>
          <w:p w14:paraId="53667C49"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11.8/88.3</w:t>
            </w:r>
          </w:p>
        </w:tc>
        <w:tc>
          <w:tcPr>
            <w:tcW w:w="0" w:type="auto"/>
          </w:tcPr>
          <w:p w14:paraId="1DBAD038"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w:t>
            </w:r>
          </w:p>
        </w:tc>
      </w:tr>
      <w:tr w:rsidR="00B677D4" w:rsidRPr="00E549DC" w14:paraId="67385845" w14:textId="77777777" w:rsidTr="00721903">
        <w:trPr>
          <w:trHeight w:val="270"/>
          <w:jc w:val="center"/>
        </w:trPr>
        <w:tc>
          <w:tcPr>
            <w:tcW w:w="0" w:type="auto"/>
            <w:noWrap/>
            <w:hideMark/>
          </w:tcPr>
          <w:p w14:paraId="05DEDC14" w14:textId="09809458"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Assenat</w:t>
            </w:r>
            <w:r w:rsidR="004939B0" w:rsidRPr="00E549DC">
              <w:rPr>
                <w:rFonts w:ascii="Book Antiqua" w:eastAsia="等线" w:hAnsi="Book Antiqua" w:cs="Calibri"/>
                <w:i/>
                <w:iCs/>
                <w:color w:val="000000"/>
              </w:rPr>
              <w:t xml:space="preserve"> et al</w:t>
            </w:r>
            <w:r w:rsidRPr="00E549DC">
              <w:rPr>
                <w:rFonts w:ascii="Book Antiqua" w:eastAsia="等线" w:hAnsi="Book Antiqua" w:cs="Calibri"/>
                <w:noProof/>
                <w:color w:val="000000"/>
                <w:vertAlign w:val="superscript"/>
              </w:rPr>
              <w:t>[58]</w:t>
            </w:r>
          </w:p>
        </w:tc>
        <w:tc>
          <w:tcPr>
            <w:tcW w:w="0" w:type="auto"/>
          </w:tcPr>
          <w:p w14:paraId="51AD9AC5"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2019</w:t>
            </w:r>
          </w:p>
        </w:tc>
        <w:tc>
          <w:tcPr>
            <w:tcW w:w="0" w:type="auto"/>
            <w:noWrap/>
            <w:hideMark/>
          </w:tcPr>
          <w:p w14:paraId="0C17578E"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Sorafenib + GEMOX</w:t>
            </w:r>
          </w:p>
        </w:tc>
        <w:tc>
          <w:tcPr>
            <w:tcW w:w="0" w:type="auto"/>
          </w:tcPr>
          <w:p w14:paraId="768689D8"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39</w:t>
            </w:r>
          </w:p>
        </w:tc>
        <w:tc>
          <w:tcPr>
            <w:tcW w:w="0" w:type="auto"/>
            <w:noWrap/>
            <w:hideMark/>
          </w:tcPr>
          <w:p w14:paraId="22632A91"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62</w:t>
            </w:r>
          </w:p>
        </w:tc>
        <w:tc>
          <w:tcPr>
            <w:tcW w:w="0" w:type="auto"/>
            <w:noWrap/>
            <w:hideMark/>
          </w:tcPr>
          <w:p w14:paraId="5164C355"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86</w:t>
            </w:r>
          </w:p>
        </w:tc>
        <w:tc>
          <w:tcPr>
            <w:tcW w:w="0" w:type="auto"/>
            <w:noWrap/>
          </w:tcPr>
          <w:p w14:paraId="21A678BC"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w:t>
            </w:r>
          </w:p>
        </w:tc>
        <w:tc>
          <w:tcPr>
            <w:tcW w:w="0" w:type="auto"/>
          </w:tcPr>
          <w:p w14:paraId="0A728A82"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77.0</w:t>
            </w:r>
          </w:p>
        </w:tc>
      </w:tr>
      <w:tr w:rsidR="00B677D4" w:rsidRPr="00E549DC" w14:paraId="36721918" w14:textId="77777777" w:rsidTr="00721903">
        <w:trPr>
          <w:trHeight w:val="270"/>
          <w:jc w:val="center"/>
        </w:trPr>
        <w:tc>
          <w:tcPr>
            <w:tcW w:w="0" w:type="auto"/>
            <w:noWrap/>
          </w:tcPr>
          <w:p w14:paraId="779F2DFF"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p>
        </w:tc>
        <w:tc>
          <w:tcPr>
            <w:tcW w:w="0" w:type="auto"/>
          </w:tcPr>
          <w:p w14:paraId="30B49529"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p>
        </w:tc>
        <w:tc>
          <w:tcPr>
            <w:tcW w:w="0" w:type="auto"/>
            <w:noWrap/>
          </w:tcPr>
          <w:p w14:paraId="1ACB13BF"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Sorafenib</w:t>
            </w:r>
          </w:p>
        </w:tc>
        <w:tc>
          <w:tcPr>
            <w:tcW w:w="0" w:type="auto"/>
          </w:tcPr>
          <w:p w14:paraId="7BC155A8"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44</w:t>
            </w:r>
          </w:p>
        </w:tc>
        <w:tc>
          <w:tcPr>
            <w:tcW w:w="0" w:type="auto"/>
            <w:noWrap/>
          </w:tcPr>
          <w:p w14:paraId="430014FA"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65</w:t>
            </w:r>
          </w:p>
        </w:tc>
        <w:tc>
          <w:tcPr>
            <w:tcW w:w="0" w:type="auto"/>
            <w:noWrap/>
          </w:tcPr>
          <w:p w14:paraId="753199E7"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92</w:t>
            </w:r>
          </w:p>
        </w:tc>
        <w:tc>
          <w:tcPr>
            <w:tcW w:w="0" w:type="auto"/>
            <w:noWrap/>
          </w:tcPr>
          <w:p w14:paraId="0AEA2004"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w:t>
            </w:r>
          </w:p>
        </w:tc>
        <w:tc>
          <w:tcPr>
            <w:tcW w:w="0" w:type="auto"/>
          </w:tcPr>
          <w:p w14:paraId="52DAFEE9"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61.0</w:t>
            </w:r>
          </w:p>
        </w:tc>
      </w:tr>
      <w:tr w:rsidR="00B677D4" w:rsidRPr="00E549DC" w14:paraId="440982AA" w14:textId="77777777" w:rsidTr="00721903">
        <w:trPr>
          <w:trHeight w:val="270"/>
          <w:jc w:val="center"/>
        </w:trPr>
        <w:tc>
          <w:tcPr>
            <w:tcW w:w="0" w:type="auto"/>
            <w:noWrap/>
            <w:hideMark/>
          </w:tcPr>
          <w:p w14:paraId="52398F80" w14:textId="311EB24F"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Azim</w:t>
            </w:r>
            <w:r w:rsidR="004939B0" w:rsidRPr="00E549DC">
              <w:rPr>
                <w:rFonts w:ascii="Book Antiqua" w:eastAsia="等线" w:hAnsi="Book Antiqua" w:cs="Calibri"/>
                <w:i/>
                <w:iCs/>
                <w:color w:val="000000"/>
              </w:rPr>
              <w:t xml:space="preserve"> et al</w:t>
            </w:r>
            <w:r w:rsidRPr="00E549DC">
              <w:rPr>
                <w:rFonts w:ascii="Book Antiqua" w:eastAsia="等线" w:hAnsi="Book Antiqua" w:cs="Calibri"/>
                <w:noProof/>
                <w:color w:val="000000"/>
                <w:vertAlign w:val="superscript"/>
              </w:rPr>
              <w:t>[59]</w:t>
            </w:r>
          </w:p>
        </w:tc>
        <w:tc>
          <w:tcPr>
            <w:tcW w:w="0" w:type="auto"/>
          </w:tcPr>
          <w:p w14:paraId="0542FCEB"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2018</w:t>
            </w:r>
          </w:p>
        </w:tc>
        <w:tc>
          <w:tcPr>
            <w:tcW w:w="0" w:type="auto"/>
            <w:noWrap/>
            <w:hideMark/>
          </w:tcPr>
          <w:p w14:paraId="75ED678F"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Sorafenib + tegafur–uracil</w:t>
            </w:r>
          </w:p>
        </w:tc>
        <w:tc>
          <w:tcPr>
            <w:tcW w:w="0" w:type="auto"/>
          </w:tcPr>
          <w:p w14:paraId="2FAACEE3"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36</w:t>
            </w:r>
          </w:p>
        </w:tc>
        <w:tc>
          <w:tcPr>
            <w:tcW w:w="0" w:type="auto"/>
            <w:noWrap/>
            <w:hideMark/>
          </w:tcPr>
          <w:p w14:paraId="46CFB0B5"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59</w:t>
            </w:r>
          </w:p>
        </w:tc>
        <w:tc>
          <w:tcPr>
            <w:tcW w:w="0" w:type="auto"/>
            <w:noWrap/>
            <w:hideMark/>
          </w:tcPr>
          <w:p w14:paraId="28BAEC38"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86</w:t>
            </w:r>
          </w:p>
        </w:tc>
        <w:tc>
          <w:tcPr>
            <w:tcW w:w="0" w:type="auto"/>
            <w:noWrap/>
          </w:tcPr>
          <w:p w14:paraId="2604D95E"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69.4/30.6</w:t>
            </w:r>
          </w:p>
        </w:tc>
        <w:tc>
          <w:tcPr>
            <w:tcW w:w="0" w:type="auto"/>
          </w:tcPr>
          <w:p w14:paraId="2313A765"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52.8</w:t>
            </w:r>
          </w:p>
        </w:tc>
      </w:tr>
      <w:tr w:rsidR="00B677D4" w:rsidRPr="00E549DC" w14:paraId="58B8E82E" w14:textId="77777777" w:rsidTr="00721903">
        <w:trPr>
          <w:trHeight w:val="270"/>
          <w:jc w:val="center"/>
        </w:trPr>
        <w:tc>
          <w:tcPr>
            <w:tcW w:w="0" w:type="auto"/>
            <w:noWrap/>
          </w:tcPr>
          <w:p w14:paraId="3BE69DB5"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p>
        </w:tc>
        <w:tc>
          <w:tcPr>
            <w:tcW w:w="0" w:type="auto"/>
          </w:tcPr>
          <w:p w14:paraId="193CFC74"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p>
        </w:tc>
        <w:tc>
          <w:tcPr>
            <w:tcW w:w="0" w:type="auto"/>
            <w:noWrap/>
          </w:tcPr>
          <w:p w14:paraId="53AD9D7F"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Sorafenib</w:t>
            </w:r>
          </w:p>
        </w:tc>
        <w:tc>
          <w:tcPr>
            <w:tcW w:w="0" w:type="auto"/>
          </w:tcPr>
          <w:p w14:paraId="467FE32F"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38</w:t>
            </w:r>
          </w:p>
        </w:tc>
        <w:tc>
          <w:tcPr>
            <w:tcW w:w="0" w:type="auto"/>
            <w:noWrap/>
          </w:tcPr>
          <w:p w14:paraId="333B57F1"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59</w:t>
            </w:r>
          </w:p>
        </w:tc>
        <w:tc>
          <w:tcPr>
            <w:tcW w:w="0" w:type="auto"/>
            <w:noWrap/>
          </w:tcPr>
          <w:p w14:paraId="06A9988A"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90</w:t>
            </w:r>
          </w:p>
        </w:tc>
        <w:tc>
          <w:tcPr>
            <w:tcW w:w="0" w:type="auto"/>
            <w:noWrap/>
          </w:tcPr>
          <w:p w14:paraId="334D8D65"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65.8/34.2</w:t>
            </w:r>
          </w:p>
        </w:tc>
        <w:tc>
          <w:tcPr>
            <w:tcW w:w="0" w:type="auto"/>
          </w:tcPr>
          <w:p w14:paraId="41363C6D"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47.4</w:t>
            </w:r>
          </w:p>
        </w:tc>
      </w:tr>
      <w:tr w:rsidR="00B677D4" w:rsidRPr="00E549DC" w14:paraId="2CEA5079" w14:textId="77777777" w:rsidTr="00721903">
        <w:trPr>
          <w:trHeight w:val="270"/>
          <w:jc w:val="center"/>
        </w:trPr>
        <w:tc>
          <w:tcPr>
            <w:tcW w:w="0" w:type="auto"/>
            <w:noWrap/>
            <w:hideMark/>
          </w:tcPr>
          <w:p w14:paraId="48B00A99" w14:textId="5AADE0EB"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Koeberle</w:t>
            </w:r>
            <w:r w:rsidR="004939B0" w:rsidRPr="00E549DC">
              <w:rPr>
                <w:rFonts w:ascii="Book Antiqua" w:eastAsia="等线" w:hAnsi="Book Antiqua" w:cs="Calibri"/>
                <w:i/>
                <w:iCs/>
                <w:color w:val="000000"/>
              </w:rPr>
              <w:t xml:space="preserve"> et al</w:t>
            </w:r>
            <w:r w:rsidRPr="00E549DC">
              <w:rPr>
                <w:rFonts w:ascii="Book Antiqua" w:eastAsia="等线" w:hAnsi="Book Antiqua" w:cs="Calibri"/>
                <w:noProof/>
                <w:color w:val="000000"/>
                <w:vertAlign w:val="superscript"/>
              </w:rPr>
              <w:t>[60]</w:t>
            </w:r>
          </w:p>
        </w:tc>
        <w:tc>
          <w:tcPr>
            <w:tcW w:w="0" w:type="auto"/>
          </w:tcPr>
          <w:p w14:paraId="249359EA"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2016</w:t>
            </w:r>
          </w:p>
        </w:tc>
        <w:tc>
          <w:tcPr>
            <w:tcW w:w="0" w:type="auto"/>
            <w:noWrap/>
            <w:hideMark/>
          </w:tcPr>
          <w:p w14:paraId="43ED20AD"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Sorafenib</w:t>
            </w:r>
          </w:p>
        </w:tc>
        <w:tc>
          <w:tcPr>
            <w:tcW w:w="0" w:type="auto"/>
          </w:tcPr>
          <w:p w14:paraId="7B0B6F4D"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46</w:t>
            </w:r>
          </w:p>
        </w:tc>
        <w:tc>
          <w:tcPr>
            <w:tcW w:w="0" w:type="auto"/>
            <w:noWrap/>
            <w:hideMark/>
          </w:tcPr>
          <w:p w14:paraId="00B9D0BE"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65</w:t>
            </w:r>
          </w:p>
        </w:tc>
        <w:tc>
          <w:tcPr>
            <w:tcW w:w="0" w:type="auto"/>
            <w:noWrap/>
            <w:hideMark/>
          </w:tcPr>
          <w:p w14:paraId="7389AE8F"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87</w:t>
            </w:r>
          </w:p>
        </w:tc>
        <w:tc>
          <w:tcPr>
            <w:tcW w:w="0" w:type="auto"/>
            <w:noWrap/>
          </w:tcPr>
          <w:p w14:paraId="03FAA43B"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72.0/28.0</w:t>
            </w:r>
          </w:p>
        </w:tc>
        <w:tc>
          <w:tcPr>
            <w:tcW w:w="0" w:type="auto"/>
          </w:tcPr>
          <w:p w14:paraId="417B2940"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57.0</w:t>
            </w:r>
          </w:p>
        </w:tc>
      </w:tr>
      <w:tr w:rsidR="00B677D4" w:rsidRPr="00E549DC" w14:paraId="69E66128" w14:textId="77777777" w:rsidTr="00721903">
        <w:trPr>
          <w:trHeight w:val="270"/>
          <w:jc w:val="center"/>
        </w:trPr>
        <w:tc>
          <w:tcPr>
            <w:tcW w:w="0" w:type="auto"/>
            <w:noWrap/>
          </w:tcPr>
          <w:p w14:paraId="341DEBBA"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p>
        </w:tc>
        <w:tc>
          <w:tcPr>
            <w:tcW w:w="0" w:type="auto"/>
          </w:tcPr>
          <w:p w14:paraId="7AE91A21"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p>
        </w:tc>
        <w:tc>
          <w:tcPr>
            <w:tcW w:w="0" w:type="auto"/>
            <w:noWrap/>
          </w:tcPr>
          <w:p w14:paraId="5B9C62D7"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Sorafenib + everolimus</w:t>
            </w:r>
          </w:p>
        </w:tc>
        <w:tc>
          <w:tcPr>
            <w:tcW w:w="0" w:type="auto"/>
          </w:tcPr>
          <w:p w14:paraId="1988BFE1"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59</w:t>
            </w:r>
          </w:p>
        </w:tc>
        <w:tc>
          <w:tcPr>
            <w:tcW w:w="0" w:type="auto"/>
            <w:noWrap/>
          </w:tcPr>
          <w:p w14:paraId="2E35D230"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66</w:t>
            </w:r>
          </w:p>
        </w:tc>
        <w:tc>
          <w:tcPr>
            <w:tcW w:w="0" w:type="auto"/>
            <w:noWrap/>
          </w:tcPr>
          <w:p w14:paraId="61CD3ECC"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81</w:t>
            </w:r>
          </w:p>
        </w:tc>
        <w:tc>
          <w:tcPr>
            <w:tcW w:w="0" w:type="auto"/>
            <w:noWrap/>
          </w:tcPr>
          <w:p w14:paraId="19EEFD44"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59.0/41.0</w:t>
            </w:r>
          </w:p>
        </w:tc>
        <w:tc>
          <w:tcPr>
            <w:tcW w:w="0" w:type="auto"/>
          </w:tcPr>
          <w:p w14:paraId="0076D56D"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54.0</w:t>
            </w:r>
          </w:p>
        </w:tc>
      </w:tr>
      <w:tr w:rsidR="00B677D4" w:rsidRPr="00E549DC" w14:paraId="3BDEB49D" w14:textId="77777777" w:rsidTr="00721903">
        <w:trPr>
          <w:trHeight w:val="270"/>
          <w:jc w:val="center"/>
        </w:trPr>
        <w:tc>
          <w:tcPr>
            <w:tcW w:w="0" w:type="auto"/>
            <w:noWrap/>
            <w:hideMark/>
          </w:tcPr>
          <w:p w14:paraId="462A1BF7" w14:textId="7BD64D3E"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Bi</w:t>
            </w:r>
            <w:r w:rsidR="004939B0" w:rsidRPr="00E549DC">
              <w:rPr>
                <w:rFonts w:ascii="Book Antiqua" w:eastAsia="等线" w:hAnsi="Book Antiqua" w:cs="Calibri"/>
                <w:i/>
                <w:iCs/>
                <w:color w:val="000000"/>
              </w:rPr>
              <w:t xml:space="preserve"> et al</w:t>
            </w:r>
            <w:r w:rsidRPr="00E549DC">
              <w:rPr>
                <w:rFonts w:ascii="Book Antiqua" w:eastAsia="等线" w:hAnsi="Book Antiqua" w:cs="Calibri"/>
                <w:noProof/>
                <w:color w:val="000000"/>
                <w:vertAlign w:val="superscript"/>
              </w:rPr>
              <w:t>[17]</w:t>
            </w:r>
          </w:p>
        </w:tc>
        <w:tc>
          <w:tcPr>
            <w:tcW w:w="0" w:type="auto"/>
          </w:tcPr>
          <w:p w14:paraId="587FAF44"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2020</w:t>
            </w:r>
          </w:p>
        </w:tc>
        <w:tc>
          <w:tcPr>
            <w:tcW w:w="0" w:type="auto"/>
            <w:noWrap/>
            <w:hideMark/>
          </w:tcPr>
          <w:p w14:paraId="3573AA0E"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Donafinib</w:t>
            </w:r>
          </w:p>
        </w:tc>
        <w:tc>
          <w:tcPr>
            <w:tcW w:w="0" w:type="auto"/>
          </w:tcPr>
          <w:p w14:paraId="314FB992"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328</w:t>
            </w:r>
          </w:p>
        </w:tc>
        <w:tc>
          <w:tcPr>
            <w:tcW w:w="0" w:type="auto"/>
            <w:noWrap/>
            <w:hideMark/>
          </w:tcPr>
          <w:p w14:paraId="5A8EF1C0"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53</w:t>
            </w:r>
          </w:p>
        </w:tc>
        <w:tc>
          <w:tcPr>
            <w:tcW w:w="0" w:type="auto"/>
            <w:noWrap/>
            <w:hideMark/>
          </w:tcPr>
          <w:p w14:paraId="38DD392E"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86</w:t>
            </w:r>
          </w:p>
        </w:tc>
        <w:tc>
          <w:tcPr>
            <w:tcW w:w="0" w:type="auto"/>
            <w:noWrap/>
          </w:tcPr>
          <w:p w14:paraId="19E758CE"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61.3/38.7</w:t>
            </w:r>
          </w:p>
        </w:tc>
        <w:tc>
          <w:tcPr>
            <w:tcW w:w="0" w:type="auto"/>
          </w:tcPr>
          <w:p w14:paraId="5B468810"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w:t>
            </w:r>
          </w:p>
        </w:tc>
      </w:tr>
      <w:tr w:rsidR="00B677D4" w:rsidRPr="00E549DC" w14:paraId="1891759F" w14:textId="77777777" w:rsidTr="00721903">
        <w:trPr>
          <w:trHeight w:val="270"/>
          <w:jc w:val="center"/>
        </w:trPr>
        <w:tc>
          <w:tcPr>
            <w:tcW w:w="0" w:type="auto"/>
            <w:noWrap/>
          </w:tcPr>
          <w:p w14:paraId="69C3CCF7"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p>
        </w:tc>
        <w:tc>
          <w:tcPr>
            <w:tcW w:w="0" w:type="auto"/>
          </w:tcPr>
          <w:p w14:paraId="179B0915"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p>
        </w:tc>
        <w:tc>
          <w:tcPr>
            <w:tcW w:w="0" w:type="auto"/>
            <w:noWrap/>
          </w:tcPr>
          <w:p w14:paraId="31B82CF1"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Sorafenib</w:t>
            </w:r>
          </w:p>
        </w:tc>
        <w:tc>
          <w:tcPr>
            <w:tcW w:w="0" w:type="auto"/>
          </w:tcPr>
          <w:p w14:paraId="01A0E9E1"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331</w:t>
            </w:r>
          </w:p>
        </w:tc>
        <w:tc>
          <w:tcPr>
            <w:tcW w:w="0" w:type="auto"/>
            <w:noWrap/>
          </w:tcPr>
          <w:p w14:paraId="1539056D"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53</w:t>
            </w:r>
          </w:p>
        </w:tc>
        <w:tc>
          <w:tcPr>
            <w:tcW w:w="0" w:type="auto"/>
            <w:noWrap/>
          </w:tcPr>
          <w:p w14:paraId="4791F247"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88</w:t>
            </w:r>
          </w:p>
        </w:tc>
        <w:tc>
          <w:tcPr>
            <w:tcW w:w="0" w:type="auto"/>
            <w:noWrap/>
          </w:tcPr>
          <w:p w14:paraId="45085E4E"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66.8/33.2</w:t>
            </w:r>
          </w:p>
        </w:tc>
        <w:tc>
          <w:tcPr>
            <w:tcW w:w="0" w:type="auto"/>
          </w:tcPr>
          <w:p w14:paraId="6D16A3A9"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w:t>
            </w:r>
          </w:p>
        </w:tc>
      </w:tr>
      <w:tr w:rsidR="00B677D4" w:rsidRPr="00E549DC" w14:paraId="730E6A57" w14:textId="77777777" w:rsidTr="00721903">
        <w:trPr>
          <w:trHeight w:val="270"/>
          <w:jc w:val="center"/>
        </w:trPr>
        <w:tc>
          <w:tcPr>
            <w:tcW w:w="0" w:type="auto"/>
            <w:noWrap/>
            <w:hideMark/>
          </w:tcPr>
          <w:p w14:paraId="1F5A058B" w14:textId="330AAA69"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Qin</w:t>
            </w:r>
            <w:r w:rsidR="004939B0" w:rsidRPr="00E549DC">
              <w:rPr>
                <w:rFonts w:ascii="Book Antiqua" w:eastAsia="等线" w:hAnsi="Book Antiqua" w:cs="Calibri"/>
                <w:i/>
                <w:iCs/>
                <w:color w:val="000000"/>
              </w:rPr>
              <w:t xml:space="preserve"> et al</w:t>
            </w:r>
            <w:r w:rsidRPr="00E549DC">
              <w:rPr>
                <w:rFonts w:ascii="Book Antiqua" w:eastAsia="等线" w:hAnsi="Book Antiqua" w:cs="Calibri"/>
                <w:noProof/>
                <w:color w:val="000000"/>
                <w:vertAlign w:val="superscript"/>
              </w:rPr>
              <w:t>[61]</w:t>
            </w:r>
          </w:p>
        </w:tc>
        <w:tc>
          <w:tcPr>
            <w:tcW w:w="0" w:type="auto"/>
          </w:tcPr>
          <w:p w14:paraId="5B93627D"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2013</w:t>
            </w:r>
          </w:p>
        </w:tc>
        <w:tc>
          <w:tcPr>
            <w:tcW w:w="0" w:type="auto"/>
            <w:noWrap/>
            <w:hideMark/>
          </w:tcPr>
          <w:p w14:paraId="403629B4"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FOLFOX4</w:t>
            </w:r>
          </w:p>
        </w:tc>
        <w:tc>
          <w:tcPr>
            <w:tcW w:w="0" w:type="auto"/>
          </w:tcPr>
          <w:p w14:paraId="78EAC57D"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184</w:t>
            </w:r>
          </w:p>
        </w:tc>
        <w:tc>
          <w:tcPr>
            <w:tcW w:w="0" w:type="auto"/>
            <w:noWrap/>
            <w:hideMark/>
          </w:tcPr>
          <w:p w14:paraId="61A74A37"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50</w:t>
            </w:r>
          </w:p>
        </w:tc>
        <w:tc>
          <w:tcPr>
            <w:tcW w:w="0" w:type="auto"/>
            <w:noWrap/>
            <w:hideMark/>
          </w:tcPr>
          <w:p w14:paraId="69D6F8EB"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90</w:t>
            </w:r>
          </w:p>
        </w:tc>
        <w:tc>
          <w:tcPr>
            <w:tcW w:w="0" w:type="auto"/>
            <w:noWrap/>
          </w:tcPr>
          <w:p w14:paraId="77184083"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w:t>
            </w:r>
          </w:p>
        </w:tc>
        <w:tc>
          <w:tcPr>
            <w:tcW w:w="0" w:type="auto"/>
          </w:tcPr>
          <w:p w14:paraId="786FC611"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w:t>
            </w:r>
          </w:p>
        </w:tc>
      </w:tr>
      <w:tr w:rsidR="00B677D4" w:rsidRPr="00E549DC" w14:paraId="09180A57" w14:textId="77777777" w:rsidTr="00721903">
        <w:trPr>
          <w:trHeight w:val="270"/>
          <w:jc w:val="center"/>
        </w:trPr>
        <w:tc>
          <w:tcPr>
            <w:tcW w:w="0" w:type="auto"/>
            <w:noWrap/>
          </w:tcPr>
          <w:p w14:paraId="0B1288AA"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p>
        </w:tc>
        <w:tc>
          <w:tcPr>
            <w:tcW w:w="0" w:type="auto"/>
          </w:tcPr>
          <w:p w14:paraId="61119B60"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p>
        </w:tc>
        <w:tc>
          <w:tcPr>
            <w:tcW w:w="0" w:type="auto"/>
            <w:noWrap/>
          </w:tcPr>
          <w:p w14:paraId="7B82A5DC"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Doxorubicin</w:t>
            </w:r>
          </w:p>
        </w:tc>
        <w:tc>
          <w:tcPr>
            <w:tcW w:w="0" w:type="auto"/>
          </w:tcPr>
          <w:p w14:paraId="5E21F004"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187</w:t>
            </w:r>
          </w:p>
        </w:tc>
        <w:tc>
          <w:tcPr>
            <w:tcW w:w="0" w:type="auto"/>
            <w:noWrap/>
          </w:tcPr>
          <w:p w14:paraId="5701B679"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49</w:t>
            </w:r>
          </w:p>
        </w:tc>
        <w:tc>
          <w:tcPr>
            <w:tcW w:w="0" w:type="auto"/>
            <w:noWrap/>
          </w:tcPr>
          <w:p w14:paraId="77C224CF"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87</w:t>
            </w:r>
          </w:p>
        </w:tc>
        <w:tc>
          <w:tcPr>
            <w:tcW w:w="0" w:type="auto"/>
            <w:noWrap/>
          </w:tcPr>
          <w:p w14:paraId="6E0B05C5"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w:t>
            </w:r>
          </w:p>
        </w:tc>
        <w:tc>
          <w:tcPr>
            <w:tcW w:w="0" w:type="auto"/>
          </w:tcPr>
          <w:p w14:paraId="37E9380D"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w:t>
            </w:r>
          </w:p>
        </w:tc>
      </w:tr>
      <w:tr w:rsidR="00B677D4" w:rsidRPr="00E549DC" w14:paraId="7760E0BF" w14:textId="77777777" w:rsidTr="00721903">
        <w:trPr>
          <w:trHeight w:val="270"/>
          <w:jc w:val="center"/>
        </w:trPr>
        <w:tc>
          <w:tcPr>
            <w:tcW w:w="0" w:type="auto"/>
            <w:noWrap/>
            <w:hideMark/>
          </w:tcPr>
          <w:p w14:paraId="7A51673F" w14:textId="37FC525D"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Yeo</w:t>
            </w:r>
            <w:r w:rsidR="004939B0" w:rsidRPr="00E549DC">
              <w:rPr>
                <w:rFonts w:ascii="Book Antiqua" w:eastAsia="等线" w:hAnsi="Book Antiqua" w:cs="Calibri"/>
                <w:i/>
                <w:iCs/>
                <w:color w:val="000000"/>
              </w:rPr>
              <w:t xml:space="preserve"> et al</w:t>
            </w:r>
            <w:r w:rsidRPr="00E549DC">
              <w:rPr>
                <w:rFonts w:ascii="Book Antiqua" w:eastAsia="等线" w:hAnsi="Book Antiqua" w:cs="Calibri"/>
                <w:noProof/>
                <w:color w:val="000000"/>
                <w:vertAlign w:val="superscript"/>
              </w:rPr>
              <w:t>[62]</w:t>
            </w:r>
          </w:p>
        </w:tc>
        <w:tc>
          <w:tcPr>
            <w:tcW w:w="0" w:type="auto"/>
          </w:tcPr>
          <w:p w14:paraId="1FF2CC35" w14:textId="77777777" w:rsidR="00B677D4" w:rsidRPr="00E549DC" w:rsidRDefault="00B677D4" w:rsidP="00C55EEF">
            <w:pPr>
              <w:widowControl w:val="0"/>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2005</w:t>
            </w:r>
          </w:p>
        </w:tc>
        <w:tc>
          <w:tcPr>
            <w:tcW w:w="0" w:type="auto"/>
            <w:noWrap/>
            <w:hideMark/>
          </w:tcPr>
          <w:p w14:paraId="4090CB85" w14:textId="77777777" w:rsidR="00B677D4" w:rsidRPr="00E549DC" w:rsidRDefault="00B677D4" w:rsidP="00C55EEF">
            <w:pPr>
              <w:widowControl w:val="0"/>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Doxorubicin</w:t>
            </w:r>
          </w:p>
        </w:tc>
        <w:tc>
          <w:tcPr>
            <w:tcW w:w="0" w:type="auto"/>
          </w:tcPr>
          <w:p w14:paraId="0DDC84FC" w14:textId="77777777" w:rsidR="00B677D4" w:rsidRPr="00E549DC" w:rsidRDefault="00B677D4" w:rsidP="00C55EEF">
            <w:pPr>
              <w:widowControl w:val="0"/>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94</w:t>
            </w:r>
          </w:p>
        </w:tc>
        <w:tc>
          <w:tcPr>
            <w:tcW w:w="0" w:type="auto"/>
            <w:noWrap/>
            <w:hideMark/>
          </w:tcPr>
          <w:p w14:paraId="5FE67EF4" w14:textId="77777777" w:rsidR="00B677D4" w:rsidRPr="00E549DC" w:rsidRDefault="00B677D4" w:rsidP="00C55EEF">
            <w:pPr>
              <w:widowControl w:val="0"/>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54</w:t>
            </w:r>
          </w:p>
        </w:tc>
        <w:tc>
          <w:tcPr>
            <w:tcW w:w="0" w:type="auto"/>
            <w:noWrap/>
            <w:hideMark/>
          </w:tcPr>
          <w:p w14:paraId="28A13474" w14:textId="77777777" w:rsidR="00B677D4" w:rsidRPr="00E549DC" w:rsidRDefault="00B677D4" w:rsidP="00C55EEF">
            <w:pPr>
              <w:widowControl w:val="0"/>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90</w:t>
            </w:r>
          </w:p>
        </w:tc>
        <w:tc>
          <w:tcPr>
            <w:tcW w:w="0" w:type="auto"/>
            <w:noWrap/>
            <w:hideMark/>
          </w:tcPr>
          <w:p w14:paraId="4B660980"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87.2/12.8</w:t>
            </w:r>
          </w:p>
        </w:tc>
        <w:tc>
          <w:tcPr>
            <w:tcW w:w="0" w:type="auto"/>
          </w:tcPr>
          <w:p w14:paraId="248758A8"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w:t>
            </w:r>
          </w:p>
        </w:tc>
      </w:tr>
      <w:tr w:rsidR="00B677D4" w:rsidRPr="00E549DC" w14:paraId="0282D831" w14:textId="77777777" w:rsidTr="00721903">
        <w:trPr>
          <w:trHeight w:val="270"/>
          <w:jc w:val="center"/>
        </w:trPr>
        <w:tc>
          <w:tcPr>
            <w:tcW w:w="0" w:type="auto"/>
            <w:noWrap/>
          </w:tcPr>
          <w:p w14:paraId="5A9AF6AC"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p>
        </w:tc>
        <w:tc>
          <w:tcPr>
            <w:tcW w:w="0" w:type="auto"/>
          </w:tcPr>
          <w:p w14:paraId="05F604EC" w14:textId="77777777" w:rsidR="00B677D4" w:rsidRPr="00E549DC" w:rsidRDefault="00B677D4" w:rsidP="00C55EEF">
            <w:pPr>
              <w:widowControl w:val="0"/>
              <w:adjustRightInd w:val="0"/>
              <w:snapToGrid w:val="0"/>
              <w:spacing w:line="360" w:lineRule="auto"/>
              <w:jc w:val="both"/>
              <w:rPr>
                <w:rFonts w:ascii="Book Antiqua" w:eastAsia="等线" w:hAnsi="Book Antiqua" w:cs="Calibri"/>
                <w:color w:val="000000"/>
              </w:rPr>
            </w:pPr>
          </w:p>
        </w:tc>
        <w:tc>
          <w:tcPr>
            <w:tcW w:w="0" w:type="auto"/>
            <w:noWrap/>
          </w:tcPr>
          <w:p w14:paraId="4A277C71" w14:textId="77777777" w:rsidR="00B677D4" w:rsidRPr="00E549DC" w:rsidRDefault="00B677D4" w:rsidP="00C55EEF">
            <w:pPr>
              <w:widowControl w:val="0"/>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PIAF</w:t>
            </w:r>
          </w:p>
        </w:tc>
        <w:tc>
          <w:tcPr>
            <w:tcW w:w="0" w:type="auto"/>
          </w:tcPr>
          <w:p w14:paraId="67DDE96B" w14:textId="77777777" w:rsidR="00B677D4" w:rsidRPr="00E549DC" w:rsidRDefault="00B677D4" w:rsidP="00C55EEF">
            <w:pPr>
              <w:widowControl w:val="0"/>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94</w:t>
            </w:r>
          </w:p>
        </w:tc>
        <w:tc>
          <w:tcPr>
            <w:tcW w:w="0" w:type="auto"/>
            <w:noWrap/>
          </w:tcPr>
          <w:p w14:paraId="47509D11" w14:textId="77777777" w:rsidR="00B677D4" w:rsidRPr="00E549DC" w:rsidRDefault="00B677D4" w:rsidP="00C55EEF">
            <w:pPr>
              <w:widowControl w:val="0"/>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49</w:t>
            </w:r>
          </w:p>
        </w:tc>
        <w:tc>
          <w:tcPr>
            <w:tcW w:w="0" w:type="auto"/>
            <w:noWrap/>
          </w:tcPr>
          <w:p w14:paraId="7AA65DEE" w14:textId="77777777" w:rsidR="00B677D4" w:rsidRPr="00E549DC" w:rsidRDefault="00B677D4" w:rsidP="00C55EEF">
            <w:pPr>
              <w:widowControl w:val="0"/>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93</w:t>
            </w:r>
          </w:p>
        </w:tc>
        <w:tc>
          <w:tcPr>
            <w:tcW w:w="0" w:type="auto"/>
            <w:noWrap/>
          </w:tcPr>
          <w:p w14:paraId="5B6E5B9C"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92.6/7.4</w:t>
            </w:r>
          </w:p>
        </w:tc>
        <w:tc>
          <w:tcPr>
            <w:tcW w:w="0" w:type="auto"/>
          </w:tcPr>
          <w:p w14:paraId="33BD5C18" w14:textId="77777777" w:rsidR="00B677D4" w:rsidRPr="00E549DC" w:rsidRDefault="00B677D4" w:rsidP="00C55EEF">
            <w:pPr>
              <w:adjustRightInd w:val="0"/>
              <w:snapToGrid w:val="0"/>
              <w:spacing w:line="360" w:lineRule="auto"/>
              <w:jc w:val="both"/>
              <w:rPr>
                <w:rFonts w:ascii="Book Antiqua" w:eastAsia="等线" w:hAnsi="Book Antiqua" w:cs="Calibri"/>
                <w:color w:val="000000"/>
              </w:rPr>
            </w:pPr>
            <w:r w:rsidRPr="00E549DC">
              <w:rPr>
                <w:rFonts w:ascii="Book Antiqua" w:eastAsia="等线" w:hAnsi="Book Antiqua" w:cs="Calibri"/>
                <w:color w:val="000000"/>
              </w:rPr>
              <w:t>-</w:t>
            </w:r>
          </w:p>
        </w:tc>
      </w:tr>
    </w:tbl>
    <w:p w14:paraId="1B301B0A" w14:textId="036D42E4" w:rsidR="00E549DC" w:rsidRDefault="008B736D" w:rsidP="00C55EEF">
      <w:pPr>
        <w:adjustRightInd w:val="0"/>
        <w:snapToGrid w:val="0"/>
        <w:spacing w:line="360" w:lineRule="auto"/>
        <w:jc w:val="both"/>
        <w:rPr>
          <w:rFonts w:ascii="Book Antiqua" w:eastAsia="宋体" w:hAnsi="Book Antiqua" w:cs="Calibri"/>
          <w:kern w:val="2"/>
          <w:lang w:eastAsia="zh-CN"/>
        </w:rPr>
      </w:pPr>
      <w:r w:rsidRPr="00E549DC">
        <w:rPr>
          <w:rFonts w:ascii="Book Antiqua" w:eastAsia="宋体" w:hAnsi="Book Antiqua" w:cs="Calibri"/>
          <w:kern w:val="2"/>
          <w:lang w:eastAsia="zh-CN"/>
        </w:rPr>
        <w:t>ECOG:</w:t>
      </w:r>
      <w:r w:rsidR="00B677D4" w:rsidRPr="00E549DC">
        <w:rPr>
          <w:rFonts w:ascii="Book Antiqua" w:eastAsia="宋体" w:hAnsi="Book Antiqua" w:cs="Calibri"/>
          <w:kern w:val="2"/>
          <w:lang w:eastAsia="zh-CN"/>
        </w:rPr>
        <w:t xml:space="preserve"> Eastern Co-operative Oncology Group; FOLFOX4</w:t>
      </w:r>
      <w:r w:rsidR="0062368C" w:rsidRPr="00E549DC">
        <w:rPr>
          <w:rFonts w:ascii="Book Antiqua" w:eastAsia="宋体" w:hAnsi="Book Antiqua" w:cs="Calibri"/>
          <w:kern w:val="2"/>
          <w:lang w:eastAsia="zh-CN"/>
        </w:rPr>
        <w:t>:</w:t>
      </w:r>
      <w:r w:rsidR="00B677D4" w:rsidRPr="00E549DC">
        <w:rPr>
          <w:rFonts w:ascii="Book Antiqua" w:eastAsia="宋体" w:hAnsi="Book Antiqua" w:cs="Calibri"/>
          <w:kern w:val="2"/>
          <w:lang w:eastAsia="zh-CN"/>
        </w:rPr>
        <w:t xml:space="preserve"> </w:t>
      </w:r>
      <w:r w:rsidR="0062368C" w:rsidRPr="00E549DC">
        <w:rPr>
          <w:rFonts w:ascii="Book Antiqua" w:eastAsia="宋体" w:hAnsi="Book Antiqua" w:cs="Calibri"/>
          <w:kern w:val="2"/>
          <w:lang w:eastAsia="zh-CN"/>
        </w:rPr>
        <w:t>O</w:t>
      </w:r>
      <w:r w:rsidR="00B677D4" w:rsidRPr="00E549DC">
        <w:rPr>
          <w:rFonts w:ascii="Book Antiqua" w:eastAsia="宋体" w:hAnsi="Book Antiqua" w:cs="Calibri"/>
          <w:kern w:val="2"/>
          <w:lang w:eastAsia="zh-CN"/>
        </w:rPr>
        <w:t>xaliplatin/folinic acid/5-fluorouracil; GEMOX</w:t>
      </w:r>
      <w:r w:rsidR="0062368C" w:rsidRPr="00E549DC">
        <w:rPr>
          <w:rFonts w:ascii="Book Antiqua" w:eastAsia="宋体" w:hAnsi="Book Antiqua" w:cs="Calibri"/>
          <w:kern w:val="2"/>
          <w:lang w:eastAsia="zh-CN"/>
        </w:rPr>
        <w:t>:</w:t>
      </w:r>
      <w:r w:rsidR="00B677D4" w:rsidRPr="00E549DC">
        <w:rPr>
          <w:rFonts w:ascii="Book Antiqua" w:eastAsia="宋体" w:hAnsi="Book Antiqua" w:cs="Calibri"/>
          <w:kern w:val="2"/>
          <w:lang w:eastAsia="zh-CN"/>
        </w:rPr>
        <w:t xml:space="preserve"> </w:t>
      </w:r>
      <w:r w:rsidR="0062368C" w:rsidRPr="00E549DC">
        <w:rPr>
          <w:rFonts w:ascii="Book Antiqua" w:eastAsia="宋体" w:hAnsi="Book Antiqua" w:cs="Calibri"/>
          <w:kern w:val="2"/>
          <w:lang w:eastAsia="zh-CN"/>
        </w:rPr>
        <w:t>G</w:t>
      </w:r>
      <w:r w:rsidR="00B677D4" w:rsidRPr="00E549DC">
        <w:rPr>
          <w:rFonts w:ascii="Book Antiqua" w:eastAsia="宋体" w:hAnsi="Book Antiqua" w:cs="Calibri"/>
          <w:kern w:val="2"/>
          <w:lang w:eastAsia="zh-CN"/>
        </w:rPr>
        <w:t>emcitabine and oxaliplatin; NR</w:t>
      </w:r>
      <w:r w:rsidR="0062368C" w:rsidRPr="00E549DC">
        <w:rPr>
          <w:rFonts w:ascii="Book Antiqua" w:eastAsia="宋体" w:hAnsi="Book Antiqua" w:cs="Calibri"/>
          <w:kern w:val="2"/>
          <w:lang w:eastAsia="zh-CN"/>
        </w:rPr>
        <w:t>:</w:t>
      </w:r>
      <w:r w:rsidR="00B677D4" w:rsidRPr="00E549DC">
        <w:rPr>
          <w:rFonts w:ascii="Book Antiqua" w:eastAsia="宋体" w:hAnsi="Book Antiqua" w:cs="Calibri"/>
          <w:kern w:val="2"/>
          <w:lang w:eastAsia="zh-CN"/>
        </w:rPr>
        <w:t xml:space="preserve"> </w:t>
      </w:r>
      <w:r w:rsidR="0062368C" w:rsidRPr="00E549DC">
        <w:rPr>
          <w:rFonts w:ascii="Book Antiqua" w:eastAsia="宋体" w:hAnsi="Book Antiqua" w:cs="Calibri"/>
          <w:kern w:val="2"/>
          <w:lang w:eastAsia="zh-CN"/>
        </w:rPr>
        <w:t>N</w:t>
      </w:r>
      <w:r w:rsidR="00B677D4" w:rsidRPr="00E549DC">
        <w:rPr>
          <w:rFonts w:ascii="Book Antiqua" w:eastAsia="宋体" w:hAnsi="Book Antiqua" w:cs="Calibri"/>
          <w:kern w:val="2"/>
          <w:lang w:eastAsia="zh-CN"/>
        </w:rPr>
        <w:t>ot reported; PIAF</w:t>
      </w:r>
      <w:r w:rsidR="0062368C" w:rsidRPr="00E549DC">
        <w:rPr>
          <w:rFonts w:ascii="Book Antiqua" w:eastAsia="宋体" w:hAnsi="Book Antiqua" w:cs="Calibri"/>
          <w:kern w:val="2"/>
          <w:lang w:eastAsia="zh-CN"/>
        </w:rPr>
        <w:t>:</w:t>
      </w:r>
      <w:r w:rsidR="00B677D4" w:rsidRPr="00E549DC">
        <w:rPr>
          <w:rFonts w:ascii="Book Antiqua" w:eastAsia="宋体" w:hAnsi="Book Antiqua" w:cs="Calibri"/>
          <w:kern w:val="2"/>
          <w:lang w:eastAsia="zh-CN"/>
        </w:rPr>
        <w:t xml:space="preserve"> </w:t>
      </w:r>
      <w:r w:rsidR="0062368C" w:rsidRPr="00E549DC">
        <w:rPr>
          <w:rFonts w:ascii="Book Antiqua" w:eastAsia="宋体" w:hAnsi="Book Antiqua" w:cs="Calibri"/>
          <w:kern w:val="2"/>
          <w:lang w:eastAsia="zh-CN"/>
        </w:rPr>
        <w:t>C</w:t>
      </w:r>
      <w:r w:rsidR="00B677D4" w:rsidRPr="00E549DC">
        <w:rPr>
          <w:rFonts w:ascii="Book Antiqua" w:eastAsia="宋体" w:hAnsi="Book Antiqua" w:cs="Calibri"/>
          <w:kern w:val="2"/>
          <w:lang w:eastAsia="zh-CN"/>
        </w:rPr>
        <w:t>isplatin/interferon α-2b/doxorubicin/5-fluorouracil.</w:t>
      </w:r>
    </w:p>
    <w:p w14:paraId="4183B323" w14:textId="77777777" w:rsidR="00E549DC" w:rsidRDefault="00E549DC" w:rsidP="00E549DC">
      <w:pPr>
        <w:ind w:leftChars="100" w:left="240"/>
        <w:jc w:val="center"/>
        <w:rPr>
          <w:rFonts w:ascii="Book Antiqua" w:hAnsi="Book Antiqua"/>
          <w:lang w:eastAsia="zh-CN"/>
        </w:rPr>
      </w:pPr>
    </w:p>
    <w:p w14:paraId="747C2372" w14:textId="77777777" w:rsidR="00E549DC" w:rsidRDefault="00E549DC" w:rsidP="00E549DC">
      <w:pPr>
        <w:ind w:leftChars="100" w:left="240"/>
        <w:jc w:val="center"/>
        <w:rPr>
          <w:rFonts w:ascii="Book Antiqua" w:hAnsi="Book Antiqua"/>
          <w:lang w:eastAsia="zh-CN"/>
        </w:rPr>
      </w:pPr>
    </w:p>
    <w:p w14:paraId="5968D588" w14:textId="77777777" w:rsidR="00E549DC" w:rsidRDefault="00E549DC" w:rsidP="00E549DC">
      <w:pPr>
        <w:ind w:leftChars="100" w:left="240"/>
        <w:jc w:val="center"/>
        <w:rPr>
          <w:rFonts w:ascii="Book Antiqua" w:hAnsi="Book Antiqua"/>
          <w:lang w:eastAsia="zh-CN"/>
        </w:rPr>
      </w:pPr>
    </w:p>
    <w:p w14:paraId="25D4ABD5" w14:textId="77777777" w:rsidR="00E549DC" w:rsidRDefault="00E549DC" w:rsidP="00E549DC">
      <w:pPr>
        <w:ind w:leftChars="100" w:left="240"/>
        <w:jc w:val="center"/>
        <w:rPr>
          <w:rFonts w:ascii="Book Antiqua" w:hAnsi="Book Antiqua"/>
          <w:lang w:eastAsia="zh-CN"/>
        </w:rPr>
      </w:pPr>
      <w:r>
        <w:rPr>
          <w:rFonts w:ascii="Book Antiqua" w:hAnsi="Book Antiqua"/>
          <w:noProof/>
          <w:lang w:eastAsia="zh-CN"/>
        </w:rPr>
        <w:drawing>
          <wp:inline distT="0" distB="0" distL="0" distR="0" wp14:anchorId="4885ED7C" wp14:editId="54F4932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AD0D3A8" w14:textId="77777777" w:rsidR="00E549DC" w:rsidRDefault="00E549DC" w:rsidP="00E549DC">
      <w:pPr>
        <w:ind w:leftChars="100" w:left="240"/>
        <w:jc w:val="center"/>
        <w:rPr>
          <w:rFonts w:ascii="Book Antiqua" w:hAnsi="Book Antiqua"/>
          <w:lang w:eastAsia="zh-CN"/>
        </w:rPr>
      </w:pPr>
    </w:p>
    <w:p w14:paraId="6854C698" w14:textId="77777777" w:rsidR="00E549DC" w:rsidRPr="00763D22" w:rsidRDefault="00E549DC" w:rsidP="00E549DC">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1753AB15" w14:textId="77777777" w:rsidR="00E549DC" w:rsidRPr="00763D22" w:rsidRDefault="00E549DC" w:rsidP="00E549DC">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FD713C0" w14:textId="77777777" w:rsidR="00E549DC" w:rsidRPr="00763D22" w:rsidRDefault="00E549DC" w:rsidP="00E549DC">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91DA5C2" w14:textId="77777777" w:rsidR="00E549DC" w:rsidRPr="00763D22" w:rsidRDefault="00E549DC" w:rsidP="00E549DC">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16CEACF" w14:textId="77777777" w:rsidR="00E549DC" w:rsidRPr="00763D22" w:rsidRDefault="00E549DC" w:rsidP="00E549DC">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A78A6E5" w14:textId="77777777" w:rsidR="00E549DC" w:rsidRPr="00763D22" w:rsidRDefault="00E549DC" w:rsidP="00E549DC">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11A772AA" w14:textId="77777777" w:rsidR="00E549DC" w:rsidRDefault="00E549DC" w:rsidP="00E549DC">
      <w:pPr>
        <w:ind w:leftChars="100" w:left="240"/>
        <w:jc w:val="center"/>
        <w:rPr>
          <w:rFonts w:ascii="Book Antiqua" w:hAnsi="Book Antiqua"/>
          <w:lang w:eastAsia="zh-CN"/>
        </w:rPr>
      </w:pPr>
    </w:p>
    <w:p w14:paraId="5FE6B008" w14:textId="77777777" w:rsidR="00E549DC" w:rsidRDefault="00E549DC" w:rsidP="00E549DC">
      <w:pPr>
        <w:ind w:leftChars="100" w:left="240"/>
        <w:jc w:val="center"/>
        <w:rPr>
          <w:rFonts w:ascii="Book Antiqua" w:hAnsi="Book Antiqua"/>
          <w:lang w:eastAsia="zh-CN"/>
        </w:rPr>
      </w:pPr>
    </w:p>
    <w:p w14:paraId="2FFC1FAA" w14:textId="77777777" w:rsidR="00E549DC" w:rsidRDefault="00E549DC" w:rsidP="00E549DC">
      <w:pPr>
        <w:ind w:leftChars="100" w:left="240"/>
        <w:jc w:val="center"/>
        <w:rPr>
          <w:rFonts w:ascii="Book Antiqua" w:hAnsi="Book Antiqua"/>
          <w:lang w:eastAsia="zh-CN"/>
        </w:rPr>
      </w:pPr>
    </w:p>
    <w:p w14:paraId="765780CA" w14:textId="77777777" w:rsidR="00E549DC" w:rsidRDefault="00E549DC" w:rsidP="00E549DC">
      <w:pPr>
        <w:ind w:leftChars="100" w:left="240"/>
        <w:jc w:val="center"/>
        <w:rPr>
          <w:rFonts w:ascii="Book Antiqua" w:hAnsi="Book Antiqua"/>
          <w:lang w:eastAsia="zh-CN"/>
        </w:rPr>
      </w:pPr>
      <w:r>
        <w:rPr>
          <w:rFonts w:ascii="Book Antiqua" w:hAnsi="Book Antiqua"/>
          <w:noProof/>
          <w:lang w:eastAsia="zh-CN"/>
        </w:rPr>
        <w:drawing>
          <wp:inline distT="0" distB="0" distL="0" distR="0" wp14:anchorId="45BD0DBD" wp14:editId="00C4E0B5">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5F4C2E4" w14:textId="77777777" w:rsidR="00E549DC" w:rsidRDefault="00E549DC" w:rsidP="00E549DC">
      <w:pPr>
        <w:ind w:leftChars="100" w:left="240"/>
        <w:jc w:val="center"/>
        <w:rPr>
          <w:rFonts w:ascii="Book Antiqua" w:hAnsi="Book Antiqua"/>
          <w:lang w:eastAsia="zh-CN"/>
        </w:rPr>
      </w:pPr>
    </w:p>
    <w:p w14:paraId="69E561E4" w14:textId="77777777" w:rsidR="00E549DC" w:rsidRDefault="00E549DC" w:rsidP="00E549DC">
      <w:pPr>
        <w:ind w:leftChars="100" w:left="240"/>
        <w:jc w:val="center"/>
        <w:rPr>
          <w:rFonts w:ascii="Book Antiqua" w:hAnsi="Book Antiqua"/>
          <w:lang w:eastAsia="zh-CN"/>
        </w:rPr>
      </w:pPr>
    </w:p>
    <w:p w14:paraId="1FE96975" w14:textId="77777777" w:rsidR="00E549DC" w:rsidRDefault="00E549DC" w:rsidP="00E549DC">
      <w:pPr>
        <w:ind w:leftChars="100" w:left="240"/>
        <w:jc w:val="center"/>
        <w:rPr>
          <w:rFonts w:ascii="Book Antiqua" w:hAnsi="Book Antiqua"/>
          <w:lang w:eastAsia="zh-CN"/>
        </w:rPr>
      </w:pPr>
    </w:p>
    <w:p w14:paraId="587F6A1F" w14:textId="77777777" w:rsidR="00E549DC" w:rsidRDefault="00E549DC" w:rsidP="00E549DC">
      <w:pPr>
        <w:ind w:leftChars="100" w:left="240"/>
        <w:jc w:val="center"/>
        <w:rPr>
          <w:rFonts w:ascii="Book Antiqua" w:hAnsi="Book Antiqua"/>
          <w:lang w:eastAsia="zh-CN"/>
        </w:rPr>
      </w:pPr>
    </w:p>
    <w:p w14:paraId="2B16FF14" w14:textId="77777777" w:rsidR="00E549DC" w:rsidRDefault="00E549DC" w:rsidP="00E549DC">
      <w:pPr>
        <w:ind w:leftChars="100" w:left="240"/>
        <w:jc w:val="center"/>
        <w:rPr>
          <w:rFonts w:ascii="Book Antiqua" w:hAnsi="Book Antiqua"/>
          <w:lang w:eastAsia="zh-CN"/>
        </w:rPr>
      </w:pPr>
    </w:p>
    <w:p w14:paraId="2C44779C" w14:textId="77777777" w:rsidR="00E549DC" w:rsidRDefault="00E549DC" w:rsidP="00E549DC">
      <w:pPr>
        <w:ind w:leftChars="100" w:left="240"/>
        <w:jc w:val="center"/>
        <w:rPr>
          <w:rFonts w:ascii="Book Antiqua" w:hAnsi="Book Antiqua"/>
          <w:lang w:eastAsia="zh-CN"/>
        </w:rPr>
      </w:pPr>
    </w:p>
    <w:p w14:paraId="59AD713D" w14:textId="77777777" w:rsidR="00E549DC" w:rsidRDefault="00E549DC" w:rsidP="00E549DC">
      <w:pPr>
        <w:ind w:leftChars="100" w:left="240"/>
        <w:jc w:val="center"/>
        <w:rPr>
          <w:rFonts w:ascii="Book Antiqua" w:hAnsi="Book Antiqua"/>
          <w:lang w:eastAsia="zh-CN"/>
        </w:rPr>
      </w:pPr>
    </w:p>
    <w:p w14:paraId="6DDE1BA1" w14:textId="77777777" w:rsidR="00E549DC" w:rsidRDefault="00E549DC" w:rsidP="00E549DC">
      <w:pPr>
        <w:ind w:leftChars="100" w:left="240"/>
        <w:jc w:val="center"/>
        <w:rPr>
          <w:rFonts w:ascii="Book Antiqua" w:hAnsi="Book Antiqua"/>
          <w:lang w:eastAsia="zh-CN"/>
        </w:rPr>
      </w:pPr>
    </w:p>
    <w:p w14:paraId="7CD6F3F5" w14:textId="77777777" w:rsidR="00E549DC" w:rsidRDefault="00E549DC" w:rsidP="00E549DC">
      <w:pPr>
        <w:ind w:leftChars="100" w:left="240"/>
        <w:jc w:val="center"/>
        <w:rPr>
          <w:rFonts w:ascii="Book Antiqua" w:hAnsi="Book Antiqua"/>
          <w:lang w:eastAsia="zh-CN"/>
        </w:rPr>
      </w:pPr>
    </w:p>
    <w:p w14:paraId="5D5A0399" w14:textId="77777777" w:rsidR="00E549DC" w:rsidRPr="00763D22" w:rsidRDefault="00E549DC" w:rsidP="00E549DC">
      <w:pPr>
        <w:ind w:leftChars="100" w:left="240"/>
        <w:jc w:val="right"/>
        <w:rPr>
          <w:rFonts w:ascii="Book Antiqua" w:hAnsi="Book Antiqua"/>
          <w:color w:val="000000" w:themeColor="text1"/>
          <w:lang w:eastAsia="zh-CN"/>
        </w:rPr>
      </w:pPr>
    </w:p>
    <w:p w14:paraId="20FC203B" w14:textId="26D30B57" w:rsidR="00A77B3E" w:rsidRPr="00451491" w:rsidRDefault="00E549DC" w:rsidP="00451491">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sectPr w:rsidR="00A77B3E" w:rsidRPr="00451491" w:rsidSect="00E549DC">
      <w:type w:val="continuous"/>
      <w:pgSz w:w="12240" w:h="15840"/>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B6BA74" w14:textId="77777777" w:rsidR="00C23C9D" w:rsidRDefault="00C23C9D" w:rsidP="004612C4">
      <w:r>
        <w:separator/>
      </w:r>
    </w:p>
  </w:endnote>
  <w:endnote w:type="continuationSeparator" w:id="0">
    <w:p w14:paraId="286F2B38" w14:textId="77777777" w:rsidR="00C23C9D" w:rsidRDefault="00C23C9D" w:rsidP="004612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3579390"/>
      <w:docPartObj>
        <w:docPartGallery w:val="Page Numbers (Bottom of Page)"/>
        <w:docPartUnique/>
      </w:docPartObj>
    </w:sdtPr>
    <w:sdtEndPr/>
    <w:sdtContent>
      <w:sdt>
        <w:sdtPr>
          <w:id w:val="-1769616900"/>
          <w:docPartObj>
            <w:docPartGallery w:val="Page Numbers (Top of Page)"/>
            <w:docPartUnique/>
          </w:docPartObj>
        </w:sdtPr>
        <w:sdtEndPr/>
        <w:sdtContent>
          <w:p w14:paraId="04D60BCC" w14:textId="6AC31D21" w:rsidR="007157B3" w:rsidRDefault="007157B3">
            <w:pPr>
              <w:pStyle w:val="a6"/>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2A1BFD">
              <w:rPr>
                <w:b/>
                <w:bCs/>
                <w:noProof/>
              </w:rPr>
              <w:t>5</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2A1BFD">
              <w:rPr>
                <w:b/>
                <w:bCs/>
                <w:noProof/>
              </w:rPr>
              <w:t>29</w:t>
            </w:r>
            <w:r>
              <w:rPr>
                <w:b/>
                <w:bCs/>
                <w:sz w:val="24"/>
                <w:szCs w:val="24"/>
              </w:rPr>
              <w:fldChar w:fldCharType="end"/>
            </w:r>
          </w:p>
        </w:sdtContent>
      </w:sdt>
    </w:sdtContent>
  </w:sdt>
  <w:p w14:paraId="54970E16" w14:textId="77777777" w:rsidR="007157B3" w:rsidRDefault="007157B3">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0238A8" w14:textId="77777777" w:rsidR="00C23C9D" w:rsidRDefault="00C23C9D" w:rsidP="004612C4">
      <w:r>
        <w:separator/>
      </w:r>
    </w:p>
  </w:footnote>
  <w:footnote w:type="continuationSeparator" w:id="0">
    <w:p w14:paraId="181E4389" w14:textId="77777777" w:rsidR="00C23C9D" w:rsidRDefault="00C23C9D" w:rsidP="004612C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C65D6F"/>
    <w:multiLevelType w:val="hybridMultilevel"/>
    <w:tmpl w:val="71925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E7B061E"/>
    <w:multiLevelType w:val="multilevel"/>
    <w:tmpl w:val="E6BE9EAA"/>
    <w:lvl w:ilvl="0">
      <w:start w:val="1"/>
      <w:numFmt w:val="decimal"/>
      <w:lvlText w:val="%1."/>
      <w:lvlJc w:val="left"/>
      <w:pPr>
        <w:ind w:left="360" w:hanging="360"/>
      </w:pPr>
      <w:rPr>
        <w:rFonts w:hint="default"/>
      </w:rPr>
    </w:lvl>
    <w:lvl w:ilvl="1">
      <w:start w:val="6"/>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35A7041F"/>
    <w:multiLevelType w:val="hybridMultilevel"/>
    <w:tmpl w:val="2E2E18B8"/>
    <w:lvl w:ilvl="0" w:tplc="0E58ADEE">
      <w:numFmt w:val="bullet"/>
      <w:lvlText w:val="-"/>
      <w:lvlJc w:val="left"/>
      <w:pPr>
        <w:ind w:left="720" w:hanging="360"/>
      </w:pPr>
      <w:rPr>
        <w:rFonts w:ascii="Calibri" w:eastAsia="Calibr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nsid w:val="4AC40122"/>
    <w:multiLevelType w:val="hybridMultilevel"/>
    <w:tmpl w:val="451C99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C552EAE"/>
    <w:multiLevelType w:val="multilevel"/>
    <w:tmpl w:val="DB4C8F72"/>
    <w:lvl w:ilvl="0">
      <w:start w:val="1"/>
      <w:numFmt w:val="decimal"/>
      <w:lvlText w:val="%1."/>
      <w:lvlJc w:val="left"/>
      <w:pPr>
        <w:tabs>
          <w:tab w:val="num" w:pos="720"/>
        </w:tabs>
        <w:ind w:left="720" w:hanging="360"/>
      </w:pPr>
      <w:rPr>
        <w:lang w:val="e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55EB65AA"/>
    <w:multiLevelType w:val="hybridMultilevel"/>
    <w:tmpl w:val="E12010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DF10FD7"/>
    <w:multiLevelType w:val="hybridMultilevel"/>
    <w:tmpl w:val="F8A6A804"/>
    <w:lvl w:ilvl="0" w:tplc="1158DD7A">
      <w:start w:val="1"/>
      <w:numFmt w:val="bullet"/>
      <w:pStyle w:val="Bulletpoints5"/>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7">
    <w:nsid w:val="7E234B3C"/>
    <w:multiLevelType w:val="hybridMultilevel"/>
    <w:tmpl w:val="FB8A9B60"/>
    <w:lvl w:ilvl="0" w:tplc="EEE6B4D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7E734F36"/>
    <w:multiLevelType w:val="hybridMultilevel"/>
    <w:tmpl w:val="1E6ED02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
  </w:num>
  <w:num w:numId="6">
    <w:abstractNumId w:val="5"/>
  </w:num>
  <w:num w:numId="7">
    <w:abstractNumId w:val="3"/>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08C8"/>
    <w:rsid w:val="00016629"/>
    <w:rsid w:val="000B6B06"/>
    <w:rsid w:val="0011550E"/>
    <w:rsid w:val="00121A53"/>
    <w:rsid w:val="00124A76"/>
    <w:rsid w:val="00175DEE"/>
    <w:rsid w:val="001B118E"/>
    <w:rsid w:val="001B35A0"/>
    <w:rsid w:val="001B75FF"/>
    <w:rsid w:val="0022570C"/>
    <w:rsid w:val="00247580"/>
    <w:rsid w:val="00261D8A"/>
    <w:rsid w:val="002A1BFD"/>
    <w:rsid w:val="003106BD"/>
    <w:rsid w:val="00322DFD"/>
    <w:rsid w:val="00332DAF"/>
    <w:rsid w:val="003924BF"/>
    <w:rsid w:val="003E7B37"/>
    <w:rsid w:val="003F66A7"/>
    <w:rsid w:val="0043672C"/>
    <w:rsid w:val="00451491"/>
    <w:rsid w:val="004612C4"/>
    <w:rsid w:val="00462A1E"/>
    <w:rsid w:val="0047772B"/>
    <w:rsid w:val="004939B0"/>
    <w:rsid w:val="004C3085"/>
    <w:rsid w:val="00536432"/>
    <w:rsid w:val="005A528B"/>
    <w:rsid w:val="005C2930"/>
    <w:rsid w:val="0062368C"/>
    <w:rsid w:val="00632BA8"/>
    <w:rsid w:val="00651CF8"/>
    <w:rsid w:val="00652632"/>
    <w:rsid w:val="0066556F"/>
    <w:rsid w:val="00670CF7"/>
    <w:rsid w:val="00687B14"/>
    <w:rsid w:val="006971B8"/>
    <w:rsid w:val="006B0F97"/>
    <w:rsid w:val="006B6E9C"/>
    <w:rsid w:val="006F3D9E"/>
    <w:rsid w:val="007157B3"/>
    <w:rsid w:val="00721903"/>
    <w:rsid w:val="00724F79"/>
    <w:rsid w:val="00732DCE"/>
    <w:rsid w:val="00737995"/>
    <w:rsid w:val="0076742F"/>
    <w:rsid w:val="007B7AB6"/>
    <w:rsid w:val="007E2D43"/>
    <w:rsid w:val="007E7A24"/>
    <w:rsid w:val="008029E5"/>
    <w:rsid w:val="00870CD1"/>
    <w:rsid w:val="00891BDF"/>
    <w:rsid w:val="008B736D"/>
    <w:rsid w:val="008C25FB"/>
    <w:rsid w:val="008F0BA0"/>
    <w:rsid w:val="008F2E53"/>
    <w:rsid w:val="00902B1B"/>
    <w:rsid w:val="00903082"/>
    <w:rsid w:val="00937412"/>
    <w:rsid w:val="00937B53"/>
    <w:rsid w:val="009D21FD"/>
    <w:rsid w:val="009F2030"/>
    <w:rsid w:val="00A5153A"/>
    <w:rsid w:val="00A77B3E"/>
    <w:rsid w:val="00AB2081"/>
    <w:rsid w:val="00B21947"/>
    <w:rsid w:val="00B243BA"/>
    <w:rsid w:val="00B47526"/>
    <w:rsid w:val="00B66C2C"/>
    <w:rsid w:val="00B677D4"/>
    <w:rsid w:val="00B7601A"/>
    <w:rsid w:val="00BB44E8"/>
    <w:rsid w:val="00BE4873"/>
    <w:rsid w:val="00C05468"/>
    <w:rsid w:val="00C23C9D"/>
    <w:rsid w:val="00C23CA7"/>
    <w:rsid w:val="00C55EEF"/>
    <w:rsid w:val="00C732F9"/>
    <w:rsid w:val="00C804D5"/>
    <w:rsid w:val="00CA2A55"/>
    <w:rsid w:val="00CE359B"/>
    <w:rsid w:val="00D12C6C"/>
    <w:rsid w:val="00D341E4"/>
    <w:rsid w:val="00D403E4"/>
    <w:rsid w:val="00D445C5"/>
    <w:rsid w:val="00D83861"/>
    <w:rsid w:val="00D91CD4"/>
    <w:rsid w:val="00DD3EA7"/>
    <w:rsid w:val="00DD5F0C"/>
    <w:rsid w:val="00DF6CAC"/>
    <w:rsid w:val="00E549DC"/>
    <w:rsid w:val="00E83497"/>
    <w:rsid w:val="00ED1E51"/>
    <w:rsid w:val="00EE6FFD"/>
    <w:rsid w:val="00F57FDA"/>
    <w:rsid w:val="00FB2F2E"/>
    <w:rsid w:val="00FD1621"/>
    <w:rsid w:val="00FE2D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CFB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ne number"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annotation subjec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6">
    <w:name w:val="heading 6"/>
    <w:basedOn w:val="a"/>
    <w:next w:val="a"/>
    <w:link w:val="6Char"/>
    <w:uiPriority w:val="9"/>
    <w:unhideWhenUsed/>
    <w:qFormat/>
    <w:rsid w:val="00B677D4"/>
    <w:pPr>
      <w:spacing w:before="240" w:after="60" w:line="276" w:lineRule="auto"/>
      <w:ind w:left="708"/>
      <w:outlineLvl w:val="5"/>
    </w:pPr>
    <w:rPr>
      <w:rFonts w:ascii="Calibri" w:eastAsia="Times New Roman" w:hAnsi="Calibri"/>
      <w:b/>
      <w:bCs/>
      <w:sz w:val="22"/>
      <w:szCs w:val="22"/>
      <w:lang w:val="de-CH"/>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Char">
    <w:name w:val="标题 6 Char"/>
    <w:basedOn w:val="a0"/>
    <w:link w:val="6"/>
    <w:uiPriority w:val="9"/>
    <w:rsid w:val="00B677D4"/>
    <w:rPr>
      <w:rFonts w:ascii="Calibri" w:eastAsia="Times New Roman" w:hAnsi="Calibri"/>
      <w:b/>
      <w:bCs/>
      <w:sz w:val="22"/>
      <w:szCs w:val="22"/>
      <w:lang w:val="de-CH"/>
    </w:rPr>
  </w:style>
  <w:style w:type="character" w:styleId="a3">
    <w:name w:val="Hyperlink"/>
    <w:uiPriority w:val="99"/>
    <w:unhideWhenUsed/>
    <w:rsid w:val="00B677D4"/>
    <w:rPr>
      <w:color w:val="0000FF"/>
      <w:u w:val="single"/>
    </w:rPr>
  </w:style>
  <w:style w:type="paragraph" w:customStyle="1" w:styleId="Standardunter5">
    <w:name w:val="Standard unter Ü5"/>
    <w:basedOn w:val="a"/>
    <w:qFormat/>
    <w:rsid w:val="00B677D4"/>
    <w:pPr>
      <w:spacing w:before="120" w:after="120" w:line="276" w:lineRule="auto"/>
      <w:ind w:left="709"/>
    </w:pPr>
    <w:rPr>
      <w:rFonts w:ascii="Calibri" w:hAnsi="Calibri"/>
      <w:sz w:val="22"/>
      <w:szCs w:val="22"/>
    </w:rPr>
  </w:style>
  <w:style w:type="paragraph" w:customStyle="1" w:styleId="Bulletpoints5">
    <w:name w:val="Bulletpoints Ü5"/>
    <w:basedOn w:val="Standardunter5"/>
    <w:qFormat/>
    <w:rsid w:val="00B677D4"/>
    <w:pPr>
      <w:numPr>
        <w:numId w:val="1"/>
      </w:numPr>
      <w:spacing w:after="0"/>
    </w:pPr>
  </w:style>
  <w:style w:type="character" w:customStyle="1" w:styleId="Char">
    <w:name w:val="批注文字 Char"/>
    <w:basedOn w:val="a0"/>
    <w:link w:val="a4"/>
    <w:uiPriority w:val="99"/>
    <w:semiHidden/>
    <w:rsid w:val="00B677D4"/>
    <w:rPr>
      <w:rFonts w:ascii="Calibri" w:hAnsi="Calibri"/>
      <w:lang w:val="de-CH"/>
    </w:rPr>
  </w:style>
  <w:style w:type="paragraph" w:styleId="a4">
    <w:name w:val="annotation text"/>
    <w:basedOn w:val="a"/>
    <w:link w:val="Char"/>
    <w:uiPriority w:val="99"/>
    <w:semiHidden/>
    <w:unhideWhenUsed/>
    <w:rsid w:val="00B677D4"/>
    <w:pPr>
      <w:spacing w:after="200" w:line="276" w:lineRule="auto"/>
    </w:pPr>
    <w:rPr>
      <w:rFonts w:ascii="Calibri" w:hAnsi="Calibri"/>
      <w:sz w:val="20"/>
      <w:szCs w:val="20"/>
      <w:lang w:val="de-CH"/>
    </w:rPr>
  </w:style>
  <w:style w:type="paragraph" w:styleId="a5">
    <w:name w:val="header"/>
    <w:basedOn w:val="a"/>
    <w:link w:val="Char0"/>
    <w:uiPriority w:val="99"/>
    <w:unhideWhenUsed/>
    <w:rsid w:val="00B677D4"/>
    <w:pPr>
      <w:tabs>
        <w:tab w:val="center" w:pos="4536"/>
        <w:tab w:val="right" w:pos="9072"/>
      </w:tabs>
      <w:spacing w:after="200" w:line="276" w:lineRule="auto"/>
    </w:pPr>
    <w:rPr>
      <w:rFonts w:ascii="Calibri" w:hAnsi="Calibri"/>
      <w:sz w:val="22"/>
      <w:szCs w:val="22"/>
      <w:lang w:val="de-CH"/>
    </w:rPr>
  </w:style>
  <w:style w:type="character" w:customStyle="1" w:styleId="Char0">
    <w:name w:val="页眉 Char"/>
    <w:basedOn w:val="a0"/>
    <w:link w:val="a5"/>
    <w:uiPriority w:val="99"/>
    <w:rsid w:val="00B677D4"/>
    <w:rPr>
      <w:rFonts w:ascii="Calibri" w:hAnsi="Calibri"/>
      <w:sz w:val="22"/>
      <w:szCs w:val="22"/>
      <w:lang w:val="de-CH"/>
    </w:rPr>
  </w:style>
  <w:style w:type="paragraph" w:styleId="a6">
    <w:name w:val="footer"/>
    <w:basedOn w:val="a"/>
    <w:link w:val="Char1"/>
    <w:uiPriority w:val="99"/>
    <w:unhideWhenUsed/>
    <w:rsid w:val="00B677D4"/>
    <w:pPr>
      <w:tabs>
        <w:tab w:val="center" w:pos="4536"/>
        <w:tab w:val="right" w:pos="9072"/>
      </w:tabs>
      <w:spacing w:after="200" w:line="276" w:lineRule="auto"/>
    </w:pPr>
    <w:rPr>
      <w:rFonts w:ascii="Calibri" w:hAnsi="Calibri"/>
      <w:sz w:val="22"/>
      <w:szCs w:val="22"/>
      <w:lang w:val="de-CH"/>
    </w:rPr>
  </w:style>
  <w:style w:type="character" w:customStyle="1" w:styleId="Char1">
    <w:name w:val="页脚 Char"/>
    <w:basedOn w:val="a0"/>
    <w:link w:val="a6"/>
    <w:uiPriority w:val="99"/>
    <w:rsid w:val="00B677D4"/>
    <w:rPr>
      <w:rFonts w:ascii="Calibri" w:hAnsi="Calibri"/>
      <w:sz w:val="22"/>
      <w:szCs w:val="22"/>
      <w:lang w:val="de-CH"/>
    </w:rPr>
  </w:style>
  <w:style w:type="paragraph" w:styleId="a7">
    <w:name w:val="footnote text"/>
    <w:basedOn w:val="a"/>
    <w:link w:val="Char2"/>
    <w:uiPriority w:val="99"/>
    <w:semiHidden/>
    <w:unhideWhenUsed/>
    <w:rsid w:val="00B677D4"/>
    <w:pPr>
      <w:spacing w:after="200" w:line="276" w:lineRule="auto"/>
    </w:pPr>
    <w:rPr>
      <w:rFonts w:ascii="Calibri" w:hAnsi="Calibri"/>
      <w:sz w:val="20"/>
      <w:szCs w:val="20"/>
      <w:lang w:val="de-CH"/>
    </w:rPr>
  </w:style>
  <w:style w:type="character" w:customStyle="1" w:styleId="Char2">
    <w:name w:val="脚注文本 Char"/>
    <w:basedOn w:val="a0"/>
    <w:link w:val="a7"/>
    <w:uiPriority w:val="99"/>
    <w:semiHidden/>
    <w:rsid w:val="00B677D4"/>
    <w:rPr>
      <w:rFonts w:ascii="Calibri" w:hAnsi="Calibri"/>
      <w:lang w:val="de-CH"/>
    </w:rPr>
  </w:style>
  <w:style w:type="paragraph" w:styleId="a8">
    <w:name w:val="List Paragraph"/>
    <w:basedOn w:val="a"/>
    <w:link w:val="Char3"/>
    <w:uiPriority w:val="34"/>
    <w:qFormat/>
    <w:rsid w:val="00B677D4"/>
    <w:pPr>
      <w:spacing w:after="160" w:line="259" w:lineRule="auto"/>
      <w:ind w:left="720"/>
      <w:contextualSpacing/>
    </w:pPr>
    <w:rPr>
      <w:rFonts w:ascii="Calibri" w:hAnsi="Calibri"/>
      <w:sz w:val="22"/>
      <w:szCs w:val="22"/>
      <w:lang w:val="de-CH"/>
    </w:rPr>
  </w:style>
  <w:style w:type="character" w:customStyle="1" w:styleId="Char3">
    <w:name w:val="列出段落 Char"/>
    <w:basedOn w:val="a0"/>
    <w:link w:val="a8"/>
    <w:uiPriority w:val="34"/>
    <w:rsid w:val="00B677D4"/>
    <w:rPr>
      <w:rFonts w:ascii="Calibri" w:hAnsi="Calibri"/>
      <w:sz w:val="22"/>
      <w:szCs w:val="22"/>
      <w:lang w:val="de-CH"/>
    </w:rPr>
  </w:style>
  <w:style w:type="paragraph" w:styleId="a9">
    <w:name w:val="Balloon Text"/>
    <w:basedOn w:val="a"/>
    <w:link w:val="Char4"/>
    <w:uiPriority w:val="99"/>
    <w:unhideWhenUsed/>
    <w:rsid w:val="00B677D4"/>
    <w:rPr>
      <w:rFonts w:ascii="Segoe UI" w:hAnsi="Segoe UI" w:cs="Segoe UI"/>
      <w:sz w:val="18"/>
      <w:szCs w:val="18"/>
      <w:lang w:val="de-CH"/>
    </w:rPr>
  </w:style>
  <w:style w:type="character" w:customStyle="1" w:styleId="Char4">
    <w:name w:val="批注框文本 Char"/>
    <w:basedOn w:val="a0"/>
    <w:link w:val="a9"/>
    <w:uiPriority w:val="99"/>
    <w:rsid w:val="00B677D4"/>
    <w:rPr>
      <w:rFonts w:ascii="Segoe UI" w:hAnsi="Segoe UI" w:cs="Segoe UI"/>
      <w:sz w:val="18"/>
      <w:szCs w:val="18"/>
      <w:lang w:val="de-CH"/>
    </w:rPr>
  </w:style>
  <w:style w:type="character" w:customStyle="1" w:styleId="Char5">
    <w:name w:val="批注主题 Char"/>
    <w:basedOn w:val="Char"/>
    <w:link w:val="aa"/>
    <w:uiPriority w:val="99"/>
    <w:semiHidden/>
    <w:rsid w:val="00B677D4"/>
    <w:rPr>
      <w:rFonts w:ascii="Calibri" w:hAnsi="Calibri"/>
      <w:b/>
      <w:bCs/>
      <w:lang w:val="de-CH"/>
    </w:rPr>
  </w:style>
  <w:style w:type="paragraph" w:styleId="aa">
    <w:name w:val="annotation subject"/>
    <w:basedOn w:val="a4"/>
    <w:next w:val="a4"/>
    <w:link w:val="Char5"/>
    <w:uiPriority w:val="99"/>
    <w:semiHidden/>
    <w:unhideWhenUsed/>
    <w:rsid w:val="00B677D4"/>
    <w:pPr>
      <w:spacing w:line="240" w:lineRule="auto"/>
    </w:pPr>
    <w:rPr>
      <w:b/>
      <w:bCs/>
    </w:rPr>
  </w:style>
  <w:style w:type="paragraph" w:customStyle="1" w:styleId="EndNoteBibliographyTitle">
    <w:name w:val="EndNote Bibliography Title"/>
    <w:basedOn w:val="a"/>
    <w:link w:val="EndNoteBibliographyTitle0"/>
    <w:rsid w:val="00B677D4"/>
    <w:pPr>
      <w:spacing w:line="276" w:lineRule="auto"/>
      <w:jc w:val="center"/>
    </w:pPr>
    <w:rPr>
      <w:rFonts w:ascii="Book Antiqua" w:hAnsi="Book Antiqua" w:cs="Calibri"/>
      <w:noProof/>
      <w:szCs w:val="22"/>
    </w:rPr>
  </w:style>
  <w:style w:type="character" w:customStyle="1" w:styleId="EndNoteBibliographyTitle0">
    <w:name w:val="EndNote Bibliography Title 字符"/>
    <w:basedOn w:val="a0"/>
    <w:link w:val="EndNoteBibliographyTitle"/>
    <w:rsid w:val="00B677D4"/>
    <w:rPr>
      <w:rFonts w:ascii="Book Antiqua" w:hAnsi="Book Antiqua" w:cs="Calibri"/>
      <w:noProof/>
      <w:sz w:val="24"/>
      <w:szCs w:val="22"/>
    </w:rPr>
  </w:style>
  <w:style w:type="paragraph" w:customStyle="1" w:styleId="EndNoteBibliography">
    <w:name w:val="EndNote Bibliography"/>
    <w:basedOn w:val="a"/>
    <w:link w:val="EndNoteBibliography0"/>
    <w:rsid w:val="00B677D4"/>
    <w:pPr>
      <w:spacing w:after="200" w:line="360" w:lineRule="auto"/>
    </w:pPr>
    <w:rPr>
      <w:rFonts w:ascii="Book Antiqua" w:hAnsi="Book Antiqua" w:cs="Calibri"/>
      <w:noProof/>
      <w:szCs w:val="22"/>
    </w:rPr>
  </w:style>
  <w:style w:type="character" w:customStyle="1" w:styleId="EndNoteBibliography0">
    <w:name w:val="EndNote Bibliography 字符"/>
    <w:basedOn w:val="a0"/>
    <w:link w:val="EndNoteBibliography"/>
    <w:rsid w:val="00B677D4"/>
    <w:rPr>
      <w:rFonts w:ascii="Book Antiqua" w:hAnsi="Book Antiqua" w:cs="Calibri"/>
      <w:noProof/>
      <w:sz w:val="24"/>
      <w:szCs w:val="22"/>
    </w:rPr>
  </w:style>
  <w:style w:type="table" w:customStyle="1" w:styleId="ListTable1LightAccent3">
    <w:name w:val="List Table 1 Light Accent 3"/>
    <w:basedOn w:val="a1"/>
    <w:uiPriority w:val="46"/>
    <w:rsid w:val="00B677D4"/>
    <w:rPr>
      <w:rFonts w:ascii="Calibri" w:hAnsi="Calibri"/>
      <w:lang w:bidi="he-IL"/>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ne number"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annotation subjec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6">
    <w:name w:val="heading 6"/>
    <w:basedOn w:val="a"/>
    <w:next w:val="a"/>
    <w:link w:val="6Char"/>
    <w:uiPriority w:val="9"/>
    <w:unhideWhenUsed/>
    <w:qFormat/>
    <w:rsid w:val="00B677D4"/>
    <w:pPr>
      <w:spacing w:before="240" w:after="60" w:line="276" w:lineRule="auto"/>
      <w:ind w:left="708"/>
      <w:outlineLvl w:val="5"/>
    </w:pPr>
    <w:rPr>
      <w:rFonts w:ascii="Calibri" w:eastAsia="Times New Roman" w:hAnsi="Calibri"/>
      <w:b/>
      <w:bCs/>
      <w:sz w:val="22"/>
      <w:szCs w:val="22"/>
      <w:lang w:val="de-CH"/>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Char">
    <w:name w:val="标题 6 Char"/>
    <w:basedOn w:val="a0"/>
    <w:link w:val="6"/>
    <w:uiPriority w:val="9"/>
    <w:rsid w:val="00B677D4"/>
    <w:rPr>
      <w:rFonts w:ascii="Calibri" w:eastAsia="Times New Roman" w:hAnsi="Calibri"/>
      <w:b/>
      <w:bCs/>
      <w:sz w:val="22"/>
      <w:szCs w:val="22"/>
      <w:lang w:val="de-CH"/>
    </w:rPr>
  </w:style>
  <w:style w:type="character" w:styleId="a3">
    <w:name w:val="Hyperlink"/>
    <w:uiPriority w:val="99"/>
    <w:unhideWhenUsed/>
    <w:rsid w:val="00B677D4"/>
    <w:rPr>
      <w:color w:val="0000FF"/>
      <w:u w:val="single"/>
    </w:rPr>
  </w:style>
  <w:style w:type="paragraph" w:customStyle="1" w:styleId="Standardunter5">
    <w:name w:val="Standard unter Ü5"/>
    <w:basedOn w:val="a"/>
    <w:qFormat/>
    <w:rsid w:val="00B677D4"/>
    <w:pPr>
      <w:spacing w:before="120" w:after="120" w:line="276" w:lineRule="auto"/>
      <w:ind w:left="709"/>
    </w:pPr>
    <w:rPr>
      <w:rFonts w:ascii="Calibri" w:hAnsi="Calibri"/>
      <w:sz w:val="22"/>
      <w:szCs w:val="22"/>
    </w:rPr>
  </w:style>
  <w:style w:type="paragraph" w:customStyle="1" w:styleId="Bulletpoints5">
    <w:name w:val="Bulletpoints Ü5"/>
    <w:basedOn w:val="Standardunter5"/>
    <w:qFormat/>
    <w:rsid w:val="00B677D4"/>
    <w:pPr>
      <w:numPr>
        <w:numId w:val="1"/>
      </w:numPr>
      <w:spacing w:after="0"/>
    </w:pPr>
  </w:style>
  <w:style w:type="character" w:customStyle="1" w:styleId="Char">
    <w:name w:val="批注文字 Char"/>
    <w:basedOn w:val="a0"/>
    <w:link w:val="a4"/>
    <w:uiPriority w:val="99"/>
    <w:semiHidden/>
    <w:rsid w:val="00B677D4"/>
    <w:rPr>
      <w:rFonts w:ascii="Calibri" w:hAnsi="Calibri"/>
      <w:lang w:val="de-CH"/>
    </w:rPr>
  </w:style>
  <w:style w:type="paragraph" w:styleId="a4">
    <w:name w:val="annotation text"/>
    <w:basedOn w:val="a"/>
    <w:link w:val="Char"/>
    <w:uiPriority w:val="99"/>
    <w:semiHidden/>
    <w:unhideWhenUsed/>
    <w:rsid w:val="00B677D4"/>
    <w:pPr>
      <w:spacing w:after="200" w:line="276" w:lineRule="auto"/>
    </w:pPr>
    <w:rPr>
      <w:rFonts w:ascii="Calibri" w:hAnsi="Calibri"/>
      <w:sz w:val="20"/>
      <w:szCs w:val="20"/>
      <w:lang w:val="de-CH"/>
    </w:rPr>
  </w:style>
  <w:style w:type="paragraph" w:styleId="a5">
    <w:name w:val="header"/>
    <w:basedOn w:val="a"/>
    <w:link w:val="Char0"/>
    <w:uiPriority w:val="99"/>
    <w:unhideWhenUsed/>
    <w:rsid w:val="00B677D4"/>
    <w:pPr>
      <w:tabs>
        <w:tab w:val="center" w:pos="4536"/>
        <w:tab w:val="right" w:pos="9072"/>
      </w:tabs>
      <w:spacing w:after="200" w:line="276" w:lineRule="auto"/>
    </w:pPr>
    <w:rPr>
      <w:rFonts w:ascii="Calibri" w:hAnsi="Calibri"/>
      <w:sz w:val="22"/>
      <w:szCs w:val="22"/>
      <w:lang w:val="de-CH"/>
    </w:rPr>
  </w:style>
  <w:style w:type="character" w:customStyle="1" w:styleId="Char0">
    <w:name w:val="页眉 Char"/>
    <w:basedOn w:val="a0"/>
    <w:link w:val="a5"/>
    <w:uiPriority w:val="99"/>
    <w:rsid w:val="00B677D4"/>
    <w:rPr>
      <w:rFonts w:ascii="Calibri" w:hAnsi="Calibri"/>
      <w:sz w:val="22"/>
      <w:szCs w:val="22"/>
      <w:lang w:val="de-CH"/>
    </w:rPr>
  </w:style>
  <w:style w:type="paragraph" w:styleId="a6">
    <w:name w:val="footer"/>
    <w:basedOn w:val="a"/>
    <w:link w:val="Char1"/>
    <w:uiPriority w:val="99"/>
    <w:unhideWhenUsed/>
    <w:rsid w:val="00B677D4"/>
    <w:pPr>
      <w:tabs>
        <w:tab w:val="center" w:pos="4536"/>
        <w:tab w:val="right" w:pos="9072"/>
      </w:tabs>
      <w:spacing w:after="200" w:line="276" w:lineRule="auto"/>
    </w:pPr>
    <w:rPr>
      <w:rFonts w:ascii="Calibri" w:hAnsi="Calibri"/>
      <w:sz w:val="22"/>
      <w:szCs w:val="22"/>
      <w:lang w:val="de-CH"/>
    </w:rPr>
  </w:style>
  <w:style w:type="character" w:customStyle="1" w:styleId="Char1">
    <w:name w:val="页脚 Char"/>
    <w:basedOn w:val="a0"/>
    <w:link w:val="a6"/>
    <w:uiPriority w:val="99"/>
    <w:rsid w:val="00B677D4"/>
    <w:rPr>
      <w:rFonts w:ascii="Calibri" w:hAnsi="Calibri"/>
      <w:sz w:val="22"/>
      <w:szCs w:val="22"/>
      <w:lang w:val="de-CH"/>
    </w:rPr>
  </w:style>
  <w:style w:type="paragraph" w:styleId="a7">
    <w:name w:val="footnote text"/>
    <w:basedOn w:val="a"/>
    <w:link w:val="Char2"/>
    <w:uiPriority w:val="99"/>
    <w:semiHidden/>
    <w:unhideWhenUsed/>
    <w:rsid w:val="00B677D4"/>
    <w:pPr>
      <w:spacing w:after="200" w:line="276" w:lineRule="auto"/>
    </w:pPr>
    <w:rPr>
      <w:rFonts w:ascii="Calibri" w:hAnsi="Calibri"/>
      <w:sz w:val="20"/>
      <w:szCs w:val="20"/>
      <w:lang w:val="de-CH"/>
    </w:rPr>
  </w:style>
  <w:style w:type="character" w:customStyle="1" w:styleId="Char2">
    <w:name w:val="脚注文本 Char"/>
    <w:basedOn w:val="a0"/>
    <w:link w:val="a7"/>
    <w:uiPriority w:val="99"/>
    <w:semiHidden/>
    <w:rsid w:val="00B677D4"/>
    <w:rPr>
      <w:rFonts w:ascii="Calibri" w:hAnsi="Calibri"/>
      <w:lang w:val="de-CH"/>
    </w:rPr>
  </w:style>
  <w:style w:type="paragraph" w:styleId="a8">
    <w:name w:val="List Paragraph"/>
    <w:basedOn w:val="a"/>
    <w:link w:val="Char3"/>
    <w:uiPriority w:val="34"/>
    <w:qFormat/>
    <w:rsid w:val="00B677D4"/>
    <w:pPr>
      <w:spacing w:after="160" w:line="259" w:lineRule="auto"/>
      <w:ind w:left="720"/>
      <w:contextualSpacing/>
    </w:pPr>
    <w:rPr>
      <w:rFonts w:ascii="Calibri" w:hAnsi="Calibri"/>
      <w:sz w:val="22"/>
      <w:szCs w:val="22"/>
      <w:lang w:val="de-CH"/>
    </w:rPr>
  </w:style>
  <w:style w:type="character" w:customStyle="1" w:styleId="Char3">
    <w:name w:val="列出段落 Char"/>
    <w:basedOn w:val="a0"/>
    <w:link w:val="a8"/>
    <w:uiPriority w:val="34"/>
    <w:rsid w:val="00B677D4"/>
    <w:rPr>
      <w:rFonts w:ascii="Calibri" w:hAnsi="Calibri"/>
      <w:sz w:val="22"/>
      <w:szCs w:val="22"/>
      <w:lang w:val="de-CH"/>
    </w:rPr>
  </w:style>
  <w:style w:type="paragraph" w:styleId="a9">
    <w:name w:val="Balloon Text"/>
    <w:basedOn w:val="a"/>
    <w:link w:val="Char4"/>
    <w:uiPriority w:val="99"/>
    <w:unhideWhenUsed/>
    <w:rsid w:val="00B677D4"/>
    <w:rPr>
      <w:rFonts w:ascii="Segoe UI" w:hAnsi="Segoe UI" w:cs="Segoe UI"/>
      <w:sz w:val="18"/>
      <w:szCs w:val="18"/>
      <w:lang w:val="de-CH"/>
    </w:rPr>
  </w:style>
  <w:style w:type="character" w:customStyle="1" w:styleId="Char4">
    <w:name w:val="批注框文本 Char"/>
    <w:basedOn w:val="a0"/>
    <w:link w:val="a9"/>
    <w:uiPriority w:val="99"/>
    <w:rsid w:val="00B677D4"/>
    <w:rPr>
      <w:rFonts w:ascii="Segoe UI" w:hAnsi="Segoe UI" w:cs="Segoe UI"/>
      <w:sz w:val="18"/>
      <w:szCs w:val="18"/>
      <w:lang w:val="de-CH"/>
    </w:rPr>
  </w:style>
  <w:style w:type="character" w:customStyle="1" w:styleId="Char5">
    <w:name w:val="批注主题 Char"/>
    <w:basedOn w:val="Char"/>
    <w:link w:val="aa"/>
    <w:uiPriority w:val="99"/>
    <w:semiHidden/>
    <w:rsid w:val="00B677D4"/>
    <w:rPr>
      <w:rFonts w:ascii="Calibri" w:hAnsi="Calibri"/>
      <w:b/>
      <w:bCs/>
      <w:lang w:val="de-CH"/>
    </w:rPr>
  </w:style>
  <w:style w:type="paragraph" w:styleId="aa">
    <w:name w:val="annotation subject"/>
    <w:basedOn w:val="a4"/>
    <w:next w:val="a4"/>
    <w:link w:val="Char5"/>
    <w:uiPriority w:val="99"/>
    <w:semiHidden/>
    <w:unhideWhenUsed/>
    <w:rsid w:val="00B677D4"/>
    <w:pPr>
      <w:spacing w:line="240" w:lineRule="auto"/>
    </w:pPr>
    <w:rPr>
      <w:b/>
      <w:bCs/>
    </w:rPr>
  </w:style>
  <w:style w:type="paragraph" w:customStyle="1" w:styleId="EndNoteBibliographyTitle">
    <w:name w:val="EndNote Bibliography Title"/>
    <w:basedOn w:val="a"/>
    <w:link w:val="EndNoteBibliographyTitle0"/>
    <w:rsid w:val="00B677D4"/>
    <w:pPr>
      <w:spacing w:line="276" w:lineRule="auto"/>
      <w:jc w:val="center"/>
    </w:pPr>
    <w:rPr>
      <w:rFonts w:ascii="Book Antiqua" w:hAnsi="Book Antiqua" w:cs="Calibri"/>
      <w:noProof/>
      <w:szCs w:val="22"/>
    </w:rPr>
  </w:style>
  <w:style w:type="character" w:customStyle="1" w:styleId="EndNoteBibliographyTitle0">
    <w:name w:val="EndNote Bibliography Title 字符"/>
    <w:basedOn w:val="a0"/>
    <w:link w:val="EndNoteBibliographyTitle"/>
    <w:rsid w:val="00B677D4"/>
    <w:rPr>
      <w:rFonts w:ascii="Book Antiqua" w:hAnsi="Book Antiqua" w:cs="Calibri"/>
      <w:noProof/>
      <w:sz w:val="24"/>
      <w:szCs w:val="22"/>
    </w:rPr>
  </w:style>
  <w:style w:type="paragraph" w:customStyle="1" w:styleId="EndNoteBibliography">
    <w:name w:val="EndNote Bibliography"/>
    <w:basedOn w:val="a"/>
    <w:link w:val="EndNoteBibliography0"/>
    <w:rsid w:val="00B677D4"/>
    <w:pPr>
      <w:spacing w:after="200" w:line="360" w:lineRule="auto"/>
    </w:pPr>
    <w:rPr>
      <w:rFonts w:ascii="Book Antiqua" w:hAnsi="Book Antiqua" w:cs="Calibri"/>
      <w:noProof/>
      <w:szCs w:val="22"/>
    </w:rPr>
  </w:style>
  <w:style w:type="character" w:customStyle="1" w:styleId="EndNoteBibliography0">
    <w:name w:val="EndNote Bibliography 字符"/>
    <w:basedOn w:val="a0"/>
    <w:link w:val="EndNoteBibliography"/>
    <w:rsid w:val="00B677D4"/>
    <w:rPr>
      <w:rFonts w:ascii="Book Antiqua" w:hAnsi="Book Antiqua" w:cs="Calibri"/>
      <w:noProof/>
      <w:sz w:val="24"/>
      <w:szCs w:val="22"/>
    </w:rPr>
  </w:style>
  <w:style w:type="table" w:customStyle="1" w:styleId="ListTable1LightAccent3">
    <w:name w:val="List Table 1 Light Accent 3"/>
    <w:basedOn w:val="a1"/>
    <w:uiPriority w:val="46"/>
    <w:rsid w:val="00B677D4"/>
    <w:rPr>
      <w:rFonts w:ascii="Calibri" w:hAnsi="Calibri"/>
      <w:lang w:bidi="he-IL"/>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2595520">
      <w:bodyDiv w:val="1"/>
      <w:marLeft w:val="0"/>
      <w:marRight w:val="0"/>
      <w:marTop w:val="0"/>
      <w:marBottom w:val="0"/>
      <w:divBdr>
        <w:top w:val="none" w:sz="0" w:space="0" w:color="auto"/>
        <w:left w:val="none" w:sz="0" w:space="0" w:color="auto"/>
        <w:bottom w:val="none" w:sz="0" w:space="0" w:color="auto"/>
        <w:right w:val="none" w:sz="0" w:space="0" w:color="auto"/>
      </w:divBdr>
      <w:divsChild>
        <w:div w:id="2142571308">
          <w:marLeft w:val="0"/>
          <w:marRight w:val="0"/>
          <w:marTop w:val="0"/>
          <w:marBottom w:val="0"/>
          <w:divBdr>
            <w:top w:val="none" w:sz="0" w:space="0" w:color="auto"/>
            <w:left w:val="none" w:sz="0" w:space="0" w:color="auto"/>
            <w:bottom w:val="none" w:sz="0" w:space="0" w:color="auto"/>
            <w:right w:val="none" w:sz="0" w:space="0" w:color="auto"/>
          </w:divBdr>
          <w:divsChild>
            <w:div w:id="397754966">
              <w:marLeft w:val="0"/>
              <w:marRight w:val="0"/>
              <w:marTop w:val="0"/>
              <w:marBottom w:val="0"/>
              <w:divBdr>
                <w:top w:val="none" w:sz="0" w:space="0" w:color="auto"/>
                <w:left w:val="none" w:sz="0" w:space="0" w:color="auto"/>
                <w:bottom w:val="none" w:sz="0" w:space="0" w:color="auto"/>
                <w:right w:val="none" w:sz="0" w:space="0" w:color="auto"/>
              </w:divBdr>
              <w:divsChild>
                <w:div w:id="1712148863">
                  <w:marLeft w:val="0"/>
                  <w:marRight w:val="0"/>
                  <w:marTop w:val="0"/>
                  <w:marBottom w:val="0"/>
                  <w:divBdr>
                    <w:top w:val="none" w:sz="0" w:space="0" w:color="auto"/>
                    <w:left w:val="none" w:sz="0" w:space="0" w:color="auto"/>
                    <w:bottom w:val="none" w:sz="0" w:space="0" w:color="auto"/>
                    <w:right w:val="none" w:sz="0" w:space="0" w:color="auto"/>
                  </w:divBdr>
                  <w:divsChild>
                    <w:div w:id="791092288">
                      <w:marLeft w:val="0"/>
                      <w:marRight w:val="0"/>
                      <w:marTop w:val="0"/>
                      <w:marBottom w:val="0"/>
                      <w:divBdr>
                        <w:top w:val="none" w:sz="0" w:space="0" w:color="auto"/>
                        <w:left w:val="none" w:sz="0" w:space="0" w:color="auto"/>
                        <w:bottom w:val="none" w:sz="0" w:space="0" w:color="auto"/>
                        <w:right w:val="none" w:sz="0" w:space="0" w:color="auto"/>
                      </w:divBdr>
                      <w:divsChild>
                        <w:div w:id="1646666102">
                          <w:marLeft w:val="0"/>
                          <w:marRight w:val="0"/>
                          <w:marTop w:val="0"/>
                          <w:marBottom w:val="0"/>
                          <w:divBdr>
                            <w:top w:val="none" w:sz="0" w:space="0" w:color="auto"/>
                            <w:left w:val="none" w:sz="0" w:space="0" w:color="auto"/>
                            <w:bottom w:val="none" w:sz="0" w:space="0" w:color="auto"/>
                            <w:right w:val="none" w:sz="0" w:space="0" w:color="auto"/>
                          </w:divBdr>
                          <w:divsChild>
                            <w:div w:id="116143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8777816">
      <w:bodyDiv w:val="1"/>
      <w:marLeft w:val="0"/>
      <w:marRight w:val="0"/>
      <w:marTop w:val="0"/>
      <w:marBottom w:val="0"/>
      <w:divBdr>
        <w:top w:val="none" w:sz="0" w:space="0" w:color="auto"/>
        <w:left w:val="none" w:sz="0" w:space="0" w:color="auto"/>
        <w:bottom w:val="none" w:sz="0" w:space="0" w:color="auto"/>
        <w:right w:val="none" w:sz="0" w:space="0" w:color="auto"/>
      </w:divBdr>
      <w:divsChild>
        <w:div w:id="396897160">
          <w:marLeft w:val="0"/>
          <w:marRight w:val="0"/>
          <w:marTop w:val="0"/>
          <w:marBottom w:val="0"/>
          <w:divBdr>
            <w:top w:val="none" w:sz="0" w:space="0" w:color="auto"/>
            <w:left w:val="none" w:sz="0" w:space="0" w:color="auto"/>
            <w:bottom w:val="none" w:sz="0" w:space="0" w:color="auto"/>
            <w:right w:val="none" w:sz="0" w:space="0" w:color="auto"/>
          </w:divBdr>
          <w:divsChild>
            <w:div w:id="342167177">
              <w:marLeft w:val="0"/>
              <w:marRight w:val="0"/>
              <w:marTop w:val="0"/>
              <w:marBottom w:val="0"/>
              <w:divBdr>
                <w:top w:val="none" w:sz="0" w:space="0" w:color="auto"/>
                <w:left w:val="none" w:sz="0" w:space="0" w:color="auto"/>
                <w:bottom w:val="none" w:sz="0" w:space="0" w:color="auto"/>
                <w:right w:val="none" w:sz="0" w:space="0" w:color="auto"/>
              </w:divBdr>
              <w:divsChild>
                <w:div w:id="97408193">
                  <w:marLeft w:val="0"/>
                  <w:marRight w:val="0"/>
                  <w:marTop w:val="0"/>
                  <w:marBottom w:val="0"/>
                  <w:divBdr>
                    <w:top w:val="none" w:sz="0" w:space="0" w:color="auto"/>
                    <w:left w:val="none" w:sz="0" w:space="0" w:color="auto"/>
                    <w:bottom w:val="none" w:sz="0" w:space="0" w:color="auto"/>
                    <w:right w:val="none" w:sz="0" w:space="0" w:color="auto"/>
                  </w:divBdr>
                  <w:divsChild>
                    <w:div w:id="1789004460">
                      <w:marLeft w:val="0"/>
                      <w:marRight w:val="0"/>
                      <w:marTop w:val="0"/>
                      <w:marBottom w:val="0"/>
                      <w:divBdr>
                        <w:top w:val="none" w:sz="0" w:space="0" w:color="auto"/>
                        <w:left w:val="none" w:sz="0" w:space="0" w:color="auto"/>
                        <w:bottom w:val="none" w:sz="0" w:space="0" w:color="auto"/>
                        <w:right w:val="none" w:sz="0" w:space="0" w:color="auto"/>
                      </w:divBdr>
                      <w:divsChild>
                        <w:div w:id="1683162155">
                          <w:marLeft w:val="0"/>
                          <w:marRight w:val="0"/>
                          <w:marTop w:val="0"/>
                          <w:marBottom w:val="0"/>
                          <w:divBdr>
                            <w:top w:val="none" w:sz="0" w:space="0" w:color="auto"/>
                            <w:left w:val="none" w:sz="0" w:space="0" w:color="auto"/>
                            <w:bottom w:val="none" w:sz="0" w:space="0" w:color="auto"/>
                            <w:right w:val="none" w:sz="0" w:space="0" w:color="auto"/>
                          </w:divBdr>
                          <w:divsChild>
                            <w:div w:id="34101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wjgnet.com/1007-9327/full/v27/i19/2415.htm"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29</Pages>
  <Words>9976</Words>
  <Characters>56868</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Lenovo</cp:lastModifiedBy>
  <cp:revision>14</cp:revision>
  <dcterms:created xsi:type="dcterms:W3CDTF">2021-05-07T01:59:00Z</dcterms:created>
  <dcterms:modified xsi:type="dcterms:W3CDTF">2021-05-12T03:35:00Z</dcterms:modified>
</cp:coreProperties>
</file>