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86B6"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Name of Journal: </w:t>
      </w:r>
      <w:r w:rsidRPr="00501A87">
        <w:rPr>
          <w:rFonts w:ascii="Book Antiqua" w:eastAsia="Book Antiqua" w:hAnsi="Book Antiqua" w:cs="Book Antiqua"/>
          <w:i/>
          <w:color w:val="000000"/>
        </w:rPr>
        <w:t>World Journal of Gastrointestinal Pharmacology and Therapeutics</w:t>
      </w:r>
    </w:p>
    <w:p w14:paraId="1CC3CDA9"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Manuscript NO: </w:t>
      </w:r>
      <w:r w:rsidRPr="00501A87">
        <w:rPr>
          <w:rFonts w:ascii="Book Antiqua" w:eastAsia="Book Antiqua" w:hAnsi="Book Antiqua" w:cs="Book Antiqua"/>
          <w:color w:val="000000"/>
        </w:rPr>
        <w:t>62946</w:t>
      </w:r>
    </w:p>
    <w:p w14:paraId="1EB58232"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Manuscript Type: </w:t>
      </w:r>
      <w:r w:rsidRPr="00501A87">
        <w:rPr>
          <w:rFonts w:ascii="Book Antiqua" w:eastAsia="Book Antiqua" w:hAnsi="Book Antiqua" w:cs="Book Antiqua"/>
          <w:color w:val="000000"/>
        </w:rPr>
        <w:t>REVIEW</w:t>
      </w:r>
    </w:p>
    <w:p w14:paraId="34507BAD" w14:textId="77777777" w:rsidR="00A77B3E" w:rsidRPr="00501A87" w:rsidRDefault="00A77B3E" w:rsidP="00501A87">
      <w:pPr>
        <w:spacing w:line="360" w:lineRule="auto"/>
        <w:jc w:val="both"/>
        <w:rPr>
          <w:rFonts w:ascii="Book Antiqua" w:hAnsi="Book Antiqua"/>
        </w:rPr>
      </w:pPr>
    </w:p>
    <w:p w14:paraId="0EA56894" w14:textId="50E49301"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Advances in </w:t>
      </w:r>
      <w:r w:rsidR="00647AB1">
        <w:rPr>
          <w:rFonts w:ascii="Book Antiqua" w:eastAsia="Book Antiqua" w:hAnsi="Book Antiqua" w:cs="Book Antiqua"/>
          <w:b/>
          <w:color w:val="000000"/>
        </w:rPr>
        <w:t>t</w:t>
      </w:r>
      <w:r w:rsidRPr="00501A87">
        <w:rPr>
          <w:rFonts w:ascii="Book Antiqua" w:eastAsia="Book Antiqua" w:hAnsi="Book Antiqua" w:cs="Book Antiqua"/>
          <w:b/>
          <w:color w:val="000000"/>
        </w:rPr>
        <w:t xml:space="preserve">reatment and </w:t>
      </w:r>
      <w:r w:rsidR="00647AB1">
        <w:rPr>
          <w:rFonts w:ascii="Book Antiqua" w:eastAsia="Book Antiqua" w:hAnsi="Book Antiqua" w:cs="Book Antiqua"/>
          <w:b/>
          <w:color w:val="000000"/>
        </w:rPr>
        <w:t>p</w:t>
      </w:r>
      <w:r w:rsidRPr="00501A87">
        <w:rPr>
          <w:rFonts w:ascii="Book Antiqua" w:eastAsia="Book Antiqua" w:hAnsi="Book Antiqua" w:cs="Book Antiqua"/>
          <w:b/>
          <w:color w:val="000000"/>
        </w:rPr>
        <w:t xml:space="preserve">revention of </w:t>
      </w:r>
      <w:r w:rsidR="00647AB1">
        <w:rPr>
          <w:rFonts w:ascii="Book Antiqua" w:eastAsia="Book Antiqua" w:hAnsi="Book Antiqua" w:cs="Book Antiqua"/>
          <w:b/>
          <w:color w:val="000000"/>
        </w:rPr>
        <w:t>h</w:t>
      </w:r>
      <w:r w:rsidRPr="00501A87">
        <w:rPr>
          <w:rFonts w:ascii="Book Antiqua" w:eastAsia="Book Antiqua" w:hAnsi="Book Antiqua" w:cs="Book Antiqua"/>
          <w:b/>
          <w:color w:val="000000"/>
        </w:rPr>
        <w:t>epatitis B</w:t>
      </w:r>
    </w:p>
    <w:p w14:paraId="7AA9A93D" w14:textId="77777777" w:rsidR="00A77B3E" w:rsidRPr="00501A87" w:rsidRDefault="00A77B3E" w:rsidP="00501A87">
      <w:pPr>
        <w:spacing w:line="360" w:lineRule="auto"/>
        <w:jc w:val="both"/>
        <w:rPr>
          <w:rFonts w:ascii="Book Antiqua" w:hAnsi="Book Antiqua"/>
        </w:rPr>
      </w:pPr>
    </w:p>
    <w:p w14:paraId="59CE8132" w14:textId="1A9FD78D" w:rsidR="00A77B3E" w:rsidRPr="00501A87" w:rsidRDefault="009C4B31" w:rsidP="00501A87">
      <w:pPr>
        <w:spacing w:line="360" w:lineRule="auto"/>
        <w:jc w:val="both"/>
        <w:rPr>
          <w:rFonts w:ascii="Book Antiqua" w:hAnsi="Book Antiqua"/>
        </w:rPr>
      </w:pPr>
      <w:r w:rsidRPr="00501A87">
        <w:rPr>
          <w:rFonts w:ascii="Book Antiqua" w:eastAsia="Book Antiqua" w:hAnsi="Book Antiqua" w:cs="Book Antiqua"/>
          <w:color w:val="000000"/>
        </w:rPr>
        <w:t xml:space="preserve">Shah </w:t>
      </w:r>
      <w:r>
        <w:rPr>
          <w:rFonts w:ascii="Book Antiqua" w:eastAsia="Book Antiqua" w:hAnsi="Book Antiqua" w:cs="Book Antiqua"/>
          <w:color w:val="000000"/>
        </w:rPr>
        <w:t xml:space="preserve">NJ </w:t>
      </w:r>
      <w:r w:rsidRPr="009C4B3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067B5" w:rsidRPr="00501A87">
        <w:rPr>
          <w:rFonts w:ascii="Book Antiqua" w:eastAsia="Book Antiqua" w:hAnsi="Book Antiqua" w:cs="Book Antiqua"/>
          <w:color w:val="000000"/>
        </w:rPr>
        <w:t xml:space="preserve">Recent advances in chronic </w:t>
      </w:r>
      <w:r w:rsidR="002E185B">
        <w:rPr>
          <w:rFonts w:ascii="Book Antiqua" w:eastAsia="Book Antiqua" w:hAnsi="Book Antiqua" w:cs="Book Antiqua"/>
          <w:color w:val="000000"/>
        </w:rPr>
        <w:t>h</w:t>
      </w:r>
      <w:r w:rsidR="008067B5" w:rsidRPr="00501A87">
        <w:rPr>
          <w:rFonts w:ascii="Book Antiqua" w:eastAsia="Book Antiqua" w:hAnsi="Book Antiqua" w:cs="Book Antiqua"/>
          <w:color w:val="000000"/>
        </w:rPr>
        <w:t>epatitis B</w:t>
      </w:r>
    </w:p>
    <w:p w14:paraId="623F34B4" w14:textId="77777777" w:rsidR="00A77B3E" w:rsidRPr="00501A87" w:rsidRDefault="00A77B3E" w:rsidP="00501A87">
      <w:pPr>
        <w:spacing w:line="360" w:lineRule="auto"/>
        <w:jc w:val="both"/>
        <w:rPr>
          <w:rFonts w:ascii="Book Antiqua" w:hAnsi="Book Antiqua"/>
        </w:rPr>
      </w:pPr>
    </w:p>
    <w:p w14:paraId="2DD5B98E" w14:textId="1D6BA80C"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Niraj James Shah, </w:t>
      </w:r>
      <w:r w:rsidR="00F07C26">
        <w:rPr>
          <w:rFonts w:ascii="Book Antiqua" w:eastAsia="Book Antiqua" w:hAnsi="Book Antiqua" w:cs="Book Antiqua"/>
          <w:color w:val="000000"/>
        </w:rPr>
        <w:t>Mark M Aloysius</w:t>
      </w:r>
      <w:r w:rsidRPr="00501A87">
        <w:rPr>
          <w:rFonts w:ascii="Book Antiqua" w:eastAsia="Book Antiqua" w:hAnsi="Book Antiqua" w:cs="Book Antiqua"/>
          <w:color w:val="000000"/>
        </w:rPr>
        <w:t>, Neil Rohit Sharma, Kumar Pallav</w:t>
      </w:r>
    </w:p>
    <w:p w14:paraId="7B3C4018" w14:textId="77777777" w:rsidR="00A77B3E" w:rsidRPr="00501A87" w:rsidRDefault="00A77B3E" w:rsidP="00501A87">
      <w:pPr>
        <w:spacing w:line="360" w:lineRule="auto"/>
        <w:jc w:val="both"/>
        <w:rPr>
          <w:rFonts w:ascii="Book Antiqua" w:hAnsi="Book Antiqua"/>
        </w:rPr>
      </w:pPr>
    </w:p>
    <w:p w14:paraId="5173CBCF" w14:textId="538AB004"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Niraj James Shah, </w:t>
      </w:r>
      <w:r w:rsidR="005255D4" w:rsidRPr="005255D4">
        <w:rPr>
          <w:rFonts w:ascii="Book Antiqua" w:eastAsia="Book Antiqua" w:hAnsi="Book Antiqua" w:cs="Book Antiqua"/>
          <w:color w:val="000000"/>
        </w:rPr>
        <w:t xml:space="preserve">Department of </w:t>
      </w:r>
      <w:r w:rsidRPr="00501A87">
        <w:rPr>
          <w:rFonts w:ascii="Book Antiqua" w:eastAsia="Book Antiqua" w:hAnsi="Book Antiqua" w:cs="Book Antiqua"/>
          <w:color w:val="000000"/>
        </w:rPr>
        <w:t xml:space="preserve">Internal Medicine, Digestive Disease, University of Mississippi Medical Center, Jackson, </w:t>
      </w:r>
      <w:r w:rsidR="008B471F">
        <w:rPr>
          <w:rFonts w:ascii="Book Antiqua" w:eastAsia="Book Antiqua" w:hAnsi="Book Antiqua" w:cs="Book Antiqua"/>
          <w:color w:val="000000"/>
        </w:rPr>
        <w:t xml:space="preserve">MS </w:t>
      </w:r>
      <w:r w:rsidRPr="00501A87">
        <w:rPr>
          <w:rFonts w:ascii="Book Antiqua" w:eastAsia="Book Antiqua" w:hAnsi="Book Antiqua" w:cs="Book Antiqua"/>
          <w:color w:val="000000"/>
        </w:rPr>
        <w:t>39216, United States</w:t>
      </w:r>
    </w:p>
    <w:p w14:paraId="625E9E09" w14:textId="77777777" w:rsidR="00A77B3E" w:rsidRPr="00501A87" w:rsidRDefault="00A77B3E" w:rsidP="00501A87">
      <w:pPr>
        <w:spacing w:line="360" w:lineRule="auto"/>
        <w:jc w:val="both"/>
        <w:rPr>
          <w:rFonts w:ascii="Book Antiqua" w:hAnsi="Book Antiqua"/>
        </w:rPr>
      </w:pPr>
    </w:p>
    <w:p w14:paraId="62E1B74E" w14:textId="461A8969" w:rsidR="00A77B3E" w:rsidRPr="00501A87" w:rsidRDefault="00F07C26" w:rsidP="00501A87">
      <w:pPr>
        <w:spacing w:line="360" w:lineRule="auto"/>
        <w:jc w:val="both"/>
        <w:rPr>
          <w:rFonts w:ascii="Book Antiqua" w:hAnsi="Book Antiqua"/>
        </w:rPr>
      </w:pPr>
      <w:r>
        <w:rPr>
          <w:rFonts w:ascii="Book Antiqua" w:eastAsia="Book Antiqua" w:hAnsi="Book Antiqua" w:cs="Book Antiqua"/>
          <w:b/>
          <w:bCs/>
          <w:color w:val="000000"/>
        </w:rPr>
        <w:t>Mark M Aloysius</w:t>
      </w:r>
      <w:r w:rsidR="008067B5" w:rsidRPr="00501A87">
        <w:rPr>
          <w:rFonts w:ascii="Book Antiqua" w:eastAsia="Book Antiqua" w:hAnsi="Book Antiqua" w:cs="Book Antiqua"/>
          <w:b/>
          <w:bCs/>
          <w:color w:val="000000"/>
        </w:rPr>
        <w:t xml:space="preserve">, </w:t>
      </w:r>
      <w:r w:rsidR="005255D4" w:rsidRPr="005255D4">
        <w:rPr>
          <w:rFonts w:ascii="Book Antiqua" w:eastAsia="Book Antiqua" w:hAnsi="Book Antiqua" w:cs="Book Antiqua"/>
          <w:color w:val="000000"/>
        </w:rPr>
        <w:t xml:space="preserve">Department of </w:t>
      </w:r>
      <w:r w:rsidR="008067B5" w:rsidRPr="00501A87">
        <w:rPr>
          <w:rFonts w:ascii="Book Antiqua" w:eastAsia="Book Antiqua" w:hAnsi="Book Antiqua" w:cs="Book Antiqua"/>
          <w:color w:val="000000"/>
        </w:rPr>
        <w:t xml:space="preserve">Internal Medicine, The Wright Center for Graduate Medical Education, Scranton, </w:t>
      </w:r>
      <w:r w:rsidR="005255D4">
        <w:rPr>
          <w:rFonts w:ascii="Book Antiqua" w:eastAsia="Book Antiqua" w:hAnsi="Book Antiqua" w:cs="Book Antiqua"/>
          <w:color w:val="000000"/>
        </w:rPr>
        <w:t xml:space="preserve">PA </w:t>
      </w:r>
      <w:r w:rsidR="008067B5" w:rsidRPr="00501A87">
        <w:rPr>
          <w:rFonts w:ascii="Book Antiqua" w:eastAsia="Book Antiqua" w:hAnsi="Book Antiqua" w:cs="Book Antiqua"/>
          <w:color w:val="000000"/>
        </w:rPr>
        <w:t>18505, United States</w:t>
      </w:r>
    </w:p>
    <w:p w14:paraId="084204BB" w14:textId="77777777" w:rsidR="00A77B3E" w:rsidRPr="00501A87" w:rsidRDefault="00A77B3E" w:rsidP="00501A87">
      <w:pPr>
        <w:spacing w:line="360" w:lineRule="auto"/>
        <w:jc w:val="both"/>
        <w:rPr>
          <w:rFonts w:ascii="Book Antiqua" w:hAnsi="Book Antiqua"/>
        </w:rPr>
      </w:pPr>
    </w:p>
    <w:p w14:paraId="67BC21CB" w14:textId="0EFB698D"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Neil Rohit Sharma, Kumar Pallav, </w:t>
      </w:r>
      <w:r w:rsidR="005255D4" w:rsidRPr="005255D4">
        <w:rPr>
          <w:rFonts w:ascii="Book Antiqua" w:eastAsia="Book Antiqua" w:hAnsi="Book Antiqua" w:cs="Book Antiqua"/>
          <w:color w:val="000000"/>
        </w:rPr>
        <w:t xml:space="preserve">Department of </w:t>
      </w:r>
      <w:r w:rsidRPr="00501A87">
        <w:rPr>
          <w:rFonts w:ascii="Book Antiqua" w:eastAsia="Book Antiqua" w:hAnsi="Book Antiqua" w:cs="Book Antiqua"/>
          <w:color w:val="000000"/>
        </w:rPr>
        <w:t>Internal Medicine, Interventional Oncology and Surgical Endoscopy, Parkview Regional Medical Center, Parkview Cancer Institute, Fort Wayne, IN 46845, United States</w:t>
      </w:r>
    </w:p>
    <w:p w14:paraId="37695ADD" w14:textId="77777777" w:rsidR="00A77B3E" w:rsidRPr="00501A87" w:rsidRDefault="00A77B3E" w:rsidP="00501A87">
      <w:pPr>
        <w:spacing w:line="360" w:lineRule="auto"/>
        <w:jc w:val="both"/>
        <w:rPr>
          <w:rFonts w:ascii="Book Antiqua" w:hAnsi="Book Antiqua"/>
        </w:rPr>
      </w:pPr>
    </w:p>
    <w:p w14:paraId="5FCF9C43" w14:textId="03164BB4"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Author contributions: </w:t>
      </w:r>
      <w:r w:rsidRPr="00501A87">
        <w:rPr>
          <w:rFonts w:ascii="Book Antiqua" w:eastAsia="Book Antiqua" w:hAnsi="Book Antiqua" w:cs="Book Antiqua"/>
          <w:color w:val="000000"/>
        </w:rPr>
        <w:t>Shah</w:t>
      </w:r>
      <w:r w:rsidR="0064605B">
        <w:rPr>
          <w:rFonts w:ascii="Book Antiqua" w:eastAsia="Book Antiqua" w:hAnsi="Book Antiqua" w:cs="Book Antiqua"/>
          <w:color w:val="000000"/>
        </w:rPr>
        <w:t xml:space="preserve"> NJ</w:t>
      </w:r>
      <w:r w:rsidRPr="00501A87">
        <w:rPr>
          <w:rFonts w:ascii="Book Antiqua" w:eastAsia="Book Antiqua" w:hAnsi="Book Antiqua" w:cs="Book Antiqua"/>
          <w:color w:val="000000"/>
        </w:rPr>
        <w:t xml:space="preserve">, </w:t>
      </w:r>
      <w:r w:rsidR="00F07C26">
        <w:rPr>
          <w:rFonts w:ascii="Book Antiqua" w:eastAsia="Book Antiqua" w:hAnsi="Book Antiqua" w:cs="Book Antiqua"/>
          <w:color w:val="000000"/>
        </w:rPr>
        <w:t>Aloysius MM</w:t>
      </w:r>
      <w:r w:rsidRPr="00501A87">
        <w:rPr>
          <w:rFonts w:ascii="Book Antiqua" w:eastAsia="Book Antiqua" w:hAnsi="Book Antiqua" w:cs="Book Antiqua"/>
          <w:color w:val="000000"/>
        </w:rPr>
        <w:t xml:space="preserve">, </w:t>
      </w:r>
      <w:r w:rsidR="001916CB" w:rsidRPr="001916CB">
        <w:rPr>
          <w:rFonts w:ascii="Book Antiqua" w:eastAsia="Book Antiqua" w:hAnsi="Book Antiqua" w:cs="Book Antiqua"/>
          <w:color w:val="000000"/>
        </w:rPr>
        <w:t xml:space="preserve">Sharma </w:t>
      </w:r>
      <w:r w:rsidRPr="00501A87">
        <w:rPr>
          <w:rFonts w:ascii="Book Antiqua" w:eastAsia="Book Antiqua" w:hAnsi="Book Antiqua" w:cs="Book Antiqua"/>
          <w:color w:val="000000"/>
        </w:rPr>
        <w:t>N</w:t>
      </w:r>
      <w:r w:rsidR="001916CB">
        <w:rPr>
          <w:rFonts w:ascii="Book Antiqua" w:eastAsia="Book Antiqua" w:hAnsi="Book Antiqua" w:cs="Book Antiqua"/>
          <w:color w:val="000000"/>
        </w:rPr>
        <w:t>R</w:t>
      </w:r>
      <w:r w:rsidRPr="00501A87">
        <w:rPr>
          <w:rFonts w:ascii="Book Antiqua" w:eastAsia="Book Antiqua" w:hAnsi="Book Antiqua" w:cs="Book Antiqua"/>
          <w:color w:val="000000"/>
        </w:rPr>
        <w:t>, and Pallav</w:t>
      </w:r>
      <w:r w:rsidR="001916CB">
        <w:rPr>
          <w:rFonts w:ascii="Book Antiqua" w:eastAsia="Book Antiqua" w:hAnsi="Book Antiqua" w:cs="Book Antiqua"/>
          <w:color w:val="000000"/>
        </w:rPr>
        <w:t xml:space="preserve"> K performed the c</w:t>
      </w:r>
      <w:r w:rsidRPr="00501A87">
        <w:rPr>
          <w:rFonts w:ascii="Book Antiqua" w:eastAsia="Book Antiqua" w:hAnsi="Book Antiqua" w:cs="Book Antiqua"/>
          <w:color w:val="000000"/>
        </w:rPr>
        <w:t>onception and design of the review article, acquisition of material, analysis and interpretation of material, critical revision, drafting the article, revising the paper, and its final approval.</w:t>
      </w:r>
    </w:p>
    <w:p w14:paraId="485E98B7" w14:textId="77777777" w:rsidR="00A77B3E" w:rsidRPr="00501A87" w:rsidRDefault="00A77B3E" w:rsidP="00501A87">
      <w:pPr>
        <w:spacing w:line="360" w:lineRule="auto"/>
        <w:jc w:val="both"/>
        <w:rPr>
          <w:rFonts w:ascii="Book Antiqua" w:hAnsi="Book Antiqua"/>
        </w:rPr>
      </w:pPr>
    </w:p>
    <w:p w14:paraId="70156F8E" w14:textId="6579ECCB"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Corresponding author: Kumar Pallav, MBBS, Academic Fellow, </w:t>
      </w:r>
      <w:r w:rsidR="001916CB" w:rsidRPr="005255D4">
        <w:rPr>
          <w:rFonts w:ascii="Book Antiqua" w:eastAsia="Book Antiqua" w:hAnsi="Book Antiqua" w:cs="Book Antiqua"/>
          <w:color w:val="000000"/>
        </w:rPr>
        <w:t xml:space="preserve">Department of </w:t>
      </w:r>
      <w:r w:rsidR="001916CB" w:rsidRPr="00501A87">
        <w:rPr>
          <w:rFonts w:ascii="Book Antiqua" w:eastAsia="Book Antiqua" w:hAnsi="Book Antiqua" w:cs="Book Antiqua"/>
          <w:color w:val="000000"/>
        </w:rPr>
        <w:t>Internal Medicine, Interventional Oncology and Surgical Endoscopy, Parkview Regional Medical Center, Parkview Cancer Institute</w:t>
      </w:r>
      <w:r w:rsidRPr="00501A87">
        <w:rPr>
          <w:rFonts w:ascii="Book Antiqua" w:eastAsia="Book Antiqua" w:hAnsi="Book Antiqua" w:cs="Book Antiqua"/>
          <w:color w:val="000000"/>
        </w:rPr>
        <w:t>, 11050 Parkview Plaza Dr., Fort Wayne, IN 46845, United States. drkumarpallav@yahoo.com</w:t>
      </w:r>
    </w:p>
    <w:p w14:paraId="01659AF1" w14:textId="77777777" w:rsidR="00A77B3E" w:rsidRPr="00501A87" w:rsidRDefault="00A77B3E" w:rsidP="00501A87">
      <w:pPr>
        <w:spacing w:line="360" w:lineRule="auto"/>
        <w:jc w:val="both"/>
        <w:rPr>
          <w:rFonts w:ascii="Book Antiqua" w:hAnsi="Book Antiqua"/>
        </w:rPr>
      </w:pPr>
    </w:p>
    <w:p w14:paraId="31F5C8DF"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Received: </w:t>
      </w:r>
      <w:r w:rsidRPr="00501A87">
        <w:rPr>
          <w:rFonts w:ascii="Book Antiqua" w:eastAsia="Book Antiqua" w:hAnsi="Book Antiqua" w:cs="Book Antiqua"/>
          <w:color w:val="000000"/>
        </w:rPr>
        <w:t>January 26, 2021</w:t>
      </w:r>
    </w:p>
    <w:p w14:paraId="3D27EB21" w14:textId="4111FF01"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Revised: </w:t>
      </w:r>
      <w:r w:rsidR="001916CB">
        <w:rPr>
          <w:rFonts w:ascii="Book Antiqua" w:hAnsi="Book Antiqua"/>
        </w:rPr>
        <w:t>March 22, 2021</w:t>
      </w:r>
    </w:p>
    <w:p w14:paraId="3F742758" w14:textId="460B12B5"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Accepted: </w:t>
      </w:r>
      <w:r w:rsidR="00167648" w:rsidRPr="00167648">
        <w:rPr>
          <w:rFonts w:ascii="Book Antiqua" w:eastAsia="Book Antiqua" w:hAnsi="Book Antiqua" w:cs="Book Antiqua"/>
          <w:bCs/>
          <w:color w:val="000000"/>
        </w:rPr>
        <w:t>May 22, 2021</w:t>
      </w:r>
    </w:p>
    <w:p w14:paraId="66162EBD" w14:textId="7F508AF8" w:rsidR="00A77B3E" w:rsidRPr="0012765C" w:rsidRDefault="008067B5" w:rsidP="00501A87">
      <w:pPr>
        <w:spacing w:line="360" w:lineRule="auto"/>
        <w:jc w:val="both"/>
        <w:rPr>
          <w:rFonts w:ascii="Book Antiqua" w:hAnsi="Book Antiqua"/>
          <w:lang w:eastAsia="zh-CN"/>
        </w:rPr>
      </w:pPr>
      <w:r w:rsidRPr="00501A87">
        <w:rPr>
          <w:rFonts w:ascii="Book Antiqua" w:eastAsia="Book Antiqua" w:hAnsi="Book Antiqua" w:cs="Book Antiqua"/>
          <w:b/>
          <w:bCs/>
          <w:color w:val="000000"/>
        </w:rPr>
        <w:t>Published online:</w:t>
      </w:r>
      <w:r w:rsidRPr="0012765C">
        <w:rPr>
          <w:rFonts w:ascii="Book Antiqua" w:eastAsia="Book Antiqua" w:hAnsi="Book Antiqua" w:cs="Book Antiqua"/>
          <w:bCs/>
          <w:color w:val="000000"/>
        </w:rPr>
        <w:t xml:space="preserve"> </w:t>
      </w:r>
      <w:r w:rsidR="0012765C" w:rsidRPr="0012765C">
        <w:rPr>
          <w:rFonts w:ascii="Book Antiqua" w:eastAsia="Book Antiqua" w:hAnsi="Book Antiqua" w:cs="Book Antiqua"/>
          <w:bCs/>
          <w:color w:val="000000"/>
        </w:rPr>
        <w:t>July 5</w:t>
      </w:r>
      <w:r w:rsidR="0012765C" w:rsidRPr="0012765C">
        <w:rPr>
          <w:rFonts w:ascii="Book Antiqua" w:hAnsi="Book Antiqua" w:cs="Book Antiqua"/>
          <w:bCs/>
          <w:color w:val="000000"/>
          <w:lang w:eastAsia="zh-CN"/>
        </w:rPr>
        <w:t>, 2021</w:t>
      </w:r>
    </w:p>
    <w:p w14:paraId="7C0BE558" w14:textId="77777777" w:rsidR="00A77B3E" w:rsidRPr="00501A87" w:rsidRDefault="00A77B3E" w:rsidP="00501A87">
      <w:pPr>
        <w:spacing w:line="360" w:lineRule="auto"/>
        <w:jc w:val="both"/>
        <w:rPr>
          <w:rFonts w:ascii="Book Antiqua" w:hAnsi="Book Antiqua"/>
        </w:rPr>
        <w:sectPr w:rsidR="00A77B3E" w:rsidRPr="00501A87">
          <w:footerReference w:type="default" r:id="rId7"/>
          <w:pgSz w:w="12240" w:h="15840"/>
          <w:pgMar w:top="1440" w:right="1440" w:bottom="1440" w:left="1440" w:header="720" w:footer="720" w:gutter="0"/>
          <w:cols w:space="720"/>
          <w:docGrid w:linePitch="360"/>
        </w:sectPr>
      </w:pPr>
    </w:p>
    <w:p w14:paraId="6F6A5541"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Abstract</w:t>
      </w:r>
    </w:p>
    <w:p w14:paraId="5D559B38" w14:textId="57737599"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Chronic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(CHB) continues to contribute to worldwide morbidity and mortality significantly. Scientists, clinicians, pharmaceutical companies, and health organizations have dedicated substantial Intellectual and monetary resources to finding a cure, increasing immunization rates, and reducing the global burden of CHB. National and international health-related organizations including the </w:t>
      </w:r>
      <w:r w:rsidR="00D43CC1">
        <w:rPr>
          <w:rFonts w:ascii="Book Antiqua" w:eastAsia="Book Antiqua" w:hAnsi="Book Antiqua" w:cs="Book Antiqua"/>
          <w:color w:val="000000"/>
        </w:rPr>
        <w:t>c</w:t>
      </w:r>
      <w:r w:rsidRPr="00501A87">
        <w:rPr>
          <w:rFonts w:ascii="Book Antiqua" w:eastAsia="Book Antiqua" w:hAnsi="Book Antiqua" w:cs="Book Antiqua"/>
          <w:color w:val="000000"/>
        </w:rPr>
        <w:t xml:space="preserve">enter for disease control, the </w:t>
      </w:r>
      <w:r w:rsidR="00B71582">
        <w:rPr>
          <w:rFonts w:ascii="Book Antiqua" w:eastAsia="Book Antiqua" w:hAnsi="Book Antiqua" w:cs="Book Antiqua"/>
          <w:color w:val="000000"/>
        </w:rPr>
        <w:t>n</w:t>
      </w:r>
      <w:r w:rsidR="00B71582" w:rsidRPr="00501A87">
        <w:rPr>
          <w:rFonts w:ascii="Book Antiqua" w:eastAsia="Book Antiqua" w:hAnsi="Book Antiqua" w:cs="Book Antiqua"/>
          <w:color w:val="000000"/>
        </w:rPr>
        <w:t xml:space="preserve">ational </w:t>
      </w:r>
      <w:r w:rsidR="00B71582">
        <w:rPr>
          <w:rFonts w:ascii="Book Antiqua" w:eastAsia="Book Antiqua" w:hAnsi="Book Antiqua" w:cs="Book Antiqua"/>
          <w:color w:val="000000"/>
        </w:rPr>
        <w:t>i</w:t>
      </w:r>
      <w:r w:rsidR="00B71582" w:rsidRPr="00501A87">
        <w:rPr>
          <w:rFonts w:ascii="Book Antiqua" w:eastAsia="Book Antiqua" w:hAnsi="Book Antiqua" w:cs="Book Antiqua"/>
          <w:color w:val="000000"/>
        </w:rPr>
        <w:t xml:space="preserve">nstitute of </w:t>
      </w:r>
      <w:r w:rsidR="00B71582">
        <w:rPr>
          <w:rFonts w:ascii="Book Antiqua" w:eastAsia="Book Antiqua" w:hAnsi="Book Antiqua" w:cs="Book Antiqua"/>
          <w:color w:val="000000"/>
        </w:rPr>
        <w:t>h</w:t>
      </w:r>
      <w:r w:rsidR="00B71582" w:rsidRPr="00501A87">
        <w:rPr>
          <w:rFonts w:ascii="Book Antiqua" w:eastAsia="Book Antiqua" w:hAnsi="Book Antiqua" w:cs="Book Antiqua"/>
          <w:color w:val="000000"/>
        </w:rPr>
        <w:t>ealth</w:t>
      </w:r>
      <w:r w:rsidRPr="00501A87">
        <w:rPr>
          <w:rFonts w:ascii="Book Antiqua" w:eastAsia="Book Antiqua" w:hAnsi="Book Antiqua" w:cs="Book Antiqua"/>
          <w:color w:val="000000"/>
        </w:rPr>
        <w:t xml:space="preserve">, the American Association for the study of liver disease (AASLD), The European association for the study of the Liver (EASL), The Asia Pacific association for the study of the Liver (APASL) and the </w:t>
      </w:r>
      <w:r w:rsidR="00D43CC1">
        <w:rPr>
          <w:rFonts w:ascii="Book Antiqua" w:eastAsia="Book Antiqua" w:hAnsi="Book Antiqua" w:cs="Book Antiqua"/>
          <w:color w:val="000000"/>
        </w:rPr>
        <w:t>w</w:t>
      </w:r>
      <w:r w:rsidRPr="00501A87">
        <w:rPr>
          <w:rFonts w:ascii="Book Antiqua" w:eastAsia="Book Antiqua" w:hAnsi="Book Antiqua" w:cs="Book Antiqua"/>
          <w:color w:val="000000"/>
        </w:rPr>
        <w:t xml:space="preserve">orld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ealth </w:t>
      </w:r>
      <w:r w:rsidR="00D43CC1">
        <w:rPr>
          <w:rFonts w:ascii="Book Antiqua" w:eastAsia="Book Antiqua" w:hAnsi="Book Antiqua" w:cs="Book Antiqua"/>
          <w:color w:val="000000"/>
        </w:rPr>
        <w:t>o</w:t>
      </w:r>
      <w:r w:rsidRPr="00501A87">
        <w:rPr>
          <w:rFonts w:ascii="Book Antiqua" w:eastAsia="Book Antiqua" w:hAnsi="Book Antiqua" w:cs="Book Antiqua"/>
          <w:color w:val="000000"/>
        </w:rPr>
        <w:t xml:space="preserve">rganization release periodic recommendations for disease prevention and treatment. Our review of the most recent guidelines by EASL, AASLD, APASL, and Taiwan Association for the Study of the Liver revealed that an overwhelming majority of cited studies were published before 2018. We reviewed Hepatitis B-related literature published 2018 onwards to identify recent developments and current barriers that will likely direct future efforts towards eradicating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The breakthrough in our understanding of the </w:t>
      </w:r>
      <w:r w:rsidR="00D43CC1">
        <w:rPr>
          <w:rFonts w:ascii="Book Antiqua" w:eastAsia="Book Antiqua" w:hAnsi="Book Antiqua" w:cs="Book Antiqua"/>
          <w:color w:val="000000"/>
        </w:rPr>
        <w:t>h</w:t>
      </w:r>
      <w:r w:rsidR="00D43CC1" w:rsidRPr="00501A87">
        <w:rPr>
          <w:rFonts w:ascii="Book Antiqua" w:eastAsia="Book Antiqua" w:hAnsi="Book Antiqua" w:cs="Book Antiqua"/>
          <w:color w:val="000000"/>
        </w:rPr>
        <w:t>epatitis B virus</w:t>
      </w:r>
      <w:r w:rsidRPr="00501A87">
        <w:rPr>
          <w:rFonts w:ascii="Book Antiqua" w:eastAsia="Book Antiqua" w:hAnsi="Book Antiqua" w:cs="Book Antiqua"/>
          <w:color w:val="000000"/>
        </w:rPr>
        <w:t xml:space="preserve"> life cycle and resulting drug development is encouraging with significant room for further progress. Data from high-risk populations, most vulnerable to the devastating effects of hepatitis B infection and reactivation remain sparse. Utilization of systems approach, optimization of experimental models, identification and validation of next-generation biomarkers, and precise modulation of the human immune response will be critical for future innovation. Within the foreseeable future, new treatments will likely complement conventional therapies rather than replace them. Most Importantly, pragmatic management of CHB related population health challenges must be prioritized to produce real-world results.</w:t>
      </w:r>
    </w:p>
    <w:p w14:paraId="38308FE2" w14:textId="77777777" w:rsidR="00A77B3E" w:rsidRPr="00501A87" w:rsidRDefault="00A77B3E" w:rsidP="00501A87">
      <w:pPr>
        <w:spacing w:line="360" w:lineRule="auto"/>
        <w:jc w:val="both"/>
        <w:rPr>
          <w:rFonts w:ascii="Book Antiqua" w:hAnsi="Book Antiqua"/>
        </w:rPr>
      </w:pPr>
    </w:p>
    <w:p w14:paraId="3A0C9117" w14:textId="5A84221A"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Key Words: </w:t>
      </w:r>
      <w:r w:rsidRPr="00501A87">
        <w:rPr>
          <w:rFonts w:ascii="Book Antiqua" w:eastAsia="Book Antiqua" w:hAnsi="Book Antiqua" w:cs="Book Antiqua"/>
          <w:color w:val="000000"/>
        </w:rPr>
        <w:t xml:space="preserve">Chronic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Hepatitis B </w:t>
      </w:r>
      <w:r w:rsidR="00D43CC1">
        <w:rPr>
          <w:rFonts w:ascii="Book Antiqua" w:eastAsia="Book Antiqua" w:hAnsi="Book Antiqua" w:cs="Book Antiqua"/>
          <w:color w:val="000000"/>
        </w:rPr>
        <w:t>v</w:t>
      </w:r>
      <w:r w:rsidRPr="00501A87">
        <w:rPr>
          <w:rFonts w:ascii="Book Antiqua" w:eastAsia="Book Antiqua" w:hAnsi="Book Antiqua" w:cs="Book Antiqua"/>
          <w:color w:val="000000"/>
        </w:rPr>
        <w:t>irus; Hepatitis B prevention; Hepatitis B treatment; Hepatitis B vaccination; Hepatitis B reactivation</w:t>
      </w:r>
    </w:p>
    <w:p w14:paraId="0AD75951" w14:textId="77777777" w:rsidR="002D5E8C" w:rsidRDefault="002D5E8C" w:rsidP="002D5E8C">
      <w:pPr>
        <w:spacing w:line="360" w:lineRule="auto"/>
        <w:jc w:val="both"/>
        <w:rPr>
          <w:lang w:eastAsia="zh-CN"/>
        </w:rPr>
      </w:pPr>
    </w:p>
    <w:p w14:paraId="028A2D8E" w14:textId="77777777" w:rsidR="002D5E8C" w:rsidRPr="00026CB8" w:rsidRDefault="002D5E8C" w:rsidP="002D5E8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F26FDD8" w14:textId="77777777" w:rsidR="00A77B3E" w:rsidRPr="00501A87" w:rsidRDefault="00A77B3E" w:rsidP="00501A87">
      <w:pPr>
        <w:spacing w:line="360" w:lineRule="auto"/>
        <w:jc w:val="both"/>
        <w:rPr>
          <w:rFonts w:ascii="Book Antiqua" w:hAnsi="Book Antiqua"/>
        </w:rPr>
      </w:pPr>
    </w:p>
    <w:p w14:paraId="180B4882" w14:textId="3F28FC8D" w:rsidR="00D93572" w:rsidRDefault="00D93572" w:rsidP="00501A87">
      <w:pPr>
        <w:spacing w:line="360" w:lineRule="auto"/>
        <w:jc w:val="both"/>
        <w:rPr>
          <w:rFonts w:ascii="Book Antiqua" w:hAnsi="Book Antiqua" w:cs="Book Antiqua"/>
          <w:color w:val="000000"/>
          <w:lang w:eastAsia="zh-CN"/>
        </w:rPr>
      </w:pPr>
      <w:r w:rsidRPr="00D93572">
        <w:rPr>
          <w:rFonts w:ascii="Book Antiqua" w:hAnsi="Book Antiqua" w:cs="Book Antiqua" w:hint="eastAsia"/>
          <w:b/>
          <w:color w:val="000000"/>
          <w:lang w:eastAsia="zh-CN"/>
        </w:rPr>
        <w:t xml:space="preserve">Citation: </w:t>
      </w:r>
      <w:r w:rsidR="008067B5" w:rsidRPr="00501A87">
        <w:rPr>
          <w:rFonts w:ascii="Book Antiqua" w:eastAsia="Book Antiqua" w:hAnsi="Book Antiqua" w:cs="Book Antiqua"/>
          <w:color w:val="000000"/>
        </w:rPr>
        <w:t xml:space="preserve">Shah NJ, </w:t>
      </w:r>
      <w:r w:rsidR="00F07C26">
        <w:rPr>
          <w:rFonts w:ascii="Book Antiqua" w:eastAsia="Book Antiqua" w:hAnsi="Book Antiqua" w:cs="Book Antiqua"/>
          <w:color w:val="000000"/>
        </w:rPr>
        <w:t>Aloysius MM</w:t>
      </w:r>
      <w:r w:rsidR="008067B5" w:rsidRPr="00501A87">
        <w:rPr>
          <w:rFonts w:ascii="Book Antiqua" w:eastAsia="Book Antiqua" w:hAnsi="Book Antiqua" w:cs="Book Antiqua"/>
          <w:color w:val="000000"/>
        </w:rPr>
        <w:t xml:space="preserve">, Sharma NR, Pallav K. </w:t>
      </w:r>
      <w:r w:rsidR="00D43CC1" w:rsidRPr="00D43CC1">
        <w:rPr>
          <w:rFonts w:ascii="Book Antiqua" w:eastAsia="Book Antiqua" w:hAnsi="Book Antiqua" w:cs="Book Antiqua"/>
          <w:bCs/>
          <w:color w:val="000000"/>
        </w:rPr>
        <w:t>Advances in treatment and prevention of hepatitis B</w:t>
      </w:r>
      <w:r w:rsidR="008067B5" w:rsidRPr="00501A87">
        <w:rPr>
          <w:rFonts w:ascii="Book Antiqua" w:eastAsia="Book Antiqua" w:hAnsi="Book Antiqua" w:cs="Book Antiqua"/>
          <w:color w:val="000000"/>
        </w:rPr>
        <w:t xml:space="preserve">. </w:t>
      </w:r>
      <w:r w:rsidR="008067B5" w:rsidRPr="00501A87">
        <w:rPr>
          <w:rFonts w:ascii="Book Antiqua" w:eastAsia="Book Antiqua" w:hAnsi="Book Antiqua" w:cs="Book Antiqua"/>
          <w:i/>
          <w:iCs/>
          <w:color w:val="000000"/>
        </w:rPr>
        <w:t>World J Gastrointest Pharmacol Ther</w:t>
      </w:r>
      <w:r w:rsidR="008067B5" w:rsidRPr="00501A87">
        <w:rPr>
          <w:rFonts w:ascii="Book Antiqua" w:eastAsia="Book Antiqua" w:hAnsi="Book Antiqua" w:cs="Book Antiqua"/>
          <w:color w:val="000000"/>
        </w:rPr>
        <w:t xml:space="preserve"> </w:t>
      </w:r>
      <w:r w:rsidR="00E41D01" w:rsidRPr="0032360E">
        <w:rPr>
          <w:rFonts w:ascii="Book Antiqua" w:eastAsia="Book Antiqua" w:hAnsi="Book Antiqua" w:cs="Book Antiqua"/>
          <w:color w:val="000000"/>
        </w:rPr>
        <w:t>202</w:t>
      </w:r>
      <w:r w:rsidR="00E41D01">
        <w:rPr>
          <w:rFonts w:ascii="Book Antiqua" w:hAnsi="Book Antiqua" w:cs="Book Antiqua" w:hint="eastAsia"/>
          <w:color w:val="000000"/>
          <w:lang w:eastAsia="zh-CN"/>
        </w:rPr>
        <w:t>1</w:t>
      </w:r>
      <w:r w:rsidR="00E41D01" w:rsidRPr="0032360E">
        <w:rPr>
          <w:rFonts w:ascii="Book Antiqua" w:eastAsia="Book Antiqua" w:hAnsi="Book Antiqua" w:cs="Book Antiqua"/>
          <w:color w:val="000000"/>
        </w:rPr>
        <w:t xml:space="preserve">; </w:t>
      </w:r>
      <w:r w:rsidR="00E41D01">
        <w:rPr>
          <w:rFonts w:ascii="Book Antiqua" w:hAnsi="Book Antiqua" w:cs="Book Antiqua" w:hint="eastAsia"/>
          <w:color w:val="000000"/>
          <w:lang w:eastAsia="zh-CN"/>
        </w:rPr>
        <w:t>12</w:t>
      </w:r>
      <w:r w:rsidR="00E41D01" w:rsidRPr="0032360E">
        <w:rPr>
          <w:rFonts w:ascii="Book Antiqua" w:eastAsia="Book Antiqua" w:hAnsi="Book Antiqua" w:cs="Book Antiqua"/>
          <w:color w:val="000000"/>
        </w:rPr>
        <w:t>(</w:t>
      </w:r>
      <w:r w:rsidR="00E41D01">
        <w:rPr>
          <w:rFonts w:ascii="Book Antiqua" w:hAnsi="Book Antiqua" w:cs="Book Antiqua" w:hint="eastAsia"/>
          <w:color w:val="000000"/>
          <w:lang w:eastAsia="zh-CN"/>
        </w:rPr>
        <w:t>4</w:t>
      </w:r>
      <w:r w:rsidR="00E41D01" w:rsidRPr="0032360E">
        <w:rPr>
          <w:rFonts w:ascii="Book Antiqua" w:eastAsia="Book Antiqua" w:hAnsi="Book Antiqua" w:cs="Book Antiqua"/>
          <w:color w:val="000000"/>
        </w:rPr>
        <w:t xml:space="preserve">): </w:t>
      </w:r>
      <w:r w:rsidR="00471F14" w:rsidRPr="00471F14">
        <w:rPr>
          <w:rFonts w:ascii="Book Antiqua" w:hAnsi="Book Antiqua" w:cs="Book Antiqua"/>
          <w:color w:val="000000"/>
          <w:lang w:eastAsia="zh-CN"/>
        </w:rPr>
        <w:t>56-78</w:t>
      </w:r>
      <w:r w:rsidR="00E41D01" w:rsidRPr="0032360E">
        <w:rPr>
          <w:rFonts w:ascii="Book Antiqua" w:eastAsia="Book Antiqua" w:hAnsi="Book Antiqua" w:cs="Book Antiqua"/>
          <w:color w:val="000000"/>
        </w:rPr>
        <w:t xml:space="preserve">  </w:t>
      </w:r>
    </w:p>
    <w:p w14:paraId="2DBDBA61" w14:textId="77777777" w:rsidR="00D93572" w:rsidRDefault="00E41D01" w:rsidP="00501A87">
      <w:pPr>
        <w:spacing w:line="360" w:lineRule="auto"/>
        <w:jc w:val="both"/>
        <w:rPr>
          <w:rFonts w:ascii="Book Antiqua" w:hAnsi="Book Antiqua" w:cs="Book Antiqua"/>
          <w:color w:val="000000"/>
          <w:lang w:eastAsia="zh-CN"/>
        </w:rPr>
      </w:pPr>
      <w:r w:rsidRPr="00D93572">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w:t>
      </w:r>
      <w:r w:rsidRPr="008F3DA5">
        <w:rPr>
          <w:rFonts w:ascii="Book Antiqua" w:eastAsia="Book Antiqua" w:hAnsi="Book Antiqua" w:cs="Book Antiqua"/>
          <w:color w:val="000000"/>
        </w:rPr>
        <w:t>2150-5349</w:t>
      </w:r>
      <w:r w:rsidRPr="0032360E">
        <w:rPr>
          <w:rFonts w:ascii="Book Antiqua" w:eastAsia="Book Antiqua" w:hAnsi="Book Antiqua" w:cs="Book Antiqua"/>
          <w:color w:val="000000"/>
        </w:rPr>
        <w:t>/full/v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Pr>
          <w:rFonts w:ascii="Book Antiqua" w:hAnsi="Book Antiqua" w:cs="Book Antiqua" w:hint="eastAsia"/>
          <w:color w:val="000000"/>
          <w:lang w:eastAsia="zh-CN"/>
        </w:rPr>
        <w:t>4</w:t>
      </w:r>
      <w:r w:rsidRPr="0032360E">
        <w:rPr>
          <w:rFonts w:ascii="Book Antiqua" w:eastAsia="Book Antiqua" w:hAnsi="Book Antiqua" w:cs="Book Antiqua"/>
          <w:color w:val="000000"/>
        </w:rPr>
        <w:t>/</w:t>
      </w:r>
      <w:r w:rsidR="00471F14" w:rsidRPr="00471F14">
        <w:rPr>
          <w:rFonts w:ascii="Book Antiqua" w:hAnsi="Book Antiqua" w:cs="Book Antiqua"/>
          <w:color w:val="000000"/>
          <w:lang w:eastAsia="zh-CN"/>
        </w:rPr>
        <w:t>56</w:t>
      </w:r>
      <w:r w:rsidRPr="0032360E">
        <w:rPr>
          <w:rFonts w:ascii="Book Antiqua" w:eastAsia="Book Antiqua" w:hAnsi="Book Antiqua" w:cs="Book Antiqua"/>
          <w:color w:val="000000"/>
        </w:rPr>
        <w:t xml:space="preserve">.htm  </w:t>
      </w:r>
    </w:p>
    <w:p w14:paraId="65E4FCD1" w14:textId="3EE6C124" w:rsidR="00A77B3E" w:rsidRPr="00501A87" w:rsidRDefault="00E41D01" w:rsidP="00501A87">
      <w:pPr>
        <w:spacing w:line="360" w:lineRule="auto"/>
        <w:jc w:val="both"/>
        <w:rPr>
          <w:rFonts w:ascii="Book Antiqua" w:hAnsi="Book Antiqua"/>
        </w:rPr>
      </w:pPr>
      <w:r w:rsidRPr="00D93572">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w:t>
      </w:r>
      <w:r w:rsidRPr="008F3DA5">
        <w:rPr>
          <w:rFonts w:ascii="Book Antiqua" w:eastAsia="Book Antiqua" w:hAnsi="Book Antiqua" w:cs="Book Antiqua"/>
          <w:color w:val="000000"/>
        </w:rPr>
        <w:t>10.4292</w:t>
      </w:r>
      <w:r w:rsidRPr="0032360E">
        <w:rPr>
          <w:rFonts w:ascii="Book Antiqua" w:eastAsia="Book Antiqua" w:hAnsi="Book Antiqua" w:cs="Book Antiqua"/>
          <w:color w:val="000000"/>
        </w:rPr>
        <w:t>/wjg</w:t>
      </w:r>
      <w:r w:rsidR="007D1E49">
        <w:rPr>
          <w:rFonts w:ascii="Book Antiqua" w:hAnsi="Book Antiqua" w:cs="Book Antiqua" w:hint="eastAsia"/>
          <w:color w:val="000000"/>
          <w:lang w:eastAsia="zh-CN"/>
        </w:rPr>
        <w:t>pt</w:t>
      </w:r>
      <w:bookmarkStart w:id="0" w:name="_GoBack"/>
      <w:bookmarkEnd w:id="0"/>
      <w:r w:rsidRPr="0032360E">
        <w:rPr>
          <w:rFonts w:ascii="Book Antiqua" w:eastAsia="Book Antiqua" w:hAnsi="Book Antiqua" w:cs="Book Antiqua"/>
          <w:color w:val="000000"/>
        </w:rPr>
        <w:t>.v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Pr>
          <w:rFonts w:ascii="Book Antiqua" w:hAnsi="Book Antiqua" w:cs="Book Antiqua" w:hint="eastAsia"/>
          <w:color w:val="000000"/>
          <w:lang w:eastAsia="zh-CN"/>
        </w:rPr>
        <w:t>4</w:t>
      </w:r>
      <w:r w:rsidRPr="0032360E">
        <w:rPr>
          <w:rFonts w:ascii="Book Antiqua" w:eastAsia="Book Antiqua" w:hAnsi="Book Antiqua" w:cs="Book Antiqua"/>
          <w:color w:val="000000"/>
        </w:rPr>
        <w:t>.</w:t>
      </w:r>
      <w:r w:rsidR="00471F14" w:rsidRPr="00471F14">
        <w:rPr>
          <w:rFonts w:ascii="Book Antiqua" w:hAnsi="Book Antiqua" w:cs="Book Antiqua"/>
          <w:color w:val="000000"/>
          <w:lang w:eastAsia="zh-CN"/>
        </w:rPr>
        <w:t>56</w:t>
      </w:r>
    </w:p>
    <w:p w14:paraId="1CC3C45B" w14:textId="77777777" w:rsidR="00A77B3E" w:rsidRPr="00501A87" w:rsidRDefault="00A77B3E" w:rsidP="00501A87">
      <w:pPr>
        <w:spacing w:line="360" w:lineRule="auto"/>
        <w:jc w:val="both"/>
        <w:rPr>
          <w:rFonts w:ascii="Book Antiqua" w:hAnsi="Book Antiqua"/>
        </w:rPr>
      </w:pPr>
    </w:p>
    <w:p w14:paraId="1D509627" w14:textId="3E6AB605"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Core Tip: </w:t>
      </w:r>
      <w:r w:rsidRPr="00501A87">
        <w:rPr>
          <w:rFonts w:ascii="Book Antiqua" w:eastAsia="Book Antiqua" w:hAnsi="Book Antiqua" w:cs="Book Antiqua"/>
          <w:color w:val="000000"/>
        </w:rPr>
        <w:t xml:space="preserve">Given the </w:t>
      </w:r>
      <w:r w:rsidR="004F60CA">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viral life cycle’s unique characteristics, a true cure is lacking. Most recent guidelines from multiple societies including the American Association for the Study of Liver Diseases, the European Association for the Study of the Liver, Asia Pacific Association for the Study of the Liver, and Taiwan Association for the Study of the Liver, primarily include data published before 2018. A significant amount of </w:t>
      </w:r>
      <w:r w:rsidR="004F60CA">
        <w:rPr>
          <w:rFonts w:ascii="Book Antiqua" w:eastAsia="Book Antiqua" w:hAnsi="Book Antiqua" w:cs="Book Antiqua"/>
          <w:color w:val="000000"/>
        </w:rPr>
        <w:t>h</w:t>
      </w:r>
      <w:r w:rsidRPr="00501A87">
        <w:rPr>
          <w:rFonts w:ascii="Book Antiqua" w:eastAsia="Book Antiqua" w:hAnsi="Book Antiqua" w:cs="Book Antiqua"/>
          <w:color w:val="000000"/>
        </w:rPr>
        <w:t>epatitis B relevant literature has been published since 2018. Our manuscript aims to review the recent literature for new developments and to identify the global strategies and knowledge gaps that will soon shape the scientific endeavor in this field.</w:t>
      </w:r>
    </w:p>
    <w:p w14:paraId="379D0766" w14:textId="77777777" w:rsidR="00A77B3E" w:rsidRPr="00501A87" w:rsidRDefault="00A77B3E" w:rsidP="00501A87">
      <w:pPr>
        <w:spacing w:line="360" w:lineRule="auto"/>
        <w:jc w:val="both"/>
        <w:rPr>
          <w:rFonts w:ascii="Book Antiqua" w:hAnsi="Book Antiqua"/>
        </w:rPr>
      </w:pPr>
    </w:p>
    <w:p w14:paraId="1E31947F" w14:textId="7DECEC71" w:rsidR="00A77B3E" w:rsidRPr="00501A87" w:rsidRDefault="008969D5" w:rsidP="00501A87">
      <w:pPr>
        <w:spacing w:line="360" w:lineRule="auto"/>
        <w:jc w:val="both"/>
        <w:rPr>
          <w:rFonts w:ascii="Book Antiqua" w:hAnsi="Book Antiqua"/>
        </w:rPr>
      </w:pPr>
      <w:r>
        <w:rPr>
          <w:rFonts w:ascii="Book Antiqua" w:eastAsia="Book Antiqua" w:hAnsi="Book Antiqua" w:cs="Book Antiqua"/>
          <w:b/>
          <w:caps/>
          <w:color w:val="000000"/>
          <w:u w:val="single"/>
        </w:rPr>
        <w:br w:type="page"/>
      </w:r>
      <w:r w:rsidR="008067B5" w:rsidRPr="00501A87">
        <w:rPr>
          <w:rFonts w:ascii="Book Antiqua" w:eastAsia="Book Antiqua" w:hAnsi="Book Antiqua" w:cs="Book Antiqua"/>
          <w:b/>
          <w:caps/>
          <w:color w:val="000000"/>
          <w:u w:val="single"/>
        </w:rPr>
        <w:t>INTRODUCTION</w:t>
      </w:r>
    </w:p>
    <w:p w14:paraId="6F1A87B4" w14:textId="1C5C40C0" w:rsidR="00A77B3E" w:rsidRPr="00667901" w:rsidRDefault="008067B5" w:rsidP="00501A87">
      <w:pPr>
        <w:spacing w:line="360" w:lineRule="auto"/>
        <w:jc w:val="both"/>
        <w:rPr>
          <w:rFonts w:ascii="Book Antiqua" w:hAnsi="Book Antiqua"/>
        </w:rPr>
      </w:pPr>
      <w:r w:rsidRPr="00667901">
        <w:rPr>
          <w:rFonts w:ascii="Book Antiqua" w:eastAsia="Book Antiqua" w:hAnsi="Book Antiqua" w:cs="Book Antiqua"/>
          <w:color w:val="000000"/>
        </w:rPr>
        <w:t>Hepatitis B virus (HBV) has infected humans for at least the past 40000 years</w:t>
      </w:r>
      <w:hyperlink r:id="rId8" w:history="1">
        <w:r w:rsidRPr="00667901">
          <w:rPr>
            <w:rFonts w:ascii="Book Antiqua" w:eastAsia="Book Antiqua" w:hAnsi="Book Antiqua" w:cs="Book Antiqua"/>
            <w:color w:val="000000"/>
            <w:vertAlign w:val="superscript"/>
          </w:rPr>
          <w:t>[1]</w:t>
        </w:r>
      </w:hyperlink>
      <w:r w:rsidRPr="00667901">
        <w:rPr>
          <w:rFonts w:ascii="Book Antiqua" w:eastAsia="Book Antiqua" w:hAnsi="Book Antiqua" w:cs="Book Antiqua"/>
          <w:color w:val="000000"/>
        </w:rPr>
        <w:t xml:space="preserve"> and is the 10</w:t>
      </w:r>
      <w:r w:rsidRPr="00667901">
        <w:rPr>
          <w:rFonts w:ascii="Book Antiqua" w:eastAsia="Book Antiqua" w:hAnsi="Book Antiqua" w:cs="Book Antiqua"/>
          <w:color w:val="000000"/>
          <w:vertAlign w:val="superscript"/>
        </w:rPr>
        <w:t>th</w:t>
      </w:r>
      <w:r w:rsidRPr="00667901">
        <w:rPr>
          <w:rFonts w:ascii="Book Antiqua" w:eastAsia="Book Antiqua" w:hAnsi="Book Antiqua" w:cs="Book Antiqua"/>
          <w:color w:val="000000"/>
        </w:rPr>
        <w:t xml:space="preserve"> leading global cause of death</w:t>
      </w:r>
      <w:hyperlink r:id="rId9" w:history="1">
        <w:r w:rsidRPr="00667901">
          <w:rPr>
            <w:rFonts w:ascii="Book Antiqua" w:eastAsia="Book Antiqua" w:hAnsi="Book Antiqua" w:cs="Book Antiqua"/>
            <w:color w:val="000000"/>
            <w:vertAlign w:val="superscript"/>
          </w:rPr>
          <w:t>[2]</w:t>
        </w:r>
      </w:hyperlink>
      <w:r w:rsidRPr="00667901">
        <w:rPr>
          <w:rFonts w:ascii="Book Antiqua" w:eastAsia="Book Antiqua" w:hAnsi="Book Antiqua" w:cs="Book Antiqua"/>
          <w:color w:val="000000"/>
        </w:rPr>
        <w:t xml:space="preserve">. </w:t>
      </w:r>
      <w:r w:rsidR="00D43CC1" w:rsidRPr="00667901">
        <w:rPr>
          <w:rFonts w:ascii="Book Antiqua" w:eastAsia="Book Antiqua" w:hAnsi="Book Antiqua" w:cs="Book Antiqua"/>
          <w:color w:val="000000"/>
        </w:rPr>
        <w:t>HBV</w:t>
      </w:r>
      <w:r w:rsidRPr="00667901">
        <w:rPr>
          <w:rFonts w:ascii="Book Antiqua" w:eastAsia="Book Antiqua" w:hAnsi="Book Antiqua" w:cs="Book Antiqua"/>
          <w:color w:val="000000"/>
        </w:rPr>
        <w:t xml:space="preserve"> is the only DNA-based hepatotropic virus that exerts many adverse effects on the infected cells leading to necroinflammation, fibrosis, and carcinogenesis</w:t>
      </w:r>
      <w:hyperlink r:id="rId10" w:history="1">
        <w:r w:rsidRPr="00667901">
          <w:rPr>
            <w:rFonts w:ascii="Book Antiqua" w:eastAsia="Book Antiqua" w:hAnsi="Book Antiqua" w:cs="Book Antiqua"/>
            <w:color w:val="000000"/>
            <w:vertAlign w:val="superscript"/>
          </w:rPr>
          <w:t>[3]</w:t>
        </w:r>
      </w:hyperlink>
      <w:r w:rsidRPr="00667901">
        <w:rPr>
          <w:rFonts w:ascii="Book Antiqua" w:eastAsia="Book Antiqua" w:hAnsi="Book Antiqua" w:cs="Book Antiqua"/>
          <w:color w:val="000000"/>
        </w:rPr>
        <w:t xml:space="preserve">. The </w:t>
      </w:r>
      <w:r w:rsidR="004B3AE8" w:rsidRPr="00667901">
        <w:rPr>
          <w:rFonts w:ascii="Book Antiqua" w:eastAsia="Book Antiqua" w:hAnsi="Book Antiqua" w:cs="Book Antiqua"/>
          <w:color w:val="000000"/>
        </w:rPr>
        <w:t>w</w:t>
      </w:r>
      <w:r w:rsidRPr="00667901">
        <w:rPr>
          <w:rFonts w:ascii="Book Antiqua" w:eastAsia="Book Antiqua" w:hAnsi="Book Antiqua" w:cs="Book Antiqua"/>
          <w:color w:val="000000"/>
        </w:rPr>
        <w:t>orld health organization (WHO), in 2015 has estimated 257 million people infected with chronic hepatitis</w:t>
      </w:r>
      <w:r w:rsidRPr="00667901">
        <w:rPr>
          <w:rFonts w:ascii="Book Antiqua" w:eastAsia="Book Antiqua" w:hAnsi="Book Antiqua" w:cs="Book Antiqua"/>
          <w:color w:val="000000"/>
          <w:vertAlign w:val="superscript"/>
        </w:rPr>
        <w:t xml:space="preserve"> </w:t>
      </w:r>
      <w:r w:rsidRPr="00667901">
        <w:rPr>
          <w:rFonts w:ascii="Book Antiqua" w:eastAsia="Book Antiqua" w:hAnsi="Book Antiqua" w:cs="Book Antiqua"/>
          <w:color w:val="000000"/>
        </w:rPr>
        <w:t>B (CHB), while 887000 died from complications of hepatitis B</w:t>
      </w:r>
      <w:hyperlink r:id="rId11" w:history="1">
        <w:r w:rsidRPr="00667901">
          <w:rPr>
            <w:rFonts w:ascii="Book Antiqua" w:eastAsia="Book Antiqua" w:hAnsi="Book Antiqua" w:cs="Book Antiqua"/>
            <w:color w:val="000000"/>
            <w:vertAlign w:val="superscript"/>
          </w:rPr>
          <w:t>[4]</w:t>
        </w:r>
      </w:hyperlink>
      <w:r w:rsidRPr="00667901">
        <w:rPr>
          <w:rFonts w:ascii="Book Antiqua" w:eastAsia="Book Antiqua" w:hAnsi="Book Antiqua" w:cs="Book Antiqua"/>
          <w:color w:val="000000"/>
        </w:rPr>
        <w:t>. Worldwide approximately only 10% of the patients with CHB are aware of the infection. A better understanding of hepatitis B biology, laboratory tests, and the immunological response has helped us develop vaccines and nucleoside/nucleotide analogs (NAs) to reduce new infection rates and achieve virologic suppression</w:t>
      </w:r>
      <w:hyperlink r:id="rId12" w:history="1">
        <w:r w:rsidRPr="00667901">
          <w:rPr>
            <w:rFonts w:ascii="Book Antiqua" w:eastAsia="Book Antiqua" w:hAnsi="Book Antiqua" w:cs="Book Antiqua"/>
            <w:color w:val="000000"/>
            <w:vertAlign w:val="superscript"/>
          </w:rPr>
          <w:t>[5]</w:t>
        </w:r>
      </w:hyperlink>
      <w:r w:rsidRPr="00667901">
        <w:rPr>
          <w:rFonts w:ascii="Book Antiqua" w:eastAsia="Book Antiqua" w:hAnsi="Book Antiqua" w:cs="Book Antiqua"/>
          <w:color w:val="000000"/>
        </w:rPr>
        <w:t>. An overwhelming majority of studies cited in the most recent guidelines from various societies were published before 2018</w:t>
      </w:r>
      <w:hyperlink r:id="rId13" w:history="1">
        <w:r w:rsidRPr="00667901">
          <w:rPr>
            <w:rFonts w:ascii="Book Antiqua" w:eastAsia="Book Antiqua" w:hAnsi="Book Antiqua" w:cs="Book Antiqua"/>
            <w:color w:val="000000"/>
            <w:vertAlign w:val="superscript"/>
          </w:rPr>
          <w:t>[6–10]</w:t>
        </w:r>
      </w:hyperlink>
      <w:r w:rsidRPr="00667901">
        <w:rPr>
          <w:rFonts w:ascii="Book Antiqua" w:eastAsia="Book Antiqua" w:hAnsi="Book Antiqua" w:cs="Book Antiqua"/>
          <w:color w:val="000000"/>
        </w:rPr>
        <w:t>. Our manuscript aims to review the recent literature for new developments and to identify the global strategies and knowledge gaps that will soon shape the scientific endeavor in this field.</w:t>
      </w:r>
    </w:p>
    <w:p w14:paraId="67D4EDBD" w14:textId="77777777" w:rsidR="00A77B3E" w:rsidRPr="00501A87" w:rsidRDefault="00A77B3E" w:rsidP="00501A87">
      <w:pPr>
        <w:spacing w:line="360" w:lineRule="auto"/>
        <w:jc w:val="both"/>
        <w:rPr>
          <w:rFonts w:ascii="Book Antiqua" w:hAnsi="Book Antiqua"/>
        </w:rPr>
      </w:pPr>
    </w:p>
    <w:p w14:paraId="6EB1547B"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aps/>
          <w:color w:val="000000"/>
          <w:u w:val="single"/>
        </w:rPr>
        <w:t>METHODS</w:t>
      </w:r>
    </w:p>
    <w:p w14:paraId="2402F74F" w14:textId="7002A2E2"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Literature search: We conducted online electronic searches (published human clinical trials in English) of the National Library of Medicine (Bethesda, MD, U</w:t>
      </w:r>
      <w:r w:rsidR="004B3AE8">
        <w:rPr>
          <w:rFonts w:ascii="Book Antiqua" w:eastAsia="Book Antiqua" w:hAnsi="Book Antiqua" w:cs="Book Antiqua"/>
          <w:color w:val="000000"/>
        </w:rPr>
        <w:t>nited States</w:t>
      </w:r>
      <w:r w:rsidRPr="00501A87">
        <w:rPr>
          <w:rFonts w:ascii="Book Antiqua" w:eastAsia="Book Antiqua" w:hAnsi="Book Antiqua" w:cs="Book Antiqua"/>
          <w:color w:val="000000"/>
        </w:rPr>
        <w:t xml:space="preserve">) MEDLINE database, Cochrane Library, and manual searches of selected specialty journals to identify any pertinent literature. We searched three MEDLINE databases (Ovid, PubMed, and EMBASE) using the following keywords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w:t>
      </w:r>
      <w:r w:rsidR="004B3AE8">
        <w:rPr>
          <w:rFonts w:ascii="Book Antiqua" w:eastAsia="Book Antiqua" w:hAnsi="Book Antiqua" w:cs="Book Antiqua"/>
          <w:color w:val="000000"/>
        </w:rPr>
        <w:t>p</w:t>
      </w:r>
      <w:r w:rsidRPr="00501A87">
        <w:rPr>
          <w:rFonts w:ascii="Book Antiqua" w:eastAsia="Book Antiqua" w:hAnsi="Book Antiqua" w:cs="Book Antiqua"/>
          <w:color w:val="000000"/>
        </w:rPr>
        <w:t xml:space="preserve">revention of hepatitis B,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and co-infection, management of hepatitis, hepatitis B and transplantation, hepatitis B mortality,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vaccination, hepatitis B reactivation, systematic review for hepatitis B, meta-analysis and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epatitis B. The references of articles were reviewed for additional articles.</w:t>
      </w:r>
    </w:p>
    <w:p w14:paraId="20D658A9" w14:textId="302FB2D6" w:rsidR="00A77B3E" w:rsidRPr="00501A87" w:rsidRDefault="008067B5" w:rsidP="004B3AE8">
      <w:pPr>
        <w:spacing w:line="360" w:lineRule="auto"/>
        <w:ind w:firstLineChars="200" w:firstLine="480"/>
        <w:jc w:val="both"/>
        <w:rPr>
          <w:rFonts w:ascii="Book Antiqua" w:hAnsi="Book Antiqua"/>
        </w:rPr>
      </w:pPr>
      <w:r w:rsidRPr="00501A87">
        <w:rPr>
          <w:rFonts w:ascii="Book Antiqua" w:eastAsia="Book Antiqua" w:hAnsi="Book Antiqua" w:cs="Book Antiqua"/>
          <w:color w:val="000000"/>
        </w:rPr>
        <w:t>Inclusion criteria: Articles describing original research and high-quality review articles published within the last three years were selected. The search was focused on hepatitis B articles published in 2018 or later.</w:t>
      </w:r>
    </w:p>
    <w:p w14:paraId="5A13FF65" w14:textId="77777777" w:rsidR="00A77B3E" w:rsidRPr="00501A87" w:rsidRDefault="008067B5" w:rsidP="004B3AE8">
      <w:pPr>
        <w:spacing w:line="360" w:lineRule="auto"/>
        <w:ind w:firstLineChars="200" w:firstLine="480"/>
        <w:jc w:val="both"/>
        <w:rPr>
          <w:rFonts w:ascii="Book Antiqua" w:hAnsi="Book Antiqua"/>
        </w:rPr>
      </w:pPr>
      <w:r w:rsidRPr="00501A87">
        <w:rPr>
          <w:rFonts w:ascii="Book Antiqua" w:eastAsia="Book Antiqua" w:hAnsi="Book Antiqua" w:cs="Book Antiqua"/>
          <w:color w:val="000000"/>
        </w:rPr>
        <w:t>Exclusion criteria: Articles that did not contribute significantly to research and scientific knowledge after 2018 were excluded.</w:t>
      </w:r>
    </w:p>
    <w:p w14:paraId="4C39A1C7" w14:textId="77777777" w:rsidR="00A77B3E" w:rsidRPr="00501A87" w:rsidRDefault="00A77B3E" w:rsidP="00501A87">
      <w:pPr>
        <w:spacing w:line="360" w:lineRule="auto"/>
        <w:jc w:val="both"/>
        <w:rPr>
          <w:rFonts w:ascii="Book Antiqua" w:hAnsi="Book Antiqua"/>
        </w:rPr>
      </w:pPr>
    </w:p>
    <w:p w14:paraId="5A003232"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aps/>
          <w:color w:val="000000"/>
          <w:u w:val="single"/>
        </w:rPr>
        <w:t>ADVANCES IN TREATMENT AND PREVENTION OF HEPATITIS B</w:t>
      </w:r>
    </w:p>
    <w:p w14:paraId="54929F60" w14:textId="344030EE" w:rsidR="00A77B3E" w:rsidRPr="004B3AE8" w:rsidRDefault="008067B5" w:rsidP="00501A87">
      <w:pPr>
        <w:spacing w:line="360" w:lineRule="auto"/>
        <w:jc w:val="both"/>
        <w:rPr>
          <w:rFonts w:ascii="Book Antiqua" w:hAnsi="Book Antiqua"/>
          <w:i/>
          <w:iCs/>
        </w:rPr>
      </w:pPr>
      <w:r w:rsidRPr="004B3AE8">
        <w:rPr>
          <w:rFonts w:ascii="Book Antiqua" w:eastAsia="Book Antiqua" w:hAnsi="Book Antiqua" w:cs="Book Antiqua"/>
          <w:b/>
          <w:bCs/>
          <w:i/>
          <w:iCs/>
          <w:color w:val="000000"/>
        </w:rPr>
        <w:t xml:space="preserve">Serological </w:t>
      </w:r>
      <w:r w:rsidR="004B3AE8" w:rsidRPr="004B3AE8">
        <w:rPr>
          <w:rFonts w:ascii="Book Antiqua" w:eastAsia="Book Antiqua" w:hAnsi="Book Antiqua" w:cs="Book Antiqua"/>
          <w:b/>
          <w:bCs/>
          <w:i/>
          <w:iCs/>
          <w:color w:val="000000"/>
        </w:rPr>
        <w:t>m</w:t>
      </w:r>
      <w:r w:rsidRPr="004B3AE8">
        <w:rPr>
          <w:rFonts w:ascii="Book Antiqua" w:eastAsia="Book Antiqua" w:hAnsi="Book Antiqua" w:cs="Book Antiqua"/>
          <w:b/>
          <w:bCs/>
          <w:i/>
          <w:iCs/>
          <w:color w:val="000000"/>
        </w:rPr>
        <w:t xml:space="preserve">arkers for </w:t>
      </w:r>
      <w:r w:rsidR="004B3AE8" w:rsidRPr="004B3AE8">
        <w:rPr>
          <w:rFonts w:ascii="Book Antiqua" w:eastAsia="Book Antiqua" w:hAnsi="Book Antiqua" w:cs="Book Antiqua"/>
          <w:b/>
          <w:bCs/>
          <w:i/>
          <w:iCs/>
          <w:color w:val="000000"/>
        </w:rPr>
        <w:t>h</w:t>
      </w:r>
      <w:r w:rsidRPr="004B3AE8">
        <w:rPr>
          <w:rFonts w:ascii="Book Antiqua" w:eastAsia="Book Antiqua" w:hAnsi="Book Antiqua" w:cs="Book Antiqua"/>
          <w:b/>
          <w:bCs/>
          <w:i/>
          <w:iCs/>
          <w:color w:val="000000"/>
        </w:rPr>
        <w:t>epatitis B infection</w:t>
      </w:r>
    </w:p>
    <w:p w14:paraId="17F8FF58" w14:textId="1E353405"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shd w:val="clear" w:color="auto" w:fill="FFFFFF"/>
        </w:rPr>
        <w:t xml:space="preserve">The serologic patterns of chronic HBV infection are varied and complex. Antigens and antibodies associated with HBV infection include </w:t>
      </w:r>
      <w:r w:rsidR="00196B26" w:rsidRPr="00E753B1">
        <w:rPr>
          <w:rFonts w:ascii="Book Antiqua" w:eastAsia="Arial" w:hAnsi="Book Antiqua" w:cs="Arial"/>
        </w:rPr>
        <w:t>hepatitis B surface antigen</w:t>
      </w:r>
      <w:r w:rsidR="00196B26"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HBsAg</w:t>
      </w:r>
      <w:r w:rsidR="00196B26"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and antibody to HBsAg (anti-HBs), hepatitis B core antigen (HBcAg) and antibody to HBcAg (anti-HBc), and hepatitis B e antigen (HBeAg) and antibody to HBeAg (anti-HBe). Testing also can be performed to assess the presence and concentration of circulating HBV DNA. At least one serologic marker is present during each of the different phases of HBV infection. Serologic assays are commercially available for all markers except HBcAg, because no free HBcAg circulates in blood</w:t>
      </w:r>
      <w:hyperlink r:id="rId14" w:history="1">
        <w:r w:rsidRPr="00E753B1">
          <w:rPr>
            <w:rFonts w:ascii="Book Antiqua" w:eastAsia="Book Antiqua" w:hAnsi="Book Antiqua" w:cs="Book Antiqua"/>
            <w:color w:val="000000"/>
            <w:shd w:val="clear" w:color="auto" w:fill="FFFFFF"/>
            <w:vertAlign w:val="superscript"/>
          </w:rPr>
          <w:t>[11]</w:t>
        </w:r>
      </w:hyperlink>
      <w:r w:rsidR="004B3AE8" w:rsidRPr="00E753B1">
        <w:rPr>
          <w:rFonts w:ascii="Book Antiqua" w:eastAsia="Book Antiqua" w:hAnsi="Book Antiqua" w:cs="Book Antiqua"/>
          <w:color w:val="000000"/>
        </w:rPr>
        <w:t xml:space="preserve"> (Table 1)</w:t>
      </w:r>
      <w:r w:rsidRPr="00E753B1">
        <w:rPr>
          <w:rFonts w:ascii="Book Antiqua" w:eastAsia="Book Antiqua" w:hAnsi="Book Antiqua" w:cs="Book Antiqua"/>
          <w:color w:val="000000"/>
          <w:shd w:val="clear" w:color="auto" w:fill="FFFFFF"/>
        </w:rPr>
        <w:t>.</w:t>
      </w:r>
    </w:p>
    <w:p w14:paraId="32485D1B" w14:textId="6E7C3A21" w:rsidR="00A77B3E" w:rsidRPr="00E753B1" w:rsidRDefault="008067B5" w:rsidP="005371CC">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 xml:space="preserve">There is overwhelming evidence that antiviral therapy reduces mortality, and risk of </w:t>
      </w:r>
      <w:r w:rsidR="00AC3EAA" w:rsidRPr="00E753B1">
        <w:rPr>
          <w:rFonts w:ascii="Book Antiqua" w:eastAsia="Book Antiqua" w:hAnsi="Book Antiqua" w:cs="Book Antiqua"/>
          <w:color w:val="000000"/>
        </w:rPr>
        <w:t>hepatocellular carcinoma (HCC)</w:t>
      </w:r>
      <w:r w:rsidRPr="00E753B1">
        <w:rPr>
          <w:rFonts w:ascii="Book Antiqua" w:eastAsia="Book Antiqua" w:hAnsi="Book Antiqua" w:cs="Book Antiqua"/>
          <w:color w:val="000000"/>
          <w:shd w:val="clear" w:color="auto" w:fill="FFFFFF"/>
        </w:rPr>
        <w:t xml:space="preserve"> and improves intermediate prognosis, and overall health outcomes. As such, the most recent document from the United States Preventive Service Task Force recommends </w:t>
      </w:r>
      <w:r w:rsidRPr="00E753B1">
        <w:rPr>
          <w:rFonts w:ascii="Book Antiqua" w:eastAsia="Book Antiqua" w:hAnsi="Book Antiqua" w:cs="Book Antiqua"/>
          <w:color w:val="000000"/>
        </w:rPr>
        <w:t xml:space="preserve">screening for hepatitis B in adolescents and adults at increased risk of HBV, with HBsAg tests approved by the </w:t>
      </w:r>
      <w:r w:rsidR="005371CC" w:rsidRPr="00E753B1">
        <w:rPr>
          <w:rFonts w:ascii="Book Antiqua" w:eastAsia="Book Antiqua" w:hAnsi="Book Antiqua" w:cs="Book Antiqua"/>
          <w:color w:val="000000"/>
          <w:shd w:val="clear" w:color="auto" w:fill="FFFFFF"/>
        </w:rPr>
        <w:t>United States</w:t>
      </w:r>
      <w:r w:rsidRPr="00E753B1">
        <w:rPr>
          <w:rFonts w:ascii="Book Antiqua" w:eastAsia="Book Antiqua" w:hAnsi="Book Antiqua" w:cs="Book Antiqua"/>
          <w:color w:val="000000"/>
        </w:rPr>
        <w:t xml:space="preserve"> Food and Drug Administration, followed by a confirmatory test for initially reactive results</w:t>
      </w:r>
      <w:hyperlink r:id="rId15" w:history="1">
        <w:r w:rsidRPr="00E753B1">
          <w:rPr>
            <w:rFonts w:ascii="Book Antiqua" w:eastAsia="Book Antiqua" w:hAnsi="Book Antiqua" w:cs="Book Antiqua"/>
            <w:color w:val="000000"/>
            <w:vertAlign w:val="superscript"/>
          </w:rPr>
          <w:t>[12]</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 xml:space="preserve">A positive HBsAg result indicates chronic or acute infection. </w:t>
      </w:r>
      <w:r w:rsidRPr="00E753B1">
        <w:rPr>
          <w:rFonts w:ascii="Book Antiqua" w:eastAsia="Book Antiqua" w:hAnsi="Book Antiqua" w:cs="Book Antiqua"/>
          <w:color w:val="000000"/>
        </w:rPr>
        <w:t>Screening recommendations for special populations include initial testing with anti-Hbs and or anti-Hbc in addition to HbsAg</w:t>
      </w:r>
      <w:hyperlink r:id="rId16" w:history="1">
        <w:r w:rsidRPr="00E753B1">
          <w:rPr>
            <w:rFonts w:ascii="Book Antiqua" w:eastAsia="Book Antiqua" w:hAnsi="Book Antiqua" w:cs="Book Antiqua"/>
            <w:color w:val="000000"/>
            <w:vertAlign w:val="superscript"/>
          </w:rPr>
          <w:t>[10]</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Serologic panels performed concurrently with or after HBsAg screening allow for diagnosis and to determine further management</w:t>
      </w:r>
      <w:hyperlink r:id="rId17" w:history="1">
        <w:r w:rsidRPr="00E753B1">
          <w:rPr>
            <w:rFonts w:ascii="Book Antiqua" w:eastAsia="Book Antiqua" w:hAnsi="Book Antiqua" w:cs="Book Antiqua"/>
            <w:color w:val="000000"/>
            <w:shd w:val="clear" w:color="auto" w:fill="FFFFFF"/>
            <w:vertAlign w:val="superscript"/>
          </w:rPr>
          <w:t>[12]</w:t>
        </w:r>
      </w:hyperlink>
      <w:r w:rsidRPr="00E753B1">
        <w:rPr>
          <w:rFonts w:ascii="Book Antiqua" w:eastAsia="Book Antiqua" w:hAnsi="Book Antiqua" w:cs="Book Antiqua"/>
          <w:color w:val="000000"/>
          <w:shd w:val="clear" w:color="auto" w:fill="FFFFFF"/>
        </w:rPr>
        <w:t>.</w:t>
      </w:r>
    </w:p>
    <w:p w14:paraId="3ABB7F41" w14:textId="429C6DFF" w:rsidR="00A77B3E" w:rsidRPr="00E753B1" w:rsidRDefault="008067B5" w:rsidP="005371CC">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Serological markers are critical for monitoring treatment response and predicting complications. The primary endpoint for treatment is durable HBsAg loss (functional cure) based on assays with a lower detection limit (LLOD</w:t>
      </w:r>
      <w:r w:rsidR="005371CC"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0.05 IU/mL) with or without HBsAg seroconversion and undetectable serum HBV DNA after completing a course of treatment</w:t>
      </w:r>
      <w:hyperlink r:id="rId18"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rPr>
        <w:t xml:space="preserve">. </w:t>
      </w:r>
    </w:p>
    <w:p w14:paraId="1993F059" w14:textId="136C884A"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Zhang </w:t>
      </w:r>
      <w:r w:rsidRPr="00E753B1">
        <w:rPr>
          <w:rFonts w:ascii="Book Antiqua" w:eastAsia="Book Antiqua" w:hAnsi="Book Antiqua" w:cs="Book Antiqua"/>
          <w:i/>
          <w:iCs/>
          <w:color w:val="000000"/>
        </w:rPr>
        <w:t>et al</w:t>
      </w:r>
      <w:hyperlink r:id="rId19" w:history="1">
        <w:r w:rsidR="00732C93" w:rsidRPr="00E753B1">
          <w:rPr>
            <w:rFonts w:ascii="Book Antiqua" w:eastAsia="Book Antiqua" w:hAnsi="Book Antiqua" w:cs="Book Antiqua"/>
            <w:color w:val="000000"/>
            <w:vertAlign w:val="superscript"/>
          </w:rPr>
          <w:t>[14]</w:t>
        </w:r>
      </w:hyperlink>
      <w:r w:rsidRPr="00E753B1">
        <w:rPr>
          <w:rFonts w:ascii="Book Antiqua" w:eastAsia="Book Antiqua" w:hAnsi="Book Antiqua" w:cs="Book Antiqua"/>
          <w:color w:val="000000"/>
        </w:rPr>
        <w:t xml:space="preserve"> published in 2018, results from a multicenter trial, assessing kinetics of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in 1795 HBV patients</w:t>
      </w:r>
      <w:hyperlink r:id="rId20" w:history="1">
        <w:r w:rsidRPr="00E753B1">
          <w:rPr>
            <w:rFonts w:ascii="Book Antiqua" w:eastAsia="Book Antiqua" w:hAnsi="Book Antiqua" w:cs="Book Antiqua"/>
            <w:color w:val="000000"/>
            <w:vertAlign w:val="superscript"/>
          </w:rPr>
          <w:t>[14]</w:t>
        </w:r>
      </w:hyperlink>
      <w:r w:rsidRPr="00E753B1">
        <w:rPr>
          <w:rFonts w:ascii="Book Antiqua" w:eastAsia="Book Antiqua" w:hAnsi="Book Antiqua" w:cs="Book Antiqua"/>
          <w:color w:val="000000"/>
        </w:rPr>
        <w:t>. The HBsAg titers were significantly higher (</w:t>
      </w:r>
      <w:r w:rsidR="00732C93" w:rsidRPr="00E753B1">
        <w:rPr>
          <w:rFonts w:ascii="Book Antiqua" w:eastAsia="Book Antiqua" w:hAnsi="Book Antiqua" w:cs="Book Antiqua"/>
          <w:i/>
          <w:iCs/>
          <w:color w:val="000000"/>
        </w:rPr>
        <w:t>P</w:t>
      </w:r>
      <w:r w:rsidR="00732C93"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&lt;</w:t>
      </w:r>
      <w:r w:rsidR="00732C93"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0.0001) in patients with HBeAg positive HBV than HBeAg negative HBV patients. They demonstrated that in patients with positive HBeAg, the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 xml:space="preserve">sAg titers were inversely proportional to fibrosis, while </w:t>
      </w:r>
      <w:r w:rsidR="00FE39AE" w:rsidRPr="00E753B1">
        <w:rPr>
          <w:rFonts w:ascii="Book Antiqua" w:eastAsia="Arial" w:hAnsi="Book Antiqua" w:cs="Arial"/>
        </w:rPr>
        <w:t>alanine aminotransaminase</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ALT</w:t>
      </w:r>
      <w:r w:rsidR="00FE39AE" w:rsidRPr="00E753B1">
        <w:rPr>
          <w:rFonts w:ascii="Book Antiqua" w:eastAsia="Book Antiqua" w:hAnsi="Book Antiqua" w:cs="Book Antiqua"/>
          <w:color w:val="000000"/>
        </w:rPr>
        <w:t>)</w:t>
      </w:r>
      <w:r w:rsidRPr="00E753B1">
        <w:rPr>
          <w:rFonts w:ascii="Book Antiqua" w:eastAsia="Book Antiqua" w:hAnsi="Book Antiqua" w:cs="Book Antiqua"/>
          <w:color w:val="000000"/>
        </w:rPr>
        <w:t xml:space="preserve"> and necro-inflammatory activity were directly correlated with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titers in HBeAg negative HBV patients</w:t>
      </w:r>
      <w:hyperlink r:id="rId21" w:history="1">
        <w:r w:rsidRPr="00E753B1">
          <w:rPr>
            <w:rFonts w:ascii="Book Antiqua" w:eastAsia="Book Antiqua" w:hAnsi="Book Antiqua" w:cs="Book Antiqua"/>
            <w:color w:val="000000"/>
            <w:vertAlign w:val="superscript"/>
          </w:rPr>
          <w:t>[14]</w:t>
        </w:r>
      </w:hyperlink>
      <w:r w:rsidRPr="00E753B1">
        <w:rPr>
          <w:rFonts w:ascii="Book Antiqua" w:eastAsia="Book Antiqua" w:hAnsi="Book Antiqua" w:cs="Book Antiqua"/>
          <w:color w:val="000000"/>
        </w:rPr>
        <w:t xml:space="preserve">. </w:t>
      </w:r>
    </w:p>
    <w:p w14:paraId="2F348187" w14:textId="29AD47F2"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Biomarkers for HBV functional cure include HBsAg </w:t>
      </w:r>
      <w:r w:rsidR="00732C93" w:rsidRPr="00E753B1">
        <w:rPr>
          <w:rFonts w:ascii="Book Antiqua" w:eastAsia="Book Antiqua" w:hAnsi="Book Antiqua" w:cs="Book Antiqua"/>
          <w:color w:val="000000"/>
        </w:rPr>
        <w:t xml:space="preserve">clearance profile </w:t>
      </w:r>
      <w:r w:rsidRPr="00E753B1">
        <w:rPr>
          <w:rFonts w:ascii="Book Antiqua" w:eastAsia="Book Antiqua" w:hAnsi="Book Antiqua" w:cs="Book Antiqua"/>
          <w:color w:val="000000"/>
        </w:rPr>
        <w:t>(</w:t>
      </w:r>
      <w:r w:rsidR="00732C93" w:rsidRPr="00E753B1">
        <w:rPr>
          <w:rFonts w:ascii="Book Antiqua" w:eastAsia="Book Antiqua" w:hAnsi="Book Antiqua" w:cs="Book Antiqua"/>
          <w:color w:val="000000"/>
        </w:rPr>
        <w:t>CPs</w:t>
      </w:r>
      <w:r w:rsidRPr="00E753B1">
        <w:rPr>
          <w:rFonts w:ascii="Book Antiqua" w:eastAsia="Book Antiqua" w:hAnsi="Book Antiqua" w:cs="Book Antiqua"/>
          <w:color w:val="000000"/>
        </w:rPr>
        <w:t>, defined by loss of binding at both loops 1 and 2 epitopes of the 'a' determinant)</w:t>
      </w:r>
      <w:hyperlink r:id="rId22" w:history="1">
        <w:r w:rsidRPr="00E753B1">
          <w:rPr>
            <w:rFonts w:ascii="Book Antiqua" w:eastAsia="Book Antiqua" w:hAnsi="Book Antiqua" w:cs="Book Antiqua"/>
            <w:color w:val="000000"/>
            <w:vertAlign w:val="superscript"/>
          </w:rPr>
          <w:t>[15]</w:t>
        </w:r>
      </w:hyperlink>
      <w:r w:rsidRPr="00E753B1">
        <w:rPr>
          <w:rFonts w:ascii="Book Antiqua" w:eastAsia="Book Antiqua" w:hAnsi="Book Antiqua" w:cs="Book Antiqua"/>
          <w:color w:val="000000"/>
        </w:rPr>
        <w:t>. A 48th week and 192</w:t>
      </w:r>
      <w:r w:rsidRPr="00E753B1">
        <w:rPr>
          <w:rFonts w:ascii="Book Antiqua" w:eastAsia="Book Antiqua" w:hAnsi="Book Antiqua" w:cs="Book Antiqua"/>
          <w:color w:val="000000"/>
          <w:vertAlign w:val="superscript"/>
        </w:rPr>
        <w:t>nd</w:t>
      </w:r>
      <w:r w:rsidRPr="00E753B1">
        <w:rPr>
          <w:rFonts w:ascii="Book Antiqua" w:eastAsia="Book Antiqua" w:hAnsi="Book Antiqua" w:cs="Book Antiqua"/>
          <w:color w:val="000000"/>
        </w:rPr>
        <w:t xml:space="preserve"> week HBsAg CPs analysis of genotype A CHB patients on either tenofovir or adefovir for at least four years prior revealed its positive association with HBsAg loss (SL), seroconversion, and response to treatment</w:t>
      </w:r>
      <w:hyperlink r:id="rId23" w:history="1">
        <w:r w:rsidRPr="00E753B1">
          <w:rPr>
            <w:rFonts w:ascii="Book Antiqua" w:eastAsia="Book Antiqua" w:hAnsi="Book Antiqua" w:cs="Book Antiqua"/>
            <w:color w:val="000000"/>
            <w:vertAlign w:val="superscript"/>
          </w:rPr>
          <w:t>[15]</w:t>
        </w:r>
      </w:hyperlink>
      <w:r w:rsidRPr="00E753B1">
        <w:rPr>
          <w:rFonts w:ascii="Book Antiqua" w:eastAsia="Book Antiqua" w:hAnsi="Book Antiqua" w:cs="Book Antiqua"/>
          <w:color w:val="000000"/>
        </w:rPr>
        <w:t>.</w:t>
      </w:r>
    </w:p>
    <w:p w14:paraId="6E2624DD" w14:textId="77777777"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For most patients with CHB who do not achieve a functional cure, long-term NA is likely needed. Despite long-term therapy, liver-related complications can still occur even with sustained viral suppression. To this end, newer virological markers were developed to predict the risk of liver-related complications in these patients who often have undetectable serum HBV DNA, and the likelihood of achieving a functional cure, which is defined as off-therapy virological suppression</w:t>
      </w:r>
      <w:hyperlink r:id="rId24"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w:t>
      </w:r>
    </w:p>
    <w:p w14:paraId="4FC4663B" w14:textId="269E5C32"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The covalently closed circular DNA (cccDNA) protein is a template used for transcription and subsequent translation of viral proteins. The persistence of cccDNA within the nucleus of infected hepatocytes despite treatment and viral suppression is the underlying mechanism for infection reactivation after treatment cessation</w:t>
      </w:r>
      <w:hyperlink r:id="rId25" w:history="1">
        <w:r w:rsidRPr="00E753B1">
          <w:rPr>
            <w:rFonts w:ascii="Book Antiqua" w:eastAsia="Book Antiqua" w:hAnsi="Book Antiqua" w:cs="Book Antiqua"/>
            <w:color w:val="000000"/>
            <w:vertAlign w:val="superscript"/>
          </w:rPr>
          <w:t>[17]</w:t>
        </w:r>
      </w:hyperlink>
      <w:r w:rsidRPr="00E753B1">
        <w:rPr>
          <w:rFonts w:ascii="Book Antiqua" w:eastAsia="Book Antiqua" w:hAnsi="Book Antiqua" w:cs="Book Antiqua"/>
          <w:color w:val="000000"/>
        </w:rPr>
        <w:t xml:space="preserve">. Of the various viral proteins synthesized, the </w:t>
      </w:r>
      <w:r w:rsidR="00732C93" w:rsidRPr="00E753B1">
        <w:rPr>
          <w:rFonts w:ascii="Book Antiqua" w:eastAsia="Arial" w:hAnsi="Book Antiqua" w:cs="Arial"/>
        </w:rPr>
        <w:t>hepatitis b core-related antigen</w:t>
      </w:r>
      <w:r w:rsidR="00732C93"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HBcrAg</w:t>
      </w:r>
      <w:r w:rsidR="00732C93" w:rsidRPr="00E753B1">
        <w:rPr>
          <w:rFonts w:ascii="Book Antiqua" w:eastAsia="Book Antiqua" w:hAnsi="Book Antiqua" w:cs="Book Antiqua"/>
          <w:color w:val="000000"/>
        </w:rPr>
        <w:t>)</w:t>
      </w:r>
      <w:r w:rsidRPr="00E753B1">
        <w:rPr>
          <w:rFonts w:ascii="Book Antiqua" w:eastAsia="Book Antiqua" w:hAnsi="Book Antiqua" w:cs="Book Antiqua"/>
          <w:color w:val="000000"/>
        </w:rPr>
        <w:t xml:space="preserve"> is a combination of three related viral proteins (HBcAg, HBeAg, and a truncated 22kDa precore protein)</w:t>
      </w:r>
      <w:hyperlink r:id="rId26" w:history="1">
        <w:r w:rsidRPr="00E753B1">
          <w:rPr>
            <w:rFonts w:ascii="Book Antiqua" w:eastAsia="Book Antiqua" w:hAnsi="Book Antiqua" w:cs="Book Antiqua"/>
            <w:color w:val="000000"/>
            <w:vertAlign w:val="superscript"/>
          </w:rPr>
          <w:t>[18,19]</w:t>
        </w:r>
      </w:hyperlink>
      <w:r w:rsidRPr="00E753B1">
        <w:rPr>
          <w:rFonts w:ascii="Book Antiqua" w:eastAsia="Book Antiqua" w:hAnsi="Book Antiqua" w:cs="Book Antiqua"/>
          <w:color w:val="000000"/>
        </w:rPr>
        <w:t>. HBcrAg has a superior correlation to the decline in HBV DNA levels with antiviral therapies, and with intrahepatic HBV cccDNA levels</w:t>
      </w:r>
      <w:hyperlink r:id="rId27" w:history="1">
        <w:r w:rsidRPr="00E753B1">
          <w:rPr>
            <w:rFonts w:ascii="Book Antiqua" w:eastAsia="Book Antiqua" w:hAnsi="Book Antiqua" w:cs="Book Antiqua"/>
            <w:color w:val="000000"/>
            <w:vertAlign w:val="superscript"/>
          </w:rPr>
          <w:t>[20–23]</w:t>
        </w:r>
      </w:hyperlink>
      <w:r w:rsidRPr="00E753B1">
        <w:rPr>
          <w:rFonts w:ascii="Book Antiqua" w:eastAsia="Book Antiqua" w:hAnsi="Book Antiqua" w:cs="Book Antiqua"/>
          <w:color w:val="000000"/>
        </w:rPr>
        <w:t xml:space="preserve">. It is also helpful in predicting HBV reactivation in immunosuppressed individuals and the development of </w:t>
      </w:r>
      <w:r w:rsidR="00AC3EAA" w:rsidRPr="00E753B1">
        <w:rPr>
          <w:rFonts w:ascii="Book Antiqua" w:eastAsia="Book Antiqua" w:hAnsi="Book Antiqua" w:cs="Book Antiqua"/>
          <w:color w:val="000000"/>
        </w:rPr>
        <w:t>HCC</w:t>
      </w:r>
      <w:hyperlink r:id="rId28" w:history="1">
        <w:r w:rsidRPr="00E753B1">
          <w:rPr>
            <w:rFonts w:ascii="Book Antiqua" w:eastAsia="Book Antiqua" w:hAnsi="Book Antiqua" w:cs="Book Antiqua"/>
            <w:color w:val="000000"/>
            <w:vertAlign w:val="superscript"/>
          </w:rPr>
          <w:t>[24–28]</w:t>
        </w:r>
      </w:hyperlink>
      <w:r w:rsidRPr="00E753B1">
        <w:rPr>
          <w:rFonts w:ascii="Book Antiqua" w:eastAsia="Book Antiqua" w:hAnsi="Book Antiqua" w:cs="Book Antiqua"/>
          <w:color w:val="000000"/>
        </w:rPr>
        <w:t>.</w:t>
      </w:r>
      <w:r w:rsidRPr="00E753B1">
        <w:rPr>
          <w:rFonts w:ascii="Book Antiqua" w:eastAsia="Book Antiqua" w:hAnsi="Book Antiqua" w:cs="Book Antiqua"/>
          <w:color w:val="000000"/>
          <w:shd w:val="clear" w:color="auto" w:fill="FFFFFF"/>
        </w:rPr>
        <w:t xml:space="preserve"> Another relatively novel biomarker, HBV RNA is a pregenomic RNA containing virion similar to HBcrAg</w:t>
      </w:r>
      <w:hyperlink r:id="rId29"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 xml:space="preserve">. Treatment naive patients with CHB have lower serum levels (lower by 1-2 </w:t>
      </w:r>
      <w:r w:rsidR="0083057D" w:rsidRPr="00E753B1">
        <w:rPr>
          <w:rFonts w:ascii="Book Antiqua" w:eastAsia="Book Antiqua" w:hAnsi="Book Antiqua" w:cs="Book Antiqua"/>
          <w:color w:val="000000"/>
          <w:shd w:val="clear" w:color="auto" w:fill="FFFFFF"/>
        </w:rPr>
        <w:t>l</w:t>
      </w:r>
      <w:r w:rsidRPr="00E753B1">
        <w:rPr>
          <w:rFonts w:ascii="Book Antiqua" w:eastAsia="Book Antiqua" w:hAnsi="Book Antiqua" w:cs="Book Antiqua"/>
          <w:color w:val="000000"/>
          <w:shd w:val="clear" w:color="auto" w:fill="FFFFFF"/>
        </w:rPr>
        <w:t>ogs) of HBV RNA when compared to HBV DNA serum levels</w:t>
      </w:r>
      <w:hyperlink r:id="rId30" w:history="1">
        <w:r w:rsidRPr="00E753B1">
          <w:rPr>
            <w:rFonts w:ascii="Book Antiqua" w:eastAsia="Book Antiqua" w:hAnsi="Book Antiqua" w:cs="Book Antiqua"/>
            <w:color w:val="000000"/>
            <w:shd w:val="clear" w:color="auto" w:fill="FFFFFF"/>
            <w:vertAlign w:val="superscript"/>
          </w:rPr>
          <w:t>[29,30]</w:t>
        </w:r>
      </w:hyperlink>
      <w:r w:rsidRPr="00E753B1">
        <w:rPr>
          <w:rFonts w:ascii="Book Antiqua" w:eastAsia="Book Antiqua" w:hAnsi="Book Antiqua" w:cs="Book Antiqua"/>
          <w:color w:val="000000"/>
          <w:shd w:val="clear" w:color="auto" w:fill="FFFFFF"/>
        </w:rPr>
        <w:t>. However, in patients receiving NA’s, the HBV RNA levels are significantly higher than HBV DNA and hence it is a predictor of response. HBV RNA has a strong linear correlation with both HBV DNA and HBsAg titers</w:t>
      </w:r>
      <w:hyperlink r:id="rId31" w:history="1">
        <w:r w:rsidRPr="00E753B1">
          <w:rPr>
            <w:rFonts w:ascii="Book Antiqua" w:eastAsia="Book Antiqua" w:hAnsi="Book Antiqua" w:cs="Book Antiqua"/>
            <w:color w:val="000000"/>
            <w:shd w:val="clear" w:color="auto" w:fill="FFFFFF"/>
            <w:vertAlign w:val="superscript"/>
          </w:rPr>
          <w:t>[31,32]</w:t>
        </w:r>
      </w:hyperlink>
      <w:r w:rsidRPr="00E753B1">
        <w:rPr>
          <w:rFonts w:ascii="Book Antiqua" w:eastAsia="Book Antiqua" w:hAnsi="Book Antiqua" w:cs="Book Antiqua"/>
          <w:color w:val="000000"/>
          <w:shd w:val="clear" w:color="auto" w:fill="FFFFFF"/>
        </w:rPr>
        <w:t>. Both, HBcrAg and HBV RNA, can predict long-term off-therapy HBV virological control in patients treated with NA’s</w:t>
      </w:r>
      <w:hyperlink r:id="rId32" w:history="1">
        <w:r w:rsidRPr="00E753B1">
          <w:rPr>
            <w:rFonts w:ascii="Book Antiqua" w:eastAsia="Book Antiqua" w:hAnsi="Book Antiqua" w:cs="Book Antiqua"/>
            <w:color w:val="000000"/>
            <w:shd w:val="clear" w:color="auto" w:fill="FFFFFF"/>
            <w:vertAlign w:val="superscript"/>
          </w:rPr>
          <w:t>[29,33]</w:t>
        </w:r>
      </w:hyperlink>
      <w:r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rPr>
        <w:t xml:space="preserve"> A recent prospective trial by Chang </w:t>
      </w:r>
      <w:r w:rsidRPr="00E753B1">
        <w:rPr>
          <w:rFonts w:ascii="Book Antiqua" w:eastAsia="Book Antiqua" w:hAnsi="Book Antiqua" w:cs="Book Antiqua"/>
          <w:i/>
          <w:iCs/>
          <w:color w:val="000000"/>
        </w:rPr>
        <w:t>et al</w:t>
      </w:r>
      <w:hyperlink r:id="rId33" w:history="1">
        <w:r w:rsidR="0083057D" w:rsidRPr="00E753B1">
          <w:rPr>
            <w:rFonts w:ascii="Book Antiqua" w:eastAsia="Book Antiqua" w:hAnsi="Book Antiqua" w:cs="Book Antiqua"/>
            <w:color w:val="000000"/>
            <w:vertAlign w:val="superscript"/>
          </w:rPr>
          <w:t>[34]</w:t>
        </w:r>
      </w:hyperlink>
      <w:r w:rsidRPr="00E753B1">
        <w:rPr>
          <w:rFonts w:ascii="Book Antiqua" w:eastAsia="Book Antiqua" w:hAnsi="Book Antiqua" w:cs="Book Antiqua"/>
          <w:color w:val="000000"/>
        </w:rPr>
        <w:t xml:space="preserve"> confirmed HBcrAg levels to reflect on-treatment hepatic fibrosis progression, and hence its role in monitoring hepatic histological changes</w:t>
      </w:r>
      <w:hyperlink r:id="rId34" w:history="1">
        <w:r w:rsidRPr="00E753B1">
          <w:rPr>
            <w:rFonts w:ascii="Book Antiqua" w:eastAsia="Book Antiqua" w:hAnsi="Book Antiqua" w:cs="Book Antiqua"/>
            <w:color w:val="000000"/>
            <w:vertAlign w:val="superscript"/>
          </w:rPr>
          <w:t>[34]</w:t>
        </w:r>
      </w:hyperlink>
      <w:r w:rsidRPr="00E753B1">
        <w:rPr>
          <w:rFonts w:ascii="Book Antiqua" w:eastAsia="Book Antiqua" w:hAnsi="Book Antiqua" w:cs="Book Antiqua"/>
          <w:color w:val="000000"/>
        </w:rPr>
        <w:t xml:space="preserve">. Liao </w:t>
      </w:r>
      <w:r w:rsidRPr="00E753B1">
        <w:rPr>
          <w:rFonts w:ascii="Book Antiqua" w:eastAsia="Book Antiqua" w:hAnsi="Book Antiqua" w:cs="Book Antiqua"/>
          <w:i/>
          <w:iCs/>
          <w:color w:val="000000"/>
        </w:rPr>
        <w:t>et al</w:t>
      </w:r>
      <w:hyperlink r:id="rId35" w:history="1">
        <w:r w:rsidR="0083057D" w:rsidRPr="00E753B1">
          <w:rPr>
            <w:rFonts w:ascii="Book Antiqua" w:eastAsia="Book Antiqua" w:hAnsi="Book Antiqua" w:cs="Book Antiqua"/>
            <w:color w:val="000000"/>
            <w:vertAlign w:val="superscript"/>
          </w:rPr>
          <w:t>[35]</w:t>
        </w:r>
      </w:hyperlink>
      <w:r w:rsidRPr="00E753B1">
        <w:rPr>
          <w:rFonts w:ascii="Book Antiqua" w:eastAsia="Book Antiqua" w:hAnsi="Book Antiqua" w:cs="Book Antiqua"/>
          <w:color w:val="000000"/>
        </w:rPr>
        <w:t xml:space="preserve"> demonstrated the utility of monitoring of HBV RNA and HBcrAg levels for NA-treated patients with undetectable HBV DNA and undetectable HBV RNA occurring before HBcrAg undetectability</w:t>
      </w:r>
      <w:hyperlink r:id="rId36" w:history="1">
        <w:r w:rsidRPr="00E753B1">
          <w:rPr>
            <w:rFonts w:ascii="Book Antiqua" w:eastAsia="Book Antiqua" w:hAnsi="Book Antiqua" w:cs="Book Antiqua"/>
            <w:color w:val="000000"/>
            <w:vertAlign w:val="superscript"/>
          </w:rPr>
          <w:t>[35]</w:t>
        </w:r>
      </w:hyperlink>
      <w:r w:rsidRPr="00E753B1">
        <w:rPr>
          <w:rFonts w:ascii="Book Antiqua" w:eastAsia="Book Antiqua" w:hAnsi="Book Antiqua" w:cs="Book Antiqua"/>
          <w:color w:val="000000"/>
        </w:rPr>
        <w:t>.</w:t>
      </w:r>
    </w:p>
    <w:p w14:paraId="66504020" w14:textId="0E3AFF4F" w:rsidR="00A77B3E" w:rsidRPr="00E753B1" w:rsidRDefault="008067B5" w:rsidP="0083057D">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Multiple challenges must be met before these biomarkers can be fully utilized in clinical practice. </w:t>
      </w:r>
      <w:r w:rsidRPr="00E753B1">
        <w:rPr>
          <w:rFonts w:ascii="Book Antiqua" w:eastAsia="Book Antiqua" w:hAnsi="Book Antiqua" w:cs="Book Antiqua"/>
          <w:color w:val="000000"/>
          <w:shd w:val="clear" w:color="auto" w:fill="FFFFFF"/>
        </w:rPr>
        <w:t>The specific methods and technical details of serum RNA detection vary widely between different studies and standardization of such is urgently needed</w:t>
      </w:r>
      <w:hyperlink r:id="rId37"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 To exclude interference from viral DNA, methods for measuring pgRNA usually require a selective DNA degradation step, which is complicated and time-consuming and also compromises the accuracy of detection</w:t>
      </w:r>
      <w:hyperlink r:id="rId38" w:history="1">
        <w:r w:rsidRPr="00E753B1">
          <w:rPr>
            <w:rFonts w:ascii="Book Antiqua" w:eastAsia="Book Antiqua" w:hAnsi="Book Antiqua" w:cs="Book Antiqua"/>
            <w:color w:val="000000"/>
            <w:shd w:val="clear" w:color="auto" w:fill="FFFFFF"/>
            <w:vertAlign w:val="superscript"/>
          </w:rPr>
          <w:t>[36]</w:t>
        </w:r>
      </w:hyperlink>
      <w:r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rPr>
        <w:t xml:space="preserve">Further research is needed to determine </w:t>
      </w:r>
      <w:r w:rsidRPr="00E753B1">
        <w:rPr>
          <w:rFonts w:ascii="Book Antiqua" w:eastAsia="Book Antiqua" w:hAnsi="Book Antiqua" w:cs="Book Antiqua"/>
          <w:color w:val="000000"/>
          <w:shd w:val="clear" w:color="auto" w:fill="FFFFFF"/>
        </w:rPr>
        <w:t xml:space="preserve">specific cutoff values of HBcrAg to determine clinical outcomes and determine the role of HBV RNA in occult hepatitis B infection, HbsAg seroclearance, HBV reactivation, and development of </w:t>
      </w:r>
      <w:r w:rsidR="0083057D" w:rsidRPr="00E753B1">
        <w:rPr>
          <w:rFonts w:ascii="Book Antiqua" w:eastAsia="Book Antiqua" w:hAnsi="Book Antiqua" w:cs="Book Antiqua"/>
          <w:color w:val="000000"/>
        </w:rPr>
        <w:t>HCC</w:t>
      </w:r>
      <w:hyperlink r:id="rId39"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 xml:space="preserve">. Additionally, the biomarkers will need to be validated in different racial and ethnic populations. Studies correlating novel biomarkers with hepatic fibrosis and cccDNA require serial liver biopsies, resulting in reduced sample sizes. In a recent trial, Brakenhoff </w:t>
      </w:r>
      <w:r w:rsidRPr="00E753B1">
        <w:rPr>
          <w:rFonts w:ascii="Book Antiqua" w:eastAsia="Book Antiqua" w:hAnsi="Book Antiqua" w:cs="Book Antiqua"/>
          <w:i/>
          <w:iCs/>
          <w:color w:val="000000"/>
          <w:shd w:val="clear" w:color="auto" w:fill="FFFFFF"/>
        </w:rPr>
        <w:t>et al</w:t>
      </w:r>
      <w:hyperlink r:id="rId40" w:history="1">
        <w:r w:rsidR="0083057D" w:rsidRPr="00E753B1">
          <w:rPr>
            <w:rFonts w:ascii="Book Antiqua" w:eastAsia="Book Antiqua" w:hAnsi="Book Antiqua" w:cs="Book Antiqua"/>
            <w:color w:val="000000"/>
            <w:shd w:val="clear" w:color="auto" w:fill="FFFFFF"/>
            <w:vertAlign w:val="superscript"/>
          </w:rPr>
          <w:t>[37]</w:t>
        </w:r>
      </w:hyperlink>
      <w:r w:rsidRPr="00E753B1">
        <w:rPr>
          <w:rFonts w:ascii="Book Antiqua" w:eastAsia="Book Antiqua" w:hAnsi="Book Antiqua" w:cs="Book Antiqua"/>
          <w:color w:val="000000"/>
          <w:shd w:val="clear" w:color="auto" w:fill="FFFFFF"/>
        </w:rPr>
        <w:t xml:space="preserve"> showed that </w:t>
      </w:r>
      <w:r w:rsidR="00D43CC1" w:rsidRPr="00E753B1">
        <w:rPr>
          <w:rFonts w:ascii="Book Antiqua" w:eastAsia="Book Antiqua" w:hAnsi="Book Antiqua" w:cs="Book Antiqua"/>
          <w:color w:val="000000"/>
        </w:rPr>
        <w:t>HBV</w:t>
      </w:r>
      <w:r w:rsidRPr="00E753B1">
        <w:rPr>
          <w:rFonts w:ascii="Book Antiqua" w:eastAsia="Book Antiqua" w:hAnsi="Book Antiqua" w:cs="Book Antiqua"/>
          <w:color w:val="000000"/>
          <w:shd w:val="clear" w:color="auto" w:fill="FFFFFF"/>
        </w:rPr>
        <w:t xml:space="preserve"> RNA decline without concomitant viral antigen decrease is associated with a low probability of sustained response and hepatitis B surface antigen loss. This study highlighted the need for future trials that consider the kinetics of combined biomarkers to assess antiviral efficacy</w:t>
      </w:r>
      <w:hyperlink r:id="rId41" w:history="1">
        <w:r w:rsidRPr="00E753B1">
          <w:rPr>
            <w:rFonts w:ascii="Book Antiqua" w:eastAsia="Book Antiqua" w:hAnsi="Book Antiqua" w:cs="Book Antiqua"/>
            <w:color w:val="000000"/>
            <w:shd w:val="clear" w:color="auto" w:fill="FFFFFF"/>
            <w:vertAlign w:val="superscript"/>
          </w:rPr>
          <w:t>[37]</w:t>
        </w:r>
      </w:hyperlink>
      <w:r w:rsidRPr="00E753B1">
        <w:rPr>
          <w:rFonts w:ascii="Book Antiqua" w:eastAsia="Book Antiqua" w:hAnsi="Book Antiqua" w:cs="Book Antiqua"/>
          <w:color w:val="000000"/>
          <w:shd w:val="clear" w:color="auto" w:fill="FFFFFF"/>
        </w:rPr>
        <w:t>.</w:t>
      </w:r>
    </w:p>
    <w:p w14:paraId="2FB8E7A3" w14:textId="77777777" w:rsidR="00A77B3E" w:rsidRPr="00E753B1" w:rsidRDefault="00A77B3E" w:rsidP="00501A87">
      <w:pPr>
        <w:spacing w:line="360" w:lineRule="auto"/>
        <w:jc w:val="both"/>
        <w:rPr>
          <w:rFonts w:ascii="Book Antiqua" w:hAnsi="Book Antiqua"/>
        </w:rPr>
      </w:pPr>
    </w:p>
    <w:p w14:paraId="542C9123" w14:textId="693F3E12" w:rsidR="00A77B3E" w:rsidRPr="00501A87" w:rsidRDefault="008067B5" w:rsidP="00501A87">
      <w:pPr>
        <w:spacing w:line="360" w:lineRule="auto"/>
        <w:jc w:val="both"/>
        <w:rPr>
          <w:rFonts w:ascii="Book Antiqua" w:hAnsi="Book Antiqua"/>
        </w:rPr>
      </w:pPr>
      <w:r w:rsidRPr="0083057D">
        <w:rPr>
          <w:rFonts w:ascii="Book Antiqua" w:eastAsia="Book Antiqua" w:hAnsi="Book Antiqua" w:cs="Book Antiqua"/>
          <w:b/>
          <w:bCs/>
          <w:color w:val="000000"/>
          <w:u w:val="single"/>
        </w:rPr>
        <w:t>HEPATITIS B VACCINATION</w:t>
      </w:r>
      <w:r w:rsidRPr="00501A87">
        <w:rPr>
          <w:rFonts w:ascii="Book Antiqua" w:eastAsia="Book Antiqua" w:hAnsi="Book Antiqua" w:cs="Book Antiqua"/>
          <w:color w:val="000000"/>
        </w:rPr>
        <w:t xml:space="preserve"> </w:t>
      </w:r>
    </w:p>
    <w:p w14:paraId="4CC8C4CE" w14:textId="467355F2"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Current recommendations advocate pre-exposure universal vaccination for newborns and non-immune individuals who are at a high risk of exposure or have a poor disease outcome </w:t>
      </w:r>
      <w:r w:rsidR="00AC3EAA">
        <w:rPr>
          <w:rFonts w:ascii="Book Antiqua" w:eastAsia="Book Antiqua" w:hAnsi="Book Antiqua" w:cs="Book Antiqua"/>
          <w:color w:val="000000"/>
        </w:rPr>
        <w:t>[</w:t>
      </w:r>
      <w:r w:rsidRPr="00501A87">
        <w:rPr>
          <w:rFonts w:ascii="Book Antiqua" w:eastAsia="Book Antiqua" w:hAnsi="Book Antiqua" w:cs="Book Antiqua"/>
          <w:color w:val="000000"/>
        </w:rPr>
        <w:t xml:space="preserve">patients with </w:t>
      </w:r>
      <w:r w:rsidR="00AC3EAA">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C virus infection, </w:t>
      </w:r>
      <w:r w:rsidR="00AC3EAA">
        <w:rPr>
          <w:rFonts w:ascii="Book Antiqua" w:eastAsia="Book Antiqua" w:hAnsi="Book Antiqua" w:cs="Book Antiqua"/>
          <w:color w:val="000000"/>
        </w:rPr>
        <w:t>h</w:t>
      </w:r>
      <w:r w:rsidRPr="00501A87">
        <w:rPr>
          <w:rFonts w:ascii="Book Antiqua" w:eastAsia="Book Antiqua" w:hAnsi="Book Antiqua" w:cs="Book Antiqua"/>
          <w:color w:val="000000"/>
        </w:rPr>
        <w:t xml:space="preserve">uman </w:t>
      </w:r>
      <w:r w:rsidR="00AC3EAA">
        <w:rPr>
          <w:rFonts w:ascii="Book Antiqua" w:eastAsia="Book Antiqua" w:hAnsi="Book Antiqua" w:cs="Book Antiqua"/>
          <w:color w:val="000000"/>
        </w:rPr>
        <w:t>i</w:t>
      </w:r>
      <w:r w:rsidRPr="00501A87">
        <w:rPr>
          <w:rFonts w:ascii="Book Antiqua" w:eastAsia="Book Antiqua" w:hAnsi="Book Antiqua" w:cs="Book Antiqua"/>
          <w:color w:val="000000"/>
        </w:rPr>
        <w:t xml:space="preserve">mmunodeficiency </w:t>
      </w:r>
      <w:r w:rsidR="00AC3EAA">
        <w:rPr>
          <w:rFonts w:ascii="Book Antiqua" w:eastAsia="Book Antiqua" w:hAnsi="Book Antiqua" w:cs="Book Antiqua"/>
          <w:color w:val="000000"/>
        </w:rPr>
        <w:t>v</w:t>
      </w:r>
      <w:r w:rsidRPr="00501A87">
        <w:rPr>
          <w:rFonts w:ascii="Book Antiqua" w:eastAsia="Book Antiqua" w:hAnsi="Book Antiqua" w:cs="Book Antiqua"/>
          <w:color w:val="000000"/>
        </w:rPr>
        <w:t>irus (HIV), men who have sex with men, intravenous drug users, health care workers, and household contacts of patients with a positive hepatitis surface antigen</w:t>
      </w:r>
      <w:r w:rsidR="00AC3EAA">
        <w:rPr>
          <w:rFonts w:ascii="Book Antiqua" w:eastAsia="Book Antiqua" w:hAnsi="Book Antiqua" w:cs="Book Antiqua"/>
          <w:color w:val="000000"/>
        </w:rPr>
        <w:t>]</w:t>
      </w:r>
      <w:hyperlink r:id="rId42" w:history="1">
        <w:r w:rsidRPr="00AC3EAA">
          <w:rPr>
            <w:rFonts w:ascii="Book Antiqua" w:eastAsia="Book Antiqua" w:hAnsi="Book Antiqua" w:cs="Book Antiqua"/>
            <w:color w:val="000000"/>
            <w:u w:color="0000EE"/>
            <w:vertAlign w:val="superscript"/>
          </w:rPr>
          <w:t>[38,39]</w:t>
        </w:r>
      </w:hyperlink>
      <w:r w:rsidRPr="00501A87">
        <w:rPr>
          <w:rFonts w:ascii="Book Antiqua" w:eastAsia="Book Antiqua" w:hAnsi="Book Antiqua" w:cs="Book Antiqua"/>
          <w:color w:val="000000"/>
        </w:rPr>
        <w:t>. Until 2017, most available HBV vaccination schedules required three doses of the vaccine to be administered at specific intervals and had &gt; 90% protective response</w:t>
      </w:r>
      <w:hyperlink r:id="rId43" w:history="1">
        <w:r w:rsidRPr="00AC3EAA">
          <w:rPr>
            <w:rFonts w:ascii="Book Antiqua" w:eastAsia="Book Antiqua" w:hAnsi="Book Antiqua" w:cs="Book Antiqua"/>
            <w:color w:val="000000"/>
            <w:u w:color="0000EE"/>
            <w:vertAlign w:val="superscript"/>
          </w:rPr>
          <w:t>[40]</w:t>
        </w:r>
      </w:hyperlink>
      <w:r w:rsidRPr="00501A87">
        <w:rPr>
          <w:rFonts w:ascii="Book Antiqua" w:eastAsia="Book Antiqua" w:hAnsi="Book Antiqua" w:cs="Book Antiqua"/>
          <w:color w:val="000000"/>
        </w:rPr>
        <w:t xml:space="preserve">. </w:t>
      </w:r>
    </w:p>
    <w:p w14:paraId="35835C76" w14:textId="31FB34B2" w:rsidR="00A77B3E" w:rsidRPr="00501A87" w:rsidRDefault="008067B5" w:rsidP="0083057D">
      <w:pPr>
        <w:spacing w:line="360" w:lineRule="auto"/>
        <w:ind w:firstLineChars="200" w:firstLine="480"/>
        <w:jc w:val="both"/>
        <w:rPr>
          <w:rFonts w:ascii="Book Antiqua" w:hAnsi="Book Antiqua"/>
        </w:rPr>
      </w:pPr>
      <w:r w:rsidRPr="00501A87">
        <w:rPr>
          <w:rFonts w:ascii="Book Antiqua" w:eastAsia="Book Antiqua" w:hAnsi="Book Antiqua" w:cs="Book Antiqua"/>
          <w:color w:val="000000"/>
        </w:rPr>
        <w:t>On November 9, 2017, Heplisav-B (HepB-CpG), a single-antigen HepB vaccine with a novel immunostimulatory sequence adjuvant, was approved by the Food and Drug Administration for the prevention of HBV in persons aged ≥</w:t>
      </w:r>
      <w:r w:rsidR="00AC3EAA">
        <w:rPr>
          <w:rFonts w:ascii="Book Antiqua" w:eastAsia="Book Antiqua" w:hAnsi="Book Antiqua" w:cs="Book Antiqua"/>
          <w:color w:val="000000"/>
        </w:rPr>
        <w:t xml:space="preserve"> </w:t>
      </w:r>
      <w:r w:rsidRPr="00501A87">
        <w:rPr>
          <w:rFonts w:ascii="Book Antiqua" w:eastAsia="Book Antiqua" w:hAnsi="Book Antiqua" w:cs="Book Antiqua"/>
          <w:color w:val="000000"/>
        </w:rPr>
        <w:t>18 years</w:t>
      </w:r>
      <w:hyperlink r:id="rId44" w:history="1">
        <w:r w:rsidRPr="00501A87">
          <w:rPr>
            <w:rFonts w:ascii="Book Antiqua" w:eastAsia="Book Antiqua" w:hAnsi="Book Antiqua" w:cs="Book Antiqua"/>
            <w:color w:val="000000"/>
            <w:u w:val="single" w:color="0000EE"/>
            <w:vertAlign w:val="superscript"/>
          </w:rPr>
          <w:t>[41]</w:t>
        </w:r>
      </w:hyperlink>
      <w:r w:rsidRPr="00501A87">
        <w:rPr>
          <w:rFonts w:ascii="Book Antiqua" w:eastAsia="Book Antiqua" w:hAnsi="Book Antiqua" w:cs="Book Antiqua"/>
          <w:color w:val="000000"/>
        </w:rPr>
        <w:t>. The vaccine is administered in two doses, one month apart. On February 21, 2018, the Advisory Committee on Immunization Practices (ACIP)* recommended HepB-CpG for use in persons aged ≥</w:t>
      </w:r>
      <w:r w:rsidR="00AC3EAA">
        <w:rPr>
          <w:rFonts w:ascii="Book Antiqua" w:eastAsia="Book Antiqua" w:hAnsi="Book Antiqua" w:cs="Book Antiqua"/>
          <w:color w:val="000000"/>
        </w:rPr>
        <w:t xml:space="preserve"> </w:t>
      </w:r>
      <w:r w:rsidRPr="00501A87">
        <w:rPr>
          <w:rFonts w:ascii="Book Antiqua" w:eastAsia="Book Antiqua" w:hAnsi="Book Antiqua" w:cs="Book Antiqua"/>
          <w:color w:val="000000"/>
        </w:rPr>
        <w:t>18 years</w:t>
      </w:r>
      <w:hyperlink r:id="rId45" w:history="1">
        <w:r w:rsidRPr="00AC3EAA">
          <w:rPr>
            <w:rFonts w:ascii="Book Antiqua" w:eastAsia="Book Antiqua" w:hAnsi="Book Antiqua" w:cs="Book Antiqua"/>
            <w:color w:val="000000"/>
            <w:u w:color="0000EE"/>
            <w:vertAlign w:val="superscript"/>
          </w:rPr>
          <w:t>[42]</w:t>
        </w:r>
      </w:hyperlink>
      <w:r w:rsidRPr="00AC3EAA">
        <w:rPr>
          <w:rFonts w:ascii="Book Antiqua" w:eastAsia="Book Antiqua" w:hAnsi="Book Antiqua" w:cs="Book Antiqua"/>
          <w:color w:val="000000"/>
        </w:rPr>
        <w:t>.</w:t>
      </w:r>
    </w:p>
    <w:p w14:paraId="0B7EE559" w14:textId="3F0F0C68" w:rsidR="00A77B3E" w:rsidRPr="00E753B1" w:rsidRDefault="008067B5" w:rsidP="0083057D">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Unfortunately, 5</w:t>
      </w:r>
      <w:r w:rsidR="00AC3EAA" w:rsidRPr="00E753B1">
        <w:rPr>
          <w:rFonts w:ascii="Book Antiqua" w:eastAsia="Book Antiqua" w:hAnsi="Book Antiqua" w:cs="Book Antiqua"/>
          <w:color w:val="000000"/>
        </w:rPr>
        <w:t>%</w:t>
      </w:r>
      <w:r w:rsidRPr="00E753B1">
        <w:rPr>
          <w:rFonts w:ascii="Book Antiqua" w:eastAsia="Book Antiqua" w:hAnsi="Book Antiqua" w:cs="Book Antiqua"/>
          <w:color w:val="000000"/>
        </w:rPr>
        <w:t>-10% of patients lack an immunological response and remain unprotected despite vaccination</w:t>
      </w:r>
      <w:hyperlink r:id="rId46" w:history="1">
        <w:r w:rsidRPr="00E753B1">
          <w:rPr>
            <w:rFonts w:ascii="Book Antiqua" w:eastAsia="Book Antiqua" w:hAnsi="Book Antiqua" w:cs="Book Antiqua"/>
            <w:color w:val="000000"/>
            <w:vertAlign w:val="superscript"/>
          </w:rPr>
          <w:t>[43]</w:t>
        </w:r>
      </w:hyperlink>
      <w:r w:rsidRPr="00E753B1">
        <w:rPr>
          <w:rFonts w:ascii="Book Antiqua" w:eastAsia="Book Antiqua" w:hAnsi="Book Antiqua" w:cs="Book Antiqua"/>
          <w:color w:val="000000"/>
        </w:rPr>
        <w:t xml:space="preserve">. A hepatitis B “non-responder” refers to a person who does not develop Hepatitis B surface antibodies after completing two whole series of </w:t>
      </w:r>
      <w:r w:rsidR="00AC3EAA" w:rsidRPr="00E753B1">
        <w:rPr>
          <w:rFonts w:ascii="Book Antiqua" w:eastAsia="Book Antiqua" w:hAnsi="Book Antiqua" w:cs="Book Antiqua"/>
          <w:color w:val="000000"/>
        </w:rPr>
        <w:t>h</w:t>
      </w:r>
      <w:r w:rsidRPr="00E753B1">
        <w:rPr>
          <w:rFonts w:ascii="Book Antiqua" w:eastAsia="Book Antiqua" w:hAnsi="Book Antiqua" w:cs="Book Antiqua"/>
          <w:color w:val="000000"/>
        </w:rPr>
        <w:t xml:space="preserve">epatitis B vaccine and for whom an acute or </w:t>
      </w:r>
      <w:r w:rsidR="00D43CC1" w:rsidRPr="00E753B1">
        <w:rPr>
          <w:rFonts w:ascii="Book Antiqua" w:eastAsia="Book Antiqua" w:hAnsi="Book Antiqua" w:cs="Book Antiqua"/>
          <w:color w:val="000000"/>
        </w:rPr>
        <w:t>CHB</w:t>
      </w:r>
      <w:r w:rsidRPr="00E753B1">
        <w:rPr>
          <w:rFonts w:ascii="Book Antiqua" w:eastAsia="Book Antiqua" w:hAnsi="Book Antiqua" w:cs="Book Antiqua"/>
          <w:color w:val="000000"/>
        </w:rPr>
        <w:t xml:space="preserve"> infection has been ruled out</w:t>
      </w:r>
      <w:hyperlink r:id="rId47" w:history="1">
        <w:r w:rsidRPr="00E753B1">
          <w:rPr>
            <w:rFonts w:ascii="Book Antiqua" w:eastAsia="Book Antiqua" w:hAnsi="Book Antiqua" w:cs="Book Antiqua"/>
            <w:color w:val="000000"/>
            <w:vertAlign w:val="superscript"/>
          </w:rPr>
          <w:t>[44]</w:t>
        </w:r>
      </w:hyperlink>
      <w:r w:rsidRPr="00E753B1">
        <w:rPr>
          <w:rFonts w:ascii="Book Antiqua" w:eastAsia="Book Antiqua" w:hAnsi="Book Antiqua" w:cs="Book Antiqua"/>
          <w:color w:val="000000"/>
        </w:rPr>
        <w:t>. Non-response is associated with different HLA-DR alleles and impaired Th cell response, among other factors such as route of injection, age, gender, body mass, and other factors</w:t>
      </w:r>
      <w:hyperlink r:id="rId48" w:history="1">
        <w:r w:rsidRPr="00E753B1">
          <w:rPr>
            <w:rFonts w:ascii="Book Antiqua" w:eastAsia="Book Antiqua" w:hAnsi="Book Antiqua" w:cs="Book Antiqua"/>
            <w:color w:val="000000"/>
            <w:vertAlign w:val="superscript"/>
          </w:rPr>
          <w:t>[45]</w:t>
        </w:r>
      </w:hyperlink>
      <w:r w:rsidRPr="00E753B1">
        <w:rPr>
          <w:rFonts w:ascii="Book Antiqua" w:eastAsia="Book Antiqua" w:hAnsi="Book Antiqua" w:cs="Book Antiqua"/>
          <w:color w:val="000000"/>
        </w:rPr>
        <w:t>. For non-responders to the initial vaccination series, a second series of the original vaccination schedule is recommended</w:t>
      </w:r>
      <w:hyperlink r:id="rId49" w:history="1">
        <w:r w:rsidRPr="00E753B1">
          <w:rPr>
            <w:rFonts w:ascii="Book Antiqua" w:eastAsia="Book Antiqua" w:hAnsi="Book Antiqua" w:cs="Book Antiqua"/>
            <w:color w:val="000000"/>
            <w:vertAlign w:val="superscript"/>
          </w:rPr>
          <w:t>[46]</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Persons with Hepatitis B surface antibody (anti-HBs) &lt;</w:t>
      </w:r>
      <w:r w:rsidR="00AC3EAA"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10 mIU/mL following receipt of 2 doses of HepB-CpG should be revaccinated with a second complete HepB vaccine series followed by anti-HBs testing 1–2 mo after the final dose. Alternatively, revaccination may consist of administration of an additional single HepB vaccine dose followed by anti-HBs testing 1–2 mo later (and, if anti-HBs remains &lt;</w:t>
      </w:r>
      <w:r w:rsidR="00AC3EAA"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10 mIU/mL, completion of the second HepB vaccine series followed again by anti-HBs testing 1–2 mo after the final dose)</w:t>
      </w:r>
      <w:hyperlink r:id="rId50" w:history="1">
        <w:r w:rsidRPr="00E753B1">
          <w:rPr>
            <w:rFonts w:ascii="Book Antiqua" w:eastAsia="Book Antiqua" w:hAnsi="Book Antiqua" w:cs="Book Antiqua"/>
            <w:color w:val="000000"/>
            <w:shd w:val="clear" w:color="auto" w:fill="FFFFFF"/>
            <w:vertAlign w:val="superscript"/>
          </w:rPr>
          <w:t>[47]</w:t>
        </w:r>
      </w:hyperlink>
      <w:r w:rsidRPr="00E753B1">
        <w:rPr>
          <w:rFonts w:ascii="Book Antiqua" w:eastAsia="Book Antiqua" w:hAnsi="Book Antiqua" w:cs="Book Antiqua"/>
          <w:color w:val="000000"/>
        </w:rPr>
        <w:t>. Post-exposure prophylaxis should be considered for individuals following a needlestick injury or potentially infectious exposure to body fluids with blood or semen)</w:t>
      </w:r>
      <w:hyperlink r:id="rId51" w:history="1">
        <w:r w:rsidRPr="00E753B1">
          <w:rPr>
            <w:rFonts w:ascii="Book Antiqua" w:eastAsia="Book Antiqua" w:hAnsi="Book Antiqua" w:cs="Book Antiqua"/>
            <w:color w:val="000000"/>
            <w:vertAlign w:val="superscript"/>
          </w:rPr>
          <w:t>[47]</w:t>
        </w:r>
      </w:hyperlink>
      <w:r w:rsidRPr="00E753B1">
        <w:rPr>
          <w:rFonts w:ascii="Book Antiqua" w:eastAsia="Book Antiqua" w:hAnsi="Book Antiqua" w:cs="Book Antiqua"/>
          <w:color w:val="000000"/>
        </w:rPr>
        <w:t>.</w:t>
      </w:r>
    </w:p>
    <w:p w14:paraId="64D48466" w14:textId="4D9C8DE6" w:rsidR="00A77B3E" w:rsidRPr="00E753B1" w:rsidRDefault="008067B5" w:rsidP="00AC3EAA">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Recent studies evaluating the efficacy of alternate revaccination regimens in non-responders are promising and could shape future recommendations. Raven </w:t>
      </w:r>
      <w:r w:rsidRPr="00E753B1">
        <w:rPr>
          <w:rFonts w:ascii="Book Antiqua" w:eastAsia="Book Antiqua" w:hAnsi="Book Antiqua" w:cs="Book Antiqua"/>
          <w:i/>
          <w:iCs/>
          <w:color w:val="000000"/>
        </w:rPr>
        <w:t>et al</w:t>
      </w:r>
      <w:hyperlink r:id="rId52" w:history="1">
        <w:r w:rsidR="00AC3EAA" w:rsidRPr="00E753B1">
          <w:rPr>
            <w:rFonts w:ascii="Book Antiqua" w:eastAsia="Book Antiqua" w:hAnsi="Book Antiqua" w:cs="Book Antiqua"/>
            <w:color w:val="000000"/>
            <w:shd w:val="clear" w:color="auto" w:fill="FFFFFF"/>
            <w:vertAlign w:val="superscript"/>
          </w:rPr>
          <w:t>[48]</w:t>
        </w:r>
      </w:hyperlink>
      <w:r w:rsidRPr="00E753B1">
        <w:rPr>
          <w:rFonts w:ascii="Book Antiqua" w:eastAsia="Book Antiqua" w:hAnsi="Book Antiqua" w:cs="Book Antiqua"/>
          <w:color w:val="000000"/>
        </w:rPr>
        <w:t xml:space="preserve"> studied 480 immunocompetent, non-responders in a multicenter, open-labeled, randomized, controlled superiority trial comparing the effectiveness of revaccination with initial regimen (control arm: </w:t>
      </w:r>
      <w:r w:rsidR="00AC3EAA" w:rsidRPr="00E753B1">
        <w:rPr>
          <w:rFonts w:ascii="Book Antiqua" w:eastAsia="Book Antiqua" w:hAnsi="Book Antiqua" w:cs="Book Antiqua"/>
          <w:color w:val="000000"/>
        </w:rPr>
        <w:t>W</w:t>
      </w:r>
      <w:r w:rsidRPr="00E753B1">
        <w:rPr>
          <w:rFonts w:ascii="Book Antiqua" w:eastAsia="Book Antiqua" w:hAnsi="Book Antiqua" w:cs="Book Antiqua"/>
          <w:color w:val="000000"/>
        </w:rPr>
        <w:t xml:space="preserve">ith HBVaxPro 10 </w:t>
      </w:r>
      <w:r w:rsidRPr="00E753B1">
        <w:rPr>
          <w:rFonts w:ascii="Book Antiqua" w:eastAsia="Book Antiqua" w:hAnsi="Book Antiqua" w:cs="Book Antiqua"/>
          <w:color w:val="000000"/>
          <w:shd w:val="clear" w:color="auto" w:fill="FFFFFF"/>
        </w:rPr>
        <w:t xml:space="preserve">μg or Energix B 20 μg)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three alternate regimens </w:t>
      </w:r>
      <w:r w:rsidRPr="00E753B1">
        <w:rPr>
          <w:rFonts w:ascii="Book Antiqua" w:eastAsia="Book Antiqua" w:hAnsi="Book Antiqua" w:cs="Book Antiqua"/>
          <w:color w:val="000000"/>
          <w:shd w:val="clear" w:color="auto" w:fill="FFFFFF"/>
        </w:rPr>
        <w:t>(Twinrix 20 μg or Fendrix 20 μg, or HBVaxPro 40 μg). Revaccinating with Fendrix 20 μg (83%) or HBVaxPro 40 (98%) resulted in significantly higher proportions of responders compared to controls (67%). Authors argued that the indication for these vaccines should be expanded to enable revaccination of non-responders</w:t>
      </w:r>
      <w:hyperlink r:id="rId53" w:history="1">
        <w:r w:rsidRPr="00E753B1">
          <w:rPr>
            <w:rFonts w:ascii="Book Antiqua" w:eastAsia="Book Antiqua" w:hAnsi="Book Antiqua" w:cs="Book Antiqua"/>
            <w:color w:val="000000"/>
            <w:shd w:val="clear" w:color="auto" w:fill="FFFFFF"/>
            <w:vertAlign w:val="superscript"/>
          </w:rPr>
          <w:t>[48]</w:t>
        </w:r>
      </w:hyperlink>
      <w:r w:rsidRPr="00E753B1">
        <w:rPr>
          <w:rFonts w:ascii="Book Antiqua" w:eastAsia="Book Antiqua" w:hAnsi="Book Antiqua" w:cs="Book Antiqua"/>
          <w:color w:val="000000"/>
        </w:rPr>
        <w:t xml:space="preserve">. In 2018, Koc </w:t>
      </w:r>
      <w:r w:rsidRPr="00E753B1">
        <w:rPr>
          <w:rFonts w:ascii="Book Antiqua" w:eastAsia="Book Antiqua" w:hAnsi="Book Antiqua" w:cs="Book Antiqua"/>
          <w:i/>
          <w:iCs/>
          <w:color w:val="000000"/>
        </w:rPr>
        <w:t>et al</w:t>
      </w:r>
      <w:hyperlink r:id="rId54" w:history="1">
        <w:r w:rsidR="00C64861" w:rsidRPr="00E753B1">
          <w:rPr>
            <w:rFonts w:ascii="Book Antiqua" w:eastAsia="Book Antiqua" w:hAnsi="Book Antiqua" w:cs="Book Antiqua"/>
            <w:color w:val="000000"/>
            <w:vertAlign w:val="superscript"/>
          </w:rPr>
          <w:t>[49]</w:t>
        </w:r>
      </w:hyperlink>
      <w:r w:rsidRPr="00E753B1">
        <w:rPr>
          <w:rFonts w:ascii="Book Antiqua" w:eastAsia="Book Antiqua" w:hAnsi="Book Antiqua" w:cs="Book Antiqua"/>
          <w:color w:val="000000"/>
        </w:rPr>
        <w:t xml:space="preserve"> attempted to enhance the immune response of the </w:t>
      </w:r>
      <w:r w:rsidRPr="00E753B1">
        <w:rPr>
          <w:rFonts w:ascii="Book Antiqua" w:eastAsia="Book Antiqua" w:hAnsi="Book Antiqua" w:cs="Book Antiqua"/>
          <w:color w:val="000000"/>
          <w:shd w:val="clear" w:color="auto" w:fill="FFFFFF"/>
        </w:rPr>
        <w:t xml:space="preserve">HBVaxPro©-10-μg </w:t>
      </w:r>
      <w:r w:rsidRPr="00E753B1">
        <w:rPr>
          <w:rFonts w:ascii="Book Antiqua" w:eastAsia="Book Antiqua" w:hAnsi="Book Antiqua" w:cs="Book Antiqua"/>
          <w:color w:val="000000"/>
        </w:rPr>
        <w:t xml:space="preserve">vaccine </w:t>
      </w:r>
      <w:r w:rsidRPr="00E753B1">
        <w:rPr>
          <w:rFonts w:ascii="Book Antiqua" w:eastAsia="Book Antiqua" w:hAnsi="Book Antiqua" w:cs="Book Antiqua"/>
          <w:color w:val="000000"/>
          <w:shd w:val="clear" w:color="auto" w:fill="FFFFFF"/>
        </w:rPr>
        <w:t xml:space="preserve">by adding a cytokine-based adjuvant. This new adjuvant AI20, containing 20-μg recombinant human </w:t>
      </w:r>
      <w:r w:rsidR="008D40AD" w:rsidRPr="00E753B1">
        <w:rPr>
          <w:rFonts w:ascii="Book Antiqua" w:eastAsia="Arial" w:hAnsi="Book Antiqua" w:cs="Arial"/>
        </w:rPr>
        <w:t>Interleukin</w:t>
      </w:r>
      <w:r w:rsidR="008D40AD"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IL</w:t>
      </w:r>
      <w:r w:rsidR="008D40AD"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-2 attached to 20-μg aluminum hydroxide, was added to HBVaxPro©-10-μg (HBAI20). In an open-label trial, HBAI20</w:t>
      </w:r>
      <w:r w:rsidRPr="00E753B1">
        <w:rPr>
          <w:rFonts w:ascii="Book Antiqua" w:eastAsia="Book Antiqua" w:hAnsi="Book Antiqua" w:cs="Book Antiqua"/>
          <w:color w:val="000000"/>
        </w:rPr>
        <w:t xml:space="preserve"> elicited protective anti-HBs titers in 90% of previous non-responders</w:t>
      </w:r>
      <w:hyperlink r:id="rId55" w:history="1">
        <w:r w:rsidRPr="00E753B1">
          <w:rPr>
            <w:rFonts w:ascii="Book Antiqua" w:eastAsia="Book Antiqua" w:hAnsi="Book Antiqua" w:cs="Book Antiqua"/>
            <w:color w:val="000000"/>
            <w:vertAlign w:val="superscript"/>
          </w:rPr>
          <w:t>[49]</w:t>
        </w:r>
      </w:hyperlink>
      <w:r w:rsidRPr="00E753B1">
        <w:rPr>
          <w:rFonts w:ascii="Book Antiqua" w:eastAsia="Book Antiqua" w:hAnsi="Book Antiqua" w:cs="Book Antiqua"/>
          <w:color w:val="000000"/>
        </w:rPr>
        <w:t>.</w:t>
      </w:r>
    </w:p>
    <w:p w14:paraId="31C272D3" w14:textId="77777777"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Additionally, researchers have turned to “Systems vaccinology” to precisely understand vaccine mechanisms and potential determinants of immunological non-response</w:t>
      </w:r>
      <w:hyperlink r:id="rId56" w:history="1">
        <w:r w:rsidRPr="00E753B1">
          <w:rPr>
            <w:rFonts w:ascii="Book Antiqua" w:eastAsia="Book Antiqua" w:hAnsi="Book Antiqua" w:cs="Book Antiqua"/>
            <w:color w:val="000000"/>
            <w:vertAlign w:val="superscript"/>
          </w:rPr>
          <w:t>[50,51]</w:t>
        </w:r>
      </w:hyperlink>
      <w:r w:rsidRPr="00E753B1">
        <w:rPr>
          <w:rFonts w:ascii="Book Antiqua" w:eastAsia="Book Antiqua" w:hAnsi="Book Antiqua" w:cs="Book Antiqua"/>
          <w:color w:val="000000"/>
        </w:rPr>
        <w:t>. Technological advances with DNA microarrays and high throughput DNA sequencing, mass spectrometry powered proteomics, bioinformatics, and computational methods enable data integration that serves as the basis of systems vaccinology</w:t>
      </w:r>
      <w:hyperlink r:id="rId57" w:history="1">
        <w:r w:rsidRPr="00E753B1">
          <w:rPr>
            <w:rFonts w:ascii="Book Antiqua" w:eastAsia="Book Antiqua" w:hAnsi="Book Antiqua" w:cs="Book Antiqua"/>
            <w:color w:val="000000"/>
            <w:vertAlign w:val="superscript"/>
          </w:rPr>
          <w:t>[52]</w:t>
        </w:r>
      </w:hyperlink>
      <w:r w:rsidRPr="00E753B1">
        <w:rPr>
          <w:rFonts w:ascii="Book Antiqua" w:eastAsia="Book Antiqua" w:hAnsi="Book Antiqua" w:cs="Book Antiqua"/>
          <w:color w:val="000000"/>
        </w:rPr>
        <w:t>.</w:t>
      </w:r>
    </w:p>
    <w:p w14:paraId="0BBBD8C1" w14:textId="58667B68"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Qiu </w:t>
      </w:r>
      <w:r w:rsidRPr="00E753B1">
        <w:rPr>
          <w:rFonts w:ascii="Book Antiqua" w:eastAsia="Book Antiqua" w:hAnsi="Book Antiqua" w:cs="Book Antiqua"/>
          <w:i/>
          <w:iCs/>
          <w:color w:val="000000"/>
        </w:rPr>
        <w:t>et al</w:t>
      </w:r>
      <w:hyperlink r:id="rId58" w:history="1">
        <w:r w:rsidR="00A621D4" w:rsidRPr="00E753B1">
          <w:rPr>
            <w:rFonts w:ascii="Book Antiqua" w:eastAsia="Book Antiqua" w:hAnsi="Book Antiqua" w:cs="Book Antiqua"/>
            <w:color w:val="000000"/>
            <w:vertAlign w:val="superscript"/>
          </w:rPr>
          <w:t>[53]</w:t>
        </w:r>
      </w:hyperlink>
      <w:r w:rsidRPr="00E753B1">
        <w:rPr>
          <w:rFonts w:ascii="Book Antiqua" w:eastAsia="Book Antiqua" w:hAnsi="Book Antiqua" w:cs="Book Antiqua"/>
          <w:color w:val="000000"/>
        </w:rPr>
        <w:t xml:space="preserve"> performed transcriptome and cytokine analysis of seven responders and seven non-responders pre-and post-vaccination with a three-dose boost regimen. Compared with responders, nine coding genes (</w:t>
      </w:r>
      <w:r w:rsidRPr="00E753B1">
        <w:rPr>
          <w:rFonts w:ascii="Book Antiqua" w:eastAsia="Book Antiqua" w:hAnsi="Book Antiqua" w:cs="Book Antiqua"/>
          <w:i/>
          <w:iCs/>
          <w:color w:val="000000"/>
        </w:rPr>
        <w:t>BPI</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DEFA1B</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DEFA4</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CEACAM8</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MMP8</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FOLR3</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LTF</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TCN1</w:t>
      </w:r>
      <w:r w:rsidRPr="00E753B1">
        <w:rPr>
          <w:rFonts w:ascii="Book Antiqua" w:eastAsia="Book Antiqua" w:hAnsi="Book Antiqua" w:cs="Book Antiqua"/>
          <w:color w:val="000000"/>
        </w:rPr>
        <w:t xml:space="preserve"> and, </w:t>
      </w:r>
      <w:r w:rsidRPr="00E753B1">
        <w:rPr>
          <w:rFonts w:ascii="Book Antiqua" w:eastAsia="Book Antiqua" w:hAnsi="Book Antiqua" w:cs="Book Antiqua"/>
          <w:i/>
          <w:iCs/>
          <w:color w:val="000000"/>
        </w:rPr>
        <w:t>TKTL1</w:t>
      </w:r>
      <w:r w:rsidRPr="00E753B1">
        <w:rPr>
          <w:rFonts w:ascii="Book Antiqua" w:eastAsia="Book Antiqua" w:hAnsi="Book Antiqua" w:cs="Book Antiqua"/>
          <w:color w:val="000000"/>
        </w:rPr>
        <w:t>) were significantly upregulated in non-responders, which could probably be the characteristic genes in hepatitis B vaccine non-responsiveness. This probability was further strengthened by gene ontology analysis results showing that most of these differentially expressed genes were related to immune response. Cytokine analysis demonstrated that IL-27 and CXCL12 concentrations in responders were significantly higher than non-responders. In multiplex cytokine assay, IL-27 and CXCL12 may probably act as the characteristic cytokine marker for responders</w:t>
      </w:r>
      <w:hyperlink r:id="rId59" w:history="1">
        <w:r w:rsidRPr="00E753B1">
          <w:rPr>
            <w:rFonts w:ascii="Book Antiqua" w:eastAsia="Book Antiqua" w:hAnsi="Book Antiqua" w:cs="Book Antiqua"/>
            <w:color w:val="000000"/>
            <w:vertAlign w:val="superscript"/>
          </w:rPr>
          <w:t>[53]</w:t>
        </w:r>
      </w:hyperlink>
      <w:r w:rsidRPr="00E753B1">
        <w:rPr>
          <w:rFonts w:ascii="Book Antiqua" w:eastAsia="Book Antiqua" w:hAnsi="Book Antiqua" w:cs="Book Antiqua"/>
          <w:color w:val="000000"/>
        </w:rPr>
        <w:t xml:space="preserve">. Da Silva </w:t>
      </w:r>
      <w:r w:rsidRPr="00E753B1">
        <w:rPr>
          <w:rFonts w:ascii="Book Antiqua" w:eastAsia="Book Antiqua" w:hAnsi="Book Antiqua" w:cs="Book Antiqua"/>
          <w:i/>
          <w:iCs/>
          <w:color w:val="000000"/>
        </w:rPr>
        <w:t>et al</w:t>
      </w:r>
      <w:hyperlink r:id="rId60" w:history="1">
        <w:r w:rsidR="00A621D4" w:rsidRPr="00E753B1">
          <w:rPr>
            <w:rFonts w:ascii="Book Antiqua" w:eastAsia="Book Antiqua" w:hAnsi="Book Antiqua" w:cs="Book Antiqua"/>
            <w:color w:val="000000"/>
            <w:vertAlign w:val="superscript"/>
          </w:rPr>
          <w:t>[54]</w:t>
        </w:r>
      </w:hyperlink>
      <w:r w:rsidRPr="00E753B1">
        <w:rPr>
          <w:rFonts w:ascii="Book Antiqua" w:eastAsia="Book Antiqua" w:hAnsi="Book Antiqua" w:cs="Book Antiqua"/>
          <w:color w:val="000000"/>
        </w:rPr>
        <w:t xml:space="preserve"> demonstrated a reduced baseline CXCR3+CCR6- CXCR5+ memory T cells, contributing to impaired seroconversion with vaccination in patients with </w:t>
      </w:r>
      <w:r w:rsidR="00A621D4" w:rsidRPr="00E753B1">
        <w:rPr>
          <w:rFonts w:ascii="Book Antiqua" w:eastAsia="Book Antiqua" w:hAnsi="Book Antiqua" w:cs="Book Antiqua"/>
          <w:color w:val="000000"/>
        </w:rPr>
        <w:t>chronic kidney disease (CKD)</w:t>
      </w:r>
      <w:hyperlink r:id="rId61" w:history="1">
        <w:r w:rsidRPr="00E753B1">
          <w:rPr>
            <w:rFonts w:ascii="Book Antiqua" w:eastAsia="Book Antiqua" w:hAnsi="Book Antiqua" w:cs="Book Antiqua"/>
            <w:color w:val="000000"/>
            <w:vertAlign w:val="superscript"/>
          </w:rPr>
          <w:t>[54]</w:t>
        </w:r>
      </w:hyperlink>
      <w:r w:rsidRPr="00E753B1">
        <w:rPr>
          <w:rFonts w:ascii="Book Antiqua" w:eastAsia="Book Antiqua" w:hAnsi="Book Antiqua" w:cs="Book Antiqua"/>
          <w:color w:val="000000"/>
        </w:rPr>
        <w:t>. The authors further suggested an augmented 40-</w:t>
      </w:r>
      <w:r w:rsidRPr="00E753B1">
        <w:rPr>
          <w:rFonts w:ascii="Book Antiqua" w:eastAsia="Book Antiqua" w:hAnsi="Book Antiqua" w:cs="Book Antiqua"/>
          <w:color w:val="000000"/>
          <w:shd w:val="clear" w:color="auto" w:fill="FFFFFF"/>
        </w:rPr>
        <w:t>μg</w:t>
      </w:r>
      <w:r w:rsidRPr="00E753B1">
        <w:rPr>
          <w:rFonts w:ascii="Book Antiqua" w:eastAsia="Book Antiqua" w:hAnsi="Book Antiqua" w:cs="Book Antiqua"/>
          <w:color w:val="000000"/>
        </w:rPr>
        <w:t xml:space="preserve"> HBV dose schedule for CKD (comparable to hemodialysis patients) rather than the 20-</w:t>
      </w:r>
      <w:r w:rsidRPr="00E753B1">
        <w:rPr>
          <w:rFonts w:ascii="Book Antiqua" w:eastAsia="Book Antiqua" w:hAnsi="Book Antiqua" w:cs="Book Antiqua"/>
          <w:color w:val="000000"/>
          <w:shd w:val="clear" w:color="auto" w:fill="FFFFFF"/>
        </w:rPr>
        <w:t>μg</w:t>
      </w:r>
      <w:r w:rsidRPr="00E753B1">
        <w:rPr>
          <w:rFonts w:ascii="Book Antiqua" w:eastAsia="Book Antiqua" w:hAnsi="Book Antiqua" w:cs="Book Antiqua"/>
          <w:color w:val="000000"/>
        </w:rPr>
        <w:t xml:space="preserve"> dose suggested by the </w:t>
      </w:r>
      <w:r w:rsidR="00D43CC1" w:rsidRPr="00E753B1">
        <w:rPr>
          <w:rFonts w:ascii="Book Antiqua" w:eastAsia="Book Antiqua" w:hAnsi="Book Antiqua" w:cs="Book Antiqua"/>
          <w:color w:val="000000"/>
        </w:rPr>
        <w:t>center for disease control (CDC)</w:t>
      </w:r>
      <w:hyperlink r:id="rId62" w:history="1">
        <w:r w:rsidRPr="00E753B1">
          <w:rPr>
            <w:rFonts w:ascii="Book Antiqua" w:eastAsia="Book Antiqua" w:hAnsi="Book Antiqua" w:cs="Book Antiqua"/>
            <w:color w:val="000000"/>
            <w:vertAlign w:val="superscript"/>
          </w:rPr>
          <w:t>[55–57]</w:t>
        </w:r>
      </w:hyperlink>
      <w:r w:rsidRPr="00E753B1">
        <w:rPr>
          <w:rFonts w:ascii="Book Antiqua" w:eastAsia="Book Antiqua" w:hAnsi="Book Antiqua" w:cs="Book Antiqua"/>
          <w:color w:val="000000"/>
        </w:rPr>
        <w:t>.</w:t>
      </w:r>
    </w:p>
    <w:p w14:paraId="34D0A205" w14:textId="038627F2"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Booster doses are not indicated in immunocompetent individuals if the primary vaccination series is complete, as long-term follow-up studies show that immune memory persists despite declining </w:t>
      </w:r>
      <w:r w:rsidR="00A621D4"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surface antibody (anti-HBs) levels</w:t>
      </w:r>
      <w:hyperlink r:id="rId63" w:history="1">
        <w:r w:rsidRPr="00E753B1">
          <w:rPr>
            <w:rFonts w:ascii="Book Antiqua" w:eastAsia="Book Antiqua" w:hAnsi="Book Antiqua" w:cs="Book Antiqua"/>
            <w:color w:val="000000"/>
            <w:vertAlign w:val="superscript"/>
          </w:rPr>
          <w:t>[58]</w:t>
        </w:r>
      </w:hyperlink>
      <w:r w:rsidRPr="00E753B1">
        <w:rPr>
          <w:rFonts w:ascii="Book Antiqua" w:eastAsia="Book Antiqua" w:hAnsi="Book Antiqua" w:cs="Book Antiqua"/>
          <w:color w:val="000000"/>
        </w:rPr>
        <w:t xml:space="preserve">. </w:t>
      </w:r>
    </w:p>
    <w:p w14:paraId="42E45DB4" w14:textId="00145151"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a recent prospective trial published in 2019, 101 adults vaccinated with recombinant </w:t>
      </w:r>
      <w:r w:rsidR="00A621D4" w:rsidRPr="00E753B1">
        <w:rPr>
          <w:rFonts w:ascii="Book Antiqua" w:eastAsia="Book Antiqua" w:hAnsi="Book Antiqua" w:cs="Book Antiqua"/>
          <w:color w:val="000000"/>
        </w:rPr>
        <w:t>h</w:t>
      </w:r>
      <w:r w:rsidRPr="00E753B1">
        <w:rPr>
          <w:rFonts w:ascii="Book Antiqua" w:eastAsia="Book Antiqua" w:hAnsi="Book Antiqua" w:cs="Book Antiqua"/>
          <w:color w:val="000000"/>
        </w:rPr>
        <w:t xml:space="preserve">epatitis B vaccine 20-30 years prior, were challenged with a dose of HBsAg vaccine. 100% of patients developed an anamnestic response by day 30 with a significant increase in </w:t>
      </w:r>
      <w:r w:rsidRPr="00E753B1">
        <w:rPr>
          <w:rFonts w:ascii="Book Antiqua" w:eastAsia="Book Antiqua" w:hAnsi="Book Antiqua" w:cs="Book Antiqua"/>
          <w:color w:val="000000"/>
          <w:shd w:val="clear" w:color="auto" w:fill="FFFFFF"/>
        </w:rPr>
        <w:t>HBsAg-specific memory B and CD4</w:t>
      </w:r>
      <w:r w:rsidRPr="00E753B1">
        <w:rPr>
          <w:rFonts w:ascii="Book Antiqua" w:eastAsia="Book Antiqua" w:hAnsi="Book Antiqua" w:cs="Book Antiqua"/>
          <w:color w:val="000000"/>
          <w:shd w:val="clear" w:color="auto" w:fill="FFFFFF"/>
          <w:vertAlign w:val="superscript"/>
        </w:rPr>
        <w:t>+</w:t>
      </w:r>
      <w:r w:rsidR="00A621D4"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T cells expressing at least two activation markers. These results align with current knowledge and suggest sustained immune memory and long-term protection 20-30 years after a complete primary HBsAg vaccination course during adulthood</w:t>
      </w:r>
      <w:hyperlink r:id="rId64" w:history="1">
        <w:r w:rsidRPr="00E753B1">
          <w:rPr>
            <w:rFonts w:ascii="Book Antiqua" w:eastAsia="Book Antiqua" w:hAnsi="Book Antiqua" w:cs="Book Antiqua"/>
            <w:color w:val="000000"/>
            <w:shd w:val="clear" w:color="auto" w:fill="FFFFFF"/>
            <w:vertAlign w:val="superscript"/>
          </w:rPr>
          <w:t>[59]</w:t>
        </w:r>
      </w:hyperlink>
      <w:r w:rsidRPr="00E753B1">
        <w:rPr>
          <w:rFonts w:ascii="Book Antiqua" w:eastAsia="Book Antiqua" w:hAnsi="Book Antiqua" w:cs="Book Antiqua"/>
          <w:color w:val="000000"/>
          <w:shd w:val="clear" w:color="auto" w:fill="FFFFFF"/>
        </w:rPr>
        <w:t>.</w:t>
      </w:r>
    </w:p>
    <w:p w14:paraId="4DEB8B98" w14:textId="1D66D929"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Specific immunocompromised populations present an exception to this rule. One such population is patients undergoing bone marrow transplant. In this respect, the </w:t>
      </w:r>
      <w:r w:rsidR="00A621D4" w:rsidRPr="00E753B1">
        <w:rPr>
          <w:rFonts w:ascii="Book Antiqua" w:eastAsia="Book Antiqua" w:hAnsi="Book Antiqua" w:cs="Book Antiqua"/>
          <w:color w:val="000000"/>
        </w:rPr>
        <w:t>American Association for the study of liver disease (AASLD)</w:t>
      </w:r>
      <w:r w:rsidRPr="00E753B1">
        <w:rPr>
          <w:rFonts w:ascii="Book Antiqua" w:eastAsia="Book Antiqua" w:hAnsi="Book Antiqua" w:cs="Book Antiqua"/>
          <w:color w:val="000000"/>
        </w:rPr>
        <w:t xml:space="preserve"> guidelines are informed by the "Recommendation of the </w:t>
      </w:r>
      <w:r w:rsidR="00AC3EAA" w:rsidRPr="00E753B1">
        <w:rPr>
          <w:rFonts w:ascii="Book Antiqua" w:eastAsia="Book Antiqua" w:hAnsi="Book Antiqua" w:cs="Book Antiqua"/>
          <w:color w:val="000000"/>
        </w:rPr>
        <w:t>ACIP</w:t>
      </w:r>
      <w:r w:rsidRPr="00E753B1">
        <w:rPr>
          <w:rFonts w:ascii="Book Antiqua" w:eastAsia="Book Antiqua" w:hAnsi="Book Antiqua" w:cs="Book Antiqua"/>
          <w:color w:val="000000"/>
        </w:rPr>
        <w:t>'' document published in Jan</w:t>
      </w:r>
      <w:r w:rsidR="00A621D4" w:rsidRPr="00E753B1">
        <w:rPr>
          <w:rFonts w:ascii="Book Antiqua" w:eastAsia="Book Antiqua" w:hAnsi="Book Antiqua" w:cs="Book Antiqua"/>
          <w:color w:val="000000"/>
        </w:rPr>
        <w:t>uary</w:t>
      </w:r>
      <w:r w:rsidRPr="00E753B1">
        <w:rPr>
          <w:rFonts w:ascii="Book Antiqua" w:eastAsia="Book Antiqua" w:hAnsi="Book Antiqua" w:cs="Book Antiqua"/>
          <w:color w:val="000000"/>
        </w:rPr>
        <w:t xml:space="preserve"> 2018</w:t>
      </w:r>
      <w:hyperlink r:id="rId65" w:history="1">
        <w:r w:rsidRPr="00E753B1">
          <w:rPr>
            <w:rFonts w:ascii="Book Antiqua" w:eastAsia="Book Antiqua" w:hAnsi="Book Antiqua" w:cs="Book Antiqua"/>
            <w:color w:val="000000"/>
            <w:vertAlign w:val="superscript"/>
          </w:rPr>
          <w:t>[47]</w:t>
        </w:r>
      </w:hyperlink>
      <w:r w:rsidRPr="00E753B1">
        <w:rPr>
          <w:rFonts w:ascii="Book Antiqua" w:eastAsia="Book Antiqua" w:hAnsi="Book Antiqua" w:cs="Book Antiqua"/>
          <w:color w:val="000000"/>
        </w:rPr>
        <w:t xml:space="preserve">. The document suggests that the humoral response to the </w:t>
      </w:r>
      <w:r w:rsidR="00A621D4"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vaccine is reduced in children and adults who are immunocompromised (</w:t>
      </w:r>
      <w:r w:rsidRPr="00E753B1">
        <w:rPr>
          <w:rFonts w:ascii="Book Antiqua" w:eastAsia="Book Antiqua" w:hAnsi="Book Antiqua" w:cs="Book Antiqua"/>
          <w:i/>
          <w:iCs/>
          <w:color w:val="000000"/>
        </w:rPr>
        <w:t>e.g.</w:t>
      </w:r>
      <w:r w:rsidRPr="00E753B1">
        <w:rPr>
          <w:rFonts w:ascii="Book Antiqua" w:eastAsia="Book Antiqua" w:hAnsi="Book Antiqua" w:cs="Book Antiqua"/>
          <w:color w:val="000000"/>
        </w:rPr>
        <w:t>, hematopoietic stem cell transplant recipients, patients undergoing chemotherapy, and HIV-infected persons)</w:t>
      </w:r>
      <w:hyperlink r:id="rId66" w:history="1">
        <w:r w:rsidRPr="00E753B1">
          <w:rPr>
            <w:rFonts w:ascii="Book Antiqua" w:eastAsia="Book Antiqua" w:hAnsi="Book Antiqua" w:cs="Book Antiqua"/>
            <w:color w:val="000000"/>
            <w:vertAlign w:val="superscript"/>
          </w:rPr>
          <w:t>[60,61]</w:t>
        </w:r>
      </w:hyperlink>
      <w:r w:rsidRPr="00E753B1">
        <w:rPr>
          <w:rFonts w:ascii="Book Antiqua" w:eastAsia="Book Antiqua" w:hAnsi="Book Antiqua" w:cs="Book Antiqua"/>
          <w:color w:val="000000"/>
        </w:rPr>
        <w:t>. Modified dosing regimens, including a doubling of the standard antigen dose or administration of additional doses, might increase response rates. However, data on response to these alternative vaccination schedules is limited</w:t>
      </w:r>
      <w:hyperlink r:id="rId67" w:history="1">
        <w:r w:rsidRPr="00E753B1">
          <w:rPr>
            <w:rFonts w:ascii="Book Antiqua" w:eastAsia="Book Antiqua" w:hAnsi="Book Antiqua" w:cs="Book Antiqua"/>
            <w:color w:val="000000"/>
            <w:vertAlign w:val="superscript"/>
          </w:rPr>
          <w:t>[62]</w:t>
        </w:r>
      </w:hyperlink>
      <w:r w:rsidRPr="00E753B1">
        <w:rPr>
          <w:rFonts w:ascii="Book Antiqua" w:eastAsia="Book Antiqua" w:hAnsi="Book Antiqua" w:cs="Book Antiqua"/>
          <w:color w:val="000000"/>
        </w:rPr>
        <w:t xml:space="preserve">. </w:t>
      </w:r>
    </w:p>
    <w:p w14:paraId="605731D0" w14:textId="7C224199" w:rsidR="00A77B3E" w:rsidRPr="00E753B1" w:rsidRDefault="008067B5" w:rsidP="00A9477A">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Chawansuntati </w:t>
      </w:r>
      <w:r w:rsidRPr="00E753B1">
        <w:rPr>
          <w:rFonts w:ascii="Book Antiqua" w:eastAsia="Book Antiqua" w:hAnsi="Book Antiqua" w:cs="Book Antiqua"/>
          <w:i/>
          <w:iCs/>
          <w:color w:val="000000"/>
        </w:rPr>
        <w:t>et al</w:t>
      </w:r>
      <w:hyperlink r:id="rId68" w:history="1">
        <w:r w:rsidR="00A9477A" w:rsidRPr="00E753B1">
          <w:rPr>
            <w:rFonts w:ascii="Book Antiqua" w:eastAsia="Book Antiqua" w:hAnsi="Book Antiqua" w:cs="Book Antiqua"/>
            <w:color w:val="000000"/>
            <w:vertAlign w:val="superscript"/>
          </w:rPr>
          <w:t>[63]</w:t>
        </w:r>
      </w:hyperlink>
      <w:r w:rsidRPr="00E753B1">
        <w:rPr>
          <w:rFonts w:ascii="Book Antiqua" w:eastAsia="Book Antiqua" w:hAnsi="Book Antiqua" w:cs="Book Antiqua"/>
          <w:color w:val="000000"/>
        </w:rPr>
        <w:t xml:space="preserve"> showed a reduced </w:t>
      </w:r>
      <w:r w:rsidR="00A9477A" w:rsidRPr="00E753B1">
        <w:rPr>
          <w:rFonts w:ascii="Book Antiqua" w:eastAsia="Arial" w:hAnsi="Book Antiqua" w:cs="Arial"/>
        </w:rPr>
        <w:t>tumor necrosis factor</w:t>
      </w:r>
      <w:r w:rsidR="00A9477A"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TNF</w:t>
      </w:r>
      <w:r w:rsidR="00A9477A" w:rsidRPr="00E753B1">
        <w:rPr>
          <w:rFonts w:ascii="Book Antiqua" w:eastAsia="Book Antiqua" w:hAnsi="Book Antiqua" w:cs="Book Antiqua"/>
          <w:color w:val="000000"/>
        </w:rPr>
        <w:t>)</w:t>
      </w:r>
      <w:r w:rsidRPr="00E753B1">
        <w:rPr>
          <w:rFonts w:ascii="Book Antiqua" w:eastAsia="Book Antiqua" w:hAnsi="Book Antiqua" w:cs="Book Antiqua"/>
          <w:color w:val="000000"/>
        </w:rPr>
        <w:t>-α and IL-2 Level from CD4+ T cells in HIV-infected patients receiving standard HBV vaccinations and suggested an increased dose or frequency to counter this problem</w:t>
      </w:r>
      <w:hyperlink r:id="rId69" w:history="1">
        <w:r w:rsidRPr="00E753B1">
          <w:rPr>
            <w:rFonts w:ascii="Book Antiqua" w:eastAsia="Book Antiqua" w:hAnsi="Book Antiqua" w:cs="Book Antiqua"/>
            <w:color w:val="000000"/>
            <w:vertAlign w:val="superscript"/>
          </w:rPr>
          <w:t>[63]</w:t>
        </w:r>
      </w:hyperlink>
      <w:r w:rsidRPr="00E753B1">
        <w:rPr>
          <w:rFonts w:ascii="Book Antiqua" w:eastAsia="Book Antiqua" w:hAnsi="Book Antiqua" w:cs="Book Antiqua"/>
          <w:color w:val="000000"/>
        </w:rPr>
        <w:t>.</w:t>
      </w:r>
    </w:p>
    <w:p w14:paraId="0C1EF279" w14:textId="5C24EF7C"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2018, Palazzo </w:t>
      </w:r>
      <w:r w:rsidRPr="00E753B1">
        <w:rPr>
          <w:rFonts w:ascii="Book Antiqua" w:eastAsia="Book Antiqua" w:hAnsi="Book Antiqua" w:cs="Book Antiqua"/>
          <w:i/>
          <w:iCs/>
          <w:color w:val="000000"/>
        </w:rPr>
        <w:t>et al</w:t>
      </w:r>
      <w:hyperlink r:id="rId70" w:history="1">
        <w:r w:rsidR="00FE39AE" w:rsidRPr="00E753B1">
          <w:rPr>
            <w:rFonts w:ascii="Book Antiqua" w:eastAsia="Book Antiqua" w:hAnsi="Book Antiqua" w:cs="Book Antiqua"/>
            <w:color w:val="000000"/>
            <w:vertAlign w:val="superscript"/>
          </w:rPr>
          <w:t>[64]</w:t>
        </w:r>
      </w:hyperlink>
      <w:r w:rsidRPr="00E753B1">
        <w:rPr>
          <w:rFonts w:ascii="Book Antiqua" w:eastAsia="Book Antiqua" w:hAnsi="Book Antiqua" w:cs="Book Antiqua"/>
          <w:color w:val="000000"/>
        </w:rPr>
        <w:t xml:space="preserve"> published the results of a prospective study assessing the safety and efficacy of revaccination in 122 multiple myeloma patients on maintenance dose Lenalidomide post autologous hematopoietic stem cell transplant. The efficacy of revaccination was determined by comparing pre-and post-vaccination antibody titers. Their data suggested absolute safety and 40% efficacy in those receiving the Hepatitis B vaccine (Twinrix, GlaxoSmithKline, London)</w:t>
      </w:r>
      <w:hyperlink r:id="rId71" w:history="1">
        <w:r w:rsidRPr="00E753B1">
          <w:rPr>
            <w:rFonts w:ascii="Book Antiqua" w:eastAsia="Book Antiqua" w:hAnsi="Book Antiqua" w:cs="Book Antiqua"/>
            <w:color w:val="000000"/>
            <w:vertAlign w:val="superscript"/>
          </w:rPr>
          <w:t>[64]</w:t>
        </w:r>
      </w:hyperlink>
      <w:r w:rsidRPr="00E753B1">
        <w:rPr>
          <w:rFonts w:ascii="Book Antiqua" w:eastAsia="Book Antiqua" w:hAnsi="Book Antiqua" w:cs="Book Antiqua"/>
          <w:color w:val="000000"/>
        </w:rPr>
        <w:t>.</w:t>
      </w:r>
    </w:p>
    <w:p w14:paraId="1A48D3BE" w14:textId="2FBF9AFB"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Surprisingly, the development of HBV reactivation following </w:t>
      </w:r>
      <w:r w:rsidR="00FE39AE" w:rsidRPr="00E753B1">
        <w:rPr>
          <w:rFonts w:ascii="Book Antiqua" w:eastAsia="Arial" w:hAnsi="Book Antiqua" w:cs="Arial"/>
        </w:rPr>
        <w:t>hematopoietic stem cell transplant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HSCT</w:t>
      </w:r>
      <w:r w:rsidR="00FE39AE" w:rsidRPr="00E753B1">
        <w:rPr>
          <w:rFonts w:ascii="Book Antiqua" w:eastAsia="Book Antiqua" w:hAnsi="Book Antiqua" w:cs="Book Antiqua"/>
          <w:color w:val="000000"/>
        </w:rPr>
        <w:t>)</w:t>
      </w:r>
      <w:r w:rsidRPr="00E753B1">
        <w:rPr>
          <w:rFonts w:ascii="Book Antiqua" w:eastAsia="Book Antiqua" w:hAnsi="Book Antiqua" w:cs="Book Antiqua"/>
          <w:color w:val="000000"/>
        </w:rPr>
        <w:t xml:space="preserve"> can occur despite successful revaccination and maintenance of serum anti-HBs at more than protective levels. Nishikawa </w:t>
      </w:r>
      <w:r w:rsidRPr="00E753B1">
        <w:rPr>
          <w:rFonts w:ascii="Book Antiqua" w:eastAsia="Book Antiqua" w:hAnsi="Book Antiqua" w:cs="Book Antiqua"/>
          <w:i/>
          <w:iCs/>
          <w:color w:val="000000"/>
        </w:rPr>
        <w:t>et al</w:t>
      </w:r>
      <w:hyperlink r:id="rId72" w:history="1">
        <w:r w:rsidR="00FE39AE" w:rsidRPr="00E753B1">
          <w:rPr>
            <w:rFonts w:ascii="Book Antiqua" w:eastAsia="Book Antiqua" w:hAnsi="Book Antiqua" w:cs="Book Antiqua"/>
            <w:color w:val="000000"/>
            <w:vertAlign w:val="superscript"/>
          </w:rPr>
          <w:t>[65]</w:t>
        </w:r>
      </w:hyperlink>
      <w:r w:rsidRPr="00E753B1">
        <w:rPr>
          <w:rFonts w:ascii="Book Antiqua" w:eastAsia="Book Antiqua" w:hAnsi="Book Antiqua" w:cs="Book Antiqua"/>
          <w:color w:val="000000"/>
        </w:rPr>
        <w:t xml:space="preserve"> in 2020, </w:t>
      </w:r>
      <w:r w:rsidR="00F12A3F" w:rsidRPr="00E753B1">
        <w:rPr>
          <w:rFonts w:ascii="Book Antiqua" w:eastAsia="Book Antiqua" w:hAnsi="Book Antiqua" w:cs="Book Antiqua"/>
          <w:color w:val="000000"/>
        </w:rPr>
        <w:t xml:space="preserve">published </w:t>
      </w:r>
      <w:r w:rsidRPr="00E753B1">
        <w:rPr>
          <w:rFonts w:ascii="Book Antiqua" w:eastAsia="Book Antiqua" w:hAnsi="Book Antiqua" w:cs="Book Antiqua"/>
          <w:color w:val="000000"/>
        </w:rPr>
        <w:t xml:space="preserve">their results from a prospective trial studying vaccination to prevent </w:t>
      </w:r>
      <w:r w:rsidR="00D43CC1" w:rsidRPr="00E753B1">
        <w:rPr>
          <w:rFonts w:ascii="Book Antiqua" w:eastAsia="Book Antiqua" w:hAnsi="Book Antiqua" w:cs="Book Antiqua"/>
          <w:color w:val="000000"/>
        </w:rPr>
        <w:t>HBV</w:t>
      </w:r>
      <w:r w:rsidRPr="00E753B1">
        <w:rPr>
          <w:rFonts w:ascii="Book Antiqua" w:eastAsia="Book Antiqua" w:hAnsi="Book Antiqua" w:cs="Book Antiqua"/>
          <w:color w:val="000000"/>
        </w:rPr>
        <w:t xml:space="preserve"> reactivation after hematopoietic stem cell transplantation</w:t>
      </w:r>
      <w:hyperlink r:id="rId73" w:history="1">
        <w:r w:rsidRPr="00E753B1">
          <w:rPr>
            <w:rFonts w:ascii="Book Antiqua" w:eastAsia="Book Antiqua" w:hAnsi="Book Antiqua" w:cs="Book Antiqua"/>
            <w:color w:val="000000"/>
            <w:vertAlign w:val="superscript"/>
          </w:rPr>
          <w:t>[65]</w:t>
        </w:r>
      </w:hyperlink>
      <w:r w:rsidRPr="00E753B1">
        <w:rPr>
          <w:rFonts w:ascii="Book Antiqua" w:eastAsia="Book Antiqua" w:hAnsi="Book Antiqua" w:cs="Book Antiqua"/>
          <w:color w:val="000000"/>
        </w:rPr>
        <w:t>.</w:t>
      </w:r>
      <w:r w:rsidRPr="00E753B1">
        <w:rPr>
          <w:rFonts w:ascii="Book Antiqua" w:eastAsia="Book Antiqua" w:hAnsi="Book Antiqua" w:cs="Book Antiqua"/>
          <w:color w:val="000000"/>
          <w:vertAlign w:val="superscript"/>
        </w:rPr>
        <w:t xml:space="preserve"> </w:t>
      </w:r>
      <w:r w:rsidRPr="00E753B1">
        <w:rPr>
          <w:rFonts w:ascii="Book Antiqua" w:eastAsia="Book Antiqua" w:hAnsi="Book Antiqua" w:cs="Book Antiqua"/>
          <w:color w:val="000000"/>
        </w:rPr>
        <w:t>The authors showed that of the 27 patients vaccinated 12 mo after HSCT and monitored for two years, six showed HBV reactivation, with a 2-year cumulative reactivation incidence of 22.2%. Factors associated with HBV reactivation included the discontinuation of immunosuppressants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0.0379) and baseline titers of anti-HBs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0.004)</w:t>
      </w:r>
      <w:hyperlink r:id="rId74" w:history="1">
        <w:r w:rsidRPr="00E753B1">
          <w:rPr>
            <w:rFonts w:ascii="Book Antiqua" w:eastAsia="Book Antiqua" w:hAnsi="Book Antiqua" w:cs="Book Antiqua"/>
            <w:color w:val="000000"/>
            <w:vertAlign w:val="superscript"/>
          </w:rPr>
          <w:t>[65]</w:t>
        </w:r>
      </w:hyperlink>
      <w:r w:rsidRPr="00E753B1">
        <w:rPr>
          <w:rFonts w:ascii="Book Antiqua" w:eastAsia="Book Antiqua" w:hAnsi="Book Antiqua" w:cs="Book Antiqua"/>
          <w:color w:val="000000"/>
        </w:rPr>
        <w:t>. Nucleic acid-based vaccine for HBV prevention is a novel approach but yet to show effectiveness in generating a sustained immune response in clinical trials</w:t>
      </w:r>
      <w:hyperlink r:id="rId75" w:history="1">
        <w:r w:rsidRPr="00E753B1">
          <w:rPr>
            <w:rFonts w:ascii="Book Antiqua" w:eastAsia="Book Antiqua" w:hAnsi="Book Antiqua" w:cs="Book Antiqua"/>
            <w:color w:val="000000"/>
            <w:vertAlign w:val="superscript"/>
          </w:rPr>
          <w:t>[66]</w:t>
        </w:r>
      </w:hyperlink>
      <w:r w:rsidR="0083057D" w:rsidRPr="00E753B1">
        <w:rPr>
          <w:rFonts w:ascii="Book Antiqua" w:eastAsia="Book Antiqua" w:hAnsi="Book Antiqua" w:cs="Book Antiqua"/>
          <w:color w:val="000000"/>
          <w:vertAlign w:val="superscript"/>
        </w:rPr>
        <w:t xml:space="preserve"> </w:t>
      </w:r>
      <w:r w:rsidR="0083057D" w:rsidRPr="00E753B1">
        <w:rPr>
          <w:rFonts w:ascii="Book Antiqua" w:eastAsia="Book Antiqua" w:hAnsi="Book Antiqua" w:cs="Book Antiqua"/>
          <w:color w:val="000000"/>
        </w:rPr>
        <w:t>(Table 2)</w:t>
      </w:r>
      <w:r w:rsidRPr="00E753B1">
        <w:rPr>
          <w:rFonts w:ascii="Book Antiqua" w:eastAsia="Book Antiqua" w:hAnsi="Book Antiqua" w:cs="Book Antiqua"/>
          <w:color w:val="000000"/>
        </w:rPr>
        <w:t>.</w:t>
      </w:r>
    </w:p>
    <w:p w14:paraId="76EFD3F2" w14:textId="77777777" w:rsidR="00A77B3E" w:rsidRPr="00E753B1" w:rsidRDefault="00A77B3E" w:rsidP="00501A87">
      <w:pPr>
        <w:spacing w:line="360" w:lineRule="auto"/>
        <w:jc w:val="both"/>
        <w:rPr>
          <w:rFonts w:ascii="Book Antiqua" w:hAnsi="Book Antiqua"/>
        </w:rPr>
      </w:pPr>
    </w:p>
    <w:p w14:paraId="69A2E665" w14:textId="2B14B1CB" w:rsidR="00A77B3E" w:rsidRPr="00501A87" w:rsidRDefault="008067B5" w:rsidP="00501A87">
      <w:pPr>
        <w:spacing w:line="360" w:lineRule="auto"/>
        <w:jc w:val="both"/>
        <w:rPr>
          <w:rFonts w:ascii="Book Antiqua" w:hAnsi="Book Antiqua"/>
        </w:rPr>
      </w:pPr>
      <w:r w:rsidRPr="00AC3EAA">
        <w:rPr>
          <w:rFonts w:ascii="Book Antiqua" w:eastAsia="Book Antiqua" w:hAnsi="Book Antiqua" w:cs="Book Antiqua"/>
          <w:b/>
          <w:bCs/>
          <w:color w:val="000000"/>
          <w:u w:val="single"/>
        </w:rPr>
        <w:t>HEPATITIS B TREATMENT</w:t>
      </w:r>
      <w:r w:rsidRPr="00501A87">
        <w:rPr>
          <w:rFonts w:ascii="Book Antiqua" w:eastAsia="Book Antiqua" w:hAnsi="Book Antiqua" w:cs="Book Antiqua"/>
          <w:color w:val="000000"/>
        </w:rPr>
        <w:t xml:space="preserve"> </w:t>
      </w:r>
    </w:p>
    <w:p w14:paraId="296D97B8" w14:textId="00CD3639"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i/>
          <w:iCs/>
          <w:color w:val="000000"/>
        </w:rPr>
        <w:t>Per</w:t>
      </w:r>
      <w:r w:rsidRPr="00E753B1">
        <w:rPr>
          <w:rFonts w:ascii="Book Antiqua" w:eastAsia="Book Antiqua" w:hAnsi="Book Antiqua" w:cs="Book Antiqua"/>
          <w:color w:val="000000"/>
        </w:rPr>
        <w:t xml:space="preserve"> the 2018 updates to the AASLD guidelines, patients with CHB (Persistence of HBsAg &gt; six months) should be considered for treatment if the ALT &gt;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 ULN and patients are HBeAg positive with HBV DNA &gt;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20000 or HBeAg Negative with HBV DNA &gt;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 xml:space="preserve">2000. Approved therapies are limited to single-drug regimens, including Nucleoside/Nucleotide reverse transcriptase inhibitors and pegylated Interferon (PEG-IFN). Approved regimens are divided into preferred </w:t>
      </w:r>
      <w:r w:rsidR="006313B7" w:rsidRPr="00E753B1">
        <w:rPr>
          <w:rFonts w:ascii="Book Antiqua" w:eastAsia="Book Antiqua" w:hAnsi="Book Antiqua" w:cs="Book Antiqua"/>
          <w:color w:val="000000"/>
        </w:rPr>
        <w:t>[</w:t>
      </w:r>
      <w:r w:rsidRPr="00E753B1">
        <w:rPr>
          <w:rFonts w:ascii="Book Antiqua" w:eastAsia="Book Antiqua" w:hAnsi="Book Antiqua" w:cs="Book Antiqua"/>
          <w:color w:val="000000"/>
        </w:rPr>
        <w:t>PEG-IFN, Entecavir</w:t>
      </w:r>
      <w:r w:rsidR="006313B7" w:rsidRPr="00E753B1">
        <w:rPr>
          <w:rFonts w:ascii="Book Antiqua" w:eastAsia="Book Antiqua" w:hAnsi="Book Antiqua" w:cs="Book Antiqua"/>
          <w:color w:val="000000"/>
        </w:rPr>
        <w:t xml:space="preserve"> (ETV)</w:t>
      </w:r>
      <w:r w:rsidRPr="00E753B1">
        <w:rPr>
          <w:rFonts w:ascii="Book Antiqua" w:eastAsia="Book Antiqua" w:hAnsi="Book Antiqua" w:cs="Book Antiqua"/>
          <w:color w:val="000000"/>
        </w:rPr>
        <w:t xml:space="preserve">, </w:t>
      </w:r>
      <w:r w:rsidR="006313B7" w:rsidRPr="00E753B1">
        <w:rPr>
          <w:rFonts w:ascii="Book Antiqua" w:eastAsia="Book Antiqua" w:hAnsi="Book Antiqua" w:cs="Book Antiqua"/>
          <w:color w:val="000000"/>
        </w:rPr>
        <w:t>t</w:t>
      </w:r>
      <w:r w:rsidRPr="00E753B1">
        <w:rPr>
          <w:rFonts w:ascii="Book Antiqua" w:eastAsia="Book Antiqua" w:hAnsi="Book Antiqua" w:cs="Book Antiqua"/>
          <w:color w:val="000000"/>
        </w:rPr>
        <w:t xml:space="preserve">enofovir fumarate, and </w:t>
      </w:r>
      <w:r w:rsidR="006313B7" w:rsidRPr="00E753B1">
        <w:rPr>
          <w:rFonts w:ascii="Book Antiqua" w:eastAsia="Book Antiqua" w:hAnsi="Book Antiqua" w:cs="Book Antiqua"/>
          <w:color w:val="000000"/>
        </w:rPr>
        <w:t>tenofovir alafenamide (TAF)]</w:t>
      </w:r>
      <w:r w:rsidRPr="00E753B1">
        <w:rPr>
          <w:rFonts w:ascii="Book Antiqua" w:eastAsia="Book Antiqua" w:hAnsi="Book Antiqua" w:cs="Book Antiqua"/>
          <w:color w:val="000000"/>
        </w:rPr>
        <w:t xml:space="preserve"> and Non-Preferred (Lamivudine, Adefovir, Telbuvidine)</w:t>
      </w:r>
      <w:hyperlink r:id="rId76" w:history="1">
        <w:r w:rsidRPr="00E753B1">
          <w:rPr>
            <w:rFonts w:ascii="Book Antiqua" w:eastAsia="Book Antiqua" w:hAnsi="Book Antiqua" w:cs="Book Antiqua"/>
            <w:color w:val="000000"/>
            <w:vertAlign w:val="superscript"/>
          </w:rPr>
          <w:t>[10]</w:t>
        </w:r>
      </w:hyperlink>
      <w:r w:rsidRPr="00E753B1">
        <w:rPr>
          <w:rFonts w:ascii="Book Antiqua" w:eastAsia="Book Antiqua" w:hAnsi="Book Antiqua" w:cs="Book Antiqua"/>
          <w:color w:val="000000"/>
        </w:rPr>
        <w:t xml:space="preserve">. </w:t>
      </w:r>
    </w:p>
    <w:p w14:paraId="0FFD866A" w14:textId="77777777"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Multiple recently published studies support the recommendations in demonstrating the safety and efficacy of IFN and Tenofovir over the non-preferred drugs.</w:t>
      </w:r>
    </w:p>
    <w:p w14:paraId="6916108A" w14:textId="2757E6CB"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Chuang </w:t>
      </w:r>
      <w:r w:rsidRPr="00E753B1">
        <w:rPr>
          <w:rFonts w:ascii="Book Antiqua" w:eastAsia="Book Antiqua" w:hAnsi="Book Antiqua" w:cs="Book Antiqua"/>
          <w:i/>
          <w:iCs/>
          <w:color w:val="000000"/>
        </w:rPr>
        <w:t>et al</w:t>
      </w:r>
      <w:hyperlink r:id="rId77" w:history="1">
        <w:r w:rsidR="00FE39AE" w:rsidRPr="00E753B1">
          <w:rPr>
            <w:rFonts w:ascii="Book Antiqua" w:eastAsia="Book Antiqua" w:hAnsi="Book Antiqua" w:cs="Book Antiqua"/>
            <w:color w:val="000000"/>
            <w:vertAlign w:val="superscript"/>
          </w:rPr>
          <w:t>[67]</w:t>
        </w:r>
      </w:hyperlink>
      <w:r w:rsidRPr="00E753B1">
        <w:rPr>
          <w:rFonts w:ascii="Book Antiqua" w:eastAsia="Book Antiqua" w:hAnsi="Book Antiqua" w:cs="Book Antiqua"/>
          <w:color w:val="000000"/>
        </w:rPr>
        <w:t xml:space="preserve"> demonstrated sustained HBeAg seroconversion rates of 67.1%, five years after completion of the NEPTUNE trial, with a PEG-IFN dose of 180</w:t>
      </w:r>
      <w:r w:rsidR="00FE39AE" w:rsidRPr="00E753B1">
        <w:rPr>
          <w:rFonts w:ascii="Book Antiqua" w:eastAsia="Book Antiqua" w:hAnsi="Book Antiqua" w:cs="Book Antiqua"/>
          <w:color w:val="000000"/>
        </w:rPr>
        <w:t xml:space="preserve"> </w:t>
      </w:r>
      <w:r w:rsidR="003C0397" w:rsidRPr="00E753B1">
        <w:rPr>
          <w:rFonts w:ascii="Book Antiqua" w:eastAsia="Book Antiqua" w:hAnsi="Book Antiqua" w:cs="Book Antiqua"/>
          <w:color w:val="000000"/>
        </w:rPr>
        <w:t>μ</w:t>
      </w:r>
      <w:r w:rsidRPr="00E753B1">
        <w:rPr>
          <w:rFonts w:ascii="Book Antiqua" w:eastAsia="Book Antiqua" w:hAnsi="Book Antiqua" w:cs="Book Antiqua"/>
          <w:color w:val="000000"/>
        </w:rPr>
        <w:t>g/wk for 48 wk suggesting that the licensed regimen (180 μg × 48 wk) is more efficacious for HBeAg-positive patients than a lower dose and/or shorter treatment duration</w:t>
      </w:r>
      <w:hyperlink r:id="rId78" w:history="1">
        <w:r w:rsidRPr="00E753B1">
          <w:rPr>
            <w:rFonts w:ascii="Book Antiqua" w:eastAsia="Book Antiqua" w:hAnsi="Book Antiqua" w:cs="Book Antiqua"/>
            <w:color w:val="000000"/>
            <w:vertAlign w:val="superscript"/>
          </w:rPr>
          <w:t>[67]</w:t>
        </w:r>
      </w:hyperlink>
      <w:r w:rsidRPr="00E753B1">
        <w:rPr>
          <w:rFonts w:ascii="Book Antiqua" w:eastAsia="Book Antiqua" w:hAnsi="Book Antiqua" w:cs="Book Antiqua"/>
          <w:color w:val="000000"/>
        </w:rPr>
        <w:t xml:space="preserve">. A 96-week HBV viral suppression for patients treated with both TAF, a prodrug of </w:t>
      </w:r>
      <w:r w:rsidR="006313B7" w:rsidRPr="00E753B1">
        <w:rPr>
          <w:rFonts w:ascii="Book Antiqua" w:eastAsia="Book Antiqua" w:hAnsi="Book Antiqua" w:cs="Book Antiqua"/>
          <w:color w:val="000000"/>
        </w:rPr>
        <w:t>t</w:t>
      </w:r>
      <w:r w:rsidRPr="00E753B1">
        <w:rPr>
          <w:rFonts w:ascii="Book Antiqua" w:eastAsia="Book Antiqua" w:hAnsi="Book Antiqua" w:cs="Book Antiqua"/>
          <w:color w:val="000000"/>
        </w:rPr>
        <w:t xml:space="preserve">enofovir disoproxil fumarate (TDF), and TDF, were comparable at 73%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75% and 90% and 91%, for HBeAg positive and HBeAg negative patients respectively</w:t>
      </w:r>
      <w:hyperlink r:id="rId79" w:history="1">
        <w:r w:rsidRPr="00E753B1">
          <w:rPr>
            <w:rFonts w:ascii="Book Antiqua" w:eastAsia="Book Antiqua" w:hAnsi="Book Antiqua" w:cs="Book Antiqua"/>
            <w:color w:val="000000"/>
            <w:vertAlign w:val="superscript"/>
          </w:rPr>
          <w:t>[68]</w:t>
        </w:r>
      </w:hyperlink>
      <w:r w:rsidRPr="00E753B1">
        <w:rPr>
          <w:rFonts w:ascii="Book Antiqua" w:eastAsia="Book Antiqua" w:hAnsi="Book Antiqua" w:cs="Book Antiqua"/>
          <w:color w:val="000000"/>
        </w:rPr>
        <w:t xml:space="preserve">. A prospective </w:t>
      </w:r>
      <w:r w:rsidR="006313B7" w:rsidRPr="00E753B1">
        <w:rPr>
          <w:rFonts w:ascii="Book Antiqua" w:eastAsia="Book Antiqua" w:hAnsi="Book Antiqua" w:cs="Book Antiqua"/>
          <w:color w:val="000000"/>
        </w:rPr>
        <w:t>randomized controlled trial (RCT)</w:t>
      </w:r>
      <w:r w:rsidRPr="00E753B1">
        <w:rPr>
          <w:rFonts w:ascii="Book Antiqua" w:eastAsia="Book Antiqua" w:hAnsi="Book Antiqua" w:cs="Book Antiqua"/>
          <w:color w:val="000000"/>
        </w:rPr>
        <w:t xml:space="preserve"> by Yim </w:t>
      </w:r>
      <w:r w:rsidRPr="00E753B1">
        <w:rPr>
          <w:rFonts w:ascii="Book Antiqua" w:eastAsia="Book Antiqua" w:hAnsi="Book Antiqua" w:cs="Book Antiqua"/>
          <w:i/>
          <w:iCs/>
          <w:color w:val="000000"/>
        </w:rPr>
        <w:t>et al</w:t>
      </w:r>
      <w:hyperlink r:id="rId80" w:history="1">
        <w:r w:rsidR="006313B7" w:rsidRPr="00E753B1">
          <w:rPr>
            <w:rFonts w:ascii="Book Antiqua" w:eastAsia="Book Antiqua" w:hAnsi="Book Antiqua" w:cs="Book Antiqua"/>
            <w:color w:val="000000"/>
            <w:vertAlign w:val="superscript"/>
          </w:rPr>
          <w:t>[69]</w:t>
        </w:r>
      </w:hyperlink>
      <w:r w:rsidRPr="00E753B1">
        <w:rPr>
          <w:rFonts w:ascii="Book Antiqua" w:eastAsia="Book Antiqua" w:hAnsi="Book Antiqua" w:cs="Book Antiqua"/>
          <w:color w:val="000000"/>
        </w:rPr>
        <w:t xml:space="preserve"> studying partial responders to ETV (defined by detectable HBV DNA &gt; 60 IU/mL), continuing ETV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switching to TDF, revealed a statistically significant 12-mo HBV virological response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0.022) in the subgroup that was switched to TDF</w:t>
      </w:r>
      <w:hyperlink r:id="rId81" w:history="1">
        <w:r w:rsidRPr="00E753B1">
          <w:rPr>
            <w:rFonts w:ascii="Book Antiqua" w:eastAsia="Book Antiqua" w:hAnsi="Book Antiqua" w:cs="Book Antiqua"/>
            <w:color w:val="000000"/>
            <w:vertAlign w:val="superscript"/>
          </w:rPr>
          <w:t>[69]</w:t>
        </w:r>
      </w:hyperlink>
      <w:r w:rsidRPr="00E753B1">
        <w:rPr>
          <w:rFonts w:ascii="Book Antiqua" w:eastAsia="Book Antiqua" w:hAnsi="Book Antiqua" w:cs="Book Antiqua"/>
          <w:color w:val="000000"/>
        </w:rPr>
        <w:t xml:space="preserve">. In another prospective trial, stable switching to TDF monotherapy yielded non-inferior results at 96 wk compared to Lamivudine + Adefovir combination therapy in patients with Lamivudine resistant </w:t>
      </w:r>
      <w:r w:rsidR="00D43CC1" w:rsidRPr="00E753B1">
        <w:rPr>
          <w:rFonts w:ascii="Book Antiqua" w:eastAsia="Book Antiqua" w:hAnsi="Book Antiqua" w:cs="Book Antiqua"/>
          <w:color w:val="000000"/>
        </w:rPr>
        <w:t>CHB</w:t>
      </w:r>
      <w:r w:rsidRPr="00E753B1">
        <w:rPr>
          <w:rFonts w:ascii="Book Antiqua" w:eastAsia="Book Antiqua" w:hAnsi="Book Antiqua" w:cs="Book Antiqua"/>
          <w:color w:val="000000"/>
        </w:rPr>
        <w:t xml:space="preserve"> and non-detectable HBV DNA</w:t>
      </w:r>
      <w:hyperlink r:id="rId82" w:history="1">
        <w:r w:rsidRPr="00E753B1">
          <w:rPr>
            <w:rFonts w:ascii="Book Antiqua" w:eastAsia="Book Antiqua" w:hAnsi="Book Antiqua" w:cs="Book Antiqua"/>
            <w:color w:val="000000"/>
            <w:vertAlign w:val="superscript"/>
          </w:rPr>
          <w:t>[70]</w:t>
        </w:r>
      </w:hyperlink>
      <w:r w:rsidRPr="00E753B1">
        <w:rPr>
          <w:rFonts w:ascii="Book Antiqua" w:eastAsia="Book Antiqua" w:hAnsi="Book Antiqua" w:cs="Book Antiqua"/>
          <w:color w:val="000000"/>
        </w:rPr>
        <w:t xml:space="preserve">. Marcellin </w:t>
      </w:r>
      <w:r w:rsidRPr="00E753B1">
        <w:rPr>
          <w:rFonts w:ascii="Book Antiqua" w:eastAsia="Book Antiqua" w:hAnsi="Book Antiqua" w:cs="Book Antiqua"/>
          <w:i/>
          <w:iCs/>
          <w:color w:val="000000"/>
        </w:rPr>
        <w:t>et al</w:t>
      </w:r>
      <w:hyperlink r:id="rId83" w:history="1">
        <w:r w:rsidR="006313B7" w:rsidRPr="00E753B1">
          <w:rPr>
            <w:rFonts w:ascii="Book Antiqua" w:eastAsia="Book Antiqua" w:hAnsi="Book Antiqua" w:cs="Book Antiqua"/>
            <w:color w:val="000000"/>
            <w:vertAlign w:val="superscript"/>
          </w:rPr>
          <w:t>[71]</w:t>
        </w:r>
      </w:hyperlink>
      <w:r w:rsidRPr="00E753B1">
        <w:rPr>
          <w:rFonts w:ascii="Book Antiqua" w:eastAsia="Book Antiqua" w:hAnsi="Book Antiqua" w:cs="Book Antiqua"/>
          <w:color w:val="000000"/>
        </w:rPr>
        <w:t xml:space="preserve"> published a 10-year efficacy (HBV suppression in 100% of HBeAg-negative and 98% in HBeAg positive patients) and safety data (few renal or bone-related adverse events, with no resistance) with tenofovir fumarate treatment for CHB virus infection in 585 patients (203 completed the 10-year study)</w:t>
      </w:r>
      <w:hyperlink r:id="rId84" w:history="1">
        <w:r w:rsidRPr="00E753B1">
          <w:rPr>
            <w:rFonts w:ascii="Book Antiqua" w:eastAsia="Book Antiqua" w:hAnsi="Book Antiqua" w:cs="Book Antiqua"/>
            <w:color w:val="000000"/>
            <w:vertAlign w:val="superscript"/>
          </w:rPr>
          <w:t>[71]</w:t>
        </w:r>
      </w:hyperlink>
      <w:r w:rsidRPr="00E753B1">
        <w:rPr>
          <w:rFonts w:ascii="Book Antiqua" w:eastAsia="Book Antiqua" w:hAnsi="Book Antiqua" w:cs="Book Antiqua"/>
          <w:color w:val="000000"/>
        </w:rPr>
        <w:t xml:space="preserve">. A large, multicenter RCT, published in January 2019, including 320 treatment Naïve HBeAg positive patients showed that after long term treatment (144 wk), both tenofovir fumarate and </w:t>
      </w:r>
      <w:r w:rsidR="006313B7" w:rsidRPr="00E753B1">
        <w:rPr>
          <w:rFonts w:ascii="Book Antiqua" w:eastAsia="Book Antiqua" w:hAnsi="Book Antiqua" w:cs="Book Antiqua"/>
          <w:color w:val="000000"/>
        </w:rPr>
        <w:t>ETV</w:t>
      </w:r>
      <w:r w:rsidRPr="00E753B1">
        <w:rPr>
          <w:rFonts w:ascii="Book Antiqua" w:eastAsia="Book Antiqua" w:hAnsi="Book Antiqua" w:cs="Book Antiqua"/>
          <w:color w:val="000000"/>
        </w:rPr>
        <w:t xml:space="preserve"> suppressed HBV DNA similarly (ETV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TDF; -6.6485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-6.692 </w:t>
      </w:r>
      <w:r w:rsidR="006313B7" w:rsidRPr="00E753B1">
        <w:rPr>
          <w:rFonts w:ascii="Book Antiqua" w:eastAsia="Book Antiqua" w:hAnsi="Book Antiqua" w:cs="Book Antiqua"/>
          <w:color w:val="000000"/>
        </w:rPr>
        <w:t>l</w:t>
      </w:r>
      <w:r w:rsidRPr="00E753B1">
        <w:rPr>
          <w:rFonts w:ascii="Book Antiqua" w:eastAsia="Book Antiqua" w:hAnsi="Book Antiqua" w:cs="Book Antiqua"/>
          <w:color w:val="000000"/>
        </w:rPr>
        <w:t>og 10 IU/</w:t>
      </w:r>
      <w:r w:rsidR="006313B7" w:rsidRPr="00E753B1">
        <w:rPr>
          <w:rFonts w:ascii="Book Antiqua" w:eastAsia="Book Antiqua" w:hAnsi="Book Antiqua" w:cs="Book Antiqua"/>
          <w:color w:val="000000"/>
        </w:rPr>
        <w:t>mL</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0.807) and had similar serologic, biochemical, and side-effect profiles</w:t>
      </w:r>
      <w:hyperlink r:id="rId85" w:history="1">
        <w:r w:rsidRPr="00E753B1">
          <w:rPr>
            <w:rFonts w:ascii="Book Antiqua" w:eastAsia="Book Antiqua" w:hAnsi="Book Antiqua" w:cs="Book Antiqua"/>
            <w:color w:val="000000"/>
            <w:vertAlign w:val="superscript"/>
          </w:rPr>
          <w:t>[72]</w:t>
        </w:r>
      </w:hyperlink>
      <w:r w:rsidRPr="00E753B1">
        <w:rPr>
          <w:rFonts w:ascii="Book Antiqua" w:eastAsia="Book Antiqua" w:hAnsi="Book Antiqua" w:cs="Book Antiqua"/>
          <w:color w:val="000000"/>
        </w:rPr>
        <w:t xml:space="preserve">. Recent encouraging data from a 104-wk prospective study on treatment of naïve HBeAg positive patients treated with </w:t>
      </w:r>
      <w:r w:rsidR="006313B7" w:rsidRPr="00E753B1">
        <w:rPr>
          <w:rFonts w:ascii="Book Antiqua" w:eastAsia="Book Antiqua" w:hAnsi="Book Antiqua" w:cs="Book Antiqua"/>
          <w:color w:val="000000"/>
        </w:rPr>
        <w:t>t</w:t>
      </w:r>
      <w:r w:rsidRPr="00E753B1">
        <w:rPr>
          <w:rFonts w:ascii="Book Antiqua" w:eastAsia="Book Antiqua" w:hAnsi="Book Antiqua" w:cs="Book Antiqua"/>
          <w:color w:val="000000"/>
        </w:rPr>
        <w:t>elbivudine-based therapy shows a reduction in liver stiffness (monitored by Fibroscan©), from 8.6 at baseline to 6.1 at week 24, and 5.3 at week 104</w:t>
      </w:r>
      <w:hyperlink r:id="rId86" w:history="1">
        <w:r w:rsidRPr="00E753B1">
          <w:rPr>
            <w:rFonts w:ascii="Book Antiqua" w:eastAsia="Book Antiqua" w:hAnsi="Book Antiqua" w:cs="Book Antiqua"/>
            <w:color w:val="000000"/>
            <w:vertAlign w:val="superscript"/>
          </w:rPr>
          <w:t>[73]</w:t>
        </w:r>
      </w:hyperlink>
      <w:r w:rsidRPr="00E753B1">
        <w:rPr>
          <w:rFonts w:ascii="Book Antiqua" w:eastAsia="Book Antiqua" w:hAnsi="Book Antiqua" w:cs="Book Antiqua"/>
          <w:color w:val="000000"/>
        </w:rPr>
        <w:t>.</w:t>
      </w:r>
    </w:p>
    <w:p w14:paraId="0E857E57" w14:textId="723DC5B8" w:rsidR="00A77B3E" w:rsidRPr="00E753B1" w:rsidRDefault="008067B5" w:rsidP="006313B7">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Despite the efficacy and safety of current regimens in achieving viral suppression, reactivation is, unfortunately, the norm after treatment cessation due to the persistence of cccDNA</w:t>
      </w:r>
      <w:hyperlink r:id="rId87" w:history="1">
        <w:r w:rsidRPr="00E753B1">
          <w:rPr>
            <w:rFonts w:ascii="Book Antiqua" w:eastAsia="Book Antiqua" w:hAnsi="Book Antiqua" w:cs="Book Antiqua"/>
            <w:color w:val="000000"/>
            <w:vertAlign w:val="superscript"/>
          </w:rPr>
          <w:t>[74]</w:t>
        </w:r>
      </w:hyperlink>
      <w:r w:rsidRPr="00E753B1">
        <w:rPr>
          <w:rFonts w:ascii="Book Antiqua" w:eastAsia="Book Antiqua" w:hAnsi="Book Antiqua" w:cs="Book Antiqua"/>
          <w:color w:val="000000"/>
        </w:rPr>
        <w:t>. Recent studies further highlight this serious shortcoming.</w:t>
      </w:r>
    </w:p>
    <w:p w14:paraId="3B143C66" w14:textId="09AF7C61" w:rsidR="00A77B3E" w:rsidRPr="00E753B1" w:rsidRDefault="008067B5" w:rsidP="006313B7">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Toronto STOP study evaluated 67 HBV patients who achieved HBeAg seroconversion and undetectable HBV DNA after treatment with a NA. Patients were then randomly selected to discontinue. Sustained virological remission was maintained in only 29% of patients who stopped the treatment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82% of patients who continued NA</w:t>
      </w:r>
      <w:hyperlink r:id="rId88" w:history="1">
        <w:r w:rsidRPr="00E753B1">
          <w:rPr>
            <w:rFonts w:ascii="Book Antiqua" w:eastAsia="Book Antiqua" w:hAnsi="Book Antiqua" w:cs="Book Antiqua"/>
            <w:color w:val="000000"/>
            <w:vertAlign w:val="superscript"/>
          </w:rPr>
          <w:t>[75]</w:t>
        </w:r>
      </w:hyperlink>
      <w:r w:rsidRPr="00E753B1">
        <w:rPr>
          <w:rFonts w:ascii="Book Antiqua" w:eastAsia="Book Antiqua" w:hAnsi="Book Antiqua" w:cs="Book Antiqua"/>
          <w:color w:val="000000"/>
        </w:rPr>
        <w:t xml:space="preserve">. Buti </w:t>
      </w:r>
      <w:r w:rsidRPr="00E753B1">
        <w:rPr>
          <w:rFonts w:ascii="Book Antiqua" w:eastAsia="Book Antiqua" w:hAnsi="Book Antiqua" w:cs="Book Antiqua"/>
          <w:i/>
          <w:iCs/>
          <w:color w:val="000000"/>
        </w:rPr>
        <w:t>et al</w:t>
      </w:r>
      <w:hyperlink r:id="rId89" w:history="1">
        <w:r w:rsidR="006313B7" w:rsidRPr="00E753B1">
          <w:rPr>
            <w:rFonts w:ascii="Book Antiqua" w:eastAsia="Book Antiqua" w:hAnsi="Book Antiqua" w:cs="Book Antiqua"/>
            <w:color w:val="000000"/>
            <w:vertAlign w:val="superscript"/>
          </w:rPr>
          <w:t>[76]</w:t>
        </w:r>
      </w:hyperlink>
      <w:r w:rsidRPr="00E753B1">
        <w:rPr>
          <w:rFonts w:ascii="Book Antiqua" w:eastAsia="Book Antiqua" w:hAnsi="Book Antiqua" w:cs="Book Antiqua"/>
          <w:color w:val="000000"/>
        </w:rPr>
        <w:t xml:space="preserve"> studied the safety and efficacy of discontinuing HBV treated (with TDF) patients after eight years of therapy. At 24 wk following discontinuation of NA, almost a third of patients had grade 3 hepatotoxicity (indicated by </w:t>
      </w:r>
      <w:r w:rsidR="006313B7" w:rsidRPr="00E753B1">
        <w:rPr>
          <w:rFonts w:ascii="Book Antiqua" w:eastAsia="Arial" w:hAnsi="Book Antiqua" w:cs="Arial"/>
        </w:rPr>
        <w:t>aspartate aminotransferase</w:t>
      </w:r>
      <w:r w:rsidRPr="00E753B1">
        <w:rPr>
          <w:rFonts w:ascii="Book Antiqua" w:eastAsia="Book Antiqua" w:hAnsi="Book Antiqua" w:cs="Book Antiqua"/>
          <w:color w:val="000000"/>
        </w:rPr>
        <w:t>/ALT of &gt; 5 - &lt; 10 ULN, and total bilirubin of &gt; 3 - &lt; 10 ULN)</w:t>
      </w:r>
      <w:hyperlink r:id="rId90" w:history="1">
        <w:r w:rsidRPr="00E753B1">
          <w:rPr>
            <w:rFonts w:ascii="Book Antiqua" w:eastAsia="Book Antiqua" w:hAnsi="Book Antiqua" w:cs="Book Antiqua"/>
            <w:color w:val="000000"/>
            <w:vertAlign w:val="superscript"/>
          </w:rPr>
          <w:t>[76]</w:t>
        </w:r>
      </w:hyperlink>
      <w:r w:rsidRPr="00E753B1">
        <w:rPr>
          <w:rFonts w:ascii="Book Antiqua" w:eastAsia="Book Antiqua" w:hAnsi="Book Antiqua" w:cs="Book Antiqua"/>
          <w:color w:val="000000"/>
        </w:rPr>
        <w:t>.</w:t>
      </w:r>
    </w:p>
    <w:p w14:paraId="125DE348" w14:textId="5AE5E1EA" w:rsidR="00A77B3E" w:rsidRPr="00E753B1" w:rsidRDefault="008067B5" w:rsidP="006313B7">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another follow-up study of a phase 2 trial at two centers, Immune-tolerant patients with CHB received </w:t>
      </w:r>
      <w:r w:rsidR="006313B7" w:rsidRPr="00E753B1">
        <w:rPr>
          <w:rFonts w:ascii="Book Antiqua" w:eastAsia="Book Antiqua" w:hAnsi="Book Antiqua" w:cs="Book Antiqua"/>
          <w:color w:val="000000"/>
        </w:rPr>
        <w:t>TDF</w:t>
      </w:r>
      <w:r w:rsidRPr="00E753B1">
        <w:rPr>
          <w:rFonts w:ascii="Book Antiqua" w:eastAsia="Book Antiqua" w:hAnsi="Book Antiqua" w:cs="Book Antiqua"/>
          <w:color w:val="000000"/>
        </w:rPr>
        <w:t xml:space="preserve"> and/or Emtricitabine for four years and were followed for another four years after cessation. The authors recorded a 100% virological relapse at week 4 (HBV DNA</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&gt;</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2000) and a 50% clinical relapse (HBV DNA &gt;</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2000 and ALT &gt; 2</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ULN) at 15</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11 wk</w:t>
      </w:r>
      <w:hyperlink r:id="rId91" w:history="1">
        <w:r w:rsidRPr="00E753B1">
          <w:rPr>
            <w:rFonts w:ascii="Book Antiqua" w:eastAsia="Book Antiqua" w:hAnsi="Book Antiqua" w:cs="Book Antiqua"/>
            <w:color w:val="000000"/>
            <w:vertAlign w:val="superscript"/>
          </w:rPr>
          <w:t>[77]</w:t>
        </w:r>
      </w:hyperlink>
      <w:r w:rsidRPr="00E753B1">
        <w:rPr>
          <w:rFonts w:ascii="Book Antiqua" w:eastAsia="Book Antiqua" w:hAnsi="Book Antiqua" w:cs="Book Antiqua"/>
          <w:color w:val="000000"/>
        </w:rPr>
        <w:t>.</w:t>
      </w:r>
    </w:p>
    <w:p w14:paraId="0C2D12A0" w14:textId="77777777"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Given the limitations noted by these studies, researchers have resorted to utilizing combination regimens with IFN and NA in hopes of improving seroconversion rates while others have attempted to determine predictors of response to develop a more targeted approach. </w:t>
      </w:r>
    </w:p>
    <w:p w14:paraId="2DE01476" w14:textId="103E7530"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Liem </w:t>
      </w:r>
      <w:r w:rsidRPr="00E753B1">
        <w:rPr>
          <w:rFonts w:ascii="Book Antiqua" w:eastAsia="Book Antiqua" w:hAnsi="Book Antiqua" w:cs="Book Antiqua"/>
          <w:i/>
          <w:iCs/>
          <w:color w:val="000000"/>
        </w:rPr>
        <w:t>et al</w:t>
      </w:r>
      <w:hyperlink r:id="rId92" w:history="1">
        <w:r w:rsidR="000A678E" w:rsidRPr="00E753B1">
          <w:rPr>
            <w:rFonts w:ascii="Book Antiqua" w:eastAsia="Book Antiqua" w:hAnsi="Book Antiqua" w:cs="Book Antiqua"/>
            <w:color w:val="000000"/>
            <w:vertAlign w:val="superscript"/>
          </w:rPr>
          <w:t>[78]</w:t>
        </w:r>
      </w:hyperlink>
      <w:r w:rsidRPr="00E753B1">
        <w:rPr>
          <w:rFonts w:ascii="Book Antiqua" w:eastAsia="Book Antiqua" w:hAnsi="Book Antiqua" w:cs="Book Antiqua"/>
          <w:color w:val="000000"/>
        </w:rPr>
        <w:t xml:space="preserve">, while looking for the optimal candidates that could benefit from a combination of PEG-IFN with nucleos(t)ide, prospectively evaluated HBeAg positive HBV patients treated with ETV. Randomized addition of PEG-IFN to ETV therapy was associated with a higher 48-week response rate (response defined as HBeAg loss), with a significant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0.03, compared to ETV monotherapy</w:t>
      </w:r>
      <w:hyperlink r:id="rId93" w:history="1">
        <w:r w:rsidRPr="00E753B1">
          <w:rPr>
            <w:rFonts w:ascii="Book Antiqua" w:eastAsia="Book Antiqua" w:hAnsi="Book Antiqua" w:cs="Book Antiqua"/>
            <w:color w:val="000000"/>
            <w:vertAlign w:val="superscript"/>
          </w:rPr>
          <w:t>[78]</w:t>
        </w:r>
      </w:hyperlink>
      <w:r w:rsidRPr="00E753B1">
        <w:rPr>
          <w:rFonts w:ascii="Book Antiqua" w:eastAsia="Book Antiqua" w:hAnsi="Book Antiqua" w:cs="Book Antiqua"/>
          <w:color w:val="000000"/>
        </w:rPr>
        <w:t xml:space="preserve">. The HERMES Study Group published their results from a prospective </w:t>
      </w:r>
      <w:r w:rsidR="006313B7" w:rsidRPr="00E753B1">
        <w:rPr>
          <w:rFonts w:ascii="Book Antiqua" w:eastAsia="Book Antiqua" w:hAnsi="Book Antiqua" w:cs="Book Antiqua"/>
          <w:color w:val="000000"/>
        </w:rPr>
        <w:t>RCT</w:t>
      </w:r>
      <w:r w:rsidRPr="00E753B1">
        <w:rPr>
          <w:rFonts w:ascii="Book Antiqua" w:eastAsia="Book Antiqua" w:hAnsi="Book Antiqua" w:cs="Book Antiqua"/>
          <w:color w:val="000000"/>
        </w:rPr>
        <w:t xml:space="preserve"> in 2019 showing that the </w:t>
      </w:r>
      <w:r w:rsidRPr="00E753B1">
        <w:rPr>
          <w:rFonts w:ascii="Book Antiqua" w:eastAsia="Book Antiqua" w:hAnsi="Book Antiqua" w:cs="Book Antiqua"/>
          <w:color w:val="000000"/>
          <w:shd w:val="clear" w:color="auto" w:fill="FFFFFF"/>
        </w:rPr>
        <w:t>addition of PEG-IFN alfa-2a (for 48 wk) to ongoing NA therapy significantly decreased HBsAg levels (defined by greater than 50% decline) in HBeAg-negative patients with genotype D infection</w:t>
      </w:r>
      <w:hyperlink r:id="rId94" w:history="1">
        <w:r w:rsidRPr="00E753B1">
          <w:rPr>
            <w:rFonts w:ascii="Book Antiqua" w:eastAsia="Book Antiqua" w:hAnsi="Book Antiqua" w:cs="Book Antiqua"/>
            <w:color w:val="000000"/>
            <w:shd w:val="clear" w:color="auto" w:fill="FFFFFF"/>
            <w:vertAlign w:val="superscript"/>
          </w:rPr>
          <w:t>[79]</w:t>
        </w:r>
      </w:hyperlink>
      <w:r w:rsidRPr="00E753B1">
        <w:rPr>
          <w:rFonts w:ascii="Book Antiqua" w:eastAsia="Book Antiqua" w:hAnsi="Book Antiqua" w:cs="Book Antiqua"/>
          <w:color w:val="000000"/>
        </w:rPr>
        <w:t xml:space="preserve">. </w:t>
      </w:r>
    </w:p>
    <w:p w14:paraId="087DC884" w14:textId="3A4BE507"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a recent prospective trial CHB patients who seroconverted on </w:t>
      </w:r>
      <w:r w:rsidR="006313B7" w:rsidRPr="00E753B1">
        <w:rPr>
          <w:rFonts w:ascii="Book Antiqua" w:eastAsia="Book Antiqua" w:hAnsi="Book Antiqua" w:cs="Book Antiqua"/>
          <w:color w:val="000000"/>
        </w:rPr>
        <w:t>ETV</w:t>
      </w:r>
      <w:r w:rsidRPr="00E753B1">
        <w:rPr>
          <w:rFonts w:ascii="Book Antiqua" w:eastAsia="Book Antiqua" w:hAnsi="Book Antiqua" w:cs="Book Antiqua"/>
          <w:color w:val="000000"/>
        </w:rPr>
        <w:t>, were switched to weekly PEG-IFN alfa-2a. The authors recorded an 88% sustained response in patients with a baseline HBsAg &lt; 1500 IU/mL, while 50% of patients with a baseline HBsAg &lt; 500 developing HBsAg loss</w:t>
      </w:r>
      <w:hyperlink r:id="rId95" w:history="1">
        <w:r w:rsidRPr="00E753B1">
          <w:rPr>
            <w:rFonts w:ascii="Book Antiqua" w:eastAsia="Book Antiqua" w:hAnsi="Book Antiqua" w:cs="Book Antiqua"/>
            <w:color w:val="000000"/>
            <w:vertAlign w:val="superscript"/>
          </w:rPr>
          <w:t>[80]</w:t>
        </w:r>
      </w:hyperlink>
      <w:r w:rsidRPr="00E753B1">
        <w:rPr>
          <w:rFonts w:ascii="Book Antiqua" w:eastAsia="Book Antiqua" w:hAnsi="Book Antiqua" w:cs="Book Antiqua"/>
          <w:color w:val="000000"/>
        </w:rPr>
        <w:t xml:space="preserve">. The same group also validated data from 647 patients with HBeAg positive CHB on PEG-IFN alfa-2a to develop a pre-treatment scoring system using baseline factors like age, sex, alanine aminotransferase ratio, </w:t>
      </w:r>
      <w:r w:rsidR="000A678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HBsAg level, and HBV DNA level to predict response to therapy</w:t>
      </w:r>
      <w:hyperlink r:id="rId96" w:history="1">
        <w:r w:rsidRPr="00E753B1">
          <w:rPr>
            <w:rFonts w:ascii="Book Antiqua" w:eastAsia="Book Antiqua" w:hAnsi="Book Antiqua" w:cs="Book Antiqua"/>
            <w:color w:val="000000"/>
            <w:vertAlign w:val="superscript"/>
          </w:rPr>
          <w:t>[81]</w:t>
        </w:r>
      </w:hyperlink>
      <w:r w:rsidRPr="00E753B1">
        <w:rPr>
          <w:rFonts w:ascii="Book Antiqua" w:eastAsia="Book Antiqua" w:hAnsi="Book Antiqua" w:cs="Book Antiqua"/>
          <w:color w:val="000000"/>
        </w:rPr>
        <w:t>.</w:t>
      </w:r>
    </w:p>
    <w:p w14:paraId="5C8214AB" w14:textId="77777777"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 recently published large meta-analysis with 24 studies and 6674 subjects confirmed the importance of </w:t>
      </w:r>
      <w:r w:rsidRPr="00E753B1">
        <w:rPr>
          <w:rFonts w:ascii="Book Antiqua" w:eastAsia="Book Antiqua" w:hAnsi="Book Antiqua" w:cs="Book Antiqua"/>
          <w:color w:val="000000"/>
          <w:shd w:val="clear" w:color="auto" w:fill="FFFFFF"/>
        </w:rPr>
        <w:t>longer treatment duration and addition of IFN for HBsAg lowering and highlighted the potential value of immune-based therapies</w:t>
      </w:r>
      <w:hyperlink r:id="rId97" w:history="1">
        <w:r w:rsidRPr="00E753B1">
          <w:rPr>
            <w:rFonts w:ascii="Book Antiqua" w:eastAsia="Book Antiqua" w:hAnsi="Book Antiqua" w:cs="Book Antiqua"/>
            <w:color w:val="000000"/>
            <w:shd w:val="clear" w:color="auto" w:fill="FFFFFF"/>
            <w:vertAlign w:val="superscript"/>
          </w:rPr>
          <w:t>[82]</w:t>
        </w:r>
      </w:hyperlink>
      <w:r w:rsidRPr="00E753B1">
        <w:rPr>
          <w:rFonts w:ascii="Book Antiqua" w:eastAsia="Book Antiqua" w:hAnsi="Book Antiqua" w:cs="Book Antiqua"/>
          <w:color w:val="000000"/>
          <w:shd w:val="clear" w:color="auto" w:fill="FFFFFF"/>
        </w:rPr>
        <w:t>.</w:t>
      </w:r>
    </w:p>
    <w:p w14:paraId="055FBE1D" w14:textId="00AA9A36"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Recent identification of novel targets within the </w:t>
      </w:r>
      <w:r w:rsidR="000A678E"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viral life cycle has led to the development of multiple therapeutic agents with varying mechanisms</w:t>
      </w:r>
      <w:hyperlink r:id="rId98" w:history="1">
        <w:r w:rsidRPr="00E753B1">
          <w:rPr>
            <w:rFonts w:ascii="Book Antiqua" w:eastAsia="Book Antiqua" w:hAnsi="Book Antiqua" w:cs="Book Antiqua"/>
            <w:color w:val="000000"/>
            <w:vertAlign w:val="superscript"/>
          </w:rPr>
          <w:t>[83]</w:t>
        </w:r>
      </w:hyperlink>
      <w:r w:rsidRPr="00E753B1">
        <w:rPr>
          <w:rFonts w:ascii="Book Antiqua" w:eastAsia="Book Antiqua" w:hAnsi="Book Antiqua" w:cs="Book Antiqua"/>
          <w:color w:val="000000"/>
        </w:rPr>
        <w:t>. These include either direct inhibition of viral replication by targeting fundamental steps such as entry, cccDNA formation/stability, viral transcription, capsid assembly, and secretion or manipulating the host immune system for augmentation of innate and/or adaptive immunity</w:t>
      </w:r>
      <w:hyperlink r:id="rId99" w:history="1">
        <w:r w:rsidRPr="00E753B1">
          <w:rPr>
            <w:rFonts w:ascii="Book Antiqua" w:eastAsia="Book Antiqua" w:hAnsi="Book Antiqua" w:cs="Book Antiqua"/>
            <w:color w:val="000000"/>
            <w:vertAlign w:val="superscript"/>
          </w:rPr>
          <w:t>[17]</w:t>
        </w:r>
      </w:hyperlink>
      <w:r w:rsidRPr="00E753B1">
        <w:rPr>
          <w:rFonts w:ascii="Book Antiqua" w:eastAsia="Book Antiqua" w:hAnsi="Book Antiqua" w:cs="Book Antiqua"/>
          <w:color w:val="000000"/>
        </w:rPr>
        <w:t xml:space="preserve">. The viral life cycle, resulting viral products, and their role in the pathogenesis of CHB is a rather broad and complex topic in and of itself. We found a recent article by Tsukuda </w:t>
      </w:r>
      <w:r w:rsidRPr="00E753B1">
        <w:rPr>
          <w:rFonts w:ascii="Book Antiqua" w:eastAsia="Book Antiqua" w:hAnsi="Book Antiqua" w:cs="Book Antiqua"/>
          <w:i/>
          <w:iCs/>
          <w:color w:val="000000"/>
        </w:rPr>
        <w:t>et al</w:t>
      </w:r>
      <w:hyperlink r:id="rId100" w:history="1">
        <w:r w:rsidR="00B71582" w:rsidRPr="00E753B1">
          <w:rPr>
            <w:rFonts w:ascii="Book Antiqua" w:eastAsia="Book Antiqua" w:hAnsi="Book Antiqua" w:cs="Book Antiqua"/>
            <w:color w:val="000000"/>
            <w:vertAlign w:val="superscript"/>
          </w:rPr>
          <w:t>[84]</w:t>
        </w:r>
      </w:hyperlink>
      <w:r w:rsidRPr="00E753B1">
        <w:rPr>
          <w:rFonts w:ascii="Book Antiqua" w:eastAsia="Book Antiqua" w:hAnsi="Book Antiqua" w:cs="Book Antiqua"/>
          <w:color w:val="000000"/>
        </w:rPr>
        <w:t xml:space="preserve"> titled ‘Hepatitis B viral biology and life cycle’ to be an excellent resource for further information on this topic</w:t>
      </w:r>
      <w:hyperlink r:id="rId101" w:history="1">
        <w:r w:rsidRPr="00E753B1">
          <w:rPr>
            <w:rFonts w:ascii="Book Antiqua" w:eastAsia="Book Antiqua" w:hAnsi="Book Antiqua" w:cs="Book Antiqua"/>
            <w:color w:val="000000"/>
            <w:vertAlign w:val="superscript"/>
          </w:rPr>
          <w:t>[84]</w:t>
        </w:r>
      </w:hyperlink>
      <w:r w:rsidRPr="00E753B1">
        <w:rPr>
          <w:rFonts w:ascii="Book Antiqua" w:eastAsia="Book Antiqua" w:hAnsi="Book Antiqua" w:cs="Book Antiqua"/>
          <w:color w:val="000000"/>
        </w:rPr>
        <w:t>.</w:t>
      </w:r>
    </w:p>
    <w:p w14:paraId="225624CE" w14:textId="00E11F1E"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discovery of the sodium taurocholate co-transport polypeptide (NTCP) (gene: </w:t>
      </w:r>
      <w:r w:rsidRPr="00E753B1">
        <w:rPr>
          <w:rFonts w:ascii="Book Antiqua" w:eastAsia="Book Antiqua" w:hAnsi="Book Antiqua" w:cs="Book Antiqua"/>
          <w:i/>
          <w:iCs/>
          <w:color w:val="000000"/>
        </w:rPr>
        <w:t>SLC10A1</w:t>
      </w:r>
      <w:r w:rsidRPr="00E753B1">
        <w:rPr>
          <w:rFonts w:ascii="Book Antiqua" w:eastAsia="Book Antiqua" w:hAnsi="Book Antiqua" w:cs="Book Antiqua"/>
          <w:color w:val="000000"/>
        </w:rPr>
        <w:t>) receptor as a gateway for HBV entry into hepatocytes was made approximately a decade ago</w:t>
      </w:r>
      <w:hyperlink r:id="rId102" w:history="1">
        <w:r w:rsidRPr="00E753B1">
          <w:rPr>
            <w:rFonts w:ascii="Book Antiqua" w:eastAsia="Book Antiqua" w:hAnsi="Book Antiqua" w:cs="Book Antiqua"/>
            <w:color w:val="000000"/>
            <w:vertAlign w:val="superscript"/>
          </w:rPr>
          <w:t>[85]</w:t>
        </w:r>
      </w:hyperlink>
      <w:r w:rsidRPr="00E753B1">
        <w:rPr>
          <w:rFonts w:ascii="Book Antiqua" w:eastAsia="Book Antiqua" w:hAnsi="Book Antiqua" w:cs="Book Antiqua"/>
          <w:color w:val="000000"/>
        </w:rPr>
        <w:t>. The discovery has been a significant source of optimism, and NTCP has served as a target for developing viral entry inhibitors, including myrcludex and cyclosporine</w:t>
      </w:r>
      <w:hyperlink r:id="rId103" w:history="1">
        <w:r w:rsidRPr="00E753B1">
          <w:rPr>
            <w:rFonts w:ascii="Book Antiqua" w:eastAsia="Book Antiqua" w:hAnsi="Book Antiqua" w:cs="Book Antiqua"/>
            <w:color w:val="000000"/>
            <w:vertAlign w:val="superscript"/>
          </w:rPr>
          <w:t>[86,87]</w:t>
        </w:r>
      </w:hyperlink>
      <w:r w:rsidRPr="00E753B1">
        <w:rPr>
          <w:rFonts w:ascii="Book Antiqua" w:eastAsia="Book Antiqua" w:hAnsi="Book Antiqua" w:cs="Book Antiqua"/>
          <w:color w:val="000000"/>
        </w:rPr>
        <w:t>. Additionally, NTCP complemented stable cell lines, cell cultures, and infection model systems have allowed standardized research to understand better the HBV life cycle and development of therapeutic options</w:t>
      </w:r>
      <w:hyperlink r:id="rId104" w:history="1">
        <w:r w:rsidRPr="00E753B1">
          <w:rPr>
            <w:rFonts w:ascii="Book Antiqua" w:eastAsia="Book Antiqua" w:hAnsi="Book Antiqua" w:cs="Book Antiqua"/>
            <w:color w:val="000000"/>
            <w:vertAlign w:val="superscript"/>
          </w:rPr>
          <w:t>[88–91]</w:t>
        </w:r>
      </w:hyperlink>
      <w:r w:rsidRPr="00E753B1">
        <w:rPr>
          <w:rFonts w:ascii="Book Antiqua" w:eastAsia="Book Antiqua" w:hAnsi="Book Antiqua" w:cs="Book Antiqua"/>
          <w:color w:val="000000"/>
        </w:rPr>
        <w:t>. By allowing the study of authentic infection in cell lines, these model systems have helped achieve a better understanding of the formation and degradation of cccDNA, a key target to achieve the ultimate goal of HBV cure</w:t>
      </w:r>
      <w:hyperlink r:id="rId105" w:history="1">
        <w:r w:rsidRPr="00E753B1">
          <w:rPr>
            <w:rFonts w:ascii="Book Antiqua" w:eastAsia="Book Antiqua" w:hAnsi="Book Antiqua" w:cs="Book Antiqua"/>
            <w:color w:val="000000"/>
            <w:vertAlign w:val="superscript"/>
          </w:rPr>
          <w:t>[92,93]</w:t>
        </w:r>
      </w:hyperlink>
      <w:r w:rsidRPr="00E753B1">
        <w:rPr>
          <w:rFonts w:ascii="Book Antiqua" w:eastAsia="Book Antiqua" w:hAnsi="Book Antiqua" w:cs="Book Antiqua"/>
          <w:color w:val="000000"/>
        </w:rPr>
        <w:t xml:space="preserve">. </w:t>
      </w:r>
      <w:r w:rsidR="00734D65" w:rsidRPr="00E753B1">
        <w:rPr>
          <w:rFonts w:ascii="Book Antiqua" w:eastAsia="Book Antiqua" w:hAnsi="Book Antiqua" w:cs="Book Antiqua"/>
          <w:color w:val="000000"/>
        </w:rPr>
        <w:t>National institute of health (NIH)</w:t>
      </w:r>
      <w:r w:rsidRPr="00E753B1">
        <w:rPr>
          <w:rFonts w:ascii="Book Antiqua" w:eastAsia="Book Antiqua" w:hAnsi="Book Antiqua" w:cs="Book Antiqua"/>
          <w:color w:val="000000"/>
        </w:rPr>
        <w:t>-funded trials to target viral proteins required for viral entry into uninfected hepatocytes, viral replication targeting adaptive immunity (anti-</w:t>
      </w:r>
      <w:r w:rsidR="00B71582" w:rsidRPr="00E753B1">
        <w:rPr>
          <w:rFonts w:ascii="Book Antiqua" w:eastAsia="Book Antiqua" w:hAnsi="Book Antiqua" w:cs="Book Antiqua"/>
          <w:color w:val="000000"/>
        </w:rPr>
        <w:t>programmed cell death 1</w:t>
      </w:r>
      <w:r w:rsidRPr="00E753B1">
        <w:rPr>
          <w:rFonts w:ascii="Book Antiqua" w:eastAsia="Book Antiqua" w:hAnsi="Book Antiqua" w:cs="Book Antiqua"/>
          <w:color w:val="000000"/>
        </w:rPr>
        <w:t>/</w:t>
      </w:r>
      <w:r w:rsidR="00B71582" w:rsidRPr="00E753B1">
        <w:rPr>
          <w:rFonts w:ascii="Book Antiqua" w:eastAsia="Book Antiqua" w:hAnsi="Book Antiqua" w:cs="Book Antiqua"/>
          <w:color w:val="000000"/>
        </w:rPr>
        <w:t>programmed death-ligand 1</w:t>
      </w:r>
      <w:r w:rsidRPr="00E753B1">
        <w:rPr>
          <w:rFonts w:ascii="Book Antiqua" w:eastAsia="Book Antiqua" w:hAnsi="Book Antiqua" w:cs="Book Antiqua"/>
          <w:color w:val="000000"/>
        </w:rPr>
        <w:t xml:space="preserve"> antibodies, chimeric antigen receptor T cells), and silencing of </w:t>
      </w:r>
      <w:r w:rsidR="00B71582" w:rsidRPr="00E753B1">
        <w:rPr>
          <w:rFonts w:ascii="Book Antiqua" w:eastAsia="Book Antiqua" w:hAnsi="Book Antiqua" w:cs="Book Antiqua"/>
          <w:color w:val="000000"/>
        </w:rPr>
        <w:t>ccc</w:t>
      </w:r>
      <w:r w:rsidRPr="00E753B1">
        <w:rPr>
          <w:rFonts w:ascii="Book Antiqua" w:eastAsia="Book Antiqua" w:hAnsi="Book Antiqua" w:cs="Book Antiqua"/>
          <w:color w:val="000000"/>
        </w:rPr>
        <w:t>DNA are underway</w:t>
      </w:r>
      <w:hyperlink r:id="rId106" w:history="1">
        <w:r w:rsidRPr="00E753B1">
          <w:rPr>
            <w:rFonts w:ascii="Book Antiqua" w:eastAsia="Book Antiqua" w:hAnsi="Book Antiqua" w:cs="Book Antiqua"/>
            <w:color w:val="000000"/>
            <w:vertAlign w:val="superscript"/>
          </w:rPr>
          <w:t>[94]</w:t>
        </w:r>
      </w:hyperlink>
      <w:r w:rsidRPr="00E753B1">
        <w:rPr>
          <w:rFonts w:ascii="Book Antiqua" w:eastAsia="Book Antiqua" w:hAnsi="Book Antiqua" w:cs="Book Antiqua"/>
          <w:color w:val="000000"/>
        </w:rPr>
        <w:t xml:space="preserve">. A preclinical trial of cccDNA endonucleases (CRISPR/Cas9) </w:t>
      </w:r>
      <w:r w:rsidRPr="00E753B1">
        <w:rPr>
          <w:rFonts w:ascii="Book Antiqua" w:eastAsia="Book Antiqua" w:hAnsi="Book Antiqua" w:cs="Book Antiqua"/>
          <w:color w:val="000000"/>
          <w:shd w:val="clear" w:color="auto" w:fill="FFFFFF"/>
        </w:rPr>
        <w:t xml:space="preserve">showed a reduction in cccDNA, other viral gene expression parameters as well as replication </w:t>
      </w:r>
      <w:r w:rsidRPr="00E753B1">
        <w:rPr>
          <w:rFonts w:ascii="Book Antiqua" w:eastAsia="Book Antiqua" w:hAnsi="Book Antiqua" w:cs="Book Antiqua"/>
          <w:i/>
          <w:iCs/>
          <w:color w:val="000000"/>
          <w:shd w:val="clear" w:color="auto" w:fill="FFFFFF"/>
        </w:rPr>
        <w:t>in vitro</w:t>
      </w:r>
      <w:hyperlink r:id="rId107" w:history="1">
        <w:r w:rsidRPr="00E753B1">
          <w:rPr>
            <w:rFonts w:ascii="Book Antiqua" w:eastAsia="Book Antiqua" w:hAnsi="Book Antiqua" w:cs="Book Antiqua"/>
            <w:color w:val="000000"/>
            <w:vertAlign w:val="superscript"/>
          </w:rPr>
          <w:t>[95]</w:t>
        </w:r>
      </w:hyperlink>
      <w:r w:rsidRPr="00E753B1">
        <w:rPr>
          <w:rFonts w:ascii="Book Antiqua" w:eastAsia="Book Antiqua" w:hAnsi="Book Antiqua" w:cs="Book Antiqua"/>
          <w:color w:val="000000"/>
        </w:rPr>
        <w:t>. Multiple recent trials have evaluated the safety and efficacy of Core Protein (Capsid) Assembly Modulators in patients suffering from CHB. In a phase 1 study of HBeAg-positive CHB patients without cirrhosis, NVR 3-778 was well tolerated and demonstrated antiviral activity. The agent reduced serum levels of HBV DNA and HBV RNA, to the greatest extent combined with PEG-IFN. The observed reductions in HBV RNA confirmed the novel mechanism of NVR 3-778</w:t>
      </w:r>
      <w:hyperlink r:id="rId108" w:history="1">
        <w:r w:rsidRPr="00E753B1">
          <w:rPr>
            <w:rFonts w:ascii="Book Antiqua" w:eastAsia="Book Antiqua" w:hAnsi="Book Antiqua" w:cs="Book Antiqua"/>
            <w:color w:val="000000"/>
            <w:vertAlign w:val="superscript"/>
          </w:rPr>
          <w:t>[96]</w:t>
        </w:r>
      </w:hyperlink>
      <w:r w:rsidRPr="00E753B1">
        <w:rPr>
          <w:rFonts w:ascii="Book Antiqua" w:eastAsia="Book Antiqua" w:hAnsi="Book Antiqua" w:cs="Book Antiqua"/>
          <w:color w:val="000000"/>
        </w:rPr>
        <w:t>. A phase I, randomized placebo-controlled trial published in Lancet in 2020, showed acceptable safety, pharmacokinetics, and antiviral effects on an investigational HBV core protein inhibitor ABI-H0731</w:t>
      </w:r>
      <w:hyperlink r:id="rId109" w:history="1">
        <w:r w:rsidRPr="00E753B1">
          <w:rPr>
            <w:rFonts w:ascii="Book Antiqua" w:eastAsia="Book Antiqua" w:hAnsi="Book Antiqua" w:cs="Book Antiqua"/>
            <w:color w:val="000000"/>
            <w:vertAlign w:val="superscript"/>
          </w:rPr>
          <w:t>[97]</w:t>
        </w:r>
      </w:hyperlink>
      <w:r w:rsidRPr="00E753B1">
        <w:rPr>
          <w:rFonts w:ascii="Book Antiqua" w:eastAsia="Book Antiqua" w:hAnsi="Book Antiqua" w:cs="Book Antiqua"/>
          <w:color w:val="000000"/>
        </w:rPr>
        <w:t xml:space="preserve">. Another phase I trial, by Zhao </w:t>
      </w:r>
      <w:r w:rsidRPr="00E753B1">
        <w:rPr>
          <w:rFonts w:ascii="Book Antiqua" w:eastAsia="Book Antiqua" w:hAnsi="Book Antiqua" w:cs="Book Antiqua"/>
          <w:i/>
          <w:iCs/>
          <w:color w:val="000000"/>
        </w:rPr>
        <w:t>et al</w:t>
      </w:r>
      <w:hyperlink r:id="rId110" w:history="1">
        <w:r w:rsidR="00B71582" w:rsidRPr="00E753B1">
          <w:rPr>
            <w:rFonts w:ascii="Book Antiqua" w:eastAsia="Book Antiqua" w:hAnsi="Book Antiqua" w:cs="Book Antiqua"/>
            <w:color w:val="000000"/>
            <w:vertAlign w:val="superscript"/>
          </w:rPr>
          <w:t>[98]</w:t>
        </w:r>
      </w:hyperlink>
      <w:r w:rsidRPr="00E753B1">
        <w:rPr>
          <w:rFonts w:ascii="Book Antiqua" w:eastAsia="Book Antiqua" w:hAnsi="Book Antiqua" w:cs="Book Antiqua"/>
          <w:color w:val="000000"/>
        </w:rPr>
        <w:t>, evaluated the safety, tolerability, and pharmacokinetics of GLS4 (a novel HBV capsid assembly inhibitor), with or without ritonavir (used to enhance plasma levels of GLS4) and was found to have acceptable tolerability and sustained higher than proposed effective plasma trough concentration, when used in combination</w:t>
      </w:r>
      <w:hyperlink r:id="rId111" w:history="1">
        <w:r w:rsidRPr="00E753B1">
          <w:rPr>
            <w:rFonts w:ascii="Book Antiqua" w:eastAsia="Book Antiqua" w:hAnsi="Book Antiqua" w:cs="Book Antiqua"/>
            <w:color w:val="000000"/>
            <w:vertAlign w:val="superscript"/>
          </w:rPr>
          <w:t>[98]</w:t>
        </w:r>
      </w:hyperlink>
      <w:r w:rsidRPr="00E753B1">
        <w:rPr>
          <w:rFonts w:ascii="Book Antiqua" w:eastAsia="Book Antiqua" w:hAnsi="Book Antiqua" w:cs="Book Antiqua"/>
          <w:color w:val="000000"/>
        </w:rPr>
        <w:t xml:space="preserve">. A phase I double-blind, RCT of 30 healthy adults, by Vandenbossche </w:t>
      </w:r>
      <w:r w:rsidRPr="00E753B1">
        <w:rPr>
          <w:rFonts w:ascii="Book Antiqua" w:eastAsia="Book Antiqua" w:hAnsi="Book Antiqua" w:cs="Book Antiqua"/>
          <w:i/>
          <w:iCs/>
          <w:color w:val="000000"/>
        </w:rPr>
        <w:t>et al</w:t>
      </w:r>
      <w:hyperlink r:id="rId112" w:history="1">
        <w:r w:rsidR="00B71582" w:rsidRPr="00E753B1">
          <w:rPr>
            <w:rFonts w:ascii="Book Antiqua" w:eastAsia="Book Antiqua" w:hAnsi="Book Antiqua" w:cs="Book Antiqua"/>
            <w:color w:val="000000"/>
            <w:vertAlign w:val="superscript"/>
          </w:rPr>
          <w:t>[99]</w:t>
        </w:r>
      </w:hyperlink>
      <w:r w:rsidRPr="00E753B1">
        <w:rPr>
          <w:rFonts w:ascii="Book Antiqua" w:eastAsia="Book Antiqua" w:hAnsi="Book Antiqua" w:cs="Book Antiqua"/>
          <w:color w:val="000000"/>
        </w:rPr>
        <w:t>, looked into the safety, tolerability, and pharmacokinetics of JNJ-56136379 (a novel HBV capsid assembly modulator), showed it to be well-tolerated, with a more than three times the 90% effective plasma concentration required to inhibit viral replication</w:t>
      </w:r>
      <w:hyperlink r:id="rId113" w:history="1">
        <w:r w:rsidRPr="00E753B1">
          <w:rPr>
            <w:rFonts w:ascii="Book Antiqua" w:eastAsia="Book Antiqua" w:hAnsi="Book Antiqua" w:cs="Book Antiqua"/>
            <w:color w:val="000000"/>
            <w:vertAlign w:val="superscript"/>
          </w:rPr>
          <w:t>[99]</w:t>
        </w:r>
      </w:hyperlink>
      <w:r w:rsidRPr="00E753B1">
        <w:rPr>
          <w:rFonts w:ascii="Book Antiqua" w:eastAsia="Book Antiqua" w:hAnsi="Book Antiqua" w:cs="Book Antiqua"/>
          <w:color w:val="000000"/>
        </w:rPr>
        <w:t xml:space="preserve">. </w:t>
      </w:r>
    </w:p>
    <w:p w14:paraId="5DCEC1CF" w14:textId="4446D9A9"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HBV regulatory protein X (HB</w:t>
      </w:r>
      <w:r w:rsidR="00B71582" w:rsidRPr="00E753B1">
        <w:rPr>
          <w:rFonts w:ascii="Book Antiqua" w:eastAsia="Book Antiqua" w:hAnsi="Book Antiqua" w:cs="Book Antiqua"/>
          <w:color w:val="000000"/>
        </w:rPr>
        <w:t>X</w:t>
      </w:r>
      <w:r w:rsidRPr="00E753B1">
        <w:rPr>
          <w:rFonts w:ascii="Book Antiqua" w:eastAsia="Book Antiqua" w:hAnsi="Book Antiqua" w:cs="Book Antiqua"/>
          <w:color w:val="000000"/>
        </w:rPr>
        <w:t>) was recently found to promote transcription from cccDNA through an interaction with a host protein DDB1</w:t>
      </w:r>
      <w:hyperlink r:id="rId114" w:history="1">
        <w:r w:rsidRPr="00E753B1">
          <w:rPr>
            <w:rFonts w:ascii="Book Antiqua" w:eastAsia="Book Antiqua" w:hAnsi="Book Antiqua" w:cs="Book Antiqua"/>
            <w:color w:val="000000"/>
            <w:vertAlign w:val="superscript"/>
          </w:rPr>
          <w:t>[100]</w:t>
        </w:r>
      </w:hyperlink>
      <w:r w:rsidRPr="00E753B1">
        <w:rPr>
          <w:rFonts w:ascii="Book Antiqua" w:eastAsia="Book Antiqua" w:hAnsi="Book Antiqua" w:cs="Book Antiqua"/>
          <w:color w:val="000000"/>
        </w:rPr>
        <w:t xml:space="preserve">. Sekiba </w:t>
      </w:r>
      <w:r w:rsidRPr="00E753B1">
        <w:rPr>
          <w:rFonts w:ascii="Book Antiqua" w:eastAsia="Book Antiqua" w:hAnsi="Book Antiqua" w:cs="Book Antiqua"/>
          <w:i/>
          <w:iCs/>
          <w:color w:val="000000"/>
        </w:rPr>
        <w:t>et al</w:t>
      </w:r>
      <w:hyperlink r:id="rId115" w:history="1">
        <w:r w:rsidR="00B71582" w:rsidRPr="00E753B1">
          <w:rPr>
            <w:rFonts w:ascii="Book Antiqua" w:eastAsia="Book Antiqua" w:hAnsi="Book Antiqua" w:cs="Book Antiqua"/>
            <w:color w:val="000000"/>
            <w:vertAlign w:val="superscript"/>
          </w:rPr>
          <w:t>[101]</w:t>
        </w:r>
      </w:hyperlink>
      <w:r w:rsidRPr="00E753B1">
        <w:rPr>
          <w:rFonts w:ascii="Book Antiqua" w:eastAsia="Book Antiqua" w:hAnsi="Book Antiqua" w:cs="Book Antiqua"/>
          <w:color w:val="000000"/>
        </w:rPr>
        <w:t xml:space="preserve"> applied a newly constructed split luciferase assay system to comprehensive compound screening to </w:t>
      </w:r>
      <w:r w:rsidRPr="00E753B1">
        <w:rPr>
          <w:rFonts w:ascii="Book Antiqua" w:eastAsia="Book Antiqua" w:hAnsi="Book Antiqua" w:cs="Book Antiqua"/>
          <w:color w:val="000000"/>
          <w:shd w:val="clear" w:color="auto" w:fill="FFFFFF"/>
        </w:rPr>
        <w:t xml:space="preserve">identify candidate compounds that targeted the HBX-DDB1 interaction and showed that </w:t>
      </w:r>
      <w:r w:rsidRPr="00E753B1">
        <w:rPr>
          <w:rFonts w:ascii="Book Antiqua" w:eastAsia="Book Antiqua" w:hAnsi="Book Antiqua" w:cs="Book Antiqua"/>
          <w:color w:val="000000"/>
        </w:rPr>
        <w:t>nitazoxanide (NTZ), efficiently inhibits the HB</w:t>
      </w:r>
      <w:r w:rsidR="00B71582" w:rsidRPr="00E753B1">
        <w:rPr>
          <w:rFonts w:ascii="Book Antiqua" w:eastAsia="Book Antiqua" w:hAnsi="Book Antiqua" w:cs="Book Antiqua"/>
          <w:color w:val="000000"/>
        </w:rPr>
        <w:t>X</w:t>
      </w:r>
      <w:r w:rsidRPr="00E753B1">
        <w:rPr>
          <w:rFonts w:ascii="Book Antiqua" w:eastAsia="Book Antiqua" w:hAnsi="Book Antiqua" w:cs="Book Antiqua"/>
          <w:color w:val="000000"/>
        </w:rPr>
        <w:t>-DDB1 protein interaction. NTZ significantly suppressed viral transcription and viral protein production in human primary hepatocytes naturally infected with HBV</w:t>
      </w:r>
      <w:hyperlink r:id="rId116" w:history="1">
        <w:r w:rsidRPr="00E753B1">
          <w:rPr>
            <w:rFonts w:ascii="Book Antiqua" w:eastAsia="Book Antiqua" w:hAnsi="Book Antiqua" w:cs="Book Antiqua"/>
            <w:color w:val="000000"/>
            <w:vertAlign w:val="superscript"/>
          </w:rPr>
          <w:t>[101]</w:t>
        </w:r>
      </w:hyperlink>
      <w:r w:rsidRPr="00E753B1">
        <w:rPr>
          <w:rFonts w:ascii="Book Antiqua" w:eastAsia="Book Antiqua" w:hAnsi="Book Antiqua" w:cs="Book Antiqua"/>
          <w:color w:val="000000"/>
        </w:rPr>
        <w:t xml:space="preserve">. Antisense </w:t>
      </w:r>
      <w:r w:rsidR="00B71582" w:rsidRPr="00E753B1">
        <w:rPr>
          <w:rFonts w:ascii="Book Antiqua" w:eastAsia="Book Antiqua" w:hAnsi="Book Antiqua" w:cs="Book Antiqua"/>
          <w:color w:val="000000"/>
        </w:rPr>
        <w:t>o</w:t>
      </w:r>
      <w:r w:rsidRPr="00E753B1">
        <w:rPr>
          <w:rFonts w:ascii="Book Antiqua" w:eastAsia="Book Antiqua" w:hAnsi="Book Antiqua" w:cs="Book Antiqua"/>
          <w:color w:val="000000"/>
        </w:rPr>
        <w:t>ligonucleotides are small single-stranded nucleic acid sequences that bind selectively to their target RNAs and cause degradation</w:t>
      </w:r>
      <w:hyperlink r:id="rId117" w:history="1">
        <w:r w:rsidRPr="00E753B1">
          <w:rPr>
            <w:rFonts w:ascii="Book Antiqua" w:eastAsia="Book Antiqua" w:hAnsi="Book Antiqua" w:cs="Book Antiqua"/>
            <w:color w:val="000000"/>
            <w:vertAlign w:val="superscript"/>
          </w:rPr>
          <w:t>[102]</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 xml:space="preserve">GSK3389404 is a liver-targeted antisense oligonucleotide that inhibits the synthesis of HBsAg and all other HBV proteins. A recent </w:t>
      </w:r>
      <w:r w:rsidR="00B71582" w:rsidRPr="00E753B1">
        <w:rPr>
          <w:rFonts w:ascii="Book Antiqua" w:eastAsia="Book Antiqua" w:hAnsi="Book Antiqua" w:cs="Book Antiqua"/>
          <w:color w:val="000000"/>
          <w:shd w:val="clear" w:color="auto" w:fill="FFFFFF"/>
        </w:rPr>
        <w:t>r</w:t>
      </w:r>
      <w:r w:rsidRPr="00E753B1">
        <w:rPr>
          <w:rFonts w:ascii="Book Antiqua" w:eastAsia="Book Antiqua" w:hAnsi="Book Antiqua" w:cs="Book Antiqua"/>
          <w:color w:val="000000"/>
          <w:shd w:val="clear" w:color="auto" w:fill="FFFFFF"/>
        </w:rPr>
        <w:t>andomized double-blind controlled phase 1 trial showed acceptable safety and pharmacokinetic profile, supporting further clinical investigation in patients with CHB</w:t>
      </w:r>
      <w:hyperlink r:id="rId118" w:history="1">
        <w:r w:rsidRPr="00E753B1">
          <w:rPr>
            <w:rFonts w:ascii="Book Antiqua" w:eastAsia="Book Antiqua" w:hAnsi="Book Antiqua" w:cs="Book Antiqua"/>
            <w:color w:val="000000"/>
            <w:shd w:val="clear" w:color="auto" w:fill="FFFFFF"/>
            <w:vertAlign w:val="superscript"/>
          </w:rPr>
          <w:t>[103]</w:t>
        </w:r>
      </w:hyperlink>
      <w:r w:rsidRPr="00E753B1">
        <w:rPr>
          <w:rFonts w:ascii="Book Antiqua" w:eastAsia="Book Antiqua" w:hAnsi="Book Antiqua" w:cs="Book Antiqua"/>
          <w:color w:val="000000"/>
          <w:shd w:val="clear" w:color="auto" w:fill="FFFFFF"/>
        </w:rPr>
        <w:t>.</w:t>
      </w:r>
    </w:p>
    <w:p w14:paraId="4A7FFF8F" w14:textId="2C79E9F4"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The human immune system controls and clears adulthood-acquired hepatitis B in over 95% of patients</w:t>
      </w:r>
      <w:hyperlink r:id="rId119" w:history="1">
        <w:r w:rsidRPr="00E753B1">
          <w:rPr>
            <w:rFonts w:ascii="Book Antiqua" w:eastAsia="Book Antiqua" w:hAnsi="Book Antiqua" w:cs="Book Antiqua"/>
            <w:color w:val="000000"/>
            <w:shd w:val="clear" w:color="auto" w:fill="FFFFFF"/>
            <w:vertAlign w:val="superscript"/>
          </w:rPr>
          <w:t>[94]</w:t>
        </w:r>
      </w:hyperlink>
      <w:r w:rsidRPr="00E753B1">
        <w:rPr>
          <w:rFonts w:ascii="Book Antiqua" w:eastAsia="Book Antiqua" w:hAnsi="Book Antiqua" w:cs="Book Antiqua"/>
          <w:color w:val="000000"/>
          <w:shd w:val="clear" w:color="auto" w:fill="FFFFFF"/>
        </w:rPr>
        <w:t>. A large body of data links suppressed T and B cell responses to persistent hepatitis B and liver injury</w:t>
      </w:r>
      <w:hyperlink r:id="rId120" w:history="1">
        <w:r w:rsidRPr="00E753B1">
          <w:rPr>
            <w:rFonts w:ascii="Book Antiqua" w:eastAsia="Book Antiqua" w:hAnsi="Book Antiqua" w:cs="Book Antiqua"/>
            <w:color w:val="000000"/>
            <w:shd w:val="clear" w:color="auto" w:fill="FFFFFF"/>
            <w:vertAlign w:val="superscript"/>
          </w:rPr>
          <w:t>[104–106]</w:t>
        </w:r>
      </w:hyperlink>
      <w:r w:rsidRPr="00E753B1">
        <w:rPr>
          <w:rFonts w:ascii="Book Antiqua" w:eastAsia="Book Antiqua" w:hAnsi="Book Antiqua" w:cs="Book Antiqua"/>
          <w:color w:val="000000"/>
          <w:shd w:val="clear" w:color="auto" w:fill="FFFFFF"/>
        </w:rPr>
        <w:t>. Moreover, data from trials involving B and T cell responses strongly suggest that augmentation of immunity can clear the infection</w:t>
      </w:r>
      <w:hyperlink r:id="rId121" w:history="1">
        <w:r w:rsidRPr="00E753B1">
          <w:rPr>
            <w:rFonts w:ascii="Book Antiqua" w:eastAsia="Book Antiqua" w:hAnsi="Book Antiqua" w:cs="Book Antiqua"/>
            <w:color w:val="000000"/>
            <w:shd w:val="clear" w:color="auto" w:fill="FFFFFF"/>
            <w:vertAlign w:val="superscript"/>
          </w:rPr>
          <w:t>[107]</w:t>
        </w:r>
      </w:hyperlink>
      <w:r w:rsidRPr="00E753B1">
        <w:rPr>
          <w:rFonts w:ascii="Book Antiqua" w:eastAsia="Book Antiqua" w:hAnsi="Book Antiqua" w:cs="Book Antiqua"/>
          <w:color w:val="000000"/>
          <w:shd w:val="clear" w:color="auto" w:fill="FFFFFF"/>
        </w:rPr>
        <w:t>. Therefore, boosting the magnitude and quality of the virus-specific immune response is a rational strategy for therapy</w:t>
      </w:r>
      <w:hyperlink r:id="rId122" w:history="1">
        <w:r w:rsidRPr="00E753B1">
          <w:rPr>
            <w:rFonts w:ascii="Book Antiqua" w:eastAsia="Book Antiqua" w:hAnsi="Book Antiqua" w:cs="Book Antiqua"/>
            <w:color w:val="000000"/>
            <w:shd w:val="clear" w:color="auto" w:fill="FFFFFF"/>
            <w:vertAlign w:val="superscript"/>
          </w:rPr>
          <w:t>[108]</w:t>
        </w:r>
      </w:hyperlink>
      <w:r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rPr>
        <w:t xml:space="preserve">Various </w:t>
      </w:r>
      <w:r w:rsidR="00B71582" w:rsidRPr="00E753B1">
        <w:rPr>
          <w:rFonts w:ascii="Book Antiqua" w:eastAsia="Book Antiqua" w:hAnsi="Book Antiqua" w:cs="Book Antiqua"/>
          <w:color w:val="000000"/>
        </w:rPr>
        <w:t>t</w:t>
      </w:r>
      <w:r w:rsidRPr="00E753B1">
        <w:rPr>
          <w:rFonts w:ascii="Book Antiqua" w:eastAsia="Book Antiqua" w:hAnsi="Book Antiqua" w:cs="Book Antiqua"/>
          <w:color w:val="000000"/>
        </w:rPr>
        <w:t>oll-like receptor (TLR) agonists have shown promising antiviral effects in small prospective trials. GS-9620, a TLR-7, when administered for 12 wk, though did not significantly affect serum HBsAg levels. However, it did increase T-cell and NK-cell responses</w:t>
      </w:r>
      <w:hyperlink r:id="rId123" w:history="1">
        <w:r w:rsidRPr="00E753B1">
          <w:rPr>
            <w:rFonts w:ascii="Book Antiqua" w:eastAsia="Book Antiqua" w:hAnsi="Book Antiqua" w:cs="Book Antiqua"/>
            <w:color w:val="000000"/>
            <w:vertAlign w:val="superscript"/>
          </w:rPr>
          <w:t>[109–111]</w:t>
        </w:r>
      </w:hyperlink>
      <w:r w:rsidRPr="00E753B1">
        <w:rPr>
          <w:rFonts w:ascii="Book Antiqua" w:eastAsia="Book Antiqua" w:hAnsi="Book Antiqua" w:cs="Book Antiqua"/>
          <w:color w:val="000000"/>
        </w:rPr>
        <w:t xml:space="preserve">. Han </w:t>
      </w:r>
      <w:r w:rsidRPr="00E753B1">
        <w:rPr>
          <w:rFonts w:ascii="Book Antiqua" w:eastAsia="Book Antiqua" w:hAnsi="Book Antiqua" w:cs="Book Antiqua"/>
          <w:i/>
          <w:iCs/>
          <w:color w:val="000000"/>
        </w:rPr>
        <w:t>et al</w:t>
      </w:r>
      <w:hyperlink r:id="rId124" w:history="1">
        <w:r w:rsidR="00B71582" w:rsidRPr="00E753B1">
          <w:rPr>
            <w:rFonts w:ascii="Book Antiqua" w:eastAsia="Book Antiqua" w:hAnsi="Book Antiqua" w:cs="Book Antiqua"/>
            <w:color w:val="000000"/>
            <w:vertAlign w:val="superscript"/>
          </w:rPr>
          <w:t>[112]</w:t>
        </w:r>
      </w:hyperlink>
      <w:r w:rsidRPr="00E753B1">
        <w:rPr>
          <w:rFonts w:ascii="Book Antiqua" w:eastAsia="Book Antiqua" w:hAnsi="Book Antiqua" w:cs="Book Antiqua"/>
          <w:color w:val="000000"/>
        </w:rPr>
        <w:t xml:space="preserve"> demonstrated HBeAg positive CHB patients to have a lower baseline galactosylation level, and hence being suitable candidates for the use of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w:t>
      </w:r>
      <w:r w:rsidR="00C027E0" w:rsidRPr="00E753B1">
        <w:rPr>
          <w:rFonts w:ascii="Book Antiqua" w:eastAsia="Book Antiqua" w:hAnsi="Book Antiqua" w:cs="Book Antiqua"/>
          <w:color w:val="000000"/>
        </w:rPr>
        <w:t>hepatitis B immune globulin (HBIG)</w:t>
      </w:r>
      <w:r w:rsidRPr="00E753B1">
        <w:rPr>
          <w:rFonts w:ascii="Book Antiqua" w:eastAsia="Book Antiqua" w:hAnsi="Book Antiqua" w:cs="Book Antiqua"/>
          <w:color w:val="000000"/>
        </w:rPr>
        <w:t xml:space="preserve"> immune complex, administered as a therapeutic vaccine, to achieve HBeAg seroconversion. The marked-up regulation of IL-2 and galactosylation levels confirmed this to be an immune response</w:t>
      </w:r>
      <w:hyperlink r:id="rId125" w:history="1">
        <w:r w:rsidRPr="00E753B1">
          <w:rPr>
            <w:rFonts w:ascii="Book Antiqua" w:eastAsia="Book Antiqua" w:hAnsi="Book Antiqua" w:cs="Book Antiqua"/>
            <w:color w:val="000000"/>
            <w:vertAlign w:val="superscript"/>
          </w:rPr>
          <w:t>[112]</w:t>
        </w:r>
      </w:hyperlink>
      <w:r w:rsidRPr="00E753B1">
        <w:rPr>
          <w:rFonts w:ascii="Book Antiqua" w:eastAsia="Book Antiqua" w:hAnsi="Book Antiqua" w:cs="Book Antiqua"/>
          <w:color w:val="000000"/>
        </w:rPr>
        <w:t xml:space="preserve">. </w:t>
      </w:r>
    </w:p>
    <w:p w14:paraId="4D89066E" w14:textId="700CCB44"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The goal of therapeutic vaccination is to stimulate or boost the host immune response to restore immune control, leading to sustained suppression of HBV replication and ultimately HBsAg loss</w:t>
      </w:r>
      <w:hyperlink r:id="rId126"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shd w:val="clear" w:color="auto" w:fill="FFFFFF"/>
        </w:rPr>
        <w:t>. A recently published meta-analysis of 15 studies reviewed the evidence for therapeutic vaccine</w:t>
      </w:r>
      <w:r w:rsidRPr="00E753B1">
        <w:rPr>
          <w:rFonts w:ascii="Book Antiqua" w:eastAsia="Book Antiqua" w:hAnsi="Book Antiqua" w:cs="Book Antiqua"/>
          <w:color w:val="000000"/>
        </w:rPr>
        <w:t>s'</w:t>
      </w:r>
      <w:r w:rsidRPr="00E753B1">
        <w:rPr>
          <w:rFonts w:ascii="Book Antiqua" w:eastAsia="Book Antiqua" w:hAnsi="Book Antiqua" w:cs="Book Antiqua"/>
          <w:color w:val="000000"/>
          <w:shd w:val="clear" w:color="auto" w:fill="FFFFFF"/>
        </w:rPr>
        <w:t xml:space="preserve"> efficacy and safety in CHB patients</w:t>
      </w:r>
      <w:hyperlink r:id="rId127" w:history="1">
        <w:r w:rsidRPr="00E753B1">
          <w:rPr>
            <w:rFonts w:ascii="Book Antiqua" w:eastAsia="Book Antiqua" w:hAnsi="Book Antiqua" w:cs="Book Antiqua"/>
            <w:color w:val="000000"/>
            <w:shd w:val="clear" w:color="auto" w:fill="FFFFFF"/>
            <w:vertAlign w:val="superscript"/>
          </w:rPr>
          <w:t>[113]</w:t>
        </w:r>
      </w:hyperlink>
      <w:r w:rsidRPr="00E753B1">
        <w:rPr>
          <w:rFonts w:ascii="Book Antiqua" w:eastAsia="Book Antiqua" w:hAnsi="Book Antiqua" w:cs="Book Antiqua"/>
          <w:color w:val="000000"/>
          <w:shd w:val="clear" w:color="auto" w:fill="FFFFFF"/>
        </w:rPr>
        <w:t>. The authors concluded by saying that therapeutic vaccines do not appear to be efficacious for the treatment of CHB but were limited by few RCTs, suboptimal therapeutic vaccines, and patient selection.</w:t>
      </w:r>
    </w:p>
    <w:p w14:paraId="1CC897BC" w14:textId="712E07C3" w:rsidR="00A77B3E" w:rsidRPr="00E753B1" w:rsidRDefault="008067B5" w:rsidP="00767D4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An open-label phase III trial comparing a therapeutic vaccine (NASVAC, containing 100 </w:t>
      </w:r>
      <w:r w:rsidRPr="00E753B1">
        <w:rPr>
          <w:rFonts w:ascii="Book Antiqua" w:eastAsia="Book Antiqua" w:hAnsi="Book Antiqua" w:cs="Book Antiqua"/>
          <w:color w:val="000000"/>
          <w:shd w:val="clear" w:color="auto" w:fill="FFFFFF"/>
        </w:rPr>
        <w:t>μg</w:t>
      </w:r>
      <w:r w:rsidRPr="00E753B1">
        <w:rPr>
          <w:rFonts w:ascii="Book Antiqua" w:eastAsia="Book Antiqua" w:hAnsi="Book Antiqua" w:cs="Book Antiqua"/>
          <w:color w:val="000000"/>
        </w:rPr>
        <w:t xml:space="preserve"> of each HBs and HBc antigens, administered in 2 cycles of 5 doses)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PEG-IFN alfa 2b (180 </w:t>
      </w:r>
      <w:r w:rsidRPr="00E753B1">
        <w:rPr>
          <w:rFonts w:ascii="Book Antiqua" w:eastAsia="Book Antiqua" w:hAnsi="Book Antiqua" w:cs="Book Antiqua"/>
          <w:color w:val="000000"/>
          <w:shd w:val="clear" w:color="auto" w:fill="FFFFFF"/>
        </w:rPr>
        <w:t>μg every week for 28 wk</w:t>
      </w:r>
      <w:r w:rsidRPr="00E753B1">
        <w:rPr>
          <w:rFonts w:ascii="Book Antiqua" w:eastAsia="Book Antiqua" w:hAnsi="Book Antiqua" w:cs="Book Antiqua"/>
          <w:color w:val="000000"/>
        </w:rPr>
        <w:t xml:space="preserve"> in naïve CHB patients showed significantly better controlled HBV DNA, 24 wk post-treatment (</w:t>
      </w:r>
      <w:r w:rsidR="00767D42"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&lt; 0.05) and a lower rate of progression to cirrhosis in the NASVAC group</w:t>
      </w:r>
      <w:hyperlink r:id="rId128" w:history="1">
        <w:r w:rsidRPr="00E753B1">
          <w:rPr>
            <w:rFonts w:ascii="Book Antiqua" w:eastAsia="Book Antiqua" w:hAnsi="Book Antiqua" w:cs="Book Antiqua"/>
            <w:color w:val="000000"/>
            <w:vertAlign w:val="superscript"/>
          </w:rPr>
          <w:t>[114]</w:t>
        </w:r>
      </w:hyperlink>
      <w:r w:rsidRPr="00E753B1">
        <w:rPr>
          <w:rFonts w:ascii="Book Antiqua" w:eastAsia="Book Antiqua" w:hAnsi="Book Antiqua" w:cs="Book Antiqua"/>
          <w:color w:val="000000"/>
        </w:rPr>
        <w:t>. HBsAg-based recombinant vaccines, administered every eight weeks for 48 wk, with a total of 7 doses, have been shown to reduce HBsAg levels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0.0005) and achieve HBsAg seroconversion in 10.52% of the patients with low HBsAg titers</w:t>
      </w:r>
      <w:hyperlink r:id="rId129" w:history="1">
        <w:r w:rsidRPr="00E753B1">
          <w:rPr>
            <w:rFonts w:ascii="Book Antiqua" w:eastAsia="Book Antiqua" w:hAnsi="Book Antiqua" w:cs="Book Antiqua"/>
            <w:color w:val="000000"/>
            <w:vertAlign w:val="superscript"/>
          </w:rPr>
          <w:t>[115]</w:t>
        </w:r>
      </w:hyperlink>
      <w:r w:rsidRPr="00E753B1">
        <w:rPr>
          <w:rFonts w:ascii="Book Antiqua" w:eastAsia="Book Antiqua" w:hAnsi="Book Antiqua" w:cs="Book Antiqua"/>
          <w:color w:val="000000"/>
        </w:rPr>
        <w:t xml:space="preserve">. A multicenter prospective phase 2 RCT by Boni </w:t>
      </w:r>
      <w:r w:rsidRPr="00E753B1">
        <w:rPr>
          <w:rFonts w:ascii="Book Antiqua" w:eastAsia="Book Antiqua" w:hAnsi="Book Antiqua" w:cs="Book Antiqua"/>
          <w:i/>
          <w:iCs/>
          <w:color w:val="000000"/>
        </w:rPr>
        <w:t>et al</w:t>
      </w:r>
      <w:hyperlink r:id="rId130" w:history="1">
        <w:r w:rsidR="00767D42" w:rsidRPr="00E753B1">
          <w:rPr>
            <w:rFonts w:ascii="Book Antiqua" w:eastAsia="Book Antiqua" w:hAnsi="Book Antiqua" w:cs="Book Antiqua"/>
            <w:color w:val="000000"/>
            <w:vertAlign w:val="superscript"/>
          </w:rPr>
          <w:t>[116]</w:t>
        </w:r>
      </w:hyperlink>
      <w:r w:rsidRPr="00E753B1">
        <w:rPr>
          <w:rFonts w:ascii="Book Antiqua" w:eastAsia="Book Antiqua" w:hAnsi="Book Antiqua" w:cs="Book Antiqua"/>
          <w:color w:val="000000"/>
        </w:rPr>
        <w:t xml:space="preserve"> demonstrated improved HBV specific T cell responses, including IFN-γ, TNF-α, and IL-2, with a combined GS-4774 (yeast-based engineered vaccine) and tenofovir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tenofovir alone</w:t>
      </w:r>
      <w:hyperlink r:id="rId131" w:history="1">
        <w:r w:rsidRPr="00E753B1">
          <w:rPr>
            <w:rFonts w:ascii="Book Antiqua" w:eastAsia="Book Antiqua" w:hAnsi="Book Antiqua" w:cs="Book Antiqua"/>
            <w:color w:val="000000"/>
            <w:vertAlign w:val="superscript"/>
          </w:rPr>
          <w:t>[116]</w:t>
        </w:r>
      </w:hyperlink>
      <w:r w:rsidRPr="00E753B1">
        <w:rPr>
          <w:rFonts w:ascii="Book Antiqua" w:eastAsia="Book Antiqua" w:hAnsi="Book Antiqua" w:cs="Book Antiqua"/>
          <w:color w:val="000000"/>
        </w:rPr>
        <w:t>.</w:t>
      </w:r>
    </w:p>
    <w:p w14:paraId="5671BEBE" w14:textId="6A96217A" w:rsidR="00A77B3E" w:rsidRPr="00E753B1" w:rsidRDefault="008067B5" w:rsidP="00767D4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HBV Endeavor prospective trial by Wu </w:t>
      </w:r>
      <w:r w:rsidRPr="00E753B1">
        <w:rPr>
          <w:rFonts w:ascii="Book Antiqua" w:eastAsia="Book Antiqua" w:hAnsi="Book Antiqua" w:cs="Book Antiqua"/>
          <w:i/>
          <w:iCs/>
          <w:color w:val="000000"/>
        </w:rPr>
        <w:t>et al</w:t>
      </w:r>
      <w:hyperlink r:id="rId132" w:history="1">
        <w:r w:rsidR="00767D42" w:rsidRPr="00E753B1">
          <w:rPr>
            <w:rFonts w:ascii="Book Antiqua" w:eastAsia="Book Antiqua" w:hAnsi="Book Antiqua" w:cs="Book Antiqua"/>
            <w:color w:val="000000"/>
            <w:vertAlign w:val="superscript"/>
          </w:rPr>
          <w:t>[117]</w:t>
        </w:r>
      </w:hyperlink>
      <w:r w:rsidRPr="00E753B1">
        <w:rPr>
          <w:rFonts w:ascii="Book Antiqua" w:eastAsia="Book Antiqua" w:hAnsi="Book Antiqua" w:cs="Book Antiqua"/>
          <w:color w:val="000000"/>
        </w:rPr>
        <w:t xml:space="preserve"> looked into switching HBV patients with confirmed viral suppression and HBsAg loss from nucleos(t)ide analogs to immunomodulators (IL-2) and therapeutic vaccines with IFN to enhance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loss to achieve HBV virological cure.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loss was documented to be 9.38%, 3.03%, and 3.7% in the IFN/vaccine/IL-2 group, IFN group, and the ETV group, respectively. The higher titers of CD16-NK cells and lower titers of regulatory T cells corresponded to higher response rates of HBsAg loss</w:t>
      </w:r>
      <w:hyperlink r:id="rId133" w:history="1">
        <w:r w:rsidRPr="00E753B1">
          <w:rPr>
            <w:rFonts w:ascii="Book Antiqua" w:eastAsia="Book Antiqua" w:hAnsi="Book Antiqua" w:cs="Book Antiqua"/>
            <w:color w:val="000000"/>
            <w:vertAlign w:val="superscript"/>
          </w:rPr>
          <w:t>[117]</w:t>
        </w:r>
      </w:hyperlink>
      <w:r w:rsidR="00AC3EAA" w:rsidRPr="00E753B1">
        <w:rPr>
          <w:rFonts w:ascii="Book Antiqua" w:eastAsia="Book Antiqua" w:hAnsi="Book Antiqua" w:cs="Book Antiqua"/>
          <w:color w:val="000000"/>
        </w:rPr>
        <w:t xml:space="preserve"> (Table 3)</w:t>
      </w:r>
      <w:r w:rsidRPr="00E753B1">
        <w:rPr>
          <w:rFonts w:ascii="Book Antiqua" w:eastAsia="Book Antiqua" w:hAnsi="Book Antiqua" w:cs="Book Antiqua"/>
          <w:color w:val="000000"/>
        </w:rPr>
        <w:t xml:space="preserve">. </w:t>
      </w:r>
    </w:p>
    <w:p w14:paraId="64AF68BF" w14:textId="77777777" w:rsidR="00A77B3E" w:rsidRPr="00E753B1" w:rsidRDefault="00A77B3E" w:rsidP="00501A87">
      <w:pPr>
        <w:spacing w:line="360" w:lineRule="auto"/>
        <w:jc w:val="both"/>
        <w:rPr>
          <w:rFonts w:ascii="Book Antiqua" w:hAnsi="Book Antiqua"/>
        </w:rPr>
      </w:pPr>
    </w:p>
    <w:p w14:paraId="38524C8A" w14:textId="620D4A8F" w:rsidR="00A77B3E" w:rsidRPr="00501A87" w:rsidRDefault="008067B5" w:rsidP="00501A87">
      <w:pPr>
        <w:spacing w:line="360" w:lineRule="auto"/>
        <w:jc w:val="both"/>
        <w:rPr>
          <w:rFonts w:ascii="Book Antiqua" w:hAnsi="Book Antiqua"/>
        </w:rPr>
      </w:pPr>
      <w:r w:rsidRPr="00C027E0">
        <w:rPr>
          <w:rFonts w:ascii="Book Antiqua" w:eastAsia="Book Antiqua" w:hAnsi="Book Antiqua" w:cs="Book Antiqua"/>
          <w:b/>
          <w:bCs/>
          <w:color w:val="000000"/>
          <w:u w:val="single"/>
        </w:rPr>
        <w:t>HEPATITIS B SPECIAL POPULATIONS</w:t>
      </w:r>
      <w:r w:rsidRPr="00501A87">
        <w:rPr>
          <w:rFonts w:ascii="Book Antiqua" w:eastAsia="Book Antiqua" w:hAnsi="Book Antiqua" w:cs="Book Antiqua"/>
          <w:color w:val="000000"/>
        </w:rPr>
        <w:t xml:space="preserve"> </w:t>
      </w:r>
    </w:p>
    <w:p w14:paraId="20600AE8" w14:textId="1F072223" w:rsidR="00A77B3E" w:rsidRPr="00C027E0" w:rsidRDefault="008067B5" w:rsidP="00501A87">
      <w:pPr>
        <w:spacing w:line="360" w:lineRule="auto"/>
        <w:jc w:val="both"/>
        <w:rPr>
          <w:rFonts w:ascii="Book Antiqua" w:hAnsi="Book Antiqua"/>
          <w:i/>
          <w:iCs/>
        </w:rPr>
      </w:pPr>
      <w:r w:rsidRPr="00C027E0">
        <w:rPr>
          <w:rFonts w:ascii="Book Antiqua" w:eastAsia="Book Antiqua" w:hAnsi="Book Antiqua" w:cs="Book Antiqua"/>
          <w:b/>
          <w:bCs/>
          <w:i/>
          <w:iCs/>
          <w:color w:val="000000"/>
        </w:rPr>
        <w:t xml:space="preserve">Mother to </w:t>
      </w:r>
      <w:r w:rsidR="00C027E0" w:rsidRPr="00C027E0">
        <w:rPr>
          <w:rFonts w:ascii="Book Antiqua" w:eastAsia="Book Antiqua" w:hAnsi="Book Antiqua" w:cs="Book Antiqua"/>
          <w:b/>
          <w:bCs/>
          <w:i/>
          <w:iCs/>
          <w:color w:val="000000"/>
        </w:rPr>
        <w:t>c</w:t>
      </w:r>
      <w:r w:rsidRPr="00C027E0">
        <w:rPr>
          <w:rFonts w:ascii="Book Antiqua" w:eastAsia="Book Antiqua" w:hAnsi="Book Antiqua" w:cs="Book Antiqua"/>
          <w:b/>
          <w:bCs/>
          <w:i/>
          <w:iCs/>
          <w:color w:val="000000"/>
        </w:rPr>
        <w:t xml:space="preserve">hild </w:t>
      </w:r>
      <w:r w:rsidR="00C027E0" w:rsidRPr="00C027E0">
        <w:rPr>
          <w:rFonts w:ascii="Book Antiqua" w:eastAsia="Book Antiqua" w:hAnsi="Book Antiqua" w:cs="Book Antiqua"/>
          <w:b/>
          <w:bCs/>
          <w:i/>
          <w:iCs/>
          <w:color w:val="000000"/>
        </w:rPr>
        <w:t>t</w:t>
      </w:r>
      <w:r w:rsidRPr="00C027E0">
        <w:rPr>
          <w:rFonts w:ascii="Book Antiqua" w:eastAsia="Book Antiqua" w:hAnsi="Book Antiqua" w:cs="Book Antiqua"/>
          <w:b/>
          <w:bCs/>
          <w:i/>
          <w:iCs/>
          <w:color w:val="000000"/>
        </w:rPr>
        <w:t xml:space="preserve">ransmission of </w:t>
      </w:r>
      <w:r w:rsidR="00C027E0" w:rsidRPr="00C027E0">
        <w:rPr>
          <w:rFonts w:ascii="Book Antiqua" w:eastAsia="Book Antiqua" w:hAnsi="Book Antiqua" w:cs="Book Antiqua"/>
          <w:b/>
          <w:bCs/>
          <w:i/>
          <w:iCs/>
          <w:color w:val="000000"/>
        </w:rPr>
        <w:t>h</w:t>
      </w:r>
      <w:r w:rsidRPr="00C027E0">
        <w:rPr>
          <w:rFonts w:ascii="Book Antiqua" w:eastAsia="Book Antiqua" w:hAnsi="Book Antiqua" w:cs="Book Antiqua"/>
          <w:b/>
          <w:bCs/>
          <w:i/>
          <w:iCs/>
          <w:color w:val="000000"/>
        </w:rPr>
        <w:t>epatitis B</w:t>
      </w:r>
    </w:p>
    <w:p w14:paraId="1F8F205A" w14:textId="32169383"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Antiviral therapy has been studied as an intervention to reduce perinatal HBV transmission amongst pregnant women with high HBV viral DNA levels</w:t>
      </w:r>
      <w:hyperlink r:id="rId134" w:history="1">
        <w:r w:rsidRPr="00E753B1">
          <w:rPr>
            <w:rFonts w:ascii="Book Antiqua" w:eastAsia="Book Antiqua" w:hAnsi="Book Antiqua" w:cs="Book Antiqua"/>
            <w:color w:val="000000"/>
            <w:vertAlign w:val="superscript"/>
          </w:rPr>
          <w:t>[9,118,119]</w:t>
        </w:r>
      </w:hyperlink>
      <w:r w:rsidRPr="00E753B1">
        <w:rPr>
          <w:rFonts w:ascii="Book Antiqua" w:eastAsia="Book Antiqua" w:hAnsi="Book Antiqua" w:cs="Book Antiqua"/>
          <w:color w:val="000000"/>
        </w:rPr>
        <w:t>. All newborns born to HBV infected mothers should receive HBIG and HBV vaccine within 12 h of delivery followed by completion of 2 or 3 vaccine series</w:t>
      </w:r>
      <w:hyperlink r:id="rId135" w:history="1">
        <w:r w:rsidRPr="00E753B1">
          <w:rPr>
            <w:rFonts w:ascii="Book Antiqua" w:eastAsia="Book Antiqua" w:hAnsi="Book Antiqua" w:cs="Book Antiqua"/>
            <w:color w:val="000000"/>
            <w:vertAlign w:val="superscript"/>
          </w:rPr>
          <w:t>[47]</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AASLD suggests antiviral therapy starting at 28-32 wk to reduce perinatal HBV transmission when maternal HBV DNA is &gt;</w:t>
      </w:r>
      <w:r w:rsidR="00C027E0"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200000 IU/mL</w:t>
      </w:r>
      <w:hyperlink r:id="rId136" w:history="1">
        <w:r w:rsidRPr="00E753B1">
          <w:rPr>
            <w:rFonts w:ascii="Book Antiqua" w:eastAsia="Book Antiqua" w:hAnsi="Book Antiqua" w:cs="Book Antiqua"/>
            <w:color w:val="000000"/>
            <w:shd w:val="clear" w:color="auto" w:fill="FFFFFF"/>
            <w:vertAlign w:val="superscript"/>
          </w:rPr>
          <w:t>[9]</w:t>
        </w:r>
      </w:hyperlink>
      <w:r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rPr>
        <w:t xml:space="preserve"> Tenofovir is recommended as the preferred agent due to lack of resistance and availability of safety data and the therapy is discontinued at some point between birth and three months postpartum</w:t>
      </w:r>
      <w:hyperlink r:id="rId137" w:history="1">
        <w:r w:rsidRPr="00E753B1">
          <w:rPr>
            <w:rFonts w:ascii="Book Antiqua" w:eastAsia="Book Antiqua" w:hAnsi="Book Antiqua" w:cs="Book Antiqua"/>
            <w:color w:val="000000"/>
            <w:vertAlign w:val="superscript"/>
          </w:rPr>
          <w:t>[9]</w:t>
        </w:r>
      </w:hyperlink>
      <w:r w:rsidRPr="00E753B1">
        <w:rPr>
          <w:rFonts w:ascii="Book Antiqua" w:eastAsia="Book Antiqua" w:hAnsi="Book Antiqua" w:cs="Book Antiqua"/>
          <w:color w:val="000000"/>
        </w:rPr>
        <w:t xml:space="preserve">. </w:t>
      </w:r>
    </w:p>
    <w:p w14:paraId="50D8EDC4" w14:textId="334A77E5"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Cressey </w:t>
      </w:r>
      <w:r w:rsidRPr="00E753B1">
        <w:rPr>
          <w:rFonts w:ascii="Book Antiqua" w:eastAsia="Book Antiqua" w:hAnsi="Book Antiqua" w:cs="Book Antiqua"/>
          <w:i/>
          <w:iCs/>
          <w:color w:val="000000"/>
        </w:rPr>
        <w:t>et al</w:t>
      </w:r>
      <w:hyperlink r:id="rId138" w:history="1">
        <w:r w:rsidR="00C027E0" w:rsidRPr="00E753B1">
          <w:rPr>
            <w:rFonts w:ascii="Book Antiqua" w:eastAsia="Book Antiqua" w:hAnsi="Book Antiqua" w:cs="Book Antiqua"/>
            <w:color w:val="000000"/>
            <w:shd w:val="clear" w:color="auto" w:fill="FFFFFF"/>
            <w:vertAlign w:val="superscript"/>
          </w:rPr>
          <w:t>[120]</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assessed for the first time tenofovir exposure during pregnancy and postpartum in HBV-infected HIV-uninfected women receiving TDF to prevent mother-to-child transmission of HBV.</w:t>
      </w:r>
      <w:r w:rsidRPr="00E753B1">
        <w:rPr>
          <w:rFonts w:ascii="Book Antiqua" w:eastAsia="Book Antiqua" w:hAnsi="Book Antiqua" w:cs="Book Antiqua"/>
          <w:color w:val="000000"/>
        </w:rPr>
        <w:t xml:space="preserve"> They concluded that the</w:t>
      </w:r>
      <w:r w:rsidRPr="00E753B1">
        <w:rPr>
          <w:rFonts w:ascii="Book Antiqua" w:eastAsia="Book Antiqua" w:hAnsi="Book Antiqua" w:cs="Book Antiqua"/>
          <w:color w:val="000000"/>
          <w:shd w:val="clear" w:color="auto" w:fill="FFFFFF"/>
        </w:rPr>
        <w:t xml:space="preserve"> modest reduction in </w:t>
      </w:r>
      <w:r w:rsidR="00C027E0" w:rsidRPr="00E753B1">
        <w:rPr>
          <w:rFonts w:ascii="Book Antiqua" w:eastAsia="Book Antiqua" w:hAnsi="Book Antiqua" w:cs="Book Antiqua"/>
          <w:color w:val="000000"/>
          <w:shd w:val="clear" w:color="auto" w:fill="FFFFFF"/>
        </w:rPr>
        <w:t>tenofovir</w:t>
      </w:r>
      <w:r w:rsidRPr="00E753B1">
        <w:rPr>
          <w:rFonts w:ascii="Book Antiqua" w:eastAsia="Book Antiqua" w:hAnsi="Book Antiqua" w:cs="Book Antiqua"/>
          <w:color w:val="000000"/>
          <w:shd w:val="clear" w:color="auto" w:fill="FFFFFF"/>
        </w:rPr>
        <w:t xml:space="preserve"> exposures observed during pregnancy does not warrant a dose adjustment</w:t>
      </w:r>
      <w:hyperlink r:id="rId139" w:history="1">
        <w:r w:rsidRPr="00E753B1">
          <w:rPr>
            <w:rFonts w:ascii="Book Antiqua" w:eastAsia="Book Antiqua" w:hAnsi="Book Antiqua" w:cs="Book Antiqua"/>
            <w:color w:val="000000"/>
            <w:shd w:val="clear" w:color="auto" w:fill="FFFFFF"/>
            <w:vertAlign w:val="superscript"/>
          </w:rPr>
          <w:t>[120]</w:t>
        </w:r>
      </w:hyperlink>
      <w:r w:rsidRPr="00E753B1">
        <w:rPr>
          <w:rFonts w:ascii="Book Antiqua" w:eastAsia="Book Antiqua" w:hAnsi="Book Antiqua" w:cs="Book Antiqua"/>
          <w:color w:val="000000"/>
        </w:rPr>
        <w:t>.</w:t>
      </w:r>
    </w:p>
    <w:p w14:paraId="3539DE3C" w14:textId="7A36AFE7"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At least two recent studies have demonstrated the safety and efficacy of the addition of TDF to standard newborn immune prophylaxis in reducing </w:t>
      </w:r>
      <w:r w:rsidR="00C027E0" w:rsidRPr="00E753B1">
        <w:rPr>
          <w:rFonts w:ascii="Book Antiqua" w:eastAsia="Book Antiqua" w:hAnsi="Book Antiqua" w:cs="Book Antiqua"/>
          <w:color w:val="000000"/>
        </w:rPr>
        <w:t>m</w:t>
      </w:r>
      <w:r w:rsidRPr="00E753B1">
        <w:rPr>
          <w:rFonts w:ascii="Book Antiqua" w:eastAsia="Book Antiqua" w:hAnsi="Book Antiqua" w:cs="Book Antiqua"/>
          <w:color w:val="000000"/>
        </w:rPr>
        <w:t>aternal to child transmission (MTCT) in pregnant women, with very high viral loads</w:t>
      </w:r>
      <w:hyperlink r:id="rId140" w:history="1">
        <w:r w:rsidRPr="00E753B1">
          <w:rPr>
            <w:rFonts w:ascii="Book Antiqua" w:eastAsia="Book Antiqua" w:hAnsi="Book Antiqua" w:cs="Book Antiqua"/>
            <w:color w:val="000000"/>
            <w:vertAlign w:val="superscript"/>
          </w:rPr>
          <w:t>[121,122]</w:t>
        </w:r>
      </w:hyperlink>
      <w:r w:rsidRPr="00E753B1">
        <w:rPr>
          <w:rFonts w:ascii="Book Antiqua" w:eastAsia="Book Antiqua" w:hAnsi="Book Antiqua" w:cs="Book Antiqua"/>
          <w:color w:val="000000"/>
        </w:rPr>
        <w:t xml:space="preserve">. Alternatively, </w:t>
      </w:r>
      <w:r w:rsidRPr="00E753B1">
        <w:rPr>
          <w:rFonts w:ascii="Book Antiqua" w:eastAsia="Book Antiqua" w:hAnsi="Book Antiqua" w:cs="Book Antiqua"/>
          <w:color w:val="000000"/>
          <w:shd w:val="clear" w:color="auto" w:fill="FFFFFF"/>
        </w:rPr>
        <w:t>in a multicenter, double-blind clinical trial performed in Thailand, authors demonstrated that in a setting in which the rate of mother-to-child HBV transmission was low with the administration of hepatitis B immune globulin and hepatitis B vaccine in infants born to HBeAg-positive mothers, the additional maternal use of TDF did not result in a significantly lower rate of transmission</w:t>
      </w:r>
      <w:hyperlink r:id="rId141" w:history="1">
        <w:r w:rsidRPr="00E753B1">
          <w:rPr>
            <w:rFonts w:ascii="Book Antiqua" w:eastAsia="Book Antiqua" w:hAnsi="Book Antiqua" w:cs="Book Antiqua"/>
            <w:color w:val="000000"/>
            <w:shd w:val="clear" w:color="auto" w:fill="FFFFFF"/>
            <w:vertAlign w:val="superscript"/>
          </w:rPr>
          <w:t>[123]</w:t>
        </w:r>
      </w:hyperlink>
      <w:r w:rsidRPr="00E753B1">
        <w:rPr>
          <w:rFonts w:ascii="Book Antiqua" w:eastAsia="Book Antiqua" w:hAnsi="Book Antiqua" w:cs="Book Antiqua"/>
          <w:color w:val="000000"/>
        </w:rPr>
        <w:t>.</w:t>
      </w:r>
    </w:p>
    <w:p w14:paraId="52C4455F" w14:textId="1DE6EA9A"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These studies reiterate the safety, efficacy, and practicality of Tenofovir in pregnant women at high risk for MTCT of hepatitis B. In their July 2020 guidelines on antiviral prophylaxis in pregnancy, WHO recommends that pregnant women testing positive for HBV infection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 xml:space="preserve">sAg positive) with HBV DNA ≥ 5.3 </w:t>
      </w:r>
      <w:r w:rsidR="00C027E0" w:rsidRPr="00E753B1">
        <w:rPr>
          <w:rFonts w:ascii="Book Antiqua" w:eastAsia="Book Antiqua" w:hAnsi="Book Antiqua" w:cs="Book Antiqua"/>
          <w:color w:val="000000"/>
        </w:rPr>
        <w:t>l</w:t>
      </w:r>
      <w:r w:rsidRPr="00E753B1">
        <w:rPr>
          <w:rFonts w:ascii="Book Antiqua" w:eastAsia="Book Antiqua" w:hAnsi="Book Antiqua" w:cs="Book Antiqua"/>
          <w:color w:val="000000"/>
        </w:rPr>
        <w:t>og10 IU/mL (≥ 200000 IU/mL) receive tenofovir prophylaxis from the 28th week of pregnancy until at least birth, to prevent mother-to-child transmission of HBV. This is in addition to three-dose hepatitis B vaccination in all infants, including timely birth dose</w:t>
      </w:r>
      <w:hyperlink r:id="rId142" w:history="1">
        <w:r w:rsidRPr="00E753B1">
          <w:rPr>
            <w:rFonts w:ascii="Book Antiqua" w:eastAsia="Book Antiqua" w:hAnsi="Book Antiqua" w:cs="Book Antiqua"/>
            <w:color w:val="000000"/>
            <w:vertAlign w:val="superscript"/>
          </w:rPr>
          <w:t>[124]</w:t>
        </w:r>
      </w:hyperlink>
      <w:r w:rsidRPr="00E753B1">
        <w:rPr>
          <w:rFonts w:ascii="Book Antiqua" w:eastAsia="Book Antiqua" w:hAnsi="Book Antiqua" w:cs="Book Antiqua"/>
          <w:color w:val="000000"/>
        </w:rPr>
        <w:t>.</w:t>
      </w:r>
    </w:p>
    <w:p w14:paraId="5A03998D" w14:textId="21D60E5C"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immune-tolerant (HBeAg positive) CHB patients awaiting assisted reproduction, an RCT conducted by Wu </w:t>
      </w:r>
      <w:r w:rsidRPr="00E753B1">
        <w:rPr>
          <w:rFonts w:ascii="Book Antiqua" w:eastAsia="Book Antiqua" w:hAnsi="Book Antiqua" w:cs="Book Antiqua"/>
          <w:i/>
          <w:iCs/>
          <w:color w:val="000000"/>
        </w:rPr>
        <w:t>et al</w:t>
      </w:r>
      <w:hyperlink r:id="rId143" w:history="1">
        <w:r w:rsidR="00C027E0" w:rsidRPr="00E753B1">
          <w:rPr>
            <w:rFonts w:ascii="Book Antiqua" w:eastAsia="Book Antiqua" w:hAnsi="Book Antiqua" w:cs="Book Antiqua"/>
            <w:color w:val="000000"/>
            <w:vertAlign w:val="superscript"/>
          </w:rPr>
          <w:t>[125]</w:t>
        </w:r>
      </w:hyperlink>
      <w:r w:rsidRPr="00E753B1">
        <w:rPr>
          <w:rFonts w:ascii="Book Antiqua" w:eastAsia="Book Antiqua" w:hAnsi="Book Antiqua" w:cs="Book Antiqua"/>
          <w:color w:val="000000"/>
        </w:rPr>
        <w:t xml:space="preserve"> showed greater viral clearance (90%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67.2%,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0.002 at week 12, and 96.6% compared to 85.2% at week 48 respectively) in patients on a combination of TDF and telbivudine, compared to TDF alone. However, there was no difference in the HBeAg seroconversion rates for the two groups (8.3% </w:t>
      </w:r>
      <w:r w:rsidRPr="00E753B1">
        <w:rPr>
          <w:rFonts w:ascii="Book Antiqua" w:eastAsia="Book Antiqua" w:hAnsi="Book Antiqua" w:cs="Book Antiqua"/>
          <w:i/>
          <w:iCs/>
          <w:color w:val="000000"/>
        </w:rPr>
        <w:t>vs</w:t>
      </w:r>
      <w:r w:rsidR="00C027E0"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 xml:space="preserve">3.3%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0.233)</w:t>
      </w:r>
      <w:hyperlink r:id="rId144" w:history="1">
        <w:r w:rsidRPr="00E753B1">
          <w:rPr>
            <w:rFonts w:ascii="Book Antiqua" w:eastAsia="Book Antiqua" w:hAnsi="Book Antiqua" w:cs="Book Antiqua"/>
            <w:color w:val="000000"/>
            <w:vertAlign w:val="superscript"/>
          </w:rPr>
          <w:t>[125]</w:t>
        </w:r>
      </w:hyperlink>
      <w:r w:rsidR="00C027E0" w:rsidRPr="00E753B1">
        <w:rPr>
          <w:rFonts w:ascii="Book Antiqua" w:eastAsia="Book Antiqua" w:hAnsi="Book Antiqua" w:cs="Book Antiqua"/>
          <w:color w:val="000000"/>
          <w:vertAlign w:val="superscript"/>
        </w:rPr>
        <w:t xml:space="preserve"> </w:t>
      </w:r>
      <w:r w:rsidR="00C027E0" w:rsidRPr="00E753B1">
        <w:rPr>
          <w:rFonts w:ascii="Book Antiqua" w:eastAsia="Book Antiqua" w:hAnsi="Book Antiqua" w:cs="Book Antiqua"/>
          <w:color w:val="000000"/>
        </w:rPr>
        <w:t>(Table 3)</w:t>
      </w:r>
      <w:r w:rsidRPr="00E753B1">
        <w:rPr>
          <w:rFonts w:ascii="Book Antiqua" w:eastAsia="Book Antiqua" w:hAnsi="Book Antiqua" w:cs="Book Antiqua"/>
          <w:color w:val="000000"/>
        </w:rPr>
        <w:t xml:space="preserve">. </w:t>
      </w:r>
    </w:p>
    <w:p w14:paraId="5726A5A4" w14:textId="77777777" w:rsidR="00A77B3E" w:rsidRPr="00E753B1" w:rsidRDefault="00A77B3E" w:rsidP="00501A87">
      <w:pPr>
        <w:spacing w:line="360" w:lineRule="auto"/>
        <w:jc w:val="both"/>
        <w:rPr>
          <w:rFonts w:ascii="Book Antiqua" w:hAnsi="Book Antiqua"/>
        </w:rPr>
      </w:pPr>
    </w:p>
    <w:p w14:paraId="00AD623E" w14:textId="6DBFD1AC" w:rsidR="00A77B3E" w:rsidRPr="00E753B1" w:rsidRDefault="008067B5" w:rsidP="00501A87">
      <w:pPr>
        <w:spacing w:line="360" w:lineRule="auto"/>
        <w:jc w:val="both"/>
        <w:rPr>
          <w:rFonts w:ascii="Book Antiqua" w:hAnsi="Book Antiqua"/>
          <w:i/>
          <w:iCs/>
        </w:rPr>
      </w:pPr>
      <w:r w:rsidRPr="00E753B1">
        <w:rPr>
          <w:rFonts w:ascii="Book Antiqua" w:eastAsia="Book Antiqua" w:hAnsi="Book Antiqua" w:cs="Book Antiqua"/>
          <w:b/>
          <w:bCs/>
          <w:i/>
          <w:iCs/>
          <w:color w:val="000000"/>
        </w:rPr>
        <w:t xml:space="preserve">Anticancer </w:t>
      </w:r>
      <w:r w:rsidR="00C027E0" w:rsidRPr="00E753B1">
        <w:rPr>
          <w:rFonts w:ascii="Book Antiqua" w:eastAsia="Book Antiqua" w:hAnsi="Book Antiqua" w:cs="Book Antiqua"/>
          <w:b/>
          <w:bCs/>
          <w:i/>
          <w:iCs/>
          <w:color w:val="000000"/>
        </w:rPr>
        <w:t>t</w:t>
      </w:r>
      <w:r w:rsidRPr="00E753B1">
        <w:rPr>
          <w:rFonts w:ascii="Book Antiqua" w:eastAsia="Book Antiqua" w:hAnsi="Book Antiqua" w:cs="Book Antiqua"/>
          <w:b/>
          <w:bCs/>
          <w:i/>
          <w:iCs/>
          <w:color w:val="000000"/>
        </w:rPr>
        <w:t>herapy</w:t>
      </w:r>
    </w:p>
    <w:p w14:paraId="169E99F3" w14:textId="6FCE8C99"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Previous studies showed that HBV reactivation from anticancer therapies occurred in 41% to 53% of HBsAg-positive, anti-HBc–positive patients, and 8% to 18% of HBsAg-negative, anti-HBc–positive patients</w:t>
      </w:r>
      <w:hyperlink r:id="rId145" w:history="1">
        <w:r w:rsidRPr="00E753B1">
          <w:rPr>
            <w:rFonts w:ascii="Book Antiqua" w:eastAsia="Book Antiqua" w:hAnsi="Book Antiqua" w:cs="Book Antiqua"/>
            <w:color w:val="000000"/>
            <w:vertAlign w:val="superscript"/>
          </w:rPr>
          <w:t>[126,127]</w:t>
        </w:r>
      </w:hyperlink>
      <w:r w:rsidRPr="00E753B1">
        <w:rPr>
          <w:rFonts w:ascii="Book Antiqua" w:eastAsia="Book Antiqua" w:hAnsi="Book Antiqua" w:cs="Book Antiqua"/>
          <w:color w:val="000000"/>
        </w:rPr>
        <w:t>. Those receiving B cell depleting therapies such as Rituximab are considered to be at a higher risk of reactivation</w:t>
      </w:r>
      <w:hyperlink r:id="rId146" w:history="1">
        <w:r w:rsidRPr="00E753B1">
          <w:rPr>
            <w:rFonts w:ascii="Book Antiqua" w:eastAsia="Book Antiqua" w:hAnsi="Book Antiqua" w:cs="Book Antiqua"/>
            <w:color w:val="000000"/>
            <w:vertAlign w:val="superscript"/>
          </w:rPr>
          <w:t>[128</w:t>
        </w:r>
      </w:hyperlink>
      <w:r w:rsidRPr="00E753B1">
        <w:rPr>
          <w:rFonts w:ascii="Book Antiqua" w:eastAsia="Book Antiqua" w:hAnsi="Book Antiqua" w:cs="Book Antiqua"/>
          <w:color w:val="000000"/>
          <w:vertAlign w:val="superscript"/>
        </w:rPr>
        <w:t>,</w:t>
      </w:r>
      <w:hyperlink r:id="rId147" w:history="1">
        <w:r w:rsidRPr="00E753B1">
          <w:rPr>
            <w:rFonts w:ascii="Book Antiqua" w:eastAsia="Book Antiqua" w:hAnsi="Book Antiqua" w:cs="Book Antiqua"/>
            <w:color w:val="000000"/>
            <w:vertAlign w:val="superscript"/>
          </w:rPr>
          <w:t>129]</w:t>
        </w:r>
      </w:hyperlink>
      <w:r w:rsidRPr="00E753B1">
        <w:rPr>
          <w:rFonts w:ascii="Book Antiqua" w:eastAsia="Book Antiqua" w:hAnsi="Book Antiqua" w:cs="Book Antiqua"/>
          <w:color w:val="000000"/>
        </w:rPr>
        <w:t>. The AASLD recommends screening patients requiring chemotherapy with both HBsAg and anti-HBc and prophylaxis with NAs before treatment initiation with B cell depleting therapies such as rituximab</w:t>
      </w:r>
      <w:hyperlink r:id="rId148" w:history="1">
        <w:r w:rsidRPr="00E753B1">
          <w:rPr>
            <w:rFonts w:ascii="Book Antiqua" w:eastAsia="Book Antiqua" w:hAnsi="Book Antiqua" w:cs="Book Antiqua"/>
            <w:color w:val="000000"/>
            <w:vertAlign w:val="superscript"/>
          </w:rPr>
          <w:t>[10]</w:t>
        </w:r>
      </w:hyperlink>
      <w:r w:rsidRPr="00E753B1">
        <w:rPr>
          <w:rFonts w:ascii="Book Antiqua" w:eastAsia="Book Antiqua" w:hAnsi="Book Antiqua" w:cs="Book Antiqua"/>
          <w:color w:val="000000"/>
        </w:rPr>
        <w:t>. The role of baseline anti-HBs testing in this cohort is still not clear. Additionally, the data on hepatitis B reactivation during treatment with some of the newer immunochemotherapy agents such as obinutuzumab and Ibrutinib is sparse.</w:t>
      </w:r>
    </w:p>
    <w:p w14:paraId="49B8B188" w14:textId="581838CF"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In a recent study, 326 patients with prior HBV receiving Obinutuzumab or Rituximab for B-Cell Non-Hodgkin's lymphoma (NHL) either received prophylactic NAs or underwent HBV DNA guided preemptive NA therapy. M</w:t>
      </w:r>
      <w:r w:rsidRPr="00E753B1">
        <w:rPr>
          <w:rFonts w:ascii="Book Antiqua" w:eastAsia="Book Antiqua" w:hAnsi="Book Antiqua" w:cs="Book Antiqua"/>
          <w:color w:val="000000"/>
          <w:shd w:val="clear" w:color="auto" w:fill="FFFFFF"/>
        </w:rPr>
        <w:t>ultivariate regression analysis identified that seronegativity for anti-HBs and detectable HBV DNA levels at baseline (not the drug choice) were associated with increased risk of HBV reactivation</w:t>
      </w:r>
      <w:hyperlink r:id="rId149" w:history="1">
        <w:r w:rsidRPr="00E753B1">
          <w:rPr>
            <w:rFonts w:ascii="Book Antiqua" w:eastAsia="Book Antiqua" w:hAnsi="Book Antiqua" w:cs="Book Antiqua"/>
            <w:color w:val="000000"/>
            <w:shd w:val="clear" w:color="auto" w:fill="FFFFFF"/>
            <w:vertAlign w:val="superscript"/>
          </w:rPr>
          <w:t>[130]</w:t>
        </w:r>
      </w:hyperlink>
      <w:r w:rsidRPr="00E753B1">
        <w:rPr>
          <w:rFonts w:ascii="Book Antiqua" w:eastAsia="Book Antiqua" w:hAnsi="Book Antiqua" w:cs="Book Antiqua"/>
          <w:color w:val="000000"/>
        </w:rPr>
        <w:t>. While the reactivation rate was lower for patients receiving prophylactic antivirals, none of the patients in either group developed HBV-related hepatitis</w:t>
      </w:r>
      <w:hyperlink r:id="rId150" w:history="1">
        <w:r w:rsidRPr="00E753B1">
          <w:rPr>
            <w:rFonts w:ascii="Book Antiqua" w:eastAsia="Book Antiqua" w:hAnsi="Book Antiqua" w:cs="Book Antiqua"/>
            <w:color w:val="000000"/>
            <w:vertAlign w:val="superscript"/>
          </w:rPr>
          <w:t>[130]</w:t>
        </w:r>
      </w:hyperlink>
      <w:r w:rsidRPr="00E753B1">
        <w:rPr>
          <w:rFonts w:ascii="Book Antiqua" w:eastAsia="Book Antiqua" w:hAnsi="Book Antiqua" w:cs="Book Antiqua"/>
          <w:color w:val="000000"/>
        </w:rPr>
        <w:t xml:space="preserve">. Results suggest that while prophylactic therapy can prevent reactivation and may be suitable for selected high-risk patients, HBV DNA-guided preemptive therapy can successfully prevent HBV hepatitis during anti-CD20 immunochemotherapy in B-cell NHL. Liu </w:t>
      </w:r>
      <w:r w:rsidRPr="00E753B1">
        <w:rPr>
          <w:rFonts w:ascii="Book Antiqua" w:eastAsia="Book Antiqua" w:hAnsi="Book Antiqua" w:cs="Book Antiqua"/>
          <w:i/>
          <w:iCs/>
          <w:color w:val="000000"/>
        </w:rPr>
        <w:t>et al</w:t>
      </w:r>
      <w:hyperlink r:id="rId151" w:history="1">
        <w:r w:rsidR="00C027E0" w:rsidRPr="00E753B1">
          <w:rPr>
            <w:rFonts w:ascii="Book Antiqua" w:eastAsia="Book Antiqua" w:hAnsi="Book Antiqua" w:cs="Book Antiqua"/>
            <w:color w:val="000000"/>
            <w:vertAlign w:val="superscript"/>
          </w:rPr>
          <w:t>[131]</w:t>
        </w:r>
      </w:hyperlink>
      <w:r w:rsidRPr="00E753B1">
        <w:rPr>
          <w:rFonts w:ascii="Book Antiqua" w:eastAsia="Book Antiqua" w:hAnsi="Book Antiqua" w:cs="Book Antiqua"/>
          <w:color w:val="000000"/>
        </w:rPr>
        <w:t xml:space="preserve"> conducted an RCT on lymphoma patients on chemotherapy with past HBV infection (HBsAg negative, Anti HBV core total antibody positive, and negative HBV DNA), and the study concluded that the prophylactic use of </w:t>
      </w:r>
      <w:r w:rsidR="006313B7" w:rsidRPr="00E753B1">
        <w:rPr>
          <w:rFonts w:ascii="Book Antiqua" w:eastAsia="Book Antiqua" w:hAnsi="Book Antiqua" w:cs="Book Antiqua"/>
          <w:color w:val="000000"/>
        </w:rPr>
        <w:t>ETV</w:t>
      </w:r>
      <w:r w:rsidRPr="00E753B1">
        <w:rPr>
          <w:rFonts w:ascii="Book Antiqua" w:eastAsia="Book Antiqua" w:hAnsi="Book Antiqua" w:cs="Book Antiqua"/>
          <w:color w:val="000000"/>
        </w:rPr>
        <w:t xml:space="preserve"> was not a cost-effective strategy, especially for those with a positive anti-HBs. The HBV reactivation was 3.2% compared to 0%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0.246), in controls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those of prophylactic </w:t>
      </w:r>
      <w:r w:rsidR="006313B7" w:rsidRPr="00E753B1">
        <w:rPr>
          <w:rFonts w:ascii="Book Antiqua" w:eastAsia="Book Antiqua" w:hAnsi="Book Antiqua" w:cs="Book Antiqua"/>
          <w:color w:val="000000"/>
        </w:rPr>
        <w:t>ETV</w:t>
      </w:r>
      <w:hyperlink r:id="rId152" w:history="1">
        <w:r w:rsidRPr="00E753B1">
          <w:rPr>
            <w:rFonts w:ascii="Book Antiqua" w:eastAsia="Book Antiqua" w:hAnsi="Book Antiqua" w:cs="Book Antiqua"/>
            <w:color w:val="000000"/>
            <w:vertAlign w:val="superscript"/>
          </w:rPr>
          <w:t>[131]</w:t>
        </w:r>
      </w:hyperlink>
      <w:r w:rsidRPr="00E753B1">
        <w:rPr>
          <w:rFonts w:ascii="Book Antiqua" w:eastAsia="Book Antiqua" w:hAnsi="Book Antiqua" w:cs="Book Antiqua"/>
          <w:color w:val="000000"/>
        </w:rPr>
        <w:t xml:space="preserve">. In a recent retrospective review, the authors identified two patients suffering from </w:t>
      </w:r>
      <w:r w:rsidR="00C027E0" w:rsidRPr="00E753B1">
        <w:rPr>
          <w:rFonts w:ascii="Book Antiqua" w:eastAsia="Book Antiqua" w:hAnsi="Book Antiqua" w:cs="Book Antiqua"/>
          <w:color w:val="000000"/>
        </w:rPr>
        <w:t>chronic lymphocytic leukemia</w:t>
      </w:r>
      <w:r w:rsidRPr="00E753B1">
        <w:rPr>
          <w:rFonts w:ascii="Book Antiqua" w:eastAsia="Book Antiqua" w:hAnsi="Book Antiqua" w:cs="Book Antiqua"/>
          <w:color w:val="000000"/>
        </w:rPr>
        <w:t xml:space="preserve"> who experienced </w:t>
      </w:r>
      <w:r w:rsidR="00C027E0"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reactivation after treatment with Ibrutinib. The incidence of hepatitis b reactivation, in patients on Ibrutinib, at the Dana-Farber/Harvard Cancer Institute was 9.5% (2 out of the 21 patients with known past HBV infection)</w:t>
      </w:r>
      <w:hyperlink r:id="rId153" w:history="1">
        <w:r w:rsidRPr="00E753B1">
          <w:rPr>
            <w:rFonts w:ascii="Book Antiqua" w:eastAsia="Book Antiqua" w:hAnsi="Book Antiqua" w:cs="Book Antiqua"/>
            <w:color w:val="000000"/>
            <w:vertAlign w:val="superscript"/>
          </w:rPr>
          <w:t>[132]</w:t>
        </w:r>
      </w:hyperlink>
      <w:r w:rsidRPr="00E753B1">
        <w:rPr>
          <w:rFonts w:ascii="Book Antiqua" w:eastAsia="Book Antiqua" w:hAnsi="Book Antiqua" w:cs="Book Antiqua"/>
          <w:color w:val="000000"/>
        </w:rPr>
        <w:t xml:space="preserve">. </w:t>
      </w:r>
    </w:p>
    <w:p w14:paraId="4D7F950F" w14:textId="77777777" w:rsidR="00A77B3E" w:rsidRPr="00E753B1" w:rsidRDefault="00A77B3E" w:rsidP="00501A87">
      <w:pPr>
        <w:spacing w:line="360" w:lineRule="auto"/>
        <w:jc w:val="both"/>
        <w:rPr>
          <w:rFonts w:ascii="Book Antiqua" w:hAnsi="Book Antiqua"/>
        </w:rPr>
      </w:pPr>
    </w:p>
    <w:p w14:paraId="32863472" w14:textId="77777777"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These studies highlight the risk of hepatitis B reactivation with novel agents such as obinutuzumab and ibrutinib, the utility of baseline anti-HBs testing for risk stratification, and argue in favor of close surveillance with preemptive treatment being a safe and cost-effective strategy in these patients. </w:t>
      </w:r>
    </w:p>
    <w:p w14:paraId="7002AF80" w14:textId="181BC5DC"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CHB patients receiving transarterial chemoembolization (TACE) for HCC are at a modestly increased risk for hepatitis B reactivation</w:t>
      </w:r>
      <w:hyperlink r:id="rId154" w:history="1">
        <w:r w:rsidRPr="00E753B1">
          <w:rPr>
            <w:rFonts w:ascii="Book Antiqua" w:eastAsia="Book Antiqua" w:hAnsi="Book Antiqua" w:cs="Book Antiqua"/>
            <w:color w:val="000000"/>
            <w:vertAlign w:val="superscript"/>
          </w:rPr>
          <w:t>[133,134]</w:t>
        </w:r>
      </w:hyperlink>
      <w:r w:rsidRPr="00E753B1">
        <w:rPr>
          <w:rFonts w:ascii="Book Antiqua" w:eastAsia="Book Antiqua" w:hAnsi="Book Antiqua" w:cs="Book Antiqua"/>
          <w:color w:val="000000"/>
        </w:rPr>
        <w:t xml:space="preserve">. There is a lack of systemic data assessing antivirals' role in this subgroup of patients, and the most recent AASLD guidelines do not address this issue directly as such data from high-quality prospective trials and </w:t>
      </w:r>
      <w:r w:rsidR="00C027E0" w:rsidRPr="00E753B1">
        <w:rPr>
          <w:rFonts w:ascii="Book Antiqua" w:eastAsia="Book Antiqua" w:hAnsi="Book Antiqua" w:cs="Book Antiqua"/>
          <w:color w:val="000000"/>
        </w:rPr>
        <w:t>m</w:t>
      </w:r>
      <w:r w:rsidRPr="00E753B1">
        <w:rPr>
          <w:rFonts w:ascii="Book Antiqua" w:eastAsia="Book Antiqua" w:hAnsi="Book Antiqua" w:cs="Book Antiqua"/>
          <w:color w:val="000000"/>
        </w:rPr>
        <w:t xml:space="preserve">eta-analysis are needed to advance our knowledge of this field. In a recent prospective trial including 98 CHB patients with HCC requiring TACE, prophylactic antivirals were associated with a significant reduction in the incidence of hepatitis b reactivation (5.9%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23.4% </w:t>
      </w:r>
      <w:r w:rsidR="00C027E0"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&lt;</w:t>
      </w:r>
      <w:r w:rsidR="00C027E0"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0.05)</w:t>
      </w:r>
      <w:hyperlink r:id="rId155" w:history="1">
        <w:r w:rsidRPr="00E753B1">
          <w:rPr>
            <w:rFonts w:ascii="Book Antiqua" w:eastAsia="Book Antiqua" w:hAnsi="Book Antiqua" w:cs="Book Antiqua"/>
            <w:color w:val="000000"/>
            <w:vertAlign w:val="superscript"/>
          </w:rPr>
          <w:t>[135]</w:t>
        </w:r>
      </w:hyperlink>
      <w:r w:rsidRPr="00E753B1">
        <w:rPr>
          <w:rFonts w:ascii="Book Antiqua" w:eastAsia="Book Antiqua" w:hAnsi="Book Antiqua" w:cs="Book Antiqua"/>
          <w:color w:val="000000"/>
          <w:shd w:val="clear" w:color="auto" w:fill="FFFFFF"/>
        </w:rPr>
        <w:t xml:space="preserve">. Zhang </w:t>
      </w:r>
      <w:r w:rsidRPr="00E753B1">
        <w:rPr>
          <w:rFonts w:ascii="Book Antiqua" w:eastAsia="Book Antiqua" w:hAnsi="Book Antiqua" w:cs="Book Antiqua"/>
          <w:i/>
          <w:iCs/>
          <w:color w:val="000000"/>
          <w:shd w:val="clear" w:color="auto" w:fill="FFFFFF"/>
        </w:rPr>
        <w:t>et al</w:t>
      </w:r>
      <w:hyperlink r:id="rId156" w:history="1">
        <w:r w:rsidR="00C027E0" w:rsidRPr="00E753B1">
          <w:rPr>
            <w:rFonts w:ascii="Book Antiqua" w:eastAsia="Book Antiqua" w:hAnsi="Book Antiqua" w:cs="Book Antiqua"/>
            <w:color w:val="000000"/>
            <w:shd w:val="clear" w:color="auto" w:fill="FFFFFF"/>
            <w:vertAlign w:val="superscript"/>
          </w:rPr>
          <w:t>[136]</w:t>
        </w:r>
      </w:hyperlink>
      <w:r w:rsidRPr="00E753B1">
        <w:rPr>
          <w:rFonts w:ascii="Book Antiqua" w:eastAsia="Book Antiqua" w:hAnsi="Book Antiqua" w:cs="Book Antiqua"/>
          <w:color w:val="000000"/>
          <w:shd w:val="clear" w:color="auto" w:fill="FFFFFF"/>
        </w:rPr>
        <w:t xml:space="preserve"> recently performed a meta-analysis to investigate the reactivation of HBV following TACE in primary HCC patients (HBV-DNA negative) and evaluate TACE’s effects combined with antiviral therapy. TACE significantly increased the risk of HBV reactivation (OR: 3.70; 95%CI</w:t>
      </w:r>
      <w:r w:rsidR="00C027E0"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 xml:space="preserve">1.45-9.42;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&lt; 0.01) and subsequent hepatitis (OR: 4.30; 95%CI</w:t>
      </w:r>
      <w:r w:rsidR="00C027E0"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2.28-8.13;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&lt; 0.01) in HCC patients. Preventive antiviral therapy reduced the rate of HBV reactivation (OR: 0.08; 95%CI</w:t>
      </w:r>
      <w:r w:rsidR="00C027E0"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0.02-0.32;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&lt; 0.01) and hepatitis (OR: 0.22; 95%CI</w:t>
      </w:r>
      <w:r w:rsidR="00C027E0"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0.06-0.80;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 0.02) in those undergoing TACE</w:t>
      </w:r>
      <w:hyperlink r:id="rId157" w:history="1">
        <w:r w:rsidRPr="00E753B1">
          <w:rPr>
            <w:rFonts w:ascii="Book Antiqua" w:eastAsia="Book Antiqua" w:hAnsi="Book Antiqua" w:cs="Book Antiqua"/>
            <w:color w:val="000000"/>
            <w:shd w:val="clear" w:color="auto" w:fill="FFFFFF"/>
            <w:vertAlign w:val="superscript"/>
          </w:rPr>
          <w:t>[136]</w:t>
        </w:r>
      </w:hyperlink>
      <w:r w:rsidRPr="00E753B1">
        <w:rPr>
          <w:rFonts w:ascii="Book Antiqua" w:eastAsia="Book Antiqua" w:hAnsi="Book Antiqua" w:cs="Book Antiqua"/>
          <w:color w:val="000000"/>
          <w:shd w:val="clear" w:color="auto" w:fill="FFFFFF"/>
        </w:rPr>
        <w:t xml:space="preserve">. A recent multicenter retrospective study evaluated 133 patients receiving radiotherapy +/- TACE for the treatment of HCC, and the effect of antiviral therapy on </w:t>
      </w:r>
      <w:r w:rsidRPr="00E753B1">
        <w:rPr>
          <w:rFonts w:ascii="Book Antiqua" w:eastAsia="Book Antiqua" w:hAnsi="Book Antiqua" w:cs="Book Antiqua"/>
          <w:color w:val="000000"/>
        </w:rPr>
        <w:t xml:space="preserve">HBV reactivation in quiescent HBsAg positive patients after radiotherapy for </w:t>
      </w:r>
      <w:r w:rsidR="00AC3EAA" w:rsidRPr="00E753B1">
        <w:rPr>
          <w:rFonts w:ascii="Book Antiqua" w:eastAsia="Book Antiqua" w:hAnsi="Book Antiqua" w:cs="Book Antiqua"/>
          <w:color w:val="000000"/>
        </w:rPr>
        <w:t>HCC</w:t>
      </w:r>
      <w:r w:rsidRPr="00E753B1">
        <w:rPr>
          <w:rFonts w:ascii="Book Antiqua" w:eastAsia="Book Antiqua" w:hAnsi="Book Antiqua" w:cs="Book Antiqua"/>
          <w:color w:val="000000"/>
        </w:rPr>
        <w:t xml:space="preserve"> was found to be 33.3% in the non-antiviral group, compared to 7.5% in the antiviral group, with a </w:t>
      </w:r>
      <w:r w:rsidR="00C027E0"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&lt; 0.001</w:t>
      </w:r>
      <w:hyperlink r:id="rId158" w:history="1">
        <w:r w:rsidRPr="00E753B1">
          <w:rPr>
            <w:rFonts w:ascii="Book Antiqua" w:eastAsia="Book Antiqua" w:hAnsi="Book Antiqua" w:cs="Book Antiqua"/>
            <w:color w:val="000000"/>
            <w:vertAlign w:val="superscript"/>
          </w:rPr>
          <w:t>[137]</w:t>
        </w:r>
      </w:hyperlink>
      <w:r w:rsidRPr="00E753B1">
        <w:rPr>
          <w:rFonts w:ascii="Book Antiqua" w:eastAsia="Book Antiqua" w:hAnsi="Book Antiqua" w:cs="Book Antiqua"/>
          <w:color w:val="000000"/>
        </w:rPr>
        <w:t xml:space="preserve">. </w:t>
      </w:r>
    </w:p>
    <w:p w14:paraId="3213BF3B" w14:textId="77777777" w:rsidR="00A77B3E" w:rsidRPr="00501A87" w:rsidRDefault="00A77B3E" w:rsidP="00501A87">
      <w:pPr>
        <w:spacing w:line="360" w:lineRule="auto"/>
        <w:jc w:val="both"/>
        <w:rPr>
          <w:rFonts w:ascii="Book Antiqua" w:hAnsi="Book Antiqua"/>
        </w:rPr>
      </w:pPr>
    </w:p>
    <w:p w14:paraId="64833FAB" w14:textId="6E3066D3" w:rsidR="00C027E0" w:rsidRPr="00C027E0" w:rsidRDefault="00C027E0" w:rsidP="00501A87">
      <w:pPr>
        <w:spacing w:line="360" w:lineRule="auto"/>
        <w:jc w:val="both"/>
        <w:rPr>
          <w:rFonts w:ascii="Book Antiqua" w:eastAsia="Book Antiqua" w:hAnsi="Book Antiqua" w:cs="Book Antiqua"/>
          <w:b/>
          <w:bCs/>
          <w:color w:val="000000"/>
          <w:u w:val="single"/>
        </w:rPr>
      </w:pPr>
      <w:r w:rsidRPr="00C027E0">
        <w:rPr>
          <w:rFonts w:ascii="Book Antiqua" w:eastAsia="Book Antiqua" w:hAnsi="Book Antiqua" w:cs="Book Antiqua"/>
          <w:b/>
          <w:bCs/>
          <w:color w:val="000000"/>
          <w:u w:val="single"/>
        </w:rPr>
        <w:t>C</w:t>
      </w:r>
      <w:r>
        <w:rPr>
          <w:rFonts w:ascii="Book Antiqua" w:eastAsia="Book Antiqua" w:hAnsi="Book Antiqua" w:cs="Book Antiqua"/>
          <w:b/>
          <w:bCs/>
          <w:color w:val="000000"/>
          <w:u w:val="single"/>
        </w:rPr>
        <w:t>ORON</w:t>
      </w:r>
      <w:r w:rsidR="00043436">
        <w:rPr>
          <w:rFonts w:ascii="Book Antiqua" w:eastAsia="Book Antiqua" w:hAnsi="Book Antiqua" w:cs="Book Antiqua"/>
          <w:b/>
          <w:bCs/>
          <w:color w:val="000000"/>
          <w:u w:val="single"/>
        </w:rPr>
        <w:t>AVIRUS DISEASE</w:t>
      </w:r>
      <w:r w:rsidRPr="00C027E0">
        <w:rPr>
          <w:rFonts w:ascii="Book Antiqua" w:eastAsia="Book Antiqua" w:hAnsi="Book Antiqua" w:cs="Book Antiqua"/>
          <w:b/>
          <w:bCs/>
          <w:color w:val="000000"/>
          <w:u w:val="single"/>
        </w:rPr>
        <w:t xml:space="preserve"> 2019</w:t>
      </w:r>
    </w:p>
    <w:p w14:paraId="0F97A08E" w14:textId="3914A414"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 xml:space="preserve">Another interesting HBV reactivation phenomenon was described by Liu </w:t>
      </w:r>
      <w:r w:rsidRPr="00E753B1">
        <w:rPr>
          <w:rFonts w:ascii="Book Antiqua" w:eastAsia="Book Antiqua" w:hAnsi="Book Antiqua" w:cs="Book Antiqua"/>
          <w:i/>
          <w:iCs/>
          <w:color w:val="000000"/>
        </w:rPr>
        <w:t>et al</w:t>
      </w:r>
      <w:hyperlink r:id="rId159" w:history="1">
        <w:r w:rsidR="00C027E0" w:rsidRPr="00E753B1">
          <w:rPr>
            <w:rFonts w:ascii="Book Antiqua" w:eastAsia="Book Antiqua" w:hAnsi="Book Antiqua" w:cs="Book Antiqua"/>
            <w:color w:val="000000"/>
            <w:vertAlign w:val="superscript"/>
          </w:rPr>
          <w:t>[138]</w:t>
        </w:r>
      </w:hyperlink>
      <w:r w:rsidRPr="00E753B1">
        <w:rPr>
          <w:rFonts w:ascii="Book Antiqua" w:eastAsia="Book Antiqua" w:hAnsi="Book Antiqua" w:cs="Book Antiqua"/>
          <w:color w:val="000000"/>
        </w:rPr>
        <w:t xml:space="preserve"> in patients who are not necessarily immune-compromised but just infected with </w:t>
      </w:r>
      <w:r w:rsidR="00C027E0" w:rsidRPr="00E753B1">
        <w:rPr>
          <w:rFonts w:ascii="Book Antiqua" w:eastAsia="Book Antiqua" w:hAnsi="Book Antiqua" w:cs="Book Antiqua"/>
          <w:color w:val="000000"/>
        </w:rPr>
        <w:t>coronavirus disease 2019 (</w:t>
      </w:r>
      <w:r w:rsidRPr="00E753B1">
        <w:rPr>
          <w:rFonts w:ascii="Book Antiqua" w:eastAsia="Book Antiqua" w:hAnsi="Book Antiqua" w:cs="Book Antiqua"/>
          <w:color w:val="000000"/>
        </w:rPr>
        <w:t>COVD-19</w:t>
      </w:r>
      <w:r w:rsidR="00C027E0" w:rsidRPr="00E753B1">
        <w:rPr>
          <w:rFonts w:ascii="Book Antiqua" w:eastAsia="Book Antiqua" w:hAnsi="Book Antiqua" w:cs="Book Antiqua"/>
          <w:color w:val="000000"/>
        </w:rPr>
        <w:t>)</w:t>
      </w:r>
      <w:r w:rsidRPr="00E753B1">
        <w:rPr>
          <w:rFonts w:ascii="Book Antiqua" w:eastAsia="Book Antiqua" w:hAnsi="Book Antiqua" w:cs="Book Antiqua"/>
          <w:color w:val="000000"/>
        </w:rPr>
        <w:t>. Liver dysfunction is apparent in COVID-19 patients with/without chronic HBV. COVID-19 patients co-infected with chronic HBV were found to be at risk of hepatitis B reactivation, making it necessary to monitor the liver function of COVID-19 patients concurrently with HBV-DNA levels during the whole disease course</w:t>
      </w:r>
      <w:hyperlink r:id="rId160" w:history="1">
        <w:r w:rsidRPr="00E753B1">
          <w:rPr>
            <w:rFonts w:ascii="Book Antiqua" w:eastAsia="Book Antiqua" w:hAnsi="Book Antiqua" w:cs="Book Antiqua"/>
            <w:color w:val="000000"/>
            <w:vertAlign w:val="superscript"/>
          </w:rPr>
          <w:t>[138]</w:t>
        </w:r>
      </w:hyperlink>
      <w:r w:rsidRPr="00E753B1">
        <w:rPr>
          <w:rFonts w:ascii="Book Antiqua" w:eastAsia="Book Antiqua" w:hAnsi="Book Antiqua" w:cs="Book Antiqua"/>
          <w:color w:val="000000"/>
        </w:rPr>
        <w:t>.</w:t>
      </w:r>
    </w:p>
    <w:p w14:paraId="46F72135" w14:textId="77777777" w:rsidR="00A77B3E" w:rsidRPr="00501A87" w:rsidRDefault="00A77B3E" w:rsidP="00501A87">
      <w:pPr>
        <w:spacing w:line="360" w:lineRule="auto"/>
        <w:jc w:val="both"/>
        <w:rPr>
          <w:rFonts w:ascii="Book Antiqua" w:hAnsi="Book Antiqua"/>
        </w:rPr>
      </w:pPr>
    </w:p>
    <w:p w14:paraId="11C1BBE2" w14:textId="77777777" w:rsidR="00A77B3E" w:rsidRPr="006C5018" w:rsidRDefault="008067B5" w:rsidP="00501A87">
      <w:pPr>
        <w:spacing w:line="360" w:lineRule="auto"/>
        <w:jc w:val="both"/>
        <w:rPr>
          <w:rFonts w:ascii="Book Antiqua" w:hAnsi="Book Antiqua"/>
          <w:u w:val="single"/>
        </w:rPr>
      </w:pPr>
      <w:r w:rsidRPr="006C5018">
        <w:rPr>
          <w:rFonts w:ascii="Book Antiqua" w:eastAsia="Book Antiqua" w:hAnsi="Book Antiqua" w:cs="Book Antiqua"/>
          <w:b/>
          <w:bCs/>
          <w:color w:val="000000"/>
          <w:u w:val="single"/>
        </w:rPr>
        <w:t>FUTURE DIRECTIONS</w:t>
      </w:r>
    </w:p>
    <w:p w14:paraId="50518778" w14:textId="77777777"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In November 2019, the NIH hepatitis B cure strategic plan working group released a visionary statement to end the hepatitis B endemic by improved screening, strategies for vaccinations, developing better hepatitis B treatment, and follow-up care. This guidance serves as a foundation for future concerted international efforts and would further help develop novel biomarkers to diagnose disease progression, in addition to novel therapeutics</w:t>
      </w:r>
      <w:hyperlink r:id="rId161" w:history="1">
        <w:r w:rsidRPr="00E753B1">
          <w:rPr>
            <w:rFonts w:ascii="Book Antiqua" w:eastAsia="Book Antiqua" w:hAnsi="Book Antiqua" w:cs="Book Antiqua"/>
            <w:color w:val="000000"/>
            <w:vertAlign w:val="superscript"/>
          </w:rPr>
          <w:t>[139]</w:t>
        </w:r>
      </w:hyperlink>
      <w:r w:rsidRPr="00E753B1">
        <w:rPr>
          <w:rFonts w:ascii="Book Antiqua" w:eastAsia="Book Antiqua" w:hAnsi="Book Antiqua" w:cs="Book Antiqua"/>
          <w:color w:val="000000"/>
        </w:rPr>
        <w:t>. Due to the need for lifelong treatment, adverse effects, poor tolerability, and persistent risk of complications, including HCC, render the current treatments dissatisfactory.</w:t>
      </w:r>
    </w:p>
    <w:p w14:paraId="62C6F38A" w14:textId="6BBC9329"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discovery of NTCP as an HBV receptor on human hepatocytes was the first of many critical discoveries that have revolutionized HBV research. Over the past decade, the discovery has translated into a significantly improved understanding of HBV pathogenesis and led to the development of novel animal models, cell lines, biomarkers, and therapeutic agents. Our armamentarium of potential HBV drugs has undergone a rapid expansion. Direct antivirals currently being studied include HBV entry inhibitors, </w:t>
      </w:r>
      <w:r w:rsidRPr="00E753B1">
        <w:rPr>
          <w:rFonts w:ascii="Book Antiqua" w:eastAsia="Book Antiqua" w:hAnsi="Book Antiqua" w:cs="Book Antiqua"/>
          <w:color w:val="000000"/>
          <w:shd w:val="clear" w:color="auto" w:fill="FFFFFF"/>
        </w:rPr>
        <w:t>capsid assembly modulators, cccDNA destabilizers and endonucleases, HB</w:t>
      </w:r>
      <w:r w:rsidR="00B71582" w:rsidRPr="00E753B1">
        <w:rPr>
          <w:rFonts w:ascii="Book Antiqua" w:eastAsia="Book Antiqua" w:hAnsi="Book Antiqua" w:cs="Book Antiqua"/>
          <w:color w:val="000000"/>
          <w:shd w:val="clear" w:color="auto" w:fill="FFFFFF"/>
        </w:rPr>
        <w:t>X</w:t>
      </w:r>
      <w:r w:rsidRPr="00E753B1">
        <w:rPr>
          <w:rFonts w:ascii="Book Antiqua" w:eastAsia="Book Antiqua" w:hAnsi="Book Antiqua" w:cs="Book Antiqua"/>
          <w:color w:val="000000"/>
          <w:shd w:val="clear" w:color="auto" w:fill="FFFFFF"/>
        </w:rPr>
        <w:t xml:space="preserve"> inhibitors, Inhibitors of gene expression, HBsAg release inhibitors</w:t>
      </w:r>
      <w:hyperlink r:id="rId162"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shd w:val="clear" w:color="auto" w:fill="FFFFFF"/>
        </w:rPr>
        <w:t xml:space="preserve">. These agents are likely going to complement existing treatments rather than replacing them. Given the safety profile of NAs, novel agents will likely be compared and combined with NAs in upcoming trials. The initial cure for HBV will most likely require a combination of agents that modulate viral and host factors at various levels. Given the efficacy of T cells for viral control in acute hepatitis, they have been studied extensively. Novel agents act either through innate and intrinsic cell responses </w:t>
      </w:r>
      <w:r w:rsidR="006C5018"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Toll like receptor agonists, RIG-1) or by targeting adaptive immune responses (checkpoint inhibitors, therapeutic vaccines, genetically engineered T cells/antibodies).</w:t>
      </w:r>
    </w:p>
    <w:p w14:paraId="2DA13126" w14:textId="77777777"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Loss of T cell response to HBV or T cell exhaustion is multifactorial in nature and a major hurdle to the development of immunomodulatory therapeutic agents. These concepts have been incorporated into therapeutic strategies that involve potent adjuvants, monoclonal antibodies, or pattern recognition receptor agonists that alter the liver environment. On the other hand, our understanding of HBV-specific B cells is limited to antibody production, and further studies are required to understand better their cytokine profiles and their role as antigen-presenting cells</w:t>
      </w:r>
      <w:hyperlink r:id="rId163" w:history="1">
        <w:r w:rsidRPr="00E753B1">
          <w:rPr>
            <w:rFonts w:ascii="Book Antiqua" w:eastAsia="Book Antiqua" w:hAnsi="Book Antiqua" w:cs="Book Antiqua"/>
            <w:color w:val="000000"/>
            <w:shd w:val="clear" w:color="auto" w:fill="FFFFFF"/>
            <w:vertAlign w:val="superscript"/>
          </w:rPr>
          <w:t>[108]</w:t>
        </w:r>
      </w:hyperlink>
      <w:r w:rsidRPr="00E753B1">
        <w:rPr>
          <w:rFonts w:ascii="Book Antiqua" w:eastAsia="Book Antiqua" w:hAnsi="Book Antiqua" w:cs="Book Antiqua"/>
          <w:color w:val="000000"/>
          <w:shd w:val="clear" w:color="auto" w:fill="FFFFFF"/>
        </w:rPr>
        <w:t>.</w:t>
      </w:r>
    </w:p>
    <w:p w14:paraId="1094B96B" w14:textId="77777777"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Another major limitation to preclinical testing of novel agents is the lack of optimal animal models. </w:t>
      </w:r>
      <w:r w:rsidRPr="00E753B1">
        <w:rPr>
          <w:rFonts w:ascii="Book Antiqua" w:eastAsia="Book Antiqua" w:hAnsi="Book Antiqua" w:cs="Book Antiqua"/>
          <w:color w:val="000000"/>
          <w:shd w:val="clear" w:color="auto" w:fill="FFFFFF"/>
        </w:rPr>
        <w:t>Because of the strict species specificity of HBV infection, animal models for studying the host response to the virus and disease pathogenesis have been limited and suboptimal</w:t>
      </w:r>
      <w:hyperlink r:id="rId164" w:history="1">
        <w:r w:rsidRPr="00E753B1">
          <w:rPr>
            <w:rFonts w:ascii="Book Antiqua" w:eastAsia="Book Antiqua" w:hAnsi="Book Antiqua" w:cs="Book Antiqua"/>
            <w:color w:val="000000"/>
            <w:shd w:val="clear" w:color="auto" w:fill="FFFFFF"/>
            <w:vertAlign w:val="superscript"/>
          </w:rPr>
          <w:t>[140]</w:t>
        </w:r>
      </w:hyperlink>
      <w:r w:rsidRPr="00E753B1">
        <w:rPr>
          <w:rFonts w:ascii="Book Antiqua" w:eastAsia="Book Antiqua" w:hAnsi="Book Antiqua" w:cs="Book Antiqua"/>
          <w:color w:val="000000"/>
          <w:shd w:val="clear" w:color="auto" w:fill="FFFFFF"/>
        </w:rPr>
        <w:t>. Chimpanzees are the only nonhuman immune-competent animals that are naturally susceptible to HBV infection. However, given the discontinuation of chimpanzees' use due to bioethical considerations, the only other option is Tupaia (a tree shrew), woodchuck, or mice, all of which have significant drawbacks</w:t>
      </w:r>
      <w:hyperlink r:id="rId165" w:history="1">
        <w:r w:rsidRPr="00E753B1">
          <w:rPr>
            <w:rFonts w:ascii="Book Antiqua" w:eastAsia="Book Antiqua" w:hAnsi="Book Antiqua" w:cs="Book Antiqua"/>
            <w:color w:val="000000"/>
            <w:shd w:val="clear" w:color="auto" w:fill="FFFFFF"/>
            <w:vertAlign w:val="superscript"/>
          </w:rPr>
          <w:t>[141]</w:t>
        </w:r>
      </w:hyperlink>
      <w:r w:rsidRPr="00E753B1">
        <w:rPr>
          <w:rFonts w:ascii="Book Antiqua" w:eastAsia="Book Antiqua" w:hAnsi="Book Antiqua" w:cs="Book Antiqua"/>
          <w:color w:val="000000"/>
          <w:shd w:val="clear" w:color="auto" w:fill="FFFFFF"/>
        </w:rPr>
        <w:t xml:space="preserve">. Future efforts to develop antiviral agents against viral genome reservoir or cccDNA or promote the patient’s antivirus response must include the development of infection models that are durable, stable, and more reflective of the natural HBV life cycle within the human host. </w:t>
      </w:r>
    </w:p>
    <w:p w14:paraId="3499E4E9" w14:textId="77777777"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To this end, drug repurposing may offer reduced effort, time, and cost related to new drugs' the testing and marketing of new drugs. Drug repurposing involves the investigation of existing drugs with demonstrated safety profiles for new therapeutic purposes. Thousands of compounds can be screened for the desired effect using high throughput screening. A recent study demonstrated anti-HBV activity of a repurposed compound SRI-32007 through inhibition of HBV core promoter activity</w:t>
      </w:r>
      <w:hyperlink r:id="rId166" w:history="1">
        <w:r w:rsidRPr="00E753B1">
          <w:rPr>
            <w:rFonts w:ascii="Book Antiqua" w:eastAsia="Book Antiqua" w:hAnsi="Book Antiqua" w:cs="Book Antiqua"/>
            <w:color w:val="000000"/>
            <w:shd w:val="clear" w:color="auto" w:fill="FFFFFF"/>
            <w:vertAlign w:val="superscript"/>
          </w:rPr>
          <w:t>[142]</w:t>
        </w:r>
      </w:hyperlink>
      <w:r w:rsidRPr="00E753B1">
        <w:rPr>
          <w:rFonts w:ascii="Book Antiqua" w:eastAsia="Book Antiqua" w:hAnsi="Book Antiqua" w:cs="Book Antiqua"/>
          <w:color w:val="000000"/>
          <w:shd w:val="clear" w:color="auto" w:fill="FFFFFF"/>
        </w:rPr>
        <w:t xml:space="preserve">. Drug repurposing may allow for more systematic and substantially less expensive methods to discover new treatments for diseases compared to traditional drug development. </w:t>
      </w:r>
    </w:p>
    <w:p w14:paraId="16A016E8" w14:textId="23E7A150"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To promote and facilitate the planning and execution of new trials in the field of CHB with the ambition of developing a ‘cure’, the European Association for the Study of the Liver and the AASLD jointly organized an HBV Treatment Endpoint Conference</w:t>
      </w:r>
      <w:hyperlink r:id="rId167"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shd w:val="clear" w:color="auto" w:fill="FFFFFF"/>
        </w:rPr>
        <w:t>. The conference provided a strategy for conducting efficient phase II/III trials while maintaining excellent safety profiles. It was agreed upon that the primary endpoint of phase III trials should be HBsAg loss and undetectable HBV DNA 6 mo after completion of treatment. HBsAg loss in ≥</w:t>
      </w:r>
      <w:r w:rsidR="006C5018"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30% of patients after 1 year of therapy is the desired rate of response in these phase III trials.</w:t>
      </w:r>
    </w:p>
    <w:p w14:paraId="6571801A" w14:textId="46717E8D"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 comprehensive collaboration within the scientific community is required to standardize definitions, methods, and endpoints to achieve a complete understanding of viral biology and develop novel therapies in a time and cost-effective manner. That will be, however, just the beginning of the global battle against HBV. The WHO has identified significant barriers that hinder efforts to prevent and treat </w:t>
      </w:r>
      <w:r w:rsidR="00D43CC1" w:rsidRPr="00E753B1">
        <w:rPr>
          <w:rFonts w:ascii="Book Antiqua" w:eastAsia="Book Antiqua" w:hAnsi="Book Antiqua" w:cs="Book Antiqua"/>
          <w:color w:val="000000"/>
        </w:rPr>
        <w:t>CHB</w:t>
      </w:r>
      <w:r w:rsidRPr="00E753B1">
        <w:rPr>
          <w:rFonts w:ascii="Book Antiqua" w:eastAsia="Book Antiqua" w:hAnsi="Book Antiqua" w:cs="Book Antiqua"/>
          <w:color w:val="000000"/>
        </w:rPr>
        <w:t xml:space="preserve"> in the most vulnerable populations. Structural barriers include inadequate leadership, commitment, coverage of prevention programs, data, and a lack of public health approach to hepatitis. Personal barriers include lack of education/insight, widespread stigma, and discrimination, lack of affordability, and healthcare access. With these challenges in mind, the </w:t>
      </w:r>
      <w:r w:rsidR="00D43CC1" w:rsidRPr="00E753B1">
        <w:rPr>
          <w:rFonts w:ascii="Book Antiqua" w:eastAsia="Book Antiqua" w:hAnsi="Book Antiqua" w:cs="Book Antiqua"/>
          <w:color w:val="000000"/>
        </w:rPr>
        <w:t>WHO</w:t>
      </w:r>
      <w:r w:rsidRPr="00E753B1">
        <w:rPr>
          <w:rFonts w:ascii="Book Antiqua" w:eastAsia="Book Antiqua" w:hAnsi="Book Antiqua" w:cs="Book Antiqua"/>
          <w:color w:val="000000"/>
        </w:rPr>
        <w:t xml:space="preserve"> has developed a core strategy to eliminate viral hepatitis as a public health threat by 2030, to reduce new infections by 90% and mortality by 65%</w:t>
      </w:r>
      <w:hyperlink r:id="rId168" w:history="1">
        <w:r w:rsidRPr="00E753B1">
          <w:rPr>
            <w:rFonts w:ascii="Book Antiqua" w:eastAsia="Book Antiqua" w:hAnsi="Book Antiqua" w:cs="Book Antiqua"/>
            <w:color w:val="000000"/>
            <w:vertAlign w:val="superscript"/>
          </w:rPr>
          <w:t>[94]</w:t>
        </w:r>
      </w:hyperlink>
      <w:r w:rsidRPr="00E753B1">
        <w:rPr>
          <w:rFonts w:ascii="Book Antiqua" w:eastAsia="Book Antiqua" w:hAnsi="Book Antiqua" w:cs="Book Antiqua"/>
          <w:color w:val="000000"/>
        </w:rPr>
        <w:t xml:space="preserve">. </w:t>
      </w:r>
    </w:p>
    <w:p w14:paraId="4E4C5DEE" w14:textId="5D8510D0"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The cornerstone of this global strategy is going to be a pragmatic and efficient vaccination program. Hepatitis B vaccine is one of the most effective vaccines, with seroconversion rates above 90% when administered properly. Additional studies are needed to identify the host genetic factors and immune mechanisms that lead to a non-response in immunocompetent patients. The vaccination response of the immunocompromised host needs to be better studied, and practical strategies including immune priming need to be developed to achieve higher seroconversion rates. Vaccines biology can potentially help define, at baseline, predictive signatures for subjects generating protective responses following HBV vaccination leading to more personalized vaccination</w:t>
      </w:r>
      <w:hyperlink r:id="rId169" w:history="1">
        <w:r w:rsidRPr="00E753B1">
          <w:rPr>
            <w:rFonts w:ascii="Book Antiqua" w:eastAsia="Book Antiqua" w:hAnsi="Book Antiqua" w:cs="Book Antiqua"/>
            <w:color w:val="000000"/>
            <w:vertAlign w:val="superscript"/>
          </w:rPr>
          <w:t>[143]</w:t>
        </w:r>
      </w:hyperlink>
      <w:r w:rsidRPr="00E753B1">
        <w:rPr>
          <w:rFonts w:ascii="Book Antiqua" w:eastAsia="Book Antiqua" w:hAnsi="Book Antiqua" w:cs="Book Antiqua"/>
          <w:color w:val="000000"/>
        </w:rPr>
        <w:t>. These findings need further testing to validate the concept of baseline predictors and the feasibility and utility of targeted modulation of the immune baseline before vaccinations</w:t>
      </w:r>
      <w:hyperlink r:id="rId170" w:history="1">
        <w:r w:rsidRPr="00E753B1">
          <w:rPr>
            <w:rFonts w:ascii="Book Antiqua" w:eastAsia="Book Antiqua" w:hAnsi="Book Antiqua" w:cs="Book Antiqua"/>
            <w:color w:val="000000"/>
            <w:vertAlign w:val="superscript"/>
          </w:rPr>
          <w:t>[143]</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Elimination of HBV infection as a public health threat requires a reduction in the prevalence of HBsAg to below 0.1% in children five years of age. It can be achieved through universal immunization of newborns against hepatitis B and other interventions to prevent mother-to-child transmission of HBV</w:t>
      </w:r>
      <w:hyperlink r:id="rId171" w:history="1">
        <w:r w:rsidRPr="00E753B1">
          <w:rPr>
            <w:rFonts w:ascii="Book Antiqua" w:eastAsia="Book Antiqua" w:hAnsi="Book Antiqua" w:cs="Book Antiqua"/>
            <w:color w:val="000000"/>
            <w:shd w:val="clear" w:color="auto" w:fill="FFFFFF"/>
            <w:vertAlign w:val="superscript"/>
          </w:rPr>
          <w:t>[124]</w:t>
        </w:r>
      </w:hyperlink>
      <w:r w:rsidRPr="00E753B1">
        <w:rPr>
          <w:rFonts w:ascii="Book Antiqua" w:eastAsia="Book Antiqua" w:hAnsi="Book Antiqua" w:cs="Book Antiqua"/>
          <w:color w:val="000000"/>
          <w:shd w:val="clear" w:color="auto" w:fill="FFFFFF"/>
        </w:rPr>
        <w:t>. Significant challenges include low availability of HBIG due to the lack of resources required for storage and transportation and prohibitive cost. Despite the efficacy of vaccination in reducing MTCT, the birth dose vaccine coverage, especially in the African region, remains low</w:t>
      </w:r>
      <w:hyperlink r:id="rId172" w:history="1">
        <w:r w:rsidRPr="00E753B1">
          <w:rPr>
            <w:rFonts w:ascii="Book Antiqua" w:eastAsia="Book Antiqua" w:hAnsi="Book Antiqua" w:cs="Book Antiqua"/>
            <w:color w:val="000000"/>
            <w:shd w:val="clear" w:color="auto" w:fill="FFFFFF"/>
            <w:vertAlign w:val="superscript"/>
          </w:rPr>
          <w:t>[124]</w:t>
        </w:r>
      </w:hyperlink>
      <w:r w:rsidRPr="00E753B1">
        <w:rPr>
          <w:rFonts w:ascii="Book Antiqua" w:eastAsia="Book Antiqua" w:hAnsi="Book Antiqua" w:cs="Book Antiqua"/>
          <w:color w:val="000000"/>
        </w:rPr>
        <w:t xml:space="preserve">. Lack of infrastructure leads to reduced ability to test for HBV DNA and limits antiviral availability in high-risk populations. The immunocompromised patients also remain at a high risk of reactivation despite an initial vaccination response and positive antibody titers. Researchers have relied on Genome-wide association studies </w:t>
      </w:r>
      <w:r w:rsidR="006C5018" w:rsidRPr="00E753B1">
        <w:rPr>
          <w:rFonts w:ascii="Book Antiqua" w:eastAsia="Book Antiqua" w:hAnsi="Book Antiqua" w:cs="Book Antiqua"/>
          <w:color w:val="000000"/>
        </w:rPr>
        <w:t>genome-wide association studies (GWAS)</w:t>
      </w:r>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to identify the risk loci that predispose to the persistence of HBV infection, non-response to hepatitis B vaccine, and liver disease progression in chronic HBV infections</w:t>
      </w:r>
      <w:hyperlink r:id="rId173" w:history="1">
        <w:r w:rsidRPr="00E753B1">
          <w:rPr>
            <w:rFonts w:ascii="Book Antiqua" w:eastAsia="Book Antiqua" w:hAnsi="Book Antiqua" w:cs="Book Antiqua"/>
            <w:color w:val="000000"/>
            <w:shd w:val="clear" w:color="auto" w:fill="FFFFFF"/>
            <w:vertAlign w:val="superscript"/>
          </w:rPr>
          <w:t>[144]</w:t>
        </w:r>
      </w:hyperlink>
      <w:r w:rsidRPr="00E753B1">
        <w:rPr>
          <w:rFonts w:ascii="Book Antiqua" w:eastAsia="Book Antiqua" w:hAnsi="Book Antiqua" w:cs="Book Antiqua"/>
          <w:color w:val="000000"/>
          <w:shd w:val="clear" w:color="auto" w:fill="FFFFFF"/>
        </w:rPr>
        <w:t>. Additional GWAS and fine-mapping studies, implemented with more refined case-control designs, larger samples, and in other ethnic populations, would further improve our understanding of HBV pathophysiology</w:t>
      </w:r>
      <w:hyperlink r:id="rId174" w:history="1">
        <w:r w:rsidRPr="00E753B1">
          <w:rPr>
            <w:rFonts w:ascii="Book Antiqua" w:eastAsia="Book Antiqua" w:hAnsi="Book Antiqua" w:cs="Book Antiqua"/>
            <w:color w:val="000000"/>
            <w:shd w:val="clear" w:color="auto" w:fill="FFFFFF"/>
            <w:vertAlign w:val="superscript"/>
          </w:rPr>
          <w:t>[144]</w:t>
        </w:r>
      </w:hyperlink>
      <w:r w:rsidR="006C5018" w:rsidRPr="00E753B1">
        <w:rPr>
          <w:rFonts w:ascii="Book Antiqua" w:eastAsia="Book Antiqua" w:hAnsi="Book Antiqua" w:cs="Book Antiqua"/>
          <w:color w:val="000000"/>
          <w:shd w:val="clear" w:color="auto" w:fill="FFFFFF"/>
        </w:rPr>
        <w:t>.</w:t>
      </w:r>
    </w:p>
    <w:p w14:paraId="62BC504C" w14:textId="77777777" w:rsidR="00A77B3E" w:rsidRPr="00501A87" w:rsidRDefault="00A77B3E" w:rsidP="00501A87">
      <w:pPr>
        <w:spacing w:line="360" w:lineRule="auto"/>
        <w:jc w:val="both"/>
        <w:rPr>
          <w:rFonts w:ascii="Book Antiqua" w:hAnsi="Book Antiqua"/>
        </w:rPr>
      </w:pPr>
    </w:p>
    <w:p w14:paraId="6D614F78"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aps/>
          <w:color w:val="000000"/>
          <w:u w:val="single"/>
        </w:rPr>
        <w:t>CONCLUSION</w:t>
      </w:r>
    </w:p>
    <w:p w14:paraId="4932A2F5"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The breakthrough in our understanding of the HBV life cycle has resulted in a plethora of novel direct acting antivirals and immune based therapies being investigated. In the foreseeable future however, novel agents are likely to complement PEG-IFN and NAs than replace them. Recent studies utilizing combination regimens (PEG-IFN plus NA) and a longer duration of treatments with PEG-IFN have shown improved outcomes. Additionally, trials assessing alternate vaccination regimens for primary non-responders, and perinatal NAs for prevention of MTCT in high-risk individuals have shown promise and may alter future guidelines. Studies on novel biomarkers are fraught with technical difficulties, lack of standardization, and small sample size. Despite remarkable efficacy, the hepatitis B vaccine remains poorly utilized in many regions of the world due to a lack of infrastructure and implementation. Data from high-risk populations, most vulnerable to the devastating effects of hepatitis B infection and reactivation remain sparse. Utilization of systems approach, optimization of experimental models, identification and validation of next-generation biomarkers, and precise modulation of the human immune response will be critical for future innovation. Last but not the least, pragmatic management of MTCT and population health-related challenges must be prioritized to produce real-world results.</w:t>
      </w:r>
    </w:p>
    <w:p w14:paraId="12907B26" w14:textId="77777777" w:rsidR="00A77B3E" w:rsidRPr="00501A87" w:rsidRDefault="00A77B3E" w:rsidP="00501A87">
      <w:pPr>
        <w:spacing w:line="360" w:lineRule="auto"/>
        <w:jc w:val="both"/>
        <w:rPr>
          <w:rFonts w:ascii="Book Antiqua" w:hAnsi="Book Antiqua"/>
        </w:rPr>
      </w:pPr>
    </w:p>
    <w:p w14:paraId="4BD12404"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REFERENCES</w:t>
      </w:r>
    </w:p>
    <w:p w14:paraId="5EABF2E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 </w:t>
      </w:r>
      <w:r w:rsidRPr="00501A87">
        <w:rPr>
          <w:rFonts w:ascii="Book Antiqua" w:hAnsi="Book Antiqua"/>
          <w:b/>
          <w:bCs/>
        </w:rPr>
        <w:t>Paraskevis D</w:t>
      </w:r>
      <w:r w:rsidRPr="00501A87">
        <w:rPr>
          <w:rFonts w:ascii="Book Antiqua" w:hAnsi="Book Antiqua"/>
        </w:rPr>
        <w:t xml:space="preserve">, Magiorkinis G, Magiorkinis E, Ho SY, Belshaw R, Allain JP, Hatzakis A. Dating the origin and dispersal of hepatitis B virus infection in humans and primates. </w:t>
      </w:r>
      <w:r w:rsidRPr="00501A87">
        <w:rPr>
          <w:rFonts w:ascii="Book Antiqua" w:hAnsi="Book Antiqua"/>
          <w:i/>
          <w:iCs/>
        </w:rPr>
        <w:t>Hepatology</w:t>
      </w:r>
      <w:r w:rsidRPr="00501A87">
        <w:rPr>
          <w:rFonts w:ascii="Book Antiqua" w:hAnsi="Book Antiqua"/>
        </w:rPr>
        <w:t xml:space="preserve"> 2013; </w:t>
      </w:r>
      <w:r w:rsidRPr="00501A87">
        <w:rPr>
          <w:rFonts w:ascii="Book Antiqua" w:hAnsi="Book Antiqua"/>
          <w:b/>
          <w:bCs/>
        </w:rPr>
        <w:t>57</w:t>
      </w:r>
      <w:r w:rsidRPr="00501A87">
        <w:rPr>
          <w:rFonts w:ascii="Book Antiqua" w:hAnsi="Book Antiqua"/>
        </w:rPr>
        <w:t>: 908-916 [PMID: 22987324 DOI: 10.1002/hep.26079]</w:t>
      </w:r>
    </w:p>
    <w:p w14:paraId="0591729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 </w:t>
      </w:r>
      <w:r w:rsidRPr="00501A87">
        <w:rPr>
          <w:rFonts w:ascii="Book Antiqua" w:hAnsi="Book Antiqua"/>
          <w:b/>
          <w:bCs/>
        </w:rPr>
        <w:t>Lavanchy D</w:t>
      </w:r>
      <w:r w:rsidRPr="00501A87">
        <w:rPr>
          <w:rFonts w:ascii="Book Antiqua" w:hAnsi="Book Antiqua"/>
        </w:rPr>
        <w:t xml:space="preserve">. Hepatitis B virus epidemiology, disease burden, treatment, and current and emerging prevention and control measures. </w:t>
      </w:r>
      <w:r w:rsidRPr="00501A87">
        <w:rPr>
          <w:rFonts w:ascii="Book Antiqua" w:hAnsi="Book Antiqua"/>
          <w:i/>
          <w:iCs/>
        </w:rPr>
        <w:t>J Viral Hepat</w:t>
      </w:r>
      <w:r w:rsidRPr="00501A87">
        <w:rPr>
          <w:rFonts w:ascii="Book Antiqua" w:hAnsi="Book Antiqua"/>
        </w:rPr>
        <w:t xml:space="preserve"> 2004; </w:t>
      </w:r>
      <w:r w:rsidRPr="00501A87">
        <w:rPr>
          <w:rFonts w:ascii="Book Antiqua" w:hAnsi="Book Antiqua"/>
          <w:b/>
          <w:bCs/>
        </w:rPr>
        <w:t>11</w:t>
      </w:r>
      <w:r w:rsidRPr="00501A87">
        <w:rPr>
          <w:rFonts w:ascii="Book Antiqua" w:hAnsi="Book Antiqua"/>
        </w:rPr>
        <w:t>: 97-107 [PMID: 14996343 DOI: 10.1046/j.1365-2893.2003.00487.x]</w:t>
      </w:r>
    </w:p>
    <w:p w14:paraId="37E5BDF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 </w:t>
      </w:r>
      <w:r w:rsidRPr="00501A87">
        <w:rPr>
          <w:rFonts w:ascii="Book Antiqua" w:hAnsi="Book Antiqua"/>
          <w:b/>
          <w:bCs/>
        </w:rPr>
        <w:t>Yuen MF</w:t>
      </w:r>
      <w:r w:rsidRPr="00501A87">
        <w:rPr>
          <w:rFonts w:ascii="Book Antiqua" w:hAnsi="Book Antiqua"/>
        </w:rPr>
        <w:t xml:space="preserve">, Chen DS, Dusheiko GM, Janssen HLA, Lau DTY, Locarnini SA, Peters MG, Lai CL. Hepatitis B virus infection. </w:t>
      </w:r>
      <w:r w:rsidRPr="00501A87">
        <w:rPr>
          <w:rFonts w:ascii="Book Antiqua" w:hAnsi="Book Antiqua"/>
          <w:i/>
          <w:iCs/>
        </w:rPr>
        <w:t>Nat Rev Dis Primers</w:t>
      </w:r>
      <w:r w:rsidRPr="00501A87">
        <w:rPr>
          <w:rFonts w:ascii="Book Antiqua" w:hAnsi="Book Antiqua"/>
        </w:rPr>
        <w:t xml:space="preserve"> 2018; </w:t>
      </w:r>
      <w:r w:rsidRPr="00501A87">
        <w:rPr>
          <w:rFonts w:ascii="Book Antiqua" w:hAnsi="Book Antiqua"/>
          <w:b/>
          <w:bCs/>
        </w:rPr>
        <w:t>4</w:t>
      </w:r>
      <w:r w:rsidRPr="00501A87">
        <w:rPr>
          <w:rFonts w:ascii="Book Antiqua" w:hAnsi="Book Antiqua"/>
        </w:rPr>
        <w:t>: 18035 [PMID: 29877316 DOI: 10.1038/nrdp.2018.35]</w:t>
      </w:r>
    </w:p>
    <w:p w14:paraId="03B53534" w14:textId="2807AD3C" w:rsidR="00501A87" w:rsidRPr="00501A87" w:rsidRDefault="00501A87" w:rsidP="00501A87">
      <w:pPr>
        <w:spacing w:line="360" w:lineRule="auto"/>
        <w:jc w:val="both"/>
        <w:rPr>
          <w:rFonts w:ascii="Book Antiqua" w:hAnsi="Book Antiqua"/>
        </w:rPr>
      </w:pPr>
      <w:r w:rsidRPr="00501A87">
        <w:rPr>
          <w:rFonts w:ascii="Book Antiqua" w:hAnsi="Book Antiqua"/>
        </w:rPr>
        <w:t xml:space="preserve">4 </w:t>
      </w:r>
      <w:r w:rsidR="005D2404" w:rsidRPr="005D2404">
        <w:rPr>
          <w:rFonts w:ascii="Book Antiqua" w:hAnsi="Book Antiqua"/>
          <w:b/>
          <w:bCs/>
        </w:rPr>
        <w:t xml:space="preserve">World Health Organization. </w:t>
      </w:r>
      <w:r w:rsidRPr="00501A87">
        <w:rPr>
          <w:rFonts w:ascii="Book Antiqua" w:hAnsi="Book Antiqua"/>
        </w:rPr>
        <w:t xml:space="preserve">Hepatitis B. [cited </w:t>
      </w:r>
      <w:r w:rsidR="00934A77">
        <w:rPr>
          <w:rFonts w:ascii="Book Antiqua" w:hAnsi="Book Antiqua"/>
        </w:rPr>
        <w:t>21</w:t>
      </w:r>
      <w:r w:rsidRPr="00501A87">
        <w:rPr>
          <w:rFonts w:ascii="Book Antiqua" w:hAnsi="Book Antiqua"/>
        </w:rPr>
        <w:t xml:space="preserve"> Dec</w:t>
      </w:r>
      <w:r w:rsidR="00934A77">
        <w:rPr>
          <w:rFonts w:ascii="Book Antiqua" w:hAnsi="Book Antiqua"/>
        </w:rPr>
        <w:t>ember</w:t>
      </w:r>
      <w:r w:rsidRPr="00501A87">
        <w:rPr>
          <w:rFonts w:ascii="Book Antiqua" w:hAnsi="Book Antiqua"/>
        </w:rPr>
        <w:t xml:space="preserve"> 2</w:t>
      </w:r>
      <w:r w:rsidR="00934A77">
        <w:rPr>
          <w:rFonts w:ascii="Book Antiqua" w:hAnsi="Book Antiqua"/>
        </w:rPr>
        <w:t>020</w:t>
      </w:r>
      <w:r w:rsidRPr="00501A87">
        <w:rPr>
          <w:rFonts w:ascii="Book Antiqua" w:hAnsi="Book Antiqua"/>
        </w:rPr>
        <w:t>]</w:t>
      </w:r>
      <w:r w:rsidR="00934A77">
        <w:rPr>
          <w:rFonts w:ascii="Book Antiqua" w:hAnsi="Book Antiqua"/>
        </w:rPr>
        <w:t xml:space="preserve">. </w:t>
      </w:r>
      <w:r w:rsidRPr="00501A87">
        <w:rPr>
          <w:rFonts w:ascii="Book Antiqua" w:hAnsi="Book Antiqua"/>
        </w:rPr>
        <w:t>Available from: https://www.who.int/news-room/fact-sheets/detail/hepatitis-b</w:t>
      </w:r>
    </w:p>
    <w:p w14:paraId="59C6AD2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 </w:t>
      </w:r>
      <w:r w:rsidRPr="00501A87">
        <w:rPr>
          <w:rFonts w:ascii="Book Antiqua" w:hAnsi="Book Antiqua"/>
          <w:b/>
          <w:bCs/>
        </w:rPr>
        <w:t>Fanning GC</w:t>
      </w:r>
      <w:r w:rsidRPr="00501A87">
        <w:rPr>
          <w:rFonts w:ascii="Book Antiqua" w:hAnsi="Book Antiqua"/>
        </w:rPr>
        <w:t xml:space="preserve">, Zoulim F, Hou J, Bertoletti A. Therapeutic strategies for hepatitis B virus infection: towards a cure. </w:t>
      </w:r>
      <w:r w:rsidRPr="00501A87">
        <w:rPr>
          <w:rFonts w:ascii="Book Antiqua" w:hAnsi="Book Antiqua"/>
          <w:i/>
          <w:iCs/>
        </w:rPr>
        <w:t>Nat Rev Drug Discov</w:t>
      </w:r>
      <w:r w:rsidRPr="00501A87">
        <w:rPr>
          <w:rFonts w:ascii="Book Antiqua" w:hAnsi="Book Antiqua"/>
        </w:rPr>
        <w:t xml:space="preserve"> 2019; </w:t>
      </w:r>
      <w:r w:rsidRPr="00501A87">
        <w:rPr>
          <w:rFonts w:ascii="Book Antiqua" w:hAnsi="Book Antiqua"/>
          <w:b/>
          <w:bCs/>
        </w:rPr>
        <w:t>18</w:t>
      </w:r>
      <w:r w:rsidRPr="00501A87">
        <w:rPr>
          <w:rFonts w:ascii="Book Antiqua" w:hAnsi="Book Antiqua"/>
        </w:rPr>
        <w:t>: 827-844 [PMID: 31455905 DOI: 10.1038/s41573-019-0037-0]</w:t>
      </w:r>
    </w:p>
    <w:p w14:paraId="35EDCA3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 </w:t>
      </w:r>
      <w:r w:rsidRPr="00501A87">
        <w:rPr>
          <w:rFonts w:ascii="Book Antiqua" w:hAnsi="Book Antiqua"/>
          <w:b/>
          <w:bCs/>
        </w:rPr>
        <w:t>Chien RN</w:t>
      </w:r>
      <w:r w:rsidRPr="00501A87">
        <w:rPr>
          <w:rFonts w:ascii="Book Antiqua" w:hAnsi="Book Antiqua"/>
        </w:rPr>
        <w:t xml:space="preserve">, Kao JH, Peng CY, Chen CH, Liu CJ, Huang YH, Hu TH, Yang HI, Lu SN, Ni YH, Chuang WL, Lee CM, Wu JC, Chen PJ, Liaw YF. Taiwan consensus statement on the management of chronic hepatitis B. </w:t>
      </w:r>
      <w:r w:rsidRPr="00501A87">
        <w:rPr>
          <w:rFonts w:ascii="Book Antiqua" w:hAnsi="Book Antiqua"/>
          <w:i/>
          <w:iCs/>
        </w:rPr>
        <w:t>J Formos Med Assoc</w:t>
      </w:r>
      <w:r w:rsidRPr="00501A87">
        <w:rPr>
          <w:rFonts w:ascii="Book Antiqua" w:hAnsi="Book Antiqua"/>
        </w:rPr>
        <w:t xml:space="preserve"> 2019; </w:t>
      </w:r>
      <w:r w:rsidRPr="00501A87">
        <w:rPr>
          <w:rFonts w:ascii="Book Antiqua" w:hAnsi="Book Antiqua"/>
          <w:b/>
          <w:bCs/>
        </w:rPr>
        <w:t>118</w:t>
      </w:r>
      <w:r w:rsidRPr="00501A87">
        <w:rPr>
          <w:rFonts w:ascii="Book Antiqua" w:hAnsi="Book Antiqua"/>
        </w:rPr>
        <w:t>: 7-38 [PMID: 30527436 DOI: 10.1016/j.jfma.2018.11.008]</w:t>
      </w:r>
    </w:p>
    <w:p w14:paraId="7E74B03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 </w:t>
      </w:r>
      <w:r w:rsidRPr="00501A87">
        <w:rPr>
          <w:rFonts w:ascii="Book Antiqua" w:hAnsi="Book Antiqua"/>
          <w:b/>
          <w:bCs/>
        </w:rPr>
        <w:t>European Association for the Study of the Liver. Electronic address: easloffice@easloffice.eu.</w:t>
      </w:r>
      <w:r w:rsidRPr="00501A87">
        <w:rPr>
          <w:rFonts w:ascii="Book Antiqua" w:hAnsi="Book Antiqua"/>
        </w:rPr>
        <w:t xml:space="preserve">; European Association for the Study of the Liver. EASL 2017 Clinical Practice Guidelines on the management of hepatitis B virus infection. </w:t>
      </w:r>
      <w:r w:rsidRPr="00501A87">
        <w:rPr>
          <w:rFonts w:ascii="Book Antiqua" w:hAnsi="Book Antiqua"/>
          <w:i/>
          <w:iCs/>
        </w:rPr>
        <w:t>J Hepatol</w:t>
      </w:r>
      <w:r w:rsidRPr="00501A87">
        <w:rPr>
          <w:rFonts w:ascii="Book Antiqua" w:hAnsi="Book Antiqua"/>
        </w:rPr>
        <w:t xml:space="preserve"> 2017; </w:t>
      </w:r>
      <w:r w:rsidRPr="00501A87">
        <w:rPr>
          <w:rFonts w:ascii="Book Antiqua" w:hAnsi="Book Antiqua"/>
          <w:b/>
          <w:bCs/>
        </w:rPr>
        <w:t>67</w:t>
      </w:r>
      <w:r w:rsidRPr="00501A87">
        <w:rPr>
          <w:rFonts w:ascii="Book Antiqua" w:hAnsi="Book Antiqua"/>
        </w:rPr>
        <w:t>: 370-398 [PMID: 28427875 DOI: 10.1016/j.jhep.2017.03.021]</w:t>
      </w:r>
    </w:p>
    <w:p w14:paraId="5D9A472A"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 </w:t>
      </w:r>
      <w:r w:rsidRPr="00501A87">
        <w:rPr>
          <w:rFonts w:ascii="Book Antiqua" w:hAnsi="Book Antiqua"/>
          <w:b/>
          <w:bCs/>
        </w:rPr>
        <w:t>Sarin SK</w:t>
      </w:r>
      <w:r w:rsidRPr="00501A87">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501A87">
        <w:rPr>
          <w:rFonts w:ascii="Book Antiqua" w:hAnsi="Book Antiqua"/>
          <w:i/>
          <w:iCs/>
        </w:rPr>
        <w:t>Hepatol Int</w:t>
      </w:r>
      <w:r w:rsidRPr="00501A87">
        <w:rPr>
          <w:rFonts w:ascii="Book Antiqua" w:hAnsi="Book Antiqua"/>
        </w:rPr>
        <w:t xml:space="preserve"> 2016; </w:t>
      </w:r>
      <w:r w:rsidRPr="00501A87">
        <w:rPr>
          <w:rFonts w:ascii="Book Antiqua" w:hAnsi="Book Antiqua"/>
          <w:b/>
          <w:bCs/>
        </w:rPr>
        <w:t>10</w:t>
      </w:r>
      <w:r w:rsidRPr="00501A87">
        <w:rPr>
          <w:rFonts w:ascii="Book Antiqua" w:hAnsi="Book Antiqua"/>
        </w:rPr>
        <w:t>: 1-98 [PMID: 26563120 DOI: 10.1007/s12072-015-9675-4]</w:t>
      </w:r>
    </w:p>
    <w:p w14:paraId="02A8EDDA"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 </w:t>
      </w:r>
      <w:r w:rsidRPr="00501A87">
        <w:rPr>
          <w:rFonts w:ascii="Book Antiqua" w:hAnsi="Book Antiqua"/>
          <w:b/>
          <w:bCs/>
        </w:rPr>
        <w:t>Terrault NA</w:t>
      </w:r>
      <w:r w:rsidRPr="00501A87">
        <w:rPr>
          <w:rFonts w:ascii="Book Antiqua" w:hAnsi="Book Antiqua"/>
        </w:rPr>
        <w:t xml:space="preserve">, Bzowej NH, Chang KM, Hwang JP, Jonas MM, Murad MH; American Association for the Study of Liver Diseases. AASLD guidelines for treatment of chronic hepatitis B. </w:t>
      </w:r>
      <w:r w:rsidRPr="00501A87">
        <w:rPr>
          <w:rFonts w:ascii="Book Antiqua" w:hAnsi="Book Antiqua"/>
          <w:i/>
          <w:iCs/>
        </w:rPr>
        <w:t>Hepatology</w:t>
      </w:r>
      <w:r w:rsidRPr="00501A87">
        <w:rPr>
          <w:rFonts w:ascii="Book Antiqua" w:hAnsi="Book Antiqua"/>
        </w:rPr>
        <w:t xml:space="preserve"> 2016; </w:t>
      </w:r>
      <w:r w:rsidRPr="00501A87">
        <w:rPr>
          <w:rFonts w:ascii="Book Antiqua" w:hAnsi="Book Antiqua"/>
          <w:b/>
          <w:bCs/>
        </w:rPr>
        <w:t>63</w:t>
      </w:r>
      <w:r w:rsidRPr="00501A87">
        <w:rPr>
          <w:rFonts w:ascii="Book Antiqua" w:hAnsi="Book Antiqua"/>
        </w:rPr>
        <w:t>: 261-283 [PMID: 26566064 DOI: 10.1002/hep.28156]</w:t>
      </w:r>
    </w:p>
    <w:p w14:paraId="25B984A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 </w:t>
      </w:r>
      <w:r w:rsidRPr="00501A87">
        <w:rPr>
          <w:rFonts w:ascii="Book Antiqua" w:hAnsi="Book Antiqua"/>
          <w:b/>
          <w:bCs/>
        </w:rPr>
        <w:t>Terrault NA</w:t>
      </w:r>
      <w:r w:rsidRPr="00501A87">
        <w:rPr>
          <w:rFonts w:ascii="Book Antiqua" w:hAnsi="Book Antiqua"/>
        </w:rPr>
        <w:t xml:space="preserve">, Lok ASF, McMahon BJ, Chang KM, Hwang JP, Jonas MM, Brown RS Jr, Bzowej NH, Wong JB. Update on prevention, diagnosis, and treatment of chronic hepatitis B: AASLD 2018 hepatitis B guidance. </w:t>
      </w:r>
      <w:r w:rsidRPr="00501A87">
        <w:rPr>
          <w:rFonts w:ascii="Book Antiqua" w:hAnsi="Book Antiqua"/>
          <w:i/>
          <w:iCs/>
        </w:rPr>
        <w:t>Hepatology</w:t>
      </w:r>
      <w:r w:rsidRPr="00501A87">
        <w:rPr>
          <w:rFonts w:ascii="Book Antiqua" w:hAnsi="Book Antiqua"/>
        </w:rPr>
        <w:t xml:space="preserve"> 2018; </w:t>
      </w:r>
      <w:r w:rsidRPr="00501A87">
        <w:rPr>
          <w:rFonts w:ascii="Book Antiqua" w:hAnsi="Book Antiqua"/>
          <w:b/>
          <w:bCs/>
        </w:rPr>
        <w:t>67</w:t>
      </w:r>
      <w:r w:rsidRPr="00501A87">
        <w:rPr>
          <w:rFonts w:ascii="Book Antiqua" w:hAnsi="Book Antiqua"/>
        </w:rPr>
        <w:t>: 1560-1599 [PMID: 29405329 DOI: 10.1002/hep.29800]</w:t>
      </w:r>
    </w:p>
    <w:p w14:paraId="59221CC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 </w:t>
      </w:r>
      <w:r w:rsidRPr="00501A87">
        <w:rPr>
          <w:rFonts w:ascii="Book Antiqua" w:hAnsi="Book Antiqua"/>
          <w:b/>
          <w:bCs/>
        </w:rPr>
        <w:t>Hoofnagle JH</w:t>
      </w:r>
      <w:r w:rsidRPr="00501A87">
        <w:rPr>
          <w:rFonts w:ascii="Book Antiqua" w:hAnsi="Book Antiqua"/>
        </w:rPr>
        <w:t xml:space="preserve">, Di Bisceglie AM. Serologic diagnosis of acute and chronic viral hepatitis. </w:t>
      </w:r>
      <w:r w:rsidRPr="00501A87">
        <w:rPr>
          <w:rFonts w:ascii="Book Antiqua" w:hAnsi="Book Antiqua"/>
          <w:i/>
          <w:iCs/>
        </w:rPr>
        <w:t>Semin Liver Dis</w:t>
      </w:r>
      <w:r w:rsidRPr="00501A87">
        <w:rPr>
          <w:rFonts w:ascii="Book Antiqua" w:hAnsi="Book Antiqua"/>
        </w:rPr>
        <w:t xml:space="preserve"> 1991; </w:t>
      </w:r>
      <w:r w:rsidRPr="00501A87">
        <w:rPr>
          <w:rFonts w:ascii="Book Antiqua" w:hAnsi="Book Antiqua"/>
          <w:b/>
          <w:bCs/>
        </w:rPr>
        <w:t>11</w:t>
      </w:r>
      <w:r w:rsidRPr="00501A87">
        <w:rPr>
          <w:rFonts w:ascii="Book Antiqua" w:hAnsi="Book Antiqua"/>
        </w:rPr>
        <w:t>: 73-83 [PMID: 1909458 DOI: 10.1055/s-2008-1040426]</w:t>
      </w:r>
    </w:p>
    <w:p w14:paraId="0CB7250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 </w:t>
      </w:r>
      <w:r w:rsidRPr="00501A87">
        <w:rPr>
          <w:rFonts w:ascii="Book Antiqua" w:hAnsi="Book Antiqua"/>
          <w:b/>
          <w:bCs/>
        </w:rPr>
        <w:t>US Preventive Services Task Force.</w:t>
      </w:r>
      <w:r w:rsidRPr="00501A87">
        <w:rPr>
          <w:rFonts w:ascii="Book Antiqua" w:hAnsi="Book Antiqua"/>
        </w:rPr>
        <w:t xml:space="preserve">, Krist AH, Davidson KW, Mangione CM, Barry MJ, Cabana M, Caughey AB, Donahue K, Doubeni CA, Epling JW Jr, Kubik M, Ogedegbe G, Owens DK, Pbert L, Silverstein M, Simon MA, Tseng CW, Wong JB. Screening for Hepatitis B Virus Infection in Adolescents and Adults: US Preventive Services Task Force Recommendation Statement. </w:t>
      </w:r>
      <w:r w:rsidRPr="00501A87">
        <w:rPr>
          <w:rFonts w:ascii="Book Antiqua" w:hAnsi="Book Antiqua"/>
          <w:i/>
          <w:iCs/>
        </w:rPr>
        <w:t>JAMA</w:t>
      </w:r>
      <w:r w:rsidRPr="00501A87">
        <w:rPr>
          <w:rFonts w:ascii="Book Antiqua" w:hAnsi="Book Antiqua"/>
        </w:rPr>
        <w:t xml:space="preserve"> 2020; </w:t>
      </w:r>
      <w:r w:rsidRPr="00501A87">
        <w:rPr>
          <w:rFonts w:ascii="Book Antiqua" w:hAnsi="Book Antiqua"/>
          <w:b/>
          <w:bCs/>
        </w:rPr>
        <w:t>324</w:t>
      </w:r>
      <w:r w:rsidRPr="00501A87">
        <w:rPr>
          <w:rFonts w:ascii="Book Antiqua" w:hAnsi="Book Antiqua"/>
        </w:rPr>
        <w:t>: 2415-2422 [PMID: 33320230 DOI: 10.1001/jama.2020.22980]</w:t>
      </w:r>
    </w:p>
    <w:p w14:paraId="69139D5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 </w:t>
      </w:r>
      <w:r w:rsidRPr="00501A87">
        <w:rPr>
          <w:rFonts w:ascii="Book Antiqua" w:hAnsi="Book Antiqua"/>
          <w:b/>
          <w:bCs/>
        </w:rPr>
        <w:t>Cornberg M</w:t>
      </w:r>
      <w:r w:rsidRPr="00501A87">
        <w:rPr>
          <w:rFonts w:ascii="Book Antiqua" w:hAnsi="Book Antiqua"/>
        </w:rPr>
        <w:t>, Lok AS, Terrault NA, Zoulim F; 2019 EASL-AASLD HBV Treatment Endpoints Conference Faculty. Guidance for design and endpoints of clinical trials in chronic hepatitis B - Report from the 2019 EASL-AASLD HBV Treatment Endpoints Conference</w:t>
      </w:r>
      <w:r w:rsidRPr="00501A87">
        <w:rPr>
          <w:rFonts w:ascii="Book Antiqua" w:hAnsi="Book Antiqua"/>
          <w:vertAlign w:val="superscript"/>
        </w:rPr>
        <w:t>‡</w:t>
      </w:r>
      <w:r w:rsidRPr="00501A87">
        <w:rPr>
          <w:rFonts w:ascii="Book Antiqua" w:hAnsi="Book Antiqua"/>
        </w:rPr>
        <w:t xml:space="preserve">. </w:t>
      </w:r>
      <w:r w:rsidRPr="00501A87">
        <w:rPr>
          <w:rFonts w:ascii="Book Antiqua" w:hAnsi="Book Antiqua"/>
          <w:i/>
          <w:iCs/>
        </w:rPr>
        <w:t>J Hepatol</w:t>
      </w:r>
      <w:r w:rsidRPr="00501A87">
        <w:rPr>
          <w:rFonts w:ascii="Book Antiqua" w:hAnsi="Book Antiqua"/>
        </w:rPr>
        <w:t xml:space="preserve"> 2020; </w:t>
      </w:r>
      <w:r w:rsidRPr="00501A87">
        <w:rPr>
          <w:rFonts w:ascii="Book Antiqua" w:hAnsi="Book Antiqua"/>
          <w:b/>
          <w:bCs/>
        </w:rPr>
        <w:t>72</w:t>
      </w:r>
      <w:r w:rsidRPr="00501A87">
        <w:rPr>
          <w:rFonts w:ascii="Book Antiqua" w:hAnsi="Book Antiqua"/>
        </w:rPr>
        <w:t>: 539-557 [PMID: 31730789 DOI: 10.1016/j.jhep.2019.11.003]</w:t>
      </w:r>
    </w:p>
    <w:p w14:paraId="3087BD6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 </w:t>
      </w:r>
      <w:r w:rsidRPr="00501A87">
        <w:rPr>
          <w:rFonts w:ascii="Book Antiqua" w:hAnsi="Book Antiqua"/>
          <w:b/>
          <w:bCs/>
        </w:rPr>
        <w:t>Zhang P</w:t>
      </w:r>
      <w:r w:rsidRPr="00501A87">
        <w:rPr>
          <w:rFonts w:ascii="Book Antiqua" w:hAnsi="Book Antiqua"/>
        </w:rPr>
        <w:t xml:space="preserve">, Du HB, Tong GD, Li XK, Sun XH, Chi XL, Xing YF, Zhou ZH, Li Q, Chen B, Wang H, Wang L, Jin H, Mao DW, Wang XB, Wu QK, Li FP, Hu XY, Lu BJ, Yang ZY, Zhang MX, Shi WB, He Q, Li Y, Jiang KP, Xue JD, Li XD, Jiang JM, Lu W, Tian GJ, Hu ZB, Guo JC, Li CZ, Deng X, Luo XL, Li FY, Zhang XW, Zheng YJ, Zhao G, Wang LC, Wu JH, Guo H, Mi YQ, Gong ZJ, Wang CB, Jiang F, Guo P, Yang XZ, Shi WQ, Yang HZ, Zhou Y, Sun NN, Jiao YT, Gao YQ, Zhou DQ, Ye YA. Serum hepatitis B surface antigen correlates with fibrosis and necroinflammation: A multicentre perspective in China.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1017-1025 [PMID: 29624802 DOI: 10.1111/jvh.12903]</w:t>
      </w:r>
    </w:p>
    <w:p w14:paraId="6279744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15 </w:t>
      </w:r>
      <w:r w:rsidRPr="00501A87">
        <w:rPr>
          <w:rFonts w:ascii="Book Antiqua" w:hAnsi="Book Antiqua"/>
          <w:b/>
          <w:bCs/>
        </w:rPr>
        <w:t>Walsh R</w:t>
      </w:r>
      <w:r w:rsidRPr="00501A87">
        <w:rPr>
          <w:rFonts w:ascii="Book Antiqua" w:hAnsi="Book Antiqua"/>
        </w:rPr>
        <w:t xml:space="preserve">, Hammond R, Yuen L, Deerain J, O'Donnell T, Leary T, Cloherty G, Gaggar A, Kitrinos K, Subramanian M, Wong D, Locarnini S. Predicting HBsAg clearance in genotype A chronic hepatitis B using HBsAg epitope profiling: A biomarker for functional cure. </w:t>
      </w:r>
      <w:r w:rsidRPr="00501A87">
        <w:rPr>
          <w:rFonts w:ascii="Book Antiqua" w:hAnsi="Book Antiqua"/>
          <w:i/>
          <w:iCs/>
        </w:rPr>
        <w:t>Liver Int</w:t>
      </w:r>
      <w:r w:rsidRPr="00501A87">
        <w:rPr>
          <w:rFonts w:ascii="Book Antiqua" w:hAnsi="Book Antiqua"/>
        </w:rPr>
        <w:t xml:space="preserve"> 2019; </w:t>
      </w:r>
      <w:r w:rsidRPr="00501A87">
        <w:rPr>
          <w:rFonts w:ascii="Book Antiqua" w:hAnsi="Book Antiqua"/>
          <w:b/>
          <w:bCs/>
        </w:rPr>
        <w:t>39</w:t>
      </w:r>
      <w:r w:rsidRPr="00501A87">
        <w:rPr>
          <w:rFonts w:ascii="Book Antiqua" w:hAnsi="Book Antiqua"/>
        </w:rPr>
        <w:t>: 2066-2076 [PMID: 31379058 DOI: 10.1111/liv.14207]</w:t>
      </w:r>
    </w:p>
    <w:p w14:paraId="686F990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16 </w:t>
      </w:r>
      <w:r w:rsidRPr="00501A87">
        <w:rPr>
          <w:rFonts w:ascii="Book Antiqua" w:hAnsi="Book Antiqua"/>
          <w:b/>
          <w:bCs/>
        </w:rPr>
        <w:t>Mak LY</w:t>
      </w:r>
      <w:r w:rsidRPr="00501A87">
        <w:rPr>
          <w:rFonts w:ascii="Book Antiqua" w:hAnsi="Book Antiqua"/>
        </w:rPr>
        <w:t xml:space="preserve">, Seto WK, Fung J, Yuen MF. New Biomarkers of Chronic Hepatitis B. </w:t>
      </w:r>
      <w:r w:rsidRPr="00501A87">
        <w:rPr>
          <w:rFonts w:ascii="Book Antiqua" w:hAnsi="Book Antiqua"/>
          <w:i/>
          <w:iCs/>
        </w:rPr>
        <w:t>Gut Liver</w:t>
      </w:r>
      <w:r w:rsidRPr="00501A87">
        <w:rPr>
          <w:rFonts w:ascii="Book Antiqua" w:hAnsi="Book Antiqua"/>
        </w:rPr>
        <w:t xml:space="preserve"> 2019; </w:t>
      </w:r>
      <w:r w:rsidRPr="00501A87">
        <w:rPr>
          <w:rFonts w:ascii="Book Antiqua" w:hAnsi="Book Antiqua"/>
          <w:b/>
          <w:bCs/>
        </w:rPr>
        <w:t>13</w:t>
      </w:r>
      <w:r w:rsidRPr="00501A87">
        <w:rPr>
          <w:rFonts w:ascii="Book Antiqua" w:hAnsi="Book Antiqua"/>
        </w:rPr>
        <w:t>: 589-595 [PMID: 30919601 DOI: 10.5009/gnl18425]</w:t>
      </w:r>
    </w:p>
    <w:p w14:paraId="1C4F2A7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17 </w:t>
      </w:r>
      <w:r w:rsidRPr="00501A87">
        <w:rPr>
          <w:rFonts w:ascii="Book Antiqua" w:hAnsi="Book Antiqua"/>
          <w:b/>
          <w:bCs/>
        </w:rPr>
        <w:t>Durantel D</w:t>
      </w:r>
      <w:r w:rsidRPr="00501A87">
        <w:rPr>
          <w:rFonts w:ascii="Book Antiqua" w:hAnsi="Book Antiqua"/>
        </w:rPr>
        <w:t xml:space="preserve">, Zoulim F. New antiviral targets for innovative treatment concepts for hepatitis B virus and hepatitis delta virus.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64</w:t>
      </w:r>
      <w:r w:rsidRPr="00501A87">
        <w:rPr>
          <w:rFonts w:ascii="Book Antiqua" w:hAnsi="Book Antiqua"/>
        </w:rPr>
        <w:t>: S117-S131 [PMID: 27084032 DOI: 10.1016/j.jhep.2016.02.016]</w:t>
      </w:r>
    </w:p>
    <w:p w14:paraId="241DE20A"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18 </w:t>
      </w:r>
      <w:r w:rsidRPr="00501A87">
        <w:rPr>
          <w:rFonts w:ascii="Book Antiqua" w:hAnsi="Book Antiqua"/>
          <w:b/>
          <w:bCs/>
        </w:rPr>
        <w:t>Kimura T</w:t>
      </w:r>
      <w:r w:rsidRPr="00501A87">
        <w:rPr>
          <w:rFonts w:ascii="Book Antiqua" w:hAnsi="Book Antiqua"/>
        </w:rPr>
        <w:t xml:space="preserve">, Rokuhara A, Sakamoto Y, Yagi S, Tanaka E, Kiyosawa K, Maki N. Sensitive enzyme immunoassay for hepatitis B virus core-related antigens and their correlation to virus load. </w:t>
      </w:r>
      <w:r w:rsidRPr="00501A87">
        <w:rPr>
          <w:rFonts w:ascii="Book Antiqua" w:hAnsi="Book Antiqua"/>
          <w:i/>
          <w:iCs/>
        </w:rPr>
        <w:t>J Clin Microbiol</w:t>
      </w:r>
      <w:r w:rsidRPr="00501A87">
        <w:rPr>
          <w:rFonts w:ascii="Book Antiqua" w:hAnsi="Book Antiqua"/>
        </w:rPr>
        <w:t xml:space="preserve"> 2002; </w:t>
      </w:r>
      <w:r w:rsidRPr="00501A87">
        <w:rPr>
          <w:rFonts w:ascii="Book Antiqua" w:hAnsi="Book Antiqua"/>
          <w:b/>
          <w:bCs/>
        </w:rPr>
        <w:t>40</w:t>
      </w:r>
      <w:r w:rsidRPr="00501A87">
        <w:rPr>
          <w:rFonts w:ascii="Book Antiqua" w:hAnsi="Book Antiqua"/>
        </w:rPr>
        <w:t>: 439-445 [PMID: 11825954 DOI: 10.1128/jcm.40.2.439-445.2002]</w:t>
      </w:r>
    </w:p>
    <w:p w14:paraId="2975714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19 </w:t>
      </w:r>
      <w:r w:rsidRPr="00501A87">
        <w:rPr>
          <w:rFonts w:ascii="Book Antiqua" w:hAnsi="Book Antiqua"/>
          <w:b/>
          <w:bCs/>
        </w:rPr>
        <w:t>Kimura T</w:t>
      </w:r>
      <w:r w:rsidRPr="00501A87">
        <w:rPr>
          <w:rFonts w:ascii="Book Antiqua" w:hAnsi="Book Antiqua"/>
        </w:rPr>
        <w:t xml:space="preserve">, Ohno N, Terada N, Rokuhara A, Matsumoto A, Yagi S, Tanaka E, Kiyosawa K, Ohno S, Maki N. Hepatitis B virus DNA-negative dane particles lack core protein but contain a 22-kDa precore protein without C-terminal arginine-rich domain. </w:t>
      </w:r>
      <w:r w:rsidRPr="00501A87">
        <w:rPr>
          <w:rFonts w:ascii="Book Antiqua" w:hAnsi="Book Antiqua"/>
          <w:i/>
          <w:iCs/>
        </w:rPr>
        <w:t>J Biol Chem</w:t>
      </w:r>
      <w:r w:rsidRPr="00501A87">
        <w:rPr>
          <w:rFonts w:ascii="Book Antiqua" w:hAnsi="Book Antiqua"/>
        </w:rPr>
        <w:t xml:space="preserve"> 2005; </w:t>
      </w:r>
      <w:r w:rsidRPr="00501A87">
        <w:rPr>
          <w:rFonts w:ascii="Book Antiqua" w:hAnsi="Book Antiqua"/>
          <w:b/>
          <w:bCs/>
        </w:rPr>
        <w:t>280</w:t>
      </w:r>
      <w:r w:rsidRPr="00501A87">
        <w:rPr>
          <w:rFonts w:ascii="Book Antiqua" w:hAnsi="Book Antiqua"/>
        </w:rPr>
        <w:t>: 21713-21719 [PMID: 15814524 DOI: 10.1074/jbc.M501564200]</w:t>
      </w:r>
    </w:p>
    <w:p w14:paraId="19885E6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20 </w:t>
      </w:r>
      <w:r w:rsidRPr="00501A87">
        <w:rPr>
          <w:rFonts w:ascii="Book Antiqua" w:hAnsi="Book Antiqua"/>
          <w:b/>
          <w:bCs/>
        </w:rPr>
        <w:t>Seto WK</w:t>
      </w:r>
      <w:r w:rsidRPr="00501A87">
        <w:rPr>
          <w:rFonts w:ascii="Book Antiqua" w:hAnsi="Book Antiqua"/>
        </w:rPr>
        <w:t xml:space="preserve">, Wong DK, Fung J, Huang FY, Liu KS, Lai CL, Yuen MF. Linearized hepatitis B surface antigen and hepatitis B core-related antigen in the natural history of chronic hepatitis B. </w:t>
      </w:r>
      <w:r w:rsidRPr="00501A87">
        <w:rPr>
          <w:rFonts w:ascii="Book Antiqua" w:hAnsi="Book Antiqua"/>
          <w:i/>
          <w:iCs/>
        </w:rPr>
        <w:t>Clin Microbiol Infect</w:t>
      </w:r>
      <w:r w:rsidRPr="00501A87">
        <w:rPr>
          <w:rFonts w:ascii="Book Antiqua" w:hAnsi="Book Antiqua"/>
        </w:rPr>
        <w:t xml:space="preserve"> 2014; </w:t>
      </w:r>
      <w:r w:rsidRPr="00501A87">
        <w:rPr>
          <w:rFonts w:ascii="Book Antiqua" w:hAnsi="Book Antiqua"/>
          <w:b/>
          <w:bCs/>
        </w:rPr>
        <w:t>20</w:t>
      </w:r>
      <w:r w:rsidRPr="00501A87">
        <w:rPr>
          <w:rFonts w:ascii="Book Antiqua" w:hAnsi="Book Antiqua"/>
        </w:rPr>
        <w:t>: 1173-1180 [PMID: 24975365 DOI: 10.1111/1469-0691.12739]</w:t>
      </w:r>
    </w:p>
    <w:p w14:paraId="1F998D0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21 </w:t>
      </w:r>
      <w:r w:rsidRPr="00501A87">
        <w:rPr>
          <w:rFonts w:ascii="Book Antiqua" w:hAnsi="Book Antiqua"/>
          <w:b/>
          <w:bCs/>
        </w:rPr>
        <w:t>Rokuhara A</w:t>
      </w:r>
      <w:r w:rsidRPr="00501A87">
        <w:rPr>
          <w:rFonts w:ascii="Book Antiqua" w:hAnsi="Book Antiqua"/>
        </w:rPr>
        <w:t xml:space="preserve">, Sun X, Tanaka E, Kimura T, Matsumoto A, Yao D, Yin L, Wang N, Maki N, Kiyosawa K. Hepatitis B virus core and core-related antigen quantitation in Chinese patients with chronic genotype B and C hepatitis B virus infection. </w:t>
      </w:r>
      <w:r w:rsidRPr="00501A87">
        <w:rPr>
          <w:rFonts w:ascii="Book Antiqua" w:hAnsi="Book Antiqua"/>
          <w:i/>
          <w:iCs/>
        </w:rPr>
        <w:t>J Gastroenterol Hepatol</w:t>
      </w:r>
      <w:r w:rsidRPr="00501A87">
        <w:rPr>
          <w:rFonts w:ascii="Book Antiqua" w:hAnsi="Book Antiqua"/>
        </w:rPr>
        <w:t xml:space="preserve"> 2005; </w:t>
      </w:r>
      <w:r w:rsidRPr="00501A87">
        <w:rPr>
          <w:rFonts w:ascii="Book Antiqua" w:hAnsi="Book Antiqua"/>
          <w:b/>
          <w:bCs/>
        </w:rPr>
        <w:t>20</w:t>
      </w:r>
      <w:r w:rsidRPr="00501A87">
        <w:rPr>
          <w:rFonts w:ascii="Book Antiqua" w:hAnsi="Book Antiqua"/>
        </w:rPr>
        <w:t>: 1726-1730 [PMID: 16246193 DOI: 10.1111/j.1440-1746.2005.04087.x]</w:t>
      </w:r>
    </w:p>
    <w:p w14:paraId="60C4EF1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22 </w:t>
      </w:r>
      <w:r w:rsidRPr="00501A87">
        <w:rPr>
          <w:rFonts w:ascii="Book Antiqua" w:hAnsi="Book Antiqua"/>
          <w:b/>
          <w:bCs/>
        </w:rPr>
        <w:t>Rokuhara A</w:t>
      </w:r>
      <w:r w:rsidRPr="00501A87">
        <w:rPr>
          <w:rFonts w:ascii="Book Antiqua" w:hAnsi="Book Antiqua"/>
        </w:rPr>
        <w:t xml:space="preserve">, Tanaka E, Matsumoto A, Kimura T, Yamaura T, Orii K, Sun X, Yagi S, Maki N, Kiyosawa K. Clinical evaluation of a new enzyme immunoassay for hepatitis B virus core-related antigen; a marker distinct from viral DNA for monitoring lamivudine treatment. </w:t>
      </w:r>
      <w:r w:rsidRPr="00501A87">
        <w:rPr>
          <w:rFonts w:ascii="Book Antiqua" w:hAnsi="Book Antiqua"/>
          <w:i/>
          <w:iCs/>
        </w:rPr>
        <w:t>J Viral Hepat</w:t>
      </w:r>
      <w:r w:rsidRPr="00501A87">
        <w:rPr>
          <w:rFonts w:ascii="Book Antiqua" w:hAnsi="Book Antiqua"/>
        </w:rPr>
        <w:t xml:space="preserve"> 2003; </w:t>
      </w:r>
      <w:r w:rsidRPr="00501A87">
        <w:rPr>
          <w:rFonts w:ascii="Book Antiqua" w:hAnsi="Book Antiqua"/>
          <w:b/>
          <w:bCs/>
        </w:rPr>
        <w:t>10</w:t>
      </w:r>
      <w:r w:rsidRPr="00501A87">
        <w:rPr>
          <w:rFonts w:ascii="Book Antiqua" w:hAnsi="Book Antiqua"/>
        </w:rPr>
        <w:t>: 324-330 [PMID: 12823601 DOI: 10.1046/j.1365-2893.2003.00437.x]</w:t>
      </w:r>
    </w:p>
    <w:p w14:paraId="7E14DDC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23 </w:t>
      </w:r>
      <w:r w:rsidRPr="00501A87">
        <w:rPr>
          <w:rFonts w:ascii="Book Antiqua" w:hAnsi="Book Antiqua"/>
          <w:b/>
          <w:bCs/>
        </w:rPr>
        <w:t>Wong DK</w:t>
      </w:r>
      <w:r w:rsidRPr="00501A87">
        <w:rPr>
          <w:rFonts w:ascii="Book Antiqua" w:hAnsi="Book Antiqua"/>
        </w:rPr>
        <w:t xml:space="preserve">, Seto WK, Cheung KS, Chong CK, Huang FY, Fung J, Lai CL, Yuen MF. Hepatitis B virus core-related antigen as a surrogate marker for covalently closed circular DNA. </w:t>
      </w:r>
      <w:r w:rsidRPr="00501A87">
        <w:rPr>
          <w:rFonts w:ascii="Book Antiqua" w:hAnsi="Book Antiqua"/>
          <w:i/>
          <w:iCs/>
        </w:rPr>
        <w:t>Liver Int</w:t>
      </w:r>
      <w:r w:rsidRPr="00501A87">
        <w:rPr>
          <w:rFonts w:ascii="Book Antiqua" w:hAnsi="Book Antiqua"/>
        </w:rPr>
        <w:t xml:space="preserve"> 2017; </w:t>
      </w:r>
      <w:r w:rsidRPr="00501A87">
        <w:rPr>
          <w:rFonts w:ascii="Book Antiqua" w:hAnsi="Book Antiqua"/>
          <w:b/>
          <w:bCs/>
        </w:rPr>
        <w:t>37</w:t>
      </w:r>
      <w:r w:rsidRPr="00501A87">
        <w:rPr>
          <w:rFonts w:ascii="Book Antiqua" w:hAnsi="Book Antiqua"/>
        </w:rPr>
        <w:t>: 995-1001 [PMID: 27992681 DOI: 10.1111/liv.13346]</w:t>
      </w:r>
    </w:p>
    <w:p w14:paraId="018D23B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24 </w:t>
      </w:r>
      <w:r w:rsidRPr="00501A87">
        <w:rPr>
          <w:rFonts w:ascii="Book Antiqua" w:hAnsi="Book Antiqua"/>
          <w:b/>
          <w:bCs/>
        </w:rPr>
        <w:t>Tada T</w:t>
      </w:r>
      <w:r w:rsidRPr="00501A87">
        <w:rPr>
          <w:rFonts w:ascii="Book Antiqua" w:hAnsi="Book Antiqua"/>
        </w:rPr>
        <w:t xml:space="preserve">, Kumada T, Toyoda H, Kiriyama S, Tanikawa M, Hisanaga Y, Kanamori A, Kitabatake S, Yama T, Tanaka J. HBcrAg predicts hepatocellular carcinoma development: An analysis using time-dependent receiver operating characteristics.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65</w:t>
      </w:r>
      <w:r w:rsidRPr="00501A87">
        <w:rPr>
          <w:rFonts w:ascii="Book Antiqua" w:hAnsi="Book Antiqua"/>
        </w:rPr>
        <w:t>: 48-56 [PMID: 27034253 DOI: 10.1016/j.jhep.2016.03.013]</w:t>
      </w:r>
    </w:p>
    <w:p w14:paraId="1EA0DAA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25 </w:t>
      </w:r>
      <w:r w:rsidRPr="00501A87">
        <w:rPr>
          <w:rFonts w:ascii="Book Antiqua" w:hAnsi="Book Antiqua"/>
          <w:b/>
          <w:bCs/>
        </w:rPr>
        <w:t>Cheung KS</w:t>
      </w:r>
      <w:r w:rsidRPr="00501A87">
        <w:rPr>
          <w:rFonts w:ascii="Book Antiqua" w:hAnsi="Book Antiqua"/>
        </w:rPr>
        <w:t xml:space="preserve">, Seto WK, Wong DK, Lai CL, Yuen MF. Relationship between HBsAg, HBcrAg and hepatocellular carcinoma in patients with undetectable HBV DNA under nucleos(t)ide therapy. </w:t>
      </w:r>
      <w:r w:rsidRPr="00501A87">
        <w:rPr>
          <w:rFonts w:ascii="Book Antiqua" w:hAnsi="Book Antiqua"/>
          <w:i/>
          <w:iCs/>
        </w:rPr>
        <w:t>J Viral Hepat</w:t>
      </w:r>
      <w:r w:rsidRPr="00501A87">
        <w:rPr>
          <w:rFonts w:ascii="Book Antiqua" w:hAnsi="Book Antiqua"/>
        </w:rPr>
        <w:t xml:space="preserve"> 2017; </w:t>
      </w:r>
      <w:r w:rsidRPr="00501A87">
        <w:rPr>
          <w:rFonts w:ascii="Book Antiqua" w:hAnsi="Book Antiqua"/>
          <w:b/>
          <w:bCs/>
        </w:rPr>
        <w:t>24</w:t>
      </w:r>
      <w:r w:rsidRPr="00501A87">
        <w:rPr>
          <w:rFonts w:ascii="Book Antiqua" w:hAnsi="Book Antiqua"/>
        </w:rPr>
        <w:t>: 654-661 [PMID: 28185363 DOI: 10.1111/jvh.12688]</w:t>
      </w:r>
    </w:p>
    <w:p w14:paraId="1BF1467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26 </w:t>
      </w:r>
      <w:r w:rsidRPr="00501A87">
        <w:rPr>
          <w:rFonts w:ascii="Book Antiqua" w:hAnsi="Book Antiqua"/>
          <w:b/>
          <w:bCs/>
        </w:rPr>
        <w:t>Seto WK</w:t>
      </w:r>
      <w:r w:rsidRPr="00501A87">
        <w:rPr>
          <w:rFonts w:ascii="Book Antiqua" w:hAnsi="Book Antiqua"/>
        </w:rPr>
        <w:t xml:space="preserve">, Wong DK, Chan TS, Hwang YY, Fung J, Liu KS, Gill H, Lam YF, Cheung KS, Lie AK, Lai CL, Kwong YL, Yuen MF. Association of Hepatitis B Core-Related Antigen With Hepatitis B Virus Reactivation in Occult Viral Carriers Undergoing High-Risk Immunosuppressive Therapy. </w:t>
      </w:r>
      <w:r w:rsidRPr="00501A87">
        <w:rPr>
          <w:rFonts w:ascii="Book Antiqua" w:hAnsi="Book Antiqua"/>
          <w:i/>
          <w:iCs/>
        </w:rPr>
        <w:t>Am J Gastroenterol</w:t>
      </w:r>
      <w:r w:rsidRPr="00501A87">
        <w:rPr>
          <w:rFonts w:ascii="Book Antiqua" w:hAnsi="Book Antiqua"/>
        </w:rPr>
        <w:t xml:space="preserve"> 2016; </w:t>
      </w:r>
      <w:r w:rsidRPr="00501A87">
        <w:rPr>
          <w:rFonts w:ascii="Book Antiqua" w:hAnsi="Book Antiqua"/>
          <w:b/>
          <w:bCs/>
        </w:rPr>
        <w:t>111</w:t>
      </w:r>
      <w:r w:rsidRPr="00501A87">
        <w:rPr>
          <w:rFonts w:ascii="Book Antiqua" w:hAnsi="Book Antiqua"/>
        </w:rPr>
        <w:t>: 1788-1795 [PMID: 27644733 DOI: 10.1038/ajg.2016.436]</w:t>
      </w:r>
    </w:p>
    <w:p w14:paraId="1227E8C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27 </w:t>
      </w:r>
      <w:r w:rsidRPr="00501A87">
        <w:rPr>
          <w:rFonts w:ascii="Book Antiqua" w:hAnsi="Book Antiqua"/>
          <w:b/>
          <w:bCs/>
        </w:rPr>
        <w:t>Lee HA</w:t>
      </w:r>
      <w:r w:rsidRPr="00501A87">
        <w:rPr>
          <w:rFonts w:ascii="Book Antiqua" w:hAnsi="Book Antiqua"/>
        </w:rPr>
        <w:t xml:space="preserve">, Seo YS, Park SW, Park SJ, Kim TH, Suh SJ, Jung YK, Kim JH, An H, Yim HJ, Yeon JE, Byun KS, Um SH. Hepatitis B surface antigen titer is a good indicator of durable viral response after entecavir off-treatment for chronic hepatitis B. </w:t>
      </w:r>
      <w:r w:rsidRPr="00501A87">
        <w:rPr>
          <w:rFonts w:ascii="Book Antiqua" w:hAnsi="Book Antiqua"/>
          <w:i/>
          <w:iCs/>
        </w:rPr>
        <w:t>Clin Mol Hepatol</w:t>
      </w:r>
      <w:r w:rsidRPr="00501A87">
        <w:rPr>
          <w:rFonts w:ascii="Book Antiqua" w:hAnsi="Book Antiqua"/>
        </w:rPr>
        <w:t xml:space="preserve"> 2016; </w:t>
      </w:r>
      <w:r w:rsidRPr="00501A87">
        <w:rPr>
          <w:rFonts w:ascii="Book Antiqua" w:hAnsi="Book Antiqua"/>
          <w:b/>
          <w:bCs/>
        </w:rPr>
        <w:t>22</w:t>
      </w:r>
      <w:r w:rsidRPr="00501A87">
        <w:rPr>
          <w:rFonts w:ascii="Book Antiqua" w:hAnsi="Book Antiqua"/>
        </w:rPr>
        <w:t>: 382-389 [PMID: 27729633 DOI: 10.3350/cmh.2016.0047]</w:t>
      </w:r>
    </w:p>
    <w:p w14:paraId="2019F15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28 </w:t>
      </w:r>
      <w:r w:rsidRPr="00501A87">
        <w:rPr>
          <w:rFonts w:ascii="Book Antiqua" w:hAnsi="Book Antiqua"/>
          <w:b/>
          <w:bCs/>
        </w:rPr>
        <w:t>Jung KS</w:t>
      </w:r>
      <w:r w:rsidRPr="00501A87">
        <w:rPr>
          <w:rFonts w:ascii="Book Antiqua" w:hAnsi="Book Antiqua"/>
        </w:rPr>
        <w:t xml:space="preserve">, Park JY, Chon YE, Kim HS, Kang W, Kim BK, Kim SU, Kim do Y, Han KH, Ahn SH. Clinical outcomes and predictors for relapse after cessation of oral antiviral treatment in chronic hepatitis B patients. </w:t>
      </w:r>
      <w:r w:rsidRPr="00501A87">
        <w:rPr>
          <w:rFonts w:ascii="Book Antiqua" w:hAnsi="Book Antiqua"/>
          <w:i/>
          <w:iCs/>
        </w:rPr>
        <w:t>J Gastroenterol</w:t>
      </w:r>
      <w:r w:rsidRPr="00501A87">
        <w:rPr>
          <w:rFonts w:ascii="Book Antiqua" w:hAnsi="Book Antiqua"/>
        </w:rPr>
        <w:t xml:space="preserve"> 2016; </w:t>
      </w:r>
      <w:r w:rsidRPr="00501A87">
        <w:rPr>
          <w:rFonts w:ascii="Book Antiqua" w:hAnsi="Book Antiqua"/>
          <w:b/>
          <w:bCs/>
        </w:rPr>
        <w:t>51</w:t>
      </w:r>
      <w:r w:rsidRPr="00501A87">
        <w:rPr>
          <w:rFonts w:ascii="Book Antiqua" w:hAnsi="Book Antiqua"/>
        </w:rPr>
        <w:t>: 830-839 [PMID: 26687058 DOI: 10.1007/s00535-015-1153-1]</w:t>
      </w:r>
    </w:p>
    <w:p w14:paraId="1E4BC2E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29 </w:t>
      </w:r>
      <w:r w:rsidRPr="00501A87">
        <w:rPr>
          <w:rFonts w:ascii="Book Antiqua" w:hAnsi="Book Antiqua"/>
          <w:b/>
          <w:bCs/>
        </w:rPr>
        <w:t>Wang J</w:t>
      </w:r>
      <w:r w:rsidRPr="00501A87">
        <w:rPr>
          <w:rFonts w:ascii="Book Antiqua" w:hAnsi="Book Antiqua"/>
        </w:rPr>
        <w:t xml:space="preserve">, Shen T, Huang X, Kumar GR, Chen X, Zeng Z, Zhang R, Chen R, Li T, Zhang T, Yuan Q, Li PC, Huang Q, Colonno R, Jia J, Hou J, McCrae MA, Gao Z, Ren H, Xia N, Zhuang H, Lu F. Serum hepatitis B virus RNA is encapsidated pregenome RNA that may be associated with persistence of viral infection and rebound.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65</w:t>
      </w:r>
      <w:r w:rsidRPr="00501A87">
        <w:rPr>
          <w:rFonts w:ascii="Book Antiqua" w:hAnsi="Book Antiqua"/>
        </w:rPr>
        <w:t>: 700-710 [PMID: 27245431 DOI: 10.1016/j.jhep.2016.05.029]</w:t>
      </w:r>
    </w:p>
    <w:p w14:paraId="5B7FD2A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30 </w:t>
      </w:r>
      <w:r w:rsidRPr="00501A87">
        <w:rPr>
          <w:rFonts w:ascii="Book Antiqua" w:hAnsi="Book Antiqua"/>
          <w:b/>
          <w:bCs/>
        </w:rPr>
        <w:t>Butler EK</w:t>
      </w:r>
      <w:r w:rsidRPr="00501A87">
        <w:rPr>
          <w:rFonts w:ascii="Book Antiqua" w:hAnsi="Book Antiqua"/>
        </w:rPr>
        <w:t xml:space="preserve">, Gersch J, McNamara A, Luk KC, Holzmayer V, de Medina M, Schiff E, Kuhns M, Cloherty GA. Hepatitis B Virus Serum DNA andRNA Levels in Nucleos(t)ide Analog-Treated or Untreated Patients During Chronic and Acute Infection. </w:t>
      </w:r>
      <w:r w:rsidRPr="00501A87">
        <w:rPr>
          <w:rFonts w:ascii="Book Antiqua" w:hAnsi="Book Antiqua"/>
          <w:i/>
          <w:iCs/>
        </w:rPr>
        <w:t>Hepatology</w:t>
      </w:r>
      <w:r w:rsidRPr="00501A87">
        <w:rPr>
          <w:rFonts w:ascii="Book Antiqua" w:hAnsi="Book Antiqua"/>
        </w:rPr>
        <w:t xml:space="preserve"> 2018; </w:t>
      </w:r>
      <w:r w:rsidRPr="00501A87">
        <w:rPr>
          <w:rFonts w:ascii="Book Antiqua" w:hAnsi="Book Antiqua"/>
          <w:b/>
          <w:bCs/>
        </w:rPr>
        <w:t>68</w:t>
      </w:r>
      <w:r w:rsidRPr="00501A87">
        <w:rPr>
          <w:rFonts w:ascii="Book Antiqua" w:hAnsi="Book Antiqua"/>
        </w:rPr>
        <w:t>: 2106-2117 [PMID: 29734472 DOI: 10.1002/hep.30082]</w:t>
      </w:r>
    </w:p>
    <w:p w14:paraId="51C1D0A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31 </w:t>
      </w:r>
      <w:r w:rsidRPr="00501A87">
        <w:rPr>
          <w:rFonts w:ascii="Book Antiqua" w:hAnsi="Book Antiqua"/>
          <w:b/>
          <w:bCs/>
        </w:rPr>
        <w:t>Wang J</w:t>
      </w:r>
      <w:r w:rsidRPr="00501A87">
        <w:rPr>
          <w:rFonts w:ascii="Book Antiqua" w:hAnsi="Book Antiqua"/>
        </w:rPr>
        <w:t xml:space="preserve">, Yu Y, Li G, Shen C, Li J, Chen S, Zhang X, Zhu M, Zheng J, Song Z, Wu J, Shao L, Meng Z, Wang X, Huang Y, Zhang J, Qiu C, Zhang W. Natural history of serum HBV-RNA in chronic HBV infection.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1038-1047 [PMID: 29633430 DOI: 10.1111/jvh.12908]</w:t>
      </w:r>
    </w:p>
    <w:p w14:paraId="136EC02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32 </w:t>
      </w:r>
      <w:r w:rsidRPr="00501A87">
        <w:rPr>
          <w:rFonts w:ascii="Book Antiqua" w:hAnsi="Book Antiqua"/>
          <w:b/>
          <w:bCs/>
        </w:rPr>
        <w:t>Gao Y</w:t>
      </w:r>
      <w:r w:rsidRPr="00501A87">
        <w:rPr>
          <w:rFonts w:ascii="Book Antiqua" w:hAnsi="Book Antiqua"/>
        </w:rPr>
        <w:t xml:space="preserve">, Li Y, Meng Q, Zhang Z, Zhao P, Shang Q, Li Y, Su M, Li T, Liu X, Zhuang H. Serum Hepatitis B Virus DNA, RNA, and HBsAg: Which Correlated Better with Intrahepatic Covalently Closed Circular DNA before and after Nucleos(t)ide Analogue Treatment? </w:t>
      </w:r>
      <w:r w:rsidRPr="00501A87">
        <w:rPr>
          <w:rFonts w:ascii="Book Antiqua" w:hAnsi="Book Antiqua"/>
          <w:i/>
          <w:iCs/>
        </w:rPr>
        <w:t>J Clin Microbiol</w:t>
      </w:r>
      <w:r w:rsidRPr="00501A87">
        <w:rPr>
          <w:rFonts w:ascii="Book Antiqua" w:hAnsi="Book Antiqua"/>
        </w:rPr>
        <w:t xml:space="preserve"> 2017; </w:t>
      </w:r>
      <w:r w:rsidRPr="00501A87">
        <w:rPr>
          <w:rFonts w:ascii="Book Antiqua" w:hAnsi="Book Antiqua"/>
          <w:b/>
          <w:bCs/>
        </w:rPr>
        <w:t>55</w:t>
      </w:r>
      <w:r w:rsidRPr="00501A87">
        <w:rPr>
          <w:rFonts w:ascii="Book Antiqua" w:hAnsi="Book Antiqua"/>
        </w:rPr>
        <w:t>: 2972-2982 [PMID: 28747369 DOI: 10.1128/JCM.00760-17]</w:t>
      </w:r>
    </w:p>
    <w:p w14:paraId="1ACE936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33 </w:t>
      </w:r>
      <w:r w:rsidRPr="00501A87">
        <w:rPr>
          <w:rFonts w:ascii="Book Antiqua" w:hAnsi="Book Antiqua"/>
          <w:b/>
          <w:bCs/>
        </w:rPr>
        <w:t>Tsuge M</w:t>
      </w:r>
      <w:r w:rsidRPr="00501A87">
        <w:rPr>
          <w:rFonts w:ascii="Book Antiqua" w:hAnsi="Book Antiqua"/>
        </w:rPr>
        <w:t xml:space="preserve">, Murakami E, Imamura M, Abe H, Miki D, Hiraga N, Takahashi S, Ochi H, Nelson Hayes C, Ginba H, Matsuyama K, Kawakami H, Chayama K. Serum HBV RNA and HBeAg are useful markers for the safe discontinuation of nucleotide analogue treatments in chronic hepatitis B patients. </w:t>
      </w:r>
      <w:r w:rsidRPr="00501A87">
        <w:rPr>
          <w:rFonts w:ascii="Book Antiqua" w:hAnsi="Book Antiqua"/>
          <w:i/>
          <w:iCs/>
        </w:rPr>
        <w:t>J Gastroenterol</w:t>
      </w:r>
      <w:r w:rsidRPr="00501A87">
        <w:rPr>
          <w:rFonts w:ascii="Book Antiqua" w:hAnsi="Book Antiqua"/>
        </w:rPr>
        <w:t xml:space="preserve"> 2013; </w:t>
      </w:r>
      <w:r w:rsidRPr="00501A87">
        <w:rPr>
          <w:rFonts w:ascii="Book Antiqua" w:hAnsi="Book Antiqua"/>
          <w:b/>
          <w:bCs/>
        </w:rPr>
        <w:t>48</w:t>
      </w:r>
      <w:r w:rsidRPr="00501A87">
        <w:rPr>
          <w:rFonts w:ascii="Book Antiqua" w:hAnsi="Book Antiqua"/>
        </w:rPr>
        <w:t>: 1188-1204 [PMID: 23397114 DOI: 10.1007/s00535-012-0737-2]</w:t>
      </w:r>
    </w:p>
    <w:p w14:paraId="01FA8EB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34 </w:t>
      </w:r>
      <w:r w:rsidRPr="00501A87">
        <w:rPr>
          <w:rFonts w:ascii="Book Antiqua" w:hAnsi="Book Antiqua"/>
          <w:b/>
          <w:bCs/>
        </w:rPr>
        <w:t>Chang XJ</w:t>
      </w:r>
      <w:r w:rsidRPr="00501A87">
        <w:rPr>
          <w:rFonts w:ascii="Book Antiqua" w:hAnsi="Book Antiqua"/>
        </w:rPr>
        <w:t xml:space="preserve">, Sun C, Chen Y, Li XD, Yu ZJ, Dong Z, Bai WL, Wang XD, Li ZQ, Chen D, Du WJ, Liao H, Jiang QY, Sun LJ, Li YY, Zhang CH, Xu DP, Chen YP, Li Q, Yang YP. On-treatment monitoring of liver fibrosis with serum hepatitis B core-related antigen in chronic hepatitis B. </w:t>
      </w:r>
      <w:r w:rsidRPr="00501A87">
        <w:rPr>
          <w:rFonts w:ascii="Book Antiqua" w:hAnsi="Book Antiqua"/>
          <w:i/>
          <w:iCs/>
        </w:rPr>
        <w:t>World J Gastroenterol</w:t>
      </w:r>
      <w:r w:rsidRPr="00501A87">
        <w:rPr>
          <w:rFonts w:ascii="Book Antiqua" w:hAnsi="Book Antiqua"/>
        </w:rPr>
        <w:t xml:space="preserve"> 2019; </w:t>
      </w:r>
      <w:r w:rsidRPr="00501A87">
        <w:rPr>
          <w:rFonts w:ascii="Book Antiqua" w:hAnsi="Book Antiqua"/>
          <w:b/>
          <w:bCs/>
        </w:rPr>
        <w:t>25</w:t>
      </w:r>
      <w:r w:rsidRPr="00501A87">
        <w:rPr>
          <w:rFonts w:ascii="Book Antiqua" w:hAnsi="Book Antiqua"/>
        </w:rPr>
        <w:t>: 4764-4778 [PMID: 31528100 DOI: 10.3748/wjg.v25.i32.4764]</w:t>
      </w:r>
    </w:p>
    <w:p w14:paraId="044205A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35 </w:t>
      </w:r>
      <w:r w:rsidRPr="00501A87">
        <w:rPr>
          <w:rFonts w:ascii="Book Antiqua" w:hAnsi="Book Antiqua"/>
          <w:b/>
          <w:bCs/>
        </w:rPr>
        <w:t>Liao H</w:t>
      </w:r>
      <w:r w:rsidRPr="00501A87">
        <w:rPr>
          <w:rFonts w:ascii="Book Antiqua" w:hAnsi="Book Antiqua"/>
        </w:rPr>
        <w:t xml:space="preserve">, Liu Y, Li X, Wang J, Chen X, Zou J, Li Q, Liu L, Wang J, Huang B, Lu F, Xu D. Monitoring of serum HBV RNA, HBcrAg, HBsAg and anti-HBc levels in patients during long-term nucleoside/nucleotide analogue therapy. </w:t>
      </w:r>
      <w:r w:rsidRPr="00501A87">
        <w:rPr>
          <w:rFonts w:ascii="Book Antiqua" w:hAnsi="Book Antiqua"/>
          <w:i/>
          <w:iCs/>
        </w:rPr>
        <w:t>Antivir Ther</w:t>
      </w:r>
      <w:r w:rsidRPr="00501A87">
        <w:rPr>
          <w:rFonts w:ascii="Book Antiqua" w:hAnsi="Book Antiqua"/>
        </w:rPr>
        <w:t xml:space="preserve"> 2019; </w:t>
      </w:r>
      <w:r w:rsidRPr="00501A87">
        <w:rPr>
          <w:rFonts w:ascii="Book Antiqua" w:hAnsi="Book Antiqua"/>
          <w:b/>
          <w:bCs/>
        </w:rPr>
        <w:t>24</w:t>
      </w:r>
      <w:r w:rsidRPr="00501A87">
        <w:rPr>
          <w:rFonts w:ascii="Book Antiqua" w:hAnsi="Book Antiqua"/>
        </w:rPr>
        <w:t>: 105-115 [PMID: 30511941 DOI: 10.3851/IMP3280]</w:t>
      </w:r>
    </w:p>
    <w:p w14:paraId="73E0C01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36 </w:t>
      </w:r>
      <w:r w:rsidRPr="00501A87">
        <w:rPr>
          <w:rFonts w:ascii="Book Antiqua" w:hAnsi="Book Antiqua"/>
          <w:b/>
          <w:bCs/>
        </w:rPr>
        <w:t>Gao M</w:t>
      </w:r>
      <w:r w:rsidRPr="00501A87">
        <w:rPr>
          <w:rFonts w:ascii="Book Antiqua" w:hAnsi="Book Antiqua"/>
        </w:rPr>
        <w:t xml:space="preserve">, Feng C, Ying R, Nie Y, Deng X, Zhu Y, Tang X, Guan Y, Hu F, Li F. A novel one-step quantitative reverse transcription PCR assay for selective amplification of hepatitis B virus pregenomic RNA from a mixture of HBV DNA and RNA in serum. </w:t>
      </w:r>
      <w:r w:rsidRPr="00501A87">
        <w:rPr>
          <w:rFonts w:ascii="Book Antiqua" w:hAnsi="Book Antiqua"/>
          <w:i/>
          <w:iCs/>
        </w:rPr>
        <w:t>Arch Virol</w:t>
      </w:r>
      <w:r w:rsidRPr="00501A87">
        <w:rPr>
          <w:rFonts w:ascii="Book Antiqua" w:hAnsi="Book Antiqua"/>
        </w:rPr>
        <w:t xml:space="preserve"> 2019; </w:t>
      </w:r>
      <w:r w:rsidRPr="00501A87">
        <w:rPr>
          <w:rFonts w:ascii="Book Antiqua" w:hAnsi="Book Antiqua"/>
          <w:b/>
          <w:bCs/>
        </w:rPr>
        <w:t>164</w:t>
      </w:r>
      <w:r w:rsidRPr="00501A87">
        <w:rPr>
          <w:rFonts w:ascii="Book Antiqua" w:hAnsi="Book Antiqua"/>
        </w:rPr>
        <w:t>: 2683-2690 [PMID: 31428915 DOI: 10.1007/s00705-019-04372-0]</w:t>
      </w:r>
    </w:p>
    <w:p w14:paraId="10357DE6" w14:textId="512B909E" w:rsidR="00501A87" w:rsidRPr="00501A87" w:rsidRDefault="00501A87" w:rsidP="00501A87">
      <w:pPr>
        <w:spacing w:line="360" w:lineRule="auto"/>
        <w:jc w:val="both"/>
        <w:rPr>
          <w:rFonts w:ascii="Book Antiqua" w:hAnsi="Book Antiqua"/>
        </w:rPr>
      </w:pPr>
      <w:r w:rsidRPr="00501A87">
        <w:rPr>
          <w:rFonts w:ascii="Book Antiqua" w:hAnsi="Book Antiqua"/>
        </w:rPr>
        <w:t xml:space="preserve">37 </w:t>
      </w:r>
      <w:r w:rsidRPr="00501A87">
        <w:rPr>
          <w:rFonts w:ascii="Book Antiqua" w:hAnsi="Book Antiqua"/>
          <w:b/>
          <w:bCs/>
        </w:rPr>
        <w:t>Brakenhoff SM</w:t>
      </w:r>
      <w:r w:rsidRPr="00501A87">
        <w:rPr>
          <w:rFonts w:ascii="Book Antiqua" w:hAnsi="Book Antiqua"/>
        </w:rPr>
        <w:t xml:space="preserve">, de Man RA, Boonstra A, van Campenhout MJH, de Knegt RJ, van Bömmel F, van der Eijk AA, Berg T, Hansen BE, Janssen HLA, Sonneveld MJ. Hepatitis B virus RNA decline without concomitant viral antigen decrease is associated with a low probability of sustained response and hepatitis B surface antigen loss. </w:t>
      </w:r>
      <w:r w:rsidRPr="00501A87">
        <w:rPr>
          <w:rFonts w:ascii="Book Antiqua" w:hAnsi="Book Antiqua"/>
          <w:i/>
          <w:iCs/>
        </w:rPr>
        <w:t>Aliment Pharmacol Ther</w:t>
      </w:r>
      <w:r w:rsidRPr="00501A87">
        <w:rPr>
          <w:rFonts w:ascii="Book Antiqua" w:hAnsi="Book Antiqua"/>
        </w:rPr>
        <w:t xml:space="preserve"> 2021; </w:t>
      </w:r>
      <w:r w:rsidRPr="00501A87">
        <w:rPr>
          <w:rFonts w:ascii="Book Antiqua" w:hAnsi="Book Antiqua"/>
          <w:b/>
          <w:bCs/>
        </w:rPr>
        <w:t>53</w:t>
      </w:r>
      <w:r w:rsidRPr="00501A87">
        <w:rPr>
          <w:rFonts w:ascii="Book Antiqua" w:hAnsi="Book Antiqua"/>
        </w:rPr>
        <w:t xml:space="preserve">: 314-320 [PMID: 33222190 DOI: </w:t>
      </w:r>
      <w:r w:rsidR="009728C7" w:rsidRPr="009728C7">
        <w:rPr>
          <w:rFonts w:ascii="Book Antiqua" w:hAnsi="Book Antiqua"/>
        </w:rPr>
        <w:t>10.1111/apt.16172</w:t>
      </w:r>
      <w:r w:rsidRPr="00501A87">
        <w:rPr>
          <w:rFonts w:ascii="Book Antiqua" w:hAnsi="Book Antiqua"/>
        </w:rPr>
        <w:t>]</w:t>
      </w:r>
    </w:p>
    <w:p w14:paraId="6F2BA590" w14:textId="358880BB" w:rsidR="00501A87" w:rsidRPr="00501A87" w:rsidRDefault="00501A87" w:rsidP="00501A87">
      <w:pPr>
        <w:spacing w:line="360" w:lineRule="auto"/>
        <w:jc w:val="both"/>
        <w:rPr>
          <w:rFonts w:ascii="Book Antiqua" w:hAnsi="Book Antiqua"/>
        </w:rPr>
      </w:pPr>
      <w:r w:rsidRPr="00501A87">
        <w:rPr>
          <w:rFonts w:ascii="Book Antiqua" w:hAnsi="Book Antiqua"/>
        </w:rPr>
        <w:t xml:space="preserve">38 </w:t>
      </w:r>
      <w:r w:rsidRPr="00501A87">
        <w:rPr>
          <w:rFonts w:ascii="Book Antiqua" w:hAnsi="Book Antiqua"/>
          <w:b/>
          <w:bCs/>
        </w:rPr>
        <w:t>Abara WE</w:t>
      </w:r>
      <w:r w:rsidRPr="00501A87">
        <w:rPr>
          <w:rFonts w:ascii="Book Antiqua" w:hAnsi="Book Antiqua"/>
        </w:rPr>
        <w:t xml:space="preserve">, Qaseem A, Schillie S, McMahon BJ, Harris AM; High Value Care Task Force of the American College of Physicians and the Centers for Disease Control and Prevention. Hepatitis B Vaccination, Screening, and Linkage to Care: Best Practice Advice From the American College of Physicians and the Centers for Disease Control and Prevention. </w:t>
      </w:r>
      <w:r w:rsidRPr="00501A87">
        <w:rPr>
          <w:rFonts w:ascii="Book Antiqua" w:hAnsi="Book Antiqua"/>
          <w:i/>
          <w:iCs/>
        </w:rPr>
        <w:t>Ann Intern Med</w:t>
      </w:r>
      <w:r w:rsidRPr="00501A87">
        <w:rPr>
          <w:rFonts w:ascii="Book Antiqua" w:hAnsi="Book Antiqua"/>
        </w:rPr>
        <w:t xml:space="preserve"> 2017; </w:t>
      </w:r>
      <w:r w:rsidRPr="00501A87">
        <w:rPr>
          <w:rFonts w:ascii="Book Antiqua" w:hAnsi="Book Antiqua"/>
          <w:b/>
          <w:bCs/>
        </w:rPr>
        <w:t>167</w:t>
      </w:r>
      <w:r w:rsidRPr="00501A87">
        <w:rPr>
          <w:rFonts w:ascii="Book Antiqua" w:hAnsi="Book Antiqua"/>
        </w:rPr>
        <w:t xml:space="preserve">: 794-804 [PMID: 29159414 DOI: </w:t>
      </w:r>
      <w:r w:rsidR="00B63E6A" w:rsidRPr="00B63E6A">
        <w:rPr>
          <w:rFonts w:ascii="Book Antiqua" w:hAnsi="Book Antiqua"/>
        </w:rPr>
        <w:t>10.7326/M17-1106</w:t>
      </w:r>
      <w:r w:rsidRPr="00501A87">
        <w:rPr>
          <w:rFonts w:ascii="Book Antiqua" w:hAnsi="Book Antiqua"/>
        </w:rPr>
        <w:t>]</w:t>
      </w:r>
    </w:p>
    <w:p w14:paraId="787B6A5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39 </w:t>
      </w:r>
      <w:r w:rsidRPr="00501A87">
        <w:rPr>
          <w:rFonts w:ascii="Book Antiqua" w:hAnsi="Book Antiqua"/>
          <w:b/>
          <w:bCs/>
        </w:rPr>
        <w:t>Bhat M</w:t>
      </w:r>
      <w:r w:rsidRPr="00501A87">
        <w:rPr>
          <w:rFonts w:ascii="Book Antiqua" w:hAnsi="Book Antiqua"/>
        </w:rPr>
        <w:t xml:space="preserve">, Ghali P, Deschenes M, Wong P. Hepatitis B and the infected health care worker: public safety at what cost? </w:t>
      </w:r>
      <w:r w:rsidRPr="00501A87">
        <w:rPr>
          <w:rFonts w:ascii="Book Antiqua" w:hAnsi="Book Antiqua"/>
          <w:i/>
          <w:iCs/>
        </w:rPr>
        <w:t>Can J Gastroenterol</w:t>
      </w:r>
      <w:r w:rsidRPr="00501A87">
        <w:rPr>
          <w:rFonts w:ascii="Book Antiqua" w:hAnsi="Book Antiqua"/>
        </w:rPr>
        <w:t xml:space="preserve"> 2012; </w:t>
      </w:r>
      <w:r w:rsidRPr="00501A87">
        <w:rPr>
          <w:rFonts w:ascii="Book Antiqua" w:hAnsi="Book Antiqua"/>
          <w:b/>
          <w:bCs/>
        </w:rPr>
        <w:t>26</w:t>
      </w:r>
      <w:r w:rsidRPr="00501A87">
        <w:rPr>
          <w:rFonts w:ascii="Book Antiqua" w:hAnsi="Book Antiqua"/>
        </w:rPr>
        <w:t>: 257-260 [PMID: 22590698 DOI: 10.1155/2012/348240]</w:t>
      </w:r>
    </w:p>
    <w:p w14:paraId="31AA799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40 </w:t>
      </w:r>
      <w:r w:rsidRPr="00501A87">
        <w:rPr>
          <w:rFonts w:ascii="Book Antiqua" w:hAnsi="Book Antiqua"/>
          <w:b/>
          <w:bCs/>
        </w:rPr>
        <w:t>Middleman AB</w:t>
      </w:r>
      <w:r w:rsidRPr="00501A87">
        <w:rPr>
          <w:rFonts w:ascii="Book Antiqua" w:hAnsi="Book Antiqua"/>
        </w:rPr>
        <w:t xml:space="preserve">, Baker CJ, Kozinetz CA, Kamili S, Nguyen C, Hu DJ, Spradling PR. Duration of protection after infant hepatitis B vaccination series. </w:t>
      </w:r>
      <w:r w:rsidRPr="00501A87">
        <w:rPr>
          <w:rFonts w:ascii="Book Antiqua" w:hAnsi="Book Antiqua"/>
          <w:i/>
          <w:iCs/>
        </w:rPr>
        <w:t>Pediatrics</w:t>
      </w:r>
      <w:r w:rsidRPr="00501A87">
        <w:rPr>
          <w:rFonts w:ascii="Book Antiqua" w:hAnsi="Book Antiqua"/>
        </w:rPr>
        <w:t xml:space="preserve"> 2014; </w:t>
      </w:r>
      <w:r w:rsidRPr="00501A87">
        <w:rPr>
          <w:rFonts w:ascii="Book Antiqua" w:hAnsi="Book Antiqua"/>
          <w:b/>
          <w:bCs/>
        </w:rPr>
        <w:t>133</w:t>
      </w:r>
      <w:r w:rsidRPr="00501A87">
        <w:rPr>
          <w:rFonts w:ascii="Book Antiqua" w:hAnsi="Book Antiqua"/>
        </w:rPr>
        <w:t>: e1500-e1507 [PMID: 24843060 DOI: 10.1542/peds.2013-2940]</w:t>
      </w:r>
    </w:p>
    <w:p w14:paraId="7406AF47" w14:textId="11A258B0" w:rsidR="00501A87" w:rsidRPr="00501A87" w:rsidRDefault="00501A87" w:rsidP="00501A87">
      <w:pPr>
        <w:spacing w:line="360" w:lineRule="auto"/>
        <w:jc w:val="both"/>
        <w:rPr>
          <w:rFonts w:ascii="Book Antiqua" w:hAnsi="Book Antiqua"/>
        </w:rPr>
      </w:pPr>
      <w:r w:rsidRPr="00501A87">
        <w:rPr>
          <w:rFonts w:ascii="Book Antiqua" w:hAnsi="Book Antiqua"/>
        </w:rPr>
        <w:t xml:space="preserve">41 </w:t>
      </w:r>
      <w:r w:rsidRPr="00501A87">
        <w:rPr>
          <w:rFonts w:ascii="Book Antiqua" w:hAnsi="Book Antiqua"/>
          <w:b/>
          <w:bCs/>
        </w:rPr>
        <w:t>F</w:t>
      </w:r>
      <w:r w:rsidR="00446A48">
        <w:rPr>
          <w:rFonts w:ascii="Book Antiqua" w:hAnsi="Book Antiqua"/>
          <w:b/>
          <w:bCs/>
        </w:rPr>
        <w:t>DA</w:t>
      </w:r>
      <w:r w:rsidRPr="00501A87">
        <w:rPr>
          <w:rFonts w:ascii="Book Antiqua" w:hAnsi="Book Antiqua"/>
        </w:rPr>
        <w:t>. Product approval information: package insert. Heplisav-B. Silver Spring, MD: US Department of Health and Human Services. FDA Med Bull 2018</w:t>
      </w:r>
      <w:r w:rsidR="00446A48">
        <w:rPr>
          <w:rFonts w:ascii="Book Antiqua" w:hAnsi="Book Antiqua"/>
        </w:rPr>
        <w:t>.</w:t>
      </w:r>
      <w:r w:rsidR="00737304">
        <w:rPr>
          <w:rFonts w:ascii="Book Antiqua" w:hAnsi="Book Antiqua"/>
        </w:rPr>
        <w:t xml:space="preserve"> </w:t>
      </w:r>
      <w:r w:rsidR="00737304" w:rsidRPr="00501A87">
        <w:rPr>
          <w:rFonts w:ascii="Book Antiqua" w:hAnsi="Book Antiqua"/>
        </w:rPr>
        <w:t xml:space="preserve">[cited </w:t>
      </w:r>
      <w:r w:rsidR="00737304">
        <w:rPr>
          <w:rFonts w:ascii="Book Antiqua" w:hAnsi="Book Antiqua"/>
        </w:rPr>
        <w:t>21</w:t>
      </w:r>
      <w:r w:rsidR="00737304" w:rsidRPr="00501A87">
        <w:rPr>
          <w:rFonts w:ascii="Book Antiqua" w:hAnsi="Book Antiqua"/>
        </w:rPr>
        <w:t xml:space="preserve"> Dec</w:t>
      </w:r>
      <w:r w:rsidR="00737304">
        <w:rPr>
          <w:rFonts w:ascii="Book Antiqua" w:hAnsi="Book Antiqua"/>
        </w:rPr>
        <w:t>ember</w:t>
      </w:r>
      <w:r w:rsidR="00737304" w:rsidRPr="00501A87">
        <w:rPr>
          <w:rFonts w:ascii="Book Antiqua" w:hAnsi="Book Antiqua"/>
        </w:rPr>
        <w:t xml:space="preserve"> 2</w:t>
      </w:r>
      <w:r w:rsidR="00737304">
        <w:rPr>
          <w:rFonts w:ascii="Book Antiqua" w:hAnsi="Book Antiqua"/>
        </w:rPr>
        <w:t>020</w:t>
      </w:r>
      <w:r w:rsidR="00737304" w:rsidRPr="00501A87">
        <w:rPr>
          <w:rFonts w:ascii="Book Antiqua" w:hAnsi="Book Antiqua"/>
        </w:rPr>
        <w:t>]</w:t>
      </w:r>
      <w:r w:rsidR="00737304">
        <w:rPr>
          <w:rFonts w:ascii="Book Antiqua" w:hAnsi="Book Antiqua"/>
        </w:rPr>
        <w:t xml:space="preserve">. </w:t>
      </w:r>
      <w:r w:rsidR="00737304" w:rsidRPr="00501A87">
        <w:rPr>
          <w:rFonts w:ascii="Book Antiqua" w:hAnsi="Book Antiqua"/>
        </w:rPr>
        <w:t xml:space="preserve">Available from: </w:t>
      </w:r>
      <w:r w:rsidR="00737304" w:rsidRPr="00737304">
        <w:rPr>
          <w:rFonts w:ascii="Book Antiqua" w:hAnsi="Book Antiqua"/>
        </w:rPr>
        <w:t>https://www.fda.gov/</w:t>
      </w:r>
    </w:p>
    <w:p w14:paraId="3F7F1D7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42 </w:t>
      </w:r>
      <w:r w:rsidRPr="00501A87">
        <w:rPr>
          <w:rFonts w:ascii="Book Antiqua" w:hAnsi="Book Antiqua"/>
          <w:b/>
          <w:bCs/>
        </w:rPr>
        <w:t>Schillie S</w:t>
      </w:r>
      <w:r w:rsidRPr="00501A87">
        <w:rPr>
          <w:rFonts w:ascii="Book Antiqua" w:hAnsi="Book Antiqua"/>
        </w:rPr>
        <w:t xml:space="preserve">, Harris A, Link-Gelles R, Romero J, Ward J, Nelson N. Recommendations of the Advisory Committee on Immunization Practices for Use of a Hepatitis B Vaccine with a Novel Adjuvant. </w:t>
      </w:r>
      <w:r w:rsidRPr="00501A87">
        <w:rPr>
          <w:rFonts w:ascii="Book Antiqua" w:hAnsi="Book Antiqua"/>
          <w:i/>
          <w:iCs/>
        </w:rPr>
        <w:t>MMWR Morb Mortal Wkly Rep</w:t>
      </w:r>
      <w:r w:rsidRPr="00501A87">
        <w:rPr>
          <w:rFonts w:ascii="Book Antiqua" w:hAnsi="Book Antiqua"/>
        </w:rPr>
        <w:t xml:space="preserve"> 2018; </w:t>
      </w:r>
      <w:r w:rsidRPr="00501A87">
        <w:rPr>
          <w:rFonts w:ascii="Book Antiqua" w:hAnsi="Book Antiqua"/>
          <w:b/>
          <w:bCs/>
        </w:rPr>
        <w:t>67</w:t>
      </w:r>
      <w:r w:rsidRPr="00501A87">
        <w:rPr>
          <w:rFonts w:ascii="Book Antiqua" w:hAnsi="Book Antiqua"/>
        </w:rPr>
        <w:t>: 455-458 [PMID: 29672472 DOI: 10.15585/mmwr.mm6715a5]</w:t>
      </w:r>
    </w:p>
    <w:p w14:paraId="0A99729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43 </w:t>
      </w:r>
      <w:r w:rsidRPr="00501A87">
        <w:rPr>
          <w:rFonts w:ascii="Book Antiqua" w:hAnsi="Book Antiqua"/>
          <w:b/>
          <w:bCs/>
        </w:rPr>
        <w:t>Leuridan E</w:t>
      </w:r>
      <w:r w:rsidRPr="00501A87">
        <w:rPr>
          <w:rFonts w:ascii="Book Antiqua" w:hAnsi="Book Antiqua"/>
        </w:rPr>
        <w:t xml:space="preserve">, Van Damme P. Hepatitis B and the need for a booster dose. </w:t>
      </w:r>
      <w:r w:rsidRPr="00501A87">
        <w:rPr>
          <w:rFonts w:ascii="Book Antiqua" w:hAnsi="Book Antiqua"/>
          <w:i/>
          <w:iCs/>
        </w:rPr>
        <w:t>Clin Infect Dis</w:t>
      </w:r>
      <w:r w:rsidRPr="00501A87">
        <w:rPr>
          <w:rFonts w:ascii="Book Antiqua" w:hAnsi="Book Antiqua"/>
        </w:rPr>
        <w:t xml:space="preserve"> 2011; </w:t>
      </w:r>
      <w:r w:rsidRPr="00501A87">
        <w:rPr>
          <w:rFonts w:ascii="Book Antiqua" w:hAnsi="Book Antiqua"/>
          <w:b/>
          <w:bCs/>
        </w:rPr>
        <w:t>53</w:t>
      </w:r>
      <w:r w:rsidRPr="00501A87">
        <w:rPr>
          <w:rFonts w:ascii="Book Antiqua" w:hAnsi="Book Antiqua"/>
        </w:rPr>
        <w:t>: 68-75 [PMID: 21653306 DOI: 10.1093/cid/cir270]</w:t>
      </w:r>
    </w:p>
    <w:p w14:paraId="3BCCB11D" w14:textId="17E32F6A" w:rsidR="00501A87" w:rsidRPr="00501A87" w:rsidRDefault="00501A87" w:rsidP="00501A87">
      <w:pPr>
        <w:spacing w:line="360" w:lineRule="auto"/>
        <w:jc w:val="both"/>
        <w:rPr>
          <w:rFonts w:ascii="Book Antiqua" w:hAnsi="Book Antiqua"/>
        </w:rPr>
      </w:pPr>
      <w:r w:rsidRPr="00501A87">
        <w:rPr>
          <w:rFonts w:ascii="Book Antiqua" w:hAnsi="Book Antiqua"/>
        </w:rPr>
        <w:t xml:space="preserve">44 </w:t>
      </w:r>
      <w:r w:rsidRPr="00737304">
        <w:rPr>
          <w:rFonts w:ascii="Book Antiqua" w:hAnsi="Book Antiqua"/>
          <w:b/>
          <w:bCs/>
        </w:rPr>
        <w:t>Hepatitis B Foundation.</w:t>
      </w:r>
      <w:r w:rsidRPr="00501A87">
        <w:rPr>
          <w:rFonts w:ascii="Book Antiqua" w:hAnsi="Book Antiqua"/>
        </w:rPr>
        <w:t xml:space="preserve"> Vaccine Non-Responders. </w:t>
      </w:r>
      <w:r w:rsidR="00737304" w:rsidRPr="00501A87">
        <w:rPr>
          <w:rFonts w:ascii="Book Antiqua" w:hAnsi="Book Antiqua"/>
        </w:rPr>
        <w:t xml:space="preserve">[cited </w:t>
      </w:r>
      <w:r w:rsidR="00737304">
        <w:rPr>
          <w:rFonts w:ascii="Book Antiqua" w:hAnsi="Book Antiqua"/>
        </w:rPr>
        <w:t>25</w:t>
      </w:r>
      <w:r w:rsidR="00737304" w:rsidRPr="00501A87">
        <w:rPr>
          <w:rFonts w:ascii="Book Antiqua" w:hAnsi="Book Antiqua"/>
        </w:rPr>
        <w:t xml:space="preserve"> Dec</w:t>
      </w:r>
      <w:r w:rsidR="00737304">
        <w:rPr>
          <w:rFonts w:ascii="Book Antiqua" w:hAnsi="Book Antiqua"/>
        </w:rPr>
        <w:t>ember</w:t>
      </w:r>
      <w:r w:rsidR="00737304" w:rsidRPr="00501A87">
        <w:rPr>
          <w:rFonts w:ascii="Book Antiqua" w:hAnsi="Book Antiqua"/>
        </w:rPr>
        <w:t xml:space="preserve"> 2</w:t>
      </w:r>
      <w:r w:rsidR="00737304">
        <w:rPr>
          <w:rFonts w:ascii="Book Antiqua" w:hAnsi="Book Antiqua"/>
        </w:rPr>
        <w:t>020</w:t>
      </w:r>
      <w:r w:rsidR="00737304" w:rsidRPr="00501A87">
        <w:rPr>
          <w:rFonts w:ascii="Book Antiqua" w:hAnsi="Book Antiqua"/>
        </w:rPr>
        <w:t>]</w:t>
      </w:r>
      <w:r w:rsidR="00737304">
        <w:rPr>
          <w:rFonts w:ascii="Book Antiqua" w:hAnsi="Book Antiqua"/>
        </w:rPr>
        <w:t xml:space="preserve">. </w:t>
      </w:r>
      <w:r w:rsidR="00737304" w:rsidRPr="00501A87">
        <w:rPr>
          <w:rFonts w:ascii="Book Antiqua" w:hAnsi="Book Antiqua"/>
        </w:rPr>
        <w:t xml:space="preserve">Available from: </w:t>
      </w:r>
      <w:r w:rsidRPr="00501A87">
        <w:rPr>
          <w:rFonts w:ascii="Book Antiqua" w:hAnsi="Book Antiqua"/>
        </w:rPr>
        <w:t>https://www.hepb.org/prevention-and-diagnosis/vaccination/vaccine-non-responders/</w:t>
      </w:r>
    </w:p>
    <w:p w14:paraId="36B3853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45 </w:t>
      </w:r>
      <w:r w:rsidRPr="00501A87">
        <w:rPr>
          <w:rFonts w:ascii="Book Antiqua" w:hAnsi="Book Antiqua"/>
          <w:b/>
          <w:bCs/>
        </w:rPr>
        <w:t>Zuckerman JN</w:t>
      </w:r>
      <w:r w:rsidRPr="00501A87">
        <w:rPr>
          <w:rFonts w:ascii="Book Antiqua" w:hAnsi="Book Antiqua"/>
        </w:rPr>
        <w:t xml:space="preserve">. Protective efficacy, immunotherapeutic potential, and safety of hepatitis B vaccines. </w:t>
      </w:r>
      <w:r w:rsidRPr="00501A87">
        <w:rPr>
          <w:rFonts w:ascii="Book Antiqua" w:hAnsi="Book Antiqua"/>
          <w:i/>
          <w:iCs/>
        </w:rPr>
        <w:t>J Med Virol</w:t>
      </w:r>
      <w:r w:rsidRPr="00501A87">
        <w:rPr>
          <w:rFonts w:ascii="Book Antiqua" w:hAnsi="Book Antiqua"/>
        </w:rPr>
        <w:t xml:space="preserve"> 2006; </w:t>
      </w:r>
      <w:r w:rsidRPr="00501A87">
        <w:rPr>
          <w:rFonts w:ascii="Book Antiqua" w:hAnsi="Book Antiqua"/>
          <w:b/>
          <w:bCs/>
        </w:rPr>
        <w:t>78</w:t>
      </w:r>
      <w:r w:rsidRPr="00501A87">
        <w:rPr>
          <w:rFonts w:ascii="Book Antiqua" w:hAnsi="Book Antiqua"/>
        </w:rPr>
        <w:t>: 169-177 [PMID: 16372285 DOI: 10.1002/jmv.20524]</w:t>
      </w:r>
    </w:p>
    <w:p w14:paraId="200A8D76" w14:textId="16EB6703" w:rsidR="00501A87" w:rsidRPr="00501A87" w:rsidRDefault="00501A87" w:rsidP="00501A87">
      <w:pPr>
        <w:spacing w:line="360" w:lineRule="auto"/>
        <w:jc w:val="both"/>
        <w:rPr>
          <w:rFonts w:ascii="Book Antiqua" w:hAnsi="Book Antiqua"/>
        </w:rPr>
      </w:pPr>
      <w:r w:rsidRPr="00501A87">
        <w:rPr>
          <w:rFonts w:ascii="Book Antiqua" w:hAnsi="Book Antiqua"/>
        </w:rPr>
        <w:t xml:space="preserve">46 </w:t>
      </w:r>
      <w:r w:rsidRPr="00501A87">
        <w:rPr>
          <w:rFonts w:ascii="Book Antiqua" w:hAnsi="Book Antiqua"/>
          <w:b/>
          <w:bCs/>
        </w:rPr>
        <w:t>Hamborsky J,</w:t>
      </w:r>
      <w:r w:rsidRPr="00501A87">
        <w:rPr>
          <w:rFonts w:ascii="Book Antiqua" w:hAnsi="Book Antiqua"/>
        </w:rPr>
        <w:t xml:space="preserve"> Kroger A, Wolfe C. Epidemiology and Prevention of Vaccine-preventable Diseases. Centers for Disease Control and Prevention; 2015. </w:t>
      </w:r>
      <w:r w:rsidR="00737304" w:rsidRPr="00501A87">
        <w:rPr>
          <w:rFonts w:ascii="Book Antiqua" w:hAnsi="Book Antiqua"/>
        </w:rPr>
        <w:t xml:space="preserve">[cited </w:t>
      </w:r>
      <w:r w:rsidR="00737304">
        <w:rPr>
          <w:rFonts w:ascii="Book Antiqua" w:hAnsi="Book Antiqua"/>
        </w:rPr>
        <w:t>25</w:t>
      </w:r>
      <w:r w:rsidR="00737304" w:rsidRPr="00501A87">
        <w:rPr>
          <w:rFonts w:ascii="Book Antiqua" w:hAnsi="Book Antiqua"/>
        </w:rPr>
        <w:t xml:space="preserve"> Dec</w:t>
      </w:r>
      <w:r w:rsidR="00737304">
        <w:rPr>
          <w:rFonts w:ascii="Book Antiqua" w:hAnsi="Book Antiqua"/>
        </w:rPr>
        <w:t>ember</w:t>
      </w:r>
      <w:r w:rsidR="00737304" w:rsidRPr="00501A87">
        <w:rPr>
          <w:rFonts w:ascii="Book Antiqua" w:hAnsi="Book Antiqua"/>
        </w:rPr>
        <w:t xml:space="preserve"> 2</w:t>
      </w:r>
      <w:r w:rsidR="00737304">
        <w:rPr>
          <w:rFonts w:ascii="Book Antiqua" w:hAnsi="Book Antiqua"/>
        </w:rPr>
        <w:t>020</w:t>
      </w:r>
      <w:r w:rsidR="00737304" w:rsidRPr="00501A87">
        <w:rPr>
          <w:rFonts w:ascii="Book Antiqua" w:hAnsi="Book Antiqua"/>
        </w:rPr>
        <w:t>]</w:t>
      </w:r>
      <w:r w:rsidR="00737304">
        <w:rPr>
          <w:rFonts w:ascii="Book Antiqua" w:hAnsi="Book Antiqua"/>
        </w:rPr>
        <w:t xml:space="preserve">. </w:t>
      </w:r>
      <w:r w:rsidRPr="00501A87">
        <w:rPr>
          <w:rFonts w:ascii="Book Antiqua" w:hAnsi="Book Antiqua"/>
        </w:rPr>
        <w:t>Available from: https://play.google.com/store/books/details?id=uCI9rgEACAAJ</w:t>
      </w:r>
    </w:p>
    <w:p w14:paraId="4FE1B2B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47 </w:t>
      </w:r>
      <w:r w:rsidRPr="00501A87">
        <w:rPr>
          <w:rFonts w:ascii="Book Antiqua" w:hAnsi="Book Antiqua"/>
          <w:b/>
          <w:bCs/>
        </w:rPr>
        <w:t>Schillie S</w:t>
      </w:r>
      <w:r w:rsidRPr="00501A87">
        <w:rPr>
          <w:rFonts w:ascii="Book Antiqua" w:hAnsi="Book Antiqua"/>
        </w:rPr>
        <w:t xml:space="preserve">, Vellozzi C, Reingold A, Harris A, Haber P, Ward JW, Nelson NP. Prevention of Hepatitis B Virus Infection in the United States: Recommendations of the Advisory Committee on Immunization Practices. </w:t>
      </w:r>
      <w:r w:rsidRPr="00501A87">
        <w:rPr>
          <w:rFonts w:ascii="Book Antiqua" w:hAnsi="Book Antiqua"/>
          <w:i/>
          <w:iCs/>
        </w:rPr>
        <w:t>MMWR Recomm Rep</w:t>
      </w:r>
      <w:r w:rsidRPr="00501A87">
        <w:rPr>
          <w:rFonts w:ascii="Book Antiqua" w:hAnsi="Book Antiqua"/>
        </w:rPr>
        <w:t xml:space="preserve"> 2018; </w:t>
      </w:r>
      <w:r w:rsidRPr="00501A87">
        <w:rPr>
          <w:rFonts w:ascii="Book Antiqua" w:hAnsi="Book Antiqua"/>
          <w:b/>
          <w:bCs/>
        </w:rPr>
        <w:t>67</w:t>
      </w:r>
      <w:r w:rsidRPr="00501A87">
        <w:rPr>
          <w:rFonts w:ascii="Book Antiqua" w:hAnsi="Book Antiqua"/>
        </w:rPr>
        <w:t>: 1-31 [PMID: 29939980 DOI: 10.15585/mmwr.rr6701a1]</w:t>
      </w:r>
    </w:p>
    <w:p w14:paraId="2092284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48 </w:t>
      </w:r>
      <w:r w:rsidRPr="00501A87">
        <w:rPr>
          <w:rFonts w:ascii="Book Antiqua" w:hAnsi="Book Antiqua"/>
          <w:b/>
          <w:bCs/>
        </w:rPr>
        <w:t>Raven SFH</w:t>
      </w:r>
      <w:r w:rsidRPr="00501A87">
        <w:rPr>
          <w:rFonts w:ascii="Book Antiqua" w:hAnsi="Book Antiqua"/>
        </w:rPr>
        <w:t xml:space="preserve">, Hoebe CJPA, Vossen ACTM, Visser LG, Hautvast JLA, Roukens AHE, van Steenbergen JE. Serological response to three alternative series of hepatitis B revaccination (Fendrix, Twinrix, and HBVaxPro-40) in healthy non-responders: a multicentre, open-label, randomised, controlled, superiority trial. </w:t>
      </w:r>
      <w:r w:rsidRPr="00501A87">
        <w:rPr>
          <w:rFonts w:ascii="Book Antiqua" w:hAnsi="Book Antiqua"/>
          <w:i/>
          <w:iCs/>
        </w:rPr>
        <w:t>Lancet Infect Dis</w:t>
      </w:r>
      <w:r w:rsidRPr="00501A87">
        <w:rPr>
          <w:rFonts w:ascii="Book Antiqua" w:hAnsi="Book Antiqua"/>
        </w:rPr>
        <w:t xml:space="preserve"> 2020; </w:t>
      </w:r>
      <w:r w:rsidRPr="00501A87">
        <w:rPr>
          <w:rFonts w:ascii="Book Antiqua" w:hAnsi="Book Antiqua"/>
          <w:b/>
          <w:bCs/>
        </w:rPr>
        <w:t>20</w:t>
      </w:r>
      <w:r w:rsidRPr="00501A87">
        <w:rPr>
          <w:rFonts w:ascii="Book Antiqua" w:hAnsi="Book Antiqua"/>
        </w:rPr>
        <w:t>: 92-101 [PMID: 31629649 DOI: 10.1016/S1473-3099(19)30417-7]</w:t>
      </w:r>
    </w:p>
    <w:p w14:paraId="22208AD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49 </w:t>
      </w:r>
      <w:r w:rsidRPr="00501A87">
        <w:rPr>
          <w:rFonts w:ascii="Book Antiqua" w:hAnsi="Book Antiqua"/>
          <w:b/>
          <w:bCs/>
        </w:rPr>
        <w:t>Koc ÖM</w:t>
      </w:r>
      <w:r w:rsidRPr="00501A87">
        <w:rPr>
          <w:rFonts w:ascii="Book Antiqua" w:hAnsi="Book Antiqua"/>
        </w:rPr>
        <w:t xml:space="preserve">, Savelkoul PHM, van Loo IHM, Peeters A, Oude Lashof AML. Safety and immunogenicity of HBAI20 Hepatitis B vaccine in healthy naïve and nonresponding adults.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1048-1056 [PMID: 29660190 DOI: 10.1111/jvh.12909]</w:t>
      </w:r>
    </w:p>
    <w:p w14:paraId="557BC39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50 </w:t>
      </w:r>
      <w:r w:rsidRPr="00501A87">
        <w:rPr>
          <w:rFonts w:ascii="Book Antiqua" w:hAnsi="Book Antiqua"/>
          <w:b/>
          <w:bCs/>
        </w:rPr>
        <w:t>Pulendran B</w:t>
      </w:r>
      <w:r w:rsidRPr="00501A87">
        <w:rPr>
          <w:rFonts w:ascii="Book Antiqua" w:hAnsi="Book Antiqua"/>
        </w:rPr>
        <w:t xml:space="preserve">, Li S, Nakaya HI. Systems vaccinology. </w:t>
      </w:r>
      <w:r w:rsidRPr="00501A87">
        <w:rPr>
          <w:rFonts w:ascii="Book Antiqua" w:hAnsi="Book Antiqua"/>
          <w:i/>
          <w:iCs/>
        </w:rPr>
        <w:t>Immunity</w:t>
      </w:r>
      <w:r w:rsidRPr="00501A87">
        <w:rPr>
          <w:rFonts w:ascii="Book Antiqua" w:hAnsi="Book Antiqua"/>
        </w:rPr>
        <w:t xml:space="preserve"> 2010; </w:t>
      </w:r>
      <w:r w:rsidRPr="00501A87">
        <w:rPr>
          <w:rFonts w:ascii="Book Antiqua" w:hAnsi="Book Antiqua"/>
          <w:b/>
          <w:bCs/>
        </w:rPr>
        <w:t>33</w:t>
      </w:r>
      <w:r w:rsidRPr="00501A87">
        <w:rPr>
          <w:rFonts w:ascii="Book Antiqua" w:hAnsi="Book Antiqua"/>
        </w:rPr>
        <w:t>: 516-529 [PMID: 21029962 DOI: 10.1016/j.immuni.2010.10.006]</w:t>
      </w:r>
    </w:p>
    <w:p w14:paraId="080B04A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51 </w:t>
      </w:r>
      <w:r w:rsidRPr="00501A87">
        <w:rPr>
          <w:rFonts w:ascii="Book Antiqua" w:hAnsi="Book Antiqua"/>
          <w:b/>
          <w:bCs/>
        </w:rPr>
        <w:t>Raeven RHM</w:t>
      </w:r>
      <w:r w:rsidRPr="00501A87">
        <w:rPr>
          <w:rFonts w:ascii="Book Antiqua" w:hAnsi="Book Antiqua"/>
        </w:rPr>
        <w:t xml:space="preserve">, van Riet E, Meiring HD, Metz B, Kersten GFA. Systems vaccinology and big data in the vaccine development chain. </w:t>
      </w:r>
      <w:r w:rsidRPr="00501A87">
        <w:rPr>
          <w:rFonts w:ascii="Book Antiqua" w:hAnsi="Book Antiqua"/>
          <w:i/>
          <w:iCs/>
        </w:rPr>
        <w:t>Immunology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33-46 [PMID: 30317555 DOI: 10.1111/imm.13012]</w:t>
      </w:r>
    </w:p>
    <w:p w14:paraId="29BEF04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52 </w:t>
      </w:r>
      <w:r w:rsidRPr="00501A87">
        <w:rPr>
          <w:rFonts w:ascii="Book Antiqua" w:hAnsi="Book Antiqua"/>
          <w:b/>
          <w:bCs/>
        </w:rPr>
        <w:t>Koff WC</w:t>
      </w:r>
      <w:r w:rsidRPr="00501A87">
        <w:rPr>
          <w:rFonts w:ascii="Book Antiqua" w:hAnsi="Book Antiqua"/>
        </w:rPr>
        <w:t xml:space="preserve">, Burton DR, Johnson PR, Walker BD, King CR, Nabel GJ, Ahmed R, Bhan MK, Plotkin SA. Accelerating next-generation vaccine development for global disease prevention. </w:t>
      </w:r>
      <w:r w:rsidRPr="00501A87">
        <w:rPr>
          <w:rFonts w:ascii="Book Antiqua" w:hAnsi="Book Antiqua"/>
          <w:i/>
          <w:iCs/>
        </w:rPr>
        <w:t>Science</w:t>
      </w:r>
      <w:r w:rsidRPr="00501A87">
        <w:rPr>
          <w:rFonts w:ascii="Book Antiqua" w:hAnsi="Book Antiqua"/>
        </w:rPr>
        <w:t xml:space="preserve"> 2013; </w:t>
      </w:r>
      <w:r w:rsidRPr="00501A87">
        <w:rPr>
          <w:rFonts w:ascii="Book Antiqua" w:hAnsi="Book Antiqua"/>
          <w:b/>
          <w:bCs/>
        </w:rPr>
        <w:t>340</w:t>
      </w:r>
      <w:r w:rsidRPr="00501A87">
        <w:rPr>
          <w:rFonts w:ascii="Book Antiqua" w:hAnsi="Book Antiqua"/>
        </w:rPr>
        <w:t>: 1232910 [PMID: 23723240 DOI: 10.1126/science.1232910]</w:t>
      </w:r>
    </w:p>
    <w:p w14:paraId="1D14E40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53 </w:t>
      </w:r>
      <w:r w:rsidRPr="00501A87">
        <w:rPr>
          <w:rFonts w:ascii="Book Antiqua" w:hAnsi="Book Antiqua"/>
          <w:b/>
          <w:bCs/>
        </w:rPr>
        <w:t>Qiu S</w:t>
      </w:r>
      <w:r w:rsidRPr="00501A87">
        <w:rPr>
          <w:rFonts w:ascii="Book Antiqua" w:hAnsi="Book Antiqua"/>
        </w:rPr>
        <w:t xml:space="preserve">, He P, Fang X, Tong H, Lv J, Liu J, Zhang L, Zhai X, Wang L, Hu Z, Yu Y. Significant transcriptome and cytokine changes in hepatitis B vaccine non-responders revealed by genome-wide comparative analysis. </w:t>
      </w:r>
      <w:r w:rsidRPr="00501A87">
        <w:rPr>
          <w:rFonts w:ascii="Book Antiqua" w:hAnsi="Book Antiqua"/>
          <w:i/>
          <w:iCs/>
        </w:rPr>
        <w:t>Hum Vaccin Immunother</w:t>
      </w:r>
      <w:r w:rsidRPr="00501A87">
        <w:rPr>
          <w:rFonts w:ascii="Book Antiqua" w:hAnsi="Book Antiqua"/>
        </w:rPr>
        <w:t xml:space="preserve"> 2018; </w:t>
      </w:r>
      <w:r w:rsidRPr="00501A87">
        <w:rPr>
          <w:rFonts w:ascii="Book Antiqua" w:hAnsi="Book Antiqua"/>
          <w:b/>
          <w:bCs/>
        </w:rPr>
        <w:t>14</w:t>
      </w:r>
      <w:r w:rsidRPr="00501A87">
        <w:rPr>
          <w:rFonts w:ascii="Book Antiqua" w:hAnsi="Book Antiqua"/>
        </w:rPr>
        <w:t>: 1763-1772 [PMID: 29580160 DOI: 10.1080/21645515.2018.1450122]</w:t>
      </w:r>
    </w:p>
    <w:p w14:paraId="457CD3A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54 </w:t>
      </w:r>
      <w:r w:rsidRPr="00501A87">
        <w:rPr>
          <w:rFonts w:ascii="Book Antiqua" w:hAnsi="Book Antiqua"/>
          <w:b/>
          <w:bCs/>
        </w:rPr>
        <w:t>da Silva EN</w:t>
      </w:r>
      <w:r w:rsidRPr="00501A87">
        <w:rPr>
          <w:rFonts w:ascii="Book Antiqua" w:hAnsi="Book Antiqua"/>
        </w:rPr>
        <w:t xml:space="preserve">, Baker A, Alshekaili J, Karpe K, Cook MC. A randomized trial of serological and cellular responses to hepatitis B vaccination in chronic kidney disease.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e0204477 [PMID: 30303980 DOI: 10.1371/journal.pone.0204477]</w:t>
      </w:r>
    </w:p>
    <w:p w14:paraId="60CFC7B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55 </w:t>
      </w:r>
      <w:r w:rsidRPr="00501A87">
        <w:rPr>
          <w:rFonts w:ascii="Book Antiqua" w:hAnsi="Book Antiqua"/>
          <w:b/>
          <w:bCs/>
        </w:rPr>
        <w:t>Stevens CE</w:t>
      </w:r>
      <w:r w:rsidRPr="00501A87">
        <w:rPr>
          <w:rFonts w:ascii="Book Antiqua" w:hAnsi="Book Antiqua"/>
        </w:rPr>
        <w:t xml:space="preserve">, Szmuness W, Goodman AI, Weseley SA, Fotino M. Hepatitis B vaccine: immune responses in haemodialysis patients. </w:t>
      </w:r>
      <w:r w:rsidRPr="00501A87">
        <w:rPr>
          <w:rFonts w:ascii="Book Antiqua" w:hAnsi="Book Antiqua"/>
          <w:i/>
          <w:iCs/>
        </w:rPr>
        <w:t>Lancet</w:t>
      </w:r>
      <w:r w:rsidRPr="00501A87">
        <w:rPr>
          <w:rFonts w:ascii="Book Antiqua" w:hAnsi="Book Antiqua"/>
        </w:rPr>
        <w:t xml:space="preserve"> 1980; </w:t>
      </w:r>
      <w:r w:rsidRPr="00501A87">
        <w:rPr>
          <w:rFonts w:ascii="Book Antiqua" w:hAnsi="Book Antiqua"/>
          <w:b/>
          <w:bCs/>
        </w:rPr>
        <w:t>2</w:t>
      </w:r>
      <w:r w:rsidRPr="00501A87">
        <w:rPr>
          <w:rFonts w:ascii="Book Antiqua" w:hAnsi="Book Antiqua"/>
        </w:rPr>
        <w:t>: 1211-1213 [PMID: 6108392 DOI: 10.1016/s0140-6736(80)92477-0]</w:t>
      </w:r>
    </w:p>
    <w:p w14:paraId="1E2CA2FA" w14:textId="2535EA66" w:rsidR="00501A87" w:rsidRPr="00501A87" w:rsidRDefault="00501A87" w:rsidP="00501A87">
      <w:pPr>
        <w:spacing w:line="360" w:lineRule="auto"/>
        <w:jc w:val="both"/>
        <w:rPr>
          <w:rFonts w:ascii="Book Antiqua" w:hAnsi="Book Antiqua"/>
        </w:rPr>
      </w:pPr>
      <w:r w:rsidRPr="00501A87">
        <w:rPr>
          <w:rFonts w:ascii="Book Antiqua" w:hAnsi="Book Antiqua"/>
        </w:rPr>
        <w:t xml:space="preserve">56 Recommendations for preventing transmission of infections among chronic hemodialysis patients. </w:t>
      </w:r>
      <w:r w:rsidRPr="00501A87">
        <w:rPr>
          <w:rFonts w:ascii="Book Antiqua" w:hAnsi="Book Antiqua"/>
          <w:i/>
          <w:iCs/>
        </w:rPr>
        <w:t>MMWR Recomm Rep</w:t>
      </w:r>
      <w:r w:rsidRPr="00501A87">
        <w:rPr>
          <w:rFonts w:ascii="Book Antiqua" w:hAnsi="Book Antiqua"/>
        </w:rPr>
        <w:t xml:space="preserve"> 2001; </w:t>
      </w:r>
      <w:r w:rsidRPr="00501A87">
        <w:rPr>
          <w:rFonts w:ascii="Book Antiqua" w:hAnsi="Book Antiqua"/>
          <w:b/>
          <w:bCs/>
        </w:rPr>
        <w:t>50</w:t>
      </w:r>
      <w:r w:rsidRPr="00501A87">
        <w:rPr>
          <w:rFonts w:ascii="Book Antiqua" w:hAnsi="Book Antiqua"/>
        </w:rPr>
        <w:t>: 1-43 [PMID: 11349873]</w:t>
      </w:r>
    </w:p>
    <w:p w14:paraId="317503D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57 </w:t>
      </w:r>
      <w:r w:rsidRPr="00501A87">
        <w:rPr>
          <w:rFonts w:ascii="Book Antiqua" w:hAnsi="Book Antiqua"/>
          <w:b/>
          <w:bCs/>
        </w:rPr>
        <w:t>Grzegorzewska AE</w:t>
      </w:r>
      <w:r w:rsidRPr="00501A87">
        <w:rPr>
          <w:rFonts w:ascii="Book Antiqua" w:hAnsi="Book Antiqua"/>
        </w:rPr>
        <w:t xml:space="preserve">. Hepatitis B vaccination in chronic kidney disease: review of evidence in non-dialyzed patients. </w:t>
      </w:r>
      <w:r w:rsidRPr="00501A87">
        <w:rPr>
          <w:rFonts w:ascii="Book Antiqua" w:hAnsi="Book Antiqua"/>
          <w:i/>
          <w:iCs/>
        </w:rPr>
        <w:t>Hepat Mon</w:t>
      </w:r>
      <w:r w:rsidRPr="00501A87">
        <w:rPr>
          <w:rFonts w:ascii="Book Antiqua" w:hAnsi="Book Antiqua"/>
        </w:rPr>
        <w:t xml:space="preserve"> 2012; </w:t>
      </w:r>
      <w:r w:rsidRPr="00501A87">
        <w:rPr>
          <w:rFonts w:ascii="Book Antiqua" w:hAnsi="Book Antiqua"/>
          <w:b/>
          <w:bCs/>
        </w:rPr>
        <w:t>12</w:t>
      </w:r>
      <w:r w:rsidRPr="00501A87">
        <w:rPr>
          <w:rFonts w:ascii="Book Antiqua" w:hAnsi="Book Antiqua"/>
        </w:rPr>
        <w:t>: e7359 [PMID: 23326280 DOI: 10.5812/hepatmon.7359]</w:t>
      </w:r>
    </w:p>
    <w:p w14:paraId="71216A0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58 </w:t>
      </w:r>
      <w:r w:rsidRPr="00501A87">
        <w:rPr>
          <w:rFonts w:ascii="Book Antiqua" w:hAnsi="Book Antiqua"/>
          <w:b/>
          <w:bCs/>
        </w:rPr>
        <w:t>FitzSimons D</w:t>
      </w:r>
      <w:r w:rsidRPr="00501A87">
        <w:rPr>
          <w:rFonts w:ascii="Book Antiqua" w:hAnsi="Book Antiqua"/>
        </w:rPr>
        <w:t xml:space="preserve">, Hendrickx G, Vorsters A, Van Damme P. Hepatitis B vaccination: a completed schedule enough to control HBV lifelong? Milan, Italy, 17-18 November 2011. </w:t>
      </w:r>
      <w:r w:rsidRPr="00501A87">
        <w:rPr>
          <w:rFonts w:ascii="Book Antiqua" w:hAnsi="Book Antiqua"/>
          <w:i/>
          <w:iCs/>
        </w:rPr>
        <w:t>Vaccine</w:t>
      </w:r>
      <w:r w:rsidRPr="00501A87">
        <w:rPr>
          <w:rFonts w:ascii="Book Antiqua" w:hAnsi="Book Antiqua"/>
        </w:rPr>
        <w:t xml:space="preserve"> 2013; </w:t>
      </w:r>
      <w:r w:rsidRPr="00501A87">
        <w:rPr>
          <w:rFonts w:ascii="Book Antiqua" w:hAnsi="Book Antiqua"/>
          <w:b/>
          <w:bCs/>
        </w:rPr>
        <w:t>31</w:t>
      </w:r>
      <w:r w:rsidRPr="00501A87">
        <w:rPr>
          <w:rFonts w:ascii="Book Antiqua" w:hAnsi="Book Antiqua"/>
        </w:rPr>
        <w:t>: 584-590 [PMID: 23142301 DOI: 10.1016/j.vaccine.2012.10.101]</w:t>
      </w:r>
    </w:p>
    <w:p w14:paraId="29EE8D3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59 </w:t>
      </w:r>
      <w:r w:rsidRPr="00501A87">
        <w:rPr>
          <w:rFonts w:ascii="Book Antiqua" w:hAnsi="Book Antiqua"/>
          <w:b/>
          <w:bCs/>
        </w:rPr>
        <w:t>Van Damme P</w:t>
      </w:r>
      <w:r w:rsidRPr="00501A87">
        <w:rPr>
          <w:rFonts w:ascii="Book Antiqua" w:hAnsi="Book Antiqua"/>
        </w:rPr>
        <w:t xml:space="preserve">, Dionne M, Leroux-Roels G, Van Der Meeren O, Di Paolo E, Salaun B, Surya Kiran P, Folschweiller N. Persistence of HBsAg-specific antibodies and immune memory two to three decades after hepatitis B vaccination in adults.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1066-1075 [PMID: 31087382 DOI: 10.1111/jvh.13125]</w:t>
      </w:r>
    </w:p>
    <w:p w14:paraId="3FABCFF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60 </w:t>
      </w:r>
      <w:r w:rsidRPr="00501A87">
        <w:rPr>
          <w:rFonts w:ascii="Book Antiqua" w:hAnsi="Book Antiqua"/>
          <w:b/>
          <w:bCs/>
        </w:rPr>
        <w:t>Hovi L</w:t>
      </w:r>
      <w:r w:rsidRPr="00501A87">
        <w:rPr>
          <w:rFonts w:ascii="Book Antiqua" w:hAnsi="Book Antiqua"/>
        </w:rPr>
        <w:t xml:space="preserve">, Valle M, Siimes MA, Jalanko H, Saarinen UM. Impaired response to hepatitis B vaccine in children receiving anticancer chemotherapy. </w:t>
      </w:r>
      <w:r w:rsidRPr="00501A87">
        <w:rPr>
          <w:rFonts w:ascii="Book Antiqua" w:hAnsi="Book Antiqua"/>
          <w:i/>
          <w:iCs/>
        </w:rPr>
        <w:t>Pediatr Infect Dis J</w:t>
      </w:r>
      <w:r w:rsidRPr="00501A87">
        <w:rPr>
          <w:rFonts w:ascii="Book Antiqua" w:hAnsi="Book Antiqua"/>
        </w:rPr>
        <w:t xml:space="preserve"> 1995; </w:t>
      </w:r>
      <w:r w:rsidRPr="00501A87">
        <w:rPr>
          <w:rFonts w:ascii="Book Antiqua" w:hAnsi="Book Antiqua"/>
          <w:b/>
          <w:bCs/>
        </w:rPr>
        <w:t>14</w:t>
      </w:r>
      <w:r w:rsidRPr="00501A87">
        <w:rPr>
          <w:rFonts w:ascii="Book Antiqua" w:hAnsi="Book Antiqua"/>
        </w:rPr>
        <w:t>: 931-935 [PMID: 8584357 DOI: 10.1097/00006454-199511000-00002]</w:t>
      </w:r>
    </w:p>
    <w:p w14:paraId="3D55386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61 </w:t>
      </w:r>
      <w:r w:rsidRPr="00501A87">
        <w:rPr>
          <w:rFonts w:ascii="Book Antiqua" w:hAnsi="Book Antiqua"/>
          <w:b/>
          <w:bCs/>
        </w:rPr>
        <w:t>Zuin G</w:t>
      </w:r>
      <w:r w:rsidRPr="00501A87">
        <w:rPr>
          <w:rFonts w:ascii="Book Antiqua" w:hAnsi="Book Antiqua"/>
        </w:rPr>
        <w:t xml:space="preserve">, Principi N, Tornaghi R, Paccagnini S, Re M, Massironi E, Ragni MC. Impaired response to hepatitis B vaccine in HIV infected children. </w:t>
      </w:r>
      <w:r w:rsidRPr="00501A87">
        <w:rPr>
          <w:rFonts w:ascii="Book Antiqua" w:hAnsi="Book Antiqua"/>
          <w:i/>
          <w:iCs/>
        </w:rPr>
        <w:t>Vaccine</w:t>
      </w:r>
      <w:r w:rsidRPr="00501A87">
        <w:rPr>
          <w:rFonts w:ascii="Book Antiqua" w:hAnsi="Book Antiqua"/>
        </w:rPr>
        <w:t xml:space="preserve"> 1992; </w:t>
      </w:r>
      <w:r w:rsidRPr="00501A87">
        <w:rPr>
          <w:rFonts w:ascii="Book Antiqua" w:hAnsi="Book Antiqua"/>
          <w:b/>
          <w:bCs/>
        </w:rPr>
        <w:t>10</w:t>
      </w:r>
      <w:r w:rsidRPr="00501A87">
        <w:rPr>
          <w:rFonts w:ascii="Book Antiqua" w:hAnsi="Book Antiqua"/>
        </w:rPr>
        <w:t>: 857-860 [PMID: 1455911 DOI: 10.1016/0264-410x(92)90050-t]</w:t>
      </w:r>
    </w:p>
    <w:p w14:paraId="096197D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62 </w:t>
      </w:r>
      <w:r w:rsidRPr="00501A87">
        <w:rPr>
          <w:rFonts w:ascii="Book Antiqua" w:hAnsi="Book Antiqua"/>
          <w:b/>
          <w:bCs/>
        </w:rPr>
        <w:t>Rubin LG</w:t>
      </w:r>
      <w:r w:rsidRPr="00501A87">
        <w:rPr>
          <w:rFonts w:ascii="Book Antiqua" w:hAnsi="Book Antiqua"/>
        </w:rPr>
        <w:t xml:space="preserve">, Levin MJ, Ljungman P, Davies EG, Avery R, Tomblyn M, Bousvaros A, Dhanireddy S, Sung L, Keyserling H, Kang I; Infectious Diseases Society of America. 2013 IDSA clinical practice guideline for vaccination of the immunocompromised host. </w:t>
      </w:r>
      <w:r w:rsidRPr="00501A87">
        <w:rPr>
          <w:rFonts w:ascii="Book Antiqua" w:hAnsi="Book Antiqua"/>
          <w:i/>
          <w:iCs/>
        </w:rPr>
        <w:t>Clin Infect Dis</w:t>
      </w:r>
      <w:r w:rsidRPr="00501A87">
        <w:rPr>
          <w:rFonts w:ascii="Book Antiqua" w:hAnsi="Book Antiqua"/>
        </w:rPr>
        <w:t xml:space="preserve"> 2014; </w:t>
      </w:r>
      <w:r w:rsidRPr="00501A87">
        <w:rPr>
          <w:rFonts w:ascii="Book Antiqua" w:hAnsi="Book Antiqua"/>
          <w:b/>
          <w:bCs/>
        </w:rPr>
        <w:t>58</w:t>
      </w:r>
      <w:r w:rsidRPr="00501A87">
        <w:rPr>
          <w:rFonts w:ascii="Book Antiqua" w:hAnsi="Book Antiqua"/>
        </w:rPr>
        <w:t>: e44-100 [PMID: 24311479 DOI: 10.1093/cid/cit684]</w:t>
      </w:r>
    </w:p>
    <w:p w14:paraId="000A02F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63 </w:t>
      </w:r>
      <w:r w:rsidRPr="00501A87">
        <w:rPr>
          <w:rFonts w:ascii="Book Antiqua" w:hAnsi="Book Antiqua"/>
          <w:b/>
          <w:bCs/>
        </w:rPr>
        <w:t>Chawansuntati K</w:t>
      </w:r>
      <w:r w:rsidRPr="00501A87">
        <w:rPr>
          <w:rFonts w:ascii="Book Antiqua" w:hAnsi="Book Antiqua"/>
        </w:rPr>
        <w:t>, Chaiklang K, Chaiwarith R, Praparattanapan J, Supparatpinyo K, Wipasa J. Hepatitis B Vaccination Induced TNF-</w:t>
      </w:r>
      <w:r w:rsidRPr="00501A87">
        <w:rPr>
          <w:rFonts w:ascii="Book Antiqua" w:hAnsi="Book Antiqua"/>
          <w:i/>
          <w:iCs/>
        </w:rPr>
        <w:t>α</w:t>
      </w:r>
      <w:r w:rsidRPr="00501A87">
        <w:rPr>
          <w:rFonts w:ascii="Book Antiqua" w:hAnsi="Book Antiqua"/>
        </w:rPr>
        <w:t xml:space="preserve">- and IL-2-Producing T Cell Responses in HIV- Healthy Individuals Higher than in HIV+ Individuals Who Received the Same Vaccination Regimen. </w:t>
      </w:r>
      <w:r w:rsidRPr="00501A87">
        <w:rPr>
          <w:rFonts w:ascii="Book Antiqua" w:hAnsi="Book Antiqua"/>
          <w:i/>
          <w:iCs/>
        </w:rPr>
        <w:t>J Immunol Res</w:t>
      </w:r>
      <w:r w:rsidRPr="00501A87">
        <w:rPr>
          <w:rFonts w:ascii="Book Antiqua" w:hAnsi="Book Antiqua"/>
        </w:rPr>
        <w:t xml:space="preserve"> 2018; </w:t>
      </w:r>
      <w:r w:rsidRPr="00501A87">
        <w:rPr>
          <w:rFonts w:ascii="Book Antiqua" w:hAnsi="Book Antiqua"/>
          <w:b/>
          <w:bCs/>
        </w:rPr>
        <w:t>2018</w:t>
      </w:r>
      <w:r w:rsidRPr="00501A87">
        <w:rPr>
          <w:rFonts w:ascii="Book Antiqua" w:hAnsi="Book Antiqua"/>
        </w:rPr>
        <w:t>: 8350862 [PMID: 29682590 DOI: 10.1155/2018/8350862]</w:t>
      </w:r>
    </w:p>
    <w:p w14:paraId="1B1FC57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64 </w:t>
      </w:r>
      <w:r w:rsidRPr="00501A87">
        <w:rPr>
          <w:rFonts w:ascii="Book Antiqua" w:hAnsi="Book Antiqua"/>
          <w:b/>
          <w:bCs/>
        </w:rPr>
        <w:t>Palazzo M</w:t>
      </w:r>
      <w:r w:rsidRPr="00501A87">
        <w:rPr>
          <w:rFonts w:ascii="Book Antiqua" w:hAnsi="Book Antiqua"/>
        </w:rPr>
        <w:t xml:space="preserve">, Shah GL, Copelan O, Seier K, Devlin SM, Maloy M, Kenny S, Hassoun H, Korde NS, Lendvai N, Lesokhin AM, Mailankody S, Chung DJ, Koehne G, Landgren CO, Landau H, Giralt SA, Perales MA. Revaccination after Autologous Hematopoietic Stem Cell Transplantation Is Safe and Effective in Patients with Multiple Myeloma Receiving Lenalidomide Maintenance. </w:t>
      </w:r>
      <w:r w:rsidRPr="00501A87">
        <w:rPr>
          <w:rFonts w:ascii="Book Antiqua" w:hAnsi="Book Antiqua"/>
          <w:i/>
          <w:iCs/>
        </w:rPr>
        <w:t>Biol Blood Marrow Transplant</w:t>
      </w:r>
      <w:r w:rsidRPr="00501A87">
        <w:rPr>
          <w:rFonts w:ascii="Book Antiqua" w:hAnsi="Book Antiqua"/>
        </w:rPr>
        <w:t xml:space="preserve"> 2018; </w:t>
      </w:r>
      <w:r w:rsidRPr="00501A87">
        <w:rPr>
          <w:rFonts w:ascii="Book Antiqua" w:hAnsi="Book Antiqua"/>
          <w:b/>
          <w:bCs/>
        </w:rPr>
        <w:t>24</w:t>
      </w:r>
      <w:r w:rsidRPr="00501A87">
        <w:rPr>
          <w:rFonts w:ascii="Book Antiqua" w:hAnsi="Book Antiqua"/>
        </w:rPr>
        <w:t>: 871-876 [PMID: 29288818 DOI: 10.1016/j.bbmt.2017.12.795]</w:t>
      </w:r>
    </w:p>
    <w:p w14:paraId="2CE7785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65 </w:t>
      </w:r>
      <w:r w:rsidRPr="00501A87">
        <w:rPr>
          <w:rFonts w:ascii="Book Antiqua" w:hAnsi="Book Antiqua"/>
          <w:b/>
          <w:bCs/>
        </w:rPr>
        <w:t>Nishikawa K</w:t>
      </w:r>
      <w:r w:rsidRPr="00501A87">
        <w:rPr>
          <w:rFonts w:ascii="Book Antiqua" w:hAnsi="Book Antiqua"/>
        </w:rPr>
        <w:t xml:space="preserve">, Kimura K, Kanda Y, Sugiyama M, Kakihana K, Doki N, Ohashi K, Bae SK, Takahashi K, Ishihara Y, Mizuno I, Onishi Y, Onozawa M, Onizuka M, Yamamoto M, Ishikawa T, Inoue K, Kusumoto S, Hashino S, Saito H, Kanto T, Sakamaki H, Mizokami M. A prospective trial of vaccine to prevent hepatitis B virus reactivation after hematopoietic stem cell transplantation. </w:t>
      </w:r>
      <w:r w:rsidRPr="00501A87">
        <w:rPr>
          <w:rFonts w:ascii="Book Antiqua" w:hAnsi="Book Antiqua"/>
          <w:i/>
          <w:iCs/>
        </w:rPr>
        <w:t>Bone Marrow Transplant</w:t>
      </w:r>
      <w:r w:rsidRPr="00501A87">
        <w:rPr>
          <w:rFonts w:ascii="Book Antiqua" w:hAnsi="Book Antiqua"/>
        </w:rPr>
        <w:t xml:space="preserve"> 2020; </w:t>
      </w:r>
      <w:r w:rsidRPr="00501A87">
        <w:rPr>
          <w:rFonts w:ascii="Book Antiqua" w:hAnsi="Book Antiqua"/>
          <w:b/>
          <w:bCs/>
        </w:rPr>
        <w:t>55</w:t>
      </w:r>
      <w:r w:rsidRPr="00501A87">
        <w:rPr>
          <w:rFonts w:ascii="Book Antiqua" w:hAnsi="Book Antiqua"/>
        </w:rPr>
        <w:t>: 1388-1398 [PMID: 32071416 DOI: 10.1038/s41409-020-0833-5]</w:t>
      </w:r>
    </w:p>
    <w:p w14:paraId="470090B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66 </w:t>
      </w:r>
      <w:r w:rsidRPr="00501A87">
        <w:rPr>
          <w:rFonts w:ascii="Book Antiqua" w:hAnsi="Book Antiqua"/>
          <w:b/>
          <w:bCs/>
        </w:rPr>
        <w:t>Karimkhanilouyi S</w:t>
      </w:r>
      <w:r w:rsidRPr="00501A87">
        <w:rPr>
          <w:rFonts w:ascii="Book Antiqua" w:hAnsi="Book Antiqua"/>
        </w:rPr>
        <w:t xml:space="preserve">, Ghorbian S. Nucleic acid vaccines for hepatitis B and C virus. </w:t>
      </w:r>
      <w:r w:rsidRPr="00501A87">
        <w:rPr>
          <w:rFonts w:ascii="Book Antiqua" w:hAnsi="Book Antiqua"/>
          <w:i/>
          <w:iCs/>
        </w:rPr>
        <w:t>Infect Genet Evol</w:t>
      </w:r>
      <w:r w:rsidRPr="00501A87">
        <w:rPr>
          <w:rFonts w:ascii="Book Antiqua" w:hAnsi="Book Antiqua"/>
        </w:rPr>
        <w:t xml:space="preserve"> 2019; </w:t>
      </w:r>
      <w:r w:rsidRPr="00501A87">
        <w:rPr>
          <w:rFonts w:ascii="Book Antiqua" w:hAnsi="Book Antiqua"/>
          <w:b/>
          <w:bCs/>
        </w:rPr>
        <w:t>75</w:t>
      </w:r>
      <w:r w:rsidRPr="00501A87">
        <w:rPr>
          <w:rFonts w:ascii="Book Antiqua" w:hAnsi="Book Antiqua"/>
        </w:rPr>
        <w:t>: 103968 [PMID: 31325609 DOI: 10.1016/j.meegid.2019.103968]</w:t>
      </w:r>
    </w:p>
    <w:p w14:paraId="7BBCF15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67 </w:t>
      </w:r>
      <w:r w:rsidRPr="00501A87">
        <w:rPr>
          <w:rFonts w:ascii="Book Antiqua" w:hAnsi="Book Antiqua"/>
          <w:b/>
          <w:bCs/>
        </w:rPr>
        <w:t>Chuang WL</w:t>
      </w:r>
      <w:r w:rsidRPr="00501A87">
        <w:rPr>
          <w:rFonts w:ascii="Book Antiqua" w:hAnsi="Book Antiqua"/>
        </w:rPr>
        <w:t xml:space="preserve">, Jia J, Chan HLY, Han KH, Tanwandee T, Tan D, Chen X, Gane E, Piratvisuth T, Chen L, Xie Q, Sung JJ, Messinger D, Wat C, Bakalos G, Liaw YF. Responses are durable for up to 5 years after completion of peginterferon alfa-2a treatment in hepatitis B e antigen-positive patients. </w:t>
      </w:r>
      <w:r w:rsidRPr="00501A87">
        <w:rPr>
          <w:rFonts w:ascii="Book Antiqua" w:hAnsi="Book Antiqua"/>
          <w:i/>
          <w:iCs/>
        </w:rPr>
        <w:t>Aliment Pharmacol Ther</w:t>
      </w:r>
      <w:r w:rsidRPr="00501A87">
        <w:rPr>
          <w:rFonts w:ascii="Book Antiqua" w:hAnsi="Book Antiqua"/>
        </w:rPr>
        <w:t xml:space="preserve"> 2018; </w:t>
      </w:r>
      <w:r w:rsidRPr="00501A87">
        <w:rPr>
          <w:rFonts w:ascii="Book Antiqua" w:hAnsi="Book Antiqua"/>
          <w:b/>
          <w:bCs/>
        </w:rPr>
        <w:t>47</w:t>
      </w:r>
      <w:r w:rsidRPr="00501A87">
        <w:rPr>
          <w:rFonts w:ascii="Book Antiqua" w:hAnsi="Book Antiqua"/>
        </w:rPr>
        <w:t>: 1306-1316 [PMID: 29520872 DOI: 10.1111/apt.14595]</w:t>
      </w:r>
    </w:p>
    <w:p w14:paraId="1A841C5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68 </w:t>
      </w:r>
      <w:r w:rsidRPr="00501A87">
        <w:rPr>
          <w:rFonts w:ascii="Book Antiqua" w:hAnsi="Book Antiqua"/>
          <w:b/>
          <w:bCs/>
        </w:rPr>
        <w:t>Agarwal K</w:t>
      </w:r>
      <w:r w:rsidRPr="00501A87">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501A87">
        <w:t> </w:t>
      </w:r>
      <w:r w:rsidRPr="00501A87">
        <w:rPr>
          <w:rFonts w:ascii="Book Antiqua" w:hAnsi="Book Antiqua"/>
        </w:rPr>
        <w:t xml:space="preserve">weeks treatment of tenofovir alafenamide vs. tenofovir disoproxil fumarate for hepatitis B virus infection. </w:t>
      </w:r>
      <w:r w:rsidRPr="00501A87">
        <w:rPr>
          <w:rFonts w:ascii="Book Antiqua" w:hAnsi="Book Antiqua"/>
          <w:i/>
          <w:iCs/>
        </w:rPr>
        <w:t>J Hepatol</w:t>
      </w:r>
      <w:r w:rsidRPr="00501A87">
        <w:rPr>
          <w:rFonts w:ascii="Book Antiqua" w:hAnsi="Book Antiqua"/>
        </w:rPr>
        <w:t xml:space="preserve"> 2018; </w:t>
      </w:r>
      <w:r w:rsidRPr="00501A87">
        <w:rPr>
          <w:rFonts w:ascii="Book Antiqua" w:hAnsi="Book Antiqua"/>
          <w:b/>
          <w:bCs/>
        </w:rPr>
        <w:t>68</w:t>
      </w:r>
      <w:r w:rsidRPr="00501A87">
        <w:rPr>
          <w:rFonts w:ascii="Book Antiqua" w:hAnsi="Book Antiqua"/>
        </w:rPr>
        <w:t>: 672-681 [PMID: 29756595 DOI: 10.1016/j.jhep.2017.11.039]</w:t>
      </w:r>
    </w:p>
    <w:p w14:paraId="593FAE7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69 </w:t>
      </w:r>
      <w:r w:rsidRPr="00501A87">
        <w:rPr>
          <w:rFonts w:ascii="Book Antiqua" w:hAnsi="Book Antiqua"/>
          <w:b/>
          <w:bCs/>
        </w:rPr>
        <w:t>Yim HJ</w:t>
      </w:r>
      <w:r w:rsidRPr="00501A87">
        <w:rPr>
          <w:rFonts w:ascii="Book Antiqua" w:hAnsi="Book Antiqua"/>
        </w:rPr>
        <w:t xml:space="preserve">, Kim IH, Suh SJ, Jung YK, Kim JH, Seo YS, Yeon JE, Kim CW, Kwon SY, Park SH, Lee MS, Um SH, Byun KS. Switching to tenofovir vs continuing entecavir for hepatitis B virus with partial virologic response to entecavir: a randomized controlled trial.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1321-1330 [PMID: 29772084 DOI: 10.1111/jvh.12934]</w:t>
      </w:r>
    </w:p>
    <w:p w14:paraId="7B15C16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70 </w:t>
      </w:r>
      <w:r w:rsidRPr="00501A87">
        <w:rPr>
          <w:rFonts w:ascii="Book Antiqua" w:hAnsi="Book Antiqua"/>
          <w:b/>
          <w:bCs/>
        </w:rPr>
        <w:t>Lee HJ</w:t>
      </w:r>
      <w:r w:rsidRPr="00501A87">
        <w:rPr>
          <w:rFonts w:ascii="Book Antiqua" w:hAnsi="Book Antiqua"/>
        </w:rPr>
        <w:t xml:space="preserve">, Kim SJ, Kweon YO, Park SY, Heo J, Woo HY, Hwang JS, Chung WJ, Lee CH, Kim BS, Suh JI, Tak WY, Jang BK. Evaluating the efficacy of switching from lamivudine plus adefovir to tenofovir disoproxil fumarate monotherapy in lamivudine-resistant stable hepatitis B patients.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e0190581 [PMID: 29329305 DOI: 10.1371/journal.pone.0190581]</w:t>
      </w:r>
    </w:p>
    <w:p w14:paraId="0CAA98D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71 </w:t>
      </w:r>
      <w:r w:rsidRPr="00501A87">
        <w:rPr>
          <w:rFonts w:ascii="Book Antiqua" w:hAnsi="Book Antiqua"/>
          <w:b/>
          <w:bCs/>
        </w:rPr>
        <w:t>Marcellin P</w:t>
      </w:r>
      <w:r w:rsidRPr="00501A87">
        <w:rPr>
          <w:rFonts w:ascii="Book Antiqua" w:hAnsi="Book Antiqua"/>
        </w:rPr>
        <w:t xml:space="preserve">, Wong DK, Sievert W, Buggisch P, Petersen J, Flisiak R, Manns M, Kaita K, Krastev Z, Lee SS, Cathcart AL, Crans G, Op den Brouw M, Jump B, Gaggar A, Flaherty J, Buti M. Ten-year efficacy and safety of tenofovir disoproxil fumarate treatment for chronic hepatitis B virus infection. </w:t>
      </w:r>
      <w:r w:rsidRPr="00501A87">
        <w:rPr>
          <w:rFonts w:ascii="Book Antiqua" w:hAnsi="Book Antiqua"/>
          <w:i/>
          <w:iCs/>
        </w:rPr>
        <w:t>Liver Int</w:t>
      </w:r>
      <w:r w:rsidRPr="00501A87">
        <w:rPr>
          <w:rFonts w:ascii="Book Antiqua" w:hAnsi="Book Antiqua"/>
        </w:rPr>
        <w:t xml:space="preserve"> 2019; </w:t>
      </w:r>
      <w:r w:rsidRPr="00501A87">
        <w:rPr>
          <w:rFonts w:ascii="Book Antiqua" w:hAnsi="Book Antiqua"/>
          <w:b/>
          <w:bCs/>
        </w:rPr>
        <w:t>39</w:t>
      </w:r>
      <w:r w:rsidRPr="00501A87">
        <w:rPr>
          <w:rFonts w:ascii="Book Antiqua" w:hAnsi="Book Antiqua"/>
        </w:rPr>
        <w:t>: 1868-1875 [PMID: 31136052 DOI: 10.1111/liv.14155]</w:t>
      </w:r>
    </w:p>
    <w:p w14:paraId="07B7328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72 </w:t>
      </w:r>
      <w:r w:rsidRPr="00501A87">
        <w:rPr>
          <w:rFonts w:ascii="Book Antiqua" w:hAnsi="Book Antiqua"/>
          <w:b/>
          <w:bCs/>
        </w:rPr>
        <w:t>Cai D</w:t>
      </w:r>
      <w:r w:rsidRPr="00501A87">
        <w:rPr>
          <w:rFonts w:ascii="Book Antiqua" w:hAnsi="Book Antiqua"/>
        </w:rPr>
        <w:t xml:space="preserve">, Pan C, Yu W, Dang S, Li J, Wu S, Jiang N, Wang M, Zhang Z, Lin F, Xin S, Yang Y, Shen B, Ren H. Comparison of the long-term efficacy of tenofovir and entecavir in nucleos(t)ide analogue-naïve HBeAg-positive patients with chronic hepatitis B: A large, multicentre, randomized controlled trials. </w:t>
      </w:r>
      <w:r w:rsidRPr="00501A87">
        <w:rPr>
          <w:rFonts w:ascii="Book Antiqua" w:hAnsi="Book Antiqua"/>
          <w:i/>
          <w:iCs/>
        </w:rPr>
        <w:t>Medicine (Baltimore)</w:t>
      </w:r>
      <w:r w:rsidRPr="00501A87">
        <w:rPr>
          <w:rFonts w:ascii="Book Antiqua" w:hAnsi="Book Antiqua"/>
        </w:rPr>
        <w:t xml:space="preserve"> 2019; </w:t>
      </w:r>
      <w:r w:rsidRPr="00501A87">
        <w:rPr>
          <w:rFonts w:ascii="Book Antiqua" w:hAnsi="Book Antiqua"/>
          <w:b/>
          <w:bCs/>
        </w:rPr>
        <w:t>98</w:t>
      </w:r>
      <w:r w:rsidRPr="00501A87">
        <w:rPr>
          <w:rFonts w:ascii="Book Antiqua" w:hAnsi="Book Antiqua"/>
        </w:rPr>
        <w:t>: e13983 [PMID: 30608440 DOI: 10.1097/MD.0000000000013983]</w:t>
      </w:r>
    </w:p>
    <w:p w14:paraId="1A1A092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73 </w:t>
      </w:r>
      <w:r w:rsidRPr="00501A87">
        <w:rPr>
          <w:rFonts w:ascii="Book Antiqua" w:hAnsi="Book Antiqua"/>
          <w:b/>
          <w:bCs/>
        </w:rPr>
        <w:t>Liang X</w:t>
      </w:r>
      <w:r w:rsidRPr="00501A87">
        <w:rPr>
          <w:rFonts w:ascii="Book Antiqua" w:hAnsi="Book Antiqua"/>
        </w:rPr>
        <w:t xml:space="preserve">, Xie Q, Tan D, Ning Q, Niu J, Bai X, Chen S, Cheng J, Yu Y, Wang H, Xu M, Shi G, Wan M, Chen X, Tang H, Sheng J, Dou X, Shi J, Ren H, Wang M, Zhang H, Gao Z, Chen C, Ma H, Chen Y, Fan R, Sun J, Jia J, Hou J. Interpretation of liver stiffness measurement-based approach for the monitoring of hepatitis B patients with antiviral therapy: A 2-year prospective study.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296-305 [PMID: 29080299 DOI: 10.1111/jvh.12814]</w:t>
      </w:r>
    </w:p>
    <w:p w14:paraId="73DE327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74 </w:t>
      </w:r>
      <w:r w:rsidRPr="00501A87">
        <w:rPr>
          <w:rFonts w:ascii="Book Antiqua" w:hAnsi="Book Antiqua"/>
          <w:b/>
          <w:bCs/>
        </w:rPr>
        <w:t>Zoulim F</w:t>
      </w:r>
      <w:r w:rsidRPr="00501A87">
        <w:rPr>
          <w:rFonts w:ascii="Book Antiqua" w:hAnsi="Book Antiqua"/>
        </w:rPr>
        <w:t xml:space="preserve">. New insight on hepatitis B virus persistence from the study of intrahepatic viral cccDNA. </w:t>
      </w:r>
      <w:r w:rsidRPr="00501A87">
        <w:rPr>
          <w:rFonts w:ascii="Book Antiqua" w:hAnsi="Book Antiqua"/>
          <w:i/>
          <w:iCs/>
        </w:rPr>
        <w:t>J Hepatol</w:t>
      </w:r>
      <w:r w:rsidRPr="00501A87">
        <w:rPr>
          <w:rFonts w:ascii="Book Antiqua" w:hAnsi="Book Antiqua"/>
        </w:rPr>
        <w:t xml:space="preserve"> 2005; </w:t>
      </w:r>
      <w:r w:rsidRPr="00501A87">
        <w:rPr>
          <w:rFonts w:ascii="Book Antiqua" w:hAnsi="Book Antiqua"/>
          <w:b/>
          <w:bCs/>
        </w:rPr>
        <w:t>42</w:t>
      </w:r>
      <w:r w:rsidRPr="00501A87">
        <w:rPr>
          <w:rFonts w:ascii="Book Antiqua" w:hAnsi="Book Antiqua"/>
        </w:rPr>
        <w:t>: 302-308 [PMID: 15710212 DOI: 10.1016/j.jhep.2004.12.015]</w:t>
      </w:r>
    </w:p>
    <w:p w14:paraId="2E4432B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75 </w:t>
      </w:r>
      <w:r w:rsidRPr="00501A87">
        <w:rPr>
          <w:rFonts w:ascii="Book Antiqua" w:hAnsi="Book Antiqua"/>
          <w:b/>
          <w:bCs/>
        </w:rPr>
        <w:t>Liem KS</w:t>
      </w:r>
      <w:r w:rsidRPr="00501A87">
        <w:rPr>
          <w:rFonts w:ascii="Book Antiqua" w:hAnsi="Book Antiqua"/>
        </w:rPr>
        <w:t xml:space="preserve">, Fung S, Wong DK, Yim C, Noureldin S, Chen J, Feld JJ, Hansen BE, Janssen HLA. Limited sustained response after stopping nucleos(t)ide analogues in patients with chronic hepatitis B: results from a randomised controlled trial (Toronto STOP study). </w:t>
      </w:r>
      <w:r w:rsidRPr="00501A87">
        <w:rPr>
          <w:rFonts w:ascii="Book Antiqua" w:hAnsi="Book Antiqua"/>
          <w:i/>
          <w:iCs/>
        </w:rPr>
        <w:t>Gut</w:t>
      </w:r>
      <w:r w:rsidRPr="00501A87">
        <w:rPr>
          <w:rFonts w:ascii="Book Antiqua" w:hAnsi="Book Antiqua"/>
        </w:rPr>
        <w:t xml:space="preserve"> 2019; </w:t>
      </w:r>
      <w:r w:rsidRPr="00501A87">
        <w:rPr>
          <w:rFonts w:ascii="Book Antiqua" w:hAnsi="Book Antiqua"/>
          <w:b/>
          <w:bCs/>
        </w:rPr>
        <w:t>68</w:t>
      </w:r>
      <w:r w:rsidRPr="00501A87">
        <w:rPr>
          <w:rFonts w:ascii="Book Antiqua" w:hAnsi="Book Antiqua"/>
        </w:rPr>
        <w:t>: 2206-2213 [PMID: 31462554 DOI: 10.1136/gutjnl-2019-318981]</w:t>
      </w:r>
    </w:p>
    <w:p w14:paraId="095A64A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76 </w:t>
      </w:r>
      <w:r w:rsidRPr="00501A87">
        <w:rPr>
          <w:rFonts w:ascii="Book Antiqua" w:hAnsi="Book Antiqua"/>
          <w:b/>
          <w:bCs/>
        </w:rPr>
        <w:t>Buti M</w:t>
      </w:r>
      <w:r w:rsidRPr="00501A87">
        <w:rPr>
          <w:rFonts w:ascii="Book Antiqua" w:hAnsi="Book Antiqua"/>
        </w:rPr>
        <w:t xml:space="preserve">, Wong DK, Gane E, Flisiak R, Manns M, Kaita K, Janssen HLA, Op den Brouw M, Jump B, Kitrinos K, Crans G, Flaherty J, Gaggar A, Marcellin P. Safety and efficacy of stopping tenofovir disoproxil fumarate in patients with chronic hepatitis B following at least 8 years of therapy: a prespecified follow-up analysis of two randomised trials. </w:t>
      </w:r>
      <w:r w:rsidRPr="00501A87">
        <w:rPr>
          <w:rFonts w:ascii="Book Antiqua" w:hAnsi="Book Antiqua"/>
          <w:i/>
          <w:iCs/>
        </w:rPr>
        <w:t>Lancet Gastroenterol Hepatol</w:t>
      </w:r>
      <w:r w:rsidRPr="00501A87">
        <w:rPr>
          <w:rFonts w:ascii="Book Antiqua" w:hAnsi="Book Antiqua"/>
        </w:rPr>
        <w:t xml:space="preserve"> 2019; </w:t>
      </w:r>
      <w:r w:rsidRPr="00501A87">
        <w:rPr>
          <w:rFonts w:ascii="Book Antiqua" w:hAnsi="Book Antiqua"/>
          <w:b/>
          <w:bCs/>
        </w:rPr>
        <w:t>4</w:t>
      </w:r>
      <w:r w:rsidRPr="00501A87">
        <w:rPr>
          <w:rFonts w:ascii="Book Antiqua" w:hAnsi="Book Antiqua"/>
        </w:rPr>
        <w:t>: 296-304 [PMID: 30795958 DOI: 10.1016/S2468-1253(19)30015-9]</w:t>
      </w:r>
    </w:p>
    <w:p w14:paraId="6BD35FA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77 </w:t>
      </w:r>
      <w:r w:rsidRPr="00501A87">
        <w:rPr>
          <w:rFonts w:ascii="Book Antiqua" w:hAnsi="Book Antiqua"/>
          <w:b/>
          <w:bCs/>
        </w:rPr>
        <w:t>Wong VW</w:t>
      </w:r>
      <w:r w:rsidRPr="00501A87">
        <w:rPr>
          <w:rFonts w:ascii="Book Antiqua" w:hAnsi="Book Antiqua"/>
        </w:rPr>
        <w:t xml:space="preserve">, Hui AJ, Wong GL, Chan RS, Chim AM, Lo AO, Chan HL. Four-year Outcomes After Cessation of Tenofovir in Immune-tolerant Chronic Hepatitis B Patients. </w:t>
      </w:r>
      <w:r w:rsidRPr="00501A87">
        <w:rPr>
          <w:rFonts w:ascii="Book Antiqua" w:hAnsi="Book Antiqua"/>
          <w:i/>
          <w:iCs/>
        </w:rPr>
        <w:t>J Clin Gastroenterol</w:t>
      </w:r>
      <w:r w:rsidRPr="00501A87">
        <w:rPr>
          <w:rFonts w:ascii="Book Antiqua" w:hAnsi="Book Antiqua"/>
        </w:rPr>
        <w:t xml:space="preserve"> 2018; </w:t>
      </w:r>
      <w:r w:rsidRPr="00501A87">
        <w:rPr>
          <w:rFonts w:ascii="Book Antiqua" w:hAnsi="Book Antiqua"/>
          <w:b/>
          <w:bCs/>
        </w:rPr>
        <w:t>52</w:t>
      </w:r>
      <w:r w:rsidRPr="00501A87">
        <w:rPr>
          <w:rFonts w:ascii="Book Antiqua" w:hAnsi="Book Antiqua"/>
        </w:rPr>
        <w:t>: 347-352 [PMID: 28723855 DOI: 10.1097/MCG.0000000000000852]</w:t>
      </w:r>
    </w:p>
    <w:p w14:paraId="2708C05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78 </w:t>
      </w:r>
      <w:r w:rsidRPr="00501A87">
        <w:rPr>
          <w:rFonts w:ascii="Book Antiqua" w:hAnsi="Book Antiqua"/>
          <w:b/>
          <w:bCs/>
        </w:rPr>
        <w:t>Liem KS</w:t>
      </w:r>
      <w:r w:rsidRPr="00501A87">
        <w:rPr>
          <w:rFonts w:ascii="Book Antiqua" w:hAnsi="Book Antiqua"/>
        </w:rPr>
        <w:t xml:space="preserve">, van Campenhout MJH, Xie Q, Brouwer WP, Chi H, Qi X, Chen L, Tabak F, Hansen BE, Janssen HLA. Low hepatitis B surface antigen and HBV DNA levels predict response to the addition of pegylated interferon to entecavir in hepatitis B e antigen positive chronic hepatitis B. </w:t>
      </w:r>
      <w:r w:rsidRPr="00501A87">
        <w:rPr>
          <w:rFonts w:ascii="Book Antiqua" w:hAnsi="Book Antiqua"/>
          <w:i/>
          <w:iCs/>
        </w:rPr>
        <w:t>Aliment Pharmacol Ther</w:t>
      </w:r>
      <w:r w:rsidRPr="00501A87">
        <w:rPr>
          <w:rFonts w:ascii="Book Antiqua" w:hAnsi="Book Antiqua"/>
        </w:rPr>
        <w:t xml:space="preserve"> 2019; </w:t>
      </w:r>
      <w:r w:rsidRPr="00501A87">
        <w:rPr>
          <w:rFonts w:ascii="Book Antiqua" w:hAnsi="Book Antiqua"/>
          <w:b/>
          <w:bCs/>
        </w:rPr>
        <w:t>49</w:t>
      </w:r>
      <w:r w:rsidRPr="00501A87">
        <w:rPr>
          <w:rFonts w:ascii="Book Antiqua" w:hAnsi="Book Antiqua"/>
        </w:rPr>
        <w:t>: 448-456 [PMID: 30689258 DOI: 10.1111/apt.15098]</w:t>
      </w:r>
    </w:p>
    <w:p w14:paraId="15C69DA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79 </w:t>
      </w:r>
      <w:r w:rsidRPr="00501A87">
        <w:rPr>
          <w:rFonts w:ascii="Book Antiqua" w:hAnsi="Book Antiqua"/>
          <w:b/>
          <w:bCs/>
        </w:rPr>
        <w:t>Lampertico P</w:t>
      </w:r>
      <w:r w:rsidRPr="00501A87">
        <w:rPr>
          <w:rFonts w:ascii="Book Antiqua" w:hAnsi="Book Antiqua"/>
        </w:rPr>
        <w:t xml:space="preserve">, Brunetto MR, Craxì A, Gaeta GB, Rizzetto M, Rozzi A, Colombo M; HERMES Study Group. Add-on peginterferon alfa-2a to nucleos(t)ide analogue therapy for Caucasian patients with hepatitis B 'e' antigen-negative chronic hepatitis B genotype D.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118-125 [PMID: 30187599 DOI: 10.1111/jvh.12999]</w:t>
      </w:r>
    </w:p>
    <w:p w14:paraId="7F9AA1F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80 </w:t>
      </w:r>
      <w:r w:rsidRPr="00501A87">
        <w:rPr>
          <w:rFonts w:ascii="Book Antiqua" w:hAnsi="Book Antiqua"/>
          <w:b/>
          <w:bCs/>
        </w:rPr>
        <w:t>Chan HLY</w:t>
      </w:r>
      <w:r w:rsidRPr="00501A87">
        <w:rPr>
          <w:rFonts w:ascii="Book Antiqua" w:hAnsi="Book Antiqua"/>
        </w:rPr>
        <w:t xml:space="preserve">, Chan FWS, Hui AJ, Li MKK, Chan KH, Wong GLH, Loo CK, Chim AML, Tse CH, Wong VWS. Switching to peginterferon for chronic hepatitis B patients with hepatitis B e antigen seroconversion on entecavir - A prospective study.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126-135 [PMID: 30187604 DOI: 10.1111/jvh.13000]</w:t>
      </w:r>
    </w:p>
    <w:p w14:paraId="6A43CD6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81 </w:t>
      </w:r>
      <w:r w:rsidRPr="00501A87">
        <w:rPr>
          <w:rFonts w:ascii="Book Antiqua" w:hAnsi="Book Antiqua"/>
          <w:b/>
          <w:bCs/>
        </w:rPr>
        <w:t>Chan HLY</w:t>
      </w:r>
      <w:r w:rsidRPr="00501A87">
        <w:rPr>
          <w:rFonts w:ascii="Book Antiqua" w:hAnsi="Book Antiqua"/>
        </w:rPr>
        <w:t xml:space="preserve">, Messinger D, Papatheodoridis GV, Cornberg M, Xie Q, Piratvisuth T, Ren H, Kennedy PT, Thompson A, Caputo A, Bakalos G, Pavlovic V, Lampertico P. A baseline tool for predicting response to peginterferon alfa-2a in HBeAg-positive patients with chronic hepatitis B. </w:t>
      </w:r>
      <w:r w:rsidRPr="00501A87">
        <w:rPr>
          <w:rFonts w:ascii="Book Antiqua" w:hAnsi="Book Antiqua"/>
          <w:i/>
          <w:iCs/>
        </w:rPr>
        <w:t>Aliment Pharmacol Ther</w:t>
      </w:r>
      <w:r w:rsidRPr="00501A87">
        <w:rPr>
          <w:rFonts w:ascii="Book Antiqua" w:hAnsi="Book Antiqua"/>
        </w:rPr>
        <w:t xml:space="preserve"> 2018; </w:t>
      </w:r>
      <w:r w:rsidRPr="00501A87">
        <w:rPr>
          <w:rFonts w:ascii="Book Antiqua" w:hAnsi="Book Antiqua"/>
          <w:b/>
          <w:bCs/>
        </w:rPr>
        <w:t>48</w:t>
      </w:r>
      <w:r w:rsidRPr="00501A87">
        <w:rPr>
          <w:rFonts w:ascii="Book Antiqua" w:hAnsi="Book Antiqua"/>
        </w:rPr>
        <w:t>: 547-555 [PMID: 29956827 DOI: 10.1111/apt.14862]</w:t>
      </w:r>
    </w:p>
    <w:p w14:paraId="462BD87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82 </w:t>
      </w:r>
      <w:r w:rsidRPr="00501A87">
        <w:rPr>
          <w:rFonts w:ascii="Book Antiqua" w:hAnsi="Book Antiqua"/>
          <w:b/>
          <w:bCs/>
        </w:rPr>
        <w:t>Chen Y</w:t>
      </w:r>
      <w:r w:rsidRPr="00501A87">
        <w:rPr>
          <w:rFonts w:ascii="Book Antiqua" w:hAnsi="Book Antiqua"/>
        </w:rPr>
        <w:t xml:space="preserve">, Li JJ, Chen R, Li G, Ji J. Dynamics of HBV surface antigen related end points in chronic hepatitis B infection: a systematic review and meta-analysis. </w:t>
      </w:r>
      <w:r w:rsidRPr="00501A87">
        <w:rPr>
          <w:rFonts w:ascii="Book Antiqua" w:hAnsi="Book Antiqua"/>
          <w:i/>
          <w:iCs/>
        </w:rPr>
        <w:t>Antivir Ther</w:t>
      </w:r>
      <w:r w:rsidRPr="00501A87">
        <w:rPr>
          <w:rFonts w:ascii="Book Antiqua" w:hAnsi="Book Antiqua"/>
        </w:rPr>
        <w:t xml:space="preserve"> 2020; </w:t>
      </w:r>
      <w:r w:rsidRPr="00501A87">
        <w:rPr>
          <w:rFonts w:ascii="Book Antiqua" w:hAnsi="Book Antiqua"/>
          <w:b/>
          <w:bCs/>
        </w:rPr>
        <w:t>25</w:t>
      </w:r>
      <w:r w:rsidRPr="00501A87">
        <w:rPr>
          <w:rFonts w:ascii="Book Antiqua" w:hAnsi="Book Antiqua"/>
        </w:rPr>
        <w:t>: 203-215 [PMID: 32609658 DOI: 10.3851/IMP3366]</w:t>
      </w:r>
    </w:p>
    <w:p w14:paraId="1B1B095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83 </w:t>
      </w:r>
      <w:r w:rsidRPr="00501A87">
        <w:rPr>
          <w:rFonts w:ascii="Book Antiqua" w:hAnsi="Book Antiqua"/>
          <w:b/>
          <w:bCs/>
        </w:rPr>
        <w:t>Testoni B</w:t>
      </w:r>
      <w:r w:rsidRPr="00501A87">
        <w:rPr>
          <w:rFonts w:ascii="Book Antiqua" w:hAnsi="Book Antiqua"/>
        </w:rPr>
        <w:t xml:space="preserve">, Durantel D, Zoulim F. Novel targets for hepatitis B virus therapy. </w:t>
      </w:r>
      <w:r w:rsidRPr="00501A87">
        <w:rPr>
          <w:rFonts w:ascii="Book Antiqua" w:hAnsi="Book Antiqua"/>
          <w:i/>
          <w:iCs/>
        </w:rPr>
        <w:t>Liver Int</w:t>
      </w:r>
      <w:r w:rsidRPr="00501A87">
        <w:rPr>
          <w:rFonts w:ascii="Book Antiqua" w:hAnsi="Book Antiqua"/>
        </w:rPr>
        <w:t xml:space="preserve"> 2017; </w:t>
      </w:r>
      <w:r w:rsidRPr="00501A87">
        <w:rPr>
          <w:rFonts w:ascii="Book Antiqua" w:hAnsi="Book Antiqua"/>
          <w:b/>
          <w:bCs/>
        </w:rPr>
        <w:t>37 Suppl 1</w:t>
      </w:r>
      <w:r w:rsidRPr="00501A87">
        <w:rPr>
          <w:rFonts w:ascii="Book Antiqua" w:hAnsi="Book Antiqua"/>
        </w:rPr>
        <w:t>: 33-39 [PMID: 28052622 DOI: 10.1111/liv.13307]</w:t>
      </w:r>
    </w:p>
    <w:p w14:paraId="77433C5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84 </w:t>
      </w:r>
      <w:r w:rsidRPr="00501A87">
        <w:rPr>
          <w:rFonts w:ascii="Book Antiqua" w:hAnsi="Book Antiqua"/>
          <w:b/>
          <w:bCs/>
        </w:rPr>
        <w:t>Tsukuda S</w:t>
      </w:r>
      <w:r w:rsidRPr="00501A87">
        <w:rPr>
          <w:rFonts w:ascii="Book Antiqua" w:hAnsi="Book Antiqua"/>
        </w:rPr>
        <w:t xml:space="preserve">, Watashi K. Hepatitis B virus biology and life cycle. </w:t>
      </w:r>
      <w:r w:rsidRPr="00501A87">
        <w:rPr>
          <w:rFonts w:ascii="Book Antiqua" w:hAnsi="Book Antiqua"/>
          <w:i/>
          <w:iCs/>
        </w:rPr>
        <w:t>Antiviral Res</w:t>
      </w:r>
      <w:r w:rsidRPr="00501A87">
        <w:rPr>
          <w:rFonts w:ascii="Book Antiqua" w:hAnsi="Book Antiqua"/>
        </w:rPr>
        <w:t xml:space="preserve"> 2020; </w:t>
      </w:r>
      <w:r w:rsidRPr="00501A87">
        <w:rPr>
          <w:rFonts w:ascii="Book Antiqua" w:hAnsi="Book Antiqua"/>
          <w:b/>
          <w:bCs/>
        </w:rPr>
        <w:t>182</w:t>
      </w:r>
      <w:r w:rsidRPr="00501A87">
        <w:rPr>
          <w:rFonts w:ascii="Book Antiqua" w:hAnsi="Book Antiqua"/>
        </w:rPr>
        <w:t>: 104925 [PMID: 32866519 DOI: 10.1016/j.antiviral.2020.104925]</w:t>
      </w:r>
    </w:p>
    <w:p w14:paraId="696E52E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85 </w:t>
      </w:r>
      <w:r w:rsidRPr="00501A87">
        <w:rPr>
          <w:rFonts w:ascii="Book Antiqua" w:hAnsi="Book Antiqua"/>
          <w:b/>
          <w:bCs/>
        </w:rPr>
        <w:t>Yan H</w:t>
      </w:r>
      <w:r w:rsidRPr="00501A87">
        <w:rPr>
          <w:rFonts w:ascii="Book Antiqua" w:hAnsi="Book Antiqua"/>
        </w:rPr>
        <w:t xml:space="preserve">, Zhong G, Xu G, He W, Jing Z, Gao Z, Huang Y, Qi Y, Peng B, Wang H, Fu L, Song M, Chen P, Gao W, Ren B, Sun Y, Cai T, Feng X, Sui J, Li W. Sodium taurocholate cotransporting polypeptide is a functional receptor for human hepatitis B and D virus. </w:t>
      </w:r>
      <w:r w:rsidRPr="00501A87">
        <w:rPr>
          <w:rFonts w:ascii="Book Antiqua" w:hAnsi="Book Antiqua"/>
          <w:i/>
          <w:iCs/>
        </w:rPr>
        <w:t>Elife</w:t>
      </w:r>
      <w:r w:rsidRPr="00501A87">
        <w:rPr>
          <w:rFonts w:ascii="Book Antiqua" w:hAnsi="Book Antiqua"/>
        </w:rPr>
        <w:t xml:space="preserve"> 2012; </w:t>
      </w:r>
      <w:r w:rsidRPr="00501A87">
        <w:rPr>
          <w:rFonts w:ascii="Book Antiqua" w:hAnsi="Book Antiqua"/>
          <w:b/>
          <w:bCs/>
        </w:rPr>
        <w:t>1</w:t>
      </w:r>
      <w:r w:rsidRPr="00501A87">
        <w:rPr>
          <w:rFonts w:ascii="Book Antiqua" w:hAnsi="Book Antiqua"/>
        </w:rPr>
        <w:t>: e00049 [PMID: 23150796 DOI: 10.7554/eLife.00049]</w:t>
      </w:r>
    </w:p>
    <w:p w14:paraId="486F79C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86 </w:t>
      </w:r>
      <w:r w:rsidRPr="00501A87">
        <w:rPr>
          <w:rFonts w:ascii="Book Antiqua" w:hAnsi="Book Antiqua"/>
          <w:b/>
          <w:bCs/>
        </w:rPr>
        <w:t>Nkongolo S</w:t>
      </w:r>
      <w:r w:rsidRPr="00501A87">
        <w:rPr>
          <w:rFonts w:ascii="Book Antiqua" w:hAnsi="Book Antiqua"/>
        </w:rPr>
        <w:t xml:space="preserve">, Ni Y, Lempp FA, Kaufman C, Lindner T, Esser-Nobis K, Lohmann V, Mier W, Mehrle S, Urban S. Cyclosporin A inhibits hepatitis B and hepatitis D virus entry by cyclophilin-independent interference with the NTCP receptor. </w:t>
      </w:r>
      <w:r w:rsidRPr="00501A87">
        <w:rPr>
          <w:rFonts w:ascii="Book Antiqua" w:hAnsi="Book Antiqua"/>
          <w:i/>
          <w:iCs/>
        </w:rPr>
        <w:t>J Hepatol</w:t>
      </w:r>
      <w:r w:rsidRPr="00501A87">
        <w:rPr>
          <w:rFonts w:ascii="Book Antiqua" w:hAnsi="Book Antiqua"/>
        </w:rPr>
        <w:t xml:space="preserve"> 2014; </w:t>
      </w:r>
      <w:r w:rsidRPr="00501A87">
        <w:rPr>
          <w:rFonts w:ascii="Book Antiqua" w:hAnsi="Book Antiqua"/>
          <w:b/>
          <w:bCs/>
        </w:rPr>
        <w:t>60</w:t>
      </w:r>
      <w:r w:rsidRPr="00501A87">
        <w:rPr>
          <w:rFonts w:ascii="Book Antiqua" w:hAnsi="Book Antiqua"/>
        </w:rPr>
        <w:t>: 723-731 [PMID: 24295872 DOI: 10.1016/j.jhep.2013.11.022]</w:t>
      </w:r>
    </w:p>
    <w:p w14:paraId="77A0A06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87 </w:t>
      </w:r>
      <w:r w:rsidRPr="00501A87">
        <w:rPr>
          <w:rFonts w:ascii="Book Antiqua" w:hAnsi="Book Antiqua"/>
          <w:b/>
          <w:bCs/>
        </w:rPr>
        <w:t>Bogomolov P</w:t>
      </w:r>
      <w:r w:rsidRPr="00501A87">
        <w:rPr>
          <w:rFonts w:ascii="Book Antiqua" w:hAnsi="Book Antiqua"/>
        </w:rPr>
        <w:t xml:space="preserve">, Alexandrov A, Voronkova N, Macievich M, Kokina K, Petrachenkova M, Lehr T, Lempp FA, Wedemeyer H, Haag M, Schwab M, Haefeli WE, Blank A, Urban S. Treatment of chronic hepatitis D with the entry inhibitor myrcludex B: First results of a phase Ib/IIa study.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65</w:t>
      </w:r>
      <w:r w:rsidRPr="00501A87">
        <w:rPr>
          <w:rFonts w:ascii="Book Antiqua" w:hAnsi="Book Antiqua"/>
        </w:rPr>
        <w:t>: 490-498 [PMID: 27132170 DOI: 10.1016/j.jhep.2016.04.016]</w:t>
      </w:r>
    </w:p>
    <w:p w14:paraId="6836CE6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88 </w:t>
      </w:r>
      <w:r w:rsidRPr="00501A87">
        <w:rPr>
          <w:rFonts w:ascii="Book Antiqua" w:hAnsi="Book Antiqua"/>
          <w:b/>
          <w:bCs/>
        </w:rPr>
        <w:t>Iwamoto M</w:t>
      </w:r>
      <w:r w:rsidRPr="00501A87">
        <w:rPr>
          <w:rFonts w:ascii="Book Antiqua" w:hAnsi="Book Antiqua"/>
        </w:rPr>
        <w:t xml:space="preserve">, Watashi K, Tsukuda S, Aly HH, Fukasawa M, Fujimoto A, Suzuki R, Aizaki H, Ito T, Koiwai O, Kusuhara H, Wakita T. Evaluation and identification of hepatitis B virus entry inhibitors using HepG2 cells overexpressing a membrane transporter NTCP. </w:t>
      </w:r>
      <w:r w:rsidRPr="00501A87">
        <w:rPr>
          <w:rFonts w:ascii="Book Antiqua" w:hAnsi="Book Antiqua"/>
          <w:i/>
          <w:iCs/>
        </w:rPr>
        <w:t>Biochem Biophys Res Commun</w:t>
      </w:r>
      <w:r w:rsidRPr="00501A87">
        <w:rPr>
          <w:rFonts w:ascii="Book Antiqua" w:hAnsi="Book Antiqua"/>
        </w:rPr>
        <w:t xml:space="preserve"> 2014; </w:t>
      </w:r>
      <w:r w:rsidRPr="00501A87">
        <w:rPr>
          <w:rFonts w:ascii="Book Antiqua" w:hAnsi="Book Antiqua"/>
          <w:b/>
          <w:bCs/>
        </w:rPr>
        <w:t>443</w:t>
      </w:r>
      <w:r w:rsidRPr="00501A87">
        <w:rPr>
          <w:rFonts w:ascii="Book Antiqua" w:hAnsi="Book Antiqua"/>
        </w:rPr>
        <w:t>: 808-813 [PMID: 24342612 DOI: 10.1016/j.bbrc.2013.12.052]</w:t>
      </w:r>
    </w:p>
    <w:p w14:paraId="19996C2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89 </w:t>
      </w:r>
      <w:r w:rsidRPr="00501A87">
        <w:rPr>
          <w:rFonts w:ascii="Book Antiqua" w:hAnsi="Book Antiqua"/>
          <w:b/>
          <w:bCs/>
        </w:rPr>
        <w:t>Ni Y</w:t>
      </w:r>
      <w:r w:rsidRPr="00501A87">
        <w:rPr>
          <w:rFonts w:ascii="Book Antiqua" w:hAnsi="Book Antiqua"/>
        </w:rPr>
        <w:t xml:space="preserve">, Lempp FA, Mehrle S, Nkongolo S, Kaufman C, Fälth M, Stindt J, Königer C, Nassal M, Kubitz R, Sültmann H, Urban S. Hepatitis B and D viruses exploit sodium taurocholate co-transporting polypeptide for species-specific entry into hepatocytes. </w:t>
      </w:r>
      <w:r w:rsidRPr="00501A87">
        <w:rPr>
          <w:rFonts w:ascii="Book Antiqua" w:hAnsi="Book Antiqua"/>
          <w:i/>
          <w:iCs/>
        </w:rPr>
        <w:t>Gastroenterology</w:t>
      </w:r>
      <w:r w:rsidRPr="00501A87">
        <w:rPr>
          <w:rFonts w:ascii="Book Antiqua" w:hAnsi="Book Antiqua"/>
        </w:rPr>
        <w:t xml:space="preserve"> 2014; </w:t>
      </w:r>
      <w:r w:rsidRPr="00501A87">
        <w:rPr>
          <w:rFonts w:ascii="Book Antiqua" w:hAnsi="Book Antiqua"/>
          <w:b/>
          <w:bCs/>
        </w:rPr>
        <w:t>146</w:t>
      </w:r>
      <w:r w:rsidRPr="00501A87">
        <w:rPr>
          <w:rFonts w:ascii="Book Antiqua" w:hAnsi="Book Antiqua"/>
        </w:rPr>
        <w:t>: 1070-1083 [PMID: 24361467 DOI: 10.1053/j.gastro.2013.12.024]</w:t>
      </w:r>
    </w:p>
    <w:p w14:paraId="2DD633F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90 </w:t>
      </w:r>
      <w:r w:rsidRPr="00501A87">
        <w:rPr>
          <w:rFonts w:ascii="Book Antiqua" w:hAnsi="Book Antiqua"/>
          <w:b/>
          <w:bCs/>
        </w:rPr>
        <w:t>Sun Y</w:t>
      </w:r>
      <w:r w:rsidRPr="00501A87">
        <w:rPr>
          <w:rFonts w:ascii="Book Antiqua" w:hAnsi="Book Antiqua"/>
        </w:rPr>
        <w:t xml:space="preserve">, Qi Y, Peng B, Li W. NTCP-Reconstituted In Vitro HBV Infection System. </w:t>
      </w:r>
      <w:r w:rsidRPr="00501A87">
        <w:rPr>
          <w:rFonts w:ascii="Book Antiqua" w:hAnsi="Book Antiqua"/>
          <w:i/>
          <w:iCs/>
        </w:rPr>
        <w:t>Methods Mol Biol</w:t>
      </w:r>
      <w:r w:rsidRPr="00501A87">
        <w:rPr>
          <w:rFonts w:ascii="Book Antiqua" w:hAnsi="Book Antiqua"/>
        </w:rPr>
        <w:t xml:space="preserve"> 2017; </w:t>
      </w:r>
      <w:r w:rsidRPr="00501A87">
        <w:rPr>
          <w:rFonts w:ascii="Book Antiqua" w:hAnsi="Book Antiqua"/>
          <w:b/>
          <w:bCs/>
        </w:rPr>
        <w:t>1540</w:t>
      </w:r>
      <w:r w:rsidRPr="00501A87">
        <w:rPr>
          <w:rFonts w:ascii="Book Antiqua" w:hAnsi="Book Antiqua"/>
        </w:rPr>
        <w:t>: 1-14 [PMID: 27975303 DOI: 10.1007/978-1-4939-6700-1_1]</w:t>
      </w:r>
    </w:p>
    <w:p w14:paraId="0D94358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91 </w:t>
      </w:r>
      <w:r w:rsidRPr="00501A87">
        <w:rPr>
          <w:rFonts w:ascii="Book Antiqua" w:hAnsi="Book Antiqua"/>
          <w:b/>
          <w:bCs/>
        </w:rPr>
        <w:t>Burwitz BJ</w:t>
      </w:r>
      <w:r w:rsidRPr="00501A87">
        <w:rPr>
          <w:rFonts w:ascii="Book Antiqua" w:hAnsi="Book Antiqua"/>
        </w:rPr>
        <w:t xml:space="preserve">, Wettengel JM, Mück-Häusl MA, Ringelhan M, Ko C, Festag MM, Hammond KB, Northrup M, Bimber BN, Jacob T, Reed JS, Norris R, Park B, Moller-Tank S, Esser K, Greene JM, Wu HL, Abdulhaqq S, Webb G, Sutton WF, Klug A, Swanson T, Legasse AW, Vu TQ, Asokan A, Haigwood NL, Protzer U, Sacha JB. Hepatocytic expression of human sodium-taurocholate cotransporting polypeptide enables hepatitis B virus infection of macaques. </w:t>
      </w:r>
      <w:r w:rsidRPr="00501A87">
        <w:rPr>
          <w:rFonts w:ascii="Book Antiqua" w:hAnsi="Book Antiqua"/>
          <w:i/>
          <w:iCs/>
        </w:rPr>
        <w:t>Nat Commun</w:t>
      </w:r>
      <w:r w:rsidRPr="00501A87">
        <w:rPr>
          <w:rFonts w:ascii="Book Antiqua" w:hAnsi="Book Antiqua"/>
        </w:rPr>
        <w:t xml:space="preserve"> 2017; </w:t>
      </w:r>
      <w:r w:rsidRPr="00501A87">
        <w:rPr>
          <w:rFonts w:ascii="Book Antiqua" w:hAnsi="Book Antiqua"/>
          <w:b/>
          <w:bCs/>
        </w:rPr>
        <w:t>8</w:t>
      </w:r>
      <w:r w:rsidRPr="00501A87">
        <w:rPr>
          <w:rFonts w:ascii="Book Antiqua" w:hAnsi="Book Antiqua"/>
        </w:rPr>
        <w:t>: 2146 [PMID: 29247188 DOI: 10.1038/s41467-017-01953-y]</w:t>
      </w:r>
    </w:p>
    <w:p w14:paraId="09D5D7E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92 </w:t>
      </w:r>
      <w:r w:rsidRPr="00501A87">
        <w:rPr>
          <w:rFonts w:ascii="Book Antiqua" w:hAnsi="Book Antiqua"/>
          <w:b/>
          <w:bCs/>
        </w:rPr>
        <w:t>Eller C</w:t>
      </w:r>
      <w:r w:rsidRPr="00501A87">
        <w:rPr>
          <w:rFonts w:ascii="Book Antiqua" w:hAnsi="Book Antiqua"/>
        </w:rPr>
        <w:t xml:space="preserve">, Heydmann L, Colpitts CC, Verrier ER, Schuster C, Baumert TF. The functional role of sodium taurocholate cotransporting polypeptide NTCP in the life cycle of hepatitis B, C and D viruses. </w:t>
      </w:r>
      <w:r w:rsidRPr="00501A87">
        <w:rPr>
          <w:rFonts w:ascii="Book Antiqua" w:hAnsi="Book Antiqua"/>
          <w:i/>
          <w:iCs/>
        </w:rPr>
        <w:t>Cell Mol Life Sci</w:t>
      </w:r>
      <w:r w:rsidRPr="00501A87">
        <w:rPr>
          <w:rFonts w:ascii="Book Antiqua" w:hAnsi="Book Antiqua"/>
        </w:rPr>
        <w:t xml:space="preserve"> 2018; </w:t>
      </w:r>
      <w:r w:rsidRPr="00501A87">
        <w:rPr>
          <w:rFonts w:ascii="Book Antiqua" w:hAnsi="Book Antiqua"/>
          <w:b/>
          <w:bCs/>
        </w:rPr>
        <w:t>75</w:t>
      </w:r>
      <w:r w:rsidRPr="00501A87">
        <w:rPr>
          <w:rFonts w:ascii="Book Antiqua" w:hAnsi="Book Antiqua"/>
        </w:rPr>
        <w:t>: 3895-3905 [PMID: 30097692 DOI: 10.1007/s00018-018-2892-y]</w:t>
      </w:r>
    </w:p>
    <w:p w14:paraId="6BC98A2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93 </w:t>
      </w:r>
      <w:r w:rsidRPr="00501A87">
        <w:rPr>
          <w:rFonts w:ascii="Book Antiqua" w:hAnsi="Book Antiqua"/>
          <w:b/>
          <w:bCs/>
        </w:rPr>
        <w:t>Xia Y</w:t>
      </w:r>
      <w:r w:rsidRPr="00501A87">
        <w:rPr>
          <w:rFonts w:ascii="Book Antiqua" w:hAnsi="Book Antiqua"/>
        </w:rPr>
        <w:t xml:space="preserve">, Guo H. Hepatitis B virus cccDNA: Formation, regulation and therapeutic potential. </w:t>
      </w:r>
      <w:r w:rsidRPr="00501A87">
        <w:rPr>
          <w:rFonts w:ascii="Book Antiqua" w:hAnsi="Book Antiqua"/>
          <w:i/>
          <w:iCs/>
        </w:rPr>
        <w:t>Antiviral Res</w:t>
      </w:r>
      <w:r w:rsidRPr="00501A87">
        <w:rPr>
          <w:rFonts w:ascii="Book Antiqua" w:hAnsi="Book Antiqua"/>
        </w:rPr>
        <w:t xml:space="preserve"> 2020; </w:t>
      </w:r>
      <w:r w:rsidRPr="00501A87">
        <w:rPr>
          <w:rFonts w:ascii="Book Antiqua" w:hAnsi="Book Antiqua"/>
          <w:b/>
          <w:bCs/>
        </w:rPr>
        <w:t>180</w:t>
      </w:r>
      <w:r w:rsidRPr="00501A87">
        <w:rPr>
          <w:rFonts w:ascii="Book Antiqua" w:hAnsi="Book Antiqua"/>
        </w:rPr>
        <w:t>: 104824 [PMID: 32450266 DOI: 10.1016/j.antiviral.2020.104824]</w:t>
      </w:r>
    </w:p>
    <w:p w14:paraId="2DC6831E" w14:textId="58F95780" w:rsidR="00501A87" w:rsidRPr="00501A87" w:rsidRDefault="00501A87" w:rsidP="00501A87">
      <w:pPr>
        <w:spacing w:line="360" w:lineRule="auto"/>
        <w:jc w:val="both"/>
        <w:rPr>
          <w:rFonts w:ascii="Book Antiqua" w:hAnsi="Book Antiqua"/>
        </w:rPr>
      </w:pPr>
      <w:r w:rsidRPr="00501A87">
        <w:rPr>
          <w:rFonts w:ascii="Book Antiqua" w:hAnsi="Book Antiqua"/>
        </w:rPr>
        <w:t xml:space="preserve">94 </w:t>
      </w:r>
      <w:r w:rsidR="00447955" w:rsidRPr="00447955">
        <w:rPr>
          <w:rFonts w:ascii="Book Antiqua" w:hAnsi="Book Antiqua"/>
          <w:b/>
          <w:bCs/>
        </w:rPr>
        <w:t>World Health Organization</w:t>
      </w:r>
      <w:r w:rsidRPr="00447955">
        <w:rPr>
          <w:rFonts w:ascii="Book Antiqua" w:hAnsi="Book Antiqua"/>
          <w:b/>
          <w:bCs/>
        </w:rPr>
        <w:t xml:space="preserve">. </w:t>
      </w:r>
      <w:r w:rsidRPr="00501A87">
        <w:rPr>
          <w:rFonts w:ascii="Book Antiqua" w:hAnsi="Book Antiqua"/>
        </w:rPr>
        <w:t>Global health sector strategy on viral hepatitis 2016-2021. Towards ending viral hepatitis</w:t>
      </w:r>
      <w:r w:rsidR="00447955">
        <w:rPr>
          <w:rFonts w:ascii="Book Antiqua" w:hAnsi="Book Antiqua"/>
        </w:rPr>
        <w:t>,</w:t>
      </w:r>
      <w:r w:rsidRPr="00501A87">
        <w:rPr>
          <w:rFonts w:ascii="Book Antiqua" w:hAnsi="Book Antiqua"/>
        </w:rPr>
        <w:t xml:space="preserve"> 2016. </w:t>
      </w:r>
      <w:r w:rsidR="00E12883">
        <w:rPr>
          <w:rFonts w:ascii="Book Antiqua" w:hAnsi="Book Antiqua"/>
        </w:rPr>
        <w:t xml:space="preserve">[cited 25 December 2020]. </w:t>
      </w:r>
      <w:r w:rsidRPr="00501A87">
        <w:rPr>
          <w:rFonts w:ascii="Book Antiqua" w:hAnsi="Book Antiqua"/>
        </w:rPr>
        <w:t>Available from: https://apps.who.int/iris/bitstream/handle/10665/246177/WHO-HIV-2016.06-eng.pdf</w:t>
      </w:r>
    </w:p>
    <w:p w14:paraId="33A0D42A"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95 </w:t>
      </w:r>
      <w:r w:rsidRPr="00501A87">
        <w:rPr>
          <w:rFonts w:ascii="Book Antiqua" w:hAnsi="Book Antiqua"/>
          <w:b/>
          <w:bCs/>
        </w:rPr>
        <w:t>Ramanan V</w:t>
      </w:r>
      <w:r w:rsidRPr="00501A87">
        <w:rPr>
          <w:rFonts w:ascii="Book Antiqua" w:hAnsi="Book Antiqua"/>
        </w:rPr>
        <w:t xml:space="preserve">, Shlomai A, Cox DB, Schwartz RE, Michailidis E, Bhatta A, Scott DA, Zhang F, Rice CM, Bhatia SN. CRISPR/Cas9 cleavage of viral DNA efficiently suppresses hepatitis B virus. </w:t>
      </w:r>
      <w:r w:rsidRPr="00501A87">
        <w:rPr>
          <w:rFonts w:ascii="Book Antiqua" w:hAnsi="Book Antiqua"/>
          <w:i/>
          <w:iCs/>
        </w:rPr>
        <w:t>Sci Rep</w:t>
      </w:r>
      <w:r w:rsidRPr="00501A87">
        <w:rPr>
          <w:rFonts w:ascii="Book Antiqua" w:hAnsi="Book Antiqua"/>
        </w:rPr>
        <w:t xml:space="preserve"> 2015; </w:t>
      </w:r>
      <w:r w:rsidRPr="00501A87">
        <w:rPr>
          <w:rFonts w:ascii="Book Antiqua" w:hAnsi="Book Antiqua"/>
          <w:b/>
          <w:bCs/>
        </w:rPr>
        <w:t>5</w:t>
      </w:r>
      <w:r w:rsidRPr="00501A87">
        <w:rPr>
          <w:rFonts w:ascii="Book Antiqua" w:hAnsi="Book Antiqua"/>
        </w:rPr>
        <w:t>: 10833 [PMID: 26035283 DOI: 10.1038/srep10833]</w:t>
      </w:r>
    </w:p>
    <w:p w14:paraId="3BF826E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96 </w:t>
      </w:r>
      <w:r w:rsidRPr="00501A87">
        <w:rPr>
          <w:rFonts w:ascii="Book Antiqua" w:hAnsi="Book Antiqua"/>
          <w:b/>
          <w:bCs/>
        </w:rPr>
        <w:t>Yuen MF</w:t>
      </w:r>
      <w:r w:rsidRPr="00501A87">
        <w:rPr>
          <w:rFonts w:ascii="Book Antiqua" w:hAnsi="Book Antiqua"/>
        </w:rPr>
        <w:t xml:space="preserve">, 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1392-1403.e7 [PMID: 30625297 DOI: 10.1053/j.gastro.2018.12.023]</w:t>
      </w:r>
    </w:p>
    <w:p w14:paraId="39FA198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97 </w:t>
      </w:r>
      <w:r w:rsidRPr="00501A87">
        <w:rPr>
          <w:rFonts w:ascii="Book Antiqua" w:hAnsi="Book Antiqua"/>
          <w:b/>
          <w:bCs/>
        </w:rPr>
        <w:t>Yuen MF</w:t>
      </w:r>
      <w:r w:rsidRPr="00501A87">
        <w:rPr>
          <w:rFonts w:ascii="Book Antiqua" w:hAnsi="Book Antiqua"/>
        </w:rPr>
        <w:t xml:space="preserve">, Agarwal K, Gane EJ, Schwabe C, Ahn SH, Kim DJ, Lim YS, Cheng W, Sievert W, Visvanathan K, Ruby E, Liaw S, Yan R, Huang Q, Colonno R, Lopatin U. Safety, pharmacokinetics, and antiviral effects of ABI-H0731, a hepatitis B virus core inhibitor: a randomised, placebo-controlled phase 1 trial. </w:t>
      </w:r>
      <w:r w:rsidRPr="00501A87">
        <w:rPr>
          <w:rFonts w:ascii="Book Antiqua" w:hAnsi="Book Antiqua"/>
          <w:i/>
          <w:iCs/>
        </w:rPr>
        <w:t>Lancet Gastroenterol Hepatol</w:t>
      </w:r>
      <w:r w:rsidRPr="00501A87">
        <w:rPr>
          <w:rFonts w:ascii="Book Antiqua" w:hAnsi="Book Antiqua"/>
        </w:rPr>
        <w:t xml:space="preserve"> 2020; </w:t>
      </w:r>
      <w:r w:rsidRPr="00501A87">
        <w:rPr>
          <w:rFonts w:ascii="Book Antiqua" w:hAnsi="Book Antiqua"/>
          <w:b/>
          <w:bCs/>
        </w:rPr>
        <w:t>5</w:t>
      </w:r>
      <w:r w:rsidRPr="00501A87">
        <w:rPr>
          <w:rFonts w:ascii="Book Antiqua" w:hAnsi="Book Antiqua"/>
        </w:rPr>
        <w:t>: 152-166 [PMID: 31711752 DOI: 10.1016/S2468-1253(19)30346-2]</w:t>
      </w:r>
    </w:p>
    <w:p w14:paraId="4AB147A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98 </w:t>
      </w:r>
      <w:r w:rsidRPr="00501A87">
        <w:rPr>
          <w:rFonts w:ascii="Book Antiqua" w:hAnsi="Book Antiqua"/>
          <w:b/>
          <w:bCs/>
        </w:rPr>
        <w:t>Zhao N</w:t>
      </w:r>
      <w:r w:rsidRPr="00501A87">
        <w:rPr>
          <w:rFonts w:ascii="Book Antiqua" w:hAnsi="Book Antiqua"/>
        </w:rPr>
        <w:t xml:space="preserve">, Jia B, Zhao H, Xu J, Sheng X, Luo L, Huang Z, Wang X, Ren Q, Zhang Y, Zhao X, Cui Y. A First-in-Human Trial of GLS4, a Novel Inhibitor of Hepatitis B Virus Capsid Assembly, following Single- and Multiple-Ascending-Oral-Dose Studies with or without Ritonavir in Healthy Adult Volunteers. </w:t>
      </w:r>
      <w:r w:rsidRPr="00501A87">
        <w:rPr>
          <w:rFonts w:ascii="Book Antiqua" w:hAnsi="Book Antiqua"/>
          <w:i/>
          <w:iCs/>
        </w:rPr>
        <w:t>Antimicrob Agents Chemother</w:t>
      </w:r>
      <w:r w:rsidRPr="00501A87">
        <w:rPr>
          <w:rFonts w:ascii="Book Antiqua" w:hAnsi="Book Antiqua"/>
        </w:rPr>
        <w:t xml:space="preserve"> 2019; </w:t>
      </w:r>
      <w:r w:rsidRPr="00501A87">
        <w:rPr>
          <w:rFonts w:ascii="Book Antiqua" w:hAnsi="Book Antiqua"/>
          <w:b/>
          <w:bCs/>
        </w:rPr>
        <w:t>64</w:t>
      </w:r>
      <w:r w:rsidRPr="00501A87">
        <w:rPr>
          <w:rFonts w:ascii="Book Antiqua" w:hAnsi="Book Antiqua"/>
        </w:rPr>
        <w:t xml:space="preserve"> [PMID: 31636065 DOI: 10.1128/AAC.01686-19]</w:t>
      </w:r>
    </w:p>
    <w:p w14:paraId="0E177B3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99 </w:t>
      </w:r>
      <w:r w:rsidRPr="00501A87">
        <w:rPr>
          <w:rFonts w:ascii="Book Antiqua" w:hAnsi="Book Antiqua"/>
          <w:b/>
          <w:bCs/>
        </w:rPr>
        <w:t>Vandenbossche J</w:t>
      </w:r>
      <w:r w:rsidRPr="00501A87">
        <w:rPr>
          <w:rFonts w:ascii="Book Antiqua" w:hAnsi="Book Antiqua"/>
        </w:rPr>
        <w:t xml:space="preserve">, Jessner W, van den Boer M, Biewenga J, Berke JM, Talloen W, De Zwart L, Snoeys J, Yogaratnam J. Pharmacokinetics, Safety and Tolerability of JNJ-56136379, a Novel Hepatitis B Virus Capsid Assembly Modulator, in Healthy Subjects. </w:t>
      </w:r>
      <w:r w:rsidRPr="00501A87">
        <w:rPr>
          <w:rFonts w:ascii="Book Antiqua" w:hAnsi="Book Antiqua"/>
          <w:i/>
          <w:iCs/>
        </w:rPr>
        <w:t>Adv Ther</w:t>
      </w:r>
      <w:r w:rsidRPr="00501A87">
        <w:rPr>
          <w:rFonts w:ascii="Book Antiqua" w:hAnsi="Book Antiqua"/>
        </w:rPr>
        <w:t xml:space="preserve"> 2019; </w:t>
      </w:r>
      <w:r w:rsidRPr="00501A87">
        <w:rPr>
          <w:rFonts w:ascii="Book Antiqua" w:hAnsi="Book Antiqua"/>
          <w:b/>
          <w:bCs/>
        </w:rPr>
        <w:t>36</w:t>
      </w:r>
      <w:r w:rsidRPr="00501A87">
        <w:rPr>
          <w:rFonts w:ascii="Book Antiqua" w:hAnsi="Book Antiqua"/>
        </w:rPr>
        <w:t>: 2450-2462 [PMID: 31267367 DOI: 10.1007/s12325-019-01017-1]</w:t>
      </w:r>
    </w:p>
    <w:p w14:paraId="35DE856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100 </w:t>
      </w:r>
      <w:r w:rsidRPr="00501A87">
        <w:rPr>
          <w:rFonts w:ascii="Book Antiqua" w:hAnsi="Book Antiqua"/>
          <w:b/>
          <w:bCs/>
        </w:rPr>
        <w:t>Decorsière A</w:t>
      </w:r>
      <w:r w:rsidRPr="00501A87">
        <w:rPr>
          <w:rFonts w:ascii="Book Antiqua" w:hAnsi="Book Antiqua"/>
        </w:rPr>
        <w:t xml:space="preserve">, Mueller H, van Breugel PC, Abdul F, Gerossier L, Beran RK, Livingston CM, Niu C, Fletcher SP, Hantz O, Strubin M. Hepatitis B virus X protein identifies the Smc5/6 complex as a host restriction factor. </w:t>
      </w:r>
      <w:r w:rsidRPr="00501A87">
        <w:rPr>
          <w:rFonts w:ascii="Book Antiqua" w:hAnsi="Book Antiqua"/>
          <w:i/>
          <w:iCs/>
        </w:rPr>
        <w:t>Nature</w:t>
      </w:r>
      <w:r w:rsidRPr="00501A87">
        <w:rPr>
          <w:rFonts w:ascii="Book Antiqua" w:hAnsi="Book Antiqua"/>
        </w:rPr>
        <w:t xml:space="preserve"> 2016; </w:t>
      </w:r>
      <w:r w:rsidRPr="00501A87">
        <w:rPr>
          <w:rFonts w:ascii="Book Antiqua" w:hAnsi="Book Antiqua"/>
          <w:b/>
          <w:bCs/>
        </w:rPr>
        <w:t>531</w:t>
      </w:r>
      <w:r w:rsidRPr="00501A87">
        <w:rPr>
          <w:rFonts w:ascii="Book Antiqua" w:hAnsi="Book Antiqua"/>
        </w:rPr>
        <w:t>: 386-389 [PMID: 26983541 DOI: 10.1038/nature17170]</w:t>
      </w:r>
    </w:p>
    <w:p w14:paraId="34B0C8D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101 </w:t>
      </w:r>
      <w:r w:rsidRPr="00501A87">
        <w:rPr>
          <w:rFonts w:ascii="Book Antiqua" w:hAnsi="Book Antiqua"/>
          <w:b/>
          <w:bCs/>
        </w:rPr>
        <w:t>Sekiba K</w:t>
      </w:r>
      <w:r w:rsidRPr="00501A87">
        <w:rPr>
          <w:rFonts w:ascii="Book Antiqua" w:hAnsi="Book Antiqua"/>
        </w:rPr>
        <w:t xml:space="preserve">, Otsuka M, Ohno M, Yamagami M, Kishikawa T, Suzuki T, Ishibashi R, Seimiya T, Tanaka E, Koike K. Inhibition of HBV Transcription From cccDNA With Nitazoxanide by Targeting the HBx-DDB1 Interaction. </w:t>
      </w:r>
      <w:r w:rsidRPr="00501A87">
        <w:rPr>
          <w:rFonts w:ascii="Book Antiqua" w:hAnsi="Book Antiqua"/>
          <w:i/>
          <w:iCs/>
        </w:rPr>
        <w:t>Cell Mol Gastroenterol Hepatol</w:t>
      </w:r>
      <w:r w:rsidRPr="00501A87">
        <w:rPr>
          <w:rFonts w:ascii="Book Antiqua" w:hAnsi="Book Antiqua"/>
        </w:rPr>
        <w:t xml:space="preserve"> 2019; </w:t>
      </w:r>
      <w:r w:rsidRPr="00501A87">
        <w:rPr>
          <w:rFonts w:ascii="Book Antiqua" w:hAnsi="Book Antiqua"/>
          <w:b/>
          <w:bCs/>
        </w:rPr>
        <w:t>7</w:t>
      </w:r>
      <w:r w:rsidRPr="00501A87">
        <w:rPr>
          <w:rFonts w:ascii="Book Antiqua" w:hAnsi="Book Antiqua"/>
        </w:rPr>
        <w:t>: 297-312 [PMID: 30704981 DOI: 10.1016/j.jcmgh.2018.10.010]</w:t>
      </w:r>
    </w:p>
    <w:p w14:paraId="7D16973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102 </w:t>
      </w:r>
      <w:r w:rsidRPr="00501A87">
        <w:rPr>
          <w:rFonts w:ascii="Book Antiqua" w:hAnsi="Book Antiqua"/>
          <w:b/>
          <w:bCs/>
        </w:rPr>
        <w:t>Billioud G</w:t>
      </w:r>
      <w:r w:rsidRPr="00501A87">
        <w:rPr>
          <w:rFonts w:ascii="Book Antiqua" w:hAnsi="Book Antiqua"/>
        </w:rPr>
        <w:t xml:space="preserve">, Kruse RL, Carrillo M, Whitten-Bauer C, Gao D, Kim A, Chen L, McCaleb ML, Crosby JR, Hamatake R, Hong Z, Garaigorta U, Swayze E, Bissig KD, Wieland S. In vivo reduction of hepatitis B virus antigenemia and viremia by antisense oligonucleotides.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64</w:t>
      </w:r>
      <w:r w:rsidRPr="00501A87">
        <w:rPr>
          <w:rFonts w:ascii="Book Antiqua" w:hAnsi="Book Antiqua"/>
        </w:rPr>
        <w:t>: 781-789 [PMID: 26658683 DOI: 10.1016/j.jhep.2015.11.032]</w:t>
      </w:r>
    </w:p>
    <w:p w14:paraId="66B3ACA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103 </w:t>
      </w:r>
      <w:r w:rsidRPr="00501A87">
        <w:rPr>
          <w:rFonts w:ascii="Book Antiqua" w:hAnsi="Book Antiqua"/>
          <w:b/>
          <w:bCs/>
        </w:rPr>
        <w:t>Han K</w:t>
      </w:r>
      <w:r w:rsidRPr="00501A87">
        <w:rPr>
          <w:rFonts w:ascii="Book Antiqua" w:hAnsi="Book Antiqua"/>
        </w:rPr>
        <w:t xml:space="preserve">,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Ascending Doses of GSK3389404 in Healthy Subjects. </w:t>
      </w:r>
      <w:r w:rsidRPr="00501A87">
        <w:rPr>
          <w:rFonts w:ascii="Book Antiqua" w:hAnsi="Book Antiqua"/>
          <w:i/>
          <w:iCs/>
        </w:rPr>
        <w:t>Clin Pharmacol Drug Dev</w:t>
      </w:r>
      <w:r w:rsidRPr="00501A87">
        <w:rPr>
          <w:rFonts w:ascii="Book Antiqua" w:hAnsi="Book Antiqua"/>
        </w:rPr>
        <w:t xml:space="preserve"> 2019; </w:t>
      </w:r>
      <w:r w:rsidRPr="00501A87">
        <w:rPr>
          <w:rFonts w:ascii="Book Antiqua" w:hAnsi="Book Antiqua"/>
          <w:b/>
          <w:bCs/>
        </w:rPr>
        <w:t>8</w:t>
      </w:r>
      <w:r w:rsidRPr="00501A87">
        <w:rPr>
          <w:rFonts w:ascii="Book Antiqua" w:hAnsi="Book Antiqua"/>
        </w:rPr>
        <w:t>: 790-801 [PMID: 30861337 DOI: 10.1002/cpdd.670]</w:t>
      </w:r>
    </w:p>
    <w:p w14:paraId="15F4AD1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104 </w:t>
      </w:r>
      <w:r w:rsidRPr="00501A87">
        <w:rPr>
          <w:rFonts w:ascii="Book Antiqua" w:hAnsi="Book Antiqua"/>
          <w:b/>
          <w:bCs/>
        </w:rPr>
        <w:t>Knolle PA</w:t>
      </w:r>
      <w:r w:rsidRPr="00501A87">
        <w:rPr>
          <w:rFonts w:ascii="Book Antiqua" w:hAnsi="Book Antiqua"/>
        </w:rPr>
        <w:t xml:space="preserve">, Thimme R. Hepatic immune regulation and its involvement in viral hepatitis infection. </w:t>
      </w:r>
      <w:r w:rsidRPr="00501A87">
        <w:rPr>
          <w:rFonts w:ascii="Book Antiqua" w:hAnsi="Book Antiqua"/>
          <w:i/>
          <w:iCs/>
        </w:rPr>
        <w:t>Gastroenterology</w:t>
      </w:r>
      <w:r w:rsidRPr="00501A87">
        <w:rPr>
          <w:rFonts w:ascii="Book Antiqua" w:hAnsi="Book Antiqua"/>
        </w:rPr>
        <w:t xml:space="preserve"> 2014; </w:t>
      </w:r>
      <w:r w:rsidRPr="00501A87">
        <w:rPr>
          <w:rFonts w:ascii="Book Antiqua" w:hAnsi="Book Antiqua"/>
          <w:b/>
          <w:bCs/>
        </w:rPr>
        <w:t>146</w:t>
      </w:r>
      <w:r w:rsidRPr="00501A87">
        <w:rPr>
          <w:rFonts w:ascii="Book Antiqua" w:hAnsi="Book Antiqua"/>
        </w:rPr>
        <w:t>: 1193-1207 [PMID: 24412289 DOI: 10.1053/j.gastro.2013.12.036]</w:t>
      </w:r>
    </w:p>
    <w:p w14:paraId="66A0F3F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105 </w:t>
      </w:r>
      <w:r w:rsidRPr="00501A87">
        <w:rPr>
          <w:rFonts w:ascii="Book Antiqua" w:hAnsi="Book Antiqua"/>
          <w:b/>
          <w:bCs/>
        </w:rPr>
        <w:t>Rivino L</w:t>
      </w:r>
      <w:r w:rsidRPr="00501A87">
        <w:rPr>
          <w:rFonts w:ascii="Book Antiqua" w:hAnsi="Book Antiqua"/>
        </w:rPr>
        <w:t xml:space="preserve">, Le Bert N, Gill US, Kunasegaran K, Cheng Y, Tan DZ, Becht E, Hansi NK, Foster GR, Su TH, Tseng TC, Lim SG, Kao JH, Newell EW, Kennedy PT, Bertoletti A. Hepatitis B virus-specific T cells associate with viral control upon nucleos(t)ide-analogue therapy discontinuation. </w:t>
      </w:r>
      <w:r w:rsidRPr="00501A87">
        <w:rPr>
          <w:rFonts w:ascii="Book Antiqua" w:hAnsi="Book Antiqua"/>
          <w:i/>
          <w:iCs/>
        </w:rPr>
        <w:t>J Clin Invest</w:t>
      </w:r>
      <w:r w:rsidRPr="00501A87">
        <w:rPr>
          <w:rFonts w:ascii="Book Antiqua" w:hAnsi="Book Antiqua"/>
        </w:rPr>
        <w:t xml:space="preserve"> 2018; </w:t>
      </w:r>
      <w:r w:rsidRPr="00501A87">
        <w:rPr>
          <w:rFonts w:ascii="Book Antiqua" w:hAnsi="Book Antiqua"/>
          <w:b/>
          <w:bCs/>
        </w:rPr>
        <w:t>128</w:t>
      </w:r>
      <w:r w:rsidRPr="00501A87">
        <w:rPr>
          <w:rFonts w:ascii="Book Antiqua" w:hAnsi="Book Antiqua"/>
        </w:rPr>
        <w:t>: 668-681 [PMID: 29309050 DOI: 10.1172/JCI92812]</w:t>
      </w:r>
    </w:p>
    <w:p w14:paraId="47BC35C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106 </w:t>
      </w:r>
      <w:r w:rsidRPr="00501A87">
        <w:rPr>
          <w:rFonts w:ascii="Book Antiqua" w:hAnsi="Book Antiqua"/>
          <w:b/>
          <w:bCs/>
        </w:rPr>
        <w:t>Perrillo RP</w:t>
      </w:r>
      <w:r w:rsidRPr="00501A87">
        <w:rPr>
          <w:rFonts w:ascii="Book Antiqua" w:hAnsi="Book Antiqua"/>
        </w:rPr>
        <w:t xml:space="preserve">, Gish R, Falck-Ytter YT. American Gastroenterological Association Institute technical review on prevention and treatment of hepatitis B virus reactivation during immunosuppressive drug therapy. </w:t>
      </w:r>
      <w:r w:rsidRPr="00501A87">
        <w:rPr>
          <w:rFonts w:ascii="Book Antiqua" w:hAnsi="Book Antiqua"/>
          <w:i/>
          <w:iCs/>
        </w:rPr>
        <w:t>Gastroenterology</w:t>
      </w:r>
      <w:r w:rsidRPr="00501A87">
        <w:rPr>
          <w:rFonts w:ascii="Book Antiqua" w:hAnsi="Book Antiqua"/>
        </w:rPr>
        <w:t xml:space="preserve"> 2015; </w:t>
      </w:r>
      <w:r w:rsidRPr="00501A87">
        <w:rPr>
          <w:rFonts w:ascii="Book Antiqua" w:hAnsi="Book Antiqua"/>
          <w:b/>
          <w:bCs/>
        </w:rPr>
        <w:t>148</w:t>
      </w:r>
      <w:r w:rsidRPr="00501A87">
        <w:rPr>
          <w:rFonts w:ascii="Book Antiqua" w:hAnsi="Book Antiqua"/>
        </w:rPr>
        <w:t>: 221-244.e3 [PMID: 25447852 DOI: 10.1053/j.gastro.2014.10.038]</w:t>
      </w:r>
    </w:p>
    <w:p w14:paraId="1A68E8F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107 </w:t>
      </w:r>
      <w:r w:rsidRPr="00501A87">
        <w:rPr>
          <w:rFonts w:ascii="Book Antiqua" w:hAnsi="Book Antiqua"/>
          <w:b/>
          <w:bCs/>
        </w:rPr>
        <w:t>Lau GK</w:t>
      </w:r>
      <w:r w:rsidRPr="00501A87">
        <w:rPr>
          <w:rFonts w:ascii="Book Antiqua" w:hAnsi="Book Antiqua"/>
        </w:rPr>
        <w:t xml:space="preserve">, Suri D, Liang R, Rigopoulou EI, Thomas MG, Mullerova I, Nanji A, Yuen ST, Williams R, Naoumov NV. Resolution of chronic hepatitis B and anti-HBs seroconversion in humans by adoptive transfer of immunity to hepatitis B core antigen. </w:t>
      </w:r>
      <w:r w:rsidRPr="00501A87">
        <w:rPr>
          <w:rFonts w:ascii="Book Antiqua" w:hAnsi="Book Antiqua"/>
          <w:i/>
          <w:iCs/>
        </w:rPr>
        <w:t>Gastroenterology</w:t>
      </w:r>
      <w:r w:rsidRPr="00501A87">
        <w:rPr>
          <w:rFonts w:ascii="Book Antiqua" w:hAnsi="Book Antiqua"/>
        </w:rPr>
        <w:t xml:space="preserve"> 2002; </w:t>
      </w:r>
      <w:r w:rsidRPr="00501A87">
        <w:rPr>
          <w:rFonts w:ascii="Book Antiqua" w:hAnsi="Book Antiqua"/>
          <w:b/>
          <w:bCs/>
        </w:rPr>
        <w:t>122</w:t>
      </w:r>
      <w:r w:rsidRPr="00501A87">
        <w:rPr>
          <w:rFonts w:ascii="Book Antiqua" w:hAnsi="Book Antiqua"/>
        </w:rPr>
        <w:t>: 614-624 [PMID: 11874993 DOI: 10.1053/gast.2002.31887]</w:t>
      </w:r>
    </w:p>
    <w:p w14:paraId="45BE305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108 </w:t>
      </w:r>
      <w:r w:rsidRPr="00501A87">
        <w:rPr>
          <w:rFonts w:ascii="Book Antiqua" w:hAnsi="Book Antiqua"/>
          <w:b/>
          <w:bCs/>
        </w:rPr>
        <w:t>Gehring AJ</w:t>
      </w:r>
      <w:r w:rsidRPr="00501A87">
        <w:rPr>
          <w:rFonts w:ascii="Book Antiqua" w:hAnsi="Book Antiqua"/>
        </w:rPr>
        <w:t xml:space="preserve">, Protzer U. Targeting Innate and Adaptive Immune Responses to Cure Chronic HBV Infection.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325-337 [PMID: 30367834 DOI: 10.1053/j.gastro.2018.10.032]</w:t>
      </w:r>
    </w:p>
    <w:p w14:paraId="2C52111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109 </w:t>
      </w:r>
      <w:r w:rsidRPr="00501A87">
        <w:rPr>
          <w:rFonts w:ascii="Book Antiqua" w:hAnsi="Book Antiqua"/>
          <w:b/>
          <w:bCs/>
        </w:rPr>
        <w:t>Boni C</w:t>
      </w:r>
      <w:r w:rsidRPr="00501A87">
        <w:rPr>
          <w:rFonts w:ascii="Book Antiqua" w:hAnsi="Book Antiqua"/>
        </w:rPr>
        <w:t xml:space="preserve">, Vecchi A, Rossi M, Laccabue D, Giuberti T, Alfieri A, Lampertico P, Grossi G, Facchetti F, Brunetto MR, Coco B, Cavallone D, Mangia A, Santoro R, Piazzolla V, Lau A, Gaggar A, Subramanian GM, Ferrari C. TLR7 Agonist Increases Responses of Hepatitis B Virus-Specific T Cells and Natural Killer Cells in Patients With Chronic Hepatitis B Treated With Nucleos(T)Ide Analogues. </w:t>
      </w:r>
      <w:r w:rsidRPr="00501A87">
        <w:rPr>
          <w:rFonts w:ascii="Book Antiqua" w:hAnsi="Book Antiqua"/>
          <w:i/>
          <w:iCs/>
        </w:rPr>
        <w:t>Gastroenterology</w:t>
      </w:r>
      <w:r w:rsidRPr="00501A87">
        <w:rPr>
          <w:rFonts w:ascii="Book Antiqua" w:hAnsi="Book Antiqua"/>
        </w:rPr>
        <w:t xml:space="preserve"> 2018; </w:t>
      </w:r>
      <w:r w:rsidRPr="00501A87">
        <w:rPr>
          <w:rFonts w:ascii="Book Antiqua" w:hAnsi="Book Antiqua"/>
          <w:b/>
          <w:bCs/>
        </w:rPr>
        <w:t>154</w:t>
      </w:r>
      <w:r w:rsidRPr="00501A87">
        <w:rPr>
          <w:rFonts w:ascii="Book Antiqua" w:hAnsi="Book Antiqua"/>
        </w:rPr>
        <w:t>: 1764-1777.e7 [PMID: 29378197 DOI: 10.1053/j.gastro.2018.01.030]</w:t>
      </w:r>
    </w:p>
    <w:p w14:paraId="636666C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110 </w:t>
      </w:r>
      <w:r w:rsidRPr="00501A87">
        <w:rPr>
          <w:rFonts w:ascii="Book Antiqua" w:hAnsi="Book Antiqua"/>
          <w:b/>
          <w:bCs/>
        </w:rPr>
        <w:t>Janssen HLA</w:t>
      </w:r>
      <w:r w:rsidRPr="00501A87">
        <w:rPr>
          <w:rFonts w:ascii="Book Antiqua" w:hAnsi="Book Antiqua"/>
        </w:rPr>
        <w:t xml:space="preserve">, Brunetto MR, Kim YJ, Ferrari C, Massetto B, Nguyen AH, Joshi A, Woo J, Lau AH, Gaggar A, Subramanian GM, Yoshida EM, Ahn SH, Tsai NCS, Fung S, Gane EJ. Safety, efficacy and pharmacodynamics of vesatolimod (GS-9620) in virally suppressed patients with chronic hepatitis B. </w:t>
      </w:r>
      <w:r w:rsidRPr="00501A87">
        <w:rPr>
          <w:rFonts w:ascii="Book Antiqua" w:hAnsi="Book Antiqua"/>
          <w:i/>
          <w:iCs/>
        </w:rPr>
        <w:t>J Hepatol</w:t>
      </w:r>
      <w:r w:rsidRPr="00501A87">
        <w:rPr>
          <w:rFonts w:ascii="Book Antiqua" w:hAnsi="Book Antiqua"/>
        </w:rPr>
        <w:t xml:space="preserve"> 2018; </w:t>
      </w:r>
      <w:r w:rsidRPr="00501A87">
        <w:rPr>
          <w:rFonts w:ascii="Book Antiqua" w:hAnsi="Book Antiqua"/>
          <w:b/>
          <w:bCs/>
        </w:rPr>
        <w:t>68</w:t>
      </w:r>
      <w:r w:rsidRPr="00501A87">
        <w:rPr>
          <w:rFonts w:ascii="Book Antiqua" w:hAnsi="Book Antiqua"/>
        </w:rPr>
        <w:t>: 431-440 [PMID: 29104121 DOI: 10.1016/j.jhep.2017.10.027]</w:t>
      </w:r>
    </w:p>
    <w:p w14:paraId="6A8124A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111 </w:t>
      </w:r>
      <w:r w:rsidRPr="00501A87">
        <w:rPr>
          <w:rFonts w:ascii="Book Antiqua" w:hAnsi="Book Antiqua"/>
          <w:b/>
          <w:bCs/>
        </w:rPr>
        <w:t>Agarwal K</w:t>
      </w:r>
      <w:r w:rsidRPr="00501A87">
        <w:rPr>
          <w:rFonts w:ascii="Book Antiqua" w:hAnsi="Book Antiqua"/>
        </w:rPr>
        <w:t xml:space="preserve">, Ahn SH, Elkhashab M, Lau AH, Gaggar A, Bulusu A, Tian X, Cathcart AL, Woo J, Subramanian GM, Andreone P, Kim HJ, Chuang WL, Nguyen MH. Safety and efficacy of vesatolimod (GS-9620) in patients with chronic hepatitis B who are not currently on antiviral treatment.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1331-1340 [PMID: 29851204 DOI: 10.1111/jvh.12942]</w:t>
      </w:r>
    </w:p>
    <w:p w14:paraId="7767DE0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112 </w:t>
      </w:r>
      <w:r w:rsidRPr="00501A87">
        <w:rPr>
          <w:rFonts w:ascii="Book Antiqua" w:hAnsi="Book Antiqua"/>
          <w:b/>
          <w:bCs/>
        </w:rPr>
        <w:t>Han J</w:t>
      </w:r>
      <w:r w:rsidRPr="00501A87">
        <w:rPr>
          <w:rFonts w:ascii="Book Antiqua" w:hAnsi="Book Antiqua"/>
        </w:rPr>
        <w:t xml:space="preserve">, Gong GZ, Lei JH, Qin WJ, Qin RH, Wang XY, Gu JX, Ren SF, Wen YM. Response to immune complex vaccine in chronic hepatitis B patients is associated with lower baseline level of serum IgG galactosylation. </w:t>
      </w:r>
      <w:r w:rsidRPr="00501A87">
        <w:rPr>
          <w:rFonts w:ascii="Book Antiqua" w:hAnsi="Book Antiqua"/>
          <w:i/>
          <w:iCs/>
        </w:rPr>
        <w:t>Medicine (Baltimore)</w:t>
      </w:r>
      <w:r w:rsidRPr="00501A87">
        <w:rPr>
          <w:rFonts w:ascii="Book Antiqua" w:hAnsi="Book Antiqua"/>
        </w:rPr>
        <w:t xml:space="preserve"> 2019; </w:t>
      </w:r>
      <w:r w:rsidRPr="00501A87">
        <w:rPr>
          <w:rFonts w:ascii="Book Antiqua" w:hAnsi="Book Antiqua"/>
          <w:b/>
          <w:bCs/>
        </w:rPr>
        <w:t>98</w:t>
      </w:r>
      <w:r w:rsidRPr="00501A87">
        <w:rPr>
          <w:rFonts w:ascii="Book Antiqua" w:hAnsi="Book Antiqua"/>
        </w:rPr>
        <w:t>: e16208 [PMID: 31261570 DOI: 10.1097/MD.0000000000016208]</w:t>
      </w:r>
    </w:p>
    <w:p w14:paraId="66BD97B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113 </w:t>
      </w:r>
      <w:r w:rsidRPr="00501A87">
        <w:rPr>
          <w:rFonts w:ascii="Book Antiqua" w:hAnsi="Book Antiqua"/>
          <w:b/>
          <w:bCs/>
        </w:rPr>
        <w:t>Lim SG</w:t>
      </w:r>
      <w:r w:rsidRPr="00501A87">
        <w:rPr>
          <w:rFonts w:ascii="Book Antiqua" w:hAnsi="Book Antiqua"/>
        </w:rPr>
        <w:t xml:space="preserve">, Agcaoili J, De Souza NNA, Chan E. Therapeutic vaccination for chronic hepatitis B: A systematic review and meta-analysis.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803-817 [PMID: 30801899 DOI: 10.1111/jvh.13085]</w:t>
      </w:r>
    </w:p>
    <w:p w14:paraId="127169E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114 </w:t>
      </w:r>
      <w:r w:rsidRPr="00501A87">
        <w:rPr>
          <w:rFonts w:ascii="Book Antiqua" w:hAnsi="Book Antiqua"/>
          <w:b/>
          <w:bCs/>
        </w:rPr>
        <w:t>Al Mahtab M</w:t>
      </w:r>
      <w:r w:rsidRPr="00501A87">
        <w:rPr>
          <w:rFonts w:ascii="Book Antiqua" w:hAnsi="Book Antiqua"/>
        </w:rPr>
        <w:t xml:space="preserve">, Akbar SMF, Aguilar JC, Guillen G, Penton E, Tuero A, Yoshida O, Hiasa Y, Onji M. Treatment of chronic hepatitis B naïve patients with a therapeutic vaccine containing HBs and HBc antigens (a randomized, open and treatment controlled phase III clinical trial).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e0201236 [PMID: 30133478 DOI: 10.1371/journal.pone.0201236]</w:t>
      </w:r>
    </w:p>
    <w:p w14:paraId="23F8550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115 </w:t>
      </w:r>
      <w:r w:rsidRPr="00501A87">
        <w:rPr>
          <w:rFonts w:ascii="Book Antiqua" w:hAnsi="Book Antiqua"/>
          <w:b/>
          <w:bCs/>
        </w:rPr>
        <w:t>Lai MW</w:t>
      </w:r>
      <w:r w:rsidRPr="00501A87">
        <w:rPr>
          <w:rFonts w:ascii="Book Antiqua" w:hAnsi="Book Antiqua"/>
        </w:rPr>
        <w:t xml:space="preserve">, Hsu CW, Lin CL, Chien RN, Lin WR, Chang CS, Liang KH, Yeh CT. Multiple doses of hepatitis B recombinant vaccine for chronic hepatitis B patients with low surface antigen levels: a pilot study. </w:t>
      </w:r>
      <w:r w:rsidRPr="00501A87">
        <w:rPr>
          <w:rFonts w:ascii="Book Antiqua" w:hAnsi="Book Antiqua"/>
          <w:i/>
          <w:iCs/>
        </w:rPr>
        <w:t>Hepatol Int</w:t>
      </w:r>
      <w:r w:rsidRPr="00501A87">
        <w:rPr>
          <w:rFonts w:ascii="Book Antiqua" w:hAnsi="Book Antiqua"/>
        </w:rPr>
        <w:t xml:space="preserve"> 2018; </w:t>
      </w:r>
      <w:r w:rsidRPr="00501A87">
        <w:rPr>
          <w:rFonts w:ascii="Book Antiqua" w:hAnsi="Book Antiqua"/>
          <w:b/>
          <w:bCs/>
        </w:rPr>
        <w:t>12</w:t>
      </w:r>
      <w:r w:rsidRPr="00501A87">
        <w:rPr>
          <w:rFonts w:ascii="Book Antiqua" w:hAnsi="Book Antiqua"/>
        </w:rPr>
        <w:t>: 456-464 [PMID: 30088198 DOI: 10.1007/s12072-018-9890-x]</w:t>
      </w:r>
    </w:p>
    <w:p w14:paraId="08E3ABE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116 </w:t>
      </w:r>
      <w:r w:rsidRPr="00501A87">
        <w:rPr>
          <w:rFonts w:ascii="Book Antiqua" w:hAnsi="Book Antiqua"/>
          <w:b/>
          <w:bCs/>
        </w:rPr>
        <w:t>Boni C</w:t>
      </w:r>
      <w:r w:rsidRPr="00501A87">
        <w:rPr>
          <w:rFonts w:ascii="Book Antiqua" w:hAnsi="Book Antiqua"/>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157</w:t>
      </w:r>
      <w:r w:rsidRPr="00501A87">
        <w:rPr>
          <w:rFonts w:ascii="Book Antiqua" w:hAnsi="Book Antiqua"/>
        </w:rPr>
        <w:t>: 227-241.e7 [PMID: 30930022 DOI: 10.1053/j.gastro.2019.03.044]</w:t>
      </w:r>
    </w:p>
    <w:p w14:paraId="214701D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117 </w:t>
      </w:r>
      <w:r w:rsidRPr="00501A87">
        <w:rPr>
          <w:rFonts w:ascii="Book Antiqua" w:hAnsi="Book Antiqua"/>
          <w:b/>
          <w:bCs/>
        </w:rPr>
        <w:t>Wu D</w:t>
      </w:r>
      <w:r w:rsidRPr="00501A87">
        <w:rPr>
          <w:rFonts w:ascii="Book Antiqua" w:hAnsi="Book Antiqua"/>
        </w:rPr>
        <w:t xml:space="preserve">, Wang P, Han M, Chen Y, Chen X, Xia Q, Yan W, Wan X, Zhu C, Xie Q, Jiang J, Wei L, Tan D, Dou X, Yu Y, Hou J, Luo X, Ning Q. Sequential combination therapy with interferon, interleukin-2 and therapeutic vaccine in entecavir-suppressed chronic hepatitis B patients: the Endeavor study. </w:t>
      </w:r>
      <w:r w:rsidRPr="00501A87">
        <w:rPr>
          <w:rFonts w:ascii="Book Antiqua" w:hAnsi="Book Antiqua"/>
          <w:i/>
          <w:iCs/>
        </w:rPr>
        <w:t>Hepatol Int</w:t>
      </w:r>
      <w:r w:rsidRPr="00501A87">
        <w:rPr>
          <w:rFonts w:ascii="Book Antiqua" w:hAnsi="Book Antiqua"/>
        </w:rPr>
        <w:t xml:space="preserve"> 2019; </w:t>
      </w:r>
      <w:r w:rsidRPr="00501A87">
        <w:rPr>
          <w:rFonts w:ascii="Book Antiqua" w:hAnsi="Book Antiqua"/>
          <w:b/>
          <w:bCs/>
        </w:rPr>
        <w:t>13</w:t>
      </w:r>
      <w:r w:rsidRPr="00501A87">
        <w:rPr>
          <w:rFonts w:ascii="Book Antiqua" w:hAnsi="Book Antiqua"/>
        </w:rPr>
        <w:t>: 573-586 [PMID: 31172415 DOI: 10.1007/s12072-019-09956-1]</w:t>
      </w:r>
    </w:p>
    <w:p w14:paraId="3C1E095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118 </w:t>
      </w:r>
      <w:r w:rsidRPr="00501A87">
        <w:rPr>
          <w:rFonts w:ascii="Book Antiqua" w:hAnsi="Book Antiqua"/>
          <w:b/>
          <w:bCs/>
        </w:rPr>
        <w:t>Brown RS Jr</w:t>
      </w:r>
      <w:r w:rsidRPr="00501A87">
        <w:rPr>
          <w:rFonts w:ascii="Book Antiqua" w:hAnsi="Book Antiqua"/>
        </w:rPr>
        <w:t xml:space="preserve">, McMahon BJ, Lok AS, Wong JB, Ahmed AT, Mouchli MA, Wang Z, Prokop LJ, Murad MH, Mohammed K. Antiviral therapy in chronic hepatitis B viral infection during pregnancy: A systematic review and meta-analysis. </w:t>
      </w:r>
      <w:r w:rsidRPr="00501A87">
        <w:rPr>
          <w:rFonts w:ascii="Book Antiqua" w:hAnsi="Book Antiqua"/>
          <w:i/>
          <w:iCs/>
        </w:rPr>
        <w:t>Hepatology</w:t>
      </w:r>
      <w:r w:rsidRPr="00501A87">
        <w:rPr>
          <w:rFonts w:ascii="Book Antiqua" w:hAnsi="Book Antiqua"/>
        </w:rPr>
        <w:t xml:space="preserve"> 2016; </w:t>
      </w:r>
      <w:r w:rsidRPr="00501A87">
        <w:rPr>
          <w:rFonts w:ascii="Book Antiqua" w:hAnsi="Book Antiqua"/>
          <w:b/>
          <w:bCs/>
        </w:rPr>
        <w:t>63</w:t>
      </w:r>
      <w:r w:rsidRPr="00501A87">
        <w:rPr>
          <w:rFonts w:ascii="Book Antiqua" w:hAnsi="Book Antiqua"/>
        </w:rPr>
        <w:t>: 319-333 [PMID: 26565396 DOI: 10.1002/hep.28302]</w:t>
      </w:r>
    </w:p>
    <w:p w14:paraId="67593AF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119 </w:t>
      </w:r>
      <w:r w:rsidRPr="00501A87">
        <w:rPr>
          <w:rFonts w:ascii="Book Antiqua" w:hAnsi="Book Antiqua"/>
          <w:b/>
          <w:bCs/>
        </w:rPr>
        <w:t>Mast EE</w:t>
      </w:r>
      <w:r w:rsidRPr="00501A87">
        <w:rPr>
          <w:rFonts w:ascii="Book Antiqua" w:hAnsi="Book Antiqua"/>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501A87">
        <w:rPr>
          <w:rFonts w:ascii="Book Antiqua" w:hAnsi="Book Antiqua"/>
          <w:i/>
          <w:iCs/>
        </w:rPr>
        <w:t>MMWR Recomm Rep</w:t>
      </w:r>
      <w:r w:rsidRPr="00501A87">
        <w:rPr>
          <w:rFonts w:ascii="Book Antiqua" w:hAnsi="Book Antiqua"/>
        </w:rPr>
        <w:t xml:space="preserve"> 2006; </w:t>
      </w:r>
      <w:r w:rsidRPr="00501A87">
        <w:rPr>
          <w:rFonts w:ascii="Book Antiqua" w:hAnsi="Book Antiqua"/>
          <w:b/>
          <w:bCs/>
        </w:rPr>
        <w:t>55</w:t>
      </w:r>
      <w:r w:rsidRPr="00501A87">
        <w:rPr>
          <w:rFonts w:ascii="Book Antiqua" w:hAnsi="Book Antiqua"/>
        </w:rPr>
        <w:t>: 1-33; quiz CE1-4 [PMID: 17159833]</w:t>
      </w:r>
    </w:p>
    <w:p w14:paraId="65376F2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120 </w:t>
      </w:r>
      <w:r w:rsidRPr="00501A87">
        <w:rPr>
          <w:rFonts w:ascii="Book Antiqua" w:hAnsi="Book Antiqua"/>
          <w:b/>
          <w:bCs/>
        </w:rPr>
        <w:t>Cressey TR</w:t>
      </w:r>
      <w:r w:rsidRPr="00501A87">
        <w:rPr>
          <w:rFonts w:ascii="Book Antiqua" w:hAnsi="Book Antiqua"/>
        </w:rPr>
        <w:t xml:space="preserve">, Harrison L, Achalapong J, Kanjanavikai P, Patamasingh Na Ayudhaya O, Liampongsabuddhi P, Siriwachirachai T, Putiyanun C, Suriyachai P, Tierney C, Salvadori N, Chinwong D, Decker L, Tawon Y, Murphy TV, Ngo-Giang-Huong N, Siberry GK, Jourdain G; iTAP Study Team. Tenofovir Exposure during Pregnancy and Postpartum in Women Receiving Tenofovir Disoproxil Fumarate for the Prevention of Mother-to-Child Transmission of Hepatitis B Virus. </w:t>
      </w:r>
      <w:r w:rsidRPr="00501A87">
        <w:rPr>
          <w:rFonts w:ascii="Book Antiqua" w:hAnsi="Book Antiqua"/>
          <w:i/>
          <w:iCs/>
        </w:rPr>
        <w:t>Antimicrob Agents Chemother</w:t>
      </w:r>
      <w:r w:rsidRPr="00501A87">
        <w:rPr>
          <w:rFonts w:ascii="Book Antiqua" w:hAnsi="Book Antiqua"/>
        </w:rPr>
        <w:t xml:space="preserve"> 2018; </w:t>
      </w:r>
      <w:r w:rsidRPr="00501A87">
        <w:rPr>
          <w:rFonts w:ascii="Book Antiqua" w:hAnsi="Book Antiqua"/>
          <w:b/>
          <w:bCs/>
        </w:rPr>
        <w:t>62</w:t>
      </w:r>
      <w:r w:rsidRPr="00501A87">
        <w:rPr>
          <w:rFonts w:ascii="Book Antiqua" w:hAnsi="Book Antiqua"/>
        </w:rPr>
        <w:t xml:space="preserve"> [PMID: 30275094 DOI: 10.1128/AAC.01686-18]</w:t>
      </w:r>
    </w:p>
    <w:p w14:paraId="1AAFA36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121 </w:t>
      </w:r>
      <w:r w:rsidRPr="00501A87">
        <w:rPr>
          <w:rFonts w:ascii="Book Antiqua" w:hAnsi="Book Antiqua"/>
          <w:b/>
          <w:bCs/>
        </w:rPr>
        <w:t>Lin Y</w:t>
      </w:r>
      <w:r w:rsidRPr="00501A87">
        <w:rPr>
          <w:rFonts w:ascii="Book Antiqua" w:hAnsi="Book Antiqua"/>
        </w:rPr>
        <w:t xml:space="preserve">, Liu Y, Ding G, Touqui L, Wang W, Xu N, Liu K, Zhang L, Chen D, Wu Y, Bai G. Efficacy of tenofovir in preventing perinatal transmission of HBV infection in pregnant women with high viral loads. </w:t>
      </w:r>
      <w:r w:rsidRPr="00501A87">
        <w:rPr>
          <w:rFonts w:ascii="Book Antiqua" w:hAnsi="Book Antiqua"/>
          <w:i/>
          <w:iCs/>
        </w:rPr>
        <w:t>Sci Rep</w:t>
      </w:r>
      <w:r w:rsidRPr="00501A87">
        <w:rPr>
          <w:rFonts w:ascii="Book Antiqua" w:hAnsi="Book Antiqua"/>
        </w:rPr>
        <w:t xml:space="preserve"> 2018; </w:t>
      </w:r>
      <w:r w:rsidRPr="00501A87">
        <w:rPr>
          <w:rFonts w:ascii="Book Antiqua" w:hAnsi="Book Antiqua"/>
          <w:b/>
          <w:bCs/>
        </w:rPr>
        <w:t>8</w:t>
      </w:r>
      <w:r w:rsidRPr="00501A87">
        <w:rPr>
          <w:rFonts w:ascii="Book Antiqua" w:hAnsi="Book Antiqua"/>
        </w:rPr>
        <w:t>: 15514 [PMID: 30341345 DOI: 10.1038/s41598-018-33833-w]</w:t>
      </w:r>
    </w:p>
    <w:p w14:paraId="5F1B77E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122 </w:t>
      </w:r>
      <w:r w:rsidRPr="00501A87">
        <w:rPr>
          <w:rFonts w:ascii="Book Antiqua" w:hAnsi="Book Antiqua"/>
          <w:b/>
          <w:bCs/>
        </w:rPr>
        <w:t>Wang M</w:t>
      </w:r>
      <w:r w:rsidRPr="00501A87">
        <w:rPr>
          <w:rFonts w:ascii="Book Antiqua" w:hAnsi="Book Antiqua"/>
        </w:rPr>
        <w:t xml:space="preserve">, Bian Q, Zhu Y, Pang Q, Chang L, Li R, Tiongson BC, Zhang H, Pan CQ. Real-world study of tenofovir disoproxil fumarate to prevent hepatitis B transmission in mothers with high viral load. </w:t>
      </w:r>
      <w:r w:rsidRPr="00501A87">
        <w:rPr>
          <w:rFonts w:ascii="Book Antiqua" w:hAnsi="Book Antiqua"/>
          <w:i/>
          <w:iCs/>
        </w:rPr>
        <w:t>Aliment Pharmacol Ther</w:t>
      </w:r>
      <w:r w:rsidRPr="00501A87">
        <w:rPr>
          <w:rFonts w:ascii="Book Antiqua" w:hAnsi="Book Antiqua"/>
        </w:rPr>
        <w:t xml:space="preserve"> 2019; </w:t>
      </w:r>
      <w:r w:rsidRPr="00501A87">
        <w:rPr>
          <w:rFonts w:ascii="Book Antiqua" w:hAnsi="Book Antiqua"/>
          <w:b/>
          <w:bCs/>
        </w:rPr>
        <w:t>49</w:t>
      </w:r>
      <w:r w:rsidRPr="00501A87">
        <w:rPr>
          <w:rFonts w:ascii="Book Antiqua" w:hAnsi="Book Antiqua"/>
        </w:rPr>
        <w:t>: 211-217 [PMID: 30506691 DOI: 10.1111/apt.15064]</w:t>
      </w:r>
    </w:p>
    <w:p w14:paraId="3BD3FDE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123 </w:t>
      </w:r>
      <w:r w:rsidRPr="00501A87">
        <w:rPr>
          <w:rFonts w:ascii="Book Antiqua" w:hAnsi="Book Antiqua"/>
          <w:b/>
          <w:bCs/>
        </w:rPr>
        <w:t>Jourdain G</w:t>
      </w:r>
      <w:r w:rsidRPr="00501A87">
        <w:rPr>
          <w:rFonts w:ascii="Book Antiqua" w:hAnsi="Book Antiqua"/>
        </w:rPr>
        <w:t xml:space="preserve">, Ngo-Giang-Huong N, Harrison L, Decker L, Khamduang W, Tierney C, Salvadori N, Cressey TR, Sirirungsi W, Achalapong J, Yuthavisuthi P, Kanjanavikai P, Na Ayudhaya OP, Siriwachirachai T, Prommas S, Sabsanong P, Limtrakul A, Varadisai S, Putiyanun C, Suriyachai P, Liampongsabuddhi P, Sangsawang S, Matanasarawut W, Buranabanjasatean S, Puernngooluerm P, Bowonwatanuwong C, Puthanakit T, Klinbuayaem V, Thongsawat S, Thanprasertsuk S, Siberry GK, Watts DH, Chakhtoura N, Murphy TV, Nelson NP, Chung RT, Pol S, Chotivanich N. Tenofovir versus Placebo to Prevent Perinatal Transmission of Hepatitis B. </w:t>
      </w:r>
      <w:r w:rsidRPr="00501A87">
        <w:rPr>
          <w:rFonts w:ascii="Book Antiqua" w:hAnsi="Book Antiqua"/>
          <w:i/>
          <w:iCs/>
        </w:rPr>
        <w:t>N Engl J Med</w:t>
      </w:r>
      <w:r w:rsidRPr="00501A87">
        <w:rPr>
          <w:rFonts w:ascii="Book Antiqua" w:hAnsi="Book Antiqua"/>
        </w:rPr>
        <w:t xml:space="preserve"> 2018; </w:t>
      </w:r>
      <w:r w:rsidRPr="00501A87">
        <w:rPr>
          <w:rFonts w:ascii="Book Antiqua" w:hAnsi="Book Antiqua"/>
          <w:b/>
          <w:bCs/>
        </w:rPr>
        <w:t>378</w:t>
      </w:r>
      <w:r w:rsidRPr="00501A87">
        <w:rPr>
          <w:rFonts w:ascii="Book Antiqua" w:hAnsi="Book Antiqua"/>
        </w:rPr>
        <w:t>: 911-923 [PMID: 29514030 DOI: 10.1056/NEJMoa1708131]</w:t>
      </w:r>
    </w:p>
    <w:p w14:paraId="4EC0AC6F" w14:textId="36B0C514" w:rsidR="00501A87" w:rsidRPr="00501A87" w:rsidRDefault="00501A87" w:rsidP="00501A87">
      <w:pPr>
        <w:spacing w:line="360" w:lineRule="auto"/>
        <w:jc w:val="both"/>
        <w:rPr>
          <w:rFonts w:ascii="Book Antiqua" w:hAnsi="Book Antiqua"/>
        </w:rPr>
      </w:pPr>
      <w:r w:rsidRPr="00501A87">
        <w:rPr>
          <w:rFonts w:ascii="Book Antiqua" w:hAnsi="Book Antiqua"/>
        </w:rPr>
        <w:t>124</w:t>
      </w:r>
      <w:r w:rsidR="000F42F6">
        <w:rPr>
          <w:rFonts w:ascii="Book Antiqua" w:hAnsi="Book Antiqua"/>
        </w:rPr>
        <w:t xml:space="preserve"> </w:t>
      </w:r>
      <w:r w:rsidR="000F42F6" w:rsidRPr="000F42F6">
        <w:rPr>
          <w:rFonts w:ascii="Book Antiqua" w:hAnsi="Book Antiqua"/>
        </w:rPr>
        <w:t xml:space="preserve">Prevention of Mother-to-Child Transmission of Hepatitis B Virus: Guidelines on Antiviral Prophylaxis in Pregnancy. </w:t>
      </w:r>
      <w:r w:rsidR="000F42F6" w:rsidRPr="004C14EF">
        <w:rPr>
          <w:rFonts w:ascii="Book Antiqua" w:hAnsi="Book Antiqua"/>
          <w:i/>
          <w:iCs/>
        </w:rPr>
        <w:t>Geneva: World Health Organization</w:t>
      </w:r>
      <w:r w:rsidR="000F42F6" w:rsidRPr="000F42F6">
        <w:rPr>
          <w:rFonts w:ascii="Book Antiqua" w:hAnsi="Book Antiqua"/>
        </w:rPr>
        <w:t xml:space="preserve"> 2020 </w:t>
      </w:r>
      <w:r w:rsidRPr="00501A87">
        <w:rPr>
          <w:rFonts w:ascii="Book Antiqua" w:hAnsi="Book Antiqua"/>
        </w:rPr>
        <w:t>[PMID: 32833415]</w:t>
      </w:r>
    </w:p>
    <w:p w14:paraId="50A4018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125 </w:t>
      </w:r>
      <w:r w:rsidRPr="00501A87">
        <w:rPr>
          <w:rFonts w:ascii="Book Antiqua" w:hAnsi="Book Antiqua"/>
          <w:b/>
          <w:bCs/>
        </w:rPr>
        <w:t>Wu ZX</w:t>
      </w:r>
      <w:r w:rsidRPr="00501A87">
        <w:rPr>
          <w:rFonts w:ascii="Book Antiqua" w:hAnsi="Book Antiqua"/>
        </w:rPr>
        <w:t xml:space="preserve">, Chen FS, Zhou XL, Huang Q, Zhang SA, Wu HC, Cai LR, Zeng ZY, Li YH, Li DL. Tenofovir and telbivudine combination therapy rapidly decreases viral loads in immune-tolerant chronic hepatitis B patients awaiting assisted reproduction: an open-label, randomized, controlled study. </w:t>
      </w:r>
      <w:r w:rsidRPr="00501A87">
        <w:rPr>
          <w:rFonts w:ascii="Book Antiqua" w:hAnsi="Book Antiqua"/>
          <w:i/>
          <w:iCs/>
        </w:rPr>
        <w:t>Eur J Gastroenterol Hepatol</w:t>
      </w:r>
      <w:r w:rsidRPr="00501A87">
        <w:rPr>
          <w:rFonts w:ascii="Book Antiqua" w:hAnsi="Book Antiqua"/>
        </w:rPr>
        <w:t xml:space="preserve"> 2019; </w:t>
      </w:r>
      <w:r w:rsidRPr="00501A87">
        <w:rPr>
          <w:rFonts w:ascii="Book Antiqua" w:hAnsi="Book Antiqua"/>
          <w:b/>
          <w:bCs/>
        </w:rPr>
        <w:t>31</w:t>
      </w:r>
      <w:r w:rsidRPr="00501A87">
        <w:rPr>
          <w:rFonts w:ascii="Book Antiqua" w:hAnsi="Book Antiqua"/>
        </w:rPr>
        <w:t>: 832-835 [PMID: 30601336 DOI: 10.1097/MEG.0000000000001345]</w:t>
      </w:r>
    </w:p>
    <w:p w14:paraId="3EDB84C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126 </w:t>
      </w:r>
      <w:r w:rsidRPr="00501A87">
        <w:rPr>
          <w:rFonts w:ascii="Book Antiqua" w:hAnsi="Book Antiqua"/>
          <w:b/>
          <w:bCs/>
        </w:rPr>
        <w:t>Lau GK</w:t>
      </w:r>
      <w:r w:rsidRPr="00501A87">
        <w:rPr>
          <w:rFonts w:ascii="Book Antiqua" w:hAnsi="Book Antiqua"/>
        </w:rPr>
        <w:t xml:space="preserve">, Yiu HH, Fong DY, Cheng HC, Au WY, Lai LS, Cheung M, Zhang HY, Lie A, Ngan R, Liang R. Early is superior to deferred preemptive lamivudine therapy for hepatitis B patients undergoing chemotherapy. </w:t>
      </w:r>
      <w:r w:rsidRPr="00501A87">
        <w:rPr>
          <w:rFonts w:ascii="Book Antiqua" w:hAnsi="Book Antiqua"/>
          <w:i/>
          <w:iCs/>
        </w:rPr>
        <w:t>Gastroenterology</w:t>
      </w:r>
      <w:r w:rsidRPr="00501A87">
        <w:rPr>
          <w:rFonts w:ascii="Book Antiqua" w:hAnsi="Book Antiqua"/>
        </w:rPr>
        <w:t xml:space="preserve"> 2003; </w:t>
      </w:r>
      <w:r w:rsidRPr="00501A87">
        <w:rPr>
          <w:rFonts w:ascii="Book Antiqua" w:hAnsi="Book Antiqua"/>
          <w:b/>
          <w:bCs/>
        </w:rPr>
        <w:t>125</w:t>
      </w:r>
      <w:r w:rsidRPr="00501A87">
        <w:rPr>
          <w:rFonts w:ascii="Book Antiqua" w:hAnsi="Book Antiqua"/>
        </w:rPr>
        <w:t>: 1742-1749 [PMID: 14724827 DOI: 10.1053/j.gastro.2003.09.026]</w:t>
      </w:r>
    </w:p>
    <w:p w14:paraId="06811C3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127 </w:t>
      </w:r>
      <w:r w:rsidRPr="00501A87">
        <w:rPr>
          <w:rFonts w:ascii="Book Antiqua" w:hAnsi="Book Antiqua"/>
          <w:b/>
          <w:bCs/>
        </w:rPr>
        <w:t>Huang YH</w:t>
      </w:r>
      <w:r w:rsidRPr="00501A87">
        <w:rPr>
          <w:rFonts w:ascii="Book Antiqua" w:hAnsi="Book Antiqua"/>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501A87">
        <w:rPr>
          <w:rFonts w:ascii="Book Antiqua" w:hAnsi="Book Antiqua"/>
          <w:i/>
          <w:iCs/>
        </w:rPr>
        <w:t>J Clin Oncol</w:t>
      </w:r>
      <w:r w:rsidRPr="00501A87">
        <w:rPr>
          <w:rFonts w:ascii="Book Antiqua" w:hAnsi="Book Antiqua"/>
        </w:rPr>
        <w:t xml:space="preserve"> 2013; </w:t>
      </w:r>
      <w:r w:rsidRPr="00501A87">
        <w:rPr>
          <w:rFonts w:ascii="Book Antiqua" w:hAnsi="Book Antiqua"/>
          <w:b/>
          <w:bCs/>
        </w:rPr>
        <w:t>31</w:t>
      </w:r>
      <w:r w:rsidRPr="00501A87">
        <w:rPr>
          <w:rFonts w:ascii="Book Antiqua" w:hAnsi="Book Antiqua"/>
        </w:rPr>
        <w:t>: 2765-2772 [PMID: 23775967 DOI: 10.1200/JCO.2012.48.5938]</w:t>
      </w:r>
    </w:p>
    <w:p w14:paraId="22230DC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128 </w:t>
      </w:r>
      <w:r w:rsidRPr="00501A87">
        <w:rPr>
          <w:rFonts w:ascii="Book Antiqua" w:hAnsi="Book Antiqua"/>
          <w:b/>
          <w:bCs/>
        </w:rPr>
        <w:t>Loomba R</w:t>
      </w:r>
      <w:r w:rsidRPr="00501A87">
        <w:rPr>
          <w:rFonts w:ascii="Book Antiqua" w:hAnsi="Book Antiqua"/>
        </w:rPr>
        <w:t xml:space="preserve">, Liang TJ. Hepatitis B Reactivation Associated With Immune Suppressive and Biological Modifier Therapies: Current Concepts, Management Strategies, and Future Directions. </w:t>
      </w:r>
      <w:r w:rsidRPr="00501A87">
        <w:rPr>
          <w:rFonts w:ascii="Book Antiqua" w:hAnsi="Book Antiqua"/>
          <w:i/>
          <w:iCs/>
        </w:rPr>
        <w:t>Gastroenterology</w:t>
      </w:r>
      <w:r w:rsidRPr="00501A87">
        <w:rPr>
          <w:rFonts w:ascii="Book Antiqua" w:hAnsi="Book Antiqua"/>
        </w:rPr>
        <w:t xml:space="preserve"> 2017; </w:t>
      </w:r>
      <w:r w:rsidRPr="00501A87">
        <w:rPr>
          <w:rFonts w:ascii="Book Antiqua" w:hAnsi="Book Antiqua"/>
          <w:b/>
          <w:bCs/>
        </w:rPr>
        <w:t>152</w:t>
      </w:r>
      <w:r w:rsidRPr="00501A87">
        <w:rPr>
          <w:rFonts w:ascii="Book Antiqua" w:hAnsi="Book Antiqua"/>
        </w:rPr>
        <w:t>: 1297-1309 [PMID: 28219691 DOI: 10.1053/j.gastro.2017.02.009]</w:t>
      </w:r>
    </w:p>
    <w:p w14:paraId="35D3F81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129 </w:t>
      </w:r>
      <w:r w:rsidRPr="00501A87">
        <w:rPr>
          <w:rFonts w:ascii="Book Antiqua" w:hAnsi="Book Antiqua"/>
          <w:b/>
          <w:bCs/>
        </w:rPr>
        <w:t>Mozessohn L</w:t>
      </w:r>
      <w:r w:rsidRPr="00501A87">
        <w:rPr>
          <w:rFonts w:ascii="Book Antiqua" w:hAnsi="Book Antiqua"/>
        </w:rPr>
        <w:t xml:space="preserve">, Chan KK, Feld JJ, Hicks LK. Hepatitis B reactivation in HBsAg-negative/HBcAb-positive patients receiving rituximab for lymphoma: a meta-analysis. </w:t>
      </w:r>
      <w:r w:rsidRPr="00501A87">
        <w:rPr>
          <w:rFonts w:ascii="Book Antiqua" w:hAnsi="Book Antiqua"/>
          <w:i/>
          <w:iCs/>
        </w:rPr>
        <w:t>J Viral Hepat</w:t>
      </w:r>
      <w:r w:rsidRPr="00501A87">
        <w:rPr>
          <w:rFonts w:ascii="Book Antiqua" w:hAnsi="Book Antiqua"/>
        </w:rPr>
        <w:t xml:space="preserve"> 2015; </w:t>
      </w:r>
      <w:r w:rsidRPr="00501A87">
        <w:rPr>
          <w:rFonts w:ascii="Book Antiqua" w:hAnsi="Book Antiqua"/>
          <w:b/>
          <w:bCs/>
        </w:rPr>
        <w:t>22</w:t>
      </w:r>
      <w:r w:rsidRPr="00501A87">
        <w:rPr>
          <w:rFonts w:ascii="Book Antiqua" w:hAnsi="Book Antiqua"/>
        </w:rPr>
        <w:t>: 842-849 [PMID: 25765930 DOI: 10.1111/jvh.12402]</w:t>
      </w:r>
    </w:p>
    <w:p w14:paraId="1FE2373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130 </w:t>
      </w:r>
      <w:r w:rsidRPr="00501A87">
        <w:rPr>
          <w:rFonts w:ascii="Book Antiqua" w:hAnsi="Book Antiqua"/>
          <w:b/>
          <w:bCs/>
        </w:rPr>
        <w:t>Kusumoto S</w:t>
      </w:r>
      <w:r w:rsidRPr="00501A87">
        <w:rPr>
          <w:rFonts w:ascii="Book Antiqua" w:hAnsi="Book Antiqua"/>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501A87">
        <w:rPr>
          <w:rFonts w:ascii="Book Antiqua" w:hAnsi="Book Antiqua"/>
          <w:i/>
          <w:iCs/>
        </w:rPr>
        <w:t>Blood</w:t>
      </w:r>
      <w:r w:rsidRPr="00501A87">
        <w:rPr>
          <w:rFonts w:ascii="Book Antiqua" w:hAnsi="Book Antiqua"/>
        </w:rPr>
        <w:t xml:space="preserve"> 2019; </w:t>
      </w:r>
      <w:r w:rsidRPr="00501A87">
        <w:rPr>
          <w:rFonts w:ascii="Book Antiqua" w:hAnsi="Book Antiqua"/>
          <w:b/>
          <w:bCs/>
        </w:rPr>
        <w:t>133</w:t>
      </w:r>
      <w:r w:rsidRPr="00501A87">
        <w:rPr>
          <w:rFonts w:ascii="Book Antiqua" w:hAnsi="Book Antiqua"/>
        </w:rPr>
        <w:t>: 137-146 [PMID: 30341058 DOI: 10.1182/blood-2018-04-848044]</w:t>
      </w:r>
    </w:p>
    <w:p w14:paraId="446C37A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131 </w:t>
      </w:r>
      <w:r w:rsidRPr="00501A87">
        <w:rPr>
          <w:rFonts w:ascii="Book Antiqua" w:hAnsi="Book Antiqua"/>
          <w:b/>
          <w:bCs/>
        </w:rPr>
        <w:t>Liu WP</w:t>
      </w:r>
      <w:r w:rsidRPr="00501A87">
        <w:rPr>
          <w:rFonts w:ascii="Book Antiqua" w:hAnsi="Book Antiqua"/>
        </w:rPr>
        <w:t xml:space="preserve">, Xiao XB, Xue M, Wang GQ, Wang XP, Song YQ, Zhu J. Prophylactic Use of Entecavir for Lymphoma Patients With Past Hepatitis B Virus Infection: A Randomized Controlled Trial. </w:t>
      </w:r>
      <w:r w:rsidRPr="00501A87">
        <w:rPr>
          <w:rFonts w:ascii="Book Antiqua" w:hAnsi="Book Antiqua"/>
          <w:i/>
          <w:iCs/>
        </w:rPr>
        <w:t>Clin Lymphoma Myeloma Leuk</w:t>
      </w:r>
      <w:r w:rsidRPr="00501A87">
        <w:rPr>
          <w:rFonts w:ascii="Book Antiqua" w:hAnsi="Book Antiqua"/>
        </w:rPr>
        <w:t xml:space="preserve"> 2019; </w:t>
      </w:r>
      <w:r w:rsidRPr="00501A87">
        <w:rPr>
          <w:rFonts w:ascii="Book Antiqua" w:hAnsi="Book Antiqua"/>
          <w:b/>
          <w:bCs/>
        </w:rPr>
        <w:t>19</w:t>
      </w:r>
      <w:r w:rsidRPr="00501A87">
        <w:rPr>
          <w:rFonts w:ascii="Book Antiqua" w:hAnsi="Book Antiqua"/>
        </w:rPr>
        <w:t>: 103-108 [PMID: 30581161 DOI: 10.1016/j.clml.2018.11.008]</w:t>
      </w:r>
    </w:p>
    <w:p w14:paraId="069FEE3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132 </w:t>
      </w:r>
      <w:r w:rsidRPr="00501A87">
        <w:rPr>
          <w:rFonts w:ascii="Book Antiqua" w:hAnsi="Book Antiqua"/>
          <w:b/>
          <w:bCs/>
        </w:rPr>
        <w:t>Hammond SP</w:t>
      </w:r>
      <w:r w:rsidRPr="00501A87">
        <w:rPr>
          <w:rFonts w:ascii="Book Antiqua" w:hAnsi="Book Antiqua"/>
        </w:rPr>
        <w:t xml:space="preserve">, Chen K, Pandit A, Davids MS, Issa NC, Marty FM. Risk of hepatitis B virus reactivation in patients treated with ibrutinib. </w:t>
      </w:r>
      <w:r w:rsidRPr="00501A87">
        <w:rPr>
          <w:rFonts w:ascii="Book Antiqua" w:hAnsi="Book Antiqua"/>
          <w:i/>
          <w:iCs/>
        </w:rPr>
        <w:t>Blood</w:t>
      </w:r>
      <w:r w:rsidRPr="00501A87">
        <w:rPr>
          <w:rFonts w:ascii="Book Antiqua" w:hAnsi="Book Antiqua"/>
        </w:rPr>
        <w:t xml:space="preserve"> 2018; </w:t>
      </w:r>
      <w:r w:rsidRPr="00501A87">
        <w:rPr>
          <w:rFonts w:ascii="Book Antiqua" w:hAnsi="Book Antiqua"/>
          <w:b/>
          <w:bCs/>
        </w:rPr>
        <w:t>131</w:t>
      </w:r>
      <w:r w:rsidRPr="00501A87">
        <w:rPr>
          <w:rFonts w:ascii="Book Antiqua" w:hAnsi="Book Antiqua"/>
        </w:rPr>
        <w:t>: 1987-1989 [PMID: 29490923 DOI: 10.1182/blood-2018-01-826495]</w:t>
      </w:r>
    </w:p>
    <w:p w14:paraId="40837B9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133 </w:t>
      </w:r>
      <w:r w:rsidRPr="00501A87">
        <w:rPr>
          <w:rFonts w:ascii="Book Antiqua" w:hAnsi="Book Antiqua"/>
          <w:b/>
          <w:bCs/>
        </w:rPr>
        <w:t>Park JW</w:t>
      </w:r>
      <w:r w:rsidRPr="00501A87">
        <w:rPr>
          <w:rFonts w:ascii="Book Antiqua" w:hAnsi="Book Antiqua"/>
        </w:rPr>
        <w:t xml:space="preserve">, Park KW, Cho SH, Park HS, Lee WJ, Lee DH, Kim CM. Risk of hepatitis B exacerbation is low after transcatheter arterial chemoembolization therapy for patients with HBV-related hepatocellular carcinoma: report of a prospective study. </w:t>
      </w:r>
      <w:r w:rsidRPr="00501A87">
        <w:rPr>
          <w:rFonts w:ascii="Book Antiqua" w:hAnsi="Book Antiqua"/>
          <w:i/>
          <w:iCs/>
        </w:rPr>
        <w:t>Am J Gastroenterol</w:t>
      </w:r>
      <w:r w:rsidRPr="00501A87">
        <w:rPr>
          <w:rFonts w:ascii="Book Antiqua" w:hAnsi="Book Antiqua"/>
        </w:rPr>
        <w:t xml:space="preserve"> 2005; </w:t>
      </w:r>
      <w:r w:rsidRPr="00501A87">
        <w:rPr>
          <w:rFonts w:ascii="Book Antiqua" w:hAnsi="Book Antiqua"/>
          <w:b/>
          <w:bCs/>
        </w:rPr>
        <w:t>100</w:t>
      </w:r>
      <w:r w:rsidRPr="00501A87">
        <w:rPr>
          <w:rFonts w:ascii="Book Antiqua" w:hAnsi="Book Antiqua"/>
        </w:rPr>
        <w:t>: 2194-2200 [PMID: 16181368 DOI: 10.1111/j.1572-0241.2005.00232.x]</w:t>
      </w:r>
    </w:p>
    <w:p w14:paraId="0F28489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134 </w:t>
      </w:r>
      <w:r w:rsidRPr="00501A87">
        <w:rPr>
          <w:rFonts w:ascii="Book Antiqua" w:hAnsi="Book Antiqua"/>
          <w:b/>
          <w:bCs/>
        </w:rPr>
        <w:t>Lao XM</w:t>
      </w:r>
      <w:r w:rsidRPr="00501A87">
        <w:rPr>
          <w:rFonts w:ascii="Book Antiqua" w:hAnsi="Book Antiqua"/>
        </w:rPr>
        <w:t xml:space="preserve">, Wang D, Shi M, Liu G, Li S, Guo R, Yuan Y, Chen M, Li J, Zhang Y, Lin X. Changes in hepatitis B virus DNA levels and liver function after transcatheter arterial chemoembolization of hepatocellular carcinoma. </w:t>
      </w:r>
      <w:r w:rsidRPr="00501A87">
        <w:rPr>
          <w:rFonts w:ascii="Book Antiqua" w:hAnsi="Book Antiqua"/>
          <w:i/>
          <w:iCs/>
        </w:rPr>
        <w:t>Hepatol Res</w:t>
      </w:r>
      <w:r w:rsidRPr="00501A87">
        <w:rPr>
          <w:rFonts w:ascii="Book Antiqua" w:hAnsi="Book Antiqua"/>
        </w:rPr>
        <w:t xml:space="preserve"> 2011; </w:t>
      </w:r>
      <w:r w:rsidRPr="00501A87">
        <w:rPr>
          <w:rFonts w:ascii="Book Antiqua" w:hAnsi="Book Antiqua"/>
          <w:b/>
          <w:bCs/>
        </w:rPr>
        <w:t>41</w:t>
      </w:r>
      <w:r w:rsidRPr="00501A87">
        <w:rPr>
          <w:rFonts w:ascii="Book Antiqua" w:hAnsi="Book Antiqua"/>
        </w:rPr>
        <w:t>: 553-563 [PMID: 21615643 DOI: 10.1111/j.1872-034X.2011.00796.x]</w:t>
      </w:r>
    </w:p>
    <w:p w14:paraId="177667D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135 </w:t>
      </w:r>
      <w:r w:rsidRPr="00501A87">
        <w:rPr>
          <w:rFonts w:ascii="Book Antiqua" w:hAnsi="Book Antiqua"/>
          <w:b/>
          <w:bCs/>
        </w:rPr>
        <w:t>Wang K</w:t>
      </w:r>
      <w:r w:rsidRPr="00501A87">
        <w:rPr>
          <w:rFonts w:ascii="Book Antiqua" w:hAnsi="Book Antiqua"/>
        </w:rPr>
        <w:t xml:space="preserve">, Jiang G, Jia Z, Zhu X, Ni C. Effects of transarterial chemoembolization combined with antiviral therapy on HBV reactivation and liver function in HBV-related hepatocellular carcinoma patients with HBV-DNA negative. </w:t>
      </w:r>
      <w:r w:rsidRPr="00501A87">
        <w:rPr>
          <w:rFonts w:ascii="Book Antiqua" w:hAnsi="Book Antiqua"/>
          <w:i/>
          <w:iCs/>
        </w:rPr>
        <w:t>Medicine (Baltimore)</w:t>
      </w:r>
      <w:r w:rsidRPr="00501A87">
        <w:rPr>
          <w:rFonts w:ascii="Book Antiqua" w:hAnsi="Book Antiqua"/>
        </w:rPr>
        <w:t xml:space="preserve"> 2018; </w:t>
      </w:r>
      <w:r w:rsidRPr="00501A87">
        <w:rPr>
          <w:rFonts w:ascii="Book Antiqua" w:hAnsi="Book Antiqua"/>
          <w:b/>
          <w:bCs/>
        </w:rPr>
        <w:t>97</w:t>
      </w:r>
      <w:r w:rsidRPr="00501A87">
        <w:rPr>
          <w:rFonts w:ascii="Book Antiqua" w:hAnsi="Book Antiqua"/>
        </w:rPr>
        <w:t>: e10940 [PMID: 29851833 DOI: 10.1097/MD.0000000000010940]</w:t>
      </w:r>
    </w:p>
    <w:p w14:paraId="347A241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136 </w:t>
      </w:r>
      <w:r w:rsidRPr="00501A87">
        <w:rPr>
          <w:rFonts w:ascii="Book Antiqua" w:hAnsi="Book Antiqua"/>
          <w:b/>
          <w:bCs/>
        </w:rPr>
        <w:t>Zhang SS</w:t>
      </w:r>
      <w:r w:rsidRPr="00501A87">
        <w:rPr>
          <w:rFonts w:ascii="Book Antiqua" w:hAnsi="Book Antiqua"/>
        </w:rPr>
        <w:t xml:space="preserve">, Liu JX, Zhu J, Xiao MB, Lu CH, Ni RZ, Qu LS. Effects of TACE and preventive antiviral therapy on HBV reactivation and subsequent hepatitis in hepatocellular carcinoma: a meta-analysis. </w:t>
      </w:r>
      <w:r w:rsidRPr="00501A87">
        <w:rPr>
          <w:rFonts w:ascii="Book Antiqua" w:hAnsi="Book Antiqua"/>
          <w:i/>
          <w:iCs/>
        </w:rPr>
        <w:t>Jpn J Clin Oncol</w:t>
      </w:r>
      <w:r w:rsidRPr="00501A87">
        <w:rPr>
          <w:rFonts w:ascii="Book Antiqua" w:hAnsi="Book Antiqua"/>
        </w:rPr>
        <w:t xml:space="preserve"> 2019; </w:t>
      </w:r>
      <w:r w:rsidRPr="00501A87">
        <w:rPr>
          <w:rFonts w:ascii="Book Antiqua" w:hAnsi="Book Antiqua"/>
          <w:b/>
          <w:bCs/>
        </w:rPr>
        <w:t>49</w:t>
      </w:r>
      <w:r w:rsidRPr="00501A87">
        <w:rPr>
          <w:rFonts w:ascii="Book Antiqua" w:hAnsi="Book Antiqua"/>
        </w:rPr>
        <w:t>: 646-655 [PMID: 30968933 DOI: 10.1093/jjco/hyz046]</w:t>
      </w:r>
    </w:p>
    <w:p w14:paraId="4CC6FAF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137 </w:t>
      </w:r>
      <w:r w:rsidRPr="00501A87">
        <w:rPr>
          <w:rFonts w:ascii="Book Antiqua" w:hAnsi="Book Antiqua"/>
          <w:b/>
          <w:bCs/>
        </w:rPr>
        <w:t>Jun BG</w:t>
      </w:r>
      <w:r w:rsidRPr="00501A87">
        <w:rPr>
          <w:rFonts w:ascii="Book Antiqua" w:hAnsi="Book Antiqua"/>
        </w:rPr>
        <w:t xml:space="preserve">, Kim YD, Kim SG, Kim YS, Jeong SW, Jang JY, Lee SH, Kim HS, Kang SH, Kim MY, Baik SK, Lee M, Kim TS, Choi DH, Choi SH, Suk KT, Kim DJ, Cheon GJ. Hepatitis B virus reactivation after radiotherapy for hepatocellular carcinoma and efficacy of antiviral treatment: A multicenter study.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e0201316 [PMID: 30059513 DOI: 10.1371/journal.pone.0201316]</w:t>
      </w:r>
    </w:p>
    <w:p w14:paraId="0896BE8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138 </w:t>
      </w:r>
      <w:r w:rsidRPr="00501A87">
        <w:rPr>
          <w:rFonts w:ascii="Book Antiqua" w:hAnsi="Book Antiqua"/>
          <w:b/>
          <w:bCs/>
        </w:rPr>
        <w:t>Liu J</w:t>
      </w:r>
      <w:r w:rsidRPr="00501A87">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501A87">
        <w:rPr>
          <w:rFonts w:ascii="Book Antiqua" w:hAnsi="Book Antiqua"/>
          <w:i/>
          <w:iCs/>
        </w:rPr>
        <w:t>Hepatol Res</w:t>
      </w:r>
      <w:r w:rsidRPr="00501A87">
        <w:rPr>
          <w:rFonts w:ascii="Book Antiqua" w:hAnsi="Book Antiqua"/>
        </w:rPr>
        <w:t xml:space="preserve"> 2020; </w:t>
      </w:r>
      <w:r w:rsidRPr="00501A87">
        <w:rPr>
          <w:rFonts w:ascii="Book Antiqua" w:hAnsi="Book Antiqua"/>
          <w:b/>
          <w:bCs/>
        </w:rPr>
        <w:t>50</w:t>
      </w:r>
      <w:r w:rsidRPr="00501A87">
        <w:rPr>
          <w:rFonts w:ascii="Book Antiqua" w:hAnsi="Book Antiqua"/>
        </w:rPr>
        <w:t>: 1211-1221 [PMID: 32761993 DOI: 10.1111/hepr.13553]</w:t>
      </w:r>
    </w:p>
    <w:p w14:paraId="1A192BD9" w14:textId="471F1773" w:rsidR="00501A87" w:rsidRPr="00501A87" w:rsidRDefault="00501A87" w:rsidP="00501A87">
      <w:pPr>
        <w:spacing w:line="360" w:lineRule="auto"/>
        <w:jc w:val="both"/>
        <w:rPr>
          <w:rFonts w:ascii="Book Antiqua" w:hAnsi="Book Antiqua"/>
        </w:rPr>
      </w:pPr>
      <w:r w:rsidRPr="00501A87">
        <w:rPr>
          <w:rFonts w:ascii="Book Antiqua" w:hAnsi="Book Antiqua"/>
        </w:rPr>
        <w:t xml:space="preserve">139 </w:t>
      </w:r>
      <w:r w:rsidR="000F42F6" w:rsidRPr="000F42F6">
        <w:rPr>
          <w:rFonts w:ascii="Book Antiqua" w:hAnsi="Book Antiqua"/>
          <w:b/>
          <w:bCs/>
        </w:rPr>
        <w:t xml:space="preserve">NIH. </w:t>
      </w:r>
      <w:r w:rsidRPr="00501A87">
        <w:rPr>
          <w:rFonts w:ascii="Book Antiqua" w:hAnsi="Book Antiqua"/>
        </w:rPr>
        <w:t>NIH strategic plan details pathway to achieving Hepatitis B cure</w:t>
      </w:r>
      <w:r w:rsidR="000F42F6">
        <w:rPr>
          <w:rFonts w:ascii="Book Antiqua" w:hAnsi="Book Antiqua"/>
        </w:rPr>
        <w:t>,</w:t>
      </w:r>
      <w:r w:rsidRPr="00501A87">
        <w:rPr>
          <w:rFonts w:ascii="Book Antiqua" w:hAnsi="Book Antiqua"/>
        </w:rPr>
        <w:t xml:space="preserve"> 2019</w:t>
      </w:r>
      <w:r w:rsidR="000F42F6">
        <w:rPr>
          <w:rFonts w:ascii="Book Antiqua" w:hAnsi="Book Antiqua"/>
        </w:rPr>
        <w:t>.</w:t>
      </w:r>
      <w:r w:rsidRPr="00501A87">
        <w:rPr>
          <w:rFonts w:ascii="Book Antiqua" w:hAnsi="Book Antiqua"/>
        </w:rPr>
        <w:t xml:space="preserve"> [cited 2</w:t>
      </w:r>
      <w:r w:rsidR="00785C8D">
        <w:rPr>
          <w:rFonts w:ascii="Book Antiqua" w:hAnsi="Book Antiqua"/>
        </w:rPr>
        <w:t>5</w:t>
      </w:r>
      <w:r w:rsidRPr="00501A87">
        <w:rPr>
          <w:rFonts w:ascii="Book Antiqua" w:hAnsi="Book Antiqua"/>
        </w:rPr>
        <w:t xml:space="preserve"> Dec</w:t>
      </w:r>
      <w:r w:rsidR="00785C8D">
        <w:rPr>
          <w:rFonts w:ascii="Book Antiqua" w:hAnsi="Book Antiqua"/>
        </w:rPr>
        <w:t>ember</w:t>
      </w:r>
      <w:r w:rsidRPr="00501A87">
        <w:rPr>
          <w:rFonts w:ascii="Book Antiqua" w:hAnsi="Book Antiqua"/>
        </w:rPr>
        <w:t xml:space="preserve"> 2</w:t>
      </w:r>
      <w:r w:rsidR="00785C8D">
        <w:rPr>
          <w:rFonts w:ascii="Book Antiqua" w:hAnsi="Book Antiqua"/>
        </w:rPr>
        <w:t>020</w:t>
      </w:r>
      <w:r w:rsidRPr="00501A87">
        <w:rPr>
          <w:rFonts w:ascii="Book Antiqua" w:hAnsi="Book Antiqua"/>
        </w:rPr>
        <w:t>]</w:t>
      </w:r>
      <w:r w:rsidR="00785C8D">
        <w:rPr>
          <w:rFonts w:ascii="Book Antiqua" w:hAnsi="Book Antiqua"/>
        </w:rPr>
        <w:t xml:space="preserve">. </w:t>
      </w:r>
      <w:r w:rsidRPr="00501A87">
        <w:rPr>
          <w:rFonts w:ascii="Book Antiqua" w:hAnsi="Book Antiqua"/>
        </w:rPr>
        <w:t>Available from: https://www.nih.gov/news-events/news-releases/nih-strategic-plan-details-pathway-achieving-hepatitis-b-cure</w:t>
      </w:r>
    </w:p>
    <w:p w14:paraId="52B3EAA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140 </w:t>
      </w:r>
      <w:r w:rsidRPr="00501A87">
        <w:rPr>
          <w:rFonts w:ascii="Book Antiqua" w:hAnsi="Book Antiqua"/>
          <w:b/>
          <w:bCs/>
        </w:rPr>
        <w:t>Hu J</w:t>
      </w:r>
      <w:r w:rsidRPr="00501A87">
        <w:rPr>
          <w:rFonts w:ascii="Book Antiqua" w:hAnsi="Book Antiqua"/>
        </w:rPr>
        <w:t xml:space="preserve">, Lin YY, Chen PJ, Watashi K, Wakita T. Cell and Animal Models for Studying Hepatitis B Virus Infection and Drug Development.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338-354 [PMID: 30243619 DOI: 10.1053/j.gastro.2018.06.093]</w:t>
      </w:r>
    </w:p>
    <w:p w14:paraId="5B3D620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141 </w:t>
      </w:r>
      <w:r w:rsidRPr="00501A87">
        <w:rPr>
          <w:rFonts w:ascii="Book Antiqua" w:hAnsi="Book Antiqua"/>
          <w:b/>
          <w:bCs/>
        </w:rPr>
        <w:t>Estes JD</w:t>
      </w:r>
      <w:r w:rsidRPr="00501A87">
        <w:rPr>
          <w:rFonts w:ascii="Book Antiqua" w:hAnsi="Book Antiqua"/>
        </w:rPr>
        <w:t xml:space="preserve">, Wong SW, Brenchley JM. Nonhuman primate models of human viral infections. </w:t>
      </w:r>
      <w:r w:rsidRPr="00501A87">
        <w:rPr>
          <w:rFonts w:ascii="Book Antiqua" w:hAnsi="Book Antiqua"/>
          <w:i/>
          <w:iCs/>
        </w:rPr>
        <w:t>Nat Rev Immunol</w:t>
      </w:r>
      <w:r w:rsidRPr="00501A87">
        <w:rPr>
          <w:rFonts w:ascii="Book Antiqua" w:hAnsi="Book Antiqua"/>
        </w:rPr>
        <w:t xml:space="preserve"> 2018; </w:t>
      </w:r>
      <w:r w:rsidRPr="00501A87">
        <w:rPr>
          <w:rFonts w:ascii="Book Antiqua" w:hAnsi="Book Antiqua"/>
          <w:b/>
          <w:bCs/>
        </w:rPr>
        <w:t>18</w:t>
      </w:r>
      <w:r w:rsidRPr="00501A87">
        <w:rPr>
          <w:rFonts w:ascii="Book Antiqua" w:hAnsi="Book Antiqua"/>
        </w:rPr>
        <w:t>: 390-404 [PMID: 29556017 DOI: 10.1038/s41577-018-0005-7]</w:t>
      </w:r>
    </w:p>
    <w:p w14:paraId="5CE5A4B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142 </w:t>
      </w:r>
      <w:r w:rsidRPr="00501A87">
        <w:rPr>
          <w:rFonts w:ascii="Book Antiqua" w:hAnsi="Book Antiqua"/>
          <w:b/>
          <w:bCs/>
        </w:rPr>
        <w:t>Kalkeri R</w:t>
      </w:r>
      <w:r w:rsidRPr="00501A87">
        <w:rPr>
          <w:rFonts w:ascii="Book Antiqua" w:hAnsi="Book Antiqua"/>
        </w:rPr>
        <w:t xml:space="preserve">, Peng J, Huang C, Cai Z, Ptak RG, Suto MJ. HBV Core Promoter Inhibition by Tubulin Polymerization Inhibitor (SRI-32007). </w:t>
      </w:r>
      <w:r w:rsidRPr="00501A87">
        <w:rPr>
          <w:rFonts w:ascii="Book Antiqua" w:hAnsi="Book Antiqua"/>
          <w:i/>
          <w:iCs/>
        </w:rPr>
        <w:t>Adv Virol</w:t>
      </w:r>
      <w:r w:rsidRPr="00501A87">
        <w:rPr>
          <w:rFonts w:ascii="Book Antiqua" w:hAnsi="Book Antiqua"/>
        </w:rPr>
        <w:t xml:space="preserve"> 2020; </w:t>
      </w:r>
      <w:r w:rsidRPr="00501A87">
        <w:rPr>
          <w:rFonts w:ascii="Book Antiqua" w:hAnsi="Book Antiqua"/>
          <w:b/>
          <w:bCs/>
        </w:rPr>
        <w:t>2020</w:t>
      </w:r>
      <w:r w:rsidRPr="00501A87">
        <w:rPr>
          <w:rFonts w:ascii="Book Antiqua" w:hAnsi="Book Antiqua"/>
        </w:rPr>
        <w:t>: 8844061 [PMID: 33110426 DOI: 10.1155/2020/8844061]</w:t>
      </w:r>
    </w:p>
    <w:p w14:paraId="70EBFC7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143 </w:t>
      </w:r>
      <w:r w:rsidRPr="00501A87">
        <w:rPr>
          <w:rFonts w:ascii="Book Antiqua" w:hAnsi="Book Antiqua"/>
          <w:b/>
          <w:bCs/>
        </w:rPr>
        <w:t>Tsang JS</w:t>
      </w:r>
      <w:r w:rsidRPr="00501A87">
        <w:rPr>
          <w:rFonts w:ascii="Book Antiqua" w:hAnsi="Book Antiqua"/>
        </w:rPr>
        <w:t xml:space="preserve">, Dobaño C, VanDamme P, Moncunill G, Marchant A, Othman RB, Sadarangani M, Koff WC, Kollmann TR. Improving Vaccine-Induced Immunity: Can Baseline Predict Outcome? </w:t>
      </w:r>
      <w:r w:rsidRPr="00501A87">
        <w:rPr>
          <w:rFonts w:ascii="Book Antiqua" w:hAnsi="Book Antiqua"/>
          <w:i/>
          <w:iCs/>
        </w:rPr>
        <w:t>Trends Immunol</w:t>
      </w:r>
      <w:r w:rsidRPr="00501A87">
        <w:rPr>
          <w:rFonts w:ascii="Book Antiqua" w:hAnsi="Book Antiqua"/>
        </w:rPr>
        <w:t xml:space="preserve"> 2020; </w:t>
      </w:r>
      <w:r w:rsidRPr="00501A87">
        <w:rPr>
          <w:rFonts w:ascii="Book Antiqua" w:hAnsi="Book Antiqua"/>
          <w:b/>
          <w:bCs/>
        </w:rPr>
        <w:t>41</w:t>
      </w:r>
      <w:r w:rsidRPr="00501A87">
        <w:rPr>
          <w:rFonts w:ascii="Book Antiqua" w:hAnsi="Book Antiqua"/>
        </w:rPr>
        <w:t>: 457-465 [PMID: 32340868 DOI: 10.1016/j.it.2020.04.001]</w:t>
      </w:r>
    </w:p>
    <w:p w14:paraId="2840EC6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144 </w:t>
      </w:r>
      <w:r w:rsidRPr="00501A87">
        <w:rPr>
          <w:rFonts w:ascii="Book Antiqua" w:hAnsi="Book Antiqua"/>
          <w:b/>
          <w:bCs/>
        </w:rPr>
        <w:t>Akcay IM</w:t>
      </w:r>
      <w:r w:rsidRPr="00501A87">
        <w:rPr>
          <w:rFonts w:ascii="Book Antiqua" w:hAnsi="Book Antiqua"/>
        </w:rPr>
        <w:t xml:space="preserve">, Katrinli S, Ozdil K, Doganay GD, Doganay L. Host genetic factors affecting hepatitis B infection outcomes: Insights from genome-wide association studies. </w:t>
      </w:r>
      <w:r w:rsidRPr="00501A87">
        <w:rPr>
          <w:rFonts w:ascii="Book Antiqua" w:hAnsi="Book Antiqua"/>
          <w:i/>
          <w:iCs/>
        </w:rPr>
        <w:t>World J Gastroenterol</w:t>
      </w:r>
      <w:r w:rsidRPr="00501A87">
        <w:rPr>
          <w:rFonts w:ascii="Book Antiqua" w:hAnsi="Book Antiqua"/>
        </w:rPr>
        <w:t xml:space="preserve"> 2018; </w:t>
      </w:r>
      <w:r w:rsidRPr="00501A87">
        <w:rPr>
          <w:rFonts w:ascii="Book Antiqua" w:hAnsi="Book Antiqua"/>
          <w:b/>
          <w:bCs/>
        </w:rPr>
        <w:t>24</w:t>
      </w:r>
      <w:r w:rsidRPr="00501A87">
        <w:rPr>
          <w:rFonts w:ascii="Book Antiqua" w:hAnsi="Book Antiqua"/>
        </w:rPr>
        <w:t>: 3347-3360 [PMID: 30122875 DOI: 10.3748/wjg.v24.i30.3347]</w:t>
      </w:r>
    </w:p>
    <w:p w14:paraId="657BBC28" w14:textId="4CDD3E4D" w:rsidR="00A77B3E" w:rsidRPr="00501A87" w:rsidRDefault="00A77B3E" w:rsidP="00501A87">
      <w:pPr>
        <w:spacing w:line="360" w:lineRule="auto"/>
        <w:jc w:val="both"/>
        <w:rPr>
          <w:rFonts w:ascii="Book Antiqua" w:hAnsi="Book Antiqua"/>
        </w:rPr>
      </w:pPr>
    </w:p>
    <w:p w14:paraId="56EE2BB6" w14:textId="77777777" w:rsidR="00A77B3E" w:rsidRPr="00501A87" w:rsidRDefault="00A77B3E" w:rsidP="00501A87">
      <w:pPr>
        <w:spacing w:line="360" w:lineRule="auto"/>
        <w:jc w:val="both"/>
        <w:rPr>
          <w:rFonts w:ascii="Book Antiqua" w:hAnsi="Book Antiqua"/>
        </w:rPr>
        <w:sectPr w:rsidR="00A77B3E" w:rsidRPr="00501A87">
          <w:pgSz w:w="12240" w:h="15840"/>
          <w:pgMar w:top="1440" w:right="1440" w:bottom="1440" w:left="1440" w:header="720" w:footer="720" w:gutter="0"/>
          <w:cols w:space="720"/>
          <w:docGrid w:linePitch="360"/>
        </w:sectPr>
      </w:pPr>
    </w:p>
    <w:p w14:paraId="0A0FD583"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Footnotes</w:t>
      </w:r>
    </w:p>
    <w:p w14:paraId="1C7EC7C0"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Conflict-of-interest statement: </w:t>
      </w:r>
      <w:r w:rsidRPr="00501A87">
        <w:rPr>
          <w:rFonts w:ascii="Book Antiqua" w:eastAsia="Book Antiqua" w:hAnsi="Book Antiqua" w:cs="Book Antiqua"/>
          <w:color w:val="000000"/>
        </w:rPr>
        <w:t>All authors deny conflict of interest of any nature related to the article.</w:t>
      </w:r>
    </w:p>
    <w:p w14:paraId="46C1DD54" w14:textId="77777777" w:rsidR="00A77B3E" w:rsidRPr="00501A87" w:rsidRDefault="00A77B3E" w:rsidP="00501A87">
      <w:pPr>
        <w:spacing w:line="360" w:lineRule="auto"/>
        <w:jc w:val="both"/>
        <w:rPr>
          <w:rFonts w:ascii="Book Antiqua" w:hAnsi="Book Antiqua"/>
        </w:rPr>
      </w:pPr>
    </w:p>
    <w:p w14:paraId="1654AB6C"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Open-Access: </w:t>
      </w:r>
      <w:r w:rsidRPr="00501A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4101C9" w14:textId="77777777" w:rsidR="00A77B3E" w:rsidRPr="00501A87" w:rsidRDefault="00A77B3E" w:rsidP="00501A87">
      <w:pPr>
        <w:spacing w:line="360" w:lineRule="auto"/>
        <w:jc w:val="both"/>
        <w:rPr>
          <w:rFonts w:ascii="Book Antiqua" w:hAnsi="Book Antiqua"/>
        </w:rPr>
      </w:pPr>
    </w:p>
    <w:p w14:paraId="5DEE54A8" w14:textId="51416B74" w:rsidR="00A77B3E" w:rsidRPr="00501A87" w:rsidRDefault="008067B5" w:rsidP="00501A87">
      <w:pPr>
        <w:spacing w:line="360" w:lineRule="auto"/>
        <w:jc w:val="both"/>
        <w:rPr>
          <w:rFonts w:ascii="Book Antiqua" w:eastAsia="Book Antiqua" w:hAnsi="Book Antiqua" w:cs="Book Antiqua"/>
          <w:color w:val="000000"/>
        </w:rPr>
      </w:pPr>
      <w:r w:rsidRPr="00501A87">
        <w:rPr>
          <w:rFonts w:ascii="Book Antiqua" w:eastAsia="Book Antiqua" w:hAnsi="Book Antiqua" w:cs="Book Antiqua"/>
          <w:b/>
          <w:color w:val="000000"/>
        </w:rPr>
        <w:t xml:space="preserve">Manuscript source: </w:t>
      </w:r>
      <w:r w:rsidRPr="00501A87">
        <w:rPr>
          <w:rFonts w:ascii="Book Antiqua" w:eastAsia="Book Antiqua" w:hAnsi="Book Antiqua" w:cs="Book Antiqua"/>
          <w:color w:val="000000"/>
        </w:rPr>
        <w:t xml:space="preserve">Invited </w:t>
      </w:r>
      <w:r w:rsidR="006A369A" w:rsidRPr="00501A87">
        <w:rPr>
          <w:rFonts w:ascii="Book Antiqua" w:eastAsia="Book Antiqua" w:hAnsi="Book Antiqua" w:cs="Book Antiqua"/>
          <w:color w:val="000000"/>
        </w:rPr>
        <w:t>m</w:t>
      </w:r>
      <w:r w:rsidRPr="00501A87">
        <w:rPr>
          <w:rFonts w:ascii="Book Antiqua" w:eastAsia="Book Antiqua" w:hAnsi="Book Antiqua" w:cs="Book Antiqua"/>
          <w:color w:val="000000"/>
        </w:rPr>
        <w:t>anuscript</w:t>
      </w:r>
    </w:p>
    <w:p w14:paraId="55C41150" w14:textId="77777777" w:rsidR="006A369A" w:rsidRPr="00501A87" w:rsidRDefault="006A369A" w:rsidP="00501A87">
      <w:pPr>
        <w:spacing w:line="360" w:lineRule="auto"/>
        <w:jc w:val="both"/>
        <w:rPr>
          <w:rFonts w:ascii="Book Antiqua" w:hAnsi="Book Antiqua"/>
        </w:rPr>
      </w:pPr>
    </w:p>
    <w:p w14:paraId="1B32ACAA" w14:textId="34CD283D"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Corresponding Author's Membership in Professional Societies: </w:t>
      </w:r>
      <w:r w:rsidRPr="00501A87">
        <w:rPr>
          <w:rFonts w:ascii="Book Antiqua" w:eastAsia="Book Antiqua" w:hAnsi="Book Antiqua" w:cs="Book Antiqua"/>
          <w:color w:val="000000"/>
        </w:rPr>
        <w:t xml:space="preserve">American Gastroenterological Association; </w:t>
      </w:r>
      <w:r w:rsidR="00E753B1">
        <w:rPr>
          <w:rFonts w:ascii="Book Antiqua" w:eastAsia="Book Antiqua" w:hAnsi="Book Antiqua" w:cs="Book Antiqua"/>
          <w:color w:val="000000"/>
        </w:rPr>
        <w:t xml:space="preserve">and </w:t>
      </w:r>
      <w:r w:rsidRPr="00501A87">
        <w:rPr>
          <w:rFonts w:ascii="Book Antiqua" w:eastAsia="Book Antiqua" w:hAnsi="Book Antiqua" w:cs="Book Antiqua"/>
          <w:color w:val="000000"/>
        </w:rPr>
        <w:t>American Society for Gastrointestinal Endoscopy.</w:t>
      </w:r>
    </w:p>
    <w:p w14:paraId="0216C45D" w14:textId="77777777" w:rsidR="00A77B3E" w:rsidRPr="00501A87" w:rsidRDefault="00A77B3E" w:rsidP="00501A87">
      <w:pPr>
        <w:spacing w:line="360" w:lineRule="auto"/>
        <w:jc w:val="both"/>
        <w:rPr>
          <w:rFonts w:ascii="Book Antiqua" w:hAnsi="Book Antiqua"/>
        </w:rPr>
      </w:pPr>
    </w:p>
    <w:p w14:paraId="3E77C5A7"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Peer-review started: </w:t>
      </w:r>
      <w:r w:rsidRPr="00501A87">
        <w:rPr>
          <w:rFonts w:ascii="Book Antiqua" w:eastAsia="Book Antiqua" w:hAnsi="Book Antiqua" w:cs="Book Antiqua"/>
          <w:color w:val="000000"/>
        </w:rPr>
        <w:t>January 26, 2021</w:t>
      </w:r>
    </w:p>
    <w:p w14:paraId="13E67569"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First decision: </w:t>
      </w:r>
      <w:r w:rsidRPr="00501A87">
        <w:rPr>
          <w:rFonts w:ascii="Book Antiqua" w:eastAsia="Book Antiqua" w:hAnsi="Book Antiqua" w:cs="Book Antiqua"/>
          <w:color w:val="000000"/>
        </w:rPr>
        <w:t>March 7, 2021</w:t>
      </w:r>
    </w:p>
    <w:p w14:paraId="0B32EA2E" w14:textId="166637E1"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Article in press: </w:t>
      </w:r>
      <w:r w:rsidR="00496F21" w:rsidRPr="00167648">
        <w:rPr>
          <w:rFonts w:ascii="Book Antiqua" w:eastAsia="Book Antiqua" w:hAnsi="Book Antiqua" w:cs="Book Antiqua"/>
          <w:bCs/>
          <w:color w:val="000000"/>
        </w:rPr>
        <w:t>May 22, 2021</w:t>
      </w:r>
    </w:p>
    <w:p w14:paraId="3B4EA08E" w14:textId="77777777" w:rsidR="00A77B3E" w:rsidRPr="00501A87" w:rsidRDefault="00A77B3E" w:rsidP="00501A87">
      <w:pPr>
        <w:spacing w:line="360" w:lineRule="auto"/>
        <w:jc w:val="both"/>
        <w:rPr>
          <w:rFonts w:ascii="Book Antiqua" w:hAnsi="Book Antiqua"/>
        </w:rPr>
      </w:pPr>
    </w:p>
    <w:p w14:paraId="52724A1E" w14:textId="0808CDC0"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Specialty type: </w:t>
      </w:r>
      <w:r w:rsidRPr="00501A87">
        <w:rPr>
          <w:rFonts w:ascii="Book Antiqua" w:eastAsia="Book Antiqua" w:hAnsi="Book Antiqua" w:cs="Book Antiqua"/>
          <w:color w:val="000000"/>
        </w:rPr>
        <w:t xml:space="preserve">Gastroenterology and </w:t>
      </w:r>
      <w:r w:rsidR="006A369A" w:rsidRPr="00501A87">
        <w:rPr>
          <w:rFonts w:ascii="Book Antiqua" w:eastAsia="Book Antiqua" w:hAnsi="Book Antiqua" w:cs="Book Antiqua"/>
          <w:color w:val="000000"/>
        </w:rPr>
        <w:t>h</w:t>
      </w:r>
      <w:r w:rsidRPr="00501A87">
        <w:rPr>
          <w:rFonts w:ascii="Book Antiqua" w:eastAsia="Book Antiqua" w:hAnsi="Book Antiqua" w:cs="Book Antiqua"/>
          <w:color w:val="000000"/>
        </w:rPr>
        <w:t>epatology</w:t>
      </w:r>
    </w:p>
    <w:p w14:paraId="05923546"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Country/Territory of origin: </w:t>
      </w:r>
      <w:r w:rsidRPr="00501A87">
        <w:rPr>
          <w:rFonts w:ascii="Book Antiqua" w:eastAsia="Book Antiqua" w:hAnsi="Book Antiqua" w:cs="Book Antiqua"/>
          <w:color w:val="000000"/>
        </w:rPr>
        <w:t>United States</w:t>
      </w:r>
    </w:p>
    <w:p w14:paraId="55125FC6"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Peer-review report’s scientific quality classification</w:t>
      </w:r>
    </w:p>
    <w:p w14:paraId="3CF10240"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A (Excellent): 0</w:t>
      </w:r>
    </w:p>
    <w:p w14:paraId="04F02A7E"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B (Very good): 0</w:t>
      </w:r>
    </w:p>
    <w:p w14:paraId="0C9AE411" w14:textId="55DD3C30"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Grade C (Good): </w:t>
      </w:r>
      <w:r w:rsidR="009D6743" w:rsidRPr="00501A87">
        <w:rPr>
          <w:rFonts w:ascii="Book Antiqua" w:eastAsia="Book Antiqua" w:hAnsi="Book Antiqua" w:cs="Book Antiqua"/>
          <w:color w:val="000000"/>
        </w:rPr>
        <w:t>C</w:t>
      </w:r>
    </w:p>
    <w:p w14:paraId="2D2C0DCF"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D (Fair): D</w:t>
      </w:r>
    </w:p>
    <w:p w14:paraId="0E1A896E"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E (Poor): 0</w:t>
      </w:r>
    </w:p>
    <w:p w14:paraId="2B170286" w14:textId="77777777" w:rsidR="00A77B3E" w:rsidRPr="00501A87" w:rsidRDefault="00A77B3E" w:rsidP="00501A87">
      <w:pPr>
        <w:spacing w:line="360" w:lineRule="auto"/>
        <w:jc w:val="both"/>
        <w:rPr>
          <w:rFonts w:ascii="Book Antiqua" w:hAnsi="Book Antiqua"/>
        </w:rPr>
      </w:pPr>
    </w:p>
    <w:p w14:paraId="2CC8A60C" w14:textId="6A0DE0CA" w:rsidR="00A77B3E" w:rsidRPr="000046B7" w:rsidRDefault="008067B5" w:rsidP="00501A87">
      <w:pPr>
        <w:spacing w:line="360" w:lineRule="auto"/>
        <w:jc w:val="both"/>
        <w:rPr>
          <w:rFonts w:ascii="Book Antiqua" w:hAnsi="Book Antiqua" w:cs="Book Antiqua"/>
          <w:b/>
          <w:color w:val="000000"/>
          <w:lang w:eastAsia="zh-CN"/>
        </w:rPr>
      </w:pPr>
      <w:r w:rsidRPr="00501A87">
        <w:rPr>
          <w:rFonts w:ascii="Book Antiqua" w:eastAsia="Book Antiqua" w:hAnsi="Book Antiqua" w:cs="Book Antiqua"/>
          <w:b/>
          <w:color w:val="000000"/>
        </w:rPr>
        <w:t xml:space="preserve">P-Reviewer: </w:t>
      </w:r>
      <w:r w:rsidRPr="00501A87">
        <w:rPr>
          <w:rFonts w:ascii="Book Antiqua" w:eastAsia="Book Antiqua" w:hAnsi="Book Antiqua" w:cs="Book Antiqua"/>
          <w:color w:val="000000"/>
        </w:rPr>
        <w:t>Liu Y</w:t>
      </w:r>
      <w:r w:rsidRPr="00501A87">
        <w:rPr>
          <w:rFonts w:ascii="Book Antiqua" w:eastAsia="Book Antiqua" w:hAnsi="Book Antiqua" w:cs="Book Antiqua"/>
          <w:b/>
          <w:color w:val="000000"/>
        </w:rPr>
        <w:t xml:space="preserve"> S-Editor: </w:t>
      </w:r>
      <w:r w:rsidR="003424D0" w:rsidRPr="00501A87">
        <w:rPr>
          <w:rFonts w:ascii="Book Antiqua" w:eastAsia="Book Antiqua" w:hAnsi="Book Antiqua" w:cs="Book Antiqua"/>
          <w:color w:val="000000"/>
        </w:rPr>
        <w:t>F</w:t>
      </w:r>
      <w:r w:rsidRPr="00501A87">
        <w:rPr>
          <w:rFonts w:ascii="Book Antiqua" w:eastAsia="Book Antiqua" w:hAnsi="Book Antiqua" w:cs="Book Antiqua"/>
          <w:color w:val="000000"/>
        </w:rPr>
        <w:t>an J</w:t>
      </w:r>
      <w:r w:rsidR="003424D0" w:rsidRPr="00501A87">
        <w:rPr>
          <w:rFonts w:ascii="Book Antiqua" w:eastAsia="Book Antiqua" w:hAnsi="Book Antiqua" w:cs="Book Antiqua"/>
          <w:color w:val="000000"/>
        </w:rPr>
        <w:t>R</w:t>
      </w:r>
      <w:r w:rsidRPr="00501A87">
        <w:rPr>
          <w:rFonts w:ascii="Book Antiqua" w:eastAsia="Book Antiqua" w:hAnsi="Book Antiqua" w:cs="Book Antiqua"/>
          <w:b/>
          <w:color w:val="000000"/>
        </w:rPr>
        <w:t xml:space="preserve"> L-Editor: </w:t>
      </w:r>
      <w:r w:rsidR="000046B7" w:rsidRPr="000046B7">
        <w:rPr>
          <w:rFonts w:ascii="Book Antiqua" w:hAnsi="Book Antiqua" w:cs="Book Antiqua" w:hint="eastAsia"/>
          <w:color w:val="000000"/>
          <w:lang w:eastAsia="zh-CN"/>
        </w:rPr>
        <w:t>A</w:t>
      </w:r>
      <w:r w:rsidR="000046B7">
        <w:rPr>
          <w:rFonts w:ascii="Book Antiqua" w:hAnsi="Book Antiqua" w:cs="Book Antiqua" w:hint="eastAsia"/>
          <w:b/>
          <w:color w:val="000000"/>
          <w:lang w:eastAsia="zh-CN"/>
        </w:rPr>
        <w:t xml:space="preserve"> </w:t>
      </w:r>
      <w:r w:rsidRPr="00501A87">
        <w:rPr>
          <w:rFonts w:ascii="Book Antiqua" w:eastAsia="Book Antiqua" w:hAnsi="Book Antiqua" w:cs="Book Antiqua"/>
          <w:b/>
          <w:color w:val="000000"/>
        </w:rPr>
        <w:t xml:space="preserve">P-Editor: </w:t>
      </w:r>
      <w:r w:rsidR="000046B7" w:rsidRPr="000046B7">
        <w:rPr>
          <w:rFonts w:ascii="Book Antiqua" w:hAnsi="Book Antiqua" w:cs="Book Antiqua" w:hint="eastAsia"/>
          <w:color w:val="000000"/>
          <w:lang w:eastAsia="zh-CN"/>
        </w:rPr>
        <w:t>Liu JH</w:t>
      </w:r>
    </w:p>
    <w:p w14:paraId="70D432D3" w14:textId="62190A05" w:rsidR="006378F9" w:rsidRPr="00501A87" w:rsidRDefault="009A0361" w:rsidP="00501A87">
      <w:pPr>
        <w:spacing w:line="360" w:lineRule="auto"/>
        <w:jc w:val="both"/>
        <w:rPr>
          <w:rFonts w:ascii="Book Antiqua" w:eastAsia="Arial" w:hAnsi="Book Antiqua" w:cs="Arial"/>
          <w:b/>
        </w:rPr>
      </w:pPr>
      <w:r w:rsidRPr="00501A87">
        <w:rPr>
          <w:rFonts w:ascii="Book Antiqua" w:eastAsia="Book Antiqua" w:hAnsi="Book Antiqua" w:cs="Book Antiqua"/>
          <w:b/>
          <w:color w:val="000000"/>
        </w:rPr>
        <w:br w:type="page"/>
      </w:r>
      <w:r w:rsidR="006378F9" w:rsidRPr="00501A87">
        <w:rPr>
          <w:rFonts w:ascii="Book Antiqua" w:eastAsia="Arial" w:hAnsi="Book Antiqua" w:cs="Arial"/>
          <w:b/>
        </w:rPr>
        <w:t>Table 1 Studies addressing hepatitis B testing and diagnosis</w:t>
      </w:r>
    </w:p>
    <w:tbl>
      <w:tblPr>
        <w:tblW w:w="5000" w:type="pct"/>
        <w:tblBorders>
          <w:top w:val="single" w:sz="4" w:space="0" w:color="auto"/>
          <w:bottom w:val="single" w:sz="4" w:space="0" w:color="auto"/>
        </w:tblBorders>
        <w:tblLook w:val="0400" w:firstRow="0" w:lastRow="0" w:firstColumn="0" w:lastColumn="0" w:noHBand="0" w:noVBand="1"/>
      </w:tblPr>
      <w:tblGrid>
        <w:gridCol w:w="1526"/>
        <w:gridCol w:w="1701"/>
        <w:gridCol w:w="6349"/>
      </w:tblGrid>
      <w:tr w:rsidR="004C0004" w:rsidRPr="00501A87" w14:paraId="1957600F" w14:textId="77777777" w:rsidTr="00563EDD">
        <w:tc>
          <w:tcPr>
            <w:tcW w:w="797" w:type="pct"/>
            <w:tcBorders>
              <w:top w:val="single" w:sz="4" w:space="0" w:color="auto"/>
              <w:bottom w:val="single" w:sz="4" w:space="0" w:color="auto"/>
            </w:tcBorders>
            <w:shd w:val="clear" w:color="auto" w:fill="auto"/>
          </w:tcPr>
          <w:p w14:paraId="17AEB2AE" w14:textId="77777777" w:rsidR="004C0004" w:rsidRPr="00501A87" w:rsidRDefault="004C0004" w:rsidP="00501A87">
            <w:pPr>
              <w:spacing w:line="360" w:lineRule="auto"/>
              <w:jc w:val="both"/>
              <w:rPr>
                <w:rFonts w:ascii="Book Antiqua" w:eastAsia="Arial" w:hAnsi="Book Antiqua" w:cs="Arial"/>
                <w:b/>
              </w:rPr>
            </w:pPr>
            <w:r w:rsidRPr="00501A87">
              <w:rPr>
                <w:rFonts w:ascii="Book Antiqua" w:eastAsia="Arial" w:hAnsi="Book Antiqua" w:cs="Arial"/>
                <w:b/>
              </w:rPr>
              <w:t>Ref.</w:t>
            </w:r>
          </w:p>
        </w:tc>
        <w:tc>
          <w:tcPr>
            <w:tcW w:w="888" w:type="pct"/>
            <w:tcBorders>
              <w:top w:val="single" w:sz="4" w:space="0" w:color="auto"/>
              <w:bottom w:val="single" w:sz="4" w:space="0" w:color="auto"/>
            </w:tcBorders>
          </w:tcPr>
          <w:p w14:paraId="28C02B3C" w14:textId="5F419DCD" w:rsidR="004C0004" w:rsidRPr="004C0004" w:rsidRDefault="004C0004" w:rsidP="00501A87">
            <w:pPr>
              <w:spacing w:line="360" w:lineRule="auto"/>
              <w:jc w:val="both"/>
              <w:rPr>
                <w:rFonts w:ascii="Book Antiqua" w:eastAsia="Arial" w:hAnsi="Book Antiqua" w:cs="Arial"/>
                <w:bCs/>
              </w:rPr>
            </w:pPr>
            <w:r w:rsidRPr="004C0004">
              <w:rPr>
                <w:rFonts w:ascii="Book Antiqua" w:eastAsia="Arial" w:hAnsi="Book Antiqua" w:cs="Arial"/>
                <w:b/>
              </w:rPr>
              <w:t>Study type</w:t>
            </w:r>
          </w:p>
        </w:tc>
        <w:tc>
          <w:tcPr>
            <w:tcW w:w="3315" w:type="pct"/>
            <w:tcBorders>
              <w:top w:val="single" w:sz="4" w:space="0" w:color="auto"/>
              <w:bottom w:val="single" w:sz="4" w:space="0" w:color="auto"/>
            </w:tcBorders>
            <w:shd w:val="clear" w:color="auto" w:fill="auto"/>
          </w:tcPr>
          <w:p w14:paraId="24097196" w14:textId="1B0EFB02" w:rsidR="004C0004" w:rsidRPr="00501A87" w:rsidRDefault="004C0004" w:rsidP="00501A87">
            <w:pPr>
              <w:spacing w:line="360" w:lineRule="auto"/>
              <w:jc w:val="both"/>
              <w:rPr>
                <w:rFonts w:ascii="Book Antiqua" w:eastAsia="Arial" w:hAnsi="Book Antiqua" w:cs="Arial"/>
                <w:b/>
              </w:rPr>
            </w:pPr>
            <w:r w:rsidRPr="00501A87">
              <w:rPr>
                <w:rFonts w:ascii="Book Antiqua" w:eastAsia="Arial" w:hAnsi="Book Antiqua" w:cs="Arial"/>
                <w:b/>
              </w:rPr>
              <w:t>Findings</w:t>
            </w:r>
          </w:p>
        </w:tc>
      </w:tr>
      <w:tr w:rsidR="004C0004" w:rsidRPr="00501A87" w14:paraId="15EA36D1" w14:textId="77777777" w:rsidTr="00563EDD">
        <w:tc>
          <w:tcPr>
            <w:tcW w:w="797" w:type="pct"/>
            <w:vMerge w:val="restart"/>
            <w:tcBorders>
              <w:top w:val="single" w:sz="4" w:space="0" w:color="auto"/>
            </w:tcBorders>
            <w:shd w:val="clear" w:color="auto" w:fill="auto"/>
          </w:tcPr>
          <w:p w14:paraId="480CEDC0" w14:textId="77670F73"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Gao </w:t>
            </w:r>
            <w:r w:rsidRPr="00501A87">
              <w:rPr>
                <w:rFonts w:ascii="Book Antiqua" w:eastAsia="Arial" w:hAnsi="Book Antiqua" w:cs="Arial"/>
                <w:i/>
                <w:iCs/>
              </w:rPr>
              <w:t>et al</w:t>
            </w:r>
            <w:r w:rsidRPr="00501A87">
              <w:rPr>
                <w:rFonts w:ascii="Book Antiqua" w:eastAsia="Arial" w:hAnsi="Book Antiqua" w:cs="Arial"/>
                <w:vertAlign w:val="superscript"/>
              </w:rPr>
              <w:t>[32]</w:t>
            </w:r>
            <w:r w:rsidRPr="00501A87">
              <w:rPr>
                <w:rFonts w:ascii="Book Antiqua" w:eastAsia="Arial" w:hAnsi="Book Antiqua" w:cs="Arial"/>
              </w:rPr>
              <w:t>, 2017</w:t>
            </w:r>
          </w:p>
        </w:tc>
        <w:tc>
          <w:tcPr>
            <w:tcW w:w="888" w:type="pct"/>
            <w:tcBorders>
              <w:top w:val="single" w:sz="4" w:space="0" w:color="auto"/>
            </w:tcBorders>
          </w:tcPr>
          <w:p w14:paraId="1ECB1480" w14:textId="64276F2F"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rPr>
              <w:t>Prospective trial</w:t>
            </w:r>
          </w:p>
        </w:tc>
        <w:tc>
          <w:tcPr>
            <w:tcW w:w="3315" w:type="pct"/>
            <w:tcBorders>
              <w:top w:val="single" w:sz="4" w:space="0" w:color="auto"/>
            </w:tcBorders>
            <w:shd w:val="clear" w:color="auto" w:fill="auto"/>
          </w:tcPr>
          <w:p w14:paraId="3309B179" w14:textId="6F47566A"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color w:val="000000"/>
                <w:highlight w:val="white"/>
              </w:rPr>
              <w:t>Higher HBV RNA levels, in NA-treated patients are a predictor of response</w:t>
            </w:r>
          </w:p>
        </w:tc>
      </w:tr>
      <w:tr w:rsidR="004C0004" w:rsidRPr="00501A87" w14:paraId="4538D6EC" w14:textId="77777777" w:rsidTr="00563EDD">
        <w:tc>
          <w:tcPr>
            <w:tcW w:w="797" w:type="pct"/>
            <w:vMerge/>
            <w:shd w:val="clear" w:color="auto" w:fill="auto"/>
          </w:tcPr>
          <w:p w14:paraId="5545AAD2" w14:textId="77777777" w:rsidR="004C0004" w:rsidRPr="00501A87" w:rsidRDefault="004C0004" w:rsidP="00501A87">
            <w:pPr>
              <w:spacing w:line="360" w:lineRule="auto"/>
              <w:jc w:val="both"/>
              <w:rPr>
                <w:rFonts w:ascii="Book Antiqua" w:eastAsia="Arial" w:hAnsi="Book Antiqua" w:cs="Arial"/>
              </w:rPr>
            </w:pPr>
          </w:p>
        </w:tc>
        <w:tc>
          <w:tcPr>
            <w:tcW w:w="888" w:type="pct"/>
          </w:tcPr>
          <w:p w14:paraId="396C2D98" w14:textId="77777777"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p>
        </w:tc>
        <w:tc>
          <w:tcPr>
            <w:tcW w:w="3315" w:type="pct"/>
            <w:shd w:val="clear" w:color="auto" w:fill="auto"/>
          </w:tcPr>
          <w:p w14:paraId="6CB70B49" w14:textId="6FDE2CDE"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color w:val="000000"/>
                <w:highlight w:val="white"/>
              </w:rPr>
              <w:t xml:space="preserve">HBV RNA has a strong linear correlation with HBV DNA and </w:t>
            </w: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sAg</w:t>
            </w:r>
            <w:r w:rsidRPr="00501A87">
              <w:rPr>
                <w:rFonts w:ascii="Book Antiqua" w:eastAsia="Arial" w:hAnsi="Book Antiqua" w:cs="Arial"/>
                <w:color w:val="000000"/>
                <w:highlight w:val="white"/>
              </w:rPr>
              <w:t xml:space="preserve"> titer</w:t>
            </w:r>
          </w:p>
        </w:tc>
      </w:tr>
      <w:tr w:rsidR="004C0004" w:rsidRPr="00501A87" w14:paraId="2961BF19" w14:textId="77777777" w:rsidTr="00563EDD">
        <w:tc>
          <w:tcPr>
            <w:tcW w:w="797" w:type="pct"/>
            <w:vMerge/>
            <w:shd w:val="clear" w:color="auto" w:fill="auto"/>
          </w:tcPr>
          <w:p w14:paraId="3099E8B0" w14:textId="77777777" w:rsidR="004C0004" w:rsidRPr="00501A87" w:rsidRDefault="004C0004" w:rsidP="00501A87">
            <w:pPr>
              <w:spacing w:line="360" w:lineRule="auto"/>
              <w:jc w:val="both"/>
              <w:rPr>
                <w:rFonts w:ascii="Book Antiqua" w:eastAsia="Arial" w:hAnsi="Book Antiqua" w:cs="Arial"/>
              </w:rPr>
            </w:pPr>
          </w:p>
        </w:tc>
        <w:tc>
          <w:tcPr>
            <w:tcW w:w="888" w:type="pct"/>
          </w:tcPr>
          <w:p w14:paraId="47AFDBE1" w14:textId="77777777"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rPr>
            </w:pPr>
          </w:p>
        </w:tc>
        <w:tc>
          <w:tcPr>
            <w:tcW w:w="3315" w:type="pct"/>
            <w:shd w:val="clear" w:color="auto" w:fill="auto"/>
          </w:tcPr>
          <w:p w14:paraId="1B807052" w14:textId="061DFE42"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w:t>
            </w:r>
            <w:r w:rsidRPr="00501A87">
              <w:rPr>
                <w:rFonts w:ascii="Book Antiqua" w:eastAsia="Arial" w:hAnsi="Book Antiqua" w:cs="Arial"/>
                <w:color w:val="000000"/>
                <w:highlight w:val="white"/>
              </w:rPr>
              <w:t xml:space="preserve"> and HBV RNA can predict long-term off-therapy HBV virological control in NA-treated patients</w:t>
            </w:r>
          </w:p>
        </w:tc>
      </w:tr>
      <w:tr w:rsidR="004C0004" w:rsidRPr="00501A87" w14:paraId="04714E31" w14:textId="77777777" w:rsidTr="00563EDD">
        <w:tc>
          <w:tcPr>
            <w:tcW w:w="797" w:type="pct"/>
            <w:shd w:val="clear" w:color="auto" w:fill="auto"/>
          </w:tcPr>
          <w:p w14:paraId="25ECFC99" w14:textId="65D6F519"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Zhang </w:t>
            </w:r>
            <w:r w:rsidRPr="00501A87">
              <w:rPr>
                <w:rFonts w:ascii="Book Antiqua" w:eastAsia="Arial" w:hAnsi="Book Antiqua" w:cs="Arial"/>
                <w:i/>
                <w:iCs/>
              </w:rPr>
              <w:t>et al</w:t>
            </w:r>
            <w:r w:rsidRPr="00501A87">
              <w:rPr>
                <w:rFonts w:ascii="Book Antiqua" w:eastAsia="Arial" w:hAnsi="Book Antiqua" w:cs="Arial"/>
                <w:vertAlign w:val="superscript"/>
              </w:rPr>
              <w:t>[1</w:t>
            </w:r>
            <w:r>
              <w:rPr>
                <w:rFonts w:ascii="Book Antiqua" w:eastAsia="Arial" w:hAnsi="Book Antiqua" w:cs="Arial"/>
                <w:vertAlign w:val="superscript"/>
              </w:rPr>
              <w:t>4</w:t>
            </w:r>
            <w:r w:rsidRPr="00501A87">
              <w:rPr>
                <w:rFonts w:ascii="Book Antiqua" w:eastAsia="Arial" w:hAnsi="Book Antiqua" w:cs="Arial"/>
                <w:vertAlign w:val="superscript"/>
              </w:rPr>
              <w:t>]</w:t>
            </w:r>
            <w:r w:rsidRPr="00501A87">
              <w:rPr>
                <w:rFonts w:ascii="Book Antiqua" w:eastAsia="Arial" w:hAnsi="Book Antiqua" w:cs="Arial"/>
              </w:rPr>
              <w:t>, 2018</w:t>
            </w:r>
          </w:p>
        </w:tc>
        <w:tc>
          <w:tcPr>
            <w:tcW w:w="888" w:type="pct"/>
          </w:tcPr>
          <w:p w14:paraId="672D613F" w14:textId="0285BF64"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color w:val="1C1D1E"/>
                <w:highlight w:val="white"/>
              </w:rPr>
              <w:t>Randomized, controlled, double</w:t>
            </w:r>
            <w:r w:rsidRPr="00501A87">
              <w:rPr>
                <w:rFonts w:ascii="Book Antiqua" w:eastAsia="宋体" w:hAnsi="Book Antiqua" w:cs="宋体"/>
                <w:color w:val="1C1D1E"/>
                <w:highlight w:val="white"/>
                <w:lang w:eastAsia="zh-CN"/>
              </w:rPr>
              <w:t>-</w:t>
            </w:r>
            <w:r w:rsidRPr="00501A87">
              <w:rPr>
                <w:rFonts w:ascii="Book Antiqua" w:eastAsia="Arial" w:hAnsi="Book Antiqua" w:cs="Arial"/>
                <w:color w:val="1C1D1E"/>
                <w:highlight w:val="white"/>
              </w:rPr>
              <w:t>blind clinical trial</w:t>
            </w:r>
          </w:p>
        </w:tc>
        <w:tc>
          <w:tcPr>
            <w:tcW w:w="3315" w:type="pct"/>
            <w:shd w:val="clear" w:color="auto" w:fill="auto"/>
          </w:tcPr>
          <w:p w14:paraId="0FA33D3F" w14:textId="40931F87"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titers were significantly higher (</w:t>
            </w:r>
            <w:r w:rsidRPr="00501A87">
              <w:rPr>
                <w:rFonts w:ascii="Book Antiqua" w:eastAsia="Arial" w:hAnsi="Book Antiqua" w:cs="Arial"/>
                <w:i/>
                <w:iCs/>
              </w:rPr>
              <w:t>P</w:t>
            </w:r>
            <w:r w:rsidRPr="00501A87">
              <w:rPr>
                <w:rFonts w:ascii="Book Antiqua" w:eastAsia="Arial" w:hAnsi="Book Antiqua" w:cs="Arial"/>
              </w:rPr>
              <w:t xml:space="preserve"> &lt; 0.0001) in patients with HBeAg positive HBV. H</w:t>
            </w:r>
            <w:r>
              <w:rPr>
                <w:rFonts w:ascii="Book Antiqua" w:eastAsia="Arial" w:hAnsi="Book Antiqua" w:cs="Arial"/>
              </w:rPr>
              <w:t>B</w:t>
            </w:r>
            <w:r w:rsidRPr="00501A87">
              <w:rPr>
                <w:rFonts w:ascii="Book Antiqua" w:eastAsia="Arial" w:hAnsi="Book Antiqua" w:cs="Arial"/>
              </w:rPr>
              <w:t>sAg titers were directly proportional to necro-inflammatory activity, and inversely proportional to fibrosis</w:t>
            </w:r>
          </w:p>
        </w:tc>
      </w:tr>
      <w:tr w:rsidR="004C0004" w:rsidRPr="00501A87" w14:paraId="34C2D8A6" w14:textId="77777777" w:rsidTr="00563EDD">
        <w:tc>
          <w:tcPr>
            <w:tcW w:w="797" w:type="pct"/>
            <w:shd w:val="clear" w:color="auto" w:fill="auto"/>
          </w:tcPr>
          <w:p w14:paraId="09D1590A" w14:textId="553C4464"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Walsh </w:t>
            </w:r>
            <w:r w:rsidRPr="00501A87">
              <w:rPr>
                <w:rFonts w:ascii="Book Antiqua" w:eastAsia="Arial" w:hAnsi="Book Antiqua" w:cs="Arial"/>
                <w:i/>
                <w:iCs/>
              </w:rPr>
              <w:t>et al</w:t>
            </w:r>
            <w:r w:rsidRPr="00501A87">
              <w:rPr>
                <w:rFonts w:ascii="Book Antiqua" w:eastAsia="Arial" w:hAnsi="Book Antiqua" w:cs="Arial"/>
                <w:vertAlign w:val="superscript"/>
              </w:rPr>
              <w:t>[1</w:t>
            </w:r>
            <w:r>
              <w:rPr>
                <w:rFonts w:ascii="Book Antiqua" w:eastAsia="Arial" w:hAnsi="Book Antiqua" w:cs="Arial"/>
                <w:vertAlign w:val="superscript"/>
              </w:rPr>
              <w:t>5</w:t>
            </w:r>
            <w:r w:rsidRPr="00501A87">
              <w:rPr>
                <w:rFonts w:ascii="Book Antiqua" w:eastAsia="Arial" w:hAnsi="Book Antiqua" w:cs="Arial"/>
                <w:vertAlign w:val="superscript"/>
              </w:rPr>
              <w:t>]</w:t>
            </w:r>
            <w:r w:rsidRPr="00501A87">
              <w:rPr>
                <w:rFonts w:ascii="Book Antiqua" w:eastAsia="Arial" w:hAnsi="Book Antiqua" w:cs="Arial"/>
              </w:rPr>
              <w:t>, 2019</w:t>
            </w:r>
            <w:r w:rsidRPr="00501A87">
              <w:rPr>
                <w:rFonts w:ascii="Book Antiqua" w:hAnsi="Book Antiqua" w:cs="Arial"/>
                <w:vertAlign w:val="superscript"/>
                <w:lang w:eastAsia="zh-CN"/>
              </w:rPr>
              <w:t xml:space="preserve"> </w:t>
            </w:r>
          </w:p>
        </w:tc>
        <w:tc>
          <w:tcPr>
            <w:tcW w:w="888" w:type="pct"/>
          </w:tcPr>
          <w:p w14:paraId="26501BA7" w14:textId="04188108"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315" w:type="pct"/>
            <w:shd w:val="clear" w:color="auto" w:fill="auto"/>
          </w:tcPr>
          <w:p w14:paraId="3F5180B1" w14:textId="52F89A9B"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HBsAg clearance profile has positive association with H</w:t>
            </w:r>
            <w:r>
              <w:rPr>
                <w:rFonts w:ascii="Book Antiqua" w:eastAsia="Arial" w:hAnsi="Book Antiqua" w:cs="Arial"/>
              </w:rPr>
              <w:t>B</w:t>
            </w:r>
            <w:r w:rsidRPr="00501A87">
              <w:rPr>
                <w:rFonts w:ascii="Book Antiqua" w:eastAsia="Arial" w:hAnsi="Book Antiqua" w:cs="Arial"/>
              </w:rPr>
              <w:t>sAg loss, seroconversion, and response to treatment in patients treated chronically with Adefovir or Tenofovir</w:t>
            </w:r>
          </w:p>
        </w:tc>
      </w:tr>
      <w:tr w:rsidR="004C0004" w:rsidRPr="00501A87" w14:paraId="40F46807" w14:textId="77777777" w:rsidTr="00563EDD">
        <w:tc>
          <w:tcPr>
            <w:tcW w:w="797" w:type="pct"/>
            <w:shd w:val="clear" w:color="auto" w:fill="auto"/>
          </w:tcPr>
          <w:p w14:paraId="31FE23AF" w14:textId="66EEE399"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Chang </w:t>
            </w:r>
            <w:r w:rsidRPr="00501A87">
              <w:rPr>
                <w:rFonts w:ascii="Book Antiqua" w:eastAsia="Arial" w:hAnsi="Book Antiqua" w:cs="Arial"/>
                <w:i/>
                <w:iCs/>
              </w:rPr>
              <w:t>et al</w:t>
            </w:r>
            <w:r w:rsidRPr="00501A87">
              <w:rPr>
                <w:rFonts w:ascii="Book Antiqua" w:eastAsia="Arial" w:hAnsi="Book Antiqua" w:cs="Arial"/>
                <w:vertAlign w:val="superscript"/>
              </w:rPr>
              <w:t>[3</w:t>
            </w:r>
            <w:r>
              <w:rPr>
                <w:rFonts w:ascii="Book Antiqua" w:eastAsia="Arial" w:hAnsi="Book Antiqua" w:cs="Arial"/>
                <w:vertAlign w:val="superscript"/>
              </w:rPr>
              <w:t>4</w:t>
            </w:r>
            <w:r w:rsidRPr="00501A87">
              <w:rPr>
                <w:rFonts w:ascii="Book Antiqua" w:eastAsia="Arial" w:hAnsi="Book Antiqua" w:cs="Arial"/>
                <w:vertAlign w:val="superscript"/>
              </w:rPr>
              <w:t>]</w:t>
            </w:r>
            <w:r w:rsidRPr="00501A87">
              <w:rPr>
                <w:rFonts w:ascii="Book Antiqua" w:eastAsia="Arial" w:hAnsi="Book Antiqua" w:cs="Arial"/>
              </w:rPr>
              <w:t>, 2019</w:t>
            </w:r>
          </w:p>
        </w:tc>
        <w:tc>
          <w:tcPr>
            <w:tcW w:w="888" w:type="pct"/>
          </w:tcPr>
          <w:p w14:paraId="747E2554" w14:textId="122DC5CA"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315" w:type="pct"/>
            <w:shd w:val="clear" w:color="auto" w:fill="auto"/>
          </w:tcPr>
          <w:p w14:paraId="7DABC012" w14:textId="6A41AC5C"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levels reflect liver parenchymal fibrosis progression, and have utility in monitoring hepatic histological changes</w:t>
            </w:r>
          </w:p>
        </w:tc>
      </w:tr>
      <w:tr w:rsidR="004C0004" w:rsidRPr="00501A87" w14:paraId="37911C77" w14:textId="77777777" w:rsidTr="00563EDD">
        <w:tc>
          <w:tcPr>
            <w:tcW w:w="797" w:type="pct"/>
            <w:shd w:val="clear" w:color="auto" w:fill="auto"/>
          </w:tcPr>
          <w:p w14:paraId="7B47A730" w14:textId="743122C7"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Liao </w:t>
            </w:r>
            <w:r w:rsidRPr="00501A87">
              <w:rPr>
                <w:rFonts w:ascii="Book Antiqua" w:eastAsia="Arial" w:hAnsi="Book Antiqua" w:cs="Arial"/>
                <w:i/>
                <w:iCs/>
              </w:rPr>
              <w:t>et al</w:t>
            </w:r>
            <w:r w:rsidRPr="00501A87">
              <w:rPr>
                <w:rFonts w:ascii="Book Antiqua" w:eastAsia="Arial" w:hAnsi="Book Antiqua" w:cs="Arial"/>
                <w:vertAlign w:val="superscript"/>
              </w:rPr>
              <w:t>[3</w:t>
            </w:r>
            <w:r>
              <w:rPr>
                <w:rFonts w:ascii="Book Antiqua" w:eastAsia="Arial" w:hAnsi="Book Antiqua" w:cs="Arial"/>
                <w:vertAlign w:val="superscript"/>
              </w:rPr>
              <w:t>5</w:t>
            </w:r>
            <w:r w:rsidRPr="00501A87">
              <w:rPr>
                <w:rFonts w:ascii="Book Antiqua" w:eastAsia="Arial" w:hAnsi="Book Antiqua" w:cs="Arial"/>
                <w:vertAlign w:val="superscript"/>
              </w:rPr>
              <w:t>]</w:t>
            </w:r>
            <w:r w:rsidRPr="00501A87">
              <w:rPr>
                <w:rFonts w:ascii="Book Antiqua" w:eastAsia="Arial" w:hAnsi="Book Antiqua" w:cs="Arial"/>
              </w:rPr>
              <w:t>, 2019</w:t>
            </w:r>
          </w:p>
        </w:tc>
        <w:tc>
          <w:tcPr>
            <w:tcW w:w="888" w:type="pct"/>
          </w:tcPr>
          <w:p w14:paraId="703410B2" w14:textId="560565BC"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315" w:type="pct"/>
            <w:shd w:val="clear" w:color="auto" w:fill="auto"/>
          </w:tcPr>
          <w:p w14:paraId="06E5C3B1" w14:textId="266AF48A"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Demonstrated utility of monitoring HBV RNA and H</w:t>
            </w:r>
            <w:r>
              <w:rPr>
                <w:rFonts w:ascii="Book Antiqua" w:eastAsia="Arial" w:hAnsi="Book Antiqua" w:cs="Arial"/>
              </w:rPr>
              <w:t>B</w:t>
            </w:r>
            <w:r w:rsidRPr="00501A87">
              <w:rPr>
                <w:rFonts w:ascii="Book Antiqua" w:eastAsia="Arial" w:hAnsi="Book Antiqua" w:cs="Arial"/>
              </w:rPr>
              <w:t>crAg levels for NA-treated patients with undetectable HBV DNA</w:t>
            </w:r>
          </w:p>
        </w:tc>
      </w:tr>
      <w:tr w:rsidR="004C0004" w:rsidRPr="00501A87" w14:paraId="6BA3E71E" w14:textId="77777777" w:rsidTr="00563EDD">
        <w:tc>
          <w:tcPr>
            <w:tcW w:w="797" w:type="pct"/>
            <w:vMerge w:val="restart"/>
            <w:shd w:val="clear" w:color="auto" w:fill="auto"/>
          </w:tcPr>
          <w:p w14:paraId="54FDDFCA" w14:textId="6F5C5B5D"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Multiple authors</w:t>
            </w:r>
          </w:p>
        </w:tc>
        <w:tc>
          <w:tcPr>
            <w:tcW w:w="888" w:type="pct"/>
          </w:tcPr>
          <w:p w14:paraId="52EA5853" w14:textId="4529F180"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Prior Studies</w:t>
            </w:r>
          </w:p>
        </w:tc>
        <w:tc>
          <w:tcPr>
            <w:tcW w:w="3315" w:type="pct"/>
            <w:shd w:val="clear" w:color="auto" w:fill="auto"/>
          </w:tcPr>
          <w:p w14:paraId="2A7F2B11" w14:textId="18717035" w:rsidR="004C0004" w:rsidRPr="00501A87" w:rsidRDefault="004C0004" w:rsidP="00501A87">
            <w:pPr>
              <w:spacing w:line="360" w:lineRule="auto"/>
              <w:jc w:val="both"/>
              <w:rPr>
                <w:rFonts w:ascii="Book Antiqua" w:eastAsia="Arial" w:hAnsi="Book Antiqua" w:cs="Arial"/>
                <w:color w:val="000000"/>
                <w:vertAlign w:val="superscript"/>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has a superior correlation to the decline in HBV DNA levels with anti-viral therapies, and with intrahepatic HBV cccDNA levels</w:t>
            </w:r>
            <w:hyperlink r:id="rId175">
              <w:r w:rsidRPr="00501A87">
                <w:rPr>
                  <w:rFonts w:ascii="Book Antiqua" w:eastAsia="Arial" w:hAnsi="Book Antiqua" w:cs="Arial"/>
                  <w:color w:val="000000"/>
                  <w:vertAlign w:val="superscript"/>
                </w:rPr>
                <w:t>[20–23]</w:t>
              </w:r>
            </w:hyperlink>
          </w:p>
        </w:tc>
      </w:tr>
      <w:tr w:rsidR="004C0004" w:rsidRPr="00501A87" w14:paraId="42AA53A5" w14:textId="77777777" w:rsidTr="00563EDD">
        <w:tc>
          <w:tcPr>
            <w:tcW w:w="797" w:type="pct"/>
            <w:vMerge/>
            <w:shd w:val="clear" w:color="auto" w:fill="auto"/>
          </w:tcPr>
          <w:p w14:paraId="09E64FBB" w14:textId="77777777" w:rsidR="004C0004" w:rsidRPr="00501A87" w:rsidRDefault="004C0004" w:rsidP="00501A87">
            <w:pPr>
              <w:widowControl w:val="0"/>
              <w:pBdr>
                <w:top w:val="nil"/>
                <w:left w:val="nil"/>
                <w:bottom w:val="nil"/>
                <w:right w:val="nil"/>
                <w:between w:val="nil"/>
              </w:pBdr>
              <w:spacing w:line="360" w:lineRule="auto"/>
              <w:jc w:val="both"/>
              <w:rPr>
                <w:rFonts w:ascii="Book Antiqua" w:eastAsia="Arial" w:hAnsi="Book Antiqua" w:cs="Arial"/>
                <w:color w:val="000000"/>
                <w:vertAlign w:val="superscript"/>
              </w:rPr>
            </w:pPr>
          </w:p>
        </w:tc>
        <w:tc>
          <w:tcPr>
            <w:tcW w:w="888" w:type="pct"/>
          </w:tcPr>
          <w:p w14:paraId="7C17FD72" w14:textId="77777777" w:rsidR="004C0004" w:rsidRPr="00501A87" w:rsidRDefault="004C0004" w:rsidP="00501A87">
            <w:pPr>
              <w:spacing w:line="360" w:lineRule="auto"/>
              <w:jc w:val="both"/>
              <w:rPr>
                <w:rFonts w:ascii="Book Antiqua" w:eastAsia="Arial" w:hAnsi="Book Antiqua" w:cs="Arial"/>
              </w:rPr>
            </w:pPr>
          </w:p>
        </w:tc>
        <w:tc>
          <w:tcPr>
            <w:tcW w:w="3315" w:type="pct"/>
            <w:shd w:val="clear" w:color="auto" w:fill="auto"/>
          </w:tcPr>
          <w:p w14:paraId="638D66B7" w14:textId="034B5567" w:rsidR="004C0004" w:rsidRPr="00501A87" w:rsidRDefault="004C0004" w:rsidP="00501A87">
            <w:pPr>
              <w:spacing w:line="360" w:lineRule="auto"/>
              <w:jc w:val="both"/>
              <w:rPr>
                <w:rFonts w:ascii="Book Antiqua" w:eastAsia="Arial" w:hAnsi="Book Antiqua" w:cs="Arial"/>
                <w:color w:val="000000"/>
                <w:vertAlign w:val="superscript"/>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can predict HBV reactivation in immunosuppressed individuals and the development of Hepatocellular Carcinoma</w:t>
            </w:r>
            <w:hyperlink r:id="rId176">
              <w:r w:rsidRPr="00501A87">
                <w:rPr>
                  <w:rFonts w:ascii="Book Antiqua" w:eastAsia="Arial" w:hAnsi="Book Antiqua" w:cs="Arial"/>
                  <w:color w:val="000000"/>
                  <w:vertAlign w:val="superscript"/>
                </w:rPr>
                <w:t>[24–28]</w:t>
              </w:r>
            </w:hyperlink>
          </w:p>
        </w:tc>
      </w:tr>
      <w:tr w:rsidR="004C0004" w:rsidRPr="00501A87" w14:paraId="6F481F60" w14:textId="77777777" w:rsidTr="00563EDD">
        <w:tc>
          <w:tcPr>
            <w:tcW w:w="797" w:type="pct"/>
            <w:vMerge/>
            <w:shd w:val="clear" w:color="auto" w:fill="auto"/>
          </w:tcPr>
          <w:p w14:paraId="1B57C0A1" w14:textId="77777777" w:rsidR="004C0004" w:rsidRPr="00501A87" w:rsidRDefault="004C0004" w:rsidP="00501A87">
            <w:pPr>
              <w:widowControl w:val="0"/>
              <w:pBdr>
                <w:top w:val="nil"/>
                <w:left w:val="nil"/>
                <w:bottom w:val="nil"/>
                <w:right w:val="nil"/>
                <w:between w:val="nil"/>
              </w:pBdr>
              <w:spacing w:line="360" w:lineRule="auto"/>
              <w:jc w:val="both"/>
              <w:rPr>
                <w:rFonts w:ascii="Book Antiqua" w:eastAsia="Arial" w:hAnsi="Book Antiqua" w:cs="Arial"/>
                <w:color w:val="000000"/>
                <w:vertAlign w:val="superscript"/>
              </w:rPr>
            </w:pPr>
          </w:p>
        </w:tc>
        <w:tc>
          <w:tcPr>
            <w:tcW w:w="888" w:type="pct"/>
          </w:tcPr>
          <w:p w14:paraId="54C33128" w14:textId="77777777" w:rsidR="004C0004" w:rsidRPr="00501A87" w:rsidRDefault="004C0004" w:rsidP="00501A87">
            <w:pPr>
              <w:spacing w:line="360" w:lineRule="auto"/>
              <w:jc w:val="both"/>
              <w:rPr>
                <w:rFonts w:ascii="Book Antiqua" w:eastAsia="Arial" w:hAnsi="Book Antiqua" w:cs="Arial"/>
                <w:highlight w:val="white"/>
              </w:rPr>
            </w:pPr>
          </w:p>
        </w:tc>
        <w:tc>
          <w:tcPr>
            <w:tcW w:w="3315" w:type="pct"/>
            <w:shd w:val="clear" w:color="auto" w:fill="auto"/>
          </w:tcPr>
          <w:p w14:paraId="1085923E" w14:textId="3F6304FD"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highlight w:val="white"/>
              </w:rPr>
              <w:t xml:space="preserve">HBV RNA is a pregenomic RNA containing virion that has a similar profile to </w:t>
            </w: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w:t>
            </w:r>
            <w:hyperlink r:id="rId177">
              <w:r w:rsidRPr="00501A87">
                <w:rPr>
                  <w:rFonts w:ascii="Book Antiqua" w:eastAsia="Arial" w:hAnsi="Book Antiqua" w:cs="Arial"/>
                  <w:color w:val="000000"/>
                  <w:highlight w:val="white"/>
                  <w:vertAlign w:val="superscript"/>
                </w:rPr>
                <w:t>[16]</w:t>
              </w:r>
            </w:hyperlink>
            <w:r w:rsidRPr="00501A87">
              <w:rPr>
                <w:rFonts w:ascii="Book Antiqua" w:eastAsia="Arial" w:hAnsi="Book Antiqua" w:cs="Arial"/>
                <w:highlight w:val="white"/>
              </w:rPr>
              <w:t>. Treatment naïve patients with CHB have lower (1-2 logs lower) serum levels of HBV RNA compared to HBV DNA</w:t>
            </w:r>
            <w:hyperlink r:id="rId178">
              <w:r w:rsidRPr="00501A87">
                <w:rPr>
                  <w:rFonts w:ascii="Book Antiqua" w:eastAsia="Arial" w:hAnsi="Book Antiqua" w:cs="Arial"/>
                  <w:color w:val="000000"/>
                  <w:vertAlign w:val="superscript"/>
                </w:rPr>
                <w:t>[29,30]</w:t>
              </w:r>
            </w:hyperlink>
          </w:p>
        </w:tc>
      </w:tr>
    </w:tbl>
    <w:p w14:paraId="575E96B6" w14:textId="779E5338" w:rsidR="003424D0" w:rsidRPr="00501A87" w:rsidRDefault="006378F9" w:rsidP="00501A87">
      <w:pPr>
        <w:spacing w:line="360" w:lineRule="auto"/>
        <w:jc w:val="both"/>
        <w:rPr>
          <w:rFonts w:ascii="Book Antiqua" w:eastAsia="Arial" w:hAnsi="Book Antiqua" w:cs="Arial"/>
        </w:rPr>
      </w:pPr>
      <w:r w:rsidRPr="00501A87">
        <w:rPr>
          <w:rFonts w:ascii="Book Antiqua" w:eastAsia="Arial" w:hAnsi="Book Antiqua" w:cs="Arial"/>
        </w:rPr>
        <w:t>H</w:t>
      </w:r>
      <w:r w:rsidR="00961AF6">
        <w:rPr>
          <w:rFonts w:ascii="Book Antiqua" w:eastAsia="Arial" w:hAnsi="Book Antiqua" w:cs="Arial"/>
        </w:rPr>
        <w:t>B</w:t>
      </w:r>
      <w:r w:rsidRPr="00501A87">
        <w:rPr>
          <w:rFonts w:ascii="Book Antiqua" w:eastAsia="Arial" w:hAnsi="Book Antiqua" w:cs="Arial"/>
        </w:rPr>
        <w:t>sAg: Hepatitis B surface antigen; H</w:t>
      </w:r>
      <w:r w:rsidR="00961AF6">
        <w:rPr>
          <w:rFonts w:ascii="Book Antiqua" w:eastAsia="Arial" w:hAnsi="Book Antiqua" w:cs="Arial"/>
        </w:rPr>
        <w:t>B</w:t>
      </w:r>
      <w:r w:rsidRPr="00501A87">
        <w:rPr>
          <w:rFonts w:ascii="Book Antiqua" w:eastAsia="Arial" w:hAnsi="Book Antiqua" w:cs="Arial"/>
        </w:rPr>
        <w:t xml:space="preserve">eAg: Hepatitis B e antigen; ALT: Alanine aminotransferase; NA: Nucleos(t)ide </w:t>
      </w:r>
      <w:r w:rsidR="007468BA">
        <w:rPr>
          <w:rFonts w:ascii="Book Antiqua" w:eastAsia="Arial" w:hAnsi="Book Antiqua" w:cs="Arial"/>
        </w:rPr>
        <w:t>a</w:t>
      </w:r>
      <w:r w:rsidRPr="00501A87">
        <w:rPr>
          <w:rFonts w:ascii="Book Antiqua" w:eastAsia="Arial" w:hAnsi="Book Antiqua" w:cs="Arial"/>
        </w:rPr>
        <w:t>nalogs; HBV: Hepatitis B virus; H</w:t>
      </w:r>
      <w:r w:rsidR="00961AF6">
        <w:rPr>
          <w:rFonts w:ascii="Book Antiqua" w:eastAsia="Arial" w:hAnsi="Book Antiqua" w:cs="Arial"/>
        </w:rPr>
        <w:t>B</w:t>
      </w:r>
      <w:r w:rsidRPr="00501A87">
        <w:rPr>
          <w:rFonts w:ascii="Book Antiqua" w:eastAsia="Arial" w:hAnsi="Book Antiqua" w:cs="Arial"/>
        </w:rPr>
        <w:t>crAg: Hepatitis b core-related antigen; cccDNA: Covalently closed circular DNA; CHB: Chronic Hepatitis B.</w:t>
      </w:r>
    </w:p>
    <w:p w14:paraId="423037C9" w14:textId="77777777" w:rsidR="00BB58DB" w:rsidRPr="00501A87" w:rsidRDefault="00BB58DB" w:rsidP="00501A87">
      <w:pPr>
        <w:spacing w:line="360" w:lineRule="auto"/>
        <w:jc w:val="both"/>
        <w:rPr>
          <w:rFonts w:ascii="Book Antiqua" w:eastAsia="Arial" w:hAnsi="Book Antiqua" w:cs="Arial"/>
          <w:b/>
        </w:rPr>
      </w:pPr>
      <w:r w:rsidRPr="00501A87">
        <w:rPr>
          <w:rFonts w:ascii="Book Antiqua" w:eastAsia="Arial" w:hAnsi="Book Antiqua" w:cs="Arial"/>
        </w:rPr>
        <w:br w:type="page"/>
      </w:r>
      <w:r w:rsidRPr="00501A87">
        <w:rPr>
          <w:rFonts w:ascii="Book Antiqua" w:eastAsia="Arial" w:hAnsi="Book Antiqua" w:cs="Arial"/>
          <w:b/>
        </w:rPr>
        <w:t>Table 2 Studies addressing hepatitis B vaccination strategies</w:t>
      </w:r>
    </w:p>
    <w:tbl>
      <w:tblPr>
        <w:tblW w:w="5000" w:type="pct"/>
        <w:tblBorders>
          <w:top w:val="single" w:sz="4" w:space="0" w:color="auto"/>
          <w:bottom w:val="single" w:sz="4" w:space="0" w:color="auto"/>
        </w:tblBorders>
        <w:tblLook w:val="0400" w:firstRow="0" w:lastRow="0" w:firstColumn="0" w:lastColumn="0" w:noHBand="0" w:noVBand="1"/>
      </w:tblPr>
      <w:tblGrid>
        <w:gridCol w:w="1839"/>
        <w:gridCol w:w="1577"/>
        <w:gridCol w:w="6160"/>
      </w:tblGrid>
      <w:tr w:rsidR="00C64861" w:rsidRPr="00501A87" w14:paraId="4EF7BC46" w14:textId="77777777" w:rsidTr="00DC3098">
        <w:tc>
          <w:tcPr>
            <w:tcW w:w="960" w:type="pct"/>
            <w:tcBorders>
              <w:top w:val="single" w:sz="4" w:space="0" w:color="auto"/>
              <w:bottom w:val="single" w:sz="4" w:space="0" w:color="auto"/>
            </w:tcBorders>
            <w:shd w:val="clear" w:color="auto" w:fill="auto"/>
          </w:tcPr>
          <w:p w14:paraId="4ED8EA7E" w14:textId="77777777" w:rsidR="00C64861" w:rsidRPr="00501A87" w:rsidRDefault="00C64861" w:rsidP="00501A87">
            <w:pPr>
              <w:spacing w:line="360" w:lineRule="auto"/>
              <w:jc w:val="both"/>
              <w:rPr>
                <w:rFonts w:ascii="Book Antiqua" w:eastAsia="Arial" w:hAnsi="Book Antiqua" w:cs="Arial"/>
                <w:b/>
              </w:rPr>
            </w:pPr>
            <w:r w:rsidRPr="00501A87">
              <w:rPr>
                <w:rFonts w:ascii="Book Antiqua" w:eastAsia="Arial" w:hAnsi="Book Antiqua" w:cs="Arial"/>
                <w:b/>
              </w:rPr>
              <w:t>Ref.</w:t>
            </w:r>
          </w:p>
        </w:tc>
        <w:tc>
          <w:tcPr>
            <w:tcW w:w="799" w:type="pct"/>
            <w:tcBorders>
              <w:top w:val="single" w:sz="4" w:space="0" w:color="auto"/>
              <w:bottom w:val="single" w:sz="4" w:space="0" w:color="auto"/>
            </w:tcBorders>
          </w:tcPr>
          <w:p w14:paraId="26E01E36" w14:textId="2FC743AF" w:rsidR="00C64861" w:rsidRPr="00501A87" w:rsidRDefault="00C64861" w:rsidP="00501A87">
            <w:pPr>
              <w:spacing w:line="360" w:lineRule="auto"/>
              <w:jc w:val="both"/>
              <w:rPr>
                <w:rFonts w:ascii="Book Antiqua" w:eastAsia="Arial" w:hAnsi="Book Antiqua" w:cs="Arial"/>
                <w:b/>
              </w:rPr>
            </w:pPr>
            <w:r w:rsidRPr="004C0004">
              <w:rPr>
                <w:rFonts w:ascii="Book Antiqua" w:eastAsia="Arial" w:hAnsi="Book Antiqua" w:cs="Arial"/>
                <w:b/>
              </w:rPr>
              <w:t>Study type</w:t>
            </w:r>
          </w:p>
        </w:tc>
        <w:tc>
          <w:tcPr>
            <w:tcW w:w="3241" w:type="pct"/>
            <w:tcBorders>
              <w:top w:val="single" w:sz="4" w:space="0" w:color="auto"/>
              <w:bottom w:val="single" w:sz="4" w:space="0" w:color="auto"/>
            </w:tcBorders>
            <w:shd w:val="clear" w:color="auto" w:fill="auto"/>
          </w:tcPr>
          <w:p w14:paraId="72A8C0C2" w14:textId="60BF5300" w:rsidR="00C64861" w:rsidRPr="00501A87" w:rsidRDefault="00C64861" w:rsidP="00501A87">
            <w:pPr>
              <w:spacing w:line="360" w:lineRule="auto"/>
              <w:jc w:val="both"/>
              <w:rPr>
                <w:rFonts w:ascii="Book Antiqua" w:eastAsia="Arial" w:hAnsi="Book Antiqua" w:cs="Arial"/>
                <w:b/>
              </w:rPr>
            </w:pPr>
            <w:r w:rsidRPr="00501A87">
              <w:rPr>
                <w:rFonts w:ascii="Book Antiqua" w:eastAsia="Arial" w:hAnsi="Book Antiqua" w:cs="Arial"/>
                <w:b/>
              </w:rPr>
              <w:t>Main findings</w:t>
            </w:r>
          </w:p>
        </w:tc>
      </w:tr>
      <w:tr w:rsidR="00C64861" w:rsidRPr="00501A87" w14:paraId="70E49C5E" w14:textId="77777777" w:rsidTr="00DC3098">
        <w:tc>
          <w:tcPr>
            <w:tcW w:w="960" w:type="pct"/>
            <w:tcBorders>
              <w:top w:val="single" w:sz="4" w:space="0" w:color="auto"/>
            </w:tcBorders>
            <w:shd w:val="clear" w:color="auto" w:fill="auto"/>
          </w:tcPr>
          <w:p w14:paraId="10FEB58E" w14:textId="414BF367" w:rsidR="00C64861" w:rsidRPr="00501A87"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Koc </w:t>
            </w:r>
            <w:r w:rsidRPr="00501A87">
              <w:rPr>
                <w:rFonts w:ascii="Book Antiqua" w:eastAsia="Arial" w:hAnsi="Book Antiqua" w:cs="Arial"/>
                <w:i/>
                <w:iCs/>
              </w:rPr>
              <w:t>et al</w:t>
            </w:r>
            <w:r w:rsidRPr="00501A87">
              <w:rPr>
                <w:rFonts w:ascii="Book Antiqua" w:eastAsia="Arial" w:hAnsi="Book Antiqua" w:cs="Arial"/>
                <w:vertAlign w:val="superscript"/>
              </w:rPr>
              <w:t>[4</w:t>
            </w:r>
            <w:r>
              <w:rPr>
                <w:rFonts w:ascii="Book Antiqua" w:eastAsia="Arial" w:hAnsi="Book Antiqua" w:cs="Arial"/>
                <w:vertAlign w:val="superscript"/>
              </w:rPr>
              <w:t>9</w:t>
            </w:r>
            <w:r w:rsidRPr="00501A87">
              <w:rPr>
                <w:rFonts w:ascii="Book Antiqua" w:eastAsia="Arial" w:hAnsi="Book Antiqua" w:cs="Arial"/>
                <w:vertAlign w:val="superscript"/>
              </w:rPr>
              <w:t>]</w:t>
            </w:r>
            <w:r w:rsidRPr="00501A87">
              <w:rPr>
                <w:rFonts w:ascii="Book Antiqua" w:eastAsia="Arial" w:hAnsi="Book Antiqua" w:cs="Arial"/>
              </w:rPr>
              <w:t>, 2018</w:t>
            </w:r>
          </w:p>
        </w:tc>
        <w:tc>
          <w:tcPr>
            <w:tcW w:w="799" w:type="pct"/>
            <w:tcBorders>
              <w:top w:val="single" w:sz="4" w:space="0" w:color="auto"/>
            </w:tcBorders>
          </w:tcPr>
          <w:p w14:paraId="6B8F15D2" w14:textId="194DB501" w:rsidR="00C64861" w:rsidRPr="00501A87" w:rsidRDefault="00C64861" w:rsidP="00501A87">
            <w:pPr>
              <w:spacing w:line="360" w:lineRule="auto"/>
              <w:jc w:val="both"/>
              <w:rPr>
                <w:rFonts w:ascii="Book Antiqua" w:eastAsia="Arial" w:hAnsi="Book Antiqua" w:cs="Arial"/>
                <w:highlight w:val="white"/>
              </w:rPr>
            </w:pPr>
            <w:r w:rsidRPr="00501A87">
              <w:rPr>
                <w:rFonts w:ascii="Book Antiqua" w:eastAsia="Arial" w:hAnsi="Book Antiqua" w:cs="Arial"/>
              </w:rPr>
              <w:t>Prospective open label trial</w:t>
            </w:r>
          </w:p>
        </w:tc>
        <w:tc>
          <w:tcPr>
            <w:tcW w:w="3241" w:type="pct"/>
            <w:tcBorders>
              <w:top w:val="single" w:sz="4" w:space="0" w:color="auto"/>
            </w:tcBorders>
            <w:shd w:val="clear" w:color="auto" w:fill="auto"/>
          </w:tcPr>
          <w:p w14:paraId="1687C030" w14:textId="7EF3D714"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highlight w:val="white"/>
              </w:rPr>
              <w:t>HBAI20</w:t>
            </w:r>
            <w:r w:rsidRPr="00501A87">
              <w:rPr>
                <w:rFonts w:ascii="Book Antiqua" w:eastAsia="Arial" w:hAnsi="Book Antiqua" w:cs="Arial"/>
              </w:rPr>
              <w:t xml:space="preserve"> (</w:t>
            </w:r>
            <w:r w:rsidRPr="00501A87">
              <w:rPr>
                <w:rFonts w:ascii="Book Antiqua" w:eastAsia="Arial" w:hAnsi="Book Antiqua" w:cs="Arial"/>
                <w:highlight w:val="white"/>
              </w:rPr>
              <w:t xml:space="preserve">HBVaxPro©-10-μg </w:t>
            </w:r>
            <w:r w:rsidRPr="00501A87">
              <w:rPr>
                <w:rFonts w:ascii="Book Antiqua" w:eastAsia="Arial" w:hAnsi="Book Antiqua" w:cs="Arial"/>
              </w:rPr>
              <w:t>vaccine combined with an adjuvant AI20, a recombinant human IL-2) exhibited protective anti-HBs titers in 90% of previous non-responders likely due to an enhanced immune response</w:t>
            </w:r>
          </w:p>
        </w:tc>
      </w:tr>
      <w:tr w:rsidR="00C64861" w:rsidRPr="00501A87" w14:paraId="4E79B17D" w14:textId="77777777" w:rsidTr="00DC3098">
        <w:tc>
          <w:tcPr>
            <w:tcW w:w="960" w:type="pct"/>
            <w:shd w:val="clear" w:color="auto" w:fill="auto"/>
          </w:tcPr>
          <w:p w14:paraId="185D8D0F" w14:textId="55BCF8E7" w:rsidR="00C64861" w:rsidRPr="00C64861"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Qiu </w:t>
            </w:r>
            <w:r w:rsidRPr="00C64861">
              <w:rPr>
                <w:rFonts w:ascii="Book Antiqua" w:eastAsia="Arial" w:hAnsi="Book Antiqua" w:cs="Arial"/>
                <w:i/>
                <w:iCs/>
              </w:rPr>
              <w:t>et al</w:t>
            </w:r>
            <w:r w:rsidRPr="00501A87">
              <w:rPr>
                <w:rFonts w:ascii="Book Antiqua" w:eastAsia="Arial" w:hAnsi="Book Antiqua" w:cs="Arial"/>
                <w:vertAlign w:val="superscript"/>
              </w:rPr>
              <w:t>[</w:t>
            </w:r>
            <w:r>
              <w:rPr>
                <w:rFonts w:ascii="Book Antiqua" w:eastAsia="Arial" w:hAnsi="Book Antiqua" w:cs="Arial"/>
                <w:vertAlign w:val="superscript"/>
              </w:rPr>
              <w:t>53</w:t>
            </w:r>
            <w:r w:rsidRPr="00501A87">
              <w:rPr>
                <w:rFonts w:ascii="Book Antiqua" w:eastAsia="Arial" w:hAnsi="Book Antiqua" w:cs="Arial"/>
                <w:vertAlign w:val="superscript"/>
              </w:rPr>
              <w:t>]</w:t>
            </w:r>
            <w:r>
              <w:rPr>
                <w:rFonts w:ascii="Book Antiqua" w:eastAsia="Arial" w:hAnsi="Book Antiqua" w:cs="Arial"/>
              </w:rPr>
              <w:t xml:space="preserve">, </w:t>
            </w:r>
            <w:r w:rsidRPr="00501A87">
              <w:rPr>
                <w:rFonts w:ascii="Book Antiqua" w:eastAsia="Arial" w:hAnsi="Book Antiqua" w:cs="Arial"/>
              </w:rPr>
              <w:t xml:space="preserve">2018 </w:t>
            </w:r>
          </w:p>
        </w:tc>
        <w:tc>
          <w:tcPr>
            <w:tcW w:w="799" w:type="pct"/>
          </w:tcPr>
          <w:p w14:paraId="523827D1" w14:textId="24AE63E3"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0DA6AE4E" w14:textId="1592883C"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Genome wide comparative analysis revealed significant transcriptome and cytokine changes in HBV vaccine non-responders</w:t>
            </w:r>
          </w:p>
        </w:tc>
      </w:tr>
      <w:tr w:rsidR="00C64861" w:rsidRPr="00501A87" w14:paraId="395C1E50" w14:textId="77777777" w:rsidTr="00DC3098">
        <w:tc>
          <w:tcPr>
            <w:tcW w:w="960" w:type="pct"/>
            <w:shd w:val="clear" w:color="auto" w:fill="auto"/>
          </w:tcPr>
          <w:p w14:paraId="775ABCBC" w14:textId="0104A1FE" w:rsidR="00C64861" w:rsidRPr="00C64861"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Da Silva </w:t>
            </w:r>
            <w:r w:rsidRPr="00C64861">
              <w:rPr>
                <w:rFonts w:ascii="Book Antiqua" w:eastAsia="Arial" w:hAnsi="Book Antiqua" w:cs="Arial"/>
                <w:i/>
                <w:iCs/>
              </w:rPr>
              <w:t>et al</w:t>
            </w:r>
            <w:r w:rsidRPr="00501A87">
              <w:rPr>
                <w:rFonts w:ascii="Book Antiqua" w:eastAsia="Arial" w:hAnsi="Book Antiqua" w:cs="Arial"/>
                <w:vertAlign w:val="superscript"/>
              </w:rPr>
              <w:t>[</w:t>
            </w:r>
            <w:r>
              <w:rPr>
                <w:rFonts w:ascii="Book Antiqua" w:eastAsia="Arial" w:hAnsi="Book Antiqua" w:cs="Arial"/>
                <w:vertAlign w:val="superscript"/>
              </w:rPr>
              <w:t>54</w:t>
            </w:r>
            <w:r w:rsidRPr="00501A87">
              <w:rPr>
                <w:rFonts w:ascii="Book Antiqua" w:eastAsia="Arial" w:hAnsi="Book Antiqua" w:cs="Arial"/>
                <w:vertAlign w:val="superscript"/>
              </w:rPr>
              <w:t>]</w:t>
            </w:r>
            <w:r w:rsidRPr="00C64861">
              <w:rPr>
                <w:rFonts w:ascii="Book Antiqua" w:hAnsi="Book Antiqua" w:cs="Arial" w:hint="eastAsia"/>
                <w:lang w:eastAsia="zh-CN"/>
              </w:rPr>
              <w:t>,</w:t>
            </w:r>
            <w:r w:rsidRPr="00C64861">
              <w:rPr>
                <w:rFonts w:ascii="Book Antiqua" w:hAnsi="Book Antiqua" w:cs="Arial"/>
                <w:lang w:eastAsia="zh-CN"/>
              </w:rPr>
              <w:t xml:space="preserve"> </w:t>
            </w:r>
            <w:r w:rsidRPr="00501A87">
              <w:rPr>
                <w:rFonts w:ascii="Book Antiqua" w:eastAsia="Arial" w:hAnsi="Book Antiqua" w:cs="Arial"/>
              </w:rPr>
              <w:t>2018</w:t>
            </w:r>
          </w:p>
        </w:tc>
        <w:tc>
          <w:tcPr>
            <w:tcW w:w="799" w:type="pct"/>
          </w:tcPr>
          <w:p w14:paraId="2570A3C1" w14:textId="34E5CE07"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Randomized prospective trial</w:t>
            </w:r>
          </w:p>
        </w:tc>
        <w:tc>
          <w:tcPr>
            <w:tcW w:w="3241" w:type="pct"/>
            <w:shd w:val="clear" w:color="auto" w:fill="auto"/>
          </w:tcPr>
          <w:p w14:paraId="0A7EB115" w14:textId="10127F15"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Impaired seroconversion for HBV vaccination in CKD patients was linked to reduced baseline CXCR3</w:t>
            </w:r>
            <w:r w:rsidR="00723AD9">
              <w:rPr>
                <w:rFonts w:ascii="Book Antiqua" w:eastAsia="Arial" w:hAnsi="Book Antiqua" w:cs="Arial"/>
              </w:rPr>
              <w:t xml:space="preserve"> </w:t>
            </w:r>
            <w:r w:rsidRPr="00501A87">
              <w:rPr>
                <w:rFonts w:ascii="Book Antiqua" w:eastAsia="Arial" w:hAnsi="Book Antiqua" w:cs="Arial"/>
              </w:rPr>
              <w:t>+</w:t>
            </w:r>
            <w:r w:rsidR="00723AD9">
              <w:rPr>
                <w:rFonts w:ascii="Book Antiqua" w:eastAsia="Arial" w:hAnsi="Book Antiqua" w:cs="Arial"/>
              </w:rPr>
              <w:t xml:space="preserve"> </w:t>
            </w:r>
            <w:r w:rsidRPr="00501A87">
              <w:rPr>
                <w:rFonts w:ascii="Book Antiqua" w:eastAsia="Arial" w:hAnsi="Book Antiqua" w:cs="Arial"/>
              </w:rPr>
              <w:t>CCR6- CXCR5+ memory T cells levels</w:t>
            </w:r>
          </w:p>
        </w:tc>
      </w:tr>
      <w:tr w:rsidR="00C64861" w:rsidRPr="00501A87" w14:paraId="7B75E1BA" w14:textId="77777777" w:rsidTr="00DC3098">
        <w:tc>
          <w:tcPr>
            <w:tcW w:w="960" w:type="pct"/>
            <w:shd w:val="clear" w:color="auto" w:fill="auto"/>
          </w:tcPr>
          <w:p w14:paraId="47FF7D0A" w14:textId="05FF3D11"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Van Damme </w:t>
            </w:r>
            <w:r w:rsidRPr="00723AD9">
              <w:rPr>
                <w:rFonts w:ascii="Book Antiqua" w:eastAsia="Arial" w:hAnsi="Book Antiqua" w:cs="Arial"/>
                <w:i/>
                <w:iCs/>
              </w:rPr>
              <w:t>et al</w:t>
            </w:r>
            <w:r w:rsidRPr="00501A87">
              <w:rPr>
                <w:rFonts w:ascii="Book Antiqua" w:eastAsia="Arial" w:hAnsi="Book Antiqua" w:cs="Arial"/>
                <w:vertAlign w:val="superscript"/>
              </w:rPr>
              <w:t>[5</w:t>
            </w:r>
            <w:r w:rsidR="00723AD9">
              <w:rPr>
                <w:rFonts w:ascii="Book Antiqua" w:eastAsia="Arial" w:hAnsi="Book Antiqua" w:cs="Arial"/>
                <w:vertAlign w:val="superscript"/>
              </w:rPr>
              <w:t>9</w:t>
            </w:r>
            <w:r w:rsidRPr="00501A87">
              <w:rPr>
                <w:rFonts w:ascii="Book Antiqua" w:eastAsia="Arial" w:hAnsi="Book Antiqua" w:cs="Arial"/>
                <w:vertAlign w:val="superscript"/>
              </w:rPr>
              <w:t>]</w:t>
            </w:r>
            <w:r w:rsidR="00723AD9" w:rsidRPr="00723AD9">
              <w:rPr>
                <w:rFonts w:ascii="Book Antiqua" w:eastAsia="Arial" w:hAnsi="Book Antiqua" w:cs="Arial"/>
              </w:rPr>
              <w:t>,</w:t>
            </w:r>
            <w:r w:rsidR="00723AD9" w:rsidRPr="00723AD9">
              <w:rPr>
                <w:rFonts w:ascii="Book Antiqua" w:hAnsi="Book Antiqua" w:cs="Arial" w:hint="eastAsia"/>
                <w:lang w:eastAsia="zh-CN"/>
              </w:rPr>
              <w:t xml:space="preserve"> </w:t>
            </w:r>
            <w:r w:rsidRPr="00501A87">
              <w:rPr>
                <w:rFonts w:ascii="Book Antiqua" w:eastAsia="Arial" w:hAnsi="Book Antiqua" w:cs="Arial"/>
              </w:rPr>
              <w:t>2019</w:t>
            </w:r>
          </w:p>
        </w:tc>
        <w:tc>
          <w:tcPr>
            <w:tcW w:w="799" w:type="pct"/>
          </w:tcPr>
          <w:p w14:paraId="55F2FEDD" w14:textId="5DED9530" w:rsidR="00C64861" w:rsidRPr="00501A87" w:rsidRDefault="00723AD9"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2F6CC95E" w14:textId="5B8ADF90"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Immune challenge, in previously vaccinated adults (HBsAg vaccine 2-3 decades prior) showed a 100% anamnestic response by day 30 with significant increase in </w:t>
            </w:r>
            <w:r w:rsidRPr="00501A87">
              <w:rPr>
                <w:rFonts w:ascii="Book Antiqua" w:eastAsia="Arial" w:hAnsi="Book Antiqua" w:cs="Arial"/>
                <w:highlight w:val="white"/>
              </w:rPr>
              <w:t>HBsAg-specific memory B and CD4</w:t>
            </w:r>
            <w:r w:rsidRPr="00501A87">
              <w:rPr>
                <w:rFonts w:ascii="Book Antiqua" w:eastAsia="Arial" w:hAnsi="Book Antiqua" w:cs="Arial"/>
                <w:highlight w:val="white"/>
                <w:vertAlign w:val="superscript"/>
              </w:rPr>
              <w:t>+</w:t>
            </w:r>
            <w:r w:rsidR="00723AD9">
              <w:rPr>
                <w:rFonts w:ascii="Book Antiqua" w:eastAsia="Arial" w:hAnsi="Book Antiqua" w:cs="Arial"/>
                <w:highlight w:val="white"/>
              </w:rPr>
              <w:t xml:space="preserve"> </w:t>
            </w:r>
            <w:r w:rsidRPr="00501A87">
              <w:rPr>
                <w:rFonts w:ascii="Book Antiqua" w:eastAsia="Arial" w:hAnsi="Book Antiqua" w:cs="Arial"/>
                <w:highlight w:val="white"/>
              </w:rPr>
              <w:t>T cells</w:t>
            </w:r>
          </w:p>
        </w:tc>
      </w:tr>
      <w:tr w:rsidR="00C64861" w:rsidRPr="00501A87" w14:paraId="4D591E5D" w14:textId="77777777" w:rsidTr="00DC3098">
        <w:tc>
          <w:tcPr>
            <w:tcW w:w="960" w:type="pct"/>
            <w:shd w:val="clear" w:color="auto" w:fill="auto"/>
          </w:tcPr>
          <w:p w14:paraId="5FCE0860" w14:textId="74E09C0A" w:rsidR="00C64861" w:rsidRPr="00B65B75"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Raven </w:t>
            </w:r>
            <w:r w:rsidRPr="00B65B75">
              <w:rPr>
                <w:rFonts w:ascii="Book Antiqua" w:eastAsia="Arial" w:hAnsi="Book Antiqua" w:cs="Arial"/>
                <w:i/>
                <w:iCs/>
              </w:rPr>
              <w:t>et al</w:t>
            </w:r>
            <w:r w:rsidRPr="00501A87">
              <w:rPr>
                <w:rFonts w:ascii="Book Antiqua" w:eastAsia="Arial" w:hAnsi="Book Antiqua" w:cs="Arial"/>
                <w:vertAlign w:val="superscript"/>
              </w:rPr>
              <w:t>[4</w:t>
            </w:r>
            <w:r w:rsidR="00B65B75">
              <w:rPr>
                <w:rFonts w:ascii="Book Antiqua" w:eastAsia="Arial" w:hAnsi="Book Antiqua" w:cs="Arial"/>
                <w:vertAlign w:val="superscript"/>
              </w:rPr>
              <w:t>8</w:t>
            </w:r>
            <w:r w:rsidRPr="00501A87">
              <w:rPr>
                <w:rFonts w:ascii="Book Antiqua" w:eastAsia="Arial" w:hAnsi="Book Antiqua" w:cs="Arial"/>
                <w:vertAlign w:val="superscript"/>
              </w:rPr>
              <w:t>]</w:t>
            </w:r>
            <w:r w:rsidR="00B65B75" w:rsidRPr="00B65B75">
              <w:rPr>
                <w:rFonts w:ascii="Book Antiqua" w:eastAsia="Arial" w:hAnsi="Book Antiqua" w:cs="Arial"/>
              </w:rPr>
              <w:t>,</w:t>
            </w:r>
            <w:r w:rsidR="00B65B75">
              <w:rPr>
                <w:rFonts w:ascii="Book Antiqua" w:hAnsi="Book Antiqua" w:cs="Arial" w:hint="eastAsia"/>
                <w:lang w:eastAsia="zh-CN"/>
              </w:rPr>
              <w:t xml:space="preserve"> </w:t>
            </w:r>
            <w:r w:rsidRPr="00501A87">
              <w:rPr>
                <w:rFonts w:ascii="Book Antiqua" w:eastAsia="Arial" w:hAnsi="Book Antiqua" w:cs="Arial"/>
              </w:rPr>
              <w:t>2020</w:t>
            </w:r>
          </w:p>
        </w:tc>
        <w:tc>
          <w:tcPr>
            <w:tcW w:w="799" w:type="pct"/>
          </w:tcPr>
          <w:p w14:paraId="35287227" w14:textId="35ED2B9E" w:rsidR="00C64861" w:rsidRPr="00501A87" w:rsidRDefault="00B65B75" w:rsidP="00501A87">
            <w:pPr>
              <w:spacing w:line="360" w:lineRule="auto"/>
              <w:jc w:val="both"/>
              <w:rPr>
                <w:rFonts w:ascii="Book Antiqua" w:eastAsia="Arial" w:hAnsi="Book Antiqua" w:cs="Arial"/>
              </w:rPr>
            </w:pPr>
            <w:r w:rsidRPr="00501A87">
              <w:rPr>
                <w:rFonts w:ascii="Book Antiqua" w:eastAsia="Arial" w:hAnsi="Book Antiqua" w:cs="Arial"/>
              </w:rPr>
              <w:t>Open-labeled, randomized, controlled superiority trial</w:t>
            </w:r>
          </w:p>
        </w:tc>
        <w:tc>
          <w:tcPr>
            <w:tcW w:w="3241" w:type="pct"/>
            <w:shd w:val="clear" w:color="auto" w:fill="auto"/>
          </w:tcPr>
          <w:p w14:paraId="7E24302D" w14:textId="12AF0735"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In Immunocompetent non-responders, revaccination with </w:t>
            </w:r>
            <w:r w:rsidRPr="00501A87">
              <w:rPr>
                <w:rFonts w:ascii="Book Antiqua" w:eastAsia="Arial" w:hAnsi="Book Antiqua" w:cs="Arial"/>
                <w:highlight w:val="white"/>
              </w:rPr>
              <w:t xml:space="preserve">Fendrix 20 μg or HBVaxPro 40 μg resulted in significantly higher response rates compared </w:t>
            </w:r>
            <w:r w:rsidRPr="00501A87">
              <w:rPr>
                <w:rFonts w:ascii="Book Antiqua" w:eastAsia="Arial" w:hAnsi="Book Antiqua" w:cs="Arial"/>
              </w:rPr>
              <w:t xml:space="preserve">to HBVaxPro 10 </w:t>
            </w:r>
            <w:r w:rsidRPr="00501A87">
              <w:rPr>
                <w:rFonts w:ascii="Book Antiqua" w:eastAsia="Arial" w:hAnsi="Book Antiqua" w:cs="Arial"/>
                <w:highlight w:val="white"/>
              </w:rPr>
              <w:t>μg, Energix B 20 μg</w:t>
            </w:r>
            <w:r w:rsidRPr="00501A87">
              <w:rPr>
                <w:rFonts w:ascii="Book Antiqua" w:eastAsia="Arial" w:hAnsi="Book Antiqua" w:cs="Arial"/>
              </w:rPr>
              <w:t xml:space="preserve">, or </w:t>
            </w:r>
            <w:r w:rsidRPr="00501A87">
              <w:rPr>
                <w:rFonts w:ascii="Book Antiqua" w:eastAsia="Arial" w:hAnsi="Book Antiqua" w:cs="Arial"/>
                <w:highlight w:val="white"/>
              </w:rPr>
              <w:t>Twinrix 20 μg</w:t>
            </w:r>
          </w:p>
        </w:tc>
      </w:tr>
      <w:tr w:rsidR="00C64861" w:rsidRPr="00501A87" w14:paraId="34D6D0E6" w14:textId="77777777" w:rsidTr="00DC3098">
        <w:tc>
          <w:tcPr>
            <w:tcW w:w="960" w:type="pct"/>
            <w:shd w:val="clear" w:color="auto" w:fill="auto"/>
          </w:tcPr>
          <w:p w14:paraId="25630A99" w14:textId="3BE166DC" w:rsidR="00C64861" w:rsidRPr="006E676A"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Chawansuntati</w:t>
            </w:r>
            <w:r w:rsidR="006E676A">
              <w:rPr>
                <w:rFonts w:ascii="Book Antiqua" w:eastAsia="Arial" w:hAnsi="Book Antiqua" w:cs="Arial"/>
              </w:rPr>
              <w:t xml:space="preserve"> </w:t>
            </w:r>
            <w:r w:rsidRPr="006E676A">
              <w:rPr>
                <w:rFonts w:ascii="Book Antiqua" w:eastAsia="Arial" w:hAnsi="Book Antiqua" w:cs="Arial"/>
                <w:i/>
                <w:iCs/>
              </w:rPr>
              <w:t>et al</w:t>
            </w:r>
            <w:r w:rsidRPr="00501A87">
              <w:rPr>
                <w:rFonts w:ascii="Book Antiqua" w:eastAsia="Arial" w:hAnsi="Book Antiqua" w:cs="Arial"/>
                <w:vertAlign w:val="superscript"/>
              </w:rPr>
              <w:t>[</w:t>
            </w:r>
            <w:r w:rsidR="006E676A">
              <w:rPr>
                <w:rFonts w:ascii="Book Antiqua" w:eastAsia="Arial" w:hAnsi="Book Antiqua" w:cs="Arial"/>
                <w:vertAlign w:val="superscript"/>
              </w:rPr>
              <w:t>63</w:t>
            </w:r>
            <w:r w:rsidRPr="00501A87">
              <w:rPr>
                <w:rFonts w:ascii="Book Antiqua" w:eastAsia="Arial" w:hAnsi="Book Antiqua" w:cs="Arial"/>
                <w:vertAlign w:val="superscript"/>
              </w:rPr>
              <w:t>]</w:t>
            </w:r>
            <w:r w:rsidR="006E676A" w:rsidRPr="006E676A">
              <w:rPr>
                <w:rFonts w:ascii="Book Antiqua" w:hAnsi="Book Antiqua" w:cs="Arial" w:hint="eastAsia"/>
                <w:lang w:eastAsia="zh-CN"/>
              </w:rPr>
              <w:t>,</w:t>
            </w:r>
            <w:r w:rsidR="006E676A" w:rsidRPr="006E676A">
              <w:rPr>
                <w:rFonts w:ascii="Book Antiqua" w:hAnsi="Book Antiqua" w:cs="Arial"/>
                <w:lang w:eastAsia="zh-CN"/>
              </w:rPr>
              <w:t xml:space="preserve"> </w:t>
            </w:r>
            <w:r w:rsidRPr="00501A87">
              <w:rPr>
                <w:rFonts w:ascii="Book Antiqua" w:eastAsia="Arial" w:hAnsi="Book Antiqua" w:cs="Arial"/>
              </w:rPr>
              <w:t>2018</w:t>
            </w:r>
          </w:p>
        </w:tc>
        <w:tc>
          <w:tcPr>
            <w:tcW w:w="799" w:type="pct"/>
          </w:tcPr>
          <w:p w14:paraId="5F267F46" w14:textId="2891AC05" w:rsidR="00C64861" w:rsidRPr="00501A87" w:rsidRDefault="006E676A"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639A630D" w14:textId="6BB02273"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HBV patients with HIV co-infection have reduced levels of TNF-α and IL-2 levels, and may require an increased HBV vaccine dose to counter this problem</w:t>
            </w:r>
          </w:p>
        </w:tc>
      </w:tr>
      <w:tr w:rsidR="00C64861" w:rsidRPr="00501A87" w14:paraId="52C746AA" w14:textId="77777777" w:rsidTr="00DC3098">
        <w:tc>
          <w:tcPr>
            <w:tcW w:w="960" w:type="pct"/>
            <w:shd w:val="clear" w:color="auto" w:fill="auto"/>
          </w:tcPr>
          <w:p w14:paraId="61E75181" w14:textId="090A718A" w:rsidR="00C64861" w:rsidRPr="00501A87" w:rsidRDefault="00C64861" w:rsidP="00501A87">
            <w:pPr>
              <w:spacing w:line="360" w:lineRule="auto"/>
              <w:jc w:val="both"/>
              <w:rPr>
                <w:rFonts w:ascii="Book Antiqua" w:eastAsia="Arial" w:hAnsi="Book Antiqua" w:cs="Arial"/>
                <w:highlight w:val="white"/>
              </w:rPr>
            </w:pPr>
            <w:r w:rsidRPr="00501A87">
              <w:rPr>
                <w:rFonts w:ascii="Book Antiqua" w:eastAsia="Arial" w:hAnsi="Book Antiqua" w:cs="Arial"/>
                <w:highlight w:val="white"/>
              </w:rPr>
              <w:t xml:space="preserve">Palazzo </w:t>
            </w:r>
            <w:r w:rsidRPr="00501A87">
              <w:rPr>
                <w:rFonts w:ascii="Book Antiqua" w:eastAsia="Arial" w:hAnsi="Book Antiqua" w:cs="Arial"/>
                <w:i/>
                <w:iCs/>
                <w:highlight w:val="white"/>
              </w:rPr>
              <w:t>et al</w:t>
            </w:r>
            <w:r w:rsidRPr="00501A87">
              <w:rPr>
                <w:rFonts w:ascii="Book Antiqua" w:eastAsia="Arial" w:hAnsi="Book Antiqua" w:cs="Arial"/>
                <w:vertAlign w:val="superscript"/>
              </w:rPr>
              <w:t>[</w:t>
            </w:r>
            <w:r w:rsidR="00595D70">
              <w:rPr>
                <w:rFonts w:ascii="Book Antiqua" w:eastAsia="Arial" w:hAnsi="Book Antiqua" w:cs="Arial"/>
                <w:vertAlign w:val="superscript"/>
              </w:rPr>
              <w:t>64</w:t>
            </w:r>
            <w:r w:rsidRPr="00501A87">
              <w:rPr>
                <w:rFonts w:ascii="Book Antiqua" w:eastAsia="Arial" w:hAnsi="Book Antiqua" w:cs="Arial"/>
                <w:vertAlign w:val="superscript"/>
              </w:rPr>
              <w:t>]</w:t>
            </w:r>
            <w:r w:rsidRPr="00501A87">
              <w:rPr>
                <w:rFonts w:ascii="Book Antiqua" w:eastAsia="Arial" w:hAnsi="Book Antiqua" w:cs="Arial"/>
              </w:rPr>
              <w:t>, 2018</w:t>
            </w:r>
          </w:p>
        </w:tc>
        <w:tc>
          <w:tcPr>
            <w:tcW w:w="799" w:type="pct"/>
          </w:tcPr>
          <w:p w14:paraId="4FC84914" w14:textId="2F8BF1FA" w:rsidR="00C64861" w:rsidRPr="00501A87" w:rsidRDefault="00595D70" w:rsidP="00501A87">
            <w:pPr>
              <w:spacing w:line="360" w:lineRule="auto"/>
              <w:jc w:val="both"/>
              <w:rPr>
                <w:rFonts w:ascii="Book Antiqua" w:eastAsia="Arial" w:hAnsi="Book Antiqua" w:cs="Arial"/>
                <w:highlight w:val="white"/>
              </w:rPr>
            </w:pPr>
            <w:r w:rsidRPr="00501A87">
              <w:rPr>
                <w:rFonts w:ascii="Book Antiqua" w:eastAsia="Arial" w:hAnsi="Book Antiqua" w:cs="Arial"/>
              </w:rPr>
              <w:t>Prospective trial</w:t>
            </w:r>
          </w:p>
        </w:tc>
        <w:tc>
          <w:tcPr>
            <w:tcW w:w="3241" w:type="pct"/>
            <w:shd w:val="clear" w:color="auto" w:fill="auto"/>
          </w:tcPr>
          <w:p w14:paraId="022EA6F2" w14:textId="62ED970A"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highlight w:val="white"/>
              </w:rPr>
              <w:t xml:space="preserve">Revaccination with </w:t>
            </w:r>
            <w:r w:rsidRPr="00501A87">
              <w:rPr>
                <w:rFonts w:ascii="Book Antiqua" w:eastAsia="Arial" w:hAnsi="Book Antiqua" w:cs="Arial"/>
              </w:rPr>
              <w:t xml:space="preserve">the Hepatitis B vaccine (Twinrix, GlaxoSmithKline, London), in </w:t>
            </w:r>
            <w:r w:rsidRPr="00501A87">
              <w:rPr>
                <w:rFonts w:ascii="Book Antiqua" w:eastAsia="Arial" w:hAnsi="Book Antiqua" w:cs="Arial"/>
                <w:highlight w:val="white"/>
              </w:rPr>
              <w:t xml:space="preserve">HBV patients on maintenance Lenalidomide post </w:t>
            </w:r>
            <w:r w:rsidRPr="00501A87">
              <w:rPr>
                <w:rFonts w:ascii="Book Antiqua" w:eastAsia="Arial" w:hAnsi="Book Antiqua" w:cs="Arial"/>
              </w:rPr>
              <w:t>autologous hematopoietic stem cell transplant was absolutely safe with 40% efficacy</w:t>
            </w:r>
          </w:p>
        </w:tc>
      </w:tr>
      <w:tr w:rsidR="00C64861" w:rsidRPr="00501A87" w14:paraId="2813423E" w14:textId="77777777" w:rsidTr="00DC3098">
        <w:tc>
          <w:tcPr>
            <w:tcW w:w="960" w:type="pct"/>
            <w:shd w:val="clear" w:color="auto" w:fill="auto"/>
          </w:tcPr>
          <w:p w14:paraId="3F37824C" w14:textId="640196B7"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Nishikawa </w:t>
            </w:r>
            <w:r w:rsidRPr="00501A87">
              <w:rPr>
                <w:rFonts w:ascii="Book Antiqua" w:eastAsia="Arial" w:hAnsi="Book Antiqua" w:cs="Arial"/>
                <w:i/>
                <w:iCs/>
              </w:rPr>
              <w:t>et al</w:t>
            </w:r>
            <w:r w:rsidRPr="00501A87">
              <w:rPr>
                <w:rFonts w:ascii="Book Antiqua" w:eastAsia="Arial" w:hAnsi="Book Antiqua" w:cs="Arial"/>
                <w:vertAlign w:val="superscript"/>
              </w:rPr>
              <w:t>[6</w:t>
            </w:r>
            <w:r w:rsidR="00595D70">
              <w:rPr>
                <w:rFonts w:ascii="Book Antiqua" w:eastAsia="Arial" w:hAnsi="Book Antiqua" w:cs="Arial"/>
                <w:vertAlign w:val="superscript"/>
              </w:rPr>
              <w:t>5</w:t>
            </w:r>
            <w:r w:rsidRPr="00501A87">
              <w:rPr>
                <w:rFonts w:ascii="Book Antiqua" w:eastAsia="Arial" w:hAnsi="Book Antiqua" w:cs="Arial"/>
                <w:vertAlign w:val="superscript"/>
              </w:rPr>
              <w:t>]</w:t>
            </w:r>
            <w:r w:rsidRPr="00501A87">
              <w:rPr>
                <w:rFonts w:ascii="Book Antiqua" w:eastAsia="Arial" w:hAnsi="Book Antiqua" w:cs="Arial"/>
              </w:rPr>
              <w:t>, 2020</w:t>
            </w:r>
          </w:p>
        </w:tc>
        <w:tc>
          <w:tcPr>
            <w:tcW w:w="799" w:type="pct"/>
          </w:tcPr>
          <w:p w14:paraId="41ADD4CF" w14:textId="7F865D03" w:rsidR="00C64861" w:rsidRPr="00501A87" w:rsidRDefault="00595D70"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4F8E7B0B" w14:textId="51A85410"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For HBV vaccinated, HSCT recipients, </w:t>
            </w:r>
            <w:r w:rsidRPr="00501A87">
              <w:rPr>
                <w:rFonts w:ascii="Book Antiqua" w:eastAsia="Arial" w:hAnsi="Book Antiqua" w:cs="Arial"/>
                <w:highlight w:val="white"/>
              </w:rPr>
              <w:t>2-year and 3-year cumulative HBV reactivation rates were 22.2% and 28.9% respectively. Discontinuation of immunosuppressants (</w:t>
            </w:r>
            <w:r w:rsidRPr="00501A87">
              <w:rPr>
                <w:rFonts w:ascii="Book Antiqua" w:eastAsia="Arial" w:hAnsi="Book Antiqua" w:cs="Arial"/>
                <w:i/>
                <w:iCs/>
                <w:highlight w:val="white"/>
              </w:rPr>
              <w:t>P</w:t>
            </w:r>
            <w:r w:rsidRPr="00501A87">
              <w:rPr>
                <w:rFonts w:ascii="Book Antiqua" w:eastAsia="Arial" w:hAnsi="Book Antiqua" w:cs="Arial"/>
                <w:highlight w:val="white"/>
              </w:rPr>
              <w:t xml:space="preserve"> = 0.0379) and baseline titers of anti-Hbs (</w:t>
            </w:r>
            <w:r w:rsidRPr="00501A87">
              <w:rPr>
                <w:rFonts w:ascii="Book Antiqua" w:eastAsia="Arial" w:hAnsi="Book Antiqua" w:cs="Arial"/>
                <w:i/>
                <w:iCs/>
                <w:highlight w:val="white"/>
              </w:rPr>
              <w:t>P</w:t>
            </w:r>
            <w:r w:rsidRPr="00501A87">
              <w:rPr>
                <w:rFonts w:ascii="Book Antiqua" w:eastAsia="Arial" w:hAnsi="Book Antiqua" w:cs="Arial"/>
                <w:highlight w:val="white"/>
              </w:rPr>
              <w:t xml:space="preserve"> = 0.004</w:t>
            </w:r>
            <w:r w:rsidRPr="00501A87">
              <w:rPr>
                <w:rFonts w:ascii="Book Antiqua" w:eastAsia="Arial" w:hAnsi="Book Antiqua" w:cs="Arial"/>
              </w:rPr>
              <w:t>) were related to HBV reactivation</w:t>
            </w:r>
          </w:p>
        </w:tc>
      </w:tr>
    </w:tbl>
    <w:p w14:paraId="0A667FE5" w14:textId="45BF5D6D" w:rsidR="00BB58DB" w:rsidRDefault="00BB58DB" w:rsidP="00501A87">
      <w:pPr>
        <w:spacing w:line="360" w:lineRule="auto"/>
        <w:jc w:val="both"/>
        <w:rPr>
          <w:rFonts w:ascii="Book Antiqua" w:eastAsia="Arial" w:hAnsi="Book Antiqua" w:cs="Arial"/>
        </w:rPr>
      </w:pPr>
      <w:r w:rsidRPr="00501A87">
        <w:rPr>
          <w:rFonts w:ascii="Book Antiqua" w:eastAsia="Arial" w:hAnsi="Book Antiqua" w:cs="Arial"/>
        </w:rPr>
        <w:t>IL-2: Interleukin 2; anti-HBs: Anti Hepatitis B surface antibody; HBsAg: hepatitis B surface antigen; HIV: Human Immunodeficiency virus; HBV: Hepatitis B virus; TNF: Tumor necrosis factor; HSCT: Hematopoietic stem cell transplant</w:t>
      </w:r>
      <w:r w:rsidR="00A621D4">
        <w:rPr>
          <w:rFonts w:ascii="Book Antiqua" w:eastAsia="Arial" w:hAnsi="Book Antiqua" w:cs="Arial"/>
        </w:rPr>
        <w:t xml:space="preserve">; </w:t>
      </w:r>
      <w:r w:rsidR="00A621D4" w:rsidRPr="00501A87">
        <w:rPr>
          <w:rFonts w:ascii="Book Antiqua" w:eastAsia="Book Antiqua" w:hAnsi="Book Antiqua" w:cs="Book Antiqua"/>
          <w:color w:val="000000"/>
        </w:rPr>
        <w:t>CKD</w:t>
      </w:r>
      <w:r w:rsidR="00A621D4">
        <w:rPr>
          <w:rFonts w:ascii="Book Antiqua" w:eastAsia="Book Antiqua" w:hAnsi="Book Antiqua" w:cs="Book Antiqua"/>
          <w:color w:val="000000"/>
        </w:rPr>
        <w:t>:</w:t>
      </w:r>
      <w:r w:rsidR="00A621D4" w:rsidRPr="00501A87">
        <w:rPr>
          <w:rFonts w:ascii="Book Antiqua" w:eastAsia="Book Antiqua" w:hAnsi="Book Antiqua" w:cs="Book Antiqua"/>
          <w:color w:val="000000"/>
        </w:rPr>
        <w:t xml:space="preserve"> </w:t>
      </w:r>
      <w:r w:rsidR="00A621D4">
        <w:rPr>
          <w:rFonts w:ascii="Book Antiqua" w:eastAsia="Book Antiqua" w:hAnsi="Book Antiqua" w:cs="Book Antiqua"/>
          <w:color w:val="000000"/>
        </w:rPr>
        <w:t>C</w:t>
      </w:r>
      <w:r w:rsidR="00A621D4" w:rsidRPr="00501A87">
        <w:rPr>
          <w:rFonts w:ascii="Book Antiqua" w:eastAsia="Book Antiqua" w:hAnsi="Book Antiqua" w:cs="Book Antiqua"/>
          <w:color w:val="000000"/>
        </w:rPr>
        <w:t>hronic kidney disease</w:t>
      </w:r>
      <w:r w:rsidR="00A621D4">
        <w:rPr>
          <w:rFonts w:ascii="Book Antiqua" w:eastAsia="Book Antiqua" w:hAnsi="Book Antiqua" w:cs="Book Antiqua"/>
          <w:color w:val="000000"/>
        </w:rPr>
        <w:t>.</w:t>
      </w:r>
    </w:p>
    <w:p w14:paraId="302BCCC9" w14:textId="77777777" w:rsidR="00A24CF9" w:rsidRPr="00C67819" w:rsidRDefault="00A24CF9" w:rsidP="00A24CF9">
      <w:pPr>
        <w:spacing w:line="360" w:lineRule="auto"/>
        <w:jc w:val="both"/>
        <w:rPr>
          <w:rFonts w:ascii="Book Antiqua" w:eastAsia="Arial" w:hAnsi="Book Antiqua" w:cs="Arial"/>
          <w:b/>
        </w:rPr>
      </w:pPr>
      <w:r>
        <w:rPr>
          <w:rFonts w:ascii="Book Antiqua" w:eastAsia="Arial" w:hAnsi="Book Antiqua" w:cs="Arial"/>
        </w:rPr>
        <w:br w:type="page"/>
      </w:r>
      <w:r w:rsidRPr="00C67819">
        <w:rPr>
          <w:rFonts w:ascii="Book Antiqua" w:eastAsia="Arial" w:hAnsi="Book Antiqua" w:cs="Arial"/>
          <w:b/>
        </w:rPr>
        <w:t>Table</w:t>
      </w:r>
      <w:r>
        <w:rPr>
          <w:rFonts w:ascii="Book Antiqua" w:eastAsia="Arial" w:hAnsi="Book Antiqua" w:cs="Arial"/>
          <w:b/>
        </w:rPr>
        <w:t xml:space="preserve"> </w:t>
      </w:r>
      <w:r w:rsidRPr="00C67819">
        <w:rPr>
          <w:rFonts w:ascii="Book Antiqua" w:eastAsia="Arial" w:hAnsi="Book Antiqua" w:cs="Arial"/>
          <w:b/>
        </w:rPr>
        <w:t xml:space="preserve">3 Studies addressing </w:t>
      </w:r>
      <w:r>
        <w:rPr>
          <w:rFonts w:ascii="Book Antiqua" w:eastAsia="Arial" w:hAnsi="Book Antiqua" w:cs="Arial"/>
          <w:b/>
        </w:rPr>
        <w:t>h</w:t>
      </w:r>
      <w:r w:rsidRPr="00C67819">
        <w:rPr>
          <w:rFonts w:ascii="Book Antiqua" w:eastAsia="Arial" w:hAnsi="Book Antiqua" w:cs="Arial"/>
          <w:b/>
        </w:rPr>
        <w:t>epatitis B treatment</w:t>
      </w:r>
    </w:p>
    <w:tbl>
      <w:tblPr>
        <w:tblW w:w="5163" w:type="pct"/>
        <w:tblBorders>
          <w:top w:val="single" w:sz="4" w:space="0" w:color="auto"/>
          <w:bottom w:val="single" w:sz="4" w:space="0" w:color="auto"/>
        </w:tblBorders>
        <w:tblLook w:val="0400" w:firstRow="0" w:lastRow="0" w:firstColumn="0" w:lastColumn="0" w:noHBand="0" w:noVBand="1"/>
      </w:tblPr>
      <w:tblGrid>
        <w:gridCol w:w="1879"/>
        <w:gridCol w:w="1662"/>
        <w:gridCol w:w="6347"/>
      </w:tblGrid>
      <w:tr w:rsidR="004E770C" w:rsidRPr="00C67819" w14:paraId="3BB992B7" w14:textId="77777777" w:rsidTr="001605A7">
        <w:tc>
          <w:tcPr>
            <w:tcW w:w="950" w:type="pct"/>
            <w:tcBorders>
              <w:top w:val="single" w:sz="4" w:space="0" w:color="auto"/>
              <w:bottom w:val="single" w:sz="4" w:space="0" w:color="auto"/>
            </w:tcBorders>
            <w:shd w:val="clear" w:color="auto" w:fill="auto"/>
          </w:tcPr>
          <w:p w14:paraId="1193B065" w14:textId="5AE48A26" w:rsidR="004E770C" w:rsidRPr="004E770C" w:rsidRDefault="004E770C" w:rsidP="00C31635">
            <w:pPr>
              <w:spacing w:line="360" w:lineRule="auto"/>
              <w:jc w:val="both"/>
              <w:rPr>
                <w:rFonts w:ascii="Book Antiqua" w:hAnsi="Book Antiqua" w:cs="Arial"/>
                <w:b/>
                <w:lang w:eastAsia="zh-CN"/>
              </w:rPr>
            </w:pPr>
            <w:r>
              <w:rPr>
                <w:rFonts w:ascii="Book Antiqua" w:hAnsi="Book Antiqua" w:cs="Arial" w:hint="eastAsia"/>
                <w:b/>
                <w:lang w:eastAsia="zh-CN"/>
              </w:rPr>
              <w:t>R</w:t>
            </w:r>
            <w:r>
              <w:rPr>
                <w:rFonts w:ascii="Book Antiqua" w:hAnsi="Book Antiqua" w:cs="Arial"/>
                <w:b/>
                <w:lang w:eastAsia="zh-CN"/>
              </w:rPr>
              <w:t>ef.</w:t>
            </w:r>
          </w:p>
        </w:tc>
        <w:tc>
          <w:tcPr>
            <w:tcW w:w="825" w:type="pct"/>
            <w:tcBorders>
              <w:top w:val="single" w:sz="4" w:space="0" w:color="auto"/>
              <w:bottom w:val="single" w:sz="4" w:space="0" w:color="auto"/>
            </w:tcBorders>
          </w:tcPr>
          <w:p w14:paraId="5030DFDB" w14:textId="03D7FF43" w:rsidR="004E770C" w:rsidRPr="00C67819" w:rsidRDefault="004E770C" w:rsidP="00C31635">
            <w:pPr>
              <w:spacing w:line="360" w:lineRule="auto"/>
              <w:jc w:val="both"/>
              <w:rPr>
                <w:rFonts w:ascii="Book Antiqua" w:eastAsia="Arial" w:hAnsi="Book Antiqua" w:cs="Arial"/>
                <w:b/>
              </w:rPr>
            </w:pPr>
            <w:r w:rsidRPr="00C67819">
              <w:rPr>
                <w:rFonts w:ascii="Book Antiqua" w:eastAsia="Arial" w:hAnsi="Book Antiqua" w:cs="Arial"/>
                <w:b/>
              </w:rPr>
              <w:t>Study type</w:t>
            </w:r>
          </w:p>
        </w:tc>
        <w:tc>
          <w:tcPr>
            <w:tcW w:w="3225" w:type="pct"/>
            <w:tcBorders>
              <w:top w:val="single" w:sz="4" w:space="0" w:color="auto"/>
              <w:bottom w:val="single" w:sz="4" w:space="0" w:color="auto"/>
            </w:tcBorders>
            <w:shd w:val="clear" w:color="auto" w:fill="auto"/>
          </w:tcPr>
          <w:p w14:paraId="69E2C557" w14:textId="4EB350D5" w:rsidR="004E770C" w:rsidRPr="00C67819" w:rsidRDefault="004E770C" w:rsidP="00C31635">
            <w:pPr>
              <w:spacing w:line="360" w:lineRule="auto"/>
              <w:jc w:val="both"/>
              <w:rPr>
                <w:rFonts w:ascii="Book Antiqua" w:eastAsia="Arial" w:hAnsi="Book Antiqua" w:cs="Arial"/>
                <w:b/>
              </w:rPr>
            </w:pPr>
            <w:r w:rsidRPr="00C67819">
              <w:rPr>
                <w:rFonts w:ascii="Book Antiqua" w:eastAsia="Arial" w:hAnsi="Book Antiqua" w:cs="Arial"/>
                <w:b/>
              </w:rPr>
              <w:t>Findings</w:t>
            </w:r>
          </w:p>
        </w:tc>
      </w:tr>
      <w:tr w:rsidR="004E770C" w:rsidRPr="00C67819" w14:paraId="47964036" w14:textId="77777777" w:rsidTr="001605A7">
        <w:tc>
          <w:tcPr>
            <w:tcW w:w="5000" w:type="pct"/>
            <w:gridSpan w:val="3"/>
            <w:tcBorders>
              <w:top w:val="single" w:sz="4" w:space="0" w:color="auto"/>
            </w:tcBorders>
          </w:tcPr>
          <w:p w14:paraId="593E56D6" w14:textId="344B5419" w:rsidR="004E770C" w:rsidRPr="00C67819" w:rsidRDefault="004E770C" w:rsidP="00C31635">
            <w:pPr>
              <w:spacing w:line="360" w:lineRule="auto"/>
              <w:jc w:val="both"/>
              <w:rPr>
                <w:rFonts w:ascii="Book Antiqua" w:eastAsia="Arial" w:hAnsi="Book Antiqua" w:cs="Arial"/>
                <w:b/>
              </w:rPr>
            </w:pPr>
            <w:r w:rsidRPr="00C67819">
              <w:rPr>
                <w:rFonts w:ascii="Book Antiqua" w:eastAsia="Arial" w:hAnsi="Book Antiqua" w:cs="Arial"/>
                <w:b/>
              </w:rPr>
              <w:t xml:space="preserve">Conventional </w:t>
            </w:r>
            <w:r w:rsidR="00A52588">
              <w:rPr>
                <w:rFonts w:ascii="Book Antiqua" w:eastAsia="Arial" w:hAnsi="Book Antiqua" w:cs="Arial"/>
                <w:b/>
              </w:rPr>
              <w:t>t</w:t>
            </w:r>
            <w:r w:rsidRPr="00C67819">
              <w:rPr>
                <w:rFonts w:ascii="Book Antiqua" w:eastAsia="Arial" w:hAnsi="Book Antiqua" w:cs="Arial"/>
                <w:b/>
              </w:rPr>
              <w:t xml:space="preserve">reatment </w:t>
            </w:r>
            <w:r w:rsidR="00A52588">
              <w:rPr>
                <w:rFonts w:ascii="Book Antiqua" w:eastAsia="Arial" w:hAnsi="Book Antiqua" w:cs="Arial"/>
                <w:b/>
              </w:rPr>
              <w:t>a</w:t>
            </w:r>
            <w:r w:rsidRPr="00C67819">
              <w:rPr>
                <w:rFonts w:ascii="Book Antiqua" w:eastAsia="Arial" w:hAnsi="Book Antiqua" w:cs="Arial"/>
                <w:b/>
              </w:rPr>
              <w:t>gents</w:t>
            </w:r>
          </w:p>
        </w:tc>
      </w:tr>
      <w:tr w:rsidR="004E770C" w:rsidRPr="00C67819" w14:paraId="6AD88D6E" w14:textId="77777777" w:rsidTr="001605A7">
        <w:tc>
          <w:tcPr>
            <w:tcW w:w="950" w:type="pct"/>
            <w:shd w:val="clear" w:color="auto" w:fill="auto"/>
          </w:tcPr>
          <w:p w14:paraId="326E10BF" w14:textId="71F6E76A" w:rsidR="004E770C" w:rsidRPr="004E770C"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Chuang </w:t>
            </w:r>
            <w:r w:rsidRPr="004E770C">
              <w:rPr>
                <w:rFonts w:ascii="Book Antiqua" w:eastAsia="Arial" w:hAnsi="Book Antiqua" w:cs="Arial"/>
                <w:i/>
                <w:iCs/>
              </w:rPr>
              <w:t>et al</w:t>
            </w:r>
            <w:r w:rsidRPr="00C67819">
              <w:rPr>
                <w:rFonts w:ascii="Book Antiqua" w:eastAsia="Arial" w:hAnsi="Book Antiqua" w:cs="Arial"/>
                <w:vertAlign w:val="superscript"/>
              </w:rPr>
              <w:t>[6</w:t>
            </w:r>
            <w:r>
              <w:rPr>
                <w:rFonts w:ascii="Book Antiqua" w:eastAsia="Arial" w:hAnsi="Book Antiqua" w:cs="Arial"/>
                <w:vertAlign w:val="superscript"/>
              </w:rPr>
              <w:t>7</w:t>
            </w:r>
            <w:r w:rsidRPr="00C67819">
              <w:rPr>
                <w:rFonts w:ascii="Book Antiqua" w:eastAsia="Arial" w:hAnsi="Book Antiqua" w:cs="Arial"/>
                <w:vertAlign w:val="superscript"/>
              </w:rPr>
              <w:t>]</w:t>
            </w:r>
            <w:r w:rsidRPr="004E770C">
              <w:rPr>
                <w:rFonts w:ascii="Book Antiqua" w:hAnsi="Book Antiqua" w:cs="Arial" w:hint="eastAsia"/>
                <w:lang w:eastAsia="zh-CN"/>
              </w:rPr>
              <w:t>,</w:t>
            </w:r>
            <w:r w:rsidRPr="004E770C">
              <w:rPr>
                <w:rFonts w:ascii="Book Antiqua" w:hAnsi="Book Antiqua" w:cs="Arial"/>
                <w:lang w:eastAsia="zh-CN"/>
              </w:rPr>
              <w:t xml:space="preserve"> </w:t>
            </w:r>
            <w:r w:rsidRPr="00C67819">
              <w:rPr>
                <w:rFonts w:ascii="Book Antiqua" w:eastAsia="Arial" w:hAnsi="Book Antiqua" w:cs="Arial"/>
              </w:rPr>
              <w:t>2018</w:t>
            </w:r>
          </w:p>
        </w:tc>
        <w:tc>
          <w:tcPr>
            <w:tcW w:w="825" w:type="pct"/>
          </w:tcPr>
          <w:p w14:paraId="6E363FAF" w14:textId="49D572C6"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Prospective study</w:t>
            </w:r>
          </w:p>
        </w:tc>
        <w:tc>
          <w:tcPr>
            <w:tcW w:w="3225" w:type="pct"/>
            <w:shd w:val="clear" w:color="auto" w:fill="auto"/>
          </w:tcPr>
          <w:p w14:paraId="438545EE" w14:textId="5A2A0DEF"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PEG Interferon at a dose of 180</w:t>
            </w:r>
            <w:r w:rsidR="00466EC7">
              <w:rPr>
                <w:rFonts w:ascii="Book Antiqua" w:eastAsia="Arial" w:hAnsi="Book Antiqua" w:cs="Arial"/>
              </w:rPr>
              <w:t xml:space="preserve"> </w:t>
            </w:r>
            <w:r w:rsidR="00466EC7" w:rsidRPr="00466EC7">
              <w:rPr>
                <w:rFonts w:ascii="Book Antiqua" w:eastAsia="Arial" w:hAnsi="Book Antiqua" w:cs="Arial"/>
              </w:rPr>
              <w:t>μ</w:t>
            </w:r>
            <w:r w:rsidRPr="00C67819">
              <w:rPr>
                <w:rFonts w:ascii="Book Antiqua" w:eastAsia="Arial" w:hAnsi="Book Antiqua" w:cs="Arial"/>
              </w:rPr>
              <w:t>g/wk for a duration of 48 wk resulted in better sustained HBeAg seroconversion rates, than in patients with a lower dose and/or shorter treatment duration</w:t>
            </w:r>
          </w:p>
        </w:tc>
      </w:tr>
      <w:tr w:rsidR="004E770C" w:rsidRPr="00C67819" w14:paraId="2E339865" w14:textId="77777777" w:rsidTr="001605A7">
        <w:tc>
          <w:tcPr>
            <w:tcW w:w="950" w:type="pct"/>
            <w:shd w:val="clear" w:color="auto" w:fill="auto"/>
          </w:tcPr>
          <w:p w14:paraId="713948AE" w14:textId="5A6EA39C" w:rsidR="004E770C" w:rsidRPr="00466EC7"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Agarwal </w:t>
            </w:r>
            <w:r w:rsidRPr="00466EC7">
              <w:rPr>
                <w:rFonts w:ascii="Book Antiqua" w:eastAsia="Arial" w:hAnsi="Book Antiqua" w:cs="Arial"/>
                <w:i/>
                <w:iCs/>
              </w:rPr>
              <w:t>et al</w:t>
            </w:r>
            <w:r w:rsidRPr="00C67819">
              <w:rPr>
                <w:rFonts w:ascii="Book Antiqua" w:eastAsia="Arial" w:hAnsi="Book Antiqua" w:cs="Arial"/>
                <w:vertAlign w:val="superscript"/>
              </w:rPr>
              <w:t>[6</w:t>
            </w:r>
            <w:r w:rsidR="00466EC7">
              <w:rPr>
                <w:rFonts w:ascii="Book Antiqua" w:eastAsia="Arial" w:hAnsi="Book Antiqua" w:cs="Arial"/>
                <w:vertAlign w:val="superscript"/>
              </w:rPr>
              <w:t>8</w:t>
            </w:r>
            <w:r w:rsidRPr="00C67819">
              <w:rPr>
                <w:rFonts w:ascii="Book Antiqua" w:eastAsia="Arial" w:hAnsi="Book Antiqua" w:cs="Arial"/>
                <w:vertAlign w:val="superscript"/>
              </w:rPr>
              <w:t>]</w:t>
            </w:r>
            <w:r w:rsidR="00466EC7">
              <w:rPr>
                <w:rFonts w:ascii="Book Antiqua" w:eastAsia="Arial" w:hAnsi="Book Antiqua" w:cs="Arial"/>
              </w:rPr>
              <w:t xml:space="preserve">, </w:t>
            </w:r>
            <w:r w:rsidRPr="00C67819">
              <w:rPr>
                <w:rFonts w:ascii="Book Antiqua" w:eastAsia="Arial" w:hAnsi="Book Antiqua" w:cs="Arial"/>
              </w:rPr>
              <w:t>2018</w:t>
            </w:r>
          </w:p>
        </w:tc>
        <w:tc>
          <w:tcPr>
            <w:tcW w:w="825" w:type="pct"/>
          </w:tcPr>
          <w:p w14:paraId="5CBC40EC" w14:textId="4368267A" w:rsidR="004E770C" w:rsidRPr="00C67819" w:rsidRDefault="00466EC7" w:rsidP="00C31635">
            <w:pPr>
              <w:spacing w:line="360" w:lineRule="auto"/>
              <w:jc w:val="both"/>
              <w:rPr>
                <w:rFonts w:ascii="Book Antiqua" w:eastAsia="Arial" w:hAnsi="Book Antiqua" w:cs="Arial"/>
              </w:rPr>
            </w:pPr>
            <w:r w:rsidRPr="00C67819">
              <w:rPr>
                <w:rFonts w:ascii="Book Antiqua" w:eastAsia="Arial" w:hAnsi="Book Antiqua" w:cs="Arial"/>
              </w:rPr>
              <w:t>Randomized controlled trial</w:t>
            </w:r>
          </w:p>
        </w:tc>
        <w:tc>
          <w:tcPr>
            <w:tcW w:w="3225" w:type="pct"/>
            <w:shd w:val="clear" w:color="auto" w:fill="auto"/>
          </w:tcPr>
          <w:p w14:paraId="3DA641B5" w14:textId="411466C1"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96-wk HBV suppression rates were comparable in patients treated with TAF and TDF, for HBeAg positive (73% </w:t>
            </w:r>
            <w:r w:rsidRPr="00466EC7">
              <w:rPr>
                <w:rFonts w:ascii="Book Antiqua" w:eastAsia="Arial" w:hAnsi="Book Antiqua" w:cs="Arial"/>
                <w:i/>
                <w:iCs/>
              </w:rPr>
              <w:t>vs</w:t>
            </w:r>
            <w:r w:rsidRPr="00C67819">
              <w:rPr>
                <w:rFonts w:ascii="Book Antiqua" w:eastAsia="Arial" w:hAnsi="Book Antiqua" w:cs="Arial"/>
              </w:rPr>
              <w:t xml:space="preserve"> 75%) and HBeAg negative (90%</w:t>
            </w:r>
            <w:r w:rsidRPr="00466EC7">
              <w:rPr>
                <w:rFonts w:ascii="Book Antiqua" w:eastAsia="Arial" w:hAnsi="Book Antiqua" w:cs="Arial"/>
                <w:i/>
                <w:iCs/>
              </w:rPr>
              <w:t xml:space="preserve"> vs </w:t>
            </w:r>
            <w:r w:rsidRPr="00C67819">
              <w:rPr>
                <w:rFonts w:ascii="Book Antiqua" w:eastAsia="Arial" w:hAnsi="Book Antiqua" w:cs="Arial"/>
              </w:rPr>
              <w:t>91%) patients</w:t>
            </w:r>
          </w:p>
        </w:tc>
      </w:tr>
      <w:tr w:rsidR="004E770C" w:rsidRPr="00C67819" w14:paraId="002240CD" w14:textId="77777777" w:rsidTr="001605A7">
        <w:tc>
          <w:tcPr>
            <w:tcW w:w="950" w:type="pct"/>
            <w:shd w:val="clear" w:color="auto" w:fill="auto"/>
          </w:tcPr>
          <w:p w14:paraId="19457170" w14:textId="269FEB3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Yim </w:t>
            </w:r>
            <w:r w:rsidRPr="00466EC7">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6</w:t>
            </w:r>
            <w:r w:rsidR="00466EC7">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466EC7">
              <w:rPr>
                <w:rFonts w:ascii="Book Antiqua" w:eastAsia="Arial" w:hAnsi="Book Antiqua" w:cs="Arial"/>
              </w:rPr>
              <w:t xml:space="preserve">, </w:t>
            </w:r>
            <w:r w:rsidRPr="00C67819">
              <w:rPr>
                <w:rFonts w:ascii="Book Antiqua" w:eastAsia="Arial" w:hAnsi="Book Antiqua" w:cs="Arial"/>
              </w:rPr>
              <w:t>2018</w:t>
            </w:r>
          </w:p>
        </w:tc>
        <w:tc>
          <w:tcPr>
            <w:tcW w:w="825" w:type="pct"/>
          </w:tcPr>
          <w:p w14:paraId="335440BC" w14:textId="62D62E92" w:rsidR="004E770C" w:rsidRPr="00C67819" w:rsidRDefault="00466EC7" w:rsidP="00C31635">
            <w:pPr>
              <w:spacing w:line="360" w:lineRule="auto"/>
              <w:jc w:val="both"/>
              <w:rPr>
                <w:rFonts w:ascii="Book Antiqua" w:eastAsia="Arial" w:hAnsi="Book Antiqua" w:cs="Arial"/>
              </w:rPr>
            </w:pPr>
            <w:r w:rsidRPr="00C67819">
              <w:rPr>
                <w:rFonts w:ascii="Book Antiqua" w:eastAsia="Arial" w:hAnsi="Book Antiqua" w:cs="Arial"/>
              </w:rPr>
              <w:t>Prospective randomized controlled trial</w:t>
            </w:r>
          </w:p>
        </w:tc>
        <w:tc>
          <w:tcPr>
            <w:tcW w:w="3225" w:type="pct"/>
            <w:shd w:val="clear" w:color="auto" w:fill="auto"/>
          </w:tcPr>
          <w:p w14:paraId="429C457A" w14:textId="30F44B4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HBV patients who were partial responders to ETV, fared better (12-mo HBV response, </w:t>
            </w:r>
            <w:r w:rsidR="003F13CD" w:rsidRPr="003F13CD">
              <w:rPr>
                <w:rFonts w:ascii="Book Antiqua" w:eastAsia="Arial" w:hAnsi="Book Antiqua" w:cs="Arial"/>
                <w:i/>
                <w:iCs/>
              </w:rPr>
              <w:t>P</w:t>
            </w:r>
            <w:r w:rsidR="003F13CD">
              <w:rPr>
                <w:rFonts w:ascii="Book Antiqua" w:eastAsia="Arial" w:hAnsi="Book Antiqua" w:cs="Arial"/>
              </w:rPr>
              <w:t xml:space="preserve"> </w:t>
            </w:r>
            <w:r w:rsidRPr="00C67819">
              <w:rPr>
                <w:rFonts w:ascii="Book Antiqua" w:eastAsia="Arial" w:hAnsi="Book Antiqua" w:cs="Arial"/>
              </w:rPr>
              <w:t>=</w:t>
            </w:r>
            <w:r w:rsidR="003F13CD">
              <w:rPr>
                <w:rFonts w:ascii="Book Antiqua" w:eastAsia="Arial" w:hAnsi="Book Antiqua" w:cs="Arial"/>
              </w:rPr>
              <w:t xml:space="preserve"> </w:t>
            </w:r>
            <w:r w:rsidRPr="00C67819">
              <w:rPr>
                <w:rFonts w:ascii="Book Antiqua" w:eastAsia="Arial" w:hAnsi="Book Antiqua" w:cs="Arial"/>
              </w:rPr>
              <w:t>0.022), when switched to TDF versus continuing ETV</w:t>
            </w:r>
          </w:p>
        </w:tc>
      </w:tr>
      <w:tr w:rsidR="004E770C" w:rsidRPr="00C67819" w14:paraId="76F86A03" w14:textId="77777777" w:rsidTr="001605A7">
        <w:tc>
          <w:tcPr>
            <w:tcW w:w="950" w:type="pct"/>
            <w:shd w:val="clear" w:color="auto" w:fill="auto"/>
          </w:tcPr>
          <w:p w14:paraId="7DDC56B0" w14:textId="5CB552D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Lee </w:t>
            </w:r>
            <w:r w:rsidRPr="00C661F7">
              <w:rPr>
                <w:rFonts w:ascii="Book Antiqua" w:eastAsia="Arial" w:hAnsi="Book Antiqua" w:cs="Arial"/>
                <w:i/>
                <w:iCs/>
              </w:rPr>
              <w:t>et al</w:t>
            </w:r>
            <w:r w:rsidRPr="00C67819">
              <w:rPr>
                <w:rFonts w:ascii="Book Antiqua" w:eastAsia="Arial" w:hAnsi="Book Antiqua" w:cs="Arial"/>
                <w:vertAlign w:val="superscript"/>
              </w:rPr>
              <w:t>[</w:t>
            </w:r>
            <w:r w:rsidR="00C661F7">
              <w:rPr>
                <w:rFonts w:ascii="Book Antiqua" w:eastAsia="Arial" w:hAnsi="Book Antiqua" w:cs="Arial"/>
                <w:color w:val="000000"/>
                <w:vertAlign w:val="superscript"/>
              </w:rPr>
              <w:t>70</w:t>
            </w:r>
            <w:r w:rsidRPr="00C67819">
              <w:rPr>
                <w:rFonts w:ascii="Book Antiqua" w:eastAsia="Arial" w:hAnsi="Book Antiqua" w:cs="Arial"/>
                <w:color w:val="000000"/>
                <w:vertAlign w:val="superscript"/>
              </w:rPr>
              <w:t>]</w:t>
            </w:r>
            <w:r w:rsidR="00C661F7">
              <w:rPr>
                <w:rFonts w:ascii="Book Antiqua" w:eastAsia="Arial" w:hAnsi="Book Antiqua" w:cs="Arial"/>
              </w:rPr>
              <w:t xml:space="preserve">, </w:t>
            </w:r>
            <w:r w:rsidRPr="00C67819">
              <w:rPr>
                <w:rFonts w:ascii="Book Antiqua" w:eastAsia="Arial" w:hAnsi="Book Antiqua" w:cs="Arial"/>
              </w:rPr>
              <w:t xml:space="preserve">2018 </w:t>
            </w:r>
          </w:p>
        </w:tc>
        <w:tc>
          <w:tcPr>
            <w:tcW w:w="825" w:type="pct"/>
          </w:tcPr>
          <w:p w14:paraId="4C7AC9F8" w14:textId="55ED9AEC" w:rsidR="004E770C" w:rsidRPr="00C67819" w:rsidRDefault="00C661F7"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08F69680" w14:textId="39D6F9BF"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 Lamivudine resistant HBV patients with non-detectable HBV DNA, while on Lamivudine + Adefovir combination therapy, switching to TDF monotherapy yielded non-inferior results at 96-wk</w:t>
            </w:r>
          </w:p>
        </w:tc>
      </w:tr>
      <w:tr w:rsidR="004E770C" w:rsidRPr="00C67819" w14:paraId="033B6CEB" w14:textId="77777777" w:rsidTr="001605A7">
        <w:tc>
          <w:tcPr>
            <w:tcW w:w="950" w:type="pct"/>
            <w:shd w:val="clear" w:color="auto" w:fill="auto"/>
          </w:tcPr>
          <w:p w14:paraId="410266A7" w14:textId="0AD1C5E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Marcellin </w:t>
            </w:r>
            <w:r w:rsidRPr="00612D27">
              <w:rPr>
                <w:rFonts w:ascii="Book Antiqua" w:eastAsia="Arial" w:hAnsi="Book Antiqua" w:cs="Arial"/>
                <w:i/>
                <w:iCs/>
              </w:rPr>
              <w:t>et al</w:t>
            </w:r>
            <w:r w:rsidRPr="00C67819">
              <w:rPr>
                <w:rFonts w:ascii="Book Antiqua" w:eastAsia="Arial" w:hAnsi="Book Antiqua" w:cs="Arial"/>
                <w:vertAlign w:val="superscript"/>
              </w:rPr>
              <w:t>[</w:t>
            </w:r>
            <w:r w:rsidR="00612D27">
              <w:rPr>
                <w:rFonts w:ascii="Book Antiqua" w:eastAsia="Arial" w:hAnsi="Book Antiqua" w:cs="Arial"/>
                <w:vertAlign w:val="superscript"/>
              </w:rPr>
              <w:t>71</w:t>
            </w:r>
            <w:r w:rsidRPr="00C67819">
              <w:rPr>
                <w:rFonts w:ascii="Book Antiqua" w:eastAsia="Arial" w:hAnsi="Book Antiqua" w:cs="Arial"/>
                <w:color w:val="000000"/>
                <w:vertAlign w:val="superscript"/>
              </w:rPr>
              <w:t>]</w:t>
            </w:r>
            <w:r w:rsidR="00612D27">
              <w:rPr>
                <w:rFonts w:ascii="Book Antiqua" w:eastAsia="Arial" w:hAnsi="Book Antiqua" w:cs="Arial"/>
              </w:rPr>
              <w:t xml:space="preserve">, </w:t>
            </w:r>
            <w:r w:rsidRPr="00C67819">
              <w:rPr>
                <w:rFonts w:ascii="Book Antiqua" w:eastAsia="Arial" w:hAnsi="Book Antiqua" w:cs="Arial"/>
              </w:rPr>
              <w:t>2019</w:t>
            </w:r>
          </w:p>
        </w:tc>
        <w:tc>
          <w:tcPr>
            <w:tcW w:w="825" w:type="pct"/>
          </w:tcPr>
          <w:p w14:paraId="13B15DF4" w14:textId="797DA941" w:rsidR="004E770C" w:rsidRPr="00C67819" w:rsidRDefault="00612D27"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1428FB3F" w14:textId="3479312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 10-yr TDF efficacy study showed HBV viral suppression in 100% of HBeAg-negative and 98% in HBeAg positive patients), with few renal or bone-related adverse events, and no resistance to TDF</w:t>
            </w:r>
          </w:p>
        </w:tc>
      </w:tr>
      <w:tr w:rsidR="004E770C" w:rsidRPr="00C67819" w14:paraId="615E89A1" w14:textId="77777777" w:rsidTr="001605A7">
        <w:tc>
          <w:tcPr>
            <w:tcW w:w="950" w:type="pct"/>
            <w:shd w:val="clear" w:color="auto" w:fill="auto"/>
          </w:tcPr>
          <w:p w14:paraId="35C47090" w14:textId="6F24139F"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Cai </w:t>
            </w:r>
            <w:r w:rsidRPr="00546828">
              <w:rPr>
                <w:rFonts w:ascii="Book Antiqua" w:eastAsia="Arial" w:hAnsi="Book Antiqua" w:cs="Arial"/>
                <w:i/>
                <w:iCs/>
              </w:rPr>
              <w:t>et al</w:t>
            </w:r>
            <w:r w:rsidRPr="00C67819">
              <w:rPr>
                <w:rFonts w:ascii="Book Antiqua" w:eastAsia="Arial" w:hAnsi="Book Antiqua" w:cs="Arial"/>
                <w:vertAlign w:val="superscript"/>
              </w:rPr>
              <w:t>[</w:t>
            </w:r>
            <w:r w:rsidR="00546828">
              <w:rPr>
                <w:rFonts w:ascii="Book Antiqua" w:eastAsia="Arial" w:hAnsi="Book Antiqua" w:cs="Arial"/>
                <w:vertAlign w:val="superscript"/>
              </w:rPr>
              <w:t>72</w:t>
            </w:r>
            <w:r w:rsidRPr="00C67819">
              <w:rPr>
                <w:rFonts w:ascii="Book Antiqua" w:eastAsia="Arial" w:hAnsi="Book Antiqua" w:cs="Arial"/>
                <w:color w:val="000000"/>
                <w:vertAlign w:val="superscript"/>
              </w:rPr>
              <w:t>]</w:t>
            </w:r>
            <w:r w:rsidR="00546828">
              <w:rPr>
                <w:rFonts w:ascii="Book Antiqua" w:eastAsia="Arial" w:hAnsi="Book Antiqua" w:cs="Arial"/>
              </w:rPr>
              <w:t xml:space="preserve">, </w:t>
            </w:r>
            <w:r w:rsidRPr="00C67819">
              <w:rPr>
                <w:rFonts w:ascii="Book Antiqua" w:eastAsia="Arial" w:hAnsi="Book Antiqua" w:cs="Arial"/>
              </w:rPr>
              <w:t>2019</w:t>
            </w:r>
          </w:p>
        </w:tc>
        <w:tc>
          <w:tcPr>
            <w:tcW w:w="825" w:type="pct"/>
          </w:tcPr>
          <w:p w14:paraId="1A3E83F0" w14:textId="5F7DC3A3" w:rsidR="004E770C" w:rsidRPr="00C67819" w:rsidRDefault="00546828" w:rsidP="00C31635">
            <w:pPr>
              <w:spacing w:line="360" w:lineRule="auto"/>
              <w:jc w:val="both"/>
              <w:rPr>
                <w:rFonts w:ascii="Book Antiqua" w:eastAsia="Arial" w:hAnsi="Book Antiqua" w:cs="Arial"/>
              </w:rPr>
            </w:pPr>
            <w:r w:rsidRPr="00C67819">
              <w:rPr>
                <w:rFonts w:ascii="Book Antiqua" w:eastAsia="Arial" w:hAnsi="Book Antiqua" w:cs="Arial"/>
              </w:rPr>
              <w:t>Multicenter randomized controlled trial</w:t>
            </w:r>
          </w:p>
        </w:tc>
        <w:tc>
          <w:tcPr>
            <w:tcW w:w="3225" w:type="pct"/>
            <w:shd w:val="clear" w:color="auto" w:fill="auto"/>
          </w:tcPr>
          <w:p w14:paraId="4C1F21BF" w14:textId="701CE6B1"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treatment naïve HBeAg positive patients treated with ETV or TDF, showed similar HBV DNA suppression (-6.6485</w:t>
            </w:r>
            <w:r w:rsidRPr="00DC5524">
              <w:rPr>
                <w:rFonts w:ascii="Book Antiqua" w:eastAsia="Arial" w:hAnsi="Book Antiqua" w:cs="Arial"/>
                <w:i/>
                <w:iCs/>
              </w:rPr>
              <w:t xml:space="preserve"> vs</w:t>
            </w:r>
            <w:r w:rsidRPr="00C67819">
              <w:rPr>
                <w:rFonts w:ascii="Book Antiqua" w:eastAsia="Arial" w:hAnsi="Book Antiqua" w:cs="Arial"/>
              </w:rPr>
              <w:t xml:space="preserve"> -6.692 log 10 IU/</w:t>
            </w:r>
            <w:r w:rsidR="00DC5524">
              <w:rPr>
                <w:rFonts w:ascii="Book Antiqua" w:eastAsia="Arial" w:hAnsi="Book Antiqua" w:cs="Arial"/>
              </w:rPr>
              <w:t>mL</w:t>
            </w:r>
            <w:r w:rsidRPr="00C67819">
              <w:rPr>
                <w:rFonts w:ascii="Book Antiqua" w:eastAsia="Arial" w:hAnsi="Book Antiqua" w:cs="Arial"/>
              </w:rPr>
              <w:t xml:space="preserve">, </w:t>
            </w:r>
            <w:r w:rsidR="00DC5524" w:rsidRPr="00DC5524">
              <w:rPr>
                <w:rFonts w:ascii="Book Antiqua" w:eastAsia="Arial" w:hAnsi="Book Antiqua" w:cs="Arial"/>
                <w:i/>
                <w:iCs/>
              </w:rPr>
              <w:t>P</w:t>
            </w:r>
            <w:r w:rsidRPr="00C67819">
              <w:rPr>
                <w:rFonts w:ascii="Book Antiqua" w:eastAsia="Arial" w:hAnsi="Book Antiqua" w:cs="Arial"/>
              </w:rPr>
              <w:t xml:space="preserve"> = 0.807) at 144 wk as well as similar serologic, biochemical, and side-effect profiles</w:t>
            </w:r>
          </w:p>
        </w:tc>
      </w:tr>
      <w:tr w:rsidR="004E770C" w:rsidRPr="00C67819" w14:paraId="38F629C4" w14:textId="77777777" w:rsidTr="001605A7">
        <w:tc>
          <w:tcPr>
            <w:tcW w:w="950" w:type="pct"/>
            <w:shd w:val="clear" w:color="auto" w:fill="auto"/>
          </w:tcPr>
          <w:p w14:paraId="0965FF41" w14:textId="0B902223"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Liang</w:t>
            </w:r>
            <w:r w:rsidRPr="00F8229D">
              <w:rPr>
                <w:rFonts w:ascii="Book Antiqua" w:eastAsia="Arial" w:hAnsi="Book Antiqua" w:cs="Arial"/>
                <w:i/>
                <w:iCs/>
              </w:rPr>
              <w:t xml:space="preserve"> et al</w:t>
            </w:r>
            <w:r w:rsidRPr="00C67819">
              <w:rPr>
                <w:rFonts w:ascii="Book Antiqua" w:eastAsia="Arial" w:hAnsi="Book Antiqua" w:cs="Arial"/>
                <w:vertAlign w:val="superscript"/>
              </w:rPr>
              <w:t>[</w:t>
            </w:r>
            <w:r w:rsidR="00F8229D">
              <w:rPr>
                <w:rFonts w:ascii="Book Antiqua" w:eastAsia="Arial" w:hAnsi="Book Antiqua" w:cs="Arial"/>
                <w:vertAlign w:val="superscript"/>
              </w:rPr>
              <w:t>73</w:t>
            </w:r>
            <w:r w:rsidRPr="00C67819">
              <w:rPr>
                <w:rFonts w:ascii="Book Antiqua" w:eastAsia="Arial" w:hAnsi="Book Antiqua" w:cs="Arial"/>
                <w:color w:val="000000"/>
                <w:vertAlign w:val="superscript"/>
              </w:rPr>
              <w:t>]</w:t>
            </w:r>
            <w:r w:rsidR="00F8229D">
              <w:rPr>
                <w:rFonts w:ascii="Book Antiqua" w:eastAsia="Arial" w:hAnsi="Book Antiqua" w:cs="Arial"/>
                <w:color w:val="000000"/>
              </w:rPr>
              <w:t xml:space="preserve">, </w:t>
            </w:r>
            <w:r w:rsidRPr="00C67819">
              <w:rPr>
                <w:rFonts w:ascii="Book Antiqua" w:eastAsia="Arial" w:hAnsi="Book Antiqua" w:cs="Arial"/>
                <w:color w:val="000000"/>
              </w:rPr>
              <w:t>2018</w:t>
            </w:r>
          </w:p>
        </w:tc>
        <w:tc>
          <w:tcPr>
            <w:tcW w:w="825" w:type="pct"/>
          </w:tcPr>
          <w:p w14:paraId="380C1831" w14:textId="7E59DC50" w:rsidR="004E770C" w:rsidRPr="00C67819" w:rsidRDefault="00F8229D"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28FE25A0" w14:textId="1D9B5E5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treatment naïve HBeAg positive patients treated with Telbivudine-based therapy showed a reduction in liver stiffness, monitored by Fibroscan©), from 8.6 at baseline to 6.1 at week 24, and 5.3 at week 104</w:t>
            </w:r>
          </w:p>
        </w:tc>
      </w:tr>
      <w:tr w:rsidR="004E770C" w:rsidRPr="00C67819" w14:paraId="61E052A2" w14:textId="77777777" w:rsidTr="001605A7">
        <w:tc>
          <w:tcPr>
            <w:tcW w:w="950" w:type="pct"/>
            <w:shd w:val="clear" w:color="auto" w:fill="auto"/>
          </w:tcPr>
          <w:p w14:paraId="173CD2D3" w14:textId="4221CE20" w:rsidR="004E770C" w:rsidRPr="00F8229D"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Liem </w:t>
            </w:r>
            <w:r w:rsidRPr="00F8229D">
              <w:rPr>
                <w:rFonts w:ascii="Book Antiqua" w:eastAsia="Arial" w:hAnsi="Book Antiqua" w:cs="Arial"/>
                <w:i/>
                <w:iCs/>
              </w:rPr>
              <w:t>et al</w:t>
            </w:r>
            <w:r w:rsidRPr="00F8229D">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F8229D">
              <w:rPr>
                <w:rFonts w:ascii="Book Antiqua" w:eastAsia="Arial" w:hAnsi="Book Antiqua" w:cs="Arial"/>
                <w:color w:val="000000"/>
                <w:vertAlign w:val="superscript"/>
              </w:rPr>
              <w:t>5</w:t>
            </w:r>
            <w:r w:rsidRPr="00C67819">
              <w:rPr>
                <w:rFonts w:ascii="Book Antiqua" w:eastAsia="Arial" w:hAnsi="Book Antiqua" w:cs="Arial"/>
                <w:color w:val="000000"/>
                <w:vertAlign w:val="superscript"/>
              </w:rPr>
              <w:t>]</w:t>
            </w:r>
            <w:r w:rsidR="00F8229D">
              <w:rPr>
                <w:rFonts w:ascii="Book Antiqua" w:eastAsia="Arial" w:hAnsi="Book Antiqua" w:cs="Arial"/>
                <w:color w:val="000000"/>
              </w:rPr>
              <w:t xml:space="preserve">, </w:t>
            </w:r>
            <w:r w:rsidRPr="00C67819">
              <w:rPr>
                <w:rFonts w:ascii="Book Antiqua" w:eastAsia="Arial" w:hAnsi="Book Antiqua" w:cs="Arial"/>
                <w:color w:val="000000"/>
              </w:rPr>
              <w:t>2019</w:t>
            </w:r>
          </w:p>
        </w:tc>
        <w:tc>
          <w:tcPr>
            <w:tcW w:w="825" w:type="pct"/>
          </w:tcPr>
          <w:p w14:paraId="47850F6C" w14:textId="04C49F70" w:rsidR="004E770C" w:rsidRPr="00C67819" w:rsidRDefault="00F8229D" w:rsidP="00C31635">
            <w:pPr>
              <w:spacing w:line="360" w:lineRule="auto"/>
              <w:jc w:val="both"/>
              <w:rPr>
                <w:rFonts w:ascii="Book Antiqua" w:eastAsia="Arial" w:hAnsi="Book Antiqua" w:cs="Arial"/>
              </w:rPr>
            </w:pPr>
            <w:r w:rsidRPr="00C67819">
              <w:rPr>
                <w:rFonts w:ascii="Book Antiqua" w:eastAsia="Arial" w:hAnsi="Book Antiqua" w:cs="Arial"/>
              </w:rPr>
              <w:t>Randomized controlled trial</w:t>
            </w:r>
          </w:p>
        </w:tc>
        <w:tc>
          <w:tcPr>
            <w:tcW w:w="3225" w:type="pct"/>
            <w:shd w:val="clear" w:color="auto" w:fill="auto"/>
          </w:tcPr>
          <w:p w14:paraId="13709A68" w14:textId="337A47B2"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In HBV patients who received NA, and achieved HBeAg seroconversion with undetectable HBV DNA, maintenance of remission was seen in 82% of those who continued NA </w:t>
            </w:r>
            <w:r w:rsidRPr="00F8229D">
              <w:rPr>
                <w:rFonts w:ascii="Book Antiqua" w:eastAsia="Arial" w:hAnsi="Book Antiqua" w:cs="Arial"/>
                <w:i/>
                <w:iCs/>
              </w:rPr>
              <w:t>vs</w:t>
            </w:r>
            <w:r w:rsidRPr="00C67819">
              <w:rPr>
                <w:rFonts w:ascii="Book Antiqua" w:eastAsia="Arial" w:hAnsi="Book Antiqua" w:cs="Arial"/>
              </w:rPr>
              <w:t xml:space="preserve"> 29% of those who discontinued NA</w:t>
            </w:r>
          </w:p>
        </w:tc>
      </w:tr>
      <w:tr w:rsidR="004E770C" w:rsidRPr="00C67819" w14:paraId="593B3DCE" w14:textId="77777777" w:rsidTr="001605A7">
        <w:tc>
          <w:tcPr>
            <w:tcW w:w="950" w:type="pct"/>
            <w:shd w:val="clear" w:color="auto" w:fill="auto"/>
          </w:tcPr>
          <w:p w14:paraId="6241B33A" w14:textId="521D1710" w:rsidR="004E770C" w:rsidRPr="00EC5430"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Buti </w:t>
            </w:r>
            <w:r w:rsidRPr="00EC5430">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EC5430">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EC5430">
              <w:rPr>
                <w:rFonts w:ascii="Book Antiqua" w:eastAsia="Arial" w:hAnsi="Book Antiqua" w:cs="Arial"/>
              </w:rPr>
              <w:t xml:space="preserve">, </w:t>
            </w:r>
            <w:r w:rsidRPr="00C67819">
              <w:rPr>
                <w:rFonts w:ascii="Book Antiqua" w:eastAsia="Arial" w:hAnsi="Book Antiqua" w:cs="Arial"/>
              </w:rPr>
              <w:t>2019</w:t>
            </w:r>
          </w:p>
        </w:tc>
        <w:tc>
          <w:tcPr>
            <w:tcW w:w="825" w:type="pct"/>
          </w:tcPr>
          <w:p w14:paraId="5A2163B1" w14:textId="646474C1" w:rsidR="004E770C" w:rsidRPr="00C67819" w:rsidRDefault="00EC5430"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0D859895" w14:textId="04100C02"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patients treated with TDF, and then discontinued: At 24 wk following discontinuation of NA, almost a third of patients had grade 3 hepatotoxicity (indicated by AST/ALT of &gt; 5 - &lt; 10 ULN, and total bilirubin of &gt; 3 - &lt; 10 ULN)</w:t>
            </w:r>
          </w:p>
        </w:tc>
      </w:tr>
      <w:tr w:rsidR="004E770C" w:rsidRPr="00C67819" w14:paraId="48AF65BF" w14:textId="77777777" w:rsidTr="001605A7">
        <w:tc>
          <w:tcPr>
            <w:tcW w:w="950" w:type="pct"/>
            <w:shd w:val="clear" w:color="auto" w:fill="auto"/>
          </w:tcPr>
          <w:p w14:paraId="3FA00CC3" w14:textId="087E051D" w:rsidR="004E770C" w:rsidRPr="009E1B07"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Wong </w:t>
            </w:r>
            <w:r w:rsidRPr="009E1B07">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9E1B07">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9E1B07">
              <w:rPr>
                <w:rFonts w:ascii="Book Antiqua" w:eastAsia="Arial" w:hAnsi="Book Antiqua" w:cs="Arial"/>
              </w:rPr>
              <w:t xml:space="preserve">, </w:t>
            </w:r>
            <w:r w:rsidRPr="00C67819">
              <w:rPr>
                <w:rFonts w:ascii="Book Antiqua" w:eastAsia="Arial" w:hAnsi="Book Antiqua" w:cs="Arial"/>
              </w:rPr>
              <w:t>2018</w:t>
            </w:r>
          </w:p>
        </w:tc>
        <w:tc>
          <w:tcPr>
            <w:tcW w:w="825" w:type="pct"/>
          </w:tcPr>
          <w:p w14:paraId="19AE3D94" w14:textId="221C772E" w:rsidR="004E770C" w:rsidRPr="00C67819" w:rsidRDefault="009E1B07" w:rsidP="00C31635">
            <w:pPr>
              <w:spacing w:line="360" w:lineRule="auto"/>
              <w:jc w:val="both"/>
              <w:rPr>
                <w:rFonts w:ascii="Book Antiqua" w:eastAsia="Arial" w:hAnsi="Book Antiqua" w:cs="Arial"/>
              </w:rPr>
            </w:pPr>
            <w:r w:rsidRPr="00C67819">
              <w:rPr>
                <w:rFonts w:ascii="Book Antiqua" w:eastAsia="Arial" w:hAnsi="Book Antiqua" w:cs="Arial"/>
              </w:rPr>
              <w:t>Phase II prospective trial</w:t>
            </w:r>
          </w:p>
        </w:tc>
        <w:tc>
          <w:tcPr>
            <w:tcW w:w="3225" w:type="pct"/>
            <w:shd w:val="clear" w:color="auto" w:fill="auto"/>
          </w:tcPr>
          <w:p w14:paraId="7A166862" w14:textId="1973996E"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immune-tolerant patients who received TDF and/or Emtricitabine for 4 yr and were followed for another 4 yr after cessation, showed 100% virological relapse at week 4 (HBV DNA</w:t>
            </w:r>
            <w:r w:rsidR="00AD47E8">
              <w:rPr>
                <w:rFonts w:ascii="Book Antiqua" w:eastAsia="Arial" w:hAnsi="Book Antiqua" w:cs="Arial"/>
              </w:rPr>
              <w:t xml:space="preserve"> </w:t>
            </w:r>
            <w:r w:rsidRPr="00C67819">
              <w:rPr>
                <w:rFonts w:ascii="Book Antiqua" w:eastAsia="Arial" w:hAnsi="Book Antiqua" w:cs="Arial"/>
              </w:rPr>
              <w:t>&gt;</w:t>
            </w:r>
            <w:r w:rsidR="00AD47E8">
              <w:rPr>
                <w:rFonts w:ascii="Book Antiqua" w:eastAsia="Arial" w:hAnsi="Book Antiqua" w:cs="Arial"/>
              </w:rPr>
              <w:t xml:space="preserve"> </w:t>
            </w:r>
            <w:r w:rsidRPr="00C67819">
              <w:rPr>
                <w:rFonts w:ascii="Book Antiqua" w:eastAsia="Arial" w:hAnsi="Book Antiqua" w:cs="Arial"/>
              </w:rPr>
              <w:t>2000) and a 50% clinical relapse (HBV DNA &gt;</w:t>
            </w:r>
            <w:r w:rsidR="00AD47E8">
              <w:rPr>
                <w:rFonts w:ascii="Book Antiqua" w:eastAsia="Arial" w:hAnsi="Book Antiqua" w:cs="Arial"/>
              </w:rPr>
              <w:t xml:space="preserve"> </w:t>
            </w:r>
            <w:r w:rsidRPr="00C67819">
              <w:rPr>
                <w:rFonts w:ascii="Book Antiqua" w:eastAsia="Arial" w:hAnsi="Book Antiqua" w:cs="Arial"/>
              </w:rPr>
              <w:t>2000 and ALT &gt; 2</w:t>
            </w:r>
            <w:r w:rsidR="0032748B">
              <w:rPr>
                <w:rFonts w:ascii="Book Antiqua" w:eastAsia="Arial" w:hAnsi="Book Antiqua" w:cs="Arial"/>
              </w:rPr>
              <w:t xml:space="preserve"> </w:t>
            </w:r>
            <w:r w:rsidRPr="00C67819">
              <w:rPr>
                <w:rFonts w:ascii="Book Antiqua" w:eastAsia="Arial" w:hAnsi="Book Antiqua" w:cs="Arial"/>
              </w:rPr>
              <w:t>ULN) at 15</w:t>
            </w:r>
            <w:r w:rsidR="00AD47E8">
              <w:rPr>
                <w:rFonts w:ascii="Book Antiqua" w:eastAsia="Arial" w:hAnsi="Book Antiqua" w:cs="Arial"/>
              </w:rPr>
              <w:t xml:space="preserve"> </w:t>
            </w:r>
            <w:r w:rsidRPr="00C67819">
              <w:rPr>
                <w:rFonts w:ascii="Book Antiqua" w:eastAsia="Arial" w:hAnsi="Book Antiqua" w:cs="Arial"/>
              </w:rPr>
              <w:t>±</w:t>
            </w:r>
            <w:r w:rsidR="00AD47E8">
              <w:rPr>
                <w:rFonts w:ascii="Book Antiqua" w:eastAsia="Arial" w:hAnsi="Book Antiqua" w:cs="Arial"/>
              </w:rPr>
              <w:t xml:space="preserve"> </w:t>
            </w:r>
            <w:r w:rsidRPr="00C67819">
              <w:rPr>
                <w:rFonts w:ascii="Book Antiqua" w:eastAsia="Arial" w:hAnsi="Book Antiqua" w:cs="Arial"/>
              </w:rPr>
              <w:t>11 wk</w:t>
            </w:r>
          </w:p>
        </w:tc>
      </w:tr>
      <w:tr w:rsidR="004E770C" w:rsidRPr="00C67819" w14:paraId="6E96BBF3" w14:textId="77777777" w:rsidTr="001605A7">
        <w:tc>
          <w:tcPr>
            <w:tcW w:w="950" w:type="pct"/>
            <w:shd w:val="clear" w:color="auto" w:fill="auto"/>
          </w:tcPr>
          <w:p w14:paraId="7FB2D589" w14:textId="1ED88746" w:rsidR="004E770C" w:rsidRPr="0089072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Liem </w:t>
            </w:r>
            <w:r w:rsidRPr="0089072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890724">
              <w:rPr>
                <w:rFonts w:ascii="Book Antiqua" w:eastAsia="Arial" w:hAnsi="Book Antiqua" w:cs="Arial"/>
                <w:color w:val="000000"/>
                <w:vertAlign w:val="superscript"/>
              </w:rPr>
              <w:t>8</w:t>
            </w:r>
            <w:r w:rsidRPr="00C67819">
              <w:rPr>
                <w:rFonts w:ascii="Book Antiqua" w:eastAsia="Arial" w:hAnsi="Book Antiqua" w:cs="Arial"/>
                <w:color w:val="000000"/>
                <w:vertAlign w:val="superscript"/>
              </w:rPr>
              <w:t>]</w:t>
            </w:r>
            <w:r w:rsidR="00890724">
              <w:rPr>
                <w:rFonts w:ascii="Book Antiqua" w:eastAsia="Arial" w:hAnsi="Book Antiqua" w:cs="Arial"/>
              </w:rPr>
              <w:t xml:space="preserve">, </w:t>
            </w:r>
            <w:r w:rsidRPr="00C67819">
              <w:rPr>
                <w:rFonts w:ascii="Book Antiqua" w:eastAsia="Arial" w:hAnsi="Book Antiqua" w:cs="Arial"/>
              </w:rPr>
              <w:t>2019</w:t>
            </w:r>
          </w:p>
        </w:tc>
        <w:tc>
          <w:tcPr>
            <w:tcW w:w="825" w:type="pct"/>
          </w:tcPr>
          <w:p w14:paraId="7551EEEF" w14:textId="3F8DC92F" w:rsidR="004E770C" w:rsidRPr="00C67819" w:rsidRDefault="00890724" w:rsidP="00C31635">
            <w:pPr>
              <w:spacing w:line="360" w:lineRule="auto"/>
              <w:jc w:val="both"/>
              <w:rPr>
                <w:rFonts w:ascii="Book Antiqua" w:eastAsia="Arial" w:hAnsi="Book Antiqua" w:cs="Arial"/>
              </w:rPr>
            </w:pPr>
            <w:r w:rsidRPr="00C67819">
              <w:rPr>
                <w:rFonts w:ascii="Book Antiqua" w:eastAsia="Arial" w:hAnsi="Book Antiqua" w:cs="Arial"/>
              </w:rPr>
              <w:t>Randomized prospective trial</w:t>
            </w:r>
          </w:p>
        </w:tc>
        <w:tc>
          <w:tcPr>
            <w:tcW w:w="3225" w:type="pct"/>
            <w:shd w:val="clear" w:color="auto" w:fill="auto"/>
          </w:tcPr>
          <w:p w14:paraId="24C9D901" w14:textId="315A7A1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Randomized addition of PEG-IFN to ETV therapy, in HBeAg positive HBV patients was associated with a significantly higher 48-wk response rate (HBeAg loss), compared to ETV monotherapy (</w:t>
            </w:r>
            <w:r w:rsidR="0032748B" w:rsidRPr="0032748B">
              <w:rPr>
                <w:rFonts w:ascii="Book Antiqua" w:eastAsia="Arial" w:hAnsi="Book Antiqua" w:cs="Arial"/>
                <w:i/>
                <w:iCs/>
              </w:rPr>
              <w:t>P</w:t>
            </w:r>
            <w:r w:rsidR="0032748B">
              <w:rPr>
                <w:rFonts w:ascii="Book Antiqua" w:eastAsia="Arial" w:hAnsi="Book Antiqua" w:cs="Arial"/>
              </w:rPr>
              <w:t xml:space="preserve"> </w:t>
            </w:r>
            <w:r w:rsidRPr="00C67819">
              <w:rPr>
                <w:rFonts w:ascii="Book Antiqua" w:eastAsia="Arial" w:hAnsi="Book Antiqua" w:cs="Arial"/>
              </w:rPr>
              <w:t>=</w:t>
            </w:r>
            <w:r w:rsidR="0032748B">
              <w:rPr>
                <w:rFonts w:ascii="Book Antiqua" w:eastAsia="Arial" w:hAnsi="Book Antiqua" w:cs="Arial"/>
              </w:rPr>
              <w:t xml:space="preserve"> </w:t>
            </w:r>
            <w:r w:rsidRPr="00C67819">
              <w:rPr>
                <w:rFonts w:ascii="Book Antiqua" w:eastAsia="Arial" w:hAnsi="Book Antiqua" w:cs="Arial"/>
              </w:rPr>
              <w:t>0.03)</w:t>
            </w:r>
          </w:p>
        </w:tc>
      </w:tr>
      <w:tr w:rsidR="004E770C" w:rsidRPr="00C67819" w14:paraId="3A1BFDCB" w14:textId="77777777" w:rsidTr="001605A7">
        <w:tc>
          <w:tcPr>
            <w:tcW w:w="950" w:type="pct"/>
            <w:shd w:val="clear" w:color="auto" w:fill="auto"/>
          </w:tcPr>
          <w:p w14:paraId="28195128" w14:textId="57BFDBB4" w:rsidR="004E770C" w:rsidRPr="0089072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Lampertico </w:t>
            </w:r>
            <w:r w:rsidRPr="0089072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890724">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890724">
              <w:rPr>
                <w:rFonts w:ascii="Book Antiqua" w:eastAsia="Arial" w:hAnsi="Book Antiqua" w:cs="Arial"/>
              </w:rPr>
              <w:t xml:space="preserve">, </w:t>
            </w:r>
            <w:r w:rsidR="00890724" w:rsidRPr="00C67819">
              <w:rPr>
                <w:rFonts w:ascii="Book Antiqua" w:eastAsia="Arial" w:hAnsi="Book Antiqua" w:cs="Arial"/>
              </w:rPr>
              <w:t>2019</w:t>
            </w:r>
          </w:p>
        </w:tc>
        <w:tc>
          <w:tcPr>
            <w:tcW w:w="825" w:type="pct"/>
          </w:tcPr>
          <w:p w14:paraId="62E5D6D0" w14:textId="06561044" w:rsidR="004E770C" w:rsidRPr="00C67819" w:rsidRDefault="00890724" w:rsidP="00890724">
            <w:pPr>
              <w:spacing w:line="360" w:lineRule="auto"/>
              <w:jc w:val="both"/>
              <w:rPr>
                <w:rFonts w:ascii="Book Antiqua" w:eastAsia="Arial" w:hAnsi="Book Antiqua" w:cs="Arial"/>
              </w:rPr>
            </w:pPr>
            <w:r w:rsidRPr="00C67819">
              <w:rPr>
                <w:rFonts w:ascii="Book Antiqua" w:eastAsia="Arial" w:hAnsi="Book Antiqua" w:cs="Arial"/>
              </w:rPr>
              <w:t>Prospective</w:t>
            </w:r>
            <w:r>
              <w:rPr>
                <w:rFonts w:ascii="Book Antiqua" w:eastAsia="Arial" w:hAnsi="Book Antiqua" w:cs="Arial"/>
              </w:rPr>
              <w:t xml:space="preserve"> </w:t>
            </w:r>
            <w:r w:rsidRPr="00C67819">
              <w:rPr>
                <w:rFonts w:ascii="Book Antiqua" w:eastAsia="Arial" w:hAnsi="Book Antiqua" w:cs="Arial"/>
              </w:rPr>
              <w:t>randomized controlled trial</w:t>
            </w:r>
          </w:p>
        </w:tc>
        <w:tc>
          <w:tcPr>
            <w:tcW w:w="3225" w:type="pct"/>
            <w:shd w:val="clear" w:color="auto" w:fill="auto"/>
          </w:tcPr>
          <w:p w14:paraId="5597C2E0" w14:textId="77A91F0B" w:rsidR="004E770C" w:rsidRPr="00B23050" w:rsidRDefault="004E770C" w:rsidP="00C31635">
            <w:pPr>
              <w:spacing w:line="360" w:lineRule="auto"/>
              <w:jc w:val="both"/>
              <w:rPr>
                <w:rFonts w:ascii="Book Antiqua" w:eastAsia="Arial" w:hAnsi="Book Antiqua" w:cs="Arial"/>
                <w:highlight w:val="white"/>
              </w:rPr>
            </w:pPr>
            <w:r w:rsidRPr="00C67819">
              <w:rPr>
                <w:rFonts w:ascii="Book Antiqua" w:eastAsia="Arial" w:hAnsi="Book Antiqua" w:cs="Arial"/>
              </w:rPr>
              <w:t xml:space="preserve">Genotype D, </w:t>
            </w:r>
            <w:r w:rsidRPr="00C67819">
              <w:rPr>
                <w:rFonts w:ascii="Book Antiqua" w:eastAsia="Arial" w:hAnsi="Book Antiqua" w:cs="Arial"/>
                <w:highlight w:val="white"/>
              </w:rPr>
              <w:t>HBeAg-negative HBV patients</w:t>
            </w:r>
            <w:r w:rsidRPr="00C67819">
              <w:rPr>
                <w:rFonts w:ascii="Book Antiqua" w:eastAsia="Arial" w:hAnsi="Book Antiqua" w:cs="Arial"/>
              </w:rPr>
              <w:t xml:space="preserve">, on NA therapy showed a significant 50% decrease in HBsAg levels, with the addition of </w:t>
            </w:r>
            <w:r w:rsidRPr="00C67819">
              <w:rPr>
                <w:rFonts w:ascii="Book Antiqua" w:eastAsia="Arial" w:hAnsi="Book Antiqua" w:cs="Arial"/>
                <w:highlight w:val="white"/>
              </w:rPr>
              <w:t>PEG-IFN alfa-2a for 48 wk</w:t>
            </w:r>
          </w:p>
        </w:tc>
      </w:tr>
      <w:tr w:rsidR="004E770C" w:rsidRPr="00C67819" w14:paraId="2AEB4650" w14:textId="77777777" w:rsidTr="001605A7">
        <w:tc>
          <w:tcPr>
            <w:tcW w:w="950" w:type="pct"/>
            <w:shd w:val="clear" w:color="auto" w:fill="auto"/>
          </w:tcPr>
          <w:p w14:paraId="7DE7702E" w14:textId="41C71435" w:rsidR="004E770C" w:rsidRPr="0056450C"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Chan </w:t>
            </w:r>
            <w:r w:rsidRPr="0056450C">
              <w:rPr>
                <w:rFonts w:ascii="Book Antiqua" w:eastAsia="Arial" w:hAnsi="Book Antiqua" w:cs="Arial"/>
                <w:i/>
                <w:iCs/>
              </w:rPr>
              <w:t>et al</w:t>
            </w:r>
            <w:r w:rsidRPr="00C67819">
              <w:rPr>
                <w:rFonts w:ascii="Book Antiqua" w:eastAsia="Arial" w:hAnsi="Book Antiqua" w:cs="Arial"/>
                <w:vertAlign w:val="superscript"/>
              </w:rPr>
              <w:t>[</w:t>
            </w:r>
            <w:r w:rsidR="0056450C">
              <w:rPr>
                <w:rFonts w:ascii="Book Antiqua" w:eastAsia="Arial" w:hAnsi="Book Antiqua" w:cs="Arial"/>
                <w:color w:val="000000"/>
                <w:vertAlign w:val="superscript"/>
              </w:rPr>
              <w:t>80</w:t>
            </w:r>
            <w:r w:rsidRPr="00C67819">
              <w:rPr>
                <w:rFonts w:ascii="Book Antiqua" w:eastAsia="Arial" w:hAnsi="Book Antiqua" w:cs="Arial"/>
                <w:color w:val="000000"/>
                <w:vertAlign w:val="superscript"/>
              </w:rPr>
              <w:t>]</w:t>
            </w:r>
            <w:r w:rsidR="0056450C">
              <w:rPr>
                <w:rFonts w:ascii="Book Antiqua" w:eastAsia="Arial" w:hAnsi="Book Antiqua" w:cs="Arial"/>
              </w:rPr>
              <w:t xml:space="preserve">, </w:t>
            </w:r>
            <w:r w:rsidRPr="00C67819">
              <w:rPr>
                <w:rFonts w:ascii="Book Antiqua" w:eastAsia="Arial" w:hAnsi="Book Antiqua" w:cs="Arial"/>
              </w:rPr>
              <w:t>2019</w:t>
            </w:r>
          </w:p>
        </w:tc>
        <w:tc>
          <w:tcPr>
            <w:tcW w:w="825" w:type="pct"/>
          </w:tcPr>
          <w:p w14:paraId="02313942" w14:textId="134012FC" w:rsidR="004E770C" w:rsidRPr="00C67819" w:rsidRDefault="0056450C"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32C782A2" w14:textId="5FA8A6C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 CHB patients, switched to weekly PEG-IFN alfa-2a after seroconversion on entecavir, those with lower HBsAg titers, showed a greater sustained response (88% at HBsAg &lt; 1500 IU/ml and 50% at HBsAg &lt; 500 IU/m</w:t>
            </w:r>
            <w:r w:rsidR="0056450C">
              <w:rPr>
                <w:rFonts w:ascii="Book Antiqua" w:eastAsia="Arial" w:hAnsi="Book Antiqua" w:cs="Arial"/>
              </w:rPr>
              <w:t>L</w:t>
            </w:r>
            <w:r w:rsidRPr="00C67819">
              <w:rPr>
                <w:rFonts w:ascii="Book Antiqua" w:eastAsia="Arial" w:hAnsi="Book Antiqua" w:cs="Arial"/>
              </w:rPr>
              <w:t>)</w:t>
            </w:r>
          </w:p>
        </w:tc>
      </w:tr>
      <w:tr w:rsidR="004E770C" w:rsidRPr="00C67819" w14:paraId="187FD052" w14:textId="77777777" w:rsidTr="001605A7">
        <w:tc>
          <w:tcPr>
            <w:tcW w:w="950" w:type="pct"/>
            <w:shd w:val="clear" w:color="auto" w:fill="auto"/>
          </w:tcPr>
          <w:p w14:paraId="166E11E8" w14:textId="672E1410" w:rsidR="004E770C" w:rsidRPr="0056450C"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Chen </w:t>
            </w:r>
            <w:r w:rsidRPr="0056450C">
              <w:rPr>
                <w:rFonts w:ascii="Book Antiqua" w:eastAsia="Arial" w:hAnsi="Book Antiqua" w:cs="Arial"/>
                <w:i/>
                <w:iCs/>
              </w:rPr>
              <w:t>et al</w:t>
            </w:r>
            <w:r w:rsidRPr="00C67819">
              <w:rPr>
                <w:rFonts w:ascii="Book Antiqua" w:eastAsia="Arial" w:hAnsi="Book Antiqua" w:cs="Arial"/>
                <w:vertAlign w:val="superscript"/>
              </w:rPr>
              <w:t>[</w:t>
            </w:r>
            <w:r w:rsidR="0056450C">
              <w:rPr>
                <w:rFonts w:ascii="Book Antiqua" w:eastAsia="Arial" w:hAnsi="Book Antiqua" w:cs="Arial"/>
                <w:color w:val="000000"/>
                <w:vertAlign w:val="superscript"/>
              </w:rPr>
              <w:t>82</w:t>
            </w:r>
            <w:r w:rsidRPr="00C67819">
              <w:rPr>
                <w:rFonts w:ascii="Book Antiqua" w:eastAsia="Arial" w:hAnsi="Book Antiqua" w:cs="Arial"/>
                <w:color w:val="000000"/>
                <w:vertAlign w:val="superscript"/>
              </w:rPr>
              <w:t>]</w:t>
            </w:r>
            <w:r w:rsidR="0056450C">
              <w:rPr>
                <w:rFonts w:ascii="Book Antiqua" w:eastAsia="Arial" w:hAnsi="Book Antiqua" w:cs="Arial"/>
              </w:rPr>
              <w:t xml:space="preserve">, </w:t>
            </w:r>
            <w:r w:rsidRPr="00C67819">
              <w:rPr>
                <w:rFonts w:ascii="Book Antiqua" w:eastAsia="Arial" w:hAnsi="Book Antiqua" w:cs="Arial"/>
              </w:rPr>
              <w:t>2020</w:t>
            </w:r>
          </w:p>
        </w:tc>
        <w:tc>
          <w:tcPr>
            <w:tcW w:w="825" w:type="pct"/>
          </w:tcPr>
          <w:p w14:paraId="6335B2CA" w14:textId="14C1B183" w:rsidR="004E770C" w:rsidRPr="00C67819" w:rsidRDefault="0056450C" w:rsidP="00C31635">
            <w:pPr>
              <w:spacing w:line="360" w:lineRule="auto"/>
              <w:jc w:val="both"/>
              <w:rPr>
                <w:rFonts w:ascii="Book Antiqua" w:eastAsia="Arial" w:hAnsi="Book Antiqua" w:cs="Arial"/>
              </w:rPr>
            </w:pPr>
            <w:r w:rsidRPr="00C67819">
              <w:rPr>
                <w:rFonts w:ascii="Book Antiqua" w:eastAsia="Arial" w:hAnsi="Book Antiqua" w:cs="Arial"/>
              </w:rPr>
              <w:t>Meta-analysis</w:t>
            </w:r>
          </w:p>
        </w:tc>
        <w:tc>
          <w:tcPr>
            <w:tcW w:w="3225" w:type="pct"/>
            <w:shd w:val="clear" w:color="auto" w:fill="auto"/>
          </w:tcPr>
          <w:p w14:paraId="17B1BBD6" w14:textId="356E4AB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Confirmed the importance of </w:t>
            </w:r>
            <w:r w:rsidRPr="00C67819">
              <w:rPr>
                <w:rFonts w:ascii="Book Antiqua" w:eastAsia="Arial" w:hAnsi="Book Antiqua" w:cs="Arial"/>
                <w:highlight w:val="white"/>
              </w:rPr>
              <w:t>longer treatment duration and addition of IFN for HBsAg lowering and highlighted the potential value of immune-based therapies</w:t>
            </w:r>
          </w:p>
        </w:tc>
      </w:tr>
      <w:tr w:rsidR="00B23050" w:rsidRPr="00C67819" w14:paraId="711381D7" w14:textId="77777777" w:rsidTr="001605A7">
        <w:tc>
          <w:tcPr>
            <w:tcW w:w="5000" w:type="pct"/>
            <w:gridSpan w:val="3"/>
          </w:tcPr>
          <w:p w14:paraId="7A678984" w14:textId="1E18CB79" w:rsidR="00B23050" w:rsidRPr="00C67819" w:rsidRDefault="00B23050" w:rsidP="00C31635">
            <w:pPr>
              <w:spacing w:line="360" w:lineRule="auto"/>
              <w:jc w:val="both"/>
              <w:rPr>
                <w:rFonts w:ascii="Book Antiqua" w:eastAsia="Arial" w:hAnsi="Book Antiqua" w:cs="Arial"/>
              </w:rPr>
            </w:pPr>
            <w:r w:rsidRPr="00C67819">
              <w:rPr>
                <w:rFonts w:ascii="Book Antiqua" w:eastAsia="Arial" w:hAnsi="Book Antiqua" w:cs="Arial"/>
                <w:b/>
              </w:rPr>
              <w:t>New direct antiviral agents</w:t>
            </w:r>
          </w:p>
        </w:tc>
      </w:tr>
      <w:tr w:rsidR="004E770C" w:rsidRPr="00C67819" w14:paraId="5049DC5E" w14:textId="77777777" w:rsidTr="001605A7">
        <w:tc>
          <w:tcPr>
            <w:tcW w:w="950" w:type="pct"/>
            <w:shd w:val="clear" w:color="auto" w:fill="auto"/>
          </w:tcPr>
          <w:p w14:paraId="17CDCEA3" w14:textId="23BA70E6" w:rsidR="004E770C" w:rsidRPr="00750253"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Ramanan </w:t>
            </w:r>
            <w:r w:rsidRPr="00750253">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750253">
              <w:rPr>
                <w:rFonts w:ascii="Book Antiqua" w:eastAsia="Arial" w:hAnsi="Book Antiqua" w:cs="Arial"/>
                <w:color w:val="000000"/>
                <w:vertAlign w:val="superscript"/>
              </w:rPr>
              <w:t>5</w:t>
            </w:r>
            <w:r w:rsidRPr="00C67819">
              <w:rPr>
                <w:rFonts w:ascii="Book Antiqua" w:eastAsia="Arial" w:hAnsi="Book Antiqua" w:cs="Arial"/>
                <w:color w:val="000000"/>
                <w:vertAlign w:val="superscript"/>
              </w:rPr>
              <w:t>]</w:t>
            </w:r>
            <w:r w:rsidR="00750253">
              <w:rPr>
                <w:rFonts w:ascii="Book Antiqua" w:eastAsia="Arial" w:hAnsi="Book Antiqua" w:cs="Arial"/>
              </w:rPr>
              <w:t xml:space="preserve">, </w:t>
            </w:r>
            <w:r w:rsidRPr="00C67819">
              <w:rPr>
                <w:rFonts w:ascii="Book Antiqua" w:eastAsia="Arial" w:hAnsi="Book Antiqua" w:cs="Arial"/>
              </w:rPr>
              <w:t>2015</w:t>
            </w:r>
          </w:p>
        </w:tc>
        <w:tc>
          <w:tcPr>
            <w:tcW w:w="825" w:type="pct"/>
          </w:tcPr>
          <w:p w14:paraId="32CA17CC" w14:textId="5FB2184B" w:rsidR="004E770C" w:rsidRPr="00C67819" w:rsidRDefault="00750253" w:rsidP="00C31635">
            <w:pPr>
              <w:spacing w:line="360" w:lineRule="auto"/>
              <w:jc w:val="both"/>
              <w:rPr>
                <w:rFonts w:ascii="Book Antiqua" w:eastAsia="Arial" w:hAnsi="Book Antiqua" w:cs="Arial"/>
              </w:rPr>
            </w:pPr>
            <w:r w:rsidRPr="00C67819">
              <w:rPr>
                <w:rFonts w:ascii="Book Antiqua" w:eastAsia="Arial" w:hAnsi="Book Antiqua" w:cs="Arial"/>
              </w:rPr>
              <w:t>Pre-clinical prospective study</w:t>
            </w:r>
          </w:p>
        </w:tc>
        <w:tc>
          <w:tcPr>
            <w:tcW w:w="3225" w:type="pct"/>
            <w:shd w:val="clear" w:color="auto" w:fill="auto"/>
          </w:tcPr>
          <w:p w14:paraId="4D7D0587" w14:textId="6EA10858"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Use of ccc DNA endonucleases (CRISPR/Cas9) resulted in a </w:t>
            </w:r>
            <w:r w:rsidRPr="00C67819">
              <w:rPr>
                <w:rFonts w:ascii="Book Antiqua" w:eastAsia="Arial" w:hAnsi="Book Antiqua" w:cs="Arial"/>
                <w:highlight w:val="white"/>
              </w:rPr>
              <w:t xml:space="preserve">reduction in both ccc DNA and other parameters of viral gene expression and replication </w:t>
            </w:r>
            <w:r w:rsidRPr="00C67819">
              <w:rPr>
                <w:rFonts w:ascii="Book Antiqua" w:eastAsia="Arial" w:hAnsi="Book Antiqua" w:cs="Arial"/>
                <w:i/>
                <w:highlight w:val="white"/>
              </w:rPr>
              <w:t>in vitro</w:t>
            </w:r>
          </w:p>
        </w:tc>
      </w:tr>
      <w:tr w:rsidR="004E770C" w:rsidRPr="00C67819" w14:paraId="2D788E1D" w14:textId="77777777" w:rsidTr="001605A7">
        <w:tc>
          <w:tcPr>
            <w:tcW w:w="950" w:type="pct"/>
            <w:shd w:val="clear" w:color="auto" w:fill="auto"/>
          </w:tcPr>
          <w:p w14:paraId="11A17F44" w14:textId="1872652A" w:rsidR="004E770C" w:rsidRPr="00A834A8"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Yuen </w:t>
            </w:r>
            <w:r w:rsidRPr="00B55C82">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55C82">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A834A8">
              <w:rPr>
                <w:rFonts w:ascii="Book Antiqua" w:eastAsia="Arial" w:hAnsi="Book Antiqua" w:cs="Arial"/>
              </w:rPr>
              <w:t xml:space="preserve">, </w:t>
            </w:r>
            <w:r w:rsidRPr="00C67819">
              <w:rPr>
                <w:rFonts w:ascii="Book Antiqua" w:eastAsia="Arial" w:hAnsi="Book Antiqua" w:cs="Arial"/>
              </w:rPr>
              <w:t>2019</w:t>
            </w:r>
          </w:p>
        </w:tc>
        <w:tc>
          <w:tcPr>
            <w:tcW w:w="825" w:type="pct"/>
          </w:tcPr>
          <w:p w14:paraId="27D3B1B6" w14:textId="095DAAB3" w:rsidR="004E770C" w:rsidRPr="00C67819" w:rsidRDefault="00A834A8" w:rsidP="00C31635">
            <w:pPr>
              <w:spacing w:line="360" w:lineRule="auto"/>
              <w:jc w:val="both"/>
              <w:rPr>
                <w:rFonts w:ascii="Book Antiqua" w:eastAsia="Arial" w:hAnsi="Book Antiqua" w:cs="Arial"/>
              </w:rPr>
            </w:pPr>
            <w:r w:rsidRPr="00C67819">
              <w:rPr>
                <w:rFonts w:ascii="Book Antiqua" w:eastAsia="Arial" w:hAnsi="Book Antiqua" w:cs="Arial"/>
              </w:rPr>
              <w:t>Phase 1 prospective trial</w:t>
            </w:r>
          </w:p>
        </w:tc>
        <w:tc>
          <w:tcPr>
            <w:tcW w:w="3225" w:type="pct"/>
            <w:shd w:val="clear" w:color="auto" w:fill="auto"/>
          </w:tcPr>
          <w:p w14:paraId="7B9C1257" w14:textId="0DFFC27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Non-cirrhotic HBeAg-positive CHB patients, tolerated NVR 3-778 (a capsid assembly protein modulator), and showed reduced serum levels of HBV DNA and HBV RNA, to the greatest extent in combination with PEG-IFN</w:t>
            </w:r>
          </w:p>
        </w:tc>
      </w:tr>
      <w:tr w:rsidR="004E770C" w:rsidRPr="00C67819" w14:paraId="107FCA20" w14:textId="77777777" w:rsidTr="001605A7">
        <w:tc>
          <w:tcPr>
            <w:tcW w:w="950" w:type="pct"/>
            <w:shd w:val="clear" w:color="auto" w:fill="auto"/>
          </w:tcPr>
          <w:p w14:paraId="683D711F" w14:textId="477F8182" w:rsidR="004E770C" w:rsidRPr="00B55C82"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Yuen </w:t>
            </w:r>
            <w:r w:rsidRPr="00B55C82">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55C82">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B55C82">
              <w:rPr>
                <w:rFonts w:ascii="Book Antiqua" w:eastAsia="Arial" w:hAnsi="Book Antiqua" w:cs="Arial"/>
              </w:rPr>
              <w:t xml:space="preserve">, </w:t>
            </w:r>
            <w:r w:rsidRPr="00C67819">
              <w:rPr>
                <w:rFonts w:ascii="Book Antiqua" w:eastAsia="Arial" w:hAnsi="Book Antiqua" w:cs="Arial"/>
              </w:rPr>
              <w:t>2020</w:t>
            </w:r>
          </w:p>
        </w:tc>
        <w:tc>
          <w:tcPr>
            <w:tcW w:w="825" w:type="pct"/>
          </w:tcPr>
          <w:p w14:paraId="08002A2F" w14:textId="0198240F" w:rsidR="004E770C" w:rsidRPr="00C67819" w:rsidRDefault="00B55C82" w:rsidP="00C31635">
            <w:pPr>
              <w:spacing w:line="360" w:lineRule="auto"/>
              <w:jc w:val="both"/>
              <w:rPr>
                <w:rFonts w:ascii="Book Antiqua" w:eastAsia="Arial" w:hAnsi="Book Antiqua" w:cs="Arial"/>
              </w:rPr>
            </w:pPr>
            <w:r w:rsidRPr="00C67819">
              <w:rPr>
                <w:rFonts w:ascii="Book Antiqua" w:eastAsia="Arial" w:hAnsi="Book Antiqua" w:cs="Arial"/>
              </w:rPr>
              <w:t>Phase I, randomized placebo-controlled trial</w:t>
            </w:r>
          </w:p>
        </w:tc>
        <w:tc>
          <w:tcPr>
            <w:tcW w:w="3225" w:type="pct"/>
            <w:shd w:val="clear" w:color="auto" w:fill="auto"/>
          </w:tcPr>
          <w:p w14:paraId="1829A3DB" w14:textId="7F555739"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acceptable safety, pharmacokinetics, and antiviral effects on an investigational HBV core protein inhibitor ABI-H0731</w:t>
            </w:r>
          </w:p>
        </w:tc>
      </w:tr>
      <w:tr w:rsidR="004E770C" w:rsidRPr="00C67819" w14:paraId="50FDD229" w14:textId="77777777" w:rsidTr="001605A7">
        <w:tc>
          <w:tcPr>
            <w:tcW w:w="950" w:type="pct"/>
            <w:shd w:val="clear" w:color="auto" w:fill="auto"/>
          </w:tcPr>
          <w:p w14:paraId="4708D5E5" w14:textId="214458BA" w:rsidR="004E770C" w:rsidRPr="00B024BA"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Zhao </w:t>
            </w:r>
            <w:r w:rsidRPr="00B024BA">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024BA">
              <w:rPr>
                <w:rFonts w:ascii="Book Antiqua" w:eastAsia="Arial" w:hAnsi="Book Antiqua" w:cs="Arial"/>
                <w:color w:val="000000"/>
                <w:vertAlign w:val="superscript"/>
              </w:rPr>
              <w:t>8</w:t>
            </w:r>
            <w:r w:rsidRPr="00C67819">
              <w:rPr>
                <w:rFonts w:ascii="Book Antiqua" w:eastAsia="Arial" w:hAnsi="Book Antiqua" w:cs="Arial"/>
                <w:color w:val="000000"/>
                <w:vertAlign w:val="superscript"/>
              </w:rPr>
              <w:t>]</w:t>
            </w:r>
            <w:r w:rsidR="00B024BA">
              <w:rPr>
                <w:rFonts w:ascii="Book Antiqua" w:eastAsia="Arial" w:hAnsi="Book Antiqua" w:cs="Arial"/>
              </w:rPr>
              <w:t xml:space="preserve">, </w:t>
            </w:r>
            <w:r w:rsidRPr="00C67819">
              <w:rPr>
                <w:rFonts w:ascii="Book Antiqua" w:eastAsia="Arial" w:hAnsi="Book Antiqua" w:cs="Arial"/>
              </w:rPr>
              <w:t>2019</w:t>
            </w:r>
          </w:p>
        </w:tc>
        <w:tc>
          <w:tcPr>
            <w:tcW w:w="825" w:type="pct"/>
          </w:tcPr>
          <w:p w14:paraId="1D73E996" w14:textId="79F73495" w:rsidR="004E770C" w:rsidRPr="00C67819" w:rsidRDefault="00B55C82" w:rsidP="00C31635">
            <w:pPr>
              <w:spacing w:line="360" w:lineRule="auto"/>
              <w:jc w:val="both"/>
              <w:rPr>
                <w:rFonts w:ascii="Book Antiqua" w:eastAsia="Arial" w:hAnsi="Book Antiqua" w:cs="Arial"/>
              </w:rPr>
            </w:pPr>
            <w:r w:rsidRPr="00C67819">
              <w:rPr>
                <w:rFonts w:ascii="Book Antiqua" w:eastAsia="Arial" w:hAnsi="Book Antiqua" w:cs="Arial"/>
              </w:rPr>
              <w:t>Phase I, randomized controlled trial</w:t>
            </w:r>
          </w:p>
        </w:tc>
        <w:tc>
          <w:tcPr>
            <w:tcW w:w="3225" w:type="pct"/>
            <w:shd w:val="clear" w:color="auto" w:fill="auto"/>
          </w:tcPr>
          <w:p w14:paraId="33EAC7C0" w14:textId="2CB6DF24"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Demonstrated acceptable safety and pharmacokinetics of GLS4 (a novel HBV capsid assembly inhibitor), with or without ritonavir (used to enhance plasma levels of GLS4) </w:t>
            </w:r>
          </w:p>
        </w:tc>
      </w:tr>
      <w:tr w:rsidR="004E770C" w:rsidRPr="00C67819" w14:paraId="37CCC26C" w14:textId="77777777" w:rsidTr="001605A7">
        <w:tc>
          <w:tcPr>
            <w:tcW w:w="950" w:type="pct"/>
            <w:shd w:val="clear" w:color="auto" w:fill="auto"/>
          </w:tcPr>
          <w:p w14:paraId="05AFA674" w14:textId="098E0D47" w:rsidR="004E770C" w:rsidRPr="00B024BA"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Vandenbossche</w:t>
            </w:r>
            <w:r w:rsidR="00B024BA">
              <w:rPr>
                <w:rFonts w:ascii="Book Antiqua" w:eastAsia="Arial" w:hAnsi="Book Antiqua" w:cs="Arial"/>
              </w:rPr>
              <w:t xml:space="preserve"> </w:t>
            </w:r>
            <w:r w:rsidRPr="00381DB2">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024BA">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B024BA" w:rsidRPr="00B024BA">
              <w:rPr>
                <w:rFonts w:ascii="Book Antiqua" w:hAnsi="Book Antiqua" w:cs="Arial" w:hint="eastAsia"/>
                <w:color w:val="000000"/>
                <w:lang w:eastAsia="zh-CN"/>
              </w:rPr>
              <w:t>,</w:t>
            </w:r>
            <w:r w:rsidR="00B024BA">
              <w:rPr>
                <w:rFonts w:ascii="Book Antiqua" w:hAnsi="Book Antiqua" w:cs="Arial"/>
                <w:color w:val="000000"/>
                <w:vertAlign w:val="superscript"/>
                <w:lang w:eastAsia="zh-CN"/>
              </w:rPr>
              <w:t xml:space="preserve"> </w:t>
            </w:r>
            <w:r w:rsidRPr="00C67819">
              <w:rPr>
                <w:rFonts w:ascii="Book Antiqua" w:eastAsia="Arial" w:hAnsi="Book Antiqua" w:cs="Arial"/>
              </w:rPr>
              <w:t>2019</w:t>
            </w:r>
          </w:p>
        </w:tc>
        <w:tc>
          <w:tcPr>
            <w:tcW w:w="825" w:type="pct"/>
          </w:tcPr>
          <w:p w14:paraId="3B23F4F4" w14:textId="7E96E1F9" w:rsidR="004E770C" w:rsidRPr="00C67819" w:rsidRDefault="00B024BA" w:rsidP="00C31635">
            <w:pPr>
              <w:spacing w:line="360" w:lineRule="auto"/>
              <w:jc w:val="both"/>
              <w:rPr>
                <w:rFonts w:ascii="Book Antiqua" w:eastAsia="Arial" w:hAnsi="Book Antiqua" w:cs="Arial"/>
              </w:rPr>
            </w:pPr>
            <w:r w:rsidRPr="00C67819">
              <w:rPr>
                <w:rFonts w:ascii="Book Antiqua" w:eastAsia="Arial" w:hAnsi="Book Antiqua" w:cs="Arial"/>
              </w:rPr>
              <w:t>Phase I double-blind,</w:t>
            </w:r>
            <w:r>
              <w:rPr>
                <w:rFonts w:ascii="Book Antiqua" w:eastAsia="Arial" w:hAnsi="Book Antiqua" w:cs="Arial"/>
              </w:rPr>
              <w:t xml:space="preserve"> </w:t>
            </w:r>
            <w:r w:rsidRPr="00C67819">
              <w:rPr>
                <w:rFonts w:ascii="Book Antiqua" w:eastAsia="Arial" w:hAnsi="Book Antiqua" w:cs="Arial"/>
              </w:rPr>
              <w:t>randomized controlled trial</w:t>
            </w:r>
          </w:p>
        </w:tc>
        <w:tc>
          <w:tcPr>
            <w:tcW w:w="3225" w:type="pct"/>
            <w:shd w:val="clear" w:color="auto" w:fill="auto"/>
          </w:tcPr>
          <w:p w14:paraId="6823930A" w14:textId="0FF78068"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acceptable safety and pharmacokinetics of JNJ-56136379 (a novel HBV capsid assembly modulator) with more than three times the 90% effective plasma concentration required to inhibit viral replication</w:t>
            </w:r>
          </w:p>
        </w:tc>
      </w:tr>
      <w:tr w:rsidR="004E770C" w:rsidRPr="00C67819" w14:paraId="42B97BDC" w14:textId="77777777" w:rsidTr="001605A7">
        <w:tc>
          <w:tcPr>
            <w:tcW w:w="950" w:type="pct"/>
            <w:shd w:val="clear" w:color="auto" w:fill="auto"/>
          </w:tcPr>
          <w:p w14:paraId="0906AB3D" w14:textId="580F48B7" w:rsidR="004E770C" w:rsidRPr="00BB7842"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Han </w:t>
            </w:r>
            <w:r w:rsidRPr="00BB7842">
              <w:rPr>
                <w:rFonts w:ascii="Book Antiqua" w:eastAsia="Arial" w:hAnsi="Book Antiqua" w:cs="Arial"/>
                <w:i/>
                <w:iCs/>
              </w:rPr>
              <w:t>et al</w:t>
            </w:r>
            <w:r w:rsidRPr="00C67819">
              <w:rPr>
                <w:rFonts w:ascii="Book Antiqua" w:eastAsia="Arial" w:hAnsi="Book Antiqua" w:cs="Arial"/>
                <w:vertAlign w:val="superscript"/>
              </w:rPr>
              <w:t>[</w:t>
            </w:r>
            <w:r w:rsidR="00BB7842">
              <w:rPr>
                <w:rFonts w:ascii="Book Antiqua" w:eastAsia="Arial" w:hAnsi="Book Antiqua" w:cs="Arial"/>
                <w:color w:val="000000"/>
                <w:vertAlign w:val="superscript"/>
              </w:rPr>
              <w:t>103</w:t>
            </w:r>
            <w:r w:rsidRPr="00C67819">
              <w:rPr>
                <w:rFonts w:ascii="Book Antiqua" w:eastAsia="Arial" w:hAnsi="Book Antiqua" w:cs="Arial"/>
                <w:color w:val="000000"/>
                <w:vertAlign w:val="superscript"/>
              </w:rPr>
              <w:t>]</w:t>
            </w:r>
            <w:r w:rsidR="00BB7842">
              <w:rPr>
                <w:rFonts w:ascii="Book Antiqua" w:eastAsia="Arial" w:hAnsi="Book Antiqua" w:cs="Arial"/>
              </w:rPr>
              <w:t xml:space="preserve">, </w:t>
            </w:r>
            <w:r w:rsidRPr="00C67819">
              <w:rPr>
                <w:rFonts w:ascii="Book Antiqua" w:eastAsia="Arial" w:hAnsi="Book Antiqua" w:cs="Arial"/>
              </w:rPr>
              <w:t>2019</w:t>
            </w:r>
          </w:p>
        </w:tc>
        <w:tc>
          <w:tcPr>
            <w:tcW w:w="825" w:type="pct"/>
          </w:tcPr>
          <w:p w14:paraId="584FEBCE" w14:textId="38CFA3F3" w:rsidR="004E770C" w:rsidRPr="00C67819" w:rsidRDefault="00BB7842" w:rsidP="00C31635">
            <w:pPr>
              <w:spacing w:line="360" w:lineRule="auto"/>
              <w:jc w:val="both"/>
              <w:rPr>
                <w:rFonts w:ascii="Book Antiqua" w:eastAsia="Arial" w:hAnsi="Book Antiqua" w:cs="Arial"/>
              </w:rPr>
            </w:pPr>
            <w:r w:rsidRPr="00C67819">
              <w:rPr>
                <w:rFonts w:ascii="Book Antiqua" w:eastAsia="Arial" w:hAnsi="Book Antiqua" w:cs="Arial"/>
              </w:rPr>
              <w:t>Phase I double-blind, randomized controlled trial</w:t>
            </w:r>
          </w:p>
        </w:tc>
        <w:tc>
          <w:tcPr>
            <w:tcW w:w="3225" w:type="pct"/>
            <w:shd w:val="clear" w:color="auto" w:fill="auto"/>
          </w:tcPr>
          <w:p w14:paraId="48E98C55" w14:textId="3C637C29" w:rsidR="004E770C" w:rsidRPr="00BB7842" w:rsidRDefault="004E770C" w:rsidP="00C31635">
            <w:pPr>
              <w:spacing w:line="360" w:lineRule="auto"/>
              <w:jc w:val="both"/>
              <w:rPr>
                <w:rFonts w:ascii="Book Antiqua" w:eastAsia="Arial" w:hAnsi="Book Antiqua" w:cs="Arial"/>
                <w:highlight w:val="white"/>
              </w:rPr>
            </w:pPr>
            <w:r w:rsidRPr="00C67819">
              <w:rPr>
                <w:rFonts w:ascii="Book Antiqua" w:eastAsia="Arial" w:hAnsi="Book Antiqua" w:cs="Arial"/>
              </w:rPr>
              <w:t xml:space="preserve">Demonstrated acceptable safety and pharmacokinetics of </w:t>
            </w:r>
            <w:r w:rsidRPr="00C67819">
              <w:rPr>
                <w:rFonts w:ascii="Book Antiqua" w:eastAsia="Arial" w:hAnsi="Book Antiqua" w:cs="Arial"/>
                <w:highlight w:val="white"/>
              </w:rPr>
              <w:t>GSK3389404 (a liver</w:t>
            </w:r>
            <w:r w:rsidR="00B9648B">
              <w:rPr>
                <w:rFonts w:ascii="宋体" w:eastAsia="宋体" w:hAnsi="宋体" w:cs="宋体" w:hint="eastAsia"/>
                <w:highlight w:val="white"/>
                <w:lang w:eastAsia="zh-CN"/>
              </w:rPr>
              <w:t>-</w:t>
            </w:r>
            <w:r w:rsidRPr="00C67819">
              <w:rPr>
                <w:rFonts w:ascii="Book Antiqua" w:eastAsia="Arial" w:hAnsi="Book Antiqua" w:cs="Arial"/>
                <w:highlight w:val="white"/>
              </w:rPr>
              <w:t>targeted antisense oligonucleotide that inhibits the synthesis of hepatitis B surface antigen and all other hepatitis B virus proteins)</w:t>
            </w:r>
          </w:p>
        </w:tc>
      </w:tr>
      <w:tr w:rsidR="001C4416" w:rsidRPr="00C67819" w14:paraId="5FF7EE00" w14:textId="77777777" w:rsidTr="001605A7">
        <w:tc>
          <w:tcPr>
            <w:tcW w:w="5000" w:type="pct"/>
            <w:gridSpan w:val="3"/>
          </w:tcPr>
          <w:p w14:paraId="60D17EBC" w14:textId="2A98127C" w:rsidR="001C4416" w:rsidRPr="00C67819" w:rsidRDefault="001C4416" w:rsidP="00C31635">
            <w:pPr>
              <w:spacing w:line="360" w:lineRule="auto"/>
              <w:jc w:val="both"/>
              <w:rPr>
                <w:rFonts w:ascii="Book Antiqua" w:eastAsia="Arial" w:hAnsi="Book Antiqua" w:cs="Arial"/>
              </w:rPr>
            </w:pPr>
            <w:r w:rsidRPr="00C67819">
              <w:rPr>
                <w:rFonts w:ascii="Book Antiqua" w:eastAsia="Arial" w:hAnsi="Book Antiqua" w:cs="Arial"/>
                <w:b/>
              </w:rPr>
              <w:t xml:space="preserve">New </w:t>
            </w:r>
            <w:r w:rsidR="00C633D5">
              <w:rPr>
                <w:rFonts w:ascii="Book Antiqua" w:eastAsia="Arial" w:hAnsi="Book Antiqua" w:cs="Arial"/>
                <w:b/>
              </w:rPr>
              <w:t>i</w:t>
            </w:r>
            <w:r w:rsidRPr="00C67819">
              <w:rPr>
                <w:rFonts w:ascii="Book Antiqua" w:eastAsia="Arial" w:hAnsi="Book Antiqua" w:cs="Arial"/>
                <w:b/>
              </w:rPr>
              <w:t xml:space="preserve">mmune </w:t>
            </w:r>
            <w:r w:rsidR="00C633D5">
              <w:rPr>
                <w:rFonts w:ascii="Book Antiqua" w:eastAsia="Arial" w:hAnsi="Book Antiqua" w:cs="Arial"/>
                <w:b/>
              </w:rPr>
              <w:t>b</w:t>
            </w:r>
            <w:r w:rsidRPr="00C67819">
              <w:rPr>
                <w:rFonts w:ascii="Book Antiqua" w:eastAsia="Arial" w:hAnsi="Book Antiqua" w:cs="Arial"/>
                <w:b/>
              </w:rPr>
              <w:t xml:space="preserve">ased </w:t>
            </w:r>
            <w:r w:rsidR="00C633D5">
              <w:rPr>
                <w:rFonts w:ascii="Book Antiqua" w:eastAsia="Arial" w:hAnsi="Book Antiqua" w:cs="Arial"/>
                <w:b/>
              </w:rPr>
              <w:t>t</w:t>
            </w:r>
            <w:r w:rsidRPr="00C67819">
              <w:rPr>
                <w:rFonts w:ascii="Book Antiqua" w:eastAsia="Arial" w:hAnsi="Book Antiqua" w:cs="Arial"/>
                <w:b/>
              </w:rPr>
              <w:t>herapies</w:t>
            </w:r>
          </w:p>
        </w:tc>
      </w:tr>
      <w:tr w:rsidR="004E770C" w:rsidRPr="00C67819" w14:paraId="2705C71F" w14:textId="77777777" w:rsidTr="001605A7">
        <w:tc>
          <w:tcPr>
            <w:tcW w:w="950" w:type="pct"/>
            <w:shd w:val="clear" w:color="auto" w:fill="auto"/>
          </w:tcPr>
          <w:p w14:paraId="05162BF0" w14:textId="4F6753B9"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Boni </w:t>
            </w:r>
            <w:r w:rsidRPr="006D2BB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10</w:t>
            </w:r>
            <w:r w:rsidR="006D2BB6">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6D2BB6">
              <w:rPr>
                <w:rFonts w:ascii="Book Antiqua" w:eastAsia="Arial" w:hAnsi="Book Antiqua" w:cs="Arial"/>
              </w:rPr>
              <w:t xml:space="preserve">, </w:t>
            </w:r>
            <w:r w:rsidRPr="00C67819">
              <w:rPr>
                <w:rFonts w:ascii="Book Antiqua" w:eastAsia="Arial" w:hAnsi="Book Antiqua" w:cs="Arial"/>
              </w:rPr>
              <w:t>2018</w:t>
            </w:r>
          </w:p>
        </w:tc>
        <w:tc>
          <w:tcPr>
            <w:tcW w:w="825" w:type="pct"/>
          </w:tcPr>
          <w:p w14:paraId="0AA46A3E" w14:textId="79CB7BA2"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Phase I prospective trial</w:t>
            </w:r>
          </w:p>
        </w:tc>
        <w:tc>
          <w:tcPr>
            <w:tcW w:w="3225" w:type="pct"/>
            <w:shd w:val="clear" w:color="auto" w:fill="auto"/>
          </w:tcPr>
          <w:p w14:paraId="3EA04F0F" w14:textId="5CE34D49"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Administration of a 12-wk course of GS-9620 (TLR7 agonist) was safe but did not significantly affect serum HBsAg levels. However, it did increase T-cell and NK-cell responses</w:t>
            </w:r>
          </w:p>
        </w:tc>
      </w:tr>
      <w:tr w:rsidR="004E770C" w:rsidRPr="00C67819" w14:paraId="607C64F7" w14:textId="77777777" w:rsidTr="001605A7">
        <w:tc>
          <w:tcPr>
            <w:tcW w:w="950" w:type="pct"/>
            <w:shd w:val="clear" w:color="auto" w:fill="auto"/>
          </w:tcPr>
          <w:p w14:paraId="16506B0F" w14:textId="0F31BA62"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Janssen </w:t>
            </w:r>
            <w:r w:rsidRPr="006D2BB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6D2BB6">
              <w:rPr>
                <w:rFonts w:ascii="Book Antiqua" w:eastAsia="Arial" w:hAnsi="Book Antiqua" w:cs="Arial"/>
                <w:color w:val="000000"/>
                <w:vertAlign w:val="superscript"/>
              </w:rPr>
              <w:t>10</w:t>
            </w:r>
            <w:r w:rsidRPr="00C67819">
              <w:rPr>
                <w:rFonts w:ascii="Book Antiqua" w:eastAsia="Arial" w:hAnsi="Book Antiqua" w:cs="Arial"/>
                <w:color w:val="000000"/>
                <w:vertAlign w:val="superscript"/>
              </w:rPr>
              <w:t>]</w:t>
            </w:r>
            <w:r w:rsidR="006D2BB6" w:rsidRPr="006D2BB6">
              <w:rPr>
                <w:rFonts w:ascii="Book Antiqua" w:hAnsi="Book Antiqua" w:cs="Arial" w:hint="eastAsia"/>
                <w:color w:val="000000"/>
                <w:lang w:eastAsia="zh-CN"/>
              </w:rPr>
              <w:t>,</w:t>
            </w:r>
            <w:r w:rsidR="006D2BB6" w:rsidRPr="006D2BB6">
              <w:rPr>
                <w:rFonts w:ascii="Book Antiqua" w:hAnsi="Book Antiqua" w:cs="Arial"/>
                <w:color w:val="000000"/>
                <w:lang w:eastAsia="zh-CN"/>
              </w:rPr>
              <w:t xml:space="preserve"> </w:t>
            </w:r>
            <w:r w:rsidRPr="00C67819">
              <w:rPr>
                <w:rFonts w:ascii="Book Antiqua" w:eastAsia="Arial" w:hAnsi="Book Antiqua" w:cs="Arial"/>
              </w:rPr>
              <w:t>2018</w:t>
            </w:r>
          </w:p>
        </w:tc>
        <w:tc>
          <w:tcPr>
            <w:tcW w:w="825" w:type="pct"/>
          </w:tcPr>
          <w:p w14:paraId="07E0DFA5" w14:textId="5FF5F7BA"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Phase II prospective trial</w:t>
            </w:r>
          </w:p>
        </w:tc>
        <w:tc>
          <w:tcPr>
            <w:tcW w:w="3225" w:type="pct"/>
            <w:shd w:val="clear" w:color="auto" w:fill="auto"/>
          </w:tcPr>
          <w:p w14:paraId="2627D0A7" w14:textId="306F5F8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Administration of a 12-wk course of GS-9620 (TLR7 agonist) was safe, demonstrated dose dependent increase in interferon-simulated gene m RNA expression, without IFN-α expression or reduction in HBsAg levels</w:t>
            </w:r>
          </w:p>
        </w:tc>
      </w:tr>
      <w:tr w:rsidR="004E770C" w:rsidRPr="00C67819" w14:paraId="000755C5" w14:textId="77777777" w:rsidTr="001605A7">
        <w:tc>
          <w:tcPr>
            <w:tcW w:w="950" w:type="pct"/>
            <w:shd w:val="clear" w:color="auto" w:fill="auto"/>
          </w:tcPr>
          <w:p w14:paraId="47BEBEEA" w14:textId="205061DA"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Agarwal </w:t>
            </w:r>
            <w:r w:rsidRPr="006D2BB6">
              <w:rPr>
                <w:rFonts w:ascii="Book Antiqua" w:eastAsia="Arial" w:hAnsi="Book Antiqua" w:cs="Arial"/>
                <w:i/>
                <w:iCs/>
              </w:rPr>
              <w:t>et al</w:t>
            </w:r>
            <w:r w:rsidRPr="006D2BB6">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6D2BB6">
              <w:rPr>
                <w:rFonts w:ascii="Book Antiqua" w:eastAsia="Arial" w:hAnsi="Book Antiqua" w:cs="Arial"/>
                <w:color w:val="000000"/>
                <w:vertAlign w:val="superscript"/>
              </w:rPr>
              <w:t>11</w:t>
            </w:r>
            <w:r w:rsidRPr="00C67819">
              <w:rPr>
                <w:rFonts w:ascii="Book Antiqua" w:eastAsia="Arial" w:hAnsi="Book Antiqua" w:cs="Arial"/>
                <w:color w:val="000000"/>
                <w:vertAlign w:val="superscript"/>
              </w:rPr>
              <w:t>]</w:t>
            </w:r>
            <w:r w:rsidR="006D2BB6" w:rsidRPr="006D2BB6">
              <w:rPr>
                <w:rFonts w:ascii="Book Antiqua" w:eastAsia="Arial" w:hAnsi="Book Antiqua" w:cs="Arial"/>
                <w:color w:val="000000"/>
              </w:rPr>
              <w:t xml:space="preserve">, </w:t>
            </w:r>
            <w:r w:rsidRPr="00C67819">
              <w:rPr>
                <w:rFonts w:ascii="Book Antiqua" w:eastAsia="Arial" w:hAnsi="Book Antiqua" w:cs="Arial"/>
              </w:rPr>
              <w:t>2018</w:t>
            </w:r>
          </w:p>
        </w:tc>
        <w:tc>
          <w:tcPr>
            <w:tcW w:w="825" w:type="pct"/>
          </w:tcPr>
          <w:p w14:paraId="18B9E5B4" w14:textId="79F1342F"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Randomized controlled prospective trial</w:t>
            </w:r>
          </w:p>
        </w:tc>
        <w:tc>
          <w:tcPr>
            <w:tcW w:w="3225" w:type="pct"/>
            <w:shd w:val="clear" w:color="auto" w:fill="auto"/>
          </w:tcPr>
          <w:p w14:paraId="7BAEE801" w14:textId="6450E29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Addition of Vesatolimod (TLR7 agonist) to Tenofovir in treatment naïve viremic Hepatitis B patients was found to be safe. This intervention led to dose dependent pharmacodynamic induction of ISGs, without significant improvement in H</w:t>
            </w:r>
            <w:r w:rsidR="00196B26">
              <w:rPr>
                <w:rFonts w:ascii="Book Antiqua" w:eastAsia="Arial" w:hAnsi="Book Antiqua" w:cs="Arial"/>
              </w:rPr>
              <w:t>B</w:t>
            </w:r>
            <w:r w:rsidRPr="00C67819">
              <w:rPr>
                <w:rFonts w:ascii="Book Antiqua" w:eastAsia="Arial" w:hAnsi="Book Antiqua" w:cs="Arial"/>
              </w:rPr>
              <w:t>sAg decline</w:t>
            </w:r>
          </w:p>
        </w:tc>
      </w:tr>
      <w:tr w:rsidR="004E770C" w:rsidRPr="00C67819" w14:paraId="1AD49350" w14:textId="77777777" w:rsidTr="001605A7">
        <w:tc>
          <w:tcPr>
            <w:tcW w:w="950" w:type="pct"/>
            <w:shd w:val="clear" w:color="auto" w:fill="auto"/>
          </w:tcPr>
          <w:p w14:paraId="4E8B06F4" w14:textId="44FF2CA8"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Han </w:t>
            </w:r>
            <w:r w:rsidRPr="006D2BB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6D2BB6">
              <w:rPr>
                <w:rFonts w:ascii="Book Antiqua" w:eastAsia="Arial" w:hAnsi="Book Antiqua" w:cs="Arial"/>
                <w:color w:val="000000"/>
                <w:vertAlign w:val="superscript"/>
              </w:rPr>
              <w:t>12</w:t>
            </w:r>
            <w:r w:rsidRPr="00C67819">
              <w:rPr>
                <w:rFonts w:ascii="Book Antiqua" w:eastAsia="Arial" w:hAnsi="Book Antiqua" w:cs="Arial"/>
                <w:color w:val="000000"/>
                <w:vertAlign w:val="superscript"/>
              </w:rPr>
              <w:t>]</w:t>
            </w:r>
            <w:r w:rsidR="006D2BB6">
              <w:rPr>
                <w:rFonts w:ascii="Book Antiqua" w:eastAsia="Arial" w:hAnsi="Book Antiqua" w:cs="Arial"/>
              </w:rPr>
              <w:t xml:space="preserve">, </w:t>
            </w:r>
            <w:r w:rsidRPr="00C67819">
              <w:rPr>
                <w:rFonts w:ascii="Book Antiqua" w:eastAsia="Arial" w:hAnsi="Book Antiqua" w:cs="Arial"/>
              </w:rPr>
              <w:t>2019</w:t>
            </w:r>
          </w:p>
        </w:tc>
        <w:tc>
          <w:tcPr>
            <w:tcW w:w="825" w:type="pct"/>
          </w:tcPr>
          <w:p w14:paraId="624A3B1B" w14:textId="0FB4C026"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46969B67" w14:textId="500EFBF6"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During YIC treatment, 26 patients with lower IgG galactosylation level at baseline showed (cellular immune response mediated), sustained increase of serum galactosylated IgG and responded to YIC treatment by HBeAg seroconversion</w:t>
            </w:r>
          </w:p>
        </w:tc>
      </w:tr>
      <w:tr w:rsidR="004E770C" w:rsidRPr="00C67819" w14:paraId="687C2247" w14:textId="77777777" w:rsidTr="001605A7">
        <w:tc>
          <w:tcPr>
            <w:tcW w:w="950" w:type="pct"/>
            <w:shd w:val="clear" w:color="auto" w:fill="auto"/>
          </w:tcPr>
          <w:p w14:paraId="30011782" w14:textId="62ABBD0E" w:rsidR="004E770C" w:rsidRPr="0028699D"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Al Mahtab </w:t>
            </w:r>
            <w:r w:rsidRPr="0028699D">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28699D">
              <w:rPr>
                <w:rFonts w:ascii="Book Antiqua" w:eastAsia="Arial" w:hAnsi="Book Antiqua" w:cs="Arial"/>
                <w:color w:val="000000"/>
                <w:vertAlign w:val="superscript"/>
              </w:rPr>
              <w:t>14</w:t>
            </w:r>
            <w:r w:rsidRPr="00C67819">
              <w:rPr>
                <w:rFonts w:ascii="Book Antiqua" w:eastAsia="Arial" w:hAnsi="Book Antiqua" w:cs="Arial"/>
                <w:color w:val="000000"/>
                <w:vertAlign w:val="superscript"/>
              </w:rPr>
              <w:t>]</w:t>
            </w:r>
            <w:r w:rsidR="0028699D">
              <w:rPr>
                <w:rFonts w:ascii="Book Antiqua" w:eastAsia="Arial" w:hAnsi="Book Antiqua" w:cs="Arial"/>
              </w:rPr>
              <w:t xml:space="preserve">, </w:t>
            </w:r>
            <w:r w:rsidRPr="00C67819">
              <w:rPr>
                <w:rFonts w:ascii="Book Antiqua" w:eastAsia="Arial" w:hAnsi="Book Antiqua" w:cs="Arial"/>
              </w:rPr>
              <w:t>2018</w:t>
            </w:r>
          </w:p>
        </w:tc>
        <w:tc>
          <w:tcPr>
            <w:tcW w:w="825" w:type="pct"/>
          </w:tcPr>
          <w:p w14:paraId="7659B9B5" w14:textId="10A30649" w:rsidR="004E770C" w:rsidRPr="00C67819" w:rsidRDefault="0028699D" w:rsidP="00C31635">
            <w:pPr>
              <w:spacing w:line="360" w:lineRule="auto"/>
              <w:jc w:val="both"/>
              <w:rPr>
                <w:rFonts w:ascii="Book Antiqua" w:eastAsia="Arial" w:hAnsi="Book Antiqua" w:cs="Arial"/>
              </w:rPr>
            </w:pPr>
            <w:r w:rsidRPr="00C67819">
              <w:rPr>
                <w:rFonts w:ascii="Book Antiqua" w:eastAsia="Arial" w:hAnsi="Book Antiqua" w:cs="Arial"/>
              </w:rPr>
              <w:t>Open-label phase III trial</w:t>
            </w:r>
          </w:p>
        </w:tc>
        <w:tc>
          <w:tcPr>
            <w:tcW w:w="3225" w:type="pct"/>
            <w:shd w:val="clear" w:color="auto" w:fill="auto"/>
          </w:tcPr>
          <w:p w14:paraId="34EFA43A" w14:textId="7922AFA1"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Treatment naïve CHB patients showed significantly better controlled HBV DNA, 24 wk post-treatment (</w:t>
            </w:r>
            <w:r w:rsidR="006D2BB6" w:rsidRPr="006D2BB6">
              <w:rPr>
                <w:rFonts w:ascii="Book Antiqua" w:eastAsia="Arial" w:hAnsi="Book Antiqua" w:cs="Arial"/>
                <w:i/>
                <w:iCs/>
              </w:rPr>
              <w:t>P</w:t>
            </w:r>
            <w:r w:rsidRPr="00C67819">
              <w:rPr>
                <w:rFonts w:ascii="Book Antiqua" w:eastAsia="Arial" w:hAnsi="Book Antiqua" w:cs="Arial"/>
              </w:rPr>
              <w:t xml:space="preserve"> &lt; 0.05) and a lower rate of progression to cirrhosis in the NASVAC group (therapeutic vaccine, containing 100 μg of each HBs and HBc antigens, administered in 2 cycles of 5 doses), versus PEG-IFN alfa 2b (weekly 180 μg)</w:t>
            </w:r>
          </w:p>
        </w:tc>
      </w:tr>
      <w:tr w:rsidR="004E770C" w:rsidRPr="00C67819" w14:paraId="1F129092" w14:textId="77777777" w:rsidTr="001605A7">
        <w:tc>
          <w:tcPr>
            <w:tcW w:w="950" w:type="pct"/>
            <w:shd w:val="clear" w:color="auto" w:fill="auto"/>
          </w:tcPr>
          <w:p w14:paraId="5334F76D" w14:textId="227CFFB3" w:rsidR="004E770C" w:rsidRPr="004D392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Lai </w:t>
            </w:r>
            <w:r w:rsidRPr="004D392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11</w:t>
            </w:r>
            <w:r w:rsidR="004D3926">
              <w:rPr>
                <w:rFonts w:ascii="Book Antiqua" w:eastAsia="Arial" w:hAnsi="Book Antiqua" w:cs="Arial"/>
                <w:color w:val="000000"/>
                <w:vertAlign w:val="superscript"/>
              </w:rPr>
              <w:t>5</w:t>
            </w:r>
            <w:r w:rsidRPr="00C67819">
              <w:rPr>
                <w:rFonts w:ascii="Book Antiqua" w:eastAsia="Arial" w:hAnsi="Book Antiqua" w:cs="Arial"/>
                <w:color w:val="000000"/>
                <w:vertAlign w:val="superscript"/>
              </w:rPr>
              <w:t>]</w:t>
            </w:r>
            <w:r w:rsidR="004D3926">
              <w:rPr>
                <w:rFonts w:ascii="Book Antiqua" w:eastAsia="Arial" w:hAnsi="Book Antiqua" w:cs="Arial"/>
              </w:rPr>
              <w:t xml:space="preserve">, </w:t>
            </w:r>
            <w:r w:rsidRPr="00C67819">
              <w:rPr>
                <w:rFonts w:ascii="Book Antiqua" w:eastAsia="Arial" w:hAnsi="Book Antiqua" w:cs="Arial"/>
              </w:rPr>
              <w:t>2018</w:t>
            </w:r>
          </w:p>
        </w:tc>
        <w:tc>
          <w:tcPr>
            <w:tcW w:w="825" w:type="pct"/>
          </w:tcPr>
          <w:p w14:paraId="1DFE9169" w14:textId="0F328DED" w:rsidR="004E770C" w:rsidRPr="00C67819" w:rsidRDefault="004D3926" w:rsidP="00C31635">
            <w:pPr>
              <w:spacing w:line="360" w:lineRule="auto"/>
              <w:jc w:val="both"/>
              <w:rPr>
                <w:rFonts w:ascii="Book Antiqua" w:eastAsia="Arial" w:hAnsi="Book Antiqua" w:cs="Arial"/>
              </w:rPr>
            </w:pPr>
            <w:r w:rsidRPr="00C67819">
              <w:rPr>
                <w:rFonts w:ascii="Book Antiqua" w:eastAsia="Arial" w:hAnsi="Book Antiqua" w:cs="Arial"/>
              </w:rPr>
              <w:t>Randomized controlled prospective trial</w:t>
            </w:r>
          </w:p>
        </w:tc>
        <w:tc>
          <w:tcPr>
            <w:tcW w:w="3225" w:type="pct"/>
            <w:shd w:val="clear" w:color="auto" w:fill="auto"/>
          </w:tcPr>
          <w:p w14:paraId="00DC50C0" w14:textId="72731B64"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 low-level HBsAg CHB patients, serial HBsAg-based vaccinations were safe, resulting in significant HBsAg decline. HLA gene expression and genotypes played a role in vaccine responsiveness</w:t>
            </w:r>
          </w:p>
        </w:tc>
      </w:tr>
      <w:tr w:rsidR="004E770C" w:rsidRPr="00C67819" w14:paraId="5EA64126" w14:textId="77777777" w:rsidTr="001605A7">
        <w:tc>
          <w:tcPr>
            <w:tcW w:w="950" w:type="pct"/>
            <w:shd w:val="clear" w:color="auto" w:fill="auto"/>
          </w:tcPr>
          <w:p w14:paraId="047D29C2" w14:textId="4769127E" w:rsidR="004E770C" w:rsidRPr="00D63295"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Boni </w:t>
            </w:r>
            <w:r w:rsidRPr="00D63295">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11</w:t>
            </w:r>
            <w:r w:rsidR="006D2BB6">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D63295">
              <w:rPr>
                <w:rFonts w:ascii="Book Antiqua" w:eastAsia="Arial" w:hAnsi="Book Antiqua" w:cs="Arial"/>
              </w:rPr>
              <w:t xml:space="preserve">, </w:t>
            </w:r>
            <w:r w:rsidRPr="00C67819">
              <w:rPr>
                <w:rFonts w:ascii="Book Antiqua" w:eastAsia="Arial" w:hAnsi="Book Antiqua" w:cs="Arial"/>
              </w:rPr>
              <w:t>2019</w:t>
            </w:r>
          </w:p>
        </w:tc>
        <w:tc>
          <w:tcPr>
            <w:tcW w:w="825" w:type="pct"/>
          </w:tcPr>
          <w:p w14:paraId="5A194ED9" w14:textId="4853F31F" w:rsidR="004E770C" w:rsidRPr="00C67819" w:rsidRDefault="00D63295" w:rsidP="00C31635">
            <w:pPr>
              <w:spacing w:line="360" w:lineRule="auto"/>
              <w:jc w:val="both"/>
              <w:rPr>
                <w:rFonts w:ascii="Book Antiqua" w:eastAsia="Arial" w:hAnsi="Book Antiqua" w:cs="Arial"/>
              </w:rPr>
            </w:pPr>
            <w:r w:rsidRPr="00C67819">
              <w:rPr>
                <w:rFonts w:ascii="Book Antiqua" w:eastAsia="Arial" w:hAnsi="Book Antiqua" w:cs="Arial"/>
              </w:rPr>
              <w:t>Multicenter phase II prospective randomized controlled trial</w:t>
            </w:r>
          </w:p>
        </w:tc>
        <w:tc>
          <w:tcPr>
            <w:tcW w:w="3225" w:type="pct"/>
            <w:shd w:val="clear" w:color="auto" w:fill="auto"/>
          </w:tcPr>
          <w:p w14:paraId="2F1F4BA8" w14:textId="5393CA40"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improved HBV specific T cell responses, including IFN-γ, TNF-α, and IL-2, with a combined GS-4774 (yeast-based engineered vaccine) and tenofovir versus tenofovir alone</w:t>
            </w:r>
          </w:p>
        </w:tc>
      </w:tr>
      <w:tr w:rsidR="004E770C" w:rsidRPr="00C67819" w14:paraId="1AC82B8C" w14:textId="77777777" w:rsidTr="001605A7">
        <w:tc>
          <w:tcPr>
            <w:tcW w:w="950" w:type="pct"/>
            <w:shd w:val="clear" w:color="auto" w:fill="auto"/>
          </w:tcPr>
          <w:p w14:paraId="3DFB1283" w14:textId="67A44092" w:rsidR="004E770C" w:rsidRPr="00F415C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Wu </w:t>
            </w:r>
            <w:r w:rsidRPr="00F415C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11</w:t>
            </w:r>
            <w:r w:rsidR="00F415C6">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F415C6">
              <w:rPr>
                <w:rFonts w:ascii="Book Antiqua" w:eastAsia="Arial" w:hAnsi="Book Antiqua" w:cs="Arial"/>
              </w:rPr>
              <w:t xml:space="preserve">, </w:t>
            </w:r>
            <w:r w:rsidRPr="00C67819">
              <w:rPr>
                <w:rFonts w:ascii="Book Antiqua" w:eastAsia="Arial" w:hAnsi="Book Antiqua" w:cs="Arial"/>
              </w:rPr>
              <w:t>2019</w:t>
            </w:r>
          </w:p>
        </w:tc>
        <w:tc>
          <w:tcPr>
            <w:tcW w:w="825" w:type="pct"/>
          </w:tcPr>
          <w:p w14:paraId="5F874445" w14:textId="77777777" w:rsidR="00F415C6" w:rsidRPr="00C67819" w:rsidRDefault="00F415C6" w:rsidP="00F415C6">
            <w:pPr>
              <w:spacing w:line="360" w:lineRule="auto"/>
              <w:jc w:val="both"/>
              <w:rPr>
                <w:rFonts w:ascii="Book Antiqua" w:eastAsia="Arial" w:hAnsi="Book Antiqua" w:cs="Arial"/>
              </w:rPr>
            </w:pPr>
            <w:r w:rsidRPr="00C67819">
              <w:rPr>
                <w:rFonts w:ascii="Book Antiqua" w:eastAsia="Arial" w:hAnsi="Book Antiqua" w:cs="Arial"/>
              </w:rPr>
              <w:t>Prospective controlled trial</w:t>
            </w:r>
          </w:p>
          <w:p w14:paraId="541E46C3" w14:textId="6352EE0B" w:rsidR="004E770C" w:rsidRPr="00C67819" w:rsidRDefault="00F415C6" w:rsidP="00F415C6">
            <w:pPr>
              <w:spacing w:line="360" w:lineRule="auto"/>
              <w:jc w:val="both"/>
              <w:rPr>
                <w:rFonts w:ascii="Book Antiqua" w:eastAsia="Arial" w:hAnsi="Book Antiqua" w:cs="Arial"/>
              </w:rPr>
            </w:pPr>
            <w:r w:rsidRPr="00C67819">
              <w:rPr>
                <w:rFonts w:ascii="Book Antiqua" w:eastAsia="Arial" w:hAnsi="Book Antiqua" w:cs="Arial"/>
              </w:rPr>
              <w:t>(The HBV Endeavor prospective trial)</w:t>
            </w:r>
          </w:p>
        </w:tc>
        <w:tc>
          <w:tcPr>
            <w:tcW w:w="3225" w:type="pct"/>
            <w:shd w:val="clear" w:color="auto" w:fill="auto"/>
          </w:tcPr>
          <w:p w14:paraId="3994C14B" w14:textId="020BE91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patients with confirmed viral suppression and HBsAg loss while on ETV, when switched to immunomodulators (IL-2) and therapeutic vaccines with IFN, showed HBsAg loss in 9.38%, 3.03%, and 3.7% in the IFN/vaccine/IL-2 group, IFN group, and the ETV group, respectively. Higher titer of CD16-NK cells and lower titers of regulatory T cells corresponded to higher response rates of HBsAg loss</w:t>
            </w:r>
          </w:p>
        </w:tc>
      </w:tr>
      <w:tr w:rsidR="004E770C" w:rsidRPr="00C67819" w14:paraId="6E5E8A09" w14:textId="77777777" w:rsidTr="001605A7">
        <w:tc>
          <w:tcPr>
            <w:tcW w:w="950" w:type="pct"/>
            <w:shd w:val="clear" w:color="auto" w:fill="auto"/>
          </w:tcPr>
          <w:p w14:paraId="42EDB8EA" w14:textId="4257AC86" w:rsidR="004E770C" w:rsidRPr="00F415C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Kalkeri</w:t>
            </w:r>
            <w:r w:rsidRPr="00F415C6">
              <w:rPr>
                <w:rFonts w:ascii="Book Antiqua" w:eastAsia="Arial" w:hAnsi="Book Antiqua" w:cs="Arial"/>
                <w:i/>
                <w:iCs/>
              </w:rPr>
              <w:t xml:space="preserve"> 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F415C6">
              <w:rPr>
                <w:rFonts w:ascii="Book Antiqua" w:eastAsia="Arial" w:hAnsi="Book Antiqua" w:cs="Arial"/>
                <w:color w:val="000000"/>
                <w:vertAlign w:val="superscript"/>
              </w:rPr>
              <w:t>42</w:t>
            </w:r>
            <w:r w:rsidRPr="00C67819">
              <w:rPr>
                <w:rFonts w:ascii="Book Antiqua" w:eastAsia="Arial" w:hAnsi="Book Antiqua" w:cs="Arial"/>
                <w:color w:val="000000"/>
                <w:vertAlign w:val="superscript"/>
              </w:rPr>
              <w:t>]</w:t>
            </w:r>
            <w:r w:rsidR="00F415C6">
              <w:rPr>
                <w:rFonts w:ascii="Book Antiqua" w:eastAsia="Arial" w:hAnsi="Book Antiqua" w:cs="Arial"/>
              </w:rPr>
              <w:t xml:space="preserve">, </w:t>
            </w:r>
            <w:r w:rsidRPr="00C67819">
              <w:rPr>
                <w:rFonts w:ascii="Book Antiqua" w:eastAsia="Arial" w:hAnsi="Book Antiqua" w:cs="Arial"/>
              </w:rPr>
              <w:t>2020</w:t>
            </w:r>
          </w:p>
        </w:tc>
        <w:tc>
          <w:tcPr>
            <w:tcW w:w="825" w:type="pct"/>
          </w:tcPr>
          <w:p w14:paraId="56637255" w14:textId="434E9909" w:rsidR="004E770C" w:rsidRPr="00C67819" w:rsidRDefault="00F415C6" w:rsidP="00C31635">
            <w:pPr>
              <w:spacing w:line="360" w:lineRule="auto"/>
              <w:jc w:val="both"/>
              <w:rPr>
                <w:rFonts w:ascii="Book Antiqua" w:eastAsia="Arial" w:hAnsi="Book Antiqua" w:cs="Arial"/>
                <w:highlight w:val="white"/>
              </w:rPr>
            </w:pPr>
            <w:r w:rsidRPr="00C67819">
              <w:rPr>
                <w:rFonts w:ascii="Book Antiqua" w:eastAsia="Arial" w:hAnsi="Book Antiqua" w:cs="Arial"/>
              </w:rPr>
              <w:t>Prospective trial</w:t>
            </w:r>
          </w:p>
        </w:tc>
        <w:tc>
          <w:tcPr>
            <w:tcW w:w="3225" w:type="pct"/>
            <w:shd w:val="clear" w:color="auto" w:fill="auto"/>
          </w:tcPr>
          <w:p w14:paraId="34DBC698" w14:textId="288D78E3" w:rsidR="004E770C" w:rsidRPr="00C67819" w:rsidRDefault="004E770C" w:rsidP="00C31635">
            <w:pPr>
              <w:spacing w:line="360" w:lineRule="auto"/>
              <w:jc w:val="both"/>
              <w:rPr>
                <w:rFonts w:ascii="Book Antiqua" w:eastAsia="Arial" w:hAnsi="Book Antiqua" w:cs="Arial"/>
                <w:highlight w:val="white"/>
              </w:rPr>
            </w:pPr>
            <w:r w:rsidRPr="00C67819">
              <w:rPr>
                <w:rFonts w:ascii="Book Antiqua" w:eastAsia="Arial" w:hAnsi="Book Antiqua" w:cs="Arial"/>
                <w:highlight w:val="white"/>
              </w:rPr>
              <w:t>A repurposed compound SRI-32007 demonstrated anti-HBV activity via inhibition of HBV core promoter activity, and might be used in studying therapeutics to manage HBV</w:t>
            </w:r>
          </w:p>
        </w:tc>
      </w:tr>
      <w:tr w:rsidR="00F415C6" w:rsidRPr="00C67819" w14:paraId="78743C0C" w14:textId="77777777" w:rsidTr="001605A7">
        <w:tc>
          <w:tcPr>
            <w:tcW w:w="5000" w:type="pct"/>
            <w:gridSpan w:val="3"/>
          </w:tcPr>
          <w:p w14:paraId="3BE26CC9" w14:textId="409E990A" w:rsidR="00F415C6" w:rsidRPr="00C67819" w:rsidRDefault="00F415C6" w:rsidP="00C31635">
            <w:pPr>
              <w:spacing w:line="360" w:lineRule="auto"/>
              <w:jc w:val="both"/>
              <w:rPr>
                <w:rFonts w:ascii="Book Antiqua" w:eastAsia="Arial" w:hAnsi="Book Antiqua" w:cs="Arial"/>
                <w:b/>
              </w:rPr>
            </w:pPr>
            <w:r w:rsidRPr="00C67819">
              <w:rPr>
                <w:rFonts w:ascii="Book Antiqua" w:eastAsia="Arial" w:hAnsi="Book Antiqua" w:cs="Arial"/>
                <w:b/>
              </w:rPr>
              <w:t xml:space="preserve">Hepatitis B in </w:t>
            </w:r>
            <w:r w:rsidR="00812DA6">
              <w:rPr>
                <w:rFonts w:ascii="Book Antiqua" w:eastAsia="Arial" w:hAnsi="Book Antiqua" w:cs="Arial"/>
                <w:b/>
              </w:rPr>
              <w:t>p</w:t>
            </w:r>
            <w:r w:rsidRPr="00C67819">
              <w:rPr>
                <w:rFonts w:ascii="Book Antiqua" w:eastAsia="Arial" w:hAnsi="Book Antiqua" w:cs="Arial"/>
                <w:b/>
              </w:rPr>
              <w:t>regnancy</w:t>
            </w:r>
          </w:p>
        </w:tc>
      </w:tr>
      <w:tr w:rsidR="004E770C" w:rsidRPr="00C67819" w14:paraId="2E3C2C1A" w14:textId="77777777" w:rsidTr="001605A7">
        <w:tc>
          <w:tcPr>
            <w:tcW w:w="950" w:type="pct"/>
            <w:shd w:val="clear" w:color="auto" w:fill="auto"/>
          </w:tcPr>
          <w:p w14:paraId="17B5F71B" w14:textId="73C2C850" w:rsidR="004E770C" w:rsidRPr="00812DA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Cressey </w:t>
            </w:r>
            <w:r w:rsidRPr="00812DA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812DA6">
              <w:rPr>
                <w:rFonts w:ascii="Book Antiqua" w:eastAsia="Arial" w:hAnsi="Book Antiqua" w:cs="Arial"/>
                <w:color w:val="000000"/>
                <w:vertAlign w:val="superscript"/>
              </w:rPr>
              <w:t>20</w:t>
            </w:r>
            <w:r w:rsidRPr="00C67819">
              <w:rPr>
                <w:rFonts w:ascii="Book Antiqua" w:eastAsia="Arial" w:hAnsi="Book Antiqua" w:cs="Arial"/>
                <w:color w:val="000000"/>
                <w:vertAlign w:val="superscript"/>
              </w:rPr>
              <w:t>]</w:t>
            </w:r>
            <w:r w:rsidR="00812DA6">
              <w:rPr>
                <w:rFonts w:ascii="Book Antiqua" w:eastAsia="Arial" w:hAnsi="Book Antiqua" w:cs="Arial"/>
              </w:rPr>
              <w:t xml:space="preserve">, </w:t>
            </w:r>
            <w:r w:rsidRPr="00C67819">
              <w:rPr>
                <w:rFonts w:ascii="Book Antiqua" w:eastAsia="Arial" w:hAnsi="Book Antiqua" w:cs="Arial"/>
              </w:rPr>
              <w:t>2018</w:t>
            </w:r>
          </w:p>
        </w:tc>
        <w:tc>
          <w:tcPr>
            <w:tcW w:w="825" w:type="pct"/>
          </w:tcPr>
          <w:p w14:paraId="0D94AFD3" w14:textId="525E3635" w:rsidR="004E770C" w:rsidRPr="00C67819" w:rsidRDefault="00812DA6" w:rsidP="00C31635">
            <w:pPr>
              <w:spacing w:line="360" w:lineRule="auto"/>
              <w:jc w:val="both"/>
              <w:rPr>
                <w:rFonts w:ascii="Book Antiqua" w:eastAsia="Arial" w:hAnsi="Book Antiqua" w:cs="Arial"/>
              </w:rPr>
            </w:pPr>
            <w:r w:rsidRPr="00C67819">
              <w:rPr>
                <w:rFonts w:ascii="Book Antiqua" w:eastAsia="Arial" w:hAnsi="Book Antiqua" w:cs="Arial"/>
              </w:rPr>
              <w:t>Phase III randomized prospective trial</w:t>
            </w:r>
          </w:p>
        </w:tc>
        <w:tc>
          <w:tcPr>
            <w:tcW w:w="3225" w:type="pct"/>
            <w:shd w:val="clear" w:color="auto" w:fill="auto"/>
          </w:tcPr>
          <w:p w14:paraId="3AD59183" w14:textId="5C8BE64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a geometric mean tenofovir AUC (0-24) to be 20% (95%CI</w:t>
            </w:r>
            <w:r w:rsidR="00812DA6">
              <w:rPr>
                <w:rFonts w:ascii="Book Antiqua" w:eastAsia="Arial" w:hAnsi="Book Antiqua" w:cs="Arial"/>
              </w:rPr>
              <w:t>:</w:t>
            </w:r>
            <w:r w:rsidRPr="00C67819">
              <w:rPr>
                <w:rFonts w:ascii="Book Antiqua" w:eastAsia="Arial" w:hAnsi="Book Antiqua" w:cs="Arial"/>
              </w:rPr>
              <w:t xml:space="preserve"> 19</w:t>
            </w:r>
            <w:r w:rsidR="00812DA6" w:rsidRPr="00C67819">
              <w:rPr>
                <w:rFonts w:ascii="Book Antiqua" w:eastAsia="Arial" w:hAnsi="Book Antiqua" w:cs="Arial"/>
              </w:rPr>
              <w:t>%</w:t>
            </w:r>
            <w:r w:rsidRPr="00C67819">
              <w:rPr>
                <w:rFonts w:ascii="Book Antiqua" w:eastAsia="Arial" w:hAnsi="Book Antiqua" w:cs="Arial"/>
              </w:rPr>
              <w:t>-21%) lower during pregnancy than postpartum, in HBV patients with HIV, should not warrant a dose adjustment (to compensate for the modest reduction in HBV transmission)</w:t>
            </w:r>
          </w:p>
        </w:tc>
      </w:tr>
      <w:tr w:rsidR="004E770C" w:rsidRPr="00C67819" w14:paraId="1D17D921" w14:textId="77777777" w:rsidTr="001605A7">
        <w:tc>
          <w:tcPr>
            <w:tcW w:w="950" w:type="pct"/>
            <w:shd w:val="clear" w:color="auto" w:fill="auto"/>
          </w:tcPr>
          <w:p w14:paraId="59354FAF" w14:textId="3F23692C" w:rsidR="004E770C" w:rsidRPr="0038023E"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Lin </w:t>
            </w:r>
            <w:r w:rsidRPr="0038023E">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38023E">
              <w:rPr>
                <w:rFonts w:ascii="Book Antiqua" w:eastAsia="Arial" w:hAnsi="Book Antiqua" w:cs="Arial"/>
                <w:color w:val="000000"/>
                <w:vertAlign w:val="superscript"/>
              </w:rPr>
              <w:t>21</w:t>
            </w:r>
            <w:r w:rsidRPr="00C67819">
              <w:rPr>
                <w:rFonts w:ascii="Book Antiqua" w:eastAsia="Arial" w:hAnsi="Book Antiqua" w:cs="Arial"/>
                <w:color w:val="000000"/>
                <w:vertAlign w:val="superscript"/>
              </w:rPr>
              <w:t>]</w:t>
            </w:r>
            <w:r w:rsidR="0038023E">
              <w:rPr>
                <w:rFonts w:ascii="Book Antiqua" w:eastAsia="Arial" w:hAnsi="Book Antiqua" w:cs="Arial"/>
              </w:rPr>
              <w:t xml:space="preserve">, </w:t>
            </w:r>
            <w:r w:rsidRPr="00C67819">
              <w:rPr>
                <w:rFonts w:ascii="Book Antiqua" w:eastAsia="Arial" w:hAnsi="Book Antiqua" w:cs="Arial"/>
              </w:rPr>
              <w:t>2018</w:t>
            </w:r>
          </w:p>
        </w:tc>
        <w:tc>
          <w:tcPr>
            <w:tcW w:w="825" w:type="pct"/>
          </w:tcPr>
          <w:p w14:paraId="0EE32DAE" w14:textId="444FF3AC" w:rsidR="004E770C" w:rsidRPr="00C67819" w:rsidRDefault="0038023E" w:rsidP="00C31635">
            <w:pPr>
              <w:spacing w:line="360" w:lineRule="auto"/>
              <w:jc w:val="both"/>
              <w:rPr>
                <w:rFonts w:ascii="Book Antiqua" w:eastAsia="Arial" w:hAnsi="Book Antiqua" w:cs="Arial"/>
              </w:rPr>
            </w:pPr>
            <w:r w:rsidRPr="00C67819">
              <w:rPr>
                <w:rFonts w:ascii="Book Antiqua" w:eastAsia="Arial" w:hAnsi="Book Antiqua" w:cs="Arial"/>
              </w:rPr>
              <w:t>Randomized double-blind prospective trial</w:t>
            </w:r>
          </w:p>
        </w:tc>
        <w:tc>
          <w:tcPr>
            <w:tcW w:w="3225" w:type="pct"/>
            <w:shd w:val="clear" w:color="auto" w:fill="auto"/>
          </w:tcPr>
          <w:p w14:paraId="6D3ECBA8" w14:textId="6FF8CA0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Initiation of TDF at 24</w:t>
            </w:r>
            <w:r w:rsidRPr="00C67819">
              <w:rPr>
                <w:rFonts w:ascii="Book Antiqua" w:eastAsia="Arial" w:hAnsi="Book Antiqua" w:cs="Arial"/>
                <w:vertAlign w:val="superscript"/>
              </w:rPr>
              <w:t>th</w:t>
            </w:r>
            <w:r w:rsidRPr="00C67819">
              <w:rPr>
                <w:rFonts w:ascii="Book Antiqua" w:eastAsia="Arial Unicode MS" w:hAnsi="Book Antiqua" w:cs="Arial Unicode MS"/>
              </w:rPr>
              <w:t xml:space="preserve"> week of gestation and then 4 weeks after delivery reduced the MTCT from 13.5% (control group) to 0% cervical transmission, in pregnant HBsAg and HBeAg positive patients with high viral loads HBV DNA titer</w:t>
            </w:r>
            <w:r w:rsidRPr="00C67819">
              <w:rPr>
                <w:rFonts w:ascii="MS Gothic" w:eastAsia="MS Gothic" w:hAnsi="MS Gothic" w:cs="MS Gothic" w:hint="eastAsia"/>
              </w:rPr>
              <w:t> </w:t>
            </w:r>
            <w:r w:rsidRPr="00C67819">
              <w:rPr>
                <w:rFonts w:ascii="Book Antiqua" w:eastAsia="Arial Unicode MS" w:hAnsi="Book Antiqua" w:cs="Book Antiqua"/>
              </w:rPr>
              <w:t>≥</w:t>
            </w:r>
            <w:r w:rsidRPr="00C67819">
              <w:rPr>
                <w:rFonts w:ascii="MS Gothic" w:eastAsia="MS Gothic" w:hAnsi="MS Gothic" w:cs="MS Gothic" w:hint="eastAsia"/>
              </w:rPr>
              <w:t> </w:t>
            </w:r>
            <w:r w:rsidRPr="00C67819">
              <w:rPr>
                <w:rFonts w:ascii="Book Antiqua" w:eastAsia="Arial Unicode MS" w:hAnsi="Book Antiqua" w:cs="Arial Unicode MS"/>
              </w:rPr>
              <w:t>2</w:t>
            </w:r>
            <w:r w:rsidR="00812DA6">
              <w:rPr>
                <w:rFonts w:ascii="Book Antiqua" w:eastAsia="Arial Unicode MS" w:hAnsi="Book Antiqua" w:cs="Arial Unicode MS"/>
              </w:rPr>
              <w:t xml:space="preserve"> </w:t>
            </w:r>
            <w:r w:rsidRPr="00C67819">
              <w:rPr>
                <w:rFonts w:ascii="Book Antiqua" w:eastAsia="Arial Unicode MS" w:hAnsi="Book Antiqua" w:cs="Book Antiqua"/>
              </w:rPr>
              <w:t>×</w:t>
            </w:r>
            <w:r w:rsidR="00812DA6">
              <w:rPr>
                <w:rFonts w:ascii="Book Antiqua" w:eastAsia="Arial Unicode MS" w:hAnsi="Book Antiqua" w:cs="Book Antiqua"/>
              </w:rPr>
              <w:t xml:space="preserve"> </w:t>
            </w:r>
            <w:r w:rsidRPr="00C67819">
              <w:rPr>
                <w:rFonts w:ascii="Book Antiqua" w:eastAsia="Arial Unicode MS" w:hAnsi="Book Antiqua" w:cs="Arial Unicode MS"/>
              </w:rPr>
              <w:t>10</w:t>
            </w:r>
            <w:r w:rsidRPr="00812DA6">
              <w:rPr>
                <w:rFonts w:ascii="Book Antiqua" w:eastAsia="Arial Unicode MS" w:hAnsi="Book Antiqua" w:cs="Arial Unicode MS"/>
                <w:vertAlign w:val="superscript"/>
              </w:rPr>
              <w:t>6</w:t>
            </w:r>
            <w:r w:rsidR="00812DA6">
              <w:rPr>
                <w:rFonts w:ascii="Book Antiqua" w:eastAsia="Arial Unicode MS" w:hAnsi="Book Antiqua" w:cs="Book Antiqua"/>
              </w:rPr>
              <w:t xml:space="preserve"> </w:t>
            </w:r>
            <w:r w:rsidRPr="00C67819">
              <w:rPr>
                <w:rFonts w:ascii="Book Antiqua" w:eastAsia="Arial Unicode MS" w:hAnsi="Book Antiqua" w:cs="Arial Unicode MS"/>
              </w:rPr>
              <w:t>IU/mL</w:t>
            </w:r>
          </w:p>
        </w:tc>
      </w:tr>
      <w:tr w:rsidR="004E770C" w:rsidRPr="00C67819" w14:paraId="0CEBF349" w14:textId="77777777" w:rsidTr="001605A7">
        <w:tc>
          <w:tcPr>
            <w:tcW w:w="950" w:type="pct"/>
            <w:shd w:val="clear" w:color="auto" w:fill="auto"/>
          </w:tcPr>
          <w:p w14:paraId="54A3D511" w14:textId="324F2F64" w:rsidR="004E770C" w:rsidRPr="0038023E"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Wang </w:t>
            </w:r>
            <w:r w:rsidRPr="0038023E">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38023E">
              <w:rPr>
                <w:rFonts w:ascii="Book Antiqua" w:eastAsia="Arial" w:hAnsi="Book Antiqua" w:cs="Arial"/>
                <w:color w:val="000000"/>
                <w:vertAlign w:val="superscript"/>
              </w:rPr>
              <w:t>22</w:t>
            </w:r>
            <w:r w:rsidRPr="00C67819">
              <w:rPr>
                <w:rFonts w:ascii="Book Antiqua" w:eastAsia="Arial" w:hAnsi="Book Antiqua" w:cs="Arial"/>
                <w:color w:val="000000"/>
                <w:vertAlign w:val="superscript"/>
              </w:rPr>
              <w:t>]</w:t>
            </w:r>
            <w:r w:rsidR="0038023E">
              <w:rPr>
                <w:rFonts w:ascii="Book Antiqua" w:eastAsia="Arial" w:hAnsi="Book Antiqua" w:cs="Arial"/>
              </w:rPr>
              <w:t xml:space="preserve">, </w:t>
            </w:r>
            <w:r w:rsidRPr="00C67819">
              <w:rPr>
                <w:rFonts w:ascii="Book Antiqua" w:eastAsia="Arial" w:hAnsi="Book Antiqua" w:cs="Arial"/>
              </w:rPr>
              <w:t>2019</w:t>
            </w:r>
          </w:p>
        </w:tc>
        <w:tc>
          <w:tcPr>
            <w:tcW w:w="825" w:type="pct"/>
          </w:tcPr>
          <w:p w14:paraId="364C6832" w14:textId="673D9113" w:rsidR="004E770C" w:rsidRPr="00C67819" w:rsidRDefault="0038023E"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2C31C8AA" w14:textId="0802567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Initiation of TDF at 24</w:t>
            </w:r>
            <w:r w:rsidRPr="00C67819">
              <w:rPr>
                <w:rFonts w:ascii="Book Antiqua" w:eastAsia="Arial" w:hAnsi="Book Antiqua" w:cs="Arial"/>
                <w:vertAlign w:val="superscript"/>
              </w:rPr>
              <w:t>th</w:t>
            </w:r>
            <w:r w:rsidRPr="00C67819">
              <w:rPr>
                <w:rFonts w:ascii="Book Antiqua" w:eastAsia="Arial" w:hAnsi="Book Antiqua" w:cs="Arial"/>
              </w:rPr>
              <w:t xml:space="preserve"> week of gestation revealed a 0.7% MTCT in the ITT group, and 0% in the </w:t>
            </w:r>
            <w:r w:rsidRPr="00A65136">
              <w:rPr>
                <w:rFonts w:ascii="Book Antiqua" w:eastAsia="Arial" w:hAnsi="Book Antiqua" w:cs="Arial"/>
                <w:i/>
                <w:iCs/>
              </w:rPr>
              <w:t xml:space="preserve">per </w:t>
            </w:r>
            <w:r w:rsidRPr="00C67819">
              <w:rPr>
                <w:rFonts w:ascii="Book Antiqua" w:eastAsia="Arial" w:hAnsi="Book Antiqua" w:cs="Arial"/>
              </w:rPr>
              <w:t>protocol group, in pregnant HBsAg and HBeAg positive patients with high viral loads HBV DNA titer</w:t>
            </w:r>
            <w:r w:rsidRPr="00C67819">
              <w:rPr>
                <w:rFonts w:ascii="Book Antiqua" w:eastAsia="Arial" w:hAnsi="Book Antiqua" w:cs="Arial"/>
                <w:color w:val="212121"/>
                <w:highlight w:val="white"/>
              </w:rPr>
              <w:t xml:space="preserve"> &gt;</w:t>
            </w:r>
            <w:r w:rsidR="00812DA6">
              <w:rPr>
                <w:rFonts w:ascii="Book Antiqua" w:eastAsia="Arial" w:hAnsi="Book Antiqua" w:cs="Arial"/>
                <w:color w:val="212121"/>
                <w:highlight w:val="white"/>
              </w:rPr>
              <w:t xml:space="preserve"> </w:t>
            </w:r>
            <w:r w:rsidRPr="00C67819">
              <w:rPr>
                <w:rFonts w:ascii="Book Antiqua" w:eastAsia="Arial" w:hAnsi="Book Antiqua" w:cs="Arial"/>
                <w:color w:val="212121"/>
                <w:highlight w:val="white"/>
              </w:rPr>
              <w:t>6 log</w:t>
            </w:r>
            <w:r w:rsidRPr="00C67819">
              <w:rPr>
                <w:rFonts w:ascii="Book Antiqua" w:eastAsia="Arial" w:hAnsi="Book Antiqua" w:cs="Arial"/>
                <w:color w:val="212121"/>
                <w:highlight w:val="white"/>
                <w:vertAlign w:val="subscript"/>
              </w:rPr>
              <w:t xml:space="preserve">10 </w:t>
            </w:r>
            <w:r w:rsidRPr="00C67819">
              <w:rPr>
                <w:rFonts w:ascii="Book Antiqua" w:eastAsia="Arial" w:hAnsi="Book Antiqua" w:cs="Arial"/>
              </w:rPr>
              <w:t>IU/mL</w:t>
            </w:r>
          </w:p>
        </w:tc>
      </w:tr>
      <w:tr w:rsidR="004E770C" w:rsidRPr="00C67819" w14:paraId="173F3B09" w14:textId="77777777" w:rsidTr="001605A7">
        <w:tc>
          <w:tcPr>
            <w:tcW w:w="950" w:type="pct"/>
            <w:shd w:val="clear" w:color="auto" w:fill="auto"/>
          </w:tcPr>
          <w:p w14:paraId="105CE716" w14:textId="1C59E7BB" w:rsidR="004E770C" w:rsidRPr="003650F8"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Jourdain </w:t>
            </w:r>
            <w:r w:rsidRPr="003650F8">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3650F8">
              <w:rPr>
                <w:rFonts w:ascii="Book Antiqua" w:eastAsia="Arial" w:hAnsi="Book Antiqua" w:cs="Arial"/>
                <w:color w:val="000000"/>
                <w:vertAlign w:val="superscript"/>
              </w:rPr>
              <w:t>23</w:t>
            </w:r>
            <w:r w:rsidRPr="00C67819">
              <w:rPr>
                <w:rFonts w:ascii="Book Antiqua" w:eastAsia="Arial" w:hAnsi="Book Antiqua" w:cs="Arial"/>
                <w:color w:val="000000"/>
                <w:vertAlign w:val="superscript"/>
              </w:rPr>
              <w:t>]</w:t>
            </w:r>
            <w:r w:rsidR="003650F8" w:rsidRPr="003650F8">
              <w:rPr>
                <w:rFonts w:ascii="Book Antiqua" w:hAnsi="Book Antiqua" w:cs="Arial" w:hint="eastAsia"/>
                <w:color w:val="000000"/>
                <w:lang w:eastAsia="zh-CN"/>
              </w:rPr>
              <w:t>,</w:t>
            </w:r>
            <w:r w:rsidR="003650F8" w:rsidRPr="003650F8">
              <w:rPr>
                <w:rFonts w:ascii="Book Antiqua" w:hAnsi="Book Antiqua" w:cs="Arial"/>
                <w:color w:val="000000"/>
                <w:lang w:eastAsia="zh-CN"/>
              </w:rPr>
              <w:t xml:space="preserve"> </w:t>
            </w:r>
            <w:r w:rsidRPr="00C67819">
              <w:rPr>
                <w:rFonts w:ascii="Book Antiqua" w:eastAsia="Arial" w:hAnsi="Book Antiqua" w:cs="Arial"/>
              </w:rPr>
              <w:t>2018</w:t>
            </w:r>
          </w:p>
        </w:tc>
        <w:tc>
          <w:tcPr>
            <w:tcW w:w="825" w:type="pct"/>
          </w:tcPr>
          <w:p w14:paraId="17696D82" w14:textId="5D728E3B" w:rsidR="004E770C" w:rsidRPr="00C67819" w:rsidRDefault="003650F8" w:rsidP="00C31635">
            <w:pPr>
              <w:spacing w:line="360" w:lineRule="auto"/>
              <w:jc w:val="both"/>
              <w:rPr>
                <w:rFonts w:ascii="Book Antiqua" w:eastAsia="Arial" w:hAnsi="Book Antiqua" w:cs="Arial"/>
              </w:rPr>
            </w:pPr>
            <w:r w:rsidRPr="00C67819">
              <w:rPr>
                <w:rFonts w:ascii="Book Antiqua" w:eastAsia="Arial" w:hAnsi="Book Antiqua" w:cs="Arial"/>
                <w:highlight w:val="white"/>
              </w:rPr>
              <w:t>Multicenter, double-blind clinical trial</w:t>
            </w:r>
          </w:p>
        </w:tc>
        <w:tc>
          <w:tcPr>
            <w:tcW w:w="3225" w:type="pct"/>
            <w:shd w:val="clear" w:color="auto" w:fill="auto"/>
          </w:tcPr>
          <w:p w14:paraId="5719E3A6" w14:textId="6A4C7FC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Initiation of TDF at 28</w:t>
            </w:r>
            <w:r w:rsidRPr="00C67819">
              <w:rPr>
                <w:rFonts w:ascii="Book Antiqua" w:eastAsia="Arial" w:hAnsi="Book Antiqua" w:cs="Arial"/>
                <w:vertAlign w:val="superscript"/>
              </w:rPr>
              <w:t>th</w:t>
            </w:r>
            <w:r w:rsidRPr="00C67819">
              <w:rPr>
                <w:rFonts w:ascii="Book Antiqua" w:eastAsia="Arial" w:hAnsi="Book Antiqua" w:cs="Arial"/>
              </w:rPr>
              <w:t xml:space="preserve"> week of gestation till 2 mo postpartum mildly reduced the MTCT from 2% (control group) to 0% cervical transmission, in pregnant HBsAg and HBeAg positive patients with an ALT of &lt; 60. The authors showed that addition of TDF only mildly reduced the MTCT to infants at age 6 mo</w:t>
            </w:r>
          </w:p>
        </w:tc>
      </w:tr>
      <w:tr w:rsidR="004E770C" w:rsidRPr="00C67819" w14:paraId="356BB357" w14:textId="77777777" w:rsidTr="001605A7">
        <w:tc>
          <w:tcPr>
            <w:tcW w:w="950" w:type="pct"/>
            <w:shd w:val="clear" w:color="auto" w:fill="auto"/>
          </w:tcPr>
          <w:p w14:paraId="19A6742A" w14:textId="5519DBF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Wu</w:t>
            </w:r>
            <w:r w:rsidRPr="00882477">
              <w:rPr>
                <w:rFonts w:ascii="Book Antiqua" w:eastAsia="Arial" w:hAnsi="Book Antiqua" w:cs="Arial"/>
                <w:i/>
                <w:iCs/>
              </w:rPr>
              <w:t xml:space="preserve"> 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882477">
              <w:rPr>
                <w:rFonts w:ascii="Book Antiqua" w:eastAsia="Arial" w:hAnsi="Book Antiqua" w:cs="Arial"/>
                <w:color w:val="000000"/>
                <w:vertAlign w:val="superscript"/>
              </w:rPr>
              <w:t>25</w:t>
            </w:r>
            <w:r w:rsidRPr="00C67819">
              <w:rPr>
                <w:rFonts w:ascii="Book Antiqua" w:eastAsia="Arial" w:hAnsi="Book Antiqua" w:cs="Arial"/>
                <w:color w:val="000000"/>
                <w:vertAlign w:val="superscript"/>
              </w:rPr>
              <w:t>]</w:t>
            </w:r>
            <w:r w:rsidR="00882477">
              <w:rPr>
                <w:rFonts w:ascii="Book Antiqua" w:eastAsia="Arial" w:hAnsi="Book Antiqua" w:cs="Arial"/>
              </w:rPr>
              <w:t xml:space="preserve">, </w:t>
            </w:r>
            <w:r w:rsidRPr="00C67819">
              <w:rPr>
                <w:rFonts w:ascii="Book Antiqua" w:eastAsia="Arial" w:hAnsi="Book Antiqua" w:cs="Arial"/>
              </w:rPr>
              <w:t>2019</w:t>
            </w:r>
          </w:p>
        </w:tc>
        <w:tc>
          <w:tcPr>
            <w:tcW w:w="825" w:type="pct"/>
          </w:tcPr>
          <w:p w14:paraId="45E3A1F6" w14:textId="4C6226B2" w:rsidR="004E770C" w:rsidRPr="00C67819" w:rsidRDefault="003650F8" w:rsidP="00C31635">
            <w:pPr>
              <w:spacing w:line="360" w:lineRule="auto"/>
              <w:jc w:val="both"/>
              <w:rPr>
                <w:rFonts w:ascii="Book Antiqua" w:eastAsia="Arial" w:hAnsi="Book Antiqua" w:cs="Arial"/>
              </w:rPr>
            </w:pPr>
            <w:r w:rsidRPr="00C67819">
              <w:rPr>
                <w:rFonts w:ascii="Book Antiqua" w:eastAsia="Arial" w:hAnsi="Book Antiqua" w:cs="Arial"/>
              </w:rPr>
              <w:t>Randomized control trial</w:t>
            </w:r>
          </w:p>
        </w:tc>
        <w:tc>
          <w:tcPr>
            <w:tcW w:w="3225" w:type="pct"/>
            <w:shd w:val="clear" w:color="auto" w:fill="auto"/>
          </w:tcPr>
          <w:p w14:paraId="5A1D69AB" w14:textId="1173DAD6"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Immune-tolerant CHB patients awaiting assisted reproduction showed greater viral clearance (90% </w:t>
            </w:r>
            <w:r w:rsidRPr="00E65D7D">
              <w:rPr>
                <w:rFonts w:ascii="Book Antiqua" w:eastAsia="Arial" w:hAnsi="Book Antiqua" w:cs="Arial"/>
                <w:i/>
                <w:iCs/>
              </w:rPr>
              <w:t>vs</w:t>
            </w:r>
            <w:r w:rsidRPr="00C67819">
              <w:rPr>
                <w:rFonts w:ascii="Book Antiqua" w:eastAsia="Arial" w:hAnsi="Book Antiqua" w:cs="Arial"/>
              </w:rPr>
              <w:t xml:space="preserve"> 67.2%, </w:t>
            </w:r>
            <w:r w:rsidR="00E65D7D" w:rsidRPr="00E65D7D">
              <w:rPr>
                <w:rFonts w:ascii="Book Antiqua" w:eastAsia="Arial" w:hAnsi="Book Antiqua" w:cs="Arial"/>
                <w:i/>
                <w:iCs/>
              </w:rPr>
              <w:t>P</w:t>
            </w:r>
            <w:r w:rsidR="00E65D7D">
              <w:rPr>
                <w:rFonts w:ascii="Book Antiqua" w:eastAsia="Arial" w:hAnsi="Book Antiqua" w:cs="Arial"/>
              </w:rPr>
              <w:t xml:space="preserve"> </w:t>
            </w:r>
            <w:r w:rsidRPr="00C67819">
              <w:rPr>
                <w:rFonts w:ascii="Book Antiqua" w:eastAsia="Arial" w:hAnsi="Book Antiqua" w:cs="Arial"/>
              </w:rPr>
              <w:t>=</w:t>
            </w:r>
            <w:r w:rsidR="00E65D7D">
              <w:rPr>
                <w:rFonts w:ascii="Book Antiqua" w:eastAsia="Arial" w:hAnsi="Book Antiqua" w:cs="Arial"/>
              </w:rPr>
              <w:t xml:space="preserve"> </w:t>
            </w:r>
            <w:r w:rsidRPr="00C67819">
              <w:rPr>
                <w:rFonts w:ascii="Book Antiqua" w:eastAsia="Arial" w:hAnsi="Book Antiqua" w:cs="Arial"/>
              </w:rPr>
              <w:t xml:space="preserve">0.002 at week 12, and 96.6% compared to 85.2 % at week 48 respectively) when on a combination of TDF and telbivudine, compared to TDF alone. No difference was noted in the HBeAg seroconversion rates for the two groups (8.3% </w:t>
            </w:r>
            <w:r w:rsidRPr="00F0675C">
              <w:rPr>
                <w:rFonts w:ascii="Book Antiqua" w:eastAsia="Arial" w:hAnsi="Book Antiqua" w:cs="Arial"/>
                <w:i/>
                <w:iCs/>
              </w:rPr>
              <w:t>vs</w:t>
            </w:r>
            <w:r w:rsidR="00F0675C">
              <w:rPr>
                <w:rFonts w:ascii="Book Antiqua" w:eastAsia="Arial" w:hAnsi="Book Antiqua" w:cs="Arial"/>
              </w:rPr>
              <w:t xml:space="preserve"> </w:t>
            </w:r>
            <w:r w:rsidRPr="00C67819">
              <w:rPr>
                <w:rFonts w:ascii="Book Antiqua" w:eastAsia="Arial" w:hAnsi="Book Antiqua" w:cs="Arial"/>
              </w:rPr>
              <w:t xml:space="preserve">3.3%; </w:t>
            </w:r>
            <w:r w:rsidR="00F0675C" w:rsidRPr="00F0675C">
              <w:rPr>
                <w:rFonts w:ascii="Book Antiqua" w:eastAsia="Arial" w:hAnsi="Book Antiqua" w:cs="Arial"/>
                <w:i/>
                <w:iCs/>
              </w:rPr>
              <w:t>P</w:t>
            </w:r>
            <w:r w:rsidR="00F0675C">
              <w:rPr>
                <w:rFonts w:ascii="Book Antiqua" w:eastAsia="Arial" w:hAnsi="Book Antiqua" w:cs="Arial"/>
              </w:rPr>
              <w:t xml:space="preserve"> </w:t>
            </w:r>
            <w:r w:rsidRPr="00C67819">
              <w:rPr>
                <w:rFonts w:ascii="Book Antiqua" w:eastAsia="Arial" w:hAnsi="Book Antiqua" w:cs="Arial"/>
              </w:rPr>
              <w:t>=</w:t>
            </w:r>
            <w:r w:rsidR="00F0675C">
              <w:rPr>
                <w:rFonts w:ascii="Book Antiqua" w:eastAsia="Arial" w:hAnsi="Book Antiqua" w:cs="Arial"/>
              </w:rPr>
              <w:t xml:space="preserve"> </w:t>
            </w:r>
            <w:r w:rsidRPr="00C67819">
              <w:rPr>
                <w:rFonts w:ascii="Book Antiqua" w:eastAsia="Arial" w:hAnsi="Book Antiqua" w:cs="Arial"/>
              </w:rPr>
              <w:t>0.233)</w:t>
            </w:r>
          </w:p>
        </w:tc>
      </w:tr>
      <w:tr w:rsidR="000E4709" w:rsidRPr="00C67819" w14:paraId="4E0A7C48" w14:textId="77777777" w:rsidTr="001605A7">
        <w:tc>
          <w:tcPr>
            <w:tcW w:w="5000" w:type="pct"/>
            <w:gridSpan w:val="3"/>
          </w:tcPr>
          <w:p w14:paraId="7FCBF1DC" w14:textId="48C92F43" w:rsidR="000E4709" w:rsidRPr="00C67819" w:rsidRDefault="000E4709" w:rsidP="00C31635">
            <w:pPr>
              <w:spacing w:line="360" w:lineRule="auto"/>
              <w:jc w:val="both"/>
              <w:rPr>
                <w:rFonts w:ascii="Book Antiqua" w:eastAsia="Arial" w:hAnsi="Book Antiqua" w:cs="Arial"/>
                <w:b/>
              </w:rPr>
            </w:pPr>
            <w:r w:rsidRPr="00C67819">
              <w:rPr>
                <w:rFonts w:ascii="Book Antiqua" w:eastAsia="Arial" w:hAnsi="Book Antiqua" w:cs="Arial"/>
                <w:b/>
              </w:rPr>
              <w:t>Hepatitis B reactivation</w:t>
            </w:r>
          </w:p>
        </w:tc>
      </w:tr>
      <w:tr w:rsidR="004E770C" w:rsidRPr="00C67819" w14:paraId="1D8D2C57" w14:textId="77777777" w:rsidTr="001605A7">
        <w:tc>
          <w:tcPr>
            <w:tcW w:w="950" w:type="pct"/>
            <w:shd w:val="clear" w:color="auto" w:fill="auto"/>
          </w:tcPr>
          <w:p w14:paraId="36DC4731" w14:textId="22375DE0" w:rsidR="004E770C" w:rsidRPr="009D70E3"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Huang </w:t>
            </w:r>
            <w:r w:rsidRPr="009D70E3">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12</w:t>
            </w:r>
            <w:r w:rsidR="009D70E3">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9D70E3">
              <w:rPr>
                <w:rFonts w:ascii="Book Antiqua" w:eastAsia="Arial" w:hAnsi="Book Antiqua" w:cs="Arial"/>
              </w:rPr>
              <w:t xml:space="preserve">, </w:t>
            </w:r>
            <w:r w:rsidRPr="00C67819">
              <w:rPr>
                <w:rFonts w:ascii="Book Antiqua" w:eastAsia="Arial" w:hAnsi="Book Antiqua" w:cs="Arial"/>
              </w:rPr>
              <w:t>2013</w:t>
            </w:r>
          </w:p>
        </w:tc>
        <w:tc>
          <w:tcPr>
            <w:tcW w:w="825" w:type="pct"/>
          </w:tcPr>
          <w:p w14:paraId="1CE6FB41" w14:textId="7FE57E9E" w:rsidR="004E770C" w:rsidRPr="00C67819" w:rsidRDefault="009D70E3" w:rsidP="00C31635">
            <w:pPr>
              <w:spacing w:line="360" w:lineRule="auto"/>
              <w:jc w:val="both"/>
              <w:rPr>
                <w:rFonts w:ascii="Book Antiqua" w:eastAsia="Arial" w:hAnsi="Book Antiqua" w:cs="Arial"/>
              </w:rPr>
            </w:pPr>
            <w:r w:rsidRPr="00C67819">
              <w:rPr>
                <w:rFonts w:ascii="Book Antiqua" w:eastAsia="Arial" w:hAnsi="Book Antiqua" w:cs="Arial"/>
              </w:rPr>
              <w:t>Randomized double blind prospective trial</w:t>
            </w:r>
          </w:p>
        </w:tc>
        <w:tc>
          <w:tcPr>
            <w:tcW w:w="3225" w:type="pct"/>
            <w:shd w:val="clear" w:color="auto" w:fill="auto"/>
          </w:tcPr>
          <w:p w14:paraId="3BA3FF7D" w14:textId="2157724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Prophylaxis with ETV significantly reduced HBV reverse seroconversion when compared with placebo in resolved hepatitis B patients receiving Rituximab for lymphoma (4.3% </w:t>
            </w:r>
            <w:r w:rsidRPr="009D70E3">
              <w:rPr>
                <w:rFonts w:ascii="Book Antiqua" w:eastAsia="Arial" w:hAnsi="Book Antiqua" w:cs="Arial"/>
                <w:i/>
                <w:iCs/>
              </w:rPr>
              <w:t>vs</w:t>
            </w:r>
            <w:r w:rsidRPr="00C67819">
              <w:rPr>
                <w:rFonts w:ascii="Book Antiqua" w:eastAsia="Arial" w:hAnsi="Book Antiqua" w:cs="Arial"/>
              </w:rPr>
              <w:t xml:space="preserve"> 25.9% at 18 mo; </w:t>
            </w:r>
            <w:r w:rsidR="009D70E3" w:rsidRPr="009D70E3">
              <w:rPr>
                <w:rFonts w:ascii="Book Antiqua" w:eastAsia="Arial" w:hAnsi="Book Antiqua" w:cs="Arial"/>
                <w:i/>
                <w:iCs/>
              </w:rPr>
              <w:t>P</w:t>
            </w:r>
            <w:r w:rsidR="009D70E3">
              <w:rPr>
                <w:rFonts w:ascii="Book Antiqua" w:eastAsia="Arial" w:hAnsi="Book Antiqua" w:cs="Arial"/>
              </w:rPr>
              <w:t xml:space="preserve"> </w:t>
            </w:r>
            <w:r w:rsidRPr="00C67819">
              <w:rPr>
                <w:rFonts w:ascii="Book Antiqua" w:eastAsia="Arial" w:hAnsi="Book Antiqua" w:cs="Arial"/>
              </w:rPr>
              <w:t>=</w:t>
            </w:r>
            <w:r w:rsidR="009D70E3">
              <w:rPr>
                <w:rFonts w:ascii="Book Antiqua" w:eastAsia="Arial" w:hAnsi="Book Antiqua" w:cs="Arial"/>
              </w:rPr>
              <w:t xml:space="preserve"> 0</w:t>
            </w:r>
            <w:r w:rsidRPr="00C67819">
              <w:rPr>
                <w:rFonts w:ascii="Book Antiqua" w:eastAsia="Arial" w:hAnsi="Book Antiqua" w:cs="Arial"/>
              </w:rPr>
              <w:t>.019)</w:t>
            </w:r>
          </w:p>
        </w:tc>
      </w:tr>
      <w:tr w:rsidR="004E770C" w:rsidRPr="00C67819" w14:paraId="72647A21" w14:textId="77777777" w:rsidTr="001605A7">
        <w:tc>
          <w:tcPr>
            <w:tcW w:w="950" w:type="pct"/>
            <w:shd w:val="clear" w:color="auto" w:fill="auto"/>
          </w:tcPr>
          <w:p w14:paraId="0E3B849D" w14:textId="6E145F7A" w:rsidR="004E770C" w:rsidRPr="009D70E3"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Kusumoto </w:t>
            </w:r>
            <w:r w:rsidRPr="009D70E3">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9D70E3">
              <w:rPr>
                <w:rFonts w:ascii="Book Antiqua" w:eastAsia="Arial" w:hAnsi="Book Antiqua" w:cs="Arial"/>
                <w:color w:val="000000"/>
                <w:vertAlign w:val="superscript"/>
              </w:rPr>
              <w:t>30</w:t>
            </w:r>
            <w:r w:rsidRPr="00C67819">
              <w:rPr>
                <w:rFonts w:ascii="Book Antiqua" w:eastAsia="Arial" w:hAnsi="Book Antiqua" w:cs="Arial"/>
                <w:color w:val="000000"/>
                <w:vertAlign w:val="superscript"/>
              </w:rPr>
              <w:t>]</w:t>
            </w:r>
            <w:r w:rsidR="009D70E3" w:rsidRPr="009D70E3">
              <w:rPr>
                <w:rFonts w:ascii="Book Antiqua" w:hAnsi="Book Antiqua" w:cs="Arial" w:hint="eastAsia"/>
                <w:color w:val="000000"/>
                <w:lang w:eastAsia="zh-CN"/>
              </w:rPr>
              <w:t>,</w:t>
            </w:r>
            <w:r w:rsidR="009D70E3" w:rsidRPr="009D70E3">
              <w:rPr>
                <w:rFonts w:ascii="Book Antiqua" w:hAnsi="Book Antiqua" w:cs="Arial"/>
                <w:color w:val="000000"/>
                <w:lang w:eastAsia="zh-CN"/>
              </w:rPr>
              <w:t xml:space="preserve"> </w:t>
            </w:r>
            <w:r w:rsidRPr="00C67819">
              <w:rPr>
                <w:rFonts w:ascii="Book Antiqua" w:eastAsia="Arial" w:hAnsi="Book Antiqua" w:cs="Arial"/>
              </w:rPr>
              <w:t>2019</w:t>
            </w:r>
          </w:p>
        </w:tc>
        <w:tc>
          <w:tcPr>
            <w:tcW w:w="825" w:type="pct"/>
          </w:tcPr>
          <w:p w14:paraId="48A0F63F" w14:textId="7B9EEC0D" w:rsidR="004E770C" w:rsidRPr="00C67819" w:rsidRDefault="009D70E3"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1C5B3748" w14:textId="2792320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Resolved HBV patients with NHL, who received obinutuzumab or rituximab, and followed for HBV reactivation, revealed a strong correlation (</w:t>
            </w:r>
            <w:r w:rsidR="00464D4F" w:rsidRPr="009D70E3">
              <w:rPr>
                <w:rFonts w:ascii="Book Antiqua" w:eastAsia="Arial" w:hAnsi="Book Antiqua" w:cs="Arial"/>
                <w:i/>
                <w:iCs/>
              </w:rPr>
              <w:t>P</w:t>
            </w:r>
            <w:r w:rsidR="00464D4F">
              <w:rPr>
                <w:rFonts w:ascii="Book Antiqua" w:eastAsia="Arial" w:hAnsi="Book Antiqua" w:cs="Arial"/>
              </w:rPr>
              <w:t xml:space="preserve"> </w:t>
            </w:r>
            <w:r w:rsidRPr="00C67819">
              <w:rPr>
                <w:rFonts w:ascii="Book Antiqua" w:eastAsia="Arial" w:hAnsi="Book Antiqua" w:cs="Arial"/>
              </w:rPr>
              <w:t>&lt; 0.0001) of HBV reactivation with detectable baseline HBV DNA. Also, Prophylactic NA reduced risk of HBV reactivation (</w:t>
            </w:r>
            <w:r w:rsidR="009D70E3" w:rsidRPr="009D70E3">
              <w:rPr>
                <w:rFonts w:ascii="Book Antiqua" w:eastAsia="Arial" w:hAnsi="Book Antiqua" w:cs="Arial"/>
                <w:i/>
                <w:iCs/>
              </w:rPr>
              <w:t>P</w:t>
            </w:r>
            <w:r w:rsidR="009D70E3">
              <w:rPr>
                <w:rFonts w:ascii="Book Antiqua" w:eastAsia="Arial" w:hAnsi="Book Antiqua" w:cs="Arial"/>
              </w:rPr>
              <w:t xml:space="preserve"> </w:t>
            </w:r>
            <w:r w:rsidRPr="00C67819">
              <w:rPr>
                <w:rFonts w:ascii="Book Antiqua" w:eastAsia="Arial" w:hAnsi="Book Antiqua" w:cs="Arial"/>
              </w:rPr>
              <w:t>=</w:t>
            </w:r>
            <w:r w:rsidR="009D70E3">
              <w:rPr>
                <w:rFonts w:ascii="Book Antiqua" w:eastAsia="Arial" w:hAnsi="Book Antiqua" w:cs="Arial"/>
              </w:rPr>
              <w:t xml:space="preserve"> </w:t>
            </w:r>
            <w:r w:rsidRPr="00C67819">
              <w:rPr>
                <w:rFonts w:ascii="Book Antiqua" w:eastAsia="Arial" w:hAnsi="Book Antiqua" w:cs="Arial"/>
              </w:rPr>
              <w:t>0.0018)</w:t>
            </w:r>
          </w:p>
        </w:tc>
      </w:tr>
      <w:tr w:rsidR="004E770C" w:rsidRPr="00C67819" w14:paraId="5BA87584" w14:textId="77777777" w:rsidTr="001605A7">
        <w:tc>
          <w:tcPr>
            <w:tcW w:w="950" w:type="pct"/>
            <w:shd w:val="clear" w:color="auto" w:fill="auto"/>
          </w:tcPr>
          <w:p w14:paraId="57E42A8F" w14:textId="14A33909" w:rsidR="004E770C" w:rsidRPr="000C76B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Liu </w:t>
            </w:r>
            <w:r w:rsidRPr="000C76B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0C76B4">
              <w:rPr>
                <w:rFonts w:ascii="Book Antiqua" w:eastAsia="Arial" w:hAnsi="Book Antiqua" w:cs="Arial"/>
                <w:color w:val="000000"/>
                <w:vertAlign w:val="superscript"/>
              </w:rPr>
              <w:t>31</w:t>
            </w:r>
            <w:r w:rsidRPr="00C67819">
              <w:rPr>
                <w:rFonts w:ascii="Book Antiqua" w:eastAsia="Arial" w:hAnsi="Book Antiqua" w:cs="Arial"/>
                <w:color w:val="000000"/>
                <w:vertAlign w:val="superscript"/>
              </w:rPr>
              <w:t>]</w:t>
            </w:r>
            <w:r w:rsidR="000C76B4">
              <w:rPr>
                <w:rFonts w:ascii="Book Antiqua" w:eastAsia="Arial" w:hAnsi="Book Antiqua" w:cs="Arial"/>
              </w:rPr>
              <w:t xml:space="preserve">, </w:t>
            </w:r>
            <w:r w:rsidRPr="00C67819">
              <w:rPr>
                <w:rFonts w:ascii="Book Antiqua" w:eastAsia="Arial" w:hAnsi="Book Antiqua" w:cs="Arial"/>
              </w:rPr>
              <w:t>2019</w:t>
            </w:r>
          </w:p>
        </w:tc>
        <w:tc>
          <w:tcPr>
            <w:tcW w:w="825" w:type="pct"/>
          </w:tcPr>
          <w:p w14:paraId="27033BD5" w14:textId="450A3D39" w:rsidR="004E770C" w:rsidRPr="00C67819" w:rsidRDefault="000C76B4" w:rsidP="00C31635">
            <w:pPr>
              <w:spacing w:line="360" w:lineRule="auto"/>
              <w:jc w:val="both"/>
              <w:rPr>
                <w:rFonts w:ascii="Book Antiqua" w:eastAsia="Arial" w:hAnsi="Book Antiqua" w:cs="Arial"/>
              </w:rPr>
            </w:pPr>
            <w:r w:rsidRPr="00C67819">
              <w:rPr>
                <w:rFonts w:ascii="Book Antiqua" w:eastAsia="Arial" w:hAnsi="Book Antiqua" w:cs="Arial"/>
              </w:rPr>
              <w:t>Double bling randomized control trial</w:t>
            </w:r>
          </w:p>
        </w:tc>
        <w:tc>
          <w:tcPr>
            <w:tcW w:w="3225" w:type="pct"/>
            <w:shd w:val="clear" w:color="auto" w:fill="auto"/>
          </w:tcPr>
          <w:p w14:paraId="6741A01D" w14:textId="09B2A5F3"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Resolved HBV patients with lymphoma who received chemotherapy, had similar reactivation rates with or without ETV prophylaxis (0% </w:t>
            </w:r>
            <w:r w:rsidRPr="000C76B4">
              <w:rPr>
                <w:rFonts w:ascii="Book Antiqua" w:eastAsia="Arial" w:hAnsi="Book Antiqua" w:cs="Arial"/>
                <w:i/>
                <w:iCs/>
              </w:rPr>
              <w:t>vs</w:t>
            </w:r>
            <w:r w:rsidRPr="00C67819">
              <w:rPr>
                <w:rFonts w:ascii="Book Antiqua" w:eastAsia="Arial" w:hAnsi="Book Antiqua" w:cs="Arial"/>
              </w:rPr>
              <w:t xml:space="preserve"> 3.2%; </w:t>
            </w:r>
            <w:r w:rsidR="000C76B4" w:rsidRPr="009D70E3">
              <w:rPr>
                <w:rFonts w:ascii="Book Antiqua" w:eastAsia="Arial" w:hAnsi="Book Antiqua" w:cs="Arial"/>
                <w:i/>
                <w:iCs/>
              </w:rPr>
              <w:t>P</w:t>
            </w:r>
            <w:r w:rsidR="000C76B4">
              <w:rPr>
                <w:rFonts w:ascii="Book Antiqua" w:eastAsia="Arial" w:hAnsi="Book Antiqua" w:cs="Arial"/>
              </w:rPr>
              <w:t xml:space="preserve"> </w:t>
            </w:r>
            <w:r w:rsidRPr="00C67819">
              <w:rPr>
                <w:rFonts w:ascii="Book Antiqua" w:eastAsia="Arial" w:hAnsi="Book Antiqua" w:cs="Arial"/>
              </w:rPr>
              <w:t>=</w:t>
            </w:r>
            <w:r w:rsidR="000C76B4">
              <w:rPr>
                <w:rFonts w:ascii="Book Antiqua" w:eastAsia="Arial" w:hAnsi="Book Antiqua" w:cs="Arial"/>
              </w:rPr>
              <w:t xml:space="preserve"> </w:t>
            </w:r>
            <w:r w:rsidRPr="00C67819">
              <w:rPr>
                <w:rFonts w:ascii="Book Antiqua" w:eastAsia="Arial" w:hAnsi="Book Antiqua" w:cs="Arial"/>
              </w:rPr>
              <w:t>0.246).  Authors suggested that prophylactic use of entecavir was not a cost-effective strategy, especially for those with a baseline positive anti-HBs</w:t>
            </w:r>
          </w:p>
        </w:tc>
      </w:tr>
      <w:tr w:rsidR="004E770C" w:rsidRPr="00C67819" w14:paraId="195B85F4" w14:textId="77777777" w:rsidTr="001605A7">
        <w:tc>
          <w:tcPr>
            <w:tcW w:w="950" w:type="pct"/>
            <w:shd w:val="clear" w:color="auto" w:fill="auto"/>
          </w:tcPr>
          <w:p w14:paraId="10C0C693" w14:textId="0EF7CA1B" w:rsidR="004E770C" w:rsidRPr="000C76B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Hammond </w:t>
            </w:r>
            <w:r w:rsidRPr="000C76B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0C76B4">
              <w:rPr>
                <w:rFonts w:ascii="Book Antiqua" w:eastAsia="Arial" w:hAnsi="Book Antiqua" w:cs="Arial"/>
                <w:color w:val="000000"/>
                <w:vertAlign w:val="superscript"/>
              </w:rPr>
              <w:t>32</w:t>
            </w:r>
            <w:r w:rsidRPr="00C67819">
              <w:rPr>
                <w:rFonts w:ascii="Book Antiqua" w:eastAsia="Arial" w:hAnsi="Book Antiqua" w:cs="Arial"/>
                <w:color w:val="000000"/>
                <w:vertAlign w:val="superscript"/>
              </w:rPr>
              <w:t>]</w:t>
            </w:r>
            <w:r w:rsidR="000C76B4">
              <w:rPr>
                <w:rFonts w:ascii="Book Antiqua" w:eastAsia="Arial" w:hAnsi="Book Antiqua" w:cs="Arial"/>
              </w:rPr>
              <w:t xml:space="preserve">, </w:t>
            </w:r>
            <w:r w:rsidRPr="00C67819">
              <w:rPr>
                <w:rFonts w:ascii="Book Antiqua" w:eastAsia="Arial" w:hAnsi="Book Antiqua" w:cs="Arial"/>
              </w:rPr>
              <w:t>2018</w:t>
            </w:r>
          </w:p>
        </w:tc>
        <w:tc>
          <w:tcPr>
            <w:tcW w:w="825" w:type="pct"/>
          </w:tcPr>
          <w:p w14:paraId="23B8932E" w14:textId="6AAB5C17" w:rsidR="004E770C" w:rsidRPr="00C67819" w:rsidRDefault="000C76B4" w:rsidP="00C31635">
            <w:pPr>
              <w:spacing w:line="360" w:lineRule="auto"/>
              <w:jc w:val="both"/>
              <w:rPr>
                <w:rFonts w:ascii="Book Antiqua" w:eastAsia="Arial" w:hAnsi="Book Antiqua" w:cs="Arial"/>
              </w:rPr>
            </w:pPr>
            <w:r w:rsidRPr="00C67819">
              <w:rPr>
                <w:rFonts w:ascii="Book Antiqua" w:eastAsia="Arial" w:hAnsi="Book Antiqua" w:cs="Arial"/>
              </w:rPr>
              <w:t>Retrospective study</w:t>
            </w:r>
          </w:p>
        </w:tc>
        <w:tc>
          <w:tcPr>
            <w:tcW w:w="3225" w:type="pct"/>
            <w:shd w:val="clear" w:color="auto" w:fill="auto"/>
          </w:tcPr>
          <w:p w14:paraId="554A2ADF" w14:textId="4354A11C"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The incidence of HBV reactivation, in patients on Ibrutinib, was 9.5% (2 out of the 21 patients with known past HBV infection)</w:t>
            </w:r>
          </w:p>
        </w:tc>
      </w:tr>
      <w:tr w:rsidR="004E770C" w:rsidRPr="00C67819" w14:paraId="2B80C1F3" w14:textId="77777777" w:rsidTr="001605A7">
        <w:tc>
          <w:tcPr>
            <w:tcW w:w="950" w:type="pct"/>
            <w:shd w:val="clear" w:color="auto" w:fill="auto"/>
          </w:tcPr>
          <w:p w14:paraId="0C6B6B6E" w14:textId="29DD21A9" w:rsidR="004E770C" w:rsidRPr="00231397"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Wang </w:t>
            </w:r>
            <w:r w:rsidRPr="00231397">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231397">
              <w:rPr>
                <w:rFonts w:ascii="Book Antiqua" w:eastAsia="Arial" w:hAnsi="Book Antiqua" w:cs="Arial"/>
                <w:color w:val="000000"/>
                <w:vertAlign w:val="superscript"/>
              </w:rPr>
              <w:t>35</w:t>
            </w:r>
            <w:r w:rsidRPr="00C67819">
              <w:rPr>
                <w:rFonts w:ascii="Book Antiqua" w:eastAsia="Arial" w:hAnsi="Book Antiqua" w:cs="Arial"/>
                <w:color w:val="000000"/>
                <w:vertAlign w:val="superscript"/>
              </w:rPr>
              <w:t>]</w:t>
            </w:r>
            <w:r w:rsidR="00231397">
              <w:rPr>
                <w:rFonts w:ascii="Book Antiqua" w:eastAsia="Arial" w:hAnsi="Book Antiqua" w:cs="Arial"/>
              </w:rPr>
              <w:t xml:space="preserve">, </w:t>
            </w:r>
            <w:r w:rsidRPr="00C67819">
              <w:rPr>
                <w:rFonts w:ascii="Book Antiqua" w:eastAsia="Arial" w:hAnsi="Book Antiqua" w:cs="Arial"/>
              </w:rPr>
              <w:t>2018</w:t>
            </w:r>
          </w:p>
        </w:tc>
        <w:tc>
          <w:tcPr>
            <w:tcW w:w="825" w:type="pct"/>
          </w:tcPr>
          <w:p w14:paraId="59E68712" w14:textId="2F08B47A" w:rsidR="004E770C" w:rsidRPr="00C67819" w:rsidRDefault="00231397"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10050440" w14:textId="05A4CA82"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HBV DNA negative patients with HCC who underwent TACE were at risk of HBV reactivation. HBV reactivation rates were significantly lower in those receiving ETV compared with controls (5.9% vs 23.4%; </w:t>
            </w:r>
            <w:r w:rsidR="000C76B4" w:rsidRPr="009D70E3">
              <w:rPr>
                <w:rFonts w:ascii="Book Antiqua" w:eastAsia="Arial" w:hAnsi="Book Antiqua" w:cs="Arial"/>
                <w:i/>
                <w:iCs/>
              </w:rPr>
              <w:t>P</w:t>
            </w:r>
            <w:r w:rsidR="000C76B4">
              <w:rPr>
                <w:rFonts w:ascii="Book Antiqua" w:eastAsia="Arial" w:hAnsi="Book Antiqua" w:cs="Arial"/>
              </w:rPr>
              <w:t xml:space="preserve"> </w:t>
            </w:r>
            <w:r w:rsidRPr="00C67819">
              <w:rPr>
                <w:rFonts w:ascii="Book Antiqua" w:eastAsia="Arial" w:hAnsi="Book Antiqua" w:cs="Arial"/>
              </w:rPr>
              <w:t>&lt; 0.05)</w:t>
            </w:r>
          </w:p>
        </w:tc>
      </w:tr>
      <w:tr w:rsidR="004E770C" w:rsidRPr="00C67819" w14:paraId="35393C0C" w14:textId="77777777" w:rsidTr="001605A7">
        <w:tc>
          <w:tcPr>
            <w:tcW w:w="950" w:type="pct"/>
            <w:shd w:val="clear" w:color="auto" w:fill="auto"/>
          </w:tcPr>
          <w:p w14:paraId="3DD1BDF4" w14:textId="600303F6" w:rsidR="004E770C" w:rsidRPr="00231397"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highlight w:val="white"/>
              </w:rPr>
              <w:t>Zhang</w:t>
            </w:r>
            <w:r w:rsidRPr="00231397">
              <w:rPr>
                <w:rFonts w:ascii="Book Antiqua" w:eastAsia="Arial" w:hAnsi="Book Antiqua" w:cs="Arial"/>
                <w:i/>
                <w:iCs/>
                <w:highlight w:val="white"/>
              </w:rPr>
              <w:t xml:space="preserve"> 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13</w:t>
            </w:r>
            <w:r w:rsidR="00231397">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231397">
              <w:rPr>
                <w:rFonts w:ascii="Book Antiqua" w:eastAsia="Arial" w:hAnsi="Book Antiqua" w:cs="Arial"/>
              </w:rPr>
              <w:t xml:space="preserve">, </w:t>
            </w:r>
            <w:r w:rsidRPr="00C67819">
              <w:rPr>
                <w:rFonts w:ascii="Book Antiqua" w:eastAsia="Arial" w:hAnsi="Book Antiqua" w:cs="Arial"/>
              </w:rPr>
              <w:t>2019</w:t>
            </w:r>
          </w:p>
        </w:tc>
        <w:tc>
          <w:tcPr>
            <w:tcW w:w="825" w:type="pct"/>
          </w:tcPr>
          <w:p w14:paraId="406AA7F1" w14:textId="110DBED1" w:rsidR="004E770C" w:rsidRPr="00C67819" w:rsidRDefault="00231397" w:rsidP="00C31635">
            <w:pPr>
              <w:spacing w:line="360" w:lineRule="auto"/>
              <w:jc w:val="both"/>
              <w:rPr>
                <w:rFonts w:ascii="Book Antiqua" w:eastAsia="Arial" w:hAnsi="Book Antiqua" w:cs="Arial"/>
              </w:rPr>
            </w:pPr>
            <w:r w:rsidRPr="00C67819">
              <w:rPr>
                <w:rFonts w:ascii="Book Antiqua" w:eastAsia="Arial" w:hAnsi="Book Antiqua" w:cs="Arial"/>
              </w:rPr>
              <w:t>Meta-analysis</w:t>
            </w:r>
          </w:p>
        </w:tc>
        <w:tc>
          <w:tcPr>
            <w:tcW w:w="3225" w:type="pct"/>
            <w:shd w:val="clear" w:color="auto" w:fill="auto"/>
          </w:tcPr>
          <w:p w14:paraId="3271077E" w14:textId="590BF800"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DNA negative patients with HCC who underwent TACE were at risk of HBV reactivation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&lt;</w:t>
            </w:r>
            <w:r w:rsidR="00231397">
              <w:rPr>
                <w:rFonts w:ascii="Book Antiqua" w:eastAsia="Arial" w:hAnsi="Book Antiqua" w:cs="Arial"/>
              </w:rPr>
              <w:t xml:space="preserve"> </w:t>
            </w:r>
            <w:r w:rsidRPr="00C67819">
              <w:rPr>
                <w:rFonts w:ascii="Book Antiqua" w:eastAsia="Arial" w:hAnsi="Book Antiqua" w:cs="Arial"/>
              </w:rPr>
              <w:t>0.01) and hepatitis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&lt;</w:t>
            </w:r>
            <w:r w:rsidR="00231397">
              <w:rPr>
                <w:rFonts w:ascii="Book Antiqua" w:eastAsia="Arial" w:hAnsi="Book Antiqua" w:cs="Arial"/>
              </w:rPr>
              <w:t xml:space="preserve"> </w:t>
            </w:r>
            <w:r w:rsidRPr="00C67819">
              <w:rPr>
                <w:rFonts w:ascii="Book Antiqua" w:eastAsia="Arial" w:hAnsi="Book Antiqua" w:cs="Arial"/>
              </w:rPr>
              <w:t>0.01). Use of prophylactic anti-viral therapy significantly reduced the risk of HBV reactivation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&lt;</w:t>
            </w:r>
            <w:r w:rsidR="00231397">
              <w:rPr>
                <w:rFonts w:ascii="Book Antiqua" w:eastAsia="Arial" w:hAnsi="Book Antiqua" w:cs="Arial"/>
              </w:rPr>
              <w:t xml:space="preserve"> </w:t>
            </w:r>
            <w:r w:rsidRPr="00C67819">
              <w:rPr>
                <w:rFonts w:ascii="Book Antiqua" w:eastAsia="Arial" w:hAnsi="Book Antiqua" w:cs="Arial"/>
              </w:rPr>
              <w:t>0.01) and hepatitis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w:t>
            </w:r>
            <w:r w:rsidR="00231397">
              <w:rPr>
                <w:rFonts w:ascii="Book Antiqua" w:eastAsia="Arial" w:hAnsi="Book Antiqua" w:cs="Arial"/>
              </w:rPr>
              <w:t xml:space="preserve"> </w:t>
            </w:r>
            <w:r w:rsidRPr="00C67819">
              <w:rPr>
                <w:rFonts w:ascii="Book Antiqua" w:eastAsia="Arial" w:hAnsi="Book Antiqua" w:cs="Arial"/>
              </w:rPr>
              <w:t>0.02)</w:t>
            </w:r>
          </w:p>
        </w:tc>
      </w:tr>
      <w:tr w:rsidR="004E770C" w:rsidRPr="00C67819" w14:paraId="2EA3A66B" w14:textId="77777777" w:rsidTr="001605A7">
        <w:tc>
          <w:tcPr>
            <w:tcW w:w="950" w:type="pct"/>
            <w:shd w:val="clear" w:color="auto" w:fill="auto"/>
          </w:tcPr>
          <w:p w14:paraId="5DD51813" w14:textId="2AC1EF41" w:rsidR="004E770C" w:rsidRPr="00A262C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Jun </w:t>
            </w:r>
            <w:r w:rsidRPr="00A262C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13</w:t>
            </w:r>
            <w:r w:rsidR="00A262C4">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A262C4">
              <w:rPr>
                <w:rFonts w:ascii="Book Antiqua" w:eastAsia="Arial" w:hAnsi="Book Antiqua" w:cs="Arial"/>
              </w:rPr>
              <w:t xml:space="preserve">, </w:t>
            </w:r>
            <w:r w:rsidRPr="00C67819">
              <w:rPr>
                <w:rFonts w:ascii="Book Antiqua" w:eastAsia="Arial" w:hAnsi="Book Antiqua" w:cs="Arial"/>
              </w:rPr>
              <w:t>2018</w:t>
            </w:r>
          </w:p>
        </w:tc>
        <w:tc>
          <w:tcPr>
            <w:tcW w:w="825" w:type="pct"/>
          </w:tcPr>
          <w:p w14:paraId="2CD68E23" w14:textId="573C6DCD" w:rsidR="004E770C" w:rsidRPr="00C67819" w:rsidRDefault="00A262C4" w:rsidP="00C31635">
            <w:pPr>
              <w:spacing w:line="360" w:lineRule="auto"/>
              <w:jc w:val="both"/>
              <w:rPr>
                <w:rFonts w:ascii="Book Antiqua" w:eastAsia="Arial" w:hAnsi="Book Antiqua" w:cs="Arial"/>
              </w:rPr>
            </w:pPr>
            <w:r w:rsidRPr="00C67819">
              <w:rPr>
                <w:rFonts w:ascii="Book Antiqua" w:eastAsia="Arial" w:hAnsi="Book Antiqua" w:cs="Arial"/>
              </w:rPr>
              <w:t>Multi-center retrospective study</w:t>
            </w:r>
          </w:p>
        </w:tc>
        <w:tc>
          <w:tcPr>
            <w:tcW w:w="3225" w:type="pct"/>
            <w:shd w:val="clear" w:color="auto" w:fill="auto"/>
          </w:tcPr>
          <w:p w14:paraId="530980EB" w14:textId="42117924"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12.7% of HBV DNA negative patients with HCC who underwent RT had HBV reactivation. Use of prophylactic anti-viral therapy significantly reduced the risk of HBV reactivation (</w:t>
            </w:r>
            <w:r w:rsidR="00FB50EF" w:rsidRPr="009D70E3">
              <w:rPr>
                <w:rFonts w:ascii="Book Antiqua" w:eastAsia="Arial" w:hAnsi="Book Antiqua" w:cs="Arial"/>
                <w:i/>
                <w:iCs/>
              </w:rPr>
              <w:t>P</w:t>
            </w:r>
            <w:r w:rsidR="00FB50EF">
              <w:rPr>
                <w:rFonts w:ascii="Book Antiqua" w:eastAsia="Arial" w:hAnsi="Book Antiqua" w:cs="Arial"/>
              </w:rPr>
              <w:t xml:space="preserve"> </w:t>
            </w:r>
            <w:r w:rsidRPr="00C67819">
              <w:rPr>
                <w:rFonts w:ascii="Book Antiqua" w:eastAsia="Arial" w:hAnsi="Book Antiqua" w:cs="Arial"/>
              </w:rPr>
              <w:t>&lt;</w:t>
            </w:r>
            <w:r w:rsidR="00FB50EF">
              <w:rPr>
                <w:rFonts w:ascii="Book Antiqua" w:eastAsia="Arial" w:hAnsi="Book Antiqua" w:cs="Arial"/>
              </w:rPr>
              <w:t xml:space="preserve"> </w:t>
            </w:r>
            <w:r w:rsidRPr="00C67819">
              <w:rPr>
                <w:rFonts w:ascii="Book Antiqua" w:eastAsia="Arial" w:hAnsi="Book Antiqua" w:cs="Arial"/>
              </w:rPr>
              <w:t>0.001), when compared to the control group. Combined RT and TACE had significant risk for HBV reactivation (</w:t>
            </w:r>
            <w:r w:rsidR="00A262C4" w:rsidRPr="009D70E3">
              <w:rPr>
                <w:rFonts w:ascii="Book Antiqua" w:eastAsia="Arial" w:hAnsi="Book Antiqua" w:cs="Arial"/>
                <w:i/>
                <w:iCs/>
              </w:rPr>
              <w:t>P</w:t>
            </w:r>
            <w:r w:rsidR="00A262C4">
              <w:rPr>
                <w:rFonts w:ascii="Book Antiqua" w:eastAsia="Arial" w:hAnsi="Book Antiqua" w:cs="Arial"/>
              </w:rPr>
              <w:t xml:space="preserve"> </w:t>
            </w:r>
            <w:r w:rsidRPr="00C67819">
              <w:rPr>
                <w:rFonts w:ascii="Book Antiqua" w:eastAsia="Arial" w:hAnsi="Book Antiqua" w:cs="Arial"/>
              </w:rPr>
              <w:t>=</w:t>
            </w:r>
            <w:r w:rsidR="00A262C4">
              <w:rPr>
                <w:rFonts w:ascii="Book Antiqua" w:eastAsia="Arial" w:hAnsi="Book Antiqua" w:cs="Arial"/>
              </w:rPr>
              <w:t xml:space="preserve"> </w:t>
            </w:r>
            <w:r w:rsidRPr="00C67819">
              <w:rPr>
                <w:rFonts w:ascii="Book Antiqua" w:eastAsia="Arial" w:hAnsi="Book Antiqua" w:cs="Arial"/>
              </w:rPr>
              <w:t>0.008)</w:t>
            </w:r>
          </w:p>
        </w:tc>
      </w:tr>
      <w:tr w:rsidR="004E770C" w:rsidRPr="00C67819" w14:paraId="28C6823B" w14:textId="77777777" w:rsidTr="001605A7">
        <w:tc>
          <w:tcPr>
            <w:tcW w:w="950" w:type="pct"/>
            <w:shd w:val="clear" w:color="auto" w:fill="auto"/>
          </w:tcPr>
          <w:p w14:paraId="65AFEB09" w14:textId="7360E8C2" w:rsidR="004E770C" w:rsidRPr="00A262C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Liu </w:t>
            </w:r>
            <w:r w:rsidRPr="00A262C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13</w:t>
            </w:r>
            <w:r w:rsidR="00A262C4">
              <w:rPr>
                <w:rFonts w:ascii="Book Antiqua" w:eastAsia="Arial" w:hAnsi="Book Antiqua" w:cs="Arial"/>
                <w:color w:val="000000"/>
                <w:vertAlign w:val="superscript"/>
              </w:rPr>
              <w:t>8</w:t>
            </w:r>
            <w:r w:rsidRPr="00C67819">
              <w:rPr>
                <w:rFonts w:ascii="Book Antiqua" w:eastAsia="Arial" w:hAnsi="Book Antiqua" w:cs="Arial"/>
                <w:color w:val="000000"/>
                <w:vertAlign w:val="superscript"/>
              </w:rPr>
              <w:t>]</w:t>
            </w:r>
            <w:r w:rsidR="00A262C4">
              <w:rPr>
                <w:rFonts w:ascii="Book Antiqua" w:eastAsia="Arial" w:hAnsi="Book Antiqua" w:cs="Arial"/>
              </w:rPr>
              <w:t xml:space="preserve">, </w:t>
            </w:r>
            <w:r w:rsidRPr="00C67819">
              <w:rPr>
                <w:rFonts w:ascii="Book Antiqua" w:eastAsia="Arial" w:hAnsi="Book Antiqua" w:cs="Arial"/>
              </w:rPr>
              <w:t>2020</w:t>
            </w:r>
          </w:p>
        </w:tc>
        <w:tc>
          <w:tcPr>
            <w:tcW w:w="825" w:type="pct"/>
          </w:tcPr>
          <w:p w14:paraId="2AB6301C" w14:textId="43E66B7A" w:rsidR="004E770C" w:rsidRPr="00C67819" w:rsidRDefault="00A262C4" w:rsidP="00C31635">
            <w:pPr>
              <w:spacing w:line="360" w:lineRule="auto"/>
              <w:jc w:val="both"/>
              <w:rPr>
                <w:rFonts w:ascii="Book Antiqua" w:eastAsia="Arial" w:hAnsi="Book Antiqua" w:cs="Arial"/>
              </w:rPr>
            </w:pPr>
            <w:r w:rsidRPr="00C67819">
              <w:rPr>
                <w:rFonts w:ascii="Book Antiqua" w:eastAsia="Arial" w:hAnsi="Book Antiqua" w:cs="Arial"/>
              </w:rPr>
              <w:t>Retrospective study</w:t>
            </w:r>
          </w:p>
        </w:tc>
        <w:tc>
          <w:tcPr>
            <w:tcW w:w="3225" w:type="pct"/>
            <w:shd w:val="clear" w:color="auto" w:fill="auto"/>
          </w:tcPr>
          <w:p w14:paraId="1B2D0286" w14:textId="6829A09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CHB patients with SARS-CoV-2 infection had a 15% risk of HBV reactivation</w:t>
            </w:r>
          </w:p>
        </w:tc>
      </w:tr>
    </w:tbl>
    <w:p w14:paraId="74A9B33F" w14:textId="74325B7F" w:rsidR="0076275D" w:rsidRDefault="00A24CF9" w:rsidP="00501A87">
      <w:pPr>
        <w:spacing w:line="360" w:lineRule="auto"/>
        <w:jc w:val="both"/>
        <w:rPr>
          <w:rFonts w:ascii="Book Antiqua" w:eastAsia="Arial" w:hAnsi="Book Antiqua" w:cs="Arial"/>
        </w:rPr>
      </w:pPr>
      <w:r w:rsidRPr="00C67819">
        <w:rPr>
          <w:rFonts w:ascii="Book Antiqua" w:eastAsia="Arial" w:hAnsi="Book Antiqua" w:cs="Arial"/>
        </w:rPr>
        <w:t xml:space="preserve">CHB: Chronic </w:t>
      </w:r>
      <w:r>
        <w:rPr>
          <w:rFonts w:ascii="Book Antiqua" w:eastAsia="Arial" w:hAnsi="Book Antiqua" w:cs="Arial"/>
        </w:rPr>
        <w:t>h</w:t>
      </w:r>
      <w:r w:rsidRPr="00C67819">
        <w:rPr>
          <w:rFonts w:ascii="Book Antiqua" w:eastAsia="Arial" w:hAnsi="Book Antiqua" w:cs="Arial"/>
        </w:rPr>
        <w:t>epatitis B</w:t>
      </w:r>
      <w:r>
        <w:rPr>
          <w:rFonts w:ascii="Book Antiqua" w:eastAsia="Arial" w:hAnsi="Book Antiqua" w:cs="Arial"/>
        </w:rPr>
        <w:t>;</w:t>
      </w:r>
      <w:r w:rsidRPr="00C67819">
        <w:rPr>
          <w:rFonts w:ascii="Book Antiqua" w:eastAsia="Arial" w:hAnsi="Book Antiqua" w:cs="Arial"/>
        </w:rPr>
        <w:t xml:space="preserve"> HBV: Hepatitis B virus</w:t>
      </w:r>
      <w:r>
        <w:rPr>
          <w:rFonts w:ascii="Book Antiqua" w:eastAsia="Arial" w:hAnsi="Book Antiqua" w:cs="Arial"/>
        </w:rPr>
        <w:t>;</w:t>
      </w:r>
      <w:r w:rsidRPr="00C67819">
        <w:rPr>
          <w:rFonts w:ascii="Book Antiqua" w:eastAsia="Arial" w:hAnsi="Book Antiqua" w:cs="Arial"/>
        </w:rPr>
        <w:t xml:space="preserve"> HBeAg: </w:t>
      </w:r>
      <w:r>
        <w:rPr>
          <w:rFonts w:ascii="Book Antiqua" w:eastAsia="Arial" w:hAnsi="Book Antiqua" w:cs="Arial"/>
        </w:rPr>
        <w:t>H</w:t>
      </w:r>
      <w:r w:rsidRPr="00C67819">
        <w:rPr>
          <w:rFonts w:ascii="Book Antiqua" w:eastAsia="Arial" w:hAnsi="Book Antiqua" w:cs="Arial"/>
        </w:rPr>
        <w:t>epatitis B e-antigen</w:t>
      </w:r>
      <w:r>
        <w:rPr>
          <w:rFonts w:ascii="Book Antiqua" w:eastAsia="Arial" w:hAnsi="Book Antiqua" w:cs="Arial"/>
        </w:rPr>
        <w:t>;</w:t>
      </w:r>
      <w:r w:rsidRPr="00C67819">
        <w:rPr>
          <w:rFonts w:ascii="Book Antiqua" w:eastAsia="Arial" w:hAnsi="Book Antiqua" w:cs="Arial"/>
        </w:rPr>
        <w:t xml:space="preserve"> HBV: Hepatitis B virus</w:t>
      </w:r>
      <w:r>
        <w:rPr>
          <w:rFonts w:ascii="Book Antiqua" w:eastAsia="Arial" w:hAnsi="Book Antiqua" w:cs="Arial"/>
        </w:rPr>
        <w:t>;</w:t>
      </w:r>
      <w:r w:rsidRPr="00C67819">
        <w:rPr>
          <w:rFonts w:ascii="Book Antiqua" w:eastAsia="Arial" w:hAnsi="Book Antiqua" w:cs="Arial"/>
        </w:rPr>
        <w:t xml:space="preserve"> H</w:t>
      </w:r>
      <w:r w:rsidR="00196B26">
        <w:rPr>
          <w:rFonts w:ascii="Book Antiqua" w:eastAsia="Arial" w:hAnsi="Book Antiqua" w:cs="Arial"/>
        </w:rPr>
        <w:t>B</w:t>
      </w:r>
      <w:r w:rsidRPr="00C67819">
        <w:rPr>
          <w:rFonts w:ascii="Book Antiqua" w:eastAsia="Arial" w:hAnsi="Book Antiqua" w:cs="Arial"/>
        </w:rPr>
        <w:t>sAg: Hepatitis B surface antigen</w:t>
      </w:r>
      <w:r>
        <w:rPr>
          <w:rFonts w:ascii="Book Antiqua" w:eastAsia="Arial" w:hAnsi="Book Antiqua" w:cs="Arial"/>
        </w:rPr>
        <w:t>;</w:t>
      </w:r>
      <w:r w:rsidRPr="00C67819">
        <w:rPr>
          <w:rFonts w:ascii="Book Antiqua" w:eastAsia="Arial" w:hAnsi="Book Antiqua" w:cs="Arial"/>
        </w:rPr>
        <w:t xml:space="preserve"> TAF: Tenofovir alafenamide</w:t>
      </w:r>
      <w:r>
        <w:rPr>
          <w:rFonts w:ascii="Book Antiqua" w:eastAsia="Arial" w:hAnsi="Book Antiqua" w:cs="Arial"/>
        </w:rPr>
        <w:t>;</w:t>
      </w:r>
      <w:r w:rsidRPr="00C67819">
        <w:rPr>
          <w:rFonts w:ascii="Book Antiqua" w:eastAsia="Arial" w:hAnsi="Book Antiqua" w:cs="Arial"/>
        </w:rPr>
        <w:t xml:space="preserve"> TDF: Tenofovir disoproxil fumarate</w:t>
      </w:r>
      <w:r>
        <w:rPr>
          <w:rFonts w:ascii="Book Antiqua" w:eastAsia="Arial" w:hAnsi="Book Antiqua" w:cs="Arial"/>
        </w:rPr>
        <w:t>;</w:t>
      </w:r>
      <w:r w:rsidRPr="00C67819">
        <w:rPr>
          <w:rFonts w:ascii="Book Antiqua" w:eastAsia="Arial" w:hAnsi="Book Antiqua" w:cs="Arial"/>
        </w:rPr>
        <w:t xml:space="preserve"> ETV: Entecavir</w:t>
      </w:r>
      <w:r>
        <w:rPr>
          <w:rFonts w:ascii="Book Antiqua" w:eastAsia="Arial" w:hAnsi="Book Antiqua" w:cs="Arial"/>
        </w:rPr>
        <w:t>;</w:t>
      </w:r>
      <w:r w:rsidRPr="00C67819">
        <w:rPr>
          <w:rFonts w:ascii="Book Antiqua" w:eastAsia="Arial" w:hAnsi="Book Antiqua" w:cs="Arial"/>
        </w:rPr>
        <w:t xml:space="preserve"> NA: Nucleos(t)ide analog</w:t>
      </w:r>
      <w:r>
        <w:rPr>
          <w:rFonts w:ascii="Book Antiqua" w:eastAsia="Arial" w:hAnsi="Book Antiqua" w:cs="Arial"/>
        </w:rPr>
        <w:t>;</w:t>
      </w:r>
      <w:r w:rsidRPr="00C67819">
        <w:rPr>
          <w:rFonts w:ascii="Book Antiqua" w:eastAsia="Arial" w:hAnsi="Book Antiqua" w:cs="Arial"/>
        </w:rPr>
        <w:t xml:space="preserve"> TLR7: Toll like receptor 7</w:t>
      </w:r>
      <w:r>
        <w:rPr>
          <w:rFonts w:ascii="Book Antiqua" w:eastAsia="Arial" w:hAnsi="Book Antiqua" w:cs="Arial"/>
        </w:rPr>
        <w:t>;</w:t>
      </w:r>
      <w:r w:rsidRPr="00C67819">
        <w:rPr>
          <w:rFonts w:ascii="Book Antiqua" w:eastAsia="Arial" w:hAnsi="Book Antiqua" w:cs="Arial"/>
        </w:rPr>
        <w:t xml:space="preserve"> YIC: Hepatitis B surface antigen-hepatitis B immunoglobulin immune complex</w:t>
      </w:r>
      <w:r>
        <w:rPr>
          <w:rFonts w:ascii="Book Antiqua" w:eastAsia="Arial" w:hAnsi="Book Antiqua" w:cs="Arial"/>
        </w:rPr>
        <w:t>;</w:t>
      </w:r>
      <w:r w:rsidRPr="00C67819">
        <w:rPr>
          <w:rFonts w:ascii="Book Antiqua" w:eastAsia="Arial" w:hAnsi="Book Antiqua" w:cs="Arial"/>
        </w:rPr>
        <w:t xml:space="preserve"> AST: Aspartate </w:t>
      </w:r>
      <w:r>
        <w:rPr>
          <w:rFonts w:ascii="Book Antiqua" w:eastAsia="Arial" w:hAnsi="Book Antiqua" w:cs="Arial"/>
        </w:rPr>
        <w:t>a</w:t>
      </w:r>
      <w:r w:rsidRPr="00C67819">
        <w:rPr>
          <w:rFonts w:ascii="Book Antiqua" w:eastAsia="Arial" w:hAnsi="Book Antiqua" w:cs="Arial"/>
        </w:rPr>
        <w:t>minotransferase</w:t>
      </w:r>
      <w:r>
        <w:rPr>
          <w:rFonts w:ascii="Book Antiqua" w:eastAsia="Arial" w:hAnsi="Book Antiqua" w:cs="Arial"/>
        </w:rPr>
        <w:t>;</w:t>
      </w:r>
      <w:r w:rsidRPr="00C67819">
        <w:rPr>
          <w:rFonts w:ascii="Book Antiqua" w:eastAsia="Arial" w:hAnsi="Book Antiqua" w:cs="Arial"/>
        </w:rPr>
        <w:t xml:space="preserve"> ALT: Alanine </w:t>
      </w:r>
      <w:r>
        <w:rPr>
          <w:rFonts w:ascii="Book Antiqua" w:eastAsia="Arial" w:hAnsi="Book Antiqua" w:cs="Arial"/>
        </w:rPr>
        <w:t>a</w:t>
      </w:r>
      <w:r w:rsidRPr="00C67819">
        <w:rPr>
          <w:rFonts w:ascii="Book Antiqua" w:eastAsia="Arial" w:hAnsi="Book Antiqua" w:cs="Arial"/>
        </w:rPr>
        <w:t>minotransaminase</w:t>
      </w:r>
      <w:r>
        <w:rPr>
          <w:rFonts w:ascii="Book Antiqua" w:eastAsia="Arial" w:hAnsi="Book Antiqua" w:cs="Arial"/>
        </w:rPr>
        <w:t xml:space="preserve">; </w:t>
      </w:r>
      <w:r w:rsidRPr="00C67819">
        <w:rPr>
          <w:rFonts w:ascii="Book Antiqua" w:eastAsia="Arial" w:hAnsi="Book Antiqua" w:cs="Arial"/>
        </w:rPr>
        <w:t>PEG-IFN: Pegylated interferon</w:t>
      </w:r>
      <w:r>
        <w:rPr>
          <w:rFonts w:ascii="Book Antiqua" w:eastAsia="Arial" w:hAnsi="Book Antiqua" w:cs="Arial"/>
        </w:rPr>
        <w:t>;</w:t>
      </w:r>
      <w:r w:rsidRPr="00C67819">
        <w:rPr>
          <w:rFonts w:ascii="Book Antiqua" w:eastAsia="Arial" w:hAnsi="Book Antiqua" w:cs="Arial"/>
        </w:rPr>
        <w:t xml:space="preserve"> cccDNA: </w:t>
      </w:r>
      <w:r w:rsidR="00CE6CB4">
        <w:rPr>
          <w:rFonts w:ascii="Book Antiqua" w:eastAsia="Arial" w:hAnsi="Book Antiqua" w:cs="Arial"/>
        </w:rPr>
        <w:t>C</w:t>
      </w:r>
      <w:r w:rsidRPr="00C67819">
        <w:rPr>
          <w:rFonts w:ascii="Book Antiqua" w:eastAsia="Arial" w:hAnsi="Book Antiqua" w:cs="Arial"/>
        </w:rPr>
        <w:t>ovalently closed circular DNA</w:t>
      </w:r>
      <w:r>
        <w:rPr>
          <w:rFonts w:ascii="Book Antiqua" w:eastAsia="Arial" w:hAnsi="Book Antiqua" w:cs="Arial"/>
        </w:rPr>
        <w:t>;</w:t>
      </w:r>
      <w:r w:rsidRPr="00C67819">
        <w:rPr>
          <w:rFonts w:ascii="Book Antiqua" w:eastAsia="Arial" w:hAnsi="Book Antiqua" w:cs="Arial"/>
        </w:rPr>
        <w:t xml:space="preserve"> CRISPR</w:t>
      </w:r>
      <w:r>
        <w:rPr>
          <w:rFonts w:ascii="Book Antiqua" w:eastAsia="Arial" w:hAnsi="Book Antiqua" w:cs="Arial"/>
        </w:rPr>
        <w:t>:</w:t>
      </w:r>
      <w:r w:rsidRPr="00C67819">
        <w:rPr>
          <w:rFonts w:ascii="Book Antiqua" w:eastAsia="Arial" w:hAnsi="Book Antiqua" w:cs="Arial"/>
        </w:rPr>
        <w:t xml:space="preserve"> Clustered </w:t>
      </w:r>
      <w:r w:rsidR="004E770C">
        <w:rPr>
          <w:rFonts w:ascii="Book Antiqua" w:eastAsia="Arial" w:hAnsi="Book Antiqua" w:cs="Arial"/>
        </w:rPr>
        <w:t>r</w:t>
      </w:r>
      <w:r w:rsidRPr="00C67819">
        <w:rPr>
          <w:rFonts w:ascii="Book Antiqua" w:eastAsia="Arial" w:hAnsi="Book Antiqua" w:cs="Arial"/>
        </w:rPr>
        <w:t xml:space="preserve">egularly, </w:t>
      </w:r>
      <w:r w:rsidR="004E770C">
        <w:rPr>
          <w:rFonts w:ascii="Book Antiqua" w:eastAsia="Arial" w:hAnsi="Book Antiqua" w:cs="Arial"/>
        </w:rPr>
        <w:t>i</w:t>
      </w:r>
      <w:r w:rsidRPr="00C67819">
        <w:rPr>
          <w:rFonts w:ascii="Book Antiqua" w:eastAsia="Arial" w:hAnsi="Book Antiqua" w:cs="Arial"/>
        </w:rPr>
        <w:t xml:space="preserve">nterspaced </w:t>
      </w:r>
      <w:r w:rsidR="004E770C">
        <w:rPr>
          <w:rFonts w:ascii="Book Antiqua" w:eastAsia="Arial" w:hAnsi="Book Antiqua" w:cs="Arial"/>
        </w:rPr>
        <w:t>s</w:t>
      </w:r>
      <w:r w:rsidRPr="00C67819">
        <w:rPr>
          <w:rFonts w:ascii="Book Antiqua" w:eastAsia="Arial" w:hAnsi="Book Antiqua" w:cs="Arial"/>
        </w:rPr>
        <w:t xml:space="preserve">hort </w:t>
      </w:r>
      <w:r w:rsidR="004E770C">
        <w:rPr>
          <w:rFonts w:ascii="Book Antiqua" w:eastAsia="Arial" w:hAnsi="Book Antiqua" w:cs="Arial"/>
        </w:rPr>
        <w:t>p</w:t>
      </w:r>
      <w:r w:rsidRPr="00C67819">
        <w:rPr>
          <w:rFonts w:ascii="Book Antiqua" w:eastAsia="Arial" w:hAnsi="Book Antiqua" w:cs="Arial"/>
        </w:rPr>
        <w:t xml:space="preserve">alindromic </w:t>
      </w:r>
      <w:r w:rsidR="004E770C">
        <w:rPr>
          <w:rFonts w:ascii="Book Antiqua" w:eastAsia="Arial" w:hAnsi="Book Antiqua" w:cs="Arial"/>
        </w:rPr>
        <w:t>r</w:t>
      </w:r>
      <w:r w:rsidRPr="00C67819">
        <w:rPr>
          <w:rFonts w:ascii="Book Antiqua" w:eastAsia="Arial" w:hAnsi="Book Antiqua" w:cs="Arial"/>
        </w:rPr>
        <w:t>epeats</w:t>
      </w:r>
      <w:r>
        <w:rPr>
          <w:rFonts w:ascii="Book Antiqua" w:eastAsia="Arial" w:hAnsi="Book Antiqua" w:cs="Arial"/>
        </w:rPr>
        <w:t>;</w:t>
      </w:r>
      <w:r w:rsidRPr="00C67819">
        <w:rPr>
          <w:rFonts w:ascii="Book Antiqua" w:eastAsia="Arial" w:hAnsi="Book Antiqua" w:cs="Arial"/>
        </w:rPr>
        <w:t xml:space="preserve"> Cas9: CRISPR associated protein 9</w:t>
      </w:r>
      <w:r>
        <w:rPr>
          <w:rFonts w:ascii="Book Antiqua" w:eastAsia="Arial" w:hAnsi="Book Antiqua" w:cs="Arial"/>
        </w:rPr>
        <w:t>;</w:t>
      </w:r>
      <w:r w:rsidRPr="00C67819">
        <w:rPr>
          <w:rFonts w:ascii="Book Antiqua" w:eastAsia="Arial" w:hAnsi="Book Antiqua" w:cs="Arial"/>
        </w:rPr>
        <w:t xml:space="preserve"> NK: </w:t>
      </w:r>
      <w:r>
        <w:rPr>
          <w:rFonts w:ascii="Book Antiqua" w:eastAsia="Arial" w:hAnsi="Book Antiqua" w:cs="Arial"/>
        </w:rPr>
        <w:t>N</w:t>
      </w:r>
      <w:r w:rsidRPr="00C67819">
        <w:rPr>
          <w:rFonts w:ascii="Book Antiqua" w:eastAsia="Arial" w:hAnsi="Book Antiqua" w:cs="Arial"/>
        </w:rPr>
        <w:t>atural killer</w:t>
      </w:r>
      <w:r>
        <w:rPr>
          <w:rFonts w:ascii="Book Antiqua" w:eastAsia="Arial" w:hAnsi="Book Antiqua" w:cs="Arial"/>
        </w:rPr>
        <w:t>;</w:t>
      </w:r>
      <w:r w:rsidRPr="00C67819">
        <w:rPr>
          <w:rFonts w:ascii="Book Antiqua" w:eastAsia="Arial" w:hAnsi="Book Antiqua" w:cs="Arial"/>
        </w:rPr>
        <w:t xml:space="preserve"> IFN: Interferon</w:t>
      </w:r>
      <w:r>
        <w:rPr>
          <w:rFonts w:ascii="Book Antiqua" w:eastAsia="Arial" w:hAnsi="Book Antiqua" w:cs="Arial"/>
        </w:rPr>
        <w:t>;</w:t>
      </w:r>
      <w:r w:rsidRPr="00C67819">
        <w:rPr>
          <w:rFonts w:ascii="Book Antiqua" w:eastAsia="Arial" w:hAnsi="Book Antiqua" w:cs="Arial"/>
        </w:rPr>
        <w:t xml:space="preserve"> TNF: Tumor necrosis factor</w:t>
      </w:r>
      <w:r>
        <w:rPr>
          <w:rFonts w:ascii="Book Antiqua" w:eastAsia="Arial" w:hAnsi="Book Antiqua" w:cs="Arial"/>
        </w:rPr>
        <w:t>;</w:t>
      </w:r>
      <w:r w:rsidRPr="00C67819">
        <w:rPr>
          <w:rFonts w:ascii="Book Antiqua" w:eastAsia="Arial" w:hAnsi="Book Antiqua" w:cs="Arial"/>
        </w:rPr>
        <w:t xml:space="preserve"> IL-2: Interleukin 2</w:t>
      </w:r>
      <w:r>
        <w:rPr>
          <w:rFonts w:ascii="Book Antiqua" w:eastAsia="Arial" w:hAnsi="Book Antiqua" w:cs="Arial"/>
        </w:rPr>
        <w:t>;</w:t>
      </w:r>
      <w:r w:rsidRPr="00C67819">
        <w:rPr>
          <w:rFonts w:ascii="Book Antiqua" w:eastAsia="Arial" w:hAnsi="Book Antiqua" w:cs="Arial"/>
        </w:rPr>
        <w:t xml:space="preserve"> CD: </w:t>
      </w:r>
      <w:r>
        <w:rPr>
          <w:rFonts w:ascii="Book Antiqua" w:eastAsia="Arial" w:hAnsi="Book Antiqua" w:cs="Arial"/>
        </w:rPr>
        <w:t>C</w:t>
      </w:r>
      <w:r w:rsidRPr="00C67819">
        <w:rPr>
          <w:rFonts w:ascii="Book Antiqua" w:eastAsia="Arial" w:hAnsi="Book Antiqua" w:cs="Arial"/>
        </w:rPr>
        <w:t>luster of differentiation</w:t>
      </w:r>
      <w:r>
        <w:rPr>
          <w:rFonts w:ascii="Book Antiqua" w:eastAsia="Arial" w:hAnsi="Book Antiqua" w:cs="Arial"/>
        </w:rPr>
        <w:t>;</w:t>
      </w:r>
      <w:r w:rsidRPr="00C67819">
        <w:rPr>
          <w:rFonts w:ascii="Book Antiqua" w:eastAsia="Arial" w:hAnsi="Book Antiqua" w:cs="Arial"/>
        </w:rPr>
        <w:t xml:space="preserve"> HBIG: Hepatitis B immune globulin</w:t>
      </w:r>
      <w:r>
        <w:rPr>
          <w:rFonts w:ascii="Book Antiqua" w:eastAsia="Arial" w:hAnsi="Book Antiqua" w:cs="Arial"/>
        </w:rPr>
        <w:t>;</w:t>
      </w:r>
      <w:r w:rsidRPr="00C67819">
        <w:rPr>
          <w:rFonts w:ascii="Book Antiqua" w:eastAsia="Arial" w:hAnsi="Book Antiqua" w:cs="Arial"/>
        </w:rPr>
        <w:t xml:space="preserve"> AUC: Area under the ROC </w:t>
      </w:r>
      <w:r w:rsidR="00CE6CB4">
        <w:rPr>
          <w:rFonts w:ascii="Book Antiqua" w:eastAsia="Arial" w:hAnsi="Book Antiqua" w:cs="Arial"/>
        </w:rPr>
        <w:t>c</w:t>
      </w:r>
      <w:r w:rsidRPr="00C67819">
        <w:rPr>
          <w:rFonts w:ascii="Book Antiqua" w:eastAsia="Arial" w:hAnsi="Book Antiqua" w:cs="Arial"/>
        </w:rPr>
        <w:t>urve</w:t>
      </w:r>
      <w:r>
        <w:rPr>
          <w:rFonts w:ascii="Book Antiqua" w:eastAsia="Arial" w:hAnsi="Book Antiqua" w:cs="Arial"/>
        </w:rPr>
        <w:t>;</w:t>
      </w:r>
      <w:r w:rsidRPr="00C67819">
        <w:rPr>
          <w:rFonts w:ascii="Book Antiqua" w:eastAsia="Arial" w:hAnsi="Book Antiqua" w:cs="Arial"/>
        </w:rPr>
        <w:t xml:space="preserve"> ROC: </w:t>
      </w:r>
      <w:r>
        <w:rPr>
          <w:rFonts w:ascii="Book Antiqua" w:eastAsia="Arial" w:hAnsi="Book Antiqua" w:cs="Arial"/>
        </w:rPr>
        <w:t>R</w:t>
      </w:r>
      <w:r w:rsidRPr="00C67819">
        <w:rPr>
          <w:rFonts w:ascii="Book Antiqua" w:eastAsia="Arial" w:hAnsi="Book Antiqua" w:cs="Arial"/>
        </w:rPr>
        <w:t>eceiver operating characteristic</w:t>
      </w:r>
      <w:r>
        <w:rPr>
          <w:rFonts w:ascii="Book Antiqua" w:eastAsia="Arial" w:hAnsi="Book Antiqua" w:cs="Arial"/>
        </w:rPr>
        <w:t>;</w:t>
      </w:r>
      <w:r w:rsidRPr="00C67819">
        <w:rPr>
          <w:rFonts w:ascii="Book Antiqua" w:eastAsia="Arial" w:hAnsi="Book Antiqua" w:cs="Arial"/>
        </w:rPr>
        <w:t xml:space="preserve"> CI: Confidence </w:t>
      </w:r>
      <w:r>
        <w:rPr>
          <w:rFonts w:ascii="Book Antiqua" w:eastAsia="Arial" w:hAnsi="Book Antiqua" w:cs="Arial"/>
        </w:rPr>
        <w:t>i</w:t>
      </w:r>
      <w:r w:rsidRPr="00C67819">
        <w:rPr>
          <w:rFonts w:ascii="Book Antiqua" w:eastAsia="Arial" w:hAnsi="Book Antiqua" w:cs="Arial"/>
        </w:rPr>
        <w:t>nterval</w:t>
      </w:r>
      <w:r>
        <w:rPr>
          <w:rFonts w:ascii="Book Antiqua" w:eastAsia="Arial" w:hAnsi="Book Antiqua" w:cs="Arial"/>
        </w:rPr>
        <w:t>;</w:t>
      </w:r>
      <w:r w:rsidRPr="00C67819">
        <w:rPr>
          <w:rFonts w:ascii="Book Antiqua" w:eastAsia="Arial" w:hAnsi="Book Antiqua" w:cs="Arial"/>
        </w:rPr>
        <w:t xml:space="preserve"> ITT: Intention to treat</w:t>
      </w:r>
      <w:r>
        <w:rPr>
          <w:rFonts w:ascii="Book Antiqua" w:eastAsia="Arial" w:hAnsi="Book Antiqua" w:cs="Arial"/>
        </w:rPr>
        <w:t>;</w:t>
      </w:r>
      <w:r w:rsidRPr="00C67819">
        <w:rPr>
          <w:rFonts w:ascii="Book Antiqua" w:eastAsia="Arial" w:hAnsi="Book Antiqua" w:cs="Arial"/>
        </w:rPr>
        <w:t xml:space="preserve"> MTCT: Maternal to child transmission</w:t>
      </w:r>
      <w:r>
        <w:rPr>
          <w:rFonts w:ascii="Book Antiqua" w:eastAsia="Arial" w:hAnsi="Book Antiqua" w:cs="Arial"/>
        </w:rPr>
        <w:t>;</w:t>
      </w:r>
      <w:r w:rsidRPr="00C67819">
        <w:rPr>
          <w:rFonts w:ascii="Book Antiqua" w:eastAsia="Arial" w:hAnsi="Book Antiqua" w:cs="Arial"/>
        </w:rPr>
        <w:t xml:space="preserve"> NHL: Non-Hodgkin’s </w:t>
      </w:r>
      <w:r>
        <w:rPr>
          <w:rFonts w:ascii="Book Antiqua" w:eastAsia="Arial" w:hAnsi="Book Antiqua" w:cs="Arial"/>
        </w:rPr>
        <w:t>l</w:t>
      </w:r>
      <w:r w:rsidRPr="00C67819">
        <w:rPr>
          <w:rFonts w:ascii="Book Antiqua" w:eastAsia="Arial" w:hAnsi="Book Antiqua" w:cs="Arial"/>
        </w:rPr>
        <w:t>ymphoma</w:t>
      </w:r>
      <w:r>
        <w:rPr>
          <w:rFonts w:ascii="Book Antiqua" w:eastAsia="Arial" w:hAnsi="Book Antiqua" w:cs="Arial"/>
        </w:rPr>
        <w:t>;</w:t>
      </w:r>
      <w:r w:rsidRPr="00C67819">
        <w:rPr>
          <w:rFonts w:ascii="Book Antiqua" w:eastAsia="Arial" w:hAnsi="Book Antiqua" w:cs="Arial"/>
        </w:rPr>
        <w:t xml:space="preserve"> TACE: Trans-arterial </w:t>
      </w:r>
      <w:r>
        <w:rPr>
          <w:rFonts w:ascii="Book Antiqua" w:eastAsia="Arial" w:hAnsi="Book Antiqua" w:cs="Arial"/>
        </w:rPr>
        <w:t>c</w:t>
      </w:r>
      <w:r w:rsidRPr="00C67819">
        <w:rPr>
          <w:rFonts w:ascii="Book Antiqua" w:eastAsia="Arial" w:hAnsi="Book Antiqua" w:cs="Arial"/>
        </w:rPr>
        <w:t>hemoembolization</w:t>
      </w:r>
      <w:r>
        <w:rPr>
          <w:rFonts w:ascii="Book Antiqua" w:eastAsia="Arial" w:hAnsi="Book Antiqua" w:cs="Arial"/>
        </w:rPr>
        <w:t>;</w:t>
      </w:r>
      <w:r w:rsidRPr="00C67819">
        <w:rPr>
          <w:rFonts w:ascii="Book Antiqua" w:eastAsia="Arial" w:hAnsi="Book Antiqua" w:cs="Arial"/>
        </w:rPr>
        <w:t xml:space="preserve"> RT: Radio-therapy</w:t>
      </w:r>
      <w:r>
        <w:rPr>
          <w:rFonts w:ascii="Book Antiqua" w:eastAsia="Arial" w:hAnsi="Book Antiqua" w:cs="Arial"/>
        </w:rPr>
        <w:t>;</w:t>
      </w:r>
      <w:r w:rsidRPr="00C67819">
        <w:rPr>
          <w:rFonts w:ascii="Book Antiqua" w:eastAsia="Arial" w:hAnsi="Book Antiqua" w:cs="Arial"/>
        </w:rPr>
        <w:t xml:space="preserve"> HCC: Hepatocellular carcinoma</w:t>
      </w:r>
      <w:r>
        <w:rPr>
          <w:rFonts w:ascii="Book Antiqua" w:eastAsia="Arial" w:hAnsi="Book Antiqua" w:cs="Arial"/>
        </w:rPr>
        <w:t>;</w:t>
      </w:r>
      <w:r w:rsidRPr="00C67819">
        <w:rPr>
          <w:rFonts w:ascii="Book Antiqua" w:eastAsia="Arial" w:hAnsi="Book Antiqua" w:cs="Arial"/>
        </w:rPr>
        <w:t xml:space="preserve"> GGT: Gamma-glutamyl transferase</w:t>
      </w:r>
      <w:r w:rsidR="006D2BB6">
        <w:rPr>
          <w:rFonts w:ascii="Book Antiqua" w:eastAsia="Arial" w:hAnsi="Book Antiqua" w:cs="Arial"/>
        </w:rPr>
        <w:t xml:space="preserve">; </w:t>
      </w:r>
      <w:r w:rsidR="006D2BB6" w:rsidRPr="00C67819">
        <w:rPr>
          <w:rFonts w:ascii="Book Antiqua" w:eastAsia="Arial" w:hAnsi="Book Antiqua" w:cs="Arial"/>
        </w:rPr>
        <w:t>ISGs</w:t>
      </w:r>
      <w:r w:rsidR="006D2BB6">
        <w:rPr>
          <w:rFonts w:ascii="Book Antiqua" w:eastAsia="Arial" w:hAnsi="Book Antiqua" w:cs="Arial"/>
        </w:rPr>
        <w:t>:</w:t>
      </w:r>
      <w:r w:rsidR="006D2BB6" w:rsidRPr="00C67819">
        <w:rPr>
          <w:rFonts w:ascii="Book Antiqua" w:eastAsia="Arial" w:hAnsi="Book Antiqua" w:cs="Arial"/>
        </w:rPr>
        <w:t xml:space="preserve"> </w:t>
      </w:r>
      <w:r w:rsidR="006D2BB6">
        <w:rPr>
          <w:rFonts w:ascii="Book Antiqua" w:eastAsia="Arial" w:hAnsi="Book Antiqua" w:cs="Arial"/>
        </w:rPr>
        <w:t>I</w:t>
      </w:r>
      <w:r w:rsidR="006D2BB6" w:rsidRPr="00C67819">
        <w:rPr>
          <w:rFonts w:ascii="Book Antiqua" w:eastAsia="Arial" w:hAnsi="Book Antiqua" w:cs="Arial"/>
        </w:rPr>
        <w:t>nterferon stimulated gene transcripts</w:t>
      </w:r>
      <w:r w:rsidR="003C22BB">
        <w:rPr>
          <w:rFonts w:ascii="Book Antiqua" w:eastAsia="Arial" w:hAnsi="Book Antiqua" w:cs="Arial"/>
        </w:rPr>
        <w:t xml:space="preserve">; </w:t>
      </w:r>
      <w:r w:rsidR="003C22BB" w:rsidRPr="00C67819">
        <w:rPr>
          <w:rFonts w:ascii="Book Antiqua" w:eastAsia="Arial" w:hAnsi="Book Antiqua" w:cs="Arial"/>
        </w:rPr>
        <w:t>SARS-CoV-2</w:t>
      </w:r>
      <w:r w:rsidR="003C22BB">
        <w:rPr>
          <w:rFonts w:ascii="Book Antiqua" w:eastAsia="Arial" w:hAnsi="Book Antiqua" w:cs="Arial"/>
        </w:rPr>
        <w:t xml:space="preserve">: </w:t>
      </w:r>
      <w:r w:rsidR="003C22BB">
        <w:rPr>
          <w:rFonts w:ascii="Book Antiqua" w:eastAsia="Arial" w:hAnsi="Book Antiqua" w:cs="Arial"/>
          <w:color w:val="212121"/>
          <w:highlight w:val="white"/>
        </w:rPr>
        <w:t>S</w:t>
      </w:r>
      <w:r w:rsidR="003C22BB" w:rsidRPr="00C67819">
        <w:rPr>
          <w:rFonts w:ascii="Book Antiqua" w:eastAsia="Arial" w:hAnsi="Book Antiqua" w:cs="Arial"/>
          <w:color w:val="212121"/>
          <w:highlight w:val="white"/>
        </w:rPr>
        <w:t>evere acute respiratory syndrome coronavirus</w:t>
      </w:r>
      <w:r w:rsidR="003C22BB">
        <w:rPr>
          <w:rFonts w:ascii="Book Antiqua" w:eastAsia="Arial" w:hAnsi="Book Antiqua" w:cs="Arial"/>
          <w:color w:val="212121"/>
          <w:highlight w:val="white"/>
        </w:rPr>
        <w:t xml:space="preserve"> </w:t>
      </w:r>
      <w:r w:rsidR="003C22BB" w:rsidRPr="00C67819">
        <w:rPr>
          <w:rFonts w:ascii="Book Antiqua" w:eastAsia="Arial" w:hAnsi="Book Antiqua" w:cs="Arial"/>
          <w:color w:val="212121"/>
          <w:highlight w:val="white"/>
        </w:rPr>
        <w:t>2</w:t>
      </w:r>
      <w:r w:rsidR="003C22BB">
        <w:rPr>
          <w:rFonts w:ascii="Book Antiqua" w:eastAsia="Arial" w:hAnsi="Book Antiqua" w:cs="Arial"/>
        </w:rPr>
        <w:t>.</w:t>
      </w:r>
    </w:p>
    <w:p w14:paraId="4AED09DA" w14:textId="77777777" w:rsidR="0076275D" w:rsidRDefault="0076275D">
      <w:pPr>
        <w:rPr>
          <w:rFonts w:ascii="Book Antiqua" w:eastAsia="Arial" w:hAnsi="Book Antiqua" w:cs="Arial"/>
        </w:rPr>
      </w:pPr>
      <w:r>
        <w:rPr>
          <w:rFonts w:ascii="Book Antiqua" w:eastAsia="Arial" w:hAnsi="Book Antiqua" w:cs="Arial"/>
        </w:rPr>
        <w:br w:type="page"/>
      </w:r>
    </w:p>
    <w:p w14:paraId="5ABF9920" w14:textId="77777777" w:rsidR="0076275D" w:rsidRDefault="0076275D" w:rsidP="0076275D">
      <w:pPr>
        <w:jc w:val="center"/>
        <w:rPr>
          <w:rFonts w:ascii="Book Antiqua" w:hAnsi="Book Antiqua"/>
          <w:lang w:eastAsia="zh-CN"/>
        </w:rPr>
      </w:pPr>
      <w:bookmarkStart w:id="1" w:name="OLE_LINK1"/>
      <w:bookmarkStart w:id="2" w:name="OLE_LINK2"/>
    </w:p>
    <w:p w14:paraId="03624748" w14:textId="77777777" w:rsidR="0076275D" w:rsidRDefault="0076275D" w:rsidP="0076275D">
      <w:pPr>
        <w:jc w:val="center"/>
        <w:rPr>
          <w:rFonts w:ascii="Book Antiqua" w:hAnsi="Book Antiqua"/>
          <w:lang w:eastAsia="zh-CN"/>
        </w:rPr>
      </w:pPr>
    </w:p>
    <w:p w14:paraId="6C5542C9" w14:textId="77777777" w:rsidR="0076275D" w:rsidRDefault="0076275D" w:rsidP="0076275D">
      <w:pPr>
        <w:jc w:val="center"/>
        <w:rPr>
          <w:rFonts w:ascii="Book Antiqua" w:hAnsi="Book Antiqua"/>
          <w:lang w:eastAsia="zh-CN"/>
        </w:rPr>
      </w:pPr>
    </w:p>
    <w:p w14:paraId="1DF00A9D" w14:textId="77777777" w:rsidR="0076275D" w:rsidRDefault="0076275D" w:rsidP="0076275D">
      <w:pPr>
        <w:jc w:val="center"/>
        <w:rPr>
          <w:rFonts w:ascii="Book Antiqua" w:hAnsi="Book Antiqua"/>
          <w:lang w:eastAsia="zh-CN"/>
        </w:rPr>
      </w:pPr>
    </w:p>
    <w:p w14:paraId="1CD3EA9A" w14:textId="77777777" w:rsidR="0076275D" w:rsidRDefault="0076275D" w:rsidP="0076275D">
      <w:pPr>
        <w:jc w:val="center"/>
        <w:rPr>
          <w:rFonts w:ascii="Book Antiqua" w:hAnsi="Book Antiqua"/>
          <w:lang w:eastAsia="zh-CN"/>
        </w:rPr>
      </w:pPr>
    </w:p>
    <w:p w14:paraId="08DBC6F4" w14:textId="77777777" w:rsidR="0076275D" w:rsidRDefault="0076275D" w:rsidP="0076275D">
      <w:pPr>
        <w:jc w:val="center"/>
        <w:rPr>
          <w:rFonts w:ascii="Book Antiqua" w:hAnsi="Book Antiqua"/>
          <w:lang w:eastAsia="zh-CN"/>
        </w:rPr>
      </w:pPr>
      <w:r>
        <w:rPr>
          <w:rFonts w:ascii="Book Antiqua" w:hAnsi="Book Antiqua"/>
          <w:noProof/>
          <w:lang w:eastAsia="zh-CN"/>
        </w:rPr>
        <w:drawing>
          <wp:inline distT="0" distB="0" distL="0" distR="0" wp14:anchorId="0ED8D51B" wp14:editId="2F7429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6C2A2C" w14:textId="77777777" w:rsidR="0076275D" w:rsidRDefault="0076275D" w:rsidP="0076275D">
      <w:pPr>
        <w:jc w:val="center"/>
        <w:rPr>
          <w:rFonts w:ascii="Book Antiqua" w:hAnsi="Book Antiqua"/>
          <w:lang w:eastAsia="zh-CN"/>
        </w:rPr>
      </w:pPr>
    </w:p>
    <w:p w14:paraId="3A9AC848" w14:textId="77777777" w:rsidR="0076275D" w:rsidRPr="00763D22" w:rsidRDefault="0076275D" w:rsidP="0076275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F023404" w14:textId="77777777" w:rsidR="0076275D" w:rsidRPr="00763D22" w:rsidRDefault="0076275D" w:rsidP="007627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9270B1" w14:textId="77777777" w:rsidR="0076275D" w:rsidRPr="00763D22" w:rsidRDefault="0076275D" w:rsidP="007627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FA1E13" w14:textId="77777777" w:rsidR="0076275D" w:rsidRPr="00763D22" w:rsidRDefault="0076275D" w:rsidP="007627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60AEC4" w14:textId="77777777" w:rsidR="0076275D" w:rsidRPr="00763D22" w:rsidRDefault="0076275D" w:rsidP="007627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1D9CC0" w14:textId="77777777" w:rsidR="0076275D" w:rsidRPr="00763D22" w:rsidRDefault="0076275D" w:rsidP="0076275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133BDA" w14:textId="77777777" w:rsidR="0076275D" w:rsidRDefault="0076275D" w:rsidP="0076275D">
      <w:pPr>
        <w:jc w:val="center"/>
        <w:rPr>
          <w:rFonts w:ascii="Book Antiqua" w:hAnsi="Book Antiqua"/>
          <w:lang w:eastAsia="zh-CN"/>
        </w:rPr>
      </w:pPr>
    </w:p>
    <w:p w14:paraId="17EC0CB0" w14:textId="77777777" w:rsidR="0076275D" w:rsidRDefault="0076275D" w:rsidP="0076275D">
      <w:pPr>
        <w:jc w:val="center"/>
        <w:rPr>
          <w:rFonts w:ascii="Book Antiqua" w:hAnsi="Book Antiqua"/>
          <w:lang w:eastAsia="zh-CN"/>
        </w:rPr>
      </w:pPr>
    </w:p>
    <w:p w14:paraId="55AF8464" w14:textId="77777777" w:rsidR="0076275D" w:rsidRDefault="0076275D" w:rsidP="0076275D">
      <w:pPr>
        <w:jc w:val="center"/>
        <w:rPr>
          <w:rFonts w:ascii="Book Antiqua" w:hAnsi="Book Antiqua"/>
          <w:lang w:eastAsia="zh-CN"/>
        </w:rPr>
      </w:pPr>
    </w:p>
    <w:p w14:paraId="4976E2F8" w14:textId="77777777" w:rsidR="0076275D" w:rsidRDefault="0076275D" w:rsidP="0076275D">
      <w:pPr>
        <w:jc w:val="center"/>
        <w:rPr>
          <w:rFonts w:ascii="Book Antiqua" w:hAnsi="Book Antiqua"/>
          <w:lang w:eastAsia="zh-CN"/>
        </w:rPr>
      </w:pPr>
      <w:r>
        <w:rPr>
          <w:rFonts w:ascii="Book Antiqua" w:hAnsi="Book Antiqua"/>
          <w:noProof/>
          <w:lang w:eastAsia="zh-CN"/>
        </w:rPr>
        <w:drawing>
          <wp:inline distT="0" distB="0" distL="0" distR="0" wp14:anchorId="1663328C" wp14:editId="7696D7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EE1A7C" w14:textId="77777777" w:rsidR="0076275D" w:rsidRDefault="0076275D" w:rsidP="0076275D">
      <w:pPr>
        <w:jc w:val="center"/>
        <w:rPr>
          <w:rFonts w:ascii="Book Antiqua" w:hAnsi="Book Antiqua"/>
          <w:lang w:eastAsia="zh-CN"/>
        </w:rPr>
      </w:pPr>
    </w:p>
    <w:p w14:paraId="797AF171" w14:textId="77777777" w:rsidR="0076275D" w:rsidRDefault="0076275D" w:rsidP="0076275D">
      <w:pPr>
        <w:jc w:val="center"/>
        <w:rPr>
          <w:rFonts w:ascii="Book Antiqua" w:hAnsi="Book Antiqua"/>
          <w:lang w:eastAsia="zh-CN"/>
        </w:rPr>
      </w:pPr>
    </w:p>
    <w:p w14:paraId="7C8D798D" w14:textId="77777777" w:rsidR="0076275D" w:rsidRDefault="0076275D" w:rsidP="0076275D">
      <w:pPr>
        <w:jc w:val="center"/>
        <w:rPr>
          <w:rFonts w:ascii="Book Antiqua" w:hAnsi="Book Antiqua"/>
          <w:lang w:eastAsia="zh-CN"/>
        </w:rPr>
      </w:pPr>
    </w:p>
    <w:p w14:paraId="5A7D2004" w14:textId="77777777" w:rsidR="0076275D" w:rsidRDefault="0076275D" w:rsidP="0076275D">
      <w:pPr>
        <w:jc w:val="center"/>
        <w:rPr>
          <w:rFonts w:ascii="Book Antiqua" w:hAnsi="Book Antiqua"/>
          <w:lang w:eastAsia="zh-CN"/>
        </w:rPr>
      </w:pPr>
    </w:p>
    <w:p w14:paraId="0D4214CB" w14:textId="77777777" w:rsidR="0076275D" w:rsidRDefault="0076275D" w:rsidP="0076275D">
      <w:pPr>
        <w:jc w:val="center"/>
        <w:rPr>
          <w:rFonts w:ascii="Book Antiqua" w:hAnsi="Book Antiqua"/>
          <w:lang w:eastAsia="zh-CN"/>
        </w:rPr>
      </w:pPr>
    </w:p>
    <w:p w14:paraId="3B247355" w14:textId="77777777" w:rsidR="0076275D" w:rsidRDefault="0076275D" w:rsidP="0076275D">
      <w:pPr>
        <w:jc w:val="center"/>
        <w:rPr>
          <w:rFonts w:ascii="Book Antiqua" w:hAnsi="Book Antiqua"/>
          <w:lang w:eastAsia="zh-CN"/>
        </w:rPr>
      </w:pPr>
    </w:p>
    <w:p w14:paraId="00695794" w14:textId="77777777" w:rsidR="0076275D" w:rsidRDefault="0076275D" w:rsidP="0076275D">
      <w:pPr>
        <w:jc w:val="center"/>
        <w:rPr>
          <w:rFonts w:ascii="Book Antiqua" w:hAnsi="Book Antiqua"/>
          <w:lang w:eastAsia="zh-CN"/>
        </w:rPr>
      </w:pPr>
    </w:p>
    <w:p w14:paraId="6451781E" w14:textId="77777777" w:rsidR="0076275D" w:rsidRDefault="0076275D" w:rsidP="0076275D">
      <w:pPr>
        <w:jc w:val="center"/>
        <w:rPr>
          <w:rFonts w:ascii="Book Antiqua" w:hAnsi="Book Antiqua"/>
          <w:lang w:eastAsia="zh-CN"/>
        </w:rPr>
      </w:pPr>
    </w:p>
    <w:p w14:paraId="247A0F50" w14:textId="77777777" w:rsidR="0076275D" w:rsidRDefault="0076275D" w:rsidP="0076275D">
      <w:pPr>
        <w:jc w:val="center"/>
        <w:rPr>
          <w:rFonts w:ascii="Book Antiqua" w:hAnsi="Book Antiqua"/>
          <w:lang w:eastAsia="zh-CN"/>
        </w:rPr>
      </w:pPr>
    </w:p>
    <w:p w14:paraId="79AA2DF3" w14:textId="77777777" w:rsidR="0076275D" w:rsidRPr="00763D22" w:rsidRDefault="0076275D" w:rsidP="0076275D">
      <w:pPr>
        <w:jc w:val="right"/>
        <w:rPr>
          <w:rFonts w:ascii="Book Antiqua" w:hAnsi="Book Antiqua"/>
          <w:color w:val="000000" w:themeColor="text1"/>
          <w:lang w:eastAsia="zh-CN"/>
        </w:rPr>
      </w:pPr>
    </w:p>
    <w:p w14:paraId="10B1C4D5" w14:textId="77777777" w:rsidR="0076275D" w:rsidRPr="00763D22" w:rsidRDefault="0076275D" w:rsidP="0076275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31BB2976" w14:textId="77777777" w:rsidR="00A24CF9" w:rsidRPr="00501A87" w:rsidRDefault="00A24CF9" w:rsidP="00501A87">
      <w:pPr>
        <w:spacing w:line="360" w:lineRule="auto"/>
        <w:jc w:val="both"/>
        <w:rPr>
          <w:rFonts w:ascii="Book Antiqua" w:hAnsi="Book Antiqua"/>
        </w:rPr>
      </w:pPr>
    </w:p>
    <w:sectPr w:rsidR="00A24CF9" w:rsidRPr="00501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F954" w14:textId="77777777" w:rsidR="00430D7F" w:rsidRDefault="00430D7F" w:rsidP="003424D0">
      <w:r>
        <w:separator/>
      </w:r>
    </w:p>
  </w:endnote>
  <w:endnote w:type="continuationSeparator" w:id="0">
    <w:p w14:paraId="664F4AA0" w14:textId="77777777" w:rsidR="00430D7F" w:rsidRDefault="00430D7F" w:rsidP="0034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F090" w14:textId="77777777" w:rsidR="003424D0" w:rsidRPr="003424D0" w:rsidRDefault="003424D0" w:rsidP="003424D0">
    <w:pPr>
      <w:pStyle w:val="a4"/>
      <w:jc w:val="right"/>
      <w:rPr>
        <w:rFonts w:ascii="Book Antiqua" w:hAnsi="Book Antiqua"/>
        <w:sz w:val="24"/>
        <w:szCs w:val="24"/>
      </w:rPr>
    </w:pPr>
    <w:r w:rsidRPr="003424D0">
      <w:rPr>
        <w:rFonts w:ascii="Book Antiqua" w:hAnsi="Book Antiqua"/>
        <w:sz w:val="24"/>
        <w:szCs w:val="24"/>
        <w:lang w:val="zh-CN" w:eastAsia="zh-CN"/>
      </w:rPr>
      <w:t xml:space="preserve"> </w:t>
    </w:r>
    <w:r w:rsidRPr="003424D0">
      <w:rPr>
        <w:rFonts w:ascii="Book Antiqua" w:hAnsi="Book Antiqua"/>
        <w:sz w:val="24"/>
        <w:szCs w:val="24"/>
      </w:rPr>
      <w:fldChar w:fldCharType="begin"/>
    </w:r>
    <w:r w:rsidRPr="003424D0">
      <w:rPr>
        <w:rFonts w:ascii="Book Antiqua" w:hAnsi="Book Antiqua"/>
        <w:sz w:val="24"/>
        <w:szCs w:val="24"/>
      </w:rPr>
      <w:instrText>PAGE  \* Arabic  \* MERGEFORMAT</w:instrText>
    </w:r>
    <w:r w:rsidRPr="003424D0">
      <w:rPr>
        <w:rFonts w:ascii="Book Antiqua" w:hAnsi="Book Antiqua"/>
        <w:sz w:val="24"/>
        <w:szCs w:val="24"/>
      </w:rPr>
      <w:fldChar w:fldCharType="separate"/>
    </w:r>
    <w:r w:rsidR="00430D7F" w:rsidRPr="00430D7F">
      <w:rPr>
        <w:rFonts w:ascii="Book Antiqua" w:hAnsi="Book Antiqua"/>
        <w:noProof/>
        <w:sz w:val="24"/>
        <w:szCs w:val="24"/>
        <w:lang w:val="zh-CN" w:eastAsia="zh-CN"/>
      </w:rPr>
      <w:t>1</w:t>
    </w:r>
    <w:r w:rsidRPr="003424D0">
      <w:rPr>
        <w:rFonts w:ascii="Book Antiqua" w:hAnsi="Book Antiqua"/>
        <w:sz w:val="24"/>
        <w:szCs w:val="24"/>
      </w:rPr>
      <w:fldChar w:fldCharType="end"/>
    </w:r>
    <w:r w:rsidRPr="003424D0">
      <w:rPr>
        <w:rFonts w:ascii="Book Antiqua" w:hAnsi="Book Antiqua"/>
        <w:sz w:val="24"/>
        <w:szCs w:val="24"/>
        <w:lang w:val="zh-CN" w:eastAsia="zh-CN"/>
      </w:rPr>
      <w:t xml:space="preserve"> / </w:t>
    </w:r>
    <w:r w:rsidRPr="003424D0">
      <w:rPr>
        <w:rFonts w:ascii="Book Antiqua" w:hAnsi="Book Antiqua"/>
        <w:sz w:val="24"/>
        <w:szCs w:val="24"/>
      </w:rPr>
      <w:fldChar w:fldCharType="begin"/>
    </w:r>
    <w:r w:rsidRPr="003424D0">
      <w:rPr>
        <w:rFonts w:ascii="Book Antiqua" w:hAnsi="Book Antiqua"/>
        <w:sz w:val="24"/>
        <w:szCs w:val="24"/>
      </w:rPr>
      <w:instrText>NUMPAGES  \* Arabic  \* MERGEFORMAT</w:instrText>
    </w:r>
    <w:r w:rsidRPr="003424D0">
      <w:rPr>
        <w:rFonts w:ascii="Book Antiqua" w:hAnsi="Book Antiqua"/>
        <w:sz w:val="24"/>
        <w:szCs w:val="24"/>
      </w:rPr>
      <w:fldChar w:fldCharType="separate"/>
    </w:r>
    <w:r w:rsidR="00430D7F" w:rsidRPr="00430D7F">
      <w:rPr>
        <w:rFonts w:ascii="Book Antiqua" w:hAnsi="Book Antiqua"/>
        <w:noProof/>
        <w:sz w:val="24"/>
        <w:szCs w:val="24"/>
        <w:lang w:val="zh-CN" w:eastAsia="zh-CN"/>
      </w:rPr>
      <w:t>1</w:t>
    </w:r>
    <w:r w:rsidRPr="003424D0">
      <w:rPr>
        <w:rFonts w:ascii="Book Antiqua" w:hAnsi="Book Antiqua"/>
        <w:sz w:val="24"/>
        <w:szCs w:val="24"/>
      </w:rPr>
      <w:fldChar w:fldCharType="end"/>
    </w:r>
  </w:p>
  <w:p w14:paraId="6A81FF91" w14:textId="77777777" w:rsidR="003424D0" w:rsidRDefault="003424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6C29F" w14:textId="77777777" w:rsidR="00430D7F" w:rsidRDefault="00430D7F" w:rsidP="003424D0">
      <w:r>
        <w:separator/>
      </w:r>
    </w:p>
  </w:footnote>
  <w:footnote w:type="continuationSeparator" w:id="0">
    <w:p w14:paraId="22CD617D" w14:textId="77777777" w:rsidR="00430D7F" w:rsidRDefault="00430D7F" w:rsidP="0034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pile-doc-id" w:val="D946R396G786L497"/>
    <w:docVar w:name="paperpile-doc-name" w:val="62946-Manuscript-File-revision.docx"/>
  </w:docVars>
  <w:rsids>
    <w:rsidRoot w:val="00A77B3E"/>
    <w:rsid w:val="000046B7"/>
    <w:rsid w:val="00043436"/>
    <w:rsid w:val="000A678E"/>
    <w:rsid w:val="000C097E"/>
    <w:rsid w:val="000C2664"/>
    <w:rsid w:val="000C76B4"/>
    <w:rsid w:val="000D38FD"/>
    <w:rsid w:val="000E4709"/>
    <w:rsid w:val="000F42F6"/>
    <w:rsid w:val="0012765C"/>
    <w:rsid w:val="00135DA3"/>
    <w:rsid w:val="001605A7"/>
    <w:rsid w:val="00167648"/>
    <w:rsid w:val="001916CB"/>
    <w:rsid w:val="00196B26"/>
    <w:rsid w:val="001C4416"/>
    <w:rsid w:val="00231397"/>
    <w:rsid w:val="0028699D"/>
    <w:rsid w:val="002A2A18"/>
    <w:rsid w:val="002D5E8C"/>
    <w:rsid w:val="002E185B"/>
    <w:rsid w:val="0032748B"/>
    <w:rsid w:val="003424D0"/>
    <w:rsid w:val="003650F8"/>
    <w:rsid w:val="0038023E"/>
    <w:rsid w:val="00381DB2"/>
    <w:rsid w:val="003A7DA0"/>
    <w:rsid w:val="003C0397"/>
    <w:rsid w:val="003C22BB"/>
    <w:rsid w:val="003F13CD"/>
    <w:rsid w:val="00430D7F"/>
    <w:rsid w:val="00446A48"/>
    <w:rsid w:val="00447955"/>
    <w:rsid w:val="00464D4F"/>
    <w:rsid w:val="00466EC7"/>
    <w:rsid w:val="00471F14"/>
    <w:rsid w:val="00496F21"/>
    <w:rsid w:val="004B3AE8"/>
    <w:rsid w:val="004C0004"/>
    <w:rsid w:val="004C14EF"/>
    <w:rsid w:val="004D3926"/>
    <w:rsid w:val="004E770C"/>
    <w:rsid w:val="004F60CA"/>
    <w:rsid w:val="00501A87"/>
    <w:rsid w:val="005255D4"/>
    <w:rsid w:val="005371CC"/>
    <w:rsid w:val="005431BC"/>
    <w:rsid w:val="00546828"/>
    <w:rsid w:val="00563EDD"/>
    <w:rsid w:val="0056450C"/>
    <w:rsid w:val="00581500"/>
    <w:rsid w:val="00595D70"/>
    <w:rsid w:val="005D2404"/>
    <w:rsid w:val="00612D27"/>
    <w:rsid w:val="006313B7"/>
    <w:rsid w:val="006378F9"/>
    <w:rsid w:val="0064605B"/>
    <w:rsid w:val="00647AB1"/>
    <w:rsid w:val="00667901"/>
    <w:rsid w:val="00675806"/>
    <w:rsid w:val="006A369A"/>
    <w:rsid w:val="006C5018"/>
    <w:rsid w:val="006D2BB6"/>
    <w:rsid w:val="006E676A"/>
    <w:rsid w:val="00723AD9"/>
    <w:rsid w:val="00732C93"/>
    <w:rsid w:val="00734D65"/>
    <w:rsid w:val="00737304"/>
    <w:rsid w:val="007468BA"/>
    <w:rsid w:val="00750253"/>
    <w:rsid w:val="0076275D"/>
    <w:rsid w:val="00767D42"/>
    <w:rsid w:val="00785C8D"/>
    <w:rsid w:val="007D1E49"/>
    <w:rsid w:val="007D5F4E"/>
    <w:rsid w:val="008067B5"/>
    <w:rsid w:val="00812DA6"/>
    <w:rsid w:val="0083057D"/>
    <w:rsid w:val="0084152C"/>
    <w:rsid w:val="00882477"/>
    <w:rsid w:val="00890724"/>
    <w:rsid w:val="008969D5"/>
    <w:rsid w:val="008A332E"/>
    <w:rsid w:val="008B471F"/>
    <w:rsid w:val="008D40AD"/>
    <w:rsid w:val="00934A77"/>
    <w:rsid w:val="00961AF6"/>
    <w:rsid w:val="009728C7"/>
    <w:rsid w:val="009A0361"/>
    <w:rsid w:val="009C4B31"/>
    <w:rsid w:val="009D6743"/>
    <w:rsid w:val="009D70E3"/>
    <w:rsid w:val="009E1B07"/>
    <w:rsid w:val="00A15C3A"/>
    <w:rsid w:val="00A24CF9"/>
    <w:rsid w:val="00A262C4"/>
    <w:rsid w:val="00A52588"/>
    <w:rsid w:val="00A621D4"/>
    <w:rsid w:val="00A65136"/>
    <w:rsid w:val="00A77B3E"/>
    <w:rsid w:val="00A77D29"/>
    <w:rsid w:val="00A834A8"/>
    <w:rsid w:val="00A9477A"/>
    <w:rsid w:val="00AC3EAA"/>
    <w:rsid w:val="00AD47E8"/>
    <w:rsid w:val="00AE41C8"/>
    <w:rsid w:val="00AF1EF2"/>
    <w:rsid w:val="00B024BA"/>
    <w:rsid w:val="00B23050"/>
    <w:rsid w:val="00B55C82"/>
    <w:rsid w:val="00B63E6A"/>
    <w:rsid w:val="00B65B75"/>
    <w:rsid w:val="00B71582"/>
    <w:rsid w:val="00B9648B"/>
    <w:rsid w:val="00B97FCF"/>
    <w:rsid w:val="00BB58DB"/>
    <w:rsid w:val="00BB7842"/>
    <w:rsid w:val="00C027E0"/>
    <w:rsid w:val="00C633D5"/>
    <w:rsid w:val="00C64861"/>
    <w:rsid w:val="00C661F7"/>
    <w:rsid w:val="00C944A6"/>
    <w:rsid w:val="00C9600F"/>
    <w:rsid w:val="00CA2A55"/>
    <w:rsid w:val="00CD4604"/>
    <w:rsid w:val="00CE6CB4"/>
    <w:rsid w:val="00D05C42"/>
    <w:rsid w:val="00D43CC1"/>
    <w:rsid w:val="00D608B3"/>
    <w:rsid w:val="00D63295"/>
    <w:rsid w:val="00D93572"/>
    <w:rsid w:val="00DB2CD0"/>
    <w:rsid w:val="00DC3098"/>
    <w:rsid w:val="00DC5524"/>
    <w:rsid w:val="00E12883"/>
    <w:rsid w:val="00E41D01"/>
    <w:rsid w:val="00E65D7D"/>
    <w:rsid w:val="00E753B1"/>
    <w:rsid w:val="00EC5430"/>
    <w:rsid w:val="00F0518E"/>
    <w:rsid w:val="00F0675C"/>
    <w:rsid w:val="00F07C26"/>
    <w:rsid w:val="00F12A3F"/>
    <w:rsid w:val="00F415C6"/>
    <w:rsid w:val="00F8229D"/>
    <w:rsid w:val="00FB50EF"/>
    <w:rsid w:val="00FE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24D0"/>
    <w:rPr>
      <w:sz w:val="18"/>
      <w:szCs w:val="18"/>
    </w:rPr>
  </w:style>
  <w:style w:type="paragraph" w:styleId="a4">
    <w:name w:val="footer"/>
    <w:basedOn w:val="a"/>
    <w:link w:val="Char0"/>
    <w:uiPriority w:val="99"/>
    <w:unhideWhenUsed/>
    <w:rsid w:val="003424D0"/>
    <w:pPr>
      <w:tabs>
        <w:tab w:val="center" w:pos="4153"/>
        <w:tab w:val="right" w:pos="8306"/>
      </w:tabs>
      <w:snapToGrid w:val="0"/>
    </w:pPr>
    <w:rPr>
      <w:sz w:val="18"/>
      <w:szCs w:val="18"/>
    </w:rPr>
  </w:style>
  <w:style w:type="character" w:customStyle="1" w:styleId="Char0">
    <w:name w:val="页脚 Char"/>
    <w:basedOn w:val="a0"/>
    <w:link w:val="a4"/>
    <w:uiPriority w:val="99"/>
    <w:rsid w:val="003424D0"/>
    <w:rPr>
      <w:sz w:val="18"/>
      <w:szCs w:val="18"/>
    </w:rPr>
  </w:style>
  <w:style w:type="character" w:styleId="a5">
    <w:name w:val="annotation reference"/>
    <w:basedOn w:val="a0"/>
    <w:semiHidden/>
    <w:unhideWhenUsed/>
    <w:rsid w:val="0084152C"/>
    <w:rPr>
      <w:sz w:val="16"/>
      <w:szCs w:val="16"/>
    </w:rPr>
  </w:style>
  <w:style w:type="paragraph" w:styleId="a6">
    <w:name w:val="annotation text"/>
    <w:basedOn w:val="a"/>
    <w:link w:val="Char1"/>
    <w:unhideWhenUsed/>
    <w:rsid w:val="0084152C"/>
    <w:rPr>
      <w:sz w:val="20"/>
      <w:szCs w:val="20"/>
    </w:rPr>
  </w:style>
  <w:style w:type="character" w:customStyle="1" w:styleId="Char1">
    <w:name w:val="批注文字 Char"/>
    <w:basedOn w:val="a0"/>
    <w:link w:val="a6"/>
    <w:rsid w:val="0084152C"/>
  </w:style>
  <w:style w:type="paragraph" w:styleId="a7">
    <w:name w:val="annotation subject"/>
    <w:basedOn w:val="a6"/>
    <w:next w:val="a6"/>
    <w:link w:val="Char2"/>
    <w:semiHidden/>
    <w:unhideWhenUsed/>
    <w:rsid w:val="0084152C"/>
    <w:rPr>
      <w:b/>
      <w:bCs/>
    </w:rPr>
  </w:style>
  <w:style w:type="character" w:customStyle="1" w:styleId="Char2">
    <w:name w:val="批注主题 Char"/>
    <w:basedOn w:val="Char1"/>
    <w:link w:val="a7"/>
    <w:semiHidden/>
    <w:rsid w:val="0084152C"/>
    <w:rPr>
      <w:b/>
      <w:bCs/>
    </w:rPr>
  </w:style>
  <w:style w:type="paragraph" w:styleId="a8">
    <w:name w:val="Balloon Text"/>
    <w:basedOn w:val="a"/>
    <w:link w:val="Char3"/>
    <w:rsid w:val="0076275D"/>
    <w:rPr>
      <w:sz w:val="18"/>
      <w:szCs w:val="18"/>
    </w:rPr>
  </w:style>
  <w:style w:type="character" w:customStyle="1" w:styleId="Char3">
    <w:name w:val="批注框文本 Char"/>
    <w:basedOn w:val="a0"/>
    <w:link w:val="a8"/>
    <w:rsid w:val="007627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24D0"/>
    <w:rPr>
      <w:sz w:val="18"/>
      <w:szCs w:val="18"/>
    </w:rPr>
  </w:style>
  <w:style w:type="paragraph" w:styleId="a4">
    <w:name w:val="footer"/>
    <w:basedOn w:val="a"/>
    <w:link w:val="Char0"/>
    <w:uiPriority w:val="99"/>
    <w:unhideWhenUsed/>
    <w:rsid w:val="003424D0"/>
    <w:pPr>
      <w:tabs>
        <w:tab w:val="center" w:pos="4153"/>
        <w:tab w:val="right" w:pos="8306"/>
      </w:tabs>
      <w:snapToGrid w:val="0"/>
    </w:pPr>
    <w:rPr>
      <w:sz w:val="18"/>
      <w:szCs w:val="18"/>
    </w:rPr>
  </w:style>
  <w:style w:type="character" w:customStyle="1" w:styleId="Char0">
    <w:name w:val="页脚 Char"/>
    <w:basedOn w:val="a0"/>
    <w:link w:val="a4"/>
    <w:uiPriority w:val="99"/>
    <w:rsid w:val="003424D0"/>
    <w:rPr>
      <w:sz w:val="18"/>
      <w:szCs w:val="18"/>
    </w:rPr>
  </w:style>
  <w:style w:type="character" w:styleId="a5">
    <w:name w:val="annotation reference"/>
    <w:basedOn w:val="a0"/>
    <w:semiHidden/>
    <w:unhideWhenUsed/>
    <w:rsid w:val="0084152C"/>
    <w:rPr>
      <w:sz w:val="16"/>
      <w:szCs w:val="16"/>
    </w:rPr>
  </w:style>
  <w:style w:type="paragraph" w:styleId="a6">
    <w:name w:val="annotation text"/>
    <w:basedOn w:val="a"/>
    <w:link w:val="Char1"/>
    <w:unhideWhenUsed/>
    <w:rsid w:val="0084152C"/>
    <w:rPr>
      <w:sz w:val="20"/>
      <w:szCs w:val="20"/>
    </w:rPr>
  </w:style>
  <w:style w:type="character" w:customStyle="1" w:styleId="Char1">
    <w:name w:val="批注文字 Char"/>
    <w:basedOn w:val="a0"/>
    <w:link w:val="a6"/>
    <w:rsid w:val="0084152C"/>
  </w:style>
  <w:style w:type="paragraph" w:styleId="a7">
    <w:name w:val="annotation subject"/>
    <w:basedOn w:val="a6"/>
    <w:next w:val="a6"/>
    <w:link w:val="Char2"/>
    <w:semiHidden/>
    <w:unhideWhenUsed/>
    <w:rsid w:val="0084152C"/>
    <w:rPr>
      <w:b/>
      <w:bCs/>
    </w:rPr>
  </w:style>
  <w:style w:type="character" w:customStyle="1" w:styleId="Char2">
    <w:name w:val="批注主题 Char"/>
    <w:basedOn w:val="Char1"/>
    <w:link w:val="a7"/>
    <w:semiHidden/>
    <w:rsid w:val="0084152C"/>
    <w:rPr>
      <w:b/>
      <w:bCs/>
    </w:rPr>
  </w:style>
  <w:style w:type="paragraph" w:styleId="a8">
    <w:name w:val="Balloon Text"/>
    <w:basedOn w:val="a"/>
    <w:link w:val="Char3"/>
    <w:rsid w:val="0076275D"/>
    <w:rPr>
      <w:sz w:val="18"/>
      <w:szCs w:val="18"/>
    </w:rPr>
  </w:style>
  <w:style w:type="character" w:customStyle="1" w:styleId="Char3">
    <w:name w:val="批注框文本 Char"/>
    <w:basedOn w:val="a0"/>
    <w:link w:val="a8"/>
    <w:rsid w:val="007627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paperpile.com/c/vGcMfy/yVA5v+hqurG" TargetMode="External"/><Relationship Id="rId117" Type="http://schemas.openxmlformats.org/officeDocument/2006/relationships/hyperlink" Target="https://paperpile.com/c/vGcMfy/OA7%20Lv" TargetMode="External"/><Relationship Id="rId21" Type="http://schemas.openxmlformats.org/officeDocument/2006/relationships/hyperlink" Target="https://paperpile.com/c/vGcMfy/vZFNy" TargetMode="External"/><Relationship Id="rId42" Type="http://schemas.openxmlformats.org/officeDocument/2006/relationships/hyperlink" Target="https://paperpile.com/c/vGcMfy/WS6Pf+FTxcM" TargetMode="External"/><Relationship Id="rId47" Type="http://schemas.openxmlformats.org/officeDocument/2006/relationships/hyperlink" Target="https://paperpile.com/c/vGcMfy/mpGZC" TargetMode="External"/><Relationship Id="rId63" Type="http://schemas.openxmlformats.org/officeDocument/2006/relationships/hyperlink" Target="https://paperpile.com/c/vGcMfy/06ot9" TargetMode="External"/><Relationship Id="rId68" Type="http://schemas.openxmlformats.org/officeDocument/2006/relationships/hyperlink" Target="https://paperpile.com/c/vGcMfy/Rd9AW" TargetMode="External"/><Relationship Id="rId84" Type="http://schemas.openxmlformats.org/officeDocument/2006/relationships/hyperlink" Target="https://paperpile.com/c/vGcMfy/kn7TE" TargetMode="External"/><Relationship Id="rId89" Type="http://schemas.openxmlformats.org/officeDocument/2006/relationships/hyperlink" Target="https://paperpile.com/c/vGcMfy/7P0A7" TargetMode="External"/><Relationship Id="rId112" Type="http://schemas.openxmlformats.org/officeDocument/2006/relationships/hyperlink" Target="https://paperpile.com/c/vGcMfy/SDmeP" TargetMode="External"/><Relationship Id="rId133" Type="http://schemas.openxmlformats.org/officeDocument/2006/relationships/hyperlink" Target="https://paperpile.com/c/vGcMfy/svfZY" TargetMode="External"/><Relationship Id="rId138" Type="http://schemas.openxmlformats.org/officeDocument/2006/relationships/hyperlink" Target="https://paperpile.com/c/vGcMfy/sID6s" TargetMode="External"/><Relationship Id="rId154" Type="http://schemas.openxmlformats.org/officeDocument/2006/relationships/hyperlink" Target="https://paperpile.com/c/vGcMfy/7GG1x+UnfQ7" TargetMode="External"/><Relationship Id="rId159" Type="http://schemas.openxmlformats.org/officeDocument/2006/relationships/hyperlink" Target="https://paperpile.com/c/vGcMfy/FOUs5" TargetMode="External"/><Relationship Id="rId175" Type="http://schemas.openxmlformats.org/officeDocument/2006/relationships/hyperlink" Target="https://paperpile.com/c/vGcMfy/8WygG+afkwx+0EgPo+IhC6b" TargetMode="External"/><Relationship Id="rId170" Type="http://schemas.openxmlformats.org/officeDocument/2006/relationships/hyperlink" Target="https://paperpile.com/c/vGcMfy/AJGPJ" TargetMode="External"/><Relationship Id="rId16" Type="http://schemas.openxmlformats.org/officeDocument/2006/relationships/hyperlink" Target="https://paperpile.com/c/vGcMfy/twzSx" TargetMode="External"/><Relationship Id="rId107" Type="http://schemas.openxmlformats.org/officeDocument/2006/relationships/hyperlink" Target="https://paperpile.com/c/vGcMfy/I1IiW" TargetMode="External"/><Relationship Id="rId11" Type="http://schemas.openxmlformats.org/officeDocument/2006/relationships/hyperlink" Target="https://paperpile.com/c/vGcMfy/47cMv" TargetMode="External"/><Relationship Id="rId32" Type="http://schemas.openxmlformats.org/officeDocument/2006/relationships/hyperlink" Target="https://paperpile.com/c/vGcMfy/tRvRA+q6SDT" TargetMode="External"/><Relationship Id="rId37" Type="http://schemas.openxmlformats.org/officeDocument/2006/relationships/hyperlink" Target="https://paperpile.com/c/vGcMfy/DNMUx" TargetMode="External"/><Relationship Id="rId53" Type="http://schemas.openxmlformats.org/officeDocument/2006/relationships/hyperlink" Target="https://paperpile.com/c/vGcMfy/dyVXM" TargetMode="External"/><Relationship Id="rId58" Type="http://schemas.openxmlformats.org/officeDocument/2006/relationships/hyperlink" Target="https://paperpile.com/c/vGcMfy/75TH7" TargetMode="External"/><Relationship Id="rId74" Type="http://schemas.openxmlformats.org/officeDocument/2006/relationships/hyperlink" Target="https://paperpile.com/c/vGcMfy/HXTVV" TargetMode="External"/><Relationship Id="rId79" Type="http://schemas.openxmlformats.org/officeDocument/2006/relationships/hyperlink" Target="https://paperpile.com/c/vGcMfy/F6qOR" TargetMode="External"/><Relationship Id="rId102" Type="http://schemas.openxmlformats.org/officeDocument/2006/relationships/hyperlink" Target="https://paperpile.com/c/vGcMfy/Be2Sq" TargetMode="External"/><Relationship Id="rId123" Type="http://schemas.openxmlformats.org/officeDocument/2006/relationships/hyperlink" Target="https://paperpile.com/c/vGcMfy/PeHhY+Hn9tT+r9CtH" TargetMode="External"/><Relationship Id="rId128" Type="http://schemas.openxmlformats.org/officeDocument/2006/relationships/hyperlink" Target="https://paperpile.com/c/vGcMfy/vep0D" TargetMode="External"/><Relationship Id="rId144" Type="http://schemas.openxmlformats.org/officeDocument/2006/relationships/hyperlink" Target="https://paperpile.com/c/vGcMfy/qhARK" TargetMode="External"/><Relationship Id="rId149" Type="http://schemas.openxmlformats.org/officeDocument/2006/relationships/hyperlink" Target="https://paperpile.com/c/vGcMfy/ofLLH" TargetMode="External"/><Relationship Id="rId5" Type="http://schemas.openxmlformats.org/officeDocument/2006/relationships/footnotes" Target="footnotes.xml"/><Relationship Id="rId90" Type="http://schemas.openxmlformats.org/officeDocument/2006/relationships/hyperlink" Target="https://paperpile.com/c/vGcMfy/7P0A7" TargetMode="External"/><Relationship Id="rId95" Type="http://schemas.openxmlformats.org/officeDocument/2006/relationships/hyperlink" Target="https://paperpile.com/c/vGcMfy/rBhVJ" TargetMode="External"/><Relationship Id="rId160" Type="http://schemas.openxmlformats.org/officeDocument/2006/relationships/hyperlink" Target="https://paperpile.com/c/vGcMfy/FOUs5" TargetMode="External"/><Relationship Id="rId165" Type="http://schemas.openxmlformats.org/officeDocument/2006/relationships/hyperlink" Target="https://paperpile.com/c/vGcMfy/2Xat8" TargetMode="External"/><Relationship Id="rId181" Type="http://schemas.openxmlformats.org/officeDocument/2006/relationships/fontTable" Target="fontTable.xml"/><Relationship Id="rId22" Type="http://schemas.openxmlformats.org/officeDocument/2006/relationships/hyperlink" Target="https://paperpile.com/c/vGcMfy/Anp44" TargetMode="External"/><Relationship Id="rId27" Type="http://schemas.openxmlformats.org/officeDocument/2006/relationships/hyperlink" Target="https://paperpile.com/c/vGcMfy/8WygG+afkwx+0EgPo+IhC6b" TargetMode="External"/><Relationship Id="rId43" Type="http://schemas.openxmlformats.org/officeDocument/2006/relationships/hyperlink" Target="https://paperpile.com/c/vGcMfy/7dOXh" TargetMode="External"/><Relationship Id="rId48" Type="http://schemas.openxmlformats.org/officeDocument/2006/relationships/hyperlink" Target="https://paperpile.com/c/vGcMfy/uGIT6" TargetMode="External"/><Relationship Id="rId64" Type="http://schemas.openxmlformats.org/officeDocument/2006/relationships/hyperlink" Target="https://paperpile.com/c/vGcMfy/a7hik" TargetMode="External"/><Relationship Id="rId69" Type="http://schemas.openxmlformats.org/officeDocument/2006/relationships/hyperlink" Target="https://paperpile.com/c/vGcMfy/Rd9AW" TargetMode="External"/><Relationship Id="rId113" Type="http://schemas.openxmlformats.org/officeDocument/2006/relationships/hyperlink" Target="https://paperpile.com/c/vGcMfy/SDmeP" TargetMode="External"/><Relationship Id="rId118" Type="http://schemas.openxmlformats.org/officeDocument/2006/relationships/hyperlink" Target="https://paperpile.com/c/vGcMfy/fJMyv" TargetMode="External"/><Relationship Id="rId134" Type="http://schemas.openxmlformats.org/officeDocument/2006/relationships/hyperlink" Target="https://paperpile.com/c/vGcMfy/QfOUA+lUYta+k4Yq2" TargetMode="External"/><Relationship Id="rId139" Type="http://schemas.openxmlformats.org/officeDocument/2006/relationships/hyperlink" Target="https://paperpile.com/c/vGcMfy/sID6s" TargetMode="External"/><Relationship Id="rId80" Type="http://schemas.openxmlformats.org/officeDocument/2006/relationships/hyperlink" Target="https://paperpile.com/c/vGcMfy/TgwAA" TargetMode="External"/><Relationship Id="rId85" Type="http://schemas.openxmlformats.org/officeDocument/2006/relationships/hyperlink" Target="https://paperpile.com/c/vGcMfy/HtPmg" TargetMode="External"/><Relationship Id="rId150" Type="http://schemas.openxmlformats.org/officeDocument/2006/relationships/hyperlink" Target="https://paperpile.com/c/vGcMfy/ofLLH" TargetMode="External"/><Relationship Id="rId155" Type="http://schemas.openxmlformats.org/officeDocument/2006/relationships/hyperlink" Target="https://paperpile.com/c/vGcMfy/RruRD" TargetMode="External"/><Relationship Id="rId171" Type="http://schemas.openxmlformats.org/officeDocument/2006/relationships/hyperlink" Target="https://paperpile.com/c/vGcMfy/A1wnS" TargetMode="External"/><Relationship Id="rId176" Type="http://schemas.openxmlformats.org/officeDocument/2006/relationships/hyperlink" Target="https://paperpile.com/c/vGcMfy/kzVwC+XtSpR+JsU65+1JprR+liMX7" TargetMode="External"/><Relationship Id="rId12" Type="http://schemas.openxmlformats.org/officeDocument/2006/relationships/hyperlink" Target="https://paperpile.com/c/vGcMfy/H1b4v" TargetMode="External"/><Relationship Id="rId17" Type="http://schemas.openxmlformats.org/officeDocument/2006/relationships/hyperlink" Target="https://paperpile.com/c/vGcMfy/1vCxT" TargetMode="External"/><Relationship Id="rId33" Type="http://schemas.openxmlformats.org/officeDocument/2006/relationships/hyperlink" Target="https://paperpile.com/c/vGcMfy/UDfwR" TargetMode="External"/><Relationship Id="rId38" Type="http://schemas.openxmlformats.org/officeDocument/2006/relationships/hyperlink" Target="https://paperpile.com/c/vGcMfy/CfZnv" TargetMode="External"/><Relationship Id="rId59" Type="http://schemas.openxmlformats.org/officeDocument/2006/relationships/hyperlink" Target="https://paperpile.com/c/vGcMfy/75TH7" TargetMode="External"/><Relationship Id="rId103" Type="http://schemas.openxmlformats.org/officeDocument/2006/relationships/hyperlink" Target="https://paperpile.com/c/vGcMfy/Q9vNj+Gi3SP" TargetMode="External"/><Relationship Id="rId108" Type="http://schemas.openxmlformats.org/officeDocument/2006/relationships/hyperlink" Target="https://paperpile.com/c/vGcMfy/J3gYf" TargetMode="External"/><Relationship Id="rId124" Type="http://schemas.openxmlformats.org/officeDocument/2006/relationships/hyperlink" Target="https://paperpile.com/c/vGcMfy/evApO" TargetMode="External"/><Relationship Id="rId129" Type="http://schemas.openxmlformats.org/officeDocument/2006/relationships/hyperlink" Target="https://paperpile.com/c/vGcMfy/iBUBD" TargetMode="External"/><Relationship Id="rId54" Type="http://schemas.openxmlformats.org/officeDocument/2006/relationships/hyperlink" Target="https://paperpile.com/c/vGcMfy/2Rz3E" TargetMode="External"/><Relationship Id="rId70" Type="http://schemas.openxmlformats.org/officeDocument/2006/relationships/hyperlink" Target="https://paperpile.com/c/vGcMfy/MElmI" TargetMode="External"/><Relationship Id="rId75" Type="http://schemas.openxmlformats.org/officeDocument/2006/relationships/hyperlink" Target="https://paperpile.com/c/vGcMfy/LYrw7" TargetMode="External"/><Relationship Id="rId91" Type="http://schemas.openxmlformats.org/officeDocument/2006/relationships/hyperlink" Target="https://paperpile.com/c/vGcMfy/W9Rvy" TargetMode="External"/><Relationship Id="rId96" Type="http://schemas.openxmlformats.org/officeDocument/2006/relationships/hyperlink" Target="https://paperpile.com/c/vGcMfy/osCuo" TargetMode="External"/><Relationship Id="rId140" Type="http://schemas.openxmlformats.org/officeDocument/2006/relationships/hyperlink" Target="https://paperpile.com/c/vGcMfy/XVWB1+YRgNB" TargetMode="External"/><Relationship Id="rId145" Type="http://schemas.openxmlformats.org/officeDocument/2006/relationships/hyperlink" Target="https://paperpile.com/c/vGcMfy/57J3G+ejhzJ" TargetMode="External"/><Relationship Id="rId161" Type="http://schemas.openxmlformats.org/officeDocument/2006/relationships/hyperlink" Target="https://paperpile.com/c/vGcMfy/xjcEC" TargetMode="External"/><Relationship Id="rId166" Type="http://schemas.openxmlformats.org/officeDocument/2006/relationships/hyperlink" Target="https://paperpile.com/c/vGcMfy/qYkpJ"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paperpile.com/c/vGcMfy/Anp44" TargetMode="External"/><Relationship Id="rId28" Type="http://schemas.openxmlformats.org/officeDocument/2006/relationships/hyperlink" Target="https://paperpile.com/c/vGcMfy/kzVwC+XtSpR+JsU65+1JprR+liMX7" TargetMode="External"/><Relationship Id="rId49" Type="http://schemas.openxmlformats.org/officeDocument/2006/relationships/hyperlink" Target="https://paperpile.com/c/vGcMfy/djCPb" TargetMode="External"/><Relationship Id="rId114" Type="http://schemas.openxmlformats.org/officeDocument/2006/relationships/hyperlink" Target="https://paperpile.com/c/vGcMfy/an6tS" TargetMode="External"/><Relationship Id="rId119" Type="http://schemas.openxmlformats.org/officeDocument/2006/relationships/hyperlink" Target="https://paperpile.com/c/vGcMfy/Smnu6" TargetMode="External"/><Relationship Id="rId44" Type="http://schemas.openxmlformats.org/officeDocument/2006/relationships/hyperlink" Target="https://paperpile.com/c/vGcMfy/wYtL9" TargetMode="External"/><Relationship Id="rId60" Type="http://schemas.openxmlformats.org/officeDocument/2006/relationships/hyperlink" Target="https://paperpile.com/c/vGcMfy/w5XF1" TargetMode="External"/><Relationship Id="rId65" Type="http://schemas.openxmlformats.org/officeDocument/2006/relationships/hyperlink" Target="https://paperpile.com/c/vGcMfy/XqpYK" TargetMode="External"/><Relationship Id="rId81" Type="http://schemas.openxmlformats.org/officeDocument/2006/relationships/hyperlink" Target="https://paperpile.com/c/vGcMfy/TgwAA" TargetMode="External"/><Relationship Id="rId86" Type="http://schemas.openxmlformats.org/officeDocument/2006/relationships/hyperlink" Target="https://paperpile.com/c/vGcMfy/iQL4R" TargetMode="External"/><Relationship Id="rId130" Type="http://schemas.openxmlformats.org/officeDocument/2006/relationships/hyperlink" Target="https://paperpile.com/c/vGcMfy/qcWuX" TargetMode="External"/><Relationship Id="rId135" Type="http://schemas.openxmlformats.org/officeDocument/2006/relationships/hyperlink" Target="https://paperpile.com/c/vGcMfy/XqpYK" TargetMode="External"/><Relationship Id="rId151" Type="http://schemas.openxmlformats.org/officeDocument/2006/relationships/hyperlink" Target="https://paperpile.com/c/vGcMfy/c312j" TargetMode="External"/><Relationship Id="rId156" Type="http://schemas.openxmlformats.org/officeDocument/2006/relationships/hyperlink" Target="https://paperpile.com/c/vGcMfy/ijTZu" TargetMode="External"/><Relationship Id="rId177" Type="http://schemas.openxmlformats.org/officeDocument/2006/relationships/hyperlink" Target="https://paperpile.com/c/vGcMfy/DNMUx" TargetMode="External"/><Relationship Id="rId4" Type="http://schemas.openxmlformats.org/officeDocument/2006/relationships/webSettings" Target="webSettings.xml"/><Relationship Id="rId9" Type="http://schemas.openxmlformats.org/officeDocument/2006/relationships/hyperlink" Target="https://paperpile.com/c/vGcMfy/SjL48" TargetMode="External"/><Relationship Id="rId172" Type="http://schemas.openxmlformats.org/officeDocument/2006/relationships/hyperlink" Target="https://paperpile.com/c/vGcMfy/A1wnS" TargetMode="External"/><Relationship Id="rId180" Type="http://schemas.openxmlformats.org/officeDocument/2006/relationships/image" Target="media/image2.png"/><Relationship Id="rId13" Type="http://schemas.openxmlformats.org/officeDocument/2006/relationships/hyperlink" Target="https://paperpile.com/c/vGcMfy/1r2dQ+4kpxg+9TsRE+QfOUA+twzSx" TargetMode="External"/><Relationship Id="rId18" Type="http://schemas.openxmlformats.org/officeDocument/2006/relationships/hyperlink" Target="https://paperpile.com/c/vGcMfy/KW766" TargetMode="External"/><Relationship Id="rId39" Type="http://schemas.openxmlformats.org/officeDocument/2006/relationships/hyperlink" Target="https://paperpile.com/c/vGcMfy/DNMUx" TargetMode="External"/><Relationship Id="rId109" Type="http://schemas.openxmlformats.org/officeDocument/2006/relationships/hyperlink" Target="https://paperpile.com/c/vGcMfy/eiqOV" TargetMode="External"/><Relationship Id="rId34" Type="http://schemas.openxmlformats.org/officeDocument/2006/relationships/hyperlink" Target="https://paperpile.com/c/vGcMfy/UDfwR" TargetMode="External"/><Relationship Id="rId50" Type="http://schemas.openxmlformats.org/officeDocument/2006/relationships/hyperlink" Target="https://paperpile.com/c/vGcMfy/XqpYK" TargetMode="External"/><Relationship Id="rId55" Type="http://schemas.openxmlformats.org/officeDocument/2006/relationships/hyperlink" Target="https://paperpile.com/c/vGcMfy/2Rz3E" TargetMode="External"/><Relationship Id="rId76" Type="http://schemas.openxmlformats.org/officeDocument/2006/relationships/hyperlink" Target="https://paperpile.com/c/vGcMfy/twzSx" TargetMode="External"/><Relationship Id="rId97" Type="http://schemas.openxmlformats.org/officeDocument/2006/relationships/hyperlink" Target="https://paperpile.com/c/vGcMfy/EBtSU" TargetMode="External"/><Relationship Id="rId104" Type="http://schemas.openxmlformats.org/officeDocument/2006/relationships/hyperlink" Target="https://paperpile.com/c/vGcMfy/fIvf7+Nw2Oz+0SnD1+vMXJG" TargetMode="External"/><Relationship Id="rId120" Type="http://schemas.openxmlformats.org/officeDocument/2006/relationships/hyperlink" Target="https://paperpile.com/c/vGcMfy/owkp5+IkWI9+U5BhH" TargetMode="External"/><Relationship Id="rId125" Type="http://schemas.openxmlformats.org/officeDocument/2006/relationships/hyperlink" Target="https://paperpile.com/c/vGcMfy/evApO" TargetMode="External"/><Relationship Id="rId141" Type="http://schemas.openxmlformats.org/officeDocument/2006/relationships/hyperlink" Target="https://paperpile.com/c/vGcMfy/A17eX" TargetMode="External"/><Relationship Id="rId146" Type="http://schemas.openxmlformats.org/officeDocument/2006/relationships/hyperlink" Target="https://paperpile.com/c/vGcMfy/SXSpO" TargetMode="External"/><Relationship Id="rId167" Type="http://schemas.openxmlformats.org/officeDocument/2006/relationships/hyperlink" Target="https://paperpile.com/c/vGcMfy/KW766" TargetMode="External"/><Relationship Id="rId7" Type="http://schemas.openxmlformats.org/officeDocument/2006/relationships/footer" Target="footer1.xml"/><Relationship Id="rId71" Type="http://schemas.openxmlformats.org/officeDocument/2006/relationships/hyperlink" Target="https://paperpile.com/c/vGcMfy/MElmI" TargetMode="External"/><Relationship Id="rId92" Type="http://schemas.openxmlformats.org/officeDocument/2006/relationships/hyperlink" Target="https://paperpile.com/c/vGcMfy/yVjkk" TargetMode="External"/><Relationship Id="rId162" Type="http://schemas.openxmlformats.org/officeDocument/2006/relationships/hyperlink" Target="https://paperpile.com/c/vGcMfy/KW766" TargetMode="External"/><Relationship Id="rId2" Type="http://schemas.microsoft.com/office/2007/relationships/stylesWithEffects" Target="stylesWithEffects.xml"/><Relationship Id="rId29" Type="http://schemas.openxmlformats.org/officeDocument/2006/relationships/hyperlink" Target="https://paperpile.com/c/vGcMfy/DNMUx" TargetMode="External"/><Relationship Id="rId24" Type="http://schemas.openxmlformats.org/officeDocument/2006/relationships/hyperlink" Target="https://paperpile.com/c/vGcMfy/DNMUx" TargetMode="External"/><Relationship Id="rId40" Type="http://schemas.openxmlformats.org/officeDocument/2006/relationships/hyperlink" Target="https://paperpile.com/c/vGcMfy/KACxG" TargetMode="External"/><Relationship Id="rId45" Type="http://schemas.openxmlformats.org/officeDocument/2006/relationships/hyperlink" Target="https://paperpile.com/c/vGcMfy/9Umj2" TargetMode="External"/><Relationship Id="rId66" Type="http://schemas.openxmlformats.org/officeDocument/2006/relationships/hyperlink" Target="https://paperpile.com/c/vGcMfy/gb2e3+tKKG1" TargetMode="External"/><Relationship Id="rId87" Type="http://schemas.openxmlformats.org/officeDocument/2006/relationships/hyperlink" Target="https://paperpile.com/c/vGcMfy/wuTSV" TargetMode="External"/><Relationship Id="rId110" Type="http://schemas.openxmlformats.org/officeDocument/2006/relationships/hyperlink" Target="https://paperpile.com/c/vGcMfy/Z1TDk" TargetMode="External"/><Relationship Id="rId115" Type="http://schemas.openxmlformats.org/officeDocument/2006/relationships/hyperlink" Target="https://paperpile.com/c/vGcMfy/SWHcC" TargetMode="External"/><Relationship Id="rId131" Type="http://schemas.openxmlformats.org/officeDocument/2006/relationships/hyperlink" Target="https://paperpile.com/c/vGcMfy/qcWuX" TargetMode="External"/><Relationship Id="rId136" Type="http://schemas.openxmlformats.org/officeDocument/2006/relationships/hyperlink" Target="https://paperpile.com/c/vGcMfy/QfOUA" TargetMode="External"/><Relationship Id="rId157" Type="http://schemas.openxmlformats.org/officeDocument/2006/relationships/hyperlink" Target="https://paperpile.com/c/vGcMfy/ijTZu" TargetMode="External"/><Relationship Id="rId178" Type="http://schemas.openxmlformats.org/officeDocument/2006/relationships/hyperlink" Target="https://paperpile.com/c/vGcMfy/tRvRA+9sduy" TargetMode="External"/><Relationship Id="rId61" Type="http://schemas.openxmlformats.org/officeDocument/2006/relationships/hyperlink" Target="https://paperpile.com/c/vGcMfy/w5XF1" TargetMode="External"/><Relationship Id="rId82" Type="http://schemas.openxmlformats.org/officeDocument/2006/relationships/hyperlink" Target="https://paperpile.com/c/vGcMfy/eJceg" TargetMode="External"/><Relationship Id="rId152" Type="http://schemas.openxmlformats.org/officeDocument/2006/relationships/hyperlink" Target="https://paperpile.com/c/vGcMfy/c312j" TargetMode="External"/><Relationship Id="rId173" Type="http://schemas.openxmlformats.org/officeDocument/2006/relationships/hyperlink" Target="https://paperpile.com/c/vGcMfy/8Ko4y" TargetMode="External"/><Relationship Id="rId19" Type="http://schemas.openxmlformats.org/officeDocument/2006/relationships/hyperlink" Target="https://paperpile.com/c/vGcMfy/vZFNy" TargetMode="External"/><Relationship Id="rId14" Type="http://schemas.openxmlformats.org/officeDocument/2006/relationships/hyperlink" Target="https://paperpile.com/c/vGcMfy/LyCEG" TargetMode="External"/><Relationship Id="rId30" Type="http://schemas.openxmlformats.org/officeDocument/2006/relationships/hyperlink" Target="https://paperpile.com/c/vGcMfy/tRvRA+9sduy" TargetMode="External"/><Relationship Id="rId35" Type="http://schemas.openxmlformats.org/officeDocument/2006/relationships/hyperlink" Target="https://paperpile.com/c/vGcMfy/vGFDy" TargetMode="External"/><Relationship Id="rId56" Type="http://schemas.openxmlformats.org/officeDocument/2006/relationships/hyperlink" Target="https://paperpile.com/c/vGcMfy/jOJHg+JngYH" TargetMode="External"/><Relationship Id="rId77" Type="http://schemas.openxmlformats.org/officeDocument/2006/relationships/hyperlink" Target="https://paperpile.com/c/vGcMfy/aSI7S" TargetMode="External"/><Relationship Id="rId100" Type="http://schemas.openxmlformats.org/officeDocument/2006/relationships/hyperlink" Target="https://paperpile.com/c/vGcMfy/TpNoG" TargetMode="External"/><Relationship Id="rId105" Type="http://schemas.openxmlformats.org/officeDocument/2006/relationships/hyperlink" Target="https://paperpile.com/c/vGcMfy/rdSdC+3KmH1" TargetMode="External"/><Relationship Id="rId126" Type="http://schemas.openxmlformats.org/officeDocument/2006/relationships/hyperlink" Target="https://paperpile.com/c/vGcMfy/KW766" TargetMode="External"/><Relationship Id="rId147" Type="http://schemas.openxmlformats.org/officeDocument/2006/relationships/hyperlink" Target="https://paperpile.com/c/vGcMfy/FLj2T" TargetMode="External"/><Relationship Id="rId168" Type="http://schemas.openxmlformats.org/officeDocument/2006/relationships/hyperlink" Target="https://paperpile.com/c/vGcMfy/Smnu6" TargetMode="External"/><Relationship Id="rId8" Type="http://schemas.openxmlformats.org/officeDocument/2006/relationships/hyperlink" Target="https://paperpile.com/c/vGcMfy/UD4jK" TargetMode="External"/><Relationship Id="rId51" Type="http://schemas.openxmlformats.org/officeDocument/2006/relationships/hyperlink" Target="https://paperpile.com/c/vGcMfy/XqpYK" TargetMode="External"/><Relationship Id="rId72" Type="http://schemas.openxmlformats.org/officeDocument/2006/relationships/hyperlink" Target="https://paperpile.com/c/vGcMfy/HXTVV" TargetMode="External"/><Relationship Id="rId93" Type="http://schemas.openxmlformats.org/officeDocument/2006/relationships/hyperlink" Target="https://paperpile.com/c/vGcMfy/yVjkk" TargetMode="External"/><Relationship Id="rId98" Type="http://schemas.openxmlformats.org/officeDocument/2006/relationships/hyperlink" Target="https://paperpile.com/c/vGcMfy/ykOPD" TargetMode="External"/><Relationship Id="rId121" Type="http://schemas.openxmlformats.org/officeDocument/2006/relationships/hyperlink" Target="https://paperpile.com/c/vGcMfy/ZTjuP" TargetMode="External"/><Relationship Id="rId142" Type="http://schemas.openxmlformats.org/officeDocument/2006/relationships/hyperlink" Target="https://paperpile.com/c/vGcMfy/A1wnS" TargetMode="External"/><Relationship Id="rId163" Type="http://schemas.openxmlformats.org/officeDocument/2006/relationships/hyperlink" Target="https://paperpile.com/c/vGcMfy/B9whB" TargetMode="External"/><Relationship Id="rId3" Type="http://schemas.openxmlformats.org/officeDocument/2006/relationships/settings" Target="settings.xml"/><Relationship Id="rId25" Type="http://schemas.openxmlformats.org/officeDocument/2006/relationships/hyperlink" Target="https://paperpile.com/c/vGcMfy/IMQyt" TargetMode="External"/><Relationship Id="rId46" Type="http://schemas.openxmlformats.org/officeDocument/2006/relationships/hyperlink" Target="https://paperpile.com/c/vGcMfy/FbZ4S" TargetMode="External"/><Relationship Id="rId67" Type="http://schemas.openxmlformats.org/officeDocument/2006/relationships/hyperlink" Target="https://paperpile.com/c/vGcMfy/VuNFN" TargetMode="External"/><Relationship Id="rId116" Type="http://schemas.openxmlformats.org/officeDocument/2006/relationships/hyperlink" Target="https://paperpile.com/c/vGcMfy/SWHcC" TargetMode="External"/><Relationship Id="rId137" Type="http://schemas.openxmlformats.org/officeDocument/2006/relationships/hyperlink" Target="https://paperpile.com/c/vGcMfy/QfOUA" TargetMode="External"/><Relationship Id="rId158" Type="http://schemas.openxmlformats.org/officeDocument/2006/relationships/hyperlink" Target="https://paperpile.com/c/vGcMfy/GpGb0" TargetMode="External"/><Relationship Id="rId20" Type="http://schemas.openxmlformats.org/officeDocument/2006/relationships/hyperlink" Target="https://paperpile.com/c/vGcMfy/vZFNy" TargetMode="External"/><Relationship Id="rId41" Type="http://schemas.openxmlformats.org/officeDocument/2006/relationships/hyperlink" Target="https://paperpile.com/c/vGcMfy/KACxG" TargetMode="External"/><Relationship Id="rId62" Type="http://schemas.openxmlformats.org/officeDocument/2006/relationships/hyperlink" Target="https://paperpile.com/c/vGcMfy/AXPnC+DUl15+N0H2K" TargetMode="External"/><Relationship Id="rId83" Type="http://schemas.openxmlformats.org/officeDocument/2006/relationships/hyperlink" Target="https://paperpile.com/c/vGcMfy/kn7TE" TargetMode="External"/><Relationship Id="rId88" Type="http://schemas.openxmlformats.org/officeDocument/2006/relationships/hyperlink" Target="https://paperpile.com/c/vGcMfy/cOkbr" TargetMode="External"/><Relationship Id="rId111" Type="http://schemas.openxmlformats.org/officeDocument/2006/relationships/hyperlink" Target="https://paperpile.com/c/vGcMfy/Z1TDk" TargetMode="External"/><Relationship Id="rId132" Type="http://schemas.openxmlformats.org/officeDocument/2006/relationships/hyperlink" Target="https://paperpile.com/c/vGcMfy/svfZY" TargetMode="External"/><Relationship Id="rId153" Type="http://schemas.openxmlformats.org/officeDocument/2006/relationships/hyperlink" Target="https://paperpile.com/c/vGcMfy/VaL0J" TargetMode="External"/><Relationship Id="rId174" Type="http://schemas.openxmlformats.org/officeDocument/2006/relationships/hyperlink" Target="https://paperpile.com/c/vGcMfy/8Ko4y" TargetMode="External"/><Relationship Id="rId179" Type="http://schemas.openxmlformats.org/officeDocument/2006/relationships/image" Target="media/image1.png"/><Relationship Id="rId15" Type="http://schemas.openxmlformats.org/officeDocument/2006/relationships/hyperlink" Target="https://paperpile.com/c/vGcMfy/1vCxT" TargetMode="External"/><Relationship Id="rId36" Type="http://schemas.openxmlformats.org/officeDocument/2006/relationships/hyperlink" Target="https://paperpile.com/c/vGcMfy/vGFDy" TargetMode="External"/><Relationship Id="rId57" Type="http://schemas.openxmlformats.org/officeDocument/2006/relationships/hyperlink" Target="https://paperpile.com/c/vGcMfy/Lfeps" TargetMode="External"/><Relationship Id="rId106" Type="http://schemas.openxmlformats.org/officeDocument/2006/relationships/hyperlink" Target="https://paperpile.com/c/vGcMfy/Smnu6" TargetMode="External"/><Relationship Id="rId127" Type="http://schemas.openxmlformats.org/officeDocument/2006/relationships/hyperlink" Target="https://paperpile.com/c/vGcMfy/QVkXh" TargetMode="External"/><Relationship Id="rId10" Type="http://schemas.openxmlformats.org/officeDocument/2006/relationships/hyperlink" Target="https://paperpile.com/c/vGcMfy/7ioRf" TargetMode="External"/><Relationship Id="rId31" Type="http://schemas.openxmlformats.org/officeDocument/2006/relationships/hyperlink" Target="https://paperpile.com/c/vGcMfy/A7P57+68fYM" TargetMode="External"/><Relationship Id="rId52" Type="http://schemas.openxmlformats.org/officeDocument/2006/relationships/hyperlink" Target="https://paperpile.com/c/vGcMfy/dyVXM" TargetMode="External"/><Relationship Id="rId73" Type="http://schemas.openxmlformats.org/officeDocument/2006/relationships/hyperlink" Target="https://paperpile.com/c/vGcMfy/HXTVV" TargetMode="External"/><Relationship Id="rId78" Type="http://schemas.openxmlformats.org/officeDocument/2006/relationships/hyperlink" Target="https://paperpile.com/c/vGcMfy/aSI7S" TargetMode="External"/><Relationship Id="rId94" Type="http://schemas.openxmlformats.org/officeDocument/2006/relationships/hyperlink" Target="https://paperpile.com/c/vGcMfy/29BnK" TargetMode="External"/><Relationship Id="rId99" Type="http://schemas.openxmlformats.org/officeDocument/2006/relationships/hyperlink" Target="https://paperpile.com/c/vGcMfy/IMQyt" TargetMode="External"/><Relationship Id="rId101" Type="http://schemas.openxmlformats.org/officeDocument/2006/relationships/hyperlink" Target="https://paperpile.com/c/vGcMfy/TpNoG" TargetMode="External"/><Relationship Id="rId122" Type="http://schemas.openxmlformats.org/officeDocument/2006/relationships/hyperlink" Target="https://paperpile.com/c/vGcMfy/B9whB" TargetMode="External"/><Relationship Id="rId143" Type="http://schemas.openxmlformats.org/officeDocument/2006/relationships/hyperlink" Target="https://paperpile.com/c/vGcMfy/qhARK" TargetMode="External"/><Relationship Id="rId148" Type="http://schemas.openxmlformats.org/officeDocument/2006/relationships/hyperlink" Target="https://paperpile.com/c/vGcMfy/twzSx" TargetMode="External"/><Relationship Id="rId164" Type="http://schemas.openxmlformats.org/officeDocument/2006/relationships/hyperlink" Target="https://paperpile.com/c/vGcMfy/Kxzv6" TargetMode="External"/><Relationship Id="rId169" Type="http://schemas.openxmlformats.org/officeDocument/2006/relationships/hyperlink" Target="https://paperpile.com/c/vGcMfy/AJG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62</Pages>
  <Words>18402</Words>
  <Characters>104896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liujihong2008@qq.con</cp:lastModifiedBy>
  <cp:revision>16</cp:revision>
  <dcterms:created xsi:type="dcterms:W3CDTF">2021-05-19T12:23:00Z</dcterms:created>
  <dcterms:modified xsi:type="dcterms:W3CDTF">2021-07-01T03:02:00Z</dcterms:modified>
</cp:coreProperties>
</file>