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FB6566" w14:textId="77777777" w:rsidR="00A77B3E" w:rsidRDefault="002D3822" w:rsidP="00DE6F12">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016DA18C" w14:textId="77777777" w:rsidR="00A77B3E" w:rsidRDefault="002D3822" w:rsidP="00DE6F1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62965</w:t>
      </w:r>
    </w:p>
    <w:p w14:paraId="65DB20C5" w14:textId="77777777" w:rsidR="00A77B3E" w:rsidRDefault="002D3822" w:rsidP="00DE6F12">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22851D26" w14:textId="77777777" w:rsidR="00A77B3E" w:rsidRDefault="00A77B3E" w:rsidP="00DE6F12">
      <w:pPr>
        <w:spacing w:line="360" w:lineRule="auto"/>
        <w:jc w:val="both"/>
      </w:pPr>
    </w:p>
    <w:p w14:paraId="67BBFDA3" w14:textId="77777777" w:rsidR="00A77B3E" w:rsidRDefault="002D3822" w:rsidP="00DE6F12">
      <w:pPr>
        <w:spacing w:line="360" w:lineRule="auto"/>
        <w:jc w:val="both"/>
      </w:pPr>
      <w:r>
        <w:rPr>
          <w:rFonts w:ascii="Book Antiqua" w:eastAsia="Book Antiqua" w:hAnsi="Book Antiqua" w:cs="Book Antiqua"/>
          <w:b/>
          <w:bCs/>
          <w:color w:val="000000"/>
        </w:rPr>
        <w:t>Evolving role of endoscopy in inflammatory bowel disease: Going beyond diagnosis</w:t>
      </w:r>
    </w:p>
    <w:p w14:paraId="31FE5751" w14:textId="77777777" w:rsidR="00A77B3E" w:rsidRDefault="00A77B3E" w:rsidP="00DE6F12">
      <w:pPr>
        <w:spacing w:line="360" w:lineRule="auto"/>
        <w:jc w:val="both"/>
      </w:pPr>
    </w:p>
    <w:p w14:paraId="056896FF" w14:textId="37F34DBB" w:rsidR="00A77B3E" w:rsidRDefault="00C86154" w:rsidP="00DE6F12">
      <w:pPr>
        <w:spacing w:line="360" w:lineRule="auto"/>
        <w:jc w:val="both"/>
      </w:pPr>
      <w:r w:rsidRPr="00BC0F34">
        <w:rPr>
          <w:rFonts w:ascii="Book Antiqua" w:eastAsia="Book Antiqua" w:hAnsi="Book Antiqua" w:cs="Book Antiqua"/>
          <w:color w:val="000000"/>
          <w:lang w:val="es-CL"/>
        </w:rPr>
        <w:t xml:space="preserve">Núñez F P </w:t>
      </w:r>
      <w:r w:rsidRPr="00BC0F34">
        <w:rPr>
          <w:rFonts w:ascii="Book Antiqua" w:eastAsia="Book Antiqua" w:hAnsi="Book Antiqua" w:cs="Book Antiqua"/>
          <w:i/>
          <w:iCs/>
          <w:color w:val="000000"/>
          <w:lang w:val="es-CL"/>
        </w:rPr>
        <w:t>et al</w:t>
      </w:r>
      <w:r w:rsidRPr="00BC0F34">
        <w:rPr>
          <w:rFonts w:ascii="Book Antiqua" w:eastAsia="Book Antiqua" w:hAnsi="Book Antiqua" w:cs="Book Antiqua"/>
          <w:color w:val="000000"/>
          <w:lang w:val="es-CL"/>
        </w:rPr>
        <w:t xml:space="preserve">. </w:t>
      </w:r>
      <w:r w:rsidR="002D3822">
        <w:rPr>
          <w:rFonts w:ascii="Book Antiqua" w:eastAsia="Book Antiqua" w:hAnsi="Book Antiqua" w:cs="Book Antiqua"/>
          <w:color w:val="000000"/>
        </w:rPr>
        <w:t>Role of endoscopy in IBD</w:t>
      </w:r>
    </w:p>
    <w:p w14:paraId="18755C94" w14:textId="77777777" w:rsidR="00A77B3E" w:rsidRDefault="00A77B3E" w:rsidP="00DE6F12">
      <w:pPr>
        <w:spacing w:line="360" w:lineRule="auto"/>
        <w:jc w:val="both"/>
      </w:pPr>
    </w:p>
    <w:p w14:paraId="696D461F" w14:textId="77777777" w:rsidR="00A77B3E" w:rsidRDefault="002D3822" w:rsidP="00DE6F12">
      <w:pPr>
        <w:spacing w:line="360" w:lineRule="auto"/>
        <w:jc w:val="both"/>
      </w:pPr>
      <w:r>
        <w:rPr>
          <w:rFonts w:ascii="Book Antiqua" w:eastAsia="Book Antiqua" w:hAnsi="Book Antiqua" w:cs="Book Antiqua"/>
          <w:color w:val="000000"/>
        </w:rPr>
        <w:t>Paulina Núñez F, Noa Krugliak Cleveland, Rodrigo Quera, David T Rubin</w:t>
      </w:r>
    </w:p>
    <w:p w14:paraId="2028017C" w14:textId="77777777" w:rsidR="00A77B3E" w:rsidRDefault="00A77B3E" w:rsidP="00DE6F12">
      <w:pPr>
        <w:spacing w:line="360" w:lineRule="auto"/>
        <w:jc w:val="both"/>
      </w:pPr>
    </w:p>
    <w:p w14:paraId="39CDACF1" w14:textId="77777777" w:rsidR="00A77B3E" w:rsidRPr="00BC0F34" w:rsidRDefault="002D3822" w:rsidP="00DE6F12">
      <w:pPr>
        <w:spacing w:line="360" w:lineRule="auto"/>
        <w:jc w:val="both"/>
        <w:rPr>
          <w:lang w:val="es-CL"/>
        </w:rPr>
      </w:pPr>
      <w:r w:rsidRPr="00BC0F34">
        <w:rPr>
          <w:rFonts w:ascii="Book Antiqua" w:eastAsia="Book Antiqua" w:hAnsi="Book Antiqua" w:cs="Book Antiqua"/>
          <w:b/>
          <w:bCs/>
          <w:color w:val="000000"/>
          <w:lang w:val="es-CL"/>
        </w:rPr>
        <w:t xml:space="preserve">Paulina Núñez F, Rodrigo Quera, </w:t>
      </w:r>
      <w:r w:rsidRPr="00BC0F34">
        <w:rPr>
          <w:rFonts w:ascii="Book Antiqua" w:eastAsia="Book Antiqua" w:hAnsi="Book Antiqua" w:cs="Book Antiqua"/>
          <w:color w:val="000000"/>
          <w:lang w:val="es-CL"/>
        </w:rPr>
        <w:t>Department of Gastroenterology, Inflammatory Bowel Disease Program, Clinica Universidad de los Andes, Santiago 7620157, RM, Chile</w:t>
      </w:r>
    </w:p>
    <w:p w14:paraId="22706A8D" w14:textId="77777777" w:rsidR="00A77B3E" w:rsidRPr="00BC0F34" w:rsidRDefault="00A77B3E" w:rsidP="00DE6F12">
      <w:pPr>
        <w:spacing w:line="360" w:lineRule="auto"/>
        <w:jc w:val="both"/>
        <w:rPr>
          <w:lang w:val="es-CL"/>
        </w:rPr>
      </w:pPr>
    </w:p>
    <w:p w14:paraId="4DB46443" w14:textId="77777777" w:rsidR="00A77B3E" w:rsidRDefault="002D3822" w:rsidP="00DE6F12">
      <w:pPr>
        <w:spacing w:line="360" w:lineRule="auto"/>
        <w:jc w:val="both"/>
      </w:pPr>
      <w:r>
        <w:rPr>
          <w:rFonts w:ascii="Book Antiqua" w:eastAsia="Book Antiqua" w:hAnsi="Book Antiqua" w:cs="Book Antiqua"/>
          <w:b/>
          <w:bCs/>
          <w:color w:val="000000"/>
        </w:rPr>
        <w:t xml:space="preserve">Paulina Núñez F, </w:t>
      </w:r>
      <w:r>
        <w:rPr>
          <w:rFonts w:ascii="Book Antiqua" w:eastAsia="Book Antiqua" w:hAnsi="Book Antiqua" w:cs="Book Antiqua"/>
          <w:color w:val="000000"/>
        </w:rPr>
        <w:t>Department of Gastroenterology, Hospital San Juan de Dios, Santiago 8350488, RM, Chile</w:t>
      </w:r>
    </w:p>
    <w:p w14:paraId="1C772B4B" w14:textId="77777777" w:rsidR="00A77B3E" w:rsidRDefault="00A77B3E" w:rsidP="00DE6F12">
      <w:pPr>
        <w:spacing w:line="360" w:lineRule="auto"/>
        <w:jc w:val="both"/>
      </w:pPr>
    </w:p>
    <w:p w14:paraId="22C4A4A1" w14:textId="77777777" w:rsidR="00A77B3E" w:rsidRDefault="002D3822" w:rsidP="00DE6F12">
      <w:pPr>
        <w:spacing w:line="360" w:lineRule="auto"/>
        <w:jc w:val="both"/>
      </w:pPr>
      <w:r>
        <w:rPr>
          <w:rFonts w:ascii="Book Antiqua" w:eastAsia="Book Antiqua" w:hAnsi="Book Antiqua" w:cs="Book Antiqua"/>
          <w:b/>
          <w:bCs/>
          <w:color w:val="000000"/>
        </w:rPr>
        <w:t xml:space="preserve">Noa Krugliak Cleveland, David T Rubin, </w:t>
      </w:r>
      <w:r>
        <w:rPr>
          <w:rFonts w:ascii="Book Antiqua" w:eastAsia="Book Antiqua" w:hAnsi="Book Antiqua" w:cs="Book Antiqua"/>
          <w:color w:val="000000"/>
        </w:rPr>
        <w:t>University of Chicago Medicine Inflammatory Bowel Disease Center, University of Chicago Medicine, Chicago, IL 60637, United States</w:t>
      </w:r>
    </w:p>
    <w:p w14:paraId="6CEC79CB" w14:textId="77777777" w:rsidR="00A77B3E" w:rsidRDefault="00A77B3E" w:rsidP="00DE6F12">
      <w:pPr>
        <w:spacing w:line="360" w:lineRule="auto"/>
        <w:jc w:val="both"/>
      </w:pPr>
    </w:p>
    <w:p w14:paraId="4709619F" w14:textId="77777777" w:rsidR="00A77B3E" w:rsidRDefault="002D3822" w:rsidP="00DE6F12">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All authors equally contributed to this review with the conception and design of the study, literature review and analysis, drafting and critical revision and editing, and approval of the final version.</w:t>
      </w:r>
    </w:p>
    <w:p w14:paraId="4DF2FAC9" w14:textId="77777777" w:rsidR="00A77B3E" w:rsidRDefault="00A77B3E" w:rsidP="00DE6F12">
      <w:pPr>
        <w:spacing w:line="360" w:lineRule="auto"/>
        <w:jc w:val="both"/>
      </w:pPr>
    </w:p>
    <w:p w14:paraId="7D8BCBAE" w14:textId="77777777" w:rsidR="00A77B3E" w:rsidRDefault="002D3822" w:rsidP="00DE6F12">
      <w:pPr>
        <w:spacing w:line="360" w:lineRule="auto"/>
        <w:jc w:val="both"/>
      </w:pPr>
      <w:r>
        <w:rPr>
          <w:rFonts w:ascii="Book Antiqua" w:eastAsia="Book Antiqua" w:hAnsi="Book Antiqua" w:cs="Book Antiqua"/>
          <w:b/>
          <w:bCs/>
          <w:color w:val="000000"/>
        </w:rPr>
        <w:t xml:space="preserve">Corresponding author: David T Rubin, AGAF, FACG, FACP, Chief Doctor, </w:t>
      </w:r>
      <w:r>
        <w:rPr>
          <w:rFonts w:ascii="Book Antiqua" w:eastAsia="Book Antiqua" w:hAnsi="Book Antiqua" w:cs="Book Antiqua"/>
          <w:color w:val="000000"/>
        </w:rPr>
        <w:t>University of Chicago Medicine Inflammatory Bowel Disease Center, University of Chicago Medicine, 5841 S. Maryland Ave., MC4076, Room M410, Chicago, IL 60637, United States. drubin@medicine.bsd.uchicago.edu</w:t>
      </w:r>
    </w:p>
    <w:p w14:paraId="7711CA2B" w14:textId="77777777" w:rsidR="00A77B3E" w:rsidRDefault="00A77B3E" w:rsidP="00DE6F12">
      <w:pPr>
        <w:spacing w:line="360" w:lineRule="auto"/>
        <w:jc w:val="both"/>
      </w:pPr>
    </w:p>
    <w:p w14:paraId="0085CC7C" w14:textId="77777777" w:rsidR="00A77B3E" w:rsidRDefault="002D3822" w:rsidP="00DE6F12">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22, 2021</w:t>
      </w:r>
    </w:p>
    <w:p w14:paraId="28026413" w14:textId="77777777" w:rsidR="00A77B3E" w:rsidRDefault="002D3822" w:rsidP="00DE6F12">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April 11, 2021</w:t>
      </w:r>
    </w:p>
    <w:p w14:paraId="7EC5FB20" w14:textId="705625D3" w:rsidR="00A77B3E" w:rsidRDefault="002D3822" w:rsidP="00DE6F12">
      <w:pPr>
        <w:spacing w:line="360" w:lineRule="auto"/>
        <w:jc w:val="both"/>
      </w:pPr>
      <w:r>
        <w:rPr>
          <w:rFonts w:ascii="Book Antiqua" w:eastAsia="Book Antiqua" w:hAnsi="Book Antiqua" w:cs="Book Antiqua"/>
          <w:b/>
          <w:bCs/>
          <w:color w:val="000000"/>
        </w:rPr>
        <w:t>Accepted:</w:t>
      </w:r>
      <w:r w:rsidRPr="004D3B00">
        <w:rPr>
          <w:rFonts w:ascii="Book Antiqua" w:eastAsia="Book Antiqua" w:hAnsi="Book Antiqua" w:cs="Book Antiqua"/>
          <w:color w:val="000000"/>
        </w:rPr>
        <w:t xml:space="preserve"> </w:t>
      </w:r>
      <w:r w:rsidR="004D3B00" w:rsidRPr="004D3B00">
        <w:rPr>
          <w:rFonts w:ascii="Book Antiqua" w:eastAsia="Book Antiqua" w:hAnsi="Book Antiqua" w:cs="Book Antiqua"/>
          <w:color w:val="000000"/>
        </w:rPr>
        <w:t>April 26, 2021</w:t>
      </w:r>
    </w:p>
    <w:p w14:paraId="0C3FF83F" w14:textId="5EEC4CEB" w:rsidR="00A77B3E" w:rsidRDefault="002D3822" w:rsidP="00DE6F12">
      <w:pPr>
        <w:spacing w:line="360" w:lineRule="auto"/>
        <w:jc w:val="both"/>
      </w:pPr>
      <w:r>
        <w:rPr>
          <w:rFonts w:ascii="Book Antiqua" w:eastAsia="Book Antiqua" w:hAnsi="Book Antiqua" w:cs="Book Antiqua"/>
          <w:b/>
          <w:bCs/>
          <w:color w:val="000000"/>
        </w:rPr>
        <w:t xml:space="preserve">Published online: </w:t>
      </w:r>
      <w:r w:rsidR="00F403DF" w:rsidRPr="00435A42">
        <w:rPr>
          <w:rFonts w:ascii="Book Antiqua" w:eastAsia="Book Antiqua" w:hAnsi="Book Antiqua" w:cs="Book Antiqua"/>
          <w:bCs/>
        </w:rPr>
        <w:t>May</w:t>
      </w:r>
      <w:r w:rsidR="00F403DF" w:rsidRPr="00435A42">
        <w:rPr>
          <w:rFonts w:ascii="Book Antiqua" w:hAnsi="Book Antiqua" w:cs="Book Antiqua" w:hint="eastAsia"/>
          <w:bCs/>
          <w:lang w:eastAsia="zh-CN"/>
        </w:rPr>
        <w:t xml:space="preserve"> 28</w:t>
      </w:r>
      <w:r w:rsidR="00F403DF" w:rsidRPr="00435A42">
        <w:rPr>
          <w:rFonts w:ascii="Book Antiqua" w:eastAsia="Book Antiqua" w:hAnsi="Book Antiqua" w:cs="Book Antiqua"/>
        </w:rPr>
        <w:t>, 2021</w:t>
      </w:r>
    </w:p>
    <w:p w14:paraId="0D233D44" w14:textId="77777777" w:rsidR="00A77B3E" w:rsidRDefault="00A77B3E" w:rsidP="00DE6F12">
      <w:pPr>
        <w:spacing w:line="360" w:lineRule="auto"/>
        <w:jc w:val="both"/>
        <w:sectPr w:rsidR="00A77B3E">
          <w:footerReference w:type="default" r:id="rId9"/>
          <w:pgSz w:w="12240" w:h="15840"/>
          <w:pgMar w:top="1440" w:right="1440" w:bottom="1440" w:left="1440" w:header="720" w:footer="720" w:gutter="0"/>
          <w:cols w:space="720"/>
          <w:docGrid w:linePitch="360"/>
        </w:sectPr>
      </w:pPr>
    </w:p>
    <w:p w14:paraId="1BF20BE8" w14:textId="77777777" w:rsidR="00A77B3E" w:rsidRDefault="002D3822" w:rsidP="00DE6F12">
      <w:pPr>
        <w:spacing w:line="360" w:lineRule="auto"/>
        <w:jc w:val="both"/>
      </w:pPr>
      <w:r>
        <w:rPr>
          <w:rFonts w:ascii="Book Antiqua" w:eastAsia="Book Antiqua" w:hAnsi="Book Antiqua" w:cs="Book Antiqua"/>
          <w:b/>
          <w:color w:val="000000"/>
        </w:rPr>
        <w:t>Abstract</w:t>
      </w:r>
    </w:p>
    <w:p w14:paraId="2FBF9195" w14:textId="5F2F083A" w:rsidR="00A77B3E" w:rsidRDefault="002D3822" w:rsidP="00DE6F12">
      <w:pPr>
        <w:spacing w:line="360" w:lineRule="auto"/>
        <w:jc w:val="both"/>
      </w:pPr>
      <w:r>
        <w:rPr>
          <w:rFonts w:ascii="Book Antiqua" w:eastAsia="Book Antiqua" w:hAnsi="Book Antiqua" w:cs="Book Antiqua"/>
          <w:color w:val="000000"/>
        </w:rPr>
        <w:t>Inflammatory bowel disease, encompassing Crohn</w:t>
      </w:r>
      <w:r w:rsidR="00C86154">
        <w:rPr>
          <w:rFonts w:ascii="Book Antiqua" w:eastAsia="Book Antiqua" w:hAnsi="Book Antiqua" w:cs="Book Antiqua"/>
          <w:color w:val="000000"/>
        </w:rPr>
        <w:t>’</w:t>
      </w:r>
      <w:r>
        <w:rPr>
          <w:rFonts w:ascii="Book Antiqua" w:eastAsia="Book Antiqua" w:hAnsi="Book Antiqua" w:cs="Book Antiqua"/>
          <w:color w:val="000000"/>
        </w:rPr>
        <w:t>s disease (CD) and ulcerative colitis, are chronic immune-mediated inflammatory bowel diseases (IBD) that primarily affect the gastrointestinal tract with periods of activity and remission.</w:t>
      </w:r>
      <w:r w:rsidR="00C86154">
        <w:rPr>
          <w:rFonts w:ascii="Book Antiqua" w:eastAsia="Book Antiqua" w:hAnsi="Book Antiqua" w:cs="Book Antiqua"/>
          <w:color w:val="000000"/>
        </w:rPr>
        <w:t xml:space="preserve"> </w:t>
      </w:r>
      <w:r>
        <w:rPr>
          <w:rFonts w:ascii="Book Antiqua" w:eastAsia="Book Antiqua" w:hAnsi="Book Antiqua" w:cs="Book Antiqua"/>
          <w:color w:val="000000"/>
        </w:rPr>
        <w:t>Large body of evidence exist to strengthen the prognostic role of endoscopic evaluation for both disease activity and severity and it remains the gold standard for the assessment of mucosal healing. Mucosal healing has been associated with improved clinical outcomes with prolonged remission, decreased hospitalization, IBD-related surgeries and colorectal cancer risk. Therefore, endoscopic objectives in IBD have been incorporated as part of standard care.</w:t>
      </w:r>
      <w:r w:rsidR="00C86154">
        <w:rPr>
          <w:rFonts w:ascii="Book Antiqua" w:eastAsia="Book Antiqua" w:hAnsi="Book Antiqua" w:cs="Book Antiqua"/>
          <w:color w:val="000000"/>
        </w:rPr>
        <w:t xml:space="preserve"> </w:t>
      </w:r>
      <w:r>
        <w:rPr>
          <w:rFonts w:ascii="Book Antiqua" w:eastAsia="Book Antiqua" w:hAnsi="Book Antiqua" w:cs="Book Antiqua"/>
          <w:color w:val="000000"/>
        </w:rPr>
        <w:t>With the known increased risk of colorectal cancer in IBD, although prevention strategies continue to develop, regular surveillance for early detection of neoplasia continue to be paramount in IBD patients’ care. It is thanks to evolving technology and visualization techniques that surveillance strategies are continuously advancing.</w:t>
      </w:r>
      <w:r w:rsidR="00C86154">
        <w:rPr>
          <w:rFonts w:ascii="Book Antiqua" w:eastAsia="Book Antiqua" w:hAnsi="Book Antiqua" w:cs="Book Antiqua"/>
          <w:color w:val="000000"/>
        </w:rPr>
        <w:t xml:space="preserve"> </w:t>
      </w:r>
      <w:r>
        <w:rPr>
          <w:rFonts w:ascii="Book Antiqua" w:eastAsia="Book Antiqua" w:hAnsi="Book Antiqua" w:cs="Book Antiqua"/>
          <w:color w:val="000000"/>
        </w:rPr>
        <w:t>Therapeutic endoscopic options in IBD have also been expanding, from surgery sparing therapies such as balloon dilation of fibrostenotic strictures in CD to endoscopic mucosal resection of neoplastic lesions.</w:t>
      </w:r>
      <w:r w:rsidR="00C86154">
        <w:rPr>
          <w:rFonts w:ascii="Book Antiqua" w:eastAsia="Book Antiqua" w:hAnsi="Book Antiqua" w:cs="Book Antiqua"/>
          <w:color w:val="000000"/>
        </w:rPr>
        <w:t xml:space="preserve"> </w:t>
      </w:r>
      <w:r>
        <w:rPr>
          <w:rFonts w:ascii="Book Antiqua" w:eastAsia="Book Antiqua" w:hAnsi="Book Antiqua" w:cs="Book Antiqua"/>
          <w:color w:val="000000"/>
        </w:rPr>
        <w:t>In this review article, we discuss the current evidence on the use of endoscopy as part of standard of care of IBD, its role in surveillance of neoplasia, and the role of interventional endoscopic therapies.</w:t>
      </w:r>
    </w:p>
    <w:p w14:paraId="6340D3D9" w14:textId="77777777" w:rsidR="00A77B3E" w:rsidRDefault="00A77B3E" w:rsidP="00DE6F12">
      <w:pPr>
        <w:spacing w:line="360" w:lineRule="auto"/>
        <w:jc w:val="both"/>
      </w:pPr>
    </w:p>
    <w:p w14:paraId="490C1A0D" w14:textId="0E97C344" w:rsidR="00A77B3E" w:rsidRDefault="002D3822" w:rsidP="00DE6F12">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Inflammatory bowel disease; </w:t>
      </w:r>
      <w:r w:rsidR="00C86154">
        <w:rPr>
          <w:rFonts w:ascii="Book Antiqua" w:eastAsia="Book Antiqua" w:hAnsi="Book Antiqua" w:cs="Book Antiqua"/>
          <w:color w:val="000000"/>
        </w:rPr>
        <w:t>E</w:t>
      </w:r>
      <w:r>
        <w:rPr>
          <w:rFonts w:ascii="Book Antiqua" w:eastAsia="Book Antiqua" w:hAnsi="Book Antiqua" w:cs="Book Antiqua"/>
          <w:color w:val="000000"/>
        </w:rPr>
        <w:t>ndoscopy</w:t>
      </w:r>
      <w:r w:rsidR="00DE6F12">
        <w:rPr>
          <w:rFonts w:ascii="Book Antiqua" w:eastAsia="Book Antiqua" w:hAnsi="Book Antiqua" w:cs="Book Antiqua"/>
          <w:color w:val="000000"/>
        </w:rPr>
        <w:t>;</w:t>
      </w:r>
      <w:r>
        <w:rPr>
          <w:rFonts w:ascii="Book Antiqua" w:eastAsia="Book Antiqua" w:hAnsi="Book Antiqua" w:cs="Book Antiqua"/>
          <w:color w:val="000000"/>
        </w:rPr>
        <w:t xml:space="preserve"> Crohn’s disease; </w:t>
      </w:r>
      <w:r w:rsidR="00C86154">
        <w:rPr>
          <w:rFonts w:ascii="Book Antiqua" w:eastAsia="Book Antiqua" w:hAnsi="Book Antiqua" w:cs="Book Antiqua"/>
          <w:color w:val="000000"/>
        </w:rPr>
        <w:t>U</w:t>
      </w:r>
      <w:r>
        <w:rPr>
          <w:rFonts w:ascii="Book Antiqua" w:eastAsia="Book Antiqua" w:hAnsi="Book Antiqua" w:cs="Book Antiqua"/>
          <w:color w:val="000000"/>
        </w:rPr>
        <w:t xml:space="preserve">lcerative colitis; </w:t>
      </w:r>
      <w:r w:rsidR="00C86154">
        <w:rPr>
          <w:rFonts w:ascii="Book Antiqua" w:eastAsia="Book Antiqua" w:hAnsi="Book Antiqua" w:cs="Book Antiqua"/>
          <w:color w:val="000000"/>
        </w:rPr>
        <w:t>T</w:t>
      </w:r>
      <w:r>
        <w:rPr>
          <w:rFonts w:ascii="Book Antiqua" w:eastAsia="Book Antiqua" w:hAnsi="Book Antiqua" w:cs="Book Antiqua"/>
          <w:color w:val="000000"/>
        </w:rPr>
        <w:t xml:space="preserve">herapeutic endoscopy; </w:t>
      </w:r>
      <w:r w:rsidR="00C86154">
        <w:rPr>
          <w:rFonts w:ascii="Book Antiqua" w:eastAsia="Book Antiqua" w:hAnsi="Book Antiqua" w:cs="Book Antiqua"/>
          <w:color w:val="000000"/>
        </w:rPr>
        <w:t>S</w:t>
      </w:r>
      <w:r>
        <w:rPr>
          <w:rFonts w:ascii="Book Antiqua" w:eastAsia="Book Antiqua" w:hAnsi="Book Antiqua" w:cs="Book Antiqua"/>
          <w:color w:val="000000"/>
        </w:rPr>
        <w:t>urveillance</w:t>
      </w:r>
    </w:p>
    <w:p w14:paraId="472DB11C" w14:textId="77777777" w:rsidR="007764C2" w:rsidRDefault="007764C2" w:rsidP="007764C2">
      <w:pPr>
        <w:spacing w:line="360" w:lineRule="auto"/>
        <w:jc w:val="both"/>
        <w:rPr>
          <w:lang w:eastAsia="zh-CN"/>
        </w:rPr>
      </w:pPr>
    </w:p>
    <w:p w14:paraId="3EF04BD3" w14:textId="77777777" w:rsidR="007764C2" w:rsidRPr="00026CB8" w:rsidRDefault="007764C2" w:rsidP="007764C2">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705045FA" w14:textId="77777777" w:rsidR="00A77B3E" w:rsidRDefault="00A77B3E" w:rsidP="00DE6F12">
      <w:pPr>
        <w:spacing w:line="360" w:lineRule="auto"/>
        <w:jc w:val="both"/>
      </w:pPr>
    </w:p>
    <w:p w14:paraId="29997C86" w14:textId="65850292" w:rsidR="005E36E2" w:rsidRDefault="005E36E2" w:rsidP="00DE6F12">
      <w:pPr>
        <w:spacing w:line="360" w:lineRule="auto"/>
        <w:jc w:val="both"/>
        <w:rPr>
          <w:rFonts w:ascii="Book Antiqua" w:hAnsi="Book Antiqua" w:cs="Book Antiqua" w:hint="eastAsia"/>
          <w:lang w:eastAsia="zh-CN"/>
        </w:rPr>
      </w:pPr>
      <w:r w:rsidRPr="005E36E2">
        <w:rPr>
          <w:rFonts w:ascii="Book Antiqua" w:hAnsi="Book Antiqua" w:cs="Book Antiqua" w:hint="eastAsia"/>
          <w:b/>
          <w:color w:val="000000"/>
          <w:lang w:eastAsia="zh-CN"/>
        </w:rPr>
        <w:t xml:space="preserve">Citation: </w:t>
      </w:r>
      <w:r w:rsidR="002D3822">
        <w:rPr>
          <w:rFonts w:ascii="Book Antiqua" w:eastAsia="Book Antiqua" w:hAnsi="Book Antiqua" w:cs="Book Antiqua"/>
          <w:color w:val="000000"/>
        </w:rPr>
        <w:t xml:space="preserve">Núñez F P, Krugliak Cleveland N, Quera R, Rubin DT. Evolving role of endoscopy in inflammatory bowel disease: Going beyond diagnosis. </w:t>
      </w:r>
      <w:r w:rsidR="002D3822">
        <w:rPr>
          <w:rFonts w:ascii="Book Antiqua" w:eastAsia="Book Antiqua" w:hAnsi="Book Antiqua" w:cs="Book Antiqua"/>
          <w:i/>
          <w:iCs/>
          <w:color w:val="000000"/>
        </w:rPr>
        <w:t>World J Gastroenterol</w:t>
      </w:r>
      <w:r w:rsidR="002D3822">
        <w:rPr>
          <w:rFonts w:ascii="Book Antiqua" w:eastAsia="Book Antiqua" w:hAnsi="Book Antiqua" w:cs="Book Antiqua"/>
          <w:color w:val="000000"/>
        </w:rPr>
        <w:t xml:space="preserve"> </w:t>
      </w:r>
      <w:r w:rsidR="009155FB" w:rsidRPr="0032360E">
        <w:rPr>
          <w:rFonts w:ascii="Book Antiqua" w:eastAsia="Book Antiqua" w:hAnsi="Book Antiqua" w:cs="Book Antiqua"/>
        </w:rPr>
        <w:t>202</w:t>
      </w:r>
      <w:r w:rsidR="009155FB">
        <w:rPr>
          <w:rFonts w:ascii="Book Antiqua" w:hAnsi="Book Antiqua" w:cs="Book Antiqua" w:hint="eastAsia"/>
          <w:lang w:eastAsia="zh-CN"/>
        </w:rPr>
        <w:t>1</w:t>
      </w:r>
      <w:r w:rsidR="009155FB" w:rsidRPr="0032360E">
        <w:rPr>
          <w:rFonts w:ascii="Book Antiqua" w:eastAsia="Book Antiqua" w:hAnsi="Book Antiqua" w:cs="Book Antiqua"/>
        </w:rPr>
        <w:t>; 2</w:t>
      </w:r>
      <w:r w:rsidR="009155FB">
        <w:rPr>
          <w:rFonts w:ascii="Book Antiqua" w:hAnsi="Book Antiqua" w:cs="Book Antiqua" w:hint="eastAsia"/>
          <w:lang w:eastAsia="zh-CN"/>
        </w:rPr>
        <w:t>7</w:t>
      </w:r>
      <w:r w:rsidR="009155FB" w:rsidRPr="0032360E">
        <w:rPr>
          <w:rFonts w:ascii="Book Antiqua" w:eastAsia="Book Antiqua" w:hAnsi="Book Antiqua" w:cs="Book Antiqua"/>
        </w:rPr>
        <w:t>(</w:t>
      </w:r>
      <w:r w:rsidR="009155FB">
        <w:rPr>
          <w:rFonts w:ascii="Book Antiqua" w:hAnsi="Book Antiqua" w:cs="Book Antiqua" w:hint="eastAsia"/>
          <w:lang w:eastAsia="zh-CN"/>
        </w:rPr>
        <w:t>20</w:t>
      </w:r>
      <w:r w:rsidR="009155FB" w:rsidRPr="0032360E">
        <w:rPr>
          <w:rFonts w:ascii="Book Antiqua" w:eastAsia="Book Antiqua" w:hAnsi="Book Antiqua" w:cs="Book Antiqua"/>
        </w:rPr>
        <w:t xml:space="preserve">): </w:t>
      </w:r>
      <w:r w:rsidR="005F1A2D" w:rsidRPr="005F1A2D">
        <w:rPr>
          <w:rFonts w:ascii="Book Antiqua" w:hAnsi="Book Antiqua" w:cs="Book Antiqua"/>
          <w:lang w:eastAsia="zh-CN"/>
        </w:rPr>
        <w:t>2521-2530</w:t>
      </w:r>
      <w:r w:rsidR="009155FB" w:rsidRPr="0032360E">
        <w:rPr>
          <w:rFonts w:ascii="Book Antiqua" w:eastAsia="Book Antiqua" w:hAnsi="Book Antiqua" w:cs="Book Antiqua"/>
        </w:rPr>
        <w:t xml:space="preserve">  </w:t>
      </w:r>
    </w:p>
    <w:p w14:paraId="5371A06A" w14:textId="77777777" w:rsidR="005E36E2" w:rsidRDefault="009155FB" w:rsidP="00DE6F12">
      <w:pPr>
        <w:spacing w:line="360" w:lineRule="auto"/>
        <w:jc w:val="both"/>
        <w:rPr>
          <w:rFonts w:ascii="Book Antiqua" w:hAnsi="Book Antiqua" w:cs="Book Antiqua" w:hint="eastAsia"/>
          <w:lang w:eastAsia="zh-CN"/>
        </w:rPr>
      </w:pPr>
      <w:r w:rsidRPr="005E36E2">
        <w:rPr>
          <w:rFonts w:ascii="Book Antiqua" w:eastAsia="Book Antiqua" w:hAnsi="Book Antiqua" w:cs="Book Antiqua"/>
          <w:b/>
        </w:rPr>
        <w:t xml:space="preserve">URL: </w:t>
      </w:r>
      <w:r w:rsidRPr="0032360E">
        <w:rPr>
          <w:rFonts w:ascii="Book Antiqua" w:eastAsia="Book Antiqua" w:hAnsi="Book Antiqua" w:cs="Book Antiqua"/>
        </w:rPr>
        <w:t>https://www.wjgnet.com/1007-9327/full/v2</w:t>
      </w:r>
      <w:r>
        <w:rPr>
          <w:rFonts w:ascii="Book Antiqua" w:hAnsi="Book Antiqua" w:cs="Book Antiqua" w:hint="eastAsia"/>
          <w:lang w:eastAsia="zh-CN"/>
        </w:rPr>
        <w:t>7</w:t>
      </w:r>
      <w:r w:rsidRPr="0032360E">
        <w:rPr>
          <w:rFonts w:ascii="Book Antiqua" w:eastAsia="Book Antiqua" w:hAnsi="Book Antiqua" w:cs="Book Antiqua"/>
        </w:rPr>
        <w:t>/i</w:t>
      </w:r>
      <w:r>
        <w:rPr>
          <w:rFonts w:ascii="Book Antiqua" w:hAnsi="Book Antiqua" w:cs="Book Antiqua" w:hint="eastAsia"/>
          <w:lang w:eastAsia="zh-CN"/>
        </w:rPr>
        <w:t>20</w:t>
      </w:r>
      <w:r w:rsidRPr="0032360E">
        <w:rPr>
          <w:rFonts w:ascii="Book Antiqua" w:eastAsia="Book Antiqua" w:hAnsi="Book Antiqua" w:cs="Book Antiqua"/>
        </w:rPr>
        <w:t>/</w:t>
      </w:r>
      <w:r w:rsidR="005F1A2D" w:rsidRPr="005F1A2D">
        <w:rPr>
          <w:rFonts w:ascii="Book Antiqua" w:hAnsi="Book Antiqua" w:cs="Book Antiqua"/>
          <w:lang w:eastAsia="zh-CN"/>
        </w:rPr>
        <w:t>2521</w:t>
      </w:r>
      <w:r w:rsidRPr="0032360E">
        <w:rPr>
          <w:rFonts w:ascii="Book Antiqua" w:eastAsia="Book Antiqua" w:hAnsi="Book Antiqua" w:cs="Book Antiqua"/>
        </w:rPr>
        <w:t xml:space="preserve">.htm  </w:t>
      </w:r>
    </w:p>
    <w:p w14:paraId="52997F2E" w14:textId="4923F18E" w:rsidR="00A77B3E" w:rsidRDefault="009155FB" w:rsidP="00DE6F12">
      <w:pPr>
        <w:spacing w:line="360" w:lineRule="auto"/>
        <w:jc w:val="both"/>
      </w:pPr>
      <w:r w:rsidRPr="005E36E2">
        <w:rPr>
          <w:rFonts w:ascii="Book Antiqua" w:eastAsia="Book Antiqua" w:hAnsi="Book Antiqua" w:cs="Book Antiqua"/>
          <w:b/>
        </w:rPr>
        <w:t>DOI:</w:t>
      </w:r>
      <w:r w:rsidRPr="0032360E">
        <w:rPr>
          <w:rFonts w:ascii="Book Antiqua" w:eastAsia="Book Antiqua" w:hAnsi="Book Antiqua" w:cs="Book Antiqua"/>
        </w:rPr>
        <w:t xml:space="preserve"> https://dx.doi.org/10.3748/wjg.v2</w:t>
      </w:r>
      <w:r>
        <w:rPr>
          <w:rFonts w:ascii="Book Antiqua" w:hAnsi="Book Antiqua" w:cs="Book Antiqua" w:hint="eastAsia"/>
          <w:lang w:eastAsia="zh-CN"/>
        </w:rPr>
        <w:t>7</w:t>
      </w:r>
      <w:r w:rsidRPr="0032360E">
        <w:rPr>
          <w:rFonts w:ascii="Book Antiqua" w:eastAsia="Book Antiqua" w:hAnsi="Book Antiqua" w:cs="Book Antiqua"/>
        </w:rPr>
        <w:t>.i</w:t>
      </w:r>
      <w:r>
        <w:rPr>
          <w:rFonts w:ascii="Book Antiqua" w:hAnsi="Book Antiqua" w:cs="Book Antiqua" w:hint="eastAsia"/>
          <w:lang w:eastAsia="zh-CN"/>
        </w:rPr>
        <w:t>20</w:t>
      </w:r>
      <w:r w:rsidRPr="0032360E">
        <w:rPr>
          <w:rFonts w:ascii="Book Antiqua" w:eastAsia="Book Antiqua" w:hAnsi="Book Antiqua" w:cs="Book Antiqua"/>
        </w:rPr>
        <w:t>.</w:t>
      </w:r>
      <w:r w:rsidR="005F1A2D" w:rsidRPr="005F1A2D">
        <w:rPr>
          <w:rFonts w:ascii="Book Antiqua" w:hAnsi="Book Antiqua" w:cs="Book Antiqua"/>
          <w:lang w:eastAsia="zh-CN"/>
        </w:rPr>
        <w:t>2521</w:t>
      </w:r>
    </w:p>
    <w:p w14:paraId="65B0EF2F" w14:textId="77777777" w:rsidR="00A77B3E" w:rsidRDefault="00A77B3E" w:rsidP="00DE6F12">
      <w:pPr>
        <w:spacing w:line="360" w:lineRule="auto"/>
        <w:jc w:val="both"/>
      </w:pPr>
    </w:p>
    <w:p w14:paraId="4FD4D85B" w14:textId="02037DE8" w:rsidR="00A77B3E" w:rsidRDefault="002D3822" w:rsidP="00DE6F12">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Endoscopy is critical to the diagnosis of </w:t>
      </w:r>
      <w:r w:rsidR="00DC4F48">
        <w:rPr>
          <w:rFonts w:ascii="Book Antiqua" w:eastAsia="Book Antiqua" w:hAnsi="Book Antiqua" w:cs="Book Antiqua"/>
          <w:color w:val="000000"/>
        </w:rPr>
        <w:t>inflammatory bowel diseases (IBD)</w:t>
      </w:r>
      <w:r>
        <w:rPr>
          <w:rFonts w:ascii="Book Antiqua" w:eastAsia="Book Antiqua" w:hAnsi="Book Antiqua" w:cs="Book Antiqua"/>
          <w:color w:val="000000"/>
        </w:rPr>
        <w:t xml:space="preserve"> and is increasingly being used for disease monitoring and management to achieve the therapeutic goal of mucosa healing. In this review, we focus on the utility of endoscopy as a therapeutic objective, in disease monitoring, and in surveillance to detect and prevent neoplasia. We will also discuss the evolving role of endoscopic therapeutic interventions in IBD.</w:t>
      </w:r>
    </w:p>
    <w:p w14:paraId="5E4FD042" w14:textId="71380E3C" w:rsidR="00A77B3E" w:rsidRDefault="00DC4F48" w:rsidP="00DE6F12">
      <w:pPr>
        <w:spacing w:line="360" w:lineRule="auto"/>
        <w:jc w:val="both"/>
      </w:pPr>
      <w:r>
        <w:br w:type="page"/>
      </w:r>
      <w:r w:rsidR="002D3822">
        <w:rPr>
          <w:rFonts w:ascii="Book Antiqua" w:eastAsia="Book Antiqua" w:hAnsi="Book Antiqua" w:cs="Book Antiqua"/>
          <w:b/>
          <w:caps/>
          <w:color w:val="000000"/>
          <w:u w:val="single"/>
        </w:rPr>
        <w:t>INTRODUCTION</w:t>
      </w:r>
    </w:p>
    <w:p w14:paraId="36F54AF8" w14:textId="74E55F68" w:rsidR="00A77B3E" w:rsidRDefault="002D3822" w:rsidP="00DE6F12">
      <w:pPr>
        <w:spacing w:line="360" w:lineRule="auto"/>
        <w:jc w:val="both"/>
      </w:pPr>
      <w:r>
        <w:rPr>
          <w:rFonts w:ascii="Book Antiqua" w:eastAsia="Book Antiqua" w:hAnsi="Book Antiqua" w:cs="Book Antiqua"/>
          <w:color w:val="000000"/>
        </w:rPr>
        <w:t>Inflammatory bowel diseases (IBD), including ulcerative colitis (UC) and Crohn's disease (CD) are immune-mediated inflammatory diseases that primarily affect the gastrointestinal tract with periods of activity and remission</w:t>
      </w:r>
      <w:r>
        <w:rPr>
          <w:rFonts w:ascii="Book Antiqua" w:eastAsia="Book Antiqua" w:hAnsi="Book Antiqua" w:cs="Book Antiqua"/>
          <w:color w:val="000000"/>
          <w:vertAlign w:val="superscript"/>
        </w:rPr>
        <w:t>[1,2]</w:t>
      </w:r>
      <w:r>
        <w:rPr>
          <w:rFonts w:ascii="Book Antiqua" w:eastAsia="Book Antiqua" w:hAnsi="Book Antiqua" w:cs="Book Antiqua"/>
          <w:color w:val="000000"/>
        </w:rPr>
        <w:t>. The diagnosis of IBD requires endoscopic and histological evaluation of the intestinal mucosa, combined with the proper clinical presentation and setting</w:t>
      </w:r>
      <w:r>
        <w:rPr>
          <w:rFonts w:ascii="Book Antiqua" w:eastAsia="Book Antiqua" w:hAnsi="Book Antiqua" w:cs="Book Antiqua"/>
          <w:color w:val="000000"/>
          <w:vertAlign w:val="superscript"/>
        </w:rPr>
        <w:t>[3]</w:t>
      </w:r>
      <w:r>
        <w:rPr>
          <w:rFonts w:ascii="Book Antiqua" w:eastAsia="Book Antiqua" w:hAnsi="Book Antiqua" w:cs="Book Antiqua"/>
          <w:color w:val="000000"/>
        </w:rPr>
        <w:t>. Endoscopy allows us to differentiate CD from UC and define its severity by visualization of the colonic mucosa, its vascular pattern, mucosal lesions, as well as patterns locations of inflammation including assessment of involvement of the terminal ileum and perianal region</w:t>
      </w:r>
      <w:r>
        <w:rPr>
          <w:rFonts w:ascii="Book Antiqua" w:eastAsia="Book Antiqua" w:hAnsi="Book Antiqua" w:cs="Book Antiqua"/>
          <w:color w:val="000000"/>
          <w:vertAlign w:val="superscript"/>
        </w:rPr>
        <w:t>[4]</w:t>
      </w:r>
      <w:r>
        <w:rPr>
          <w:rFonts w:ascii="Book Antiqua" w:eastAsia="Book Antiqua" w:hAnsi="Book Antiqua" w:cs="Book Antiqua"/>
          <w:color w:val="000000"/>
        </w:rPr>
        <w:t>.</w:t>
      </w:r>
    </w:p>
    <w:p w14:paraId="333CC067" w14:textId="3CAE0E94" w:rsidR="00DC4F48" w:rsidRDefault="002D3822" w:rsidP="00DE6F12">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In the absence of effective treatment, intestinal inflammation is often progressive and cumulative, leading to complications such as strictures, fistulas that require surgery, and in the long term, the risk of dysplasia or colorectal cancer (CRC)</w:t>
      </w:r>
      <w:r>
        <w:rPr>
          <w:rFonts w:ascii="Book Antiqua" w:eastAsia="Book Antiqua" w:hAnsi="Book Antiqua" w:cs="Book Antiqua"/>
          <w:color w:val="000000"/>
          <w:vertAlign w:val="superscript"/>
        </w:rPr>
        <w:t>[5]</w:t>
      </w:r>
      <w:r>
        <w:rPr>
          <w:rFonts w:ascii="Book Antiqua" w:eastAsia="Book Antiqua" w:hAnsi="Book Antiqua" w:cs="Book Antiqua"/>
          <w:color w:val="000000"/>
        </w:rPr>
        <w:t>. There is also evidence that such cumulative damage may result in mucosal dysfunction, with dysmotility and hypersensitivity</w:t>
      </w:r>
      <w:r>
        <w:rPr>
          <w:rFonts w:ascii="Book Antiqua" w:eastAsia="Book Antiqua" w:hAnsi="Book Antiqua" w:cs="Book Antiqua"/>
          <w:color w:val="000000"/>
          <w:vertAlign w:val="superscript"/>
        </w:rPr>
        <w:t>[6]</w:t>
      </w:r>
      <w:r>
        <w:rPr>
          <w:rFonts w:ascii="Book Antiqua" w:eastAsia="Book Antiqua" w:hAnsi="Book Antiqua" w:cs="Book Antiqua"/>
          <w:color w:val="000000"/>
        </w:rPr>
        <w:t>. Therefore, endoscopic control has become part of the objective treatment pillar of IBD and mucosa healing is a preferred goal of treatment</w:t>
      </w:r>
      <w:r>
        <w:rPr>
          <w:rFonts w:ascii="Book Antiqua" w:eastAsia="Book Antiqua" w:hAnsi="Book Antiqua" w:cs="Book Antiqua"/>
          <w:color w:val="000000"/>
          <w:vertAlign w:val="superscript"/>
        </w:rPr>
        <w:t>[7]</w:t>
      </w:r>
      <w:r>
        <w:rPr>
          <w:rFonts w:ascii="Book Antiqua" w:eastAsia="Book Antiqua" w:hAnsi="Book Antiqua" w:cs="Book Antiqua"/>
          <w:color w:val="000000"/>
        </w:rPr>
        <w:t>.</w:t>
      </w:r>
    </w:p>
    <w:p w14:paraId="7B49E182" w14:textId="7C721177" w:rsidR="00A77B3E" w:rsidRDefault="002D3822" w:rsidP="00DE6F12">
      <w:pPr>
        <w:spacing w:line="360" w:lineRule="auto"/>
        <w:ind w:firstLineChars="100" w:firstLine="240"/>
        <w:jc w:val="both"/>
      </w:pPr>
      <w:r>
        <w:rPr>
          <w:rFonts w:ascii="Book Antiqua" w:eastAsia="Book Antiqua" w:hAnsi="Book Antiqua" w:cs="Book Antiqua"/>
          <w:color w:val="000000"/>
        </w:rPr>
        <w:t>In this review we will focus on the usefulness of endoscopy as a therapeutic objective, in follow-up and surveillance to detect and to prevent the development of dysplasia and CRC, and its evolving utility in interventional therapies</w:t>
      </w:r>
      <w:r w:rsidR="00DC4F48">
        <w:rPr>
          <w:rFonts w:ascii="Book Antiqua" w:eastAsia="Book Antiqua" w:hAnsi="Book Antiqua" w:cs="Book Antiqua"/>
          <w:color w:val="000000"/>
        </w:rPr>
        <w:t>.</w:t>
      </w:r>
    </w:p>
    <w:p w14:paraId="5C5D3B20" w14:textId="77777777" w:rsidR="00A77B3E" w:rsidRDefault="00A77B3E" w:rsidP="00DE6F12">
      <w:pPr>
        <w:spacing w:line="360" w:lineRule="auto"/>
        <w:jc w:val="both"/>
      </w:pPr>
    </w:p>
    <w:p w14:paraId="7FB2210C" w14:textId="7FFF26C7" w:rsidR="00A77B3E" w:rsidRDefault="002D3822" w:rsidP="00DE6F12">
      <w:pPr>
        <w:spacing w:line="360" w:lineRule="auto"/>
        <w:jc w:val="both"/>
      </w:pPr>
      <w:r>
        <w:rPr>
          <w:rFonts w:ascii="Book Antiqua" w:eastAsia="Book Antiqua" w:hAnsi="Book Antiqua" w:cs="Book Antiqua"/>
          <w:b/>
          <w:caps/>
          <w:color w:val="000000"/>
          <w:u w:val="single"/>
        </w:rPr>
        <w:t>Endoscopy to Assess Disease Activity</w:t>
      </w:r>
    </w:p>
    <w:p w14:paraId="60B928CC" w14:textId="3158926F" w:rsidR="00DC4F48" w:rsidRDefault="002D3822" w:rsidP="00DE6F1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Mucosal healing is recommended as a therapeutic objective in patients with IBD. This objective is associated with a better prognosis, lower rates of hospitalizations, lower risk of relapse and the need for surgery</w:t>
      </w:r>
      <w:r>
        <w:rPr>
          <w:rFonts w:ascii="Book Antiqua" w:eastAsia="Book Antiqua" w:hAnsi="Book Antiqua" w:cs="Book Antiqua"/>
          <w:color w:val="000000"/>
          <w:vertAlign w:val="superscript"/>
        </w:rPr>
        <w:t>[8,9]</w:t>
      </w:r>
      <w:r>
        <w:rPr>
          <w:rFonts w:ascii="Book Antiqua" w:eastAsia="Book Antiqua" w:hAnsi="Book Antiqua" w:cs="Book Antiqua"/>
          <w:color w:val="000000"/>
        </w:rPr>
        <w:t>. After the STRIDE consensus (selecting therapeutic targets in inflammatory bowel disease), it is recommended to evaluate the colonic mucosa looking for the resolution of ulcers and the friability of the mucosa 6-9 mo after starting therapy in CD and 3-6 mo in UC</w:t>
      </w:r>
      <w:r>
        <w:rPr>
          <w:rFonts w:ascii="Book Antiqua" w:eastAsia="Book Antiqua" w:hAnsi="Book Antiqua" w:cs="Book Antiqua"/>
          <w:color w:val="000000"/>
          <w:vertAlign w:val="superscript"/>
        </w:rPr>
        <w:t>[10]</w:t>
      </w:r>
      <w:r>
        <w:rPr>
          <w:rFonts w:ascii="Book Antiqua" w:eastAsia="Book Antiqua" w:hAnsi="Book Antiqua" w:cs="Book Antiqua"/>
          <w:color w:val="000000"/>
        </w:rPr>
        <w:t>.</w:t>
      </w:r>
    </w:p>
    <w:p w14:paraId="2F9FF013" w14:textId="7B3A27DF" w:rsidR="00DC4F48" w:rsidRDefault="002D3822" w:rsidP="00DE6F12">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Other reviews have supported this approach as well</w:t>
      </w:r>
      <w:r>
        <w:rPr>
          <w:rFonts w:ascii="Book Antiqua" w:eastAsia="Book Antiqua" w:hAnsi="Book Antiqua" w:cs="Book Antiqua"/>
          <w:color w:val="000000"/>
          <w:vertAlign w:val="superscript"/>
        </w:rPr>
        <w:t>[11,12]</w:t>
      </w:r>
      <w:r>
        <w:rPr>
          <w:rFonts w:ascii="Book Antiqua" w:eastAsia="Book Antiqua" w:hAnsi="Book Antiqua" w:cs="Book Antiqua"/>
          <w:color w:val="000000"/>
        </w:rPr>
        <w:t>.</w:t>
      </w:r>
      <w:r w:rsidR="00DC4F48">
        <w:rPr>
          <w:rFonts w:ascii="Book Antiqua" w:eastAsia="Book Antiqua" w:hAnsi="Book Antiqua" w:cs="Book Antiqua"/>
          <w:color w:val="000000"/>
        </w:rPr>
        <w:t xml:space="preserve"> </w:t>
      </w:r>
      <w:r>
        <w:rPr>
          <w:rFonts w:ascii="Book Antiqua" w:eastAsia="Book Antiqua" w:hAnsi="Book Antiqua" w:cs="Book Antiqua"/>
          <w:color w:val="000000"/>
        </w:rPr>
        <w:t xml:space="preserve">It has been suggested that endoscopic remission in UC should be defined as a Ulcerative Colitis Endoscopic Index of Severity (UCEIS) of 0 or a Mayo Endoscopic Score (MES) of 0 or 1. However, in follow-up studies, a higher percentage/risk of relapse has been observed in patients who had reached a MES 1 index compared to the group with a MES 0 index (36.6% </w:t>
      </w:r>
      <w:r>
        <w:rPr>
          <w:rFonts w:ascii="Book Antiqua" w:eastAsia="Book Antiqua" w:hAnsi="Book Antiqua" w:cs="Book Antiqua"/>
          <w:i/>
          <w:iCs/>
          <w:color w:val="000000"/>
        </w:rPr>
        <w:t>vs</w:t>
      </w:r>
      <w:r>
        <w:rPr>
          <w:rFonts w:ascii="Book Antiqua" w:eastAsia="Book Antiqua" w:hAnsi="Book Antiqua" w:cs="Book Antiqua"/>
          <w:color w:val="000000"/>
        </w:rPr>
        <w:t xml:space="preserve"> 9.4% with </w:t>
      </w:r>
      <w:r w:rsidR="00DC4F48" w:rsidRPr="00DC4F48">
        <w:rPr>
          <w:rFonts w:ascii="Book Antiqua" w:eastAsia="Book Antiqua" w:hAnsi="Book Antiqua" w:cs="Book Antiqua"/>
          <w:i/>
          <w:iCs/>
          <w:color w:val="000000"/>
        </w:rPr>
        <w:t>P</w:t>
      </w:r>
      <w:r>
        <w:rPr>
          <w:rFonts w:ascii="Book Antiqua" w:eastAsia="Book Antiqua" w:hAnsi="Book Antiqua" w:cs="Book Antiqua"/>
          <w:color w:val="000000"/>
        </w:rPr>
        <w:t xml:space="preserve"> &lt; 0.001)</w:t>
      </w:r>
      <w:r>
        <w:rPr>
          <w:rFonts w:ascii="Book Antiqua" w:eastAsia="Book Antiqua" w:hAnsi="Book Antiqua" w:cs="Book Antiqua"/>
          <w:color w:val="000000"/>
          <w:vertAlign w:val="superscript"/>
        </w:rPr>
        <w:t>[13]</w:t>
      </w:r>
      <w:r>
        <w:rPr>
          <w:rFonts w:ascii="Book Antiqua" w:eastAsia="Book Antiqua" w:hAnsi="Book Antiqua" w:cs="Book Antiqua"/>
          <w:color w:val="000000"/>
        </w:rPr>
        <w:t>.</w:t>
      </w:r>
      <w:r w:rsidR="00DC4F48">
        <w:rPr>
          <w:rFonts w:ascii="Book Antiqua" w:eastAsia="Book Antiqua" w:hAnsi="Book Antiqua" w:cs="Book Antiqua"/>
          <w:color w:val="000000"/>
        </w:rPr>
        <w:t xml:space="preserve"> </w:t>
      </w:r>
      <w:r>
        <w:rPr>
          <w:rFonts w:ascii="Book Antiqua" w:eastAsia="Book Antiqua" w:hAnsi="Book Antiqua" w:cs="Book Antiqua"/>
          <w:color w:val="000000"/>
        </w:rPr>
        <w:t>On the other hand, an endoscopic response has been defined as a decrease in ≥</w:t>
      </w:r>
      <w:r w:rsidR="00DC4F48">
        <w:rPr>
          <w:rFonts w:ascii="Book Antiqua" w:eastAsia="Book Antiqua" w:hAnsi="Book Antiqua" w:cs="Book Antiqua"/>
          <w:color w:val="000000"/>
        </w:rPr>
        <w:t xml:space="preserve"> </w:t>
      </w:r>
      <w:r>
        <w:rPr>
          <w:rFonts w:ascii="Book Antiqua" w:eastAsia="Book Antiqua" w:hAnsi="Book Antiqua" w:cs="Book Antiqua"/>
          <w:color w:val="000000"/>
        </w:rPr>
        <w:t>1 degrees of the MES or a decrease in ≥</w:t>
      </w:r>
      <w:r w:rsidR="00DC4F48">
        <w:rPr>
          <w:rFonts w:ascii="Book Antiqua" w:eastAsia="Book Antiqua" w:hAnsi="Book Antiqua" w:cs="Book Antiqua"/>
          <w:color w:val="000000"/>
        </w:rPr>
        <w:t xml:space="preserve"> </w:t>
      </w:r>
      <w:r>
        <w:rPr>
          <w:rFonts w:ascii="Book Antiqua" w:eastAsia="Book Antiqua" w:hAnsi="Book Antiqua" w:cs="Book Antiqua"/>
          <w:color w:val="000000"/>
        </w:rPr>
        <w:t>2 points of the UCEIS</w:t>
      </w:r>
      <w:r>
        <w:rPr>
          <w:rFonts w:ascii="Book Antiqua" w:eastAsia="Book Antiqua" w:hAnsi="Book Antiqua" w:cs="Book Antiqua"/>
          <w:color w:val="000000"/>
          <w:vertAlign w:val="superscript"/>
        </w:rPr>
        <w:t>[14,15]</w:t>
      </w:r>
      <w:r>
        <w:rPr>
          <w:rFonts w:ascii="Book Antiqua" w:eastAsia="Book Antiqua" w:hAnsi="Book Antiqua" w:cs="Book Antiqua"/>
          <w:color w:val="000000"/>
        </w:rPr>
        <w:t>.</w:t>
      </w:r>
    </w:p>
    <w:p w14:paraId="6FAAD52C" w14:textId="52B9A4F9" w:rsidR="00A77B3E" w:rsidRDefault="002D3822" w:rsidP="00DE6F12">
      <w:pPr>
        <w:spacing w:line="360" w:lineRule="auto"/>
        <w:ind w:firstLineChars="100" w:firstLine="240"/>
        <w:jc w:val="both"/>
      </w:pPr>
      <w:r>
        <w:rPr>
          <w:rFonts w:ascii="Book Antiqua" w:eastAsia="Book Antiqua" w:hAnsi="Book Antiqua" w:cs="Book Antiqua"/>
          <w:color w:val="000000"/>
        </w:rPr>
        <w:t>The Crohn's Disease Endoscopic Index of Severity (CDEIS) and Simple Endoscopic Score for Crohn's Disease (SES-CD) are validated and reproducible indices in CD</w:t>
      </w:r>
      <w:r>
        <w:rPr>
          <w:rFonts w:ascii="Book Antiqua" w:eastAsia="Book Antiqua" w:hAnsi="Book Antiqua" w:cs="Book Antiqua"/>
          <w:color w:val="000000"/>
          <w:vertAlign w:val="superscript"/>
        </w:rPr>
        <w:t>[16]</w:t>
      </w:r>
      <w:r>
        <w:rPr>
          <w:rFonts w:ascii="Book Antiqua" w:eastAsia="Book Antiqua" w:hAnsi="Book Antiqua" w:cs="Book Antiqua"/>
          <w:color w:val="000000"/>
        </w:rPr>
        <w:t>. However, remission thresholds have been arbitrarily determined considering endoscopic remission with a SES-CD 0-2 index and after surgery a Rutgeerts i0</w:t>
      </w:r>
      <w:r w:rsidR="00DC4F48">
        <w:rPr>
          <w:rFonts w:ascii="Book Antiqua" w:eastAsia="Book Antiqua" w:hAnsi="Book Antiqua" w:cs="Book Antiqua"/>
          <w:color w:val="000000"/>
        </w:rPr>
        <w:t>-</w:t>
      </w:r>
      <w:r>
        <w:rPr>
          <w:rFonts w:ascii="Book Antiqua" w:eastAsia="Book Antiqua" w:hAnsi="Book Antiqua" w:cs="Book Antiqua"/>
          <w:color w:val="000000"/>
        </w:rPr>
        <w:t>i1</w:t>
      </w:r>
      <w:r>
        <w:rPr>
          <w:rFonts w:ascii="Book Antiqua" w:eastAsia="Book Antiqua" w:hAnsi="Book Antiqua" w:cs="Book Antiqua"/>
          <w:color w:val="000000"/>
          <w:vertAlign w:val="superscript"/>
        </w:rPr>
        <w:t>[17,18]</w:t>
      </w:r>
      <w:r>
        <w:rPr>
          <w:rFonts w:ascii="Book Antiqua" w:eastAsia="Book Antiqua" w:hAnsi="Book Antiqua" w:cs="Book Antiqua"/>
          <w:color w:val="000000"/>
        </w:rPr>
        <w:t>. Endoscopic response is defined as a decrease greater than 50% in SES-CD or CDEIS</w:t>
      </w:r>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w:t>
      </w:r>
      <w:r w:rsidR="00DC4F48">
        <w:rPr>
          <w:rFonts w:ascii="Book Antiqua" w:eastAsia="Book Antiqua" w:hAnsi="Book Antiqua" w:cs="Book Antiqua"/>
          <w:color w:val="000000"/>
        </w:rPr>
        <w:t>(</w:t>
      </w:r>
      <w:r>
        <w:rPr>
          <w:rFonts w:ascii="Book Antiqua" w:eastAsia="Book Antiqua" w:hAnsi="Book Antiqua" w:cs="Book Antiqua"/>
          <w:color w:val="000000"/>
        </w:rPr>
        <w:t>Figure 1</w:t>
      </w:r>
      <w:r w:rsidR="00DC4F48">
        <w:rPr>
          <w:rFonts w:ascii="Book Antiqua" w:eastAsia="Book Antiqua" w:hAnsi="Book Antiqua" w:cs="Book Antiqua"/>
          <w:color w:val="000000"/>
        </w:rPr>
        <w:t>)</w:t>
      </w:r>
      <w:r>
        <w:rPr>
          <w:rFonts w:ascii="Book Antiqua" w:eastAsia="Book Antiqua" w:hAnsi="Book Antiqua" w:cs="Book Antiqua"/>
          <w:color w:val="000000"/>
        </w:rPr>
        <w:t>. STRIDE-II maintained endoscopic criteria for UC and CD</w:t>
      </w:r>
      <w:r>
        <w:rPr>
          <w:rFonts w:ascii="Book Antiqua" w:eastAsia="Book Antiqua" w:hAnsi="Book Antiqua" w:cs="Book Antiqua"/>
          <w:color w:val="000000"/>
          <w:vertAlign w:val="superscript"/>
        </w:rPr>
        <w:t>[20]</w:t>
      </w:r>
      <w:r>
        <w:rPr>
          <w:rFonts w:ascii="Book Antiqua" w:eastAsia="Book Antiqua" w:hAnsi="Book Antiqua" w:cs="Book Antiqua"/>
          <w:color w:val="000000"/>
        </w:rPr>
        <w:t>.</w:t>
      </w:r>
    </w:p>
    <w:p w14:paraId="07C0F718" w14:textId="7B4A4AB5" w:rsidR="00A77B3E" w:rsidRDefault="002D3822" w:rsidP="00DE6F12">
      <w:pPr>
        <w:spacing w:line="360" w:lineRule="auto"/>
        <w:ind w:firstLineChars="100" w:firstLine="240"/>
        <w:jc w:val="both"/>
      </w:pPr>
      <w:r>
        <w:rPr>
          <w:rFonts w:ascii="Book Antiqua" w:eastAsia="Book Antiqua" w:hAnsi="Book Antiqua" w:cs="Book Antiqua"/>
          <w:color w:val="000000"/>
        </w:rPr>
        <w:t>One of the most important postoperative endoscopy studies was the multicenter POCER (postoperative Crohn's endoscopic recurrence), which included 17 centers in Australia and New Zealand</w:t>
      </w:r>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Authors recommend performing a control endoscopy six months after surgery, regardless of the risk factors for recurrence, since approximately 60% may recur (80% if they have high risk factors </w:t>
      </w:r>
      <w:r>
        <w:rPr>
          <w:rFonts w:ascii="Book Antiqua" w:eastAsia="Book Antiqua" w:hAnsi="Book Antiqua" w:cs="Book Antiqua"/>
          <w:i/>
          <w:iCs/>
          <w:color w:val="000000"/>
        </w:rPr>
        <w:t>vs</w:t>
      </w:r>
      <w:r>
        <w:rPr>
          <w:rFonts w:ascii="Book Antiqua" w:eastAsia="Book Antiqua" w:hAnsi="Book Antiqua" w:cs="Book Antiqua"/>
          <w:color w:val="000000"/>
        </w:rPr>
        <w:t xml:space="preserve"> 30% in those with low risk). In this control endoscopy the anastomosis and the terminal ileum are to be evaluated and assessed for recurrence. High risk factors for recurrence include the following: disease in those under 30 years of age, a penetrating phenotype, presence of perianal disease or having two or more surgeries</w:t>
      </w:r>
      <w:r>
        <w:rPr>
          <w:rFonts w:ascii="Book Antiqua" w:eastAsia="Book Antiqua" w:hAnsi="Book Antiqua" w:cs="Book Antiqua"/>
          <w:color w:val="000000"/>
          <w:vertAlign w:val="superscript"/>
        </w:rPr>
        <w:t>[22]</w:t>
      </w:r>
      <w:r>
        <w:rPr>
          <w:rFonts w:ascii="Book Antiqua" w:eastAsia="Book Antiqua" w:hAnsi="Book Antiqua" w:cs="Book Antiqua"/>
          <w:color w:val="000000"/>
        </w:rPr>
        <w:t>. The therapeutic objectives in endoscopy are fundamental to avoid future complications of the disease, and are summarized in Figure 2.</w:t>
      </w:r>
    </w:p>
    <w:p w14:paraId="10D3FBCF" w14:textId="77777777" w:rsidR="00A77B3E" w:rsidRDefault="00A77B3E" w:rsidP="00DE6F12">
      <w:pPr>
        <w:spacing w:line="360" w:lineRule="auto"/>
        <w:jc w:val="both"/>
      </w:pPr>
    </w:p>
    <w:p w14:paraId="2F6FEE7F" w14:textId="4AD054AE" w:rsidR="00A77B3E" w:rsidRDefault="002D3822" w:rsidP="00DE6F12">
      <w:pPr>
        <w:spacing w:line="360" w:lineRule="auto"/>
        <w:jc w:val="both"/>
      </w:pPr>
      <w:r>
        <w:rPr>
          <w:rFonts w:ascii="Book Antiqua" w:eastAsia="Book Antiqua" w:hAnsi="Book Antiqua" w:cs="Book Antiqua"/>
          <w:b/>
          <w:caps/>
          <w:color w:val="000000"/>
          <w:u w:val="single"/>
        </w:rPr>
        <w:t>Endoscopy for Screening and Surveillance for Colorectal Neoplasia</w:t>
      </w:r>
    </w:p>
    <w:p w14:paraId="2605AE26" w14:textId="5BBB55DA" w:rsidR="00DC4F48" w:rsidRDefault="002D3822" w:rsidP="00DE6F1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CRC is the third most frequent neoplasm in the general population, with an incidence of 1.8 million new cases per year, being the second cause of cancer mortality in the world</w:t>
      </w:r>
      <w:r>
        <w:rPr>
          <w:rFonts w:ascii="Book Antiqua" w:eastAsia="Book Antiqua" w:hAnsi="Book Antiqua" w:cs="Book Antiqua"/>
          <w:color w:val="000000"/>
          <w:vertAlign w:val="superscript"/>
        </w:rPr>
        <w:t>[23]</w:t>
      </w:r>
      <w:r>
        <w:rPr>
          <w:rFonts w:ascii="Book Antiqua" w:eastAsia="Book Antiqua" w:hAnsi="Book Antiqua" w:cs="Book Antiqua"/>
          <w:color w:val="000000"/>
        </w:rPr>
        <w:t>. IBD presents a higher risk of CRC, and traditionally it was considered that patients with IBD had a 2% increase in CRC risk at 10 years of disease, 8% at 20 years and 18% after 30 years of evolution</w:t>
      </w:r>
      <w:r>
        <w:rPr>
          <w:rFonts w:ascii="Book Antiqua" w:eastAsia="Book Antiqua" w:hAnsi="Book Antiqua" w:cs="Book Antiqua"/>
          <w:color w:val="000000"/>
          <w:vertAlign w:val="superscript"/>
        </w:rPr>
        <w:t>[24]</w:t>
      </w:r>
      <w:r>
        <w:rPr>
          <w:rFonts w:ascii="Book Antiqua" w:eastAsia="Book Antiqua" w:hAnsi="Book Antiqua" w:cs="Book Antiqua"/>
          <w:color w:val="000000"/>
        </w:rPr>
        <w:t>. However, the estimated risk of neoplasia in recent years has been lower, possibly due to more effective therapies</w:t>
      </w:r>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as well as better prevention strategies. A subsequent meta-analysis identified a 2.4-fold risk of CRC in UC patients, with a higher risk in male patients, younger age at diagnosis and extensive disease. Cumulative absolute risk of developing CRC was 0.4 % at 10 years and 1.1</w:t>
      </w:r>
      <w:r w:rsidR="00DC4F48">
        <w:rPr>
          <w:rFonts w:ascii="Book Antiqua" w:eastAsia="Book Antiqua" w:hAnsi="Book Antiqua" w:cs="Book Antiqua"/>
          <w:color w:val="000000"/>
        </w:rPr>
        <w:t>%</w:t>
      </w:r>
      <w:r>
        <w:rPr>
          <w:rFonts w:ascii="Book Antiqua" w:eastAsia="Book Antiqua" w:hAnsi="Book Antiqua" w:cs="Book Antiqua"/>
          <w:color w:val="000000"/>
        </w:rPr>
        <w:t>- 5.3% at 20 years</w:t>
      </w:r>
      <w:r>
        <w:rPr>
          <w:rFonts w:ascii="Book Antiqua" w:eastAsia="Book Antiqua" w:hAnsi="Book Antiqua" w:cs="Book Antiqua"/>
          <w:color w:val="000000"/>
          <w:vertAlign w:val="superscript"/>
        </w:rPr>
        <w:t>[26]</w:t>
      </w:r>
      <w:r>
        <w:rPr>
          <w:rFonts w:ascii="Book Antiqua" w:eastAsia="Book Antiqua" w:hAnsi="Book Antiqua" w:cs="Book Antiqua"/>
          <w:color w:val="000000"/>
        </w:rPr>
        <w:t>.</w:t>
      </w:r>
    </w:p>
    <w:p w14:paraId="741D3DBF" w14:textId="40BBED78" w:rsidR="00A77B3E" w:rsidRDefault="002D3822" w:rsidP="00DE6F12">
      <w:pPr>
        <w:spacing w:line="360" w:lineRule="auto"/>
        <w:ind w:firstLineChars="100" w:firstLine="240"/>
        <w:jc w:val="both"/>
      </w:pPr>
      <w:r>
        <w:rPr>
          <w:rFonts w:ascii="Book Antiqua" w:eastAsia="Book Antiqua" w:hAnsi="Book Antiqua" w:cs="Book Antiqua"/>
          <w:color w:val="000000"/>
        </w:rPr>
        <w:t>Other risk factors to consider are a family history of CRC or its association with primary sclerosing cholangitis</w:t>
      </w:r>
      <w:r>
        <w:rPr>
          <w:rFonts w:ascii="Book Antiqua" w:eastAsia="Book Antiqua" w:hAnsi="Book Antiqua" w:cs="Book Antiqua"/>
          <w:color w:val="000000"/>
          <w:vertAlign w:val="superscript"/>
        </w:rPr>
        <w:t>[27]</w:t>
      </w:r>
      <w:r>
        <w:rPr>
          <w:rFonts w:ascii="Book Antiqua" w:eastAsia="Book Antiqua" w:hAnsi="Book Antiqua" w:cs="Book Antiqua"/>
          <w:color w:val="000000"/>
        </w:rPr>
        <w:t>. Studies in CD have identified risk factors similar to those in UC, including diagnosis at an early age, prolonged disease, distal location, and penetrating phenotype</w:t>
      </w:r>
      <w:r>
        <w:rPr>
          <w:rFonts w:ascii="Book Antiqua" w:eastAsia="Book Antiqua" w:hAnsi="Book Antiqua" w:cs="Book Antiqua"/>
          <w:color w:val="000000"/>
          <w:vertAlign w:val="superscript"/>
        </w:rPr>
        <w:t>[28]</w:t>
      </w:r>
      <w:r>
        <w:rPr>
          <w:rFonts w:ascii="Book Antiqua" w:eastAsia="Book Antiqua" w:hAnsi="Book Antiqua" w:cs="Book Antiqua"/>
          <w:color w:val="000000"/>
        </w:rPr>
        <w:t>. Perianal fistulas have also been identified to have a risk of neoplastic transformation</w:t>
      </w:r>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(Table 1)</w:t>
      </w:r>
      <w:r w:rsidR="00DC4F48">
        <w:rPr>
          <w:rFonts w:ascii="Book Antiqua" w:eastAsia="Book Antiqua" w:hAnsi="Book Antiqua" w:cs="Book Antiqua"/>
          <w:color w:val="000000"/>
        </w:rPr>
        <w:t>.</w:t>
      </w:r>
    </w:p>
    <w:p w14:paraId="3734B3A2" w14:textId="50D891C7" w:rsidR="00DC4F48" w:rsidRDefault="002D3822" w:rsidP="00DE6F12">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A screening endoscopic evaluation for dysplasia or colon cancer has been recommended 8 years after diagnosis in UC patients with an extension beyond the rectum or in CD patients with an extension over 30% of the colon or that compromises more than one segment</w:t>
      </w:r>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In 2017, a Cochrane systematic review reported that those patients who were in endoscopic surveillance had a lower mortality associated with CRC compared to those who were not followed up </w:t>
      </w:r>
      <w:r w:rsidR="00DC4F48">
        <w:rPr>
          <w:rFonts w:ascii="Book Antiqua" w:eastAsia="Book Antiqua" w:hAnsi="Book Antiqua" w:cs="Book Antiqua"/>
          <w:color w:val="000000"/>
        </w:rPr>
        <w:t>[</w:t>
      </w:r>
      <w:r>
        <w:rPr>
          <w:rFonts w:ascii="Book Antiqua" w:eastAsia="Book Antiqua" w:hAnsi="Book Antiqua" w:cs="Book Antiqua"/>
          <w:color w:val="000000"/>
        </w:rPr>
        <w:t xml:space="preserve">8.5% </w:t>
      </w:r>
      <w:r w:rsidRPr="00DC4F48">
        <w:rPr>
          <w:rFonts w:ascii="Book Antiqua" w:eastAsia="Book Antiqua" w:hAnsi="Book Antiqua" w:cs="Book Antiqua"/>
          <w:i/>
          <w:iCs/>
          <w:color w:val="000000"/>
        </w:rPr>
        <w:t>vs</w:t>
      </w:r>
      <w:r w:rsidR="00DC4F48">
        <w:rPr>
          <w:rFonts w:ascii="Book Antiqua" w:eastAsia="Book Antiqua" w:hAnsi="Book Antiqua" w:cs="Book Antiqua"/>
          <w:color w:val="000000"/>
        </w:rPr>
        <w:t xml:space="preserve"> </w:t>
      </w:r>
      <w:r>
        <w:rPr>
          <w:rFonts w:ascii="Book Antiqua" w:eastAsia="Book Antiqua" w:hAnsi="Book Antiqua" w:cs="Book Antiqua"/>
          <w:color w:val="000000"/>
        </w:rPr>
        <w:t xml:space="preserve">22.3%, respectively; </w:t>
      </w:r>
      <w:bookmarkStart w:id="0" w:name="_Hlk50367577"/>
      <w:r w:rsidR="00DC4F48" w:rsidRPr="00616F4C">
        <w:rPr>
          <w:rFonts w:ascii="Book Antiqua" w:eastAsia="Malgun Gothic" w:hAnsi="Book Antiqua"/>
        </w:rPr>
        <w:t>odds ratio</w:t>
      </w:r>
      <w:bookmarkEnd w:id="0"/>
      <w:r w:rsidR="00DC4F48">
        <w:rPr>
          <w:rFonts w:ascii="Book Antiqua" w:eastAsia="Book Antiqua" w:hAnsi="Book Antiqua" w:cs="Book Antiqua"/>
          <w:color w:val="000000"/>
        </w:rPr>
        <w:t xml:space="preserve"> (</w:t>
      </w:r>
      <w:r>
        <w:rPr>
          <w:rFonts w:ascii="Book Antiqua" w:eastAsia="Book Antiqua" w:hAnsi="Book Antiqua" w:cs="Book Antiqua"/>
          <w:color w:val="000000"/>
        </w:rPr>
        <w:t>OR</w:t>
      </w:r>
      <w:r w:rsidR="00DC4F48">
        <w:rPr>
          <w:rFonts w:ascii="Book Antiqua" w:eastAsia="Book Antiqua" w:hAnsi="Book Antiqua" w:cs="Book Antiqua"/>
          <w:color w:val="000000"/>
        </w:rPr>
        <w:t>)</w:t>
      </w:r>
      <w:r>
        <w:rPr>
          <w:rFonts w:ascii="Book Antiqua" w:eastAsia="Book Antiqua" w:hAnsi="Book Antiqua" w:cs="Book Antiqua"/>
          <w:color w:val="000000"/>
        </w:rPr>
        <w:t xml:space="preserve"> 0.36, 95%</w:t>
      </w:r>
      <w:bookmarkStart w:id="1" w:name="_Hlk58003882"/>
      <w:r w:rsidR="00DC4F48" w:rsidRPr="00DC4F48">
        <w:rPr>
          <w:rFonts w:ascii="Book Antiqua" w:eastAsia="Malgun Gothic" w:hAnsi="Book Antiqua"/>
        </w:rPr>
        <w:t xml:space="preserve"> </w:t>
      </w:r>
      <w:r w:rsidR="00DC4F48" w:rsidRPr="00616F4C">
        <w:rPr>
          <w:rFonts w:ascii="Book Antiqua" w:eastAsia="Malgun Gothic" w:hAnsi="Book Antiqua"/>
        </w:rPr>
        <w:t>confidence interval</w:t>
      </w:r>
      <w:bookmarkEnd w:id="1"/>
      <w:r w:rsidR="00DC4F48">
        <w:rPr>
          <w:rFonts w:ascii="Book Antiqua" w:eastAsia="Book Antiqua" w:hAnsi="Book Antiqua" w:cs="Book Antiqua"/>
          <w:color w:val="000000"/>
        </w:rPr>
        <w:t xml:space="preserve"> (</w:t>
      </w:r>
      <w:r>
        <w:rPr>
          <w:rFonts w:ascii="Book Antiqua" w:eastAsia="Book Antiqua" w:hAnsi="Book Antiqua" w:cs="Book Antiqua"/>
          <w:color w:val="000000"/>
        </w:rPr>
        <w:t>CI</w:t>
      </w:r>
      <w:r w:rsidR="00DC4F48">
        <w:rPr>
          <w:rFonts w:ascii="Book Antiqua" w:eastAsia="Book Antiqua" w:hAnsi="Book Antiqua" w:cs="Book Antiqua"/>
          <w:color w:val="000000"/>
        </w:rPr>
        <w:t>):</w:t>
      </w:r>
      <w:r>
        <w:rPr>
          <w:rFonts w:ascii="Book Antiqua" w:eastAsia="Book Antiqua" w:hAnsi="Book Antiqua" w:cs="Book Antiqua"/>
          <w:color w:val="000000"/>
        </w:rPr>
        <w:t xml:space="preserve"> 0.19-0.69</w:t>
      </w:r>
      <w:r w:rsidR="00DC4F48">
        <w:rPr>
          <w:rFonts w:ascii="Book Antiqua" w:eastAsia="Book Antiqua" w:hAnsi="Book Antiqua" w:cs="Book Antiqua"/>
          <w:color w:val="000000"/>
        </w:rPr>
        <w:t>]</w:t>
      </w:r>
      <w:r>
        <w:rPr>
          <w:rFonts w:ascii="Book Antiqua" w:eastAsia="Book Antiqua" w:hAnsi="Book Antiqua" w:cs="Book Antiqua"/>
          <w:color w:val="000000"/>
          <w:vertAlign w:val="superscript"/>
        </w:rPr>
        <w:t>[31]</w:t>
      </w:r>
      <w:r>
        <w:rPr>
          <w:rFonts w:ascii="Book Antiqua" w:eastAsia="Book Antiqua" w:hAnsi="Book Antiqua" w:cs="Book Antiqua"/>
          <w:color w:val="000000"/>
        </w:rPr>
        <w:t>.</w:t>
      </w:r>
    </w:p>
    <w:p w14:paraId="20D6D0C2" w14:textId="7F57D43B" w:rsidR="00A77B3E" w:rsidRDefault="002D3822" w:rsidP="00DE6F12">
      <w:pPr>
        <w:spacing w:line="360" w:lineRule="auto"/>
        <w:ind w:firstLineChars="100" w:firstLine="240"/>
        <w:jc w:val="both"/>
      </w:pPr>
      <w:r>
        <w:rPr>
          <w:rFonts w:ascii="Book Antiqua" w:eastAsia="Book Antiqua" w:hAnsi="Book Antiqua" w:cs="Book Antiqua"/>
          <w:color w:val="000000"/>
        </w:rPr>
        <w:t>Endoscopic surveillance requires optimal control of the disease, including mucosal healing. This will allow for early recognition of neoplasia</w:t>
      </w:r>
      <w:r>
        <w:rPr>
          <w:rFonts w:ascii="Book Antiqua" w:eastAsia="Book Antiqua" w:hAnsi="Book Antiqua" w:cs="Book Antiqua"/>
          <w:color w:val="000000"/>
          <w:vertAlign w:val="superscript"/>
        </w:rPr>
        <w:t>[3]</w:t>
      </w:r>
      <w:r>
        <w:rPr>
          <w:rFonts w:ascii="Book Antiqua" w:eastAsia="Book Antiqua" w:hAnsi="Book Antiqua" w:cs="Book Antiqua"/>
          <w:color w:val="000000"/>
        </w:rPr>
        <w:t>. It has even been recommended that surveillance should be performed with fecal calprotectin levels under 100 μg/g</w:t>
      </w:r>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to improve visualization. It should not be forgotten that optimal bowel preparation is essential for the detection of lesions</w:t>
      </w:r>
      <w:r>
        <w:rPr>
          <w:rFonts w:ascii="Book Antiqua" w:eastAsia="Book Antiqua" w:hAnsi="Book Antiqua" w:cs="Book Antiqua"/>
          <w:color w:val="000000"/>
          <w:vertAlign w:val="superscript"/>
        </w:rPr>
        <w:t>[33]</w:t>
      </w:r>
      <w:r>
        <w:rPr>
          <w:rFonts w:ascii="Book Antiqua" w:eastAsia="Book Antiqua" w:hAnsi="Book Antiqua" w:cs="Book Antiqua"/>
          <w:color w:val="000000"/>
        </w:rPr>
        <w:t>.</w:t>
      </w:r>
    </w:p>
    <w:p w14:paraId="2D3BC7A0" w14:textId="69C3C957" w:rsidR="00DC4F48" w:rsidRDefault="002D3822" w:rsidP="00DE6F12">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Dysplasia is defined as a neoplastic alteration of the intestinal epithelium that remains restricted within the basement membrane, without invasion of the lamina propria. These lesions can be low (LGD) or high grade (HGD). The distinction between these two depends on the distribution of nuclei within the mucosa. LGD maintains hyperchromatic nuclei located in the basal half of cells, whereas HGD presents nuclear stratification and loss of cell polarity</w:t>
      </w:r>
      <w:r>
        <w:rPr>
          <w:rFonts w:ascii="Book Antiqua" w:eastAsia="Book Antiqua" w:hAnsi="Book Antiqua" w:cs="Book Antiqua"/>
          <w:color w:val="000000"/>
          <w:vertAlign w:val="superscript"/>
        </w:rPr>
        <w:t>[34]</w:t>
      </w:r>
      <w:r>
        <w:rPr>
          <w:rFonts w:ascii="Book Antiqua" w:eastAsia="Book Antiqua" w:hAnsi="Book Antiqua" w:cs="Book Antiqua"/>
          <w:color w:val="000000"/>
        </w:rPr>
        <w:t>.</w:t>
      </w:r>
    </w:p>
    <w:p w14:paraId="6C136C6E" w14:textId="66158476" w:rsidR="00A77B3E" w:rsidRDefault="002D3822" w:rsidP="00DE6F12">
      <w:pPr>
        <w:spacing w:line="360" w:lineRule="auto"/>
        <w:ind w:firstLineChars="100" w:firstLine="240"/>
        <w:jc w:val="both"/>
      </w:pPr>
      <w:r>
        <w:rPr>
          <w:rFonts w:ascii="Book Antiqua" w:eastAsia="Book Antiqua" w:hAnsi="Book Antiqua" w:cs="Book Antiqua"/>
          <w:color w:val="000000"/>
        </w:rPr>
        <w:t>Lesions found can be polypoid or flat, the latter being the most frequent. Flat lesions are associated with higher rate of neoplasia, common in regions that are or have been involved by IBD</w:t>
      </w:r>
      <w:r>
        <w:rPr>
          <w:rFonts w:ascii="Book Antiqua" w:eastAsia="Book Antiqua" w:hAnsi="Book Antiqua" w:cs="Book Antiqua"/>
          <w:color w:val="000000"/>
          <w:vertAlign w:val="superscript"/>
        </w:rPr>
        <w:t>[35]</w:t>
      </w:r>
      <w:r>
        <w:rPr>
          <w:rFonts w:ascii="Book Antiqua" w:eastAsia="Book Antiqua" w:hAnsi="Book Antiqua" w:cs="Book Antiqua"/>
          <w:color w:val="000000"/>
        </w:rPr>
        <w:t>. These lesions tend to be subtle and can be multifocal, requiring meticulous and trained endoscopists</w:t>
      </w:r>
      <w:r>
        <w:rPr>
          <w:rFonts w:ascii="Book Antiqua" w:eastAsia="Book Antiqua" w:hAnsi="Book Antiqua" w:cs="Book Antiqua"/>
          <w:color w:val="000000"/>
          <w:vertAlign w:val="superscript"/>
        </w:rPr>
        <w:t>[36]</w:t>
      </w:r>
      <w:r>
        <w:rPr>
          <w:rFonts w:ascii="Book Antiqua" w:eastAsia="Book Antiqua" w:hAnsi="Book Antiqua" w:cs="Book Antiqua"/>
          <w:color w:val="000000"/>
        </w:rPr>
        <w:t>. Furthermore, since dysplasia can be difficult to distinguish from epithelial regeneration secondary to inflammation</w:t>
      </w:r>
      <w:r>
        <w:rPr>
          <w:rFonts w:ascii="Book Antiqua" w:eastAsia="Book Antiqua" w:hAnsi="Book Antiqua" w:cs="Book Antiqua"/>
          <w:color w:val="000000"/>
          <w:vertAlign w:val="superscript"/>
        </w:rPr>
        <w:t>[37]</w:t>
      </w:r>
      <w:r>
        <w:rPr>
          <w:rFonts w:ascii="Book Antiqua" w:eastAsia="Book Antiqua" w:hAnsi="Book Antiqua" w:cs="Book Antiqua"/>
          <w:color w:val="000000"/>
        </w:rPr>
        <w:t>, it is recommended that biopsies are evaluated by two expert pathologists</w:t>
      </w:r>
      <w:r>
        <w:rPr>
          <w:rFonts w:ascii="Book Antiqua" w:eastAsia="Book Antiqua" w:hAnsi="Book Antiqua" w:cs="Book Antiqua"/>
          <w:color w:val="000000"/>
          <w:vertAlign w:val="superscript"/>
        </w:rPr>
        <w:t>[38]</w:t>
      </w:r>
      <w:r>
        <w:rPr>
          <w:rFonts w:ascii="Book Antiqua" w:eastAsia="Book Antiqua" w:hAnsi="Book Antiqua" w:cs="Book Antiqua"/>
          <w:color w:val="000000"/>
        </w:rPr>
        <w:t>.</w:t>
      </w:r>
    </w:p>
    <w:p w14:paraId="40339C84" w14:textId="77777777" w:rsidR="00A77B3E" w:rsidRDefault="00A77B3E" w:rsidP="00DE6F12">
      <w:pPr>
        <w:spacing w:line="360" w:lineRule="auto"/>
        <w:jc w:val="both"/>
      </w:pPr>
    </w:p>
    <w:p w14:paraId="170844CE" w14:textId="773F0563" w:rsidR="00A77B3E" w:rsidRDefault="002D3822" w:rsidP="00DE6F12">
      <w:pPr>
        <w:spacing w:line="360" w:lineRule="auto"/>
        <w:jc w:val="both"/>
      </w:pPr>
      <w:r>
        <w:rPr>
          <w:rFonts w:ascii="Book Antiqua" w:eastAsia="Book Antiqua" w:hAnsi="Book Antiqua" w:cs="Book Antiqua"/>
          <w:b/>
          <w:caps/>
          <w:color w:val="000000"/>
          <w:u w:val="single"/>
        </w:rPr>
        <w:t>Dysplasia detection methods</w:t>
      </w:r>
    </w:p>
    <w:p w14:paraId="5D154BFB" w14:textId="2BC7CA12" w:rsidR="00DC4F48" w:rsidRDefault="002D3822" w:rsidP="00DE6F1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Dye-based chromoendoscopy (DCE) is an image-enhanced endoscopic technique in which topical dyes such as methylene blue or indigo carmine are applied allowing a detailed view of the mucosa and a targeted evaluation of suspicious lesions</w:t>
      </w:r>
      <w:r>
        <w:rPr>
          <w:rFonts w:ascii="Book Antiqua" w:eastAsia="Book Antiqua" w:hAnsi="Book Antiqua" w:cs="Book Antiqua"/>
          <w:color w:val="000000"/>
          <w:vertAlign w:val="superscript"/>
        </w:rPr>
        <w:t>[39]</w:t>
      </w:r>
      <w:r>
        <w:rPr>
          <w:rFonts w:ascii="Book Antiqua" w:eastAsia="Book Antiqua" w:hAnsi="Book Antiqua" w:cs="Book Antiqua"/>
          <w:color w:val="000000"/>
        </w:rPr>
        <w:t>. It has reported a higher performance in detecting dysplasia in the analysis per patient OR 2.05 (95%CI</w:t>
      </w:r>
      <w:r w:rsidR="00DC4F48">
        <w:rPr>
          <w:rFonts w:ascii="Book Antiqua" w:eastAsia="Book Antiqua" w:hAnsi="Book Antiqua" w:cs="Book Antiqua"/>
          <w:color w:val="000000"/>
        </w:rPr>
        <w:t>:</w:t>
      </w:r>
      <w:r>
        <w:rPr>
          <w:rFonts w:ascii="Book Antiqua" w:eastAsia="Book Antiqua" w:hAnsi="Book Antiqua" w:cs="Book Antiqua"/>
          <w:color w:val="000000"/>
        </w:rPr>
        <w:t xml:space="preserve"> 1.26</w:t>
      </w:r>
      <w:r w:rsidR="00DC4F48">
        <w:rPr>
          <w:rFonts w:ascii="Book Antiqua" w:eastAsia="Book Antiqua" w:hAnsi="Book Antiqua" w:cs="Book Antiqua"/>
          <w:color w:val="000000"/>
        </w:rPr>
        <w:t>-</w:t>
      </w:r>
      <w:r>
        <w:rPr>
          <w:rFonts w:ascii="Book Antiqua" w:eastAsia="Book Antiqua" w:hAnsi="Book Antiqua" w:cs="Book Antiqua"/>
          <w:color w:val="000000"/>
        </w:rPr>
        <w:t>3.35) and analysis by type of lesion OR 2.79 (95%CI</w:t>
      </w:r>
      <w:r w:rsidR="00DC4F48">
        <w:rPr>
          <w:rFonts w:ascii="Book Antiqua" w:eastAsia="Book Antiqua" w:hAnsi="Book Antiqua" w:cs="Book Antiqua"/>
          <w:color w:val="000000"/>
        </w:rPr>
        <w:t>:</w:t>
      </w:r>
      <w:r>
        <w:rPr>
          <w:rFonts w:ascii="Book Antiqua" w:eastAsia="Book Antiqua" w:hAnsi="Book Antiqua" w:cs="Book Antiqua"/>
          <w:color w:val="000000"/>
        </w:rPr>
        <w:t xml:space="preserve"> 2.08</w:t>
      </w:r>
      <w:r w:rsidR="00DC4F48">
        <w:rPr>
          <w:rFonts w:ascii="Book Antiqua" w:eastAsia="Book Antiqua" w:hAnsi="Book Antiqua" w:cs="Book Antiqua"/>
          <w:color w:val="000000"/>
        </w:rPr>
        <w:t>-</w:t>
      </w:r>
      <w:r>
        <w:rPr>
          <w:rFonts w:ascii="Book Antiqua" w:eastAsia="Book Antiqua" w:hAnsi="Book Antiqua" w:cs="Book Antiqua"/>
          <w:color w:val="000000"/>
        </w:rPr>
        <w:t>3.73)</w:t>
      </w:r>
      <w:r>
        <w:rPr>
          <w:rFonts w:ascii="Book Antiqua" w:eastAsia="Book Antiqua" w:hAnsi="Book Antiqua" w:cs="Book Antiqua"/>
          <w:color w:val="000000"/>
          <w:vertAlign w:val="superscript"/>
        </w:rPr>
        <w:t>[40]</w:t>
      </w:r>
      <w:r>
        <w:rPr>
          <w:rFonts w:ascii="Book Antiqua" w:eastAsia="Book Antiqua" w:hAnsi="Book Antiqua" w:cs="Book Antiqua"/>
          <w:color w:val="000000"/>
        </w:rPr>
        <w:t xml:space="preserve">. On the other hand, Feuerstein </w:t>
      </w:r>
      <w:r>
        <w:rPr>
          <w:rFonts w:ascii="Book Antiqua" w:eastAsia="Book Antiqua" w:hAnsi="Book Antiqua" w:cs="Book Antiqua"/>
          <w:i/>
          <w:iCs/>
          <w:color w:val="000000"/>
        </w:rPr>
        <w:t>et al</w:t>
      </w:r>
      <w:r w:rsidR="00DC4F48">
        <w:rPr>
          <w:rFonts w:ascii="Book Antiqua" w:eastAsia="Book Antiqua" w:hAnsi="Book Antiqua" w:cs="Book Antiqua"/>
          <w:color w:val="000000"/>
          <w:vertAlign w:val="superscript"/>
        </w:rPr>
        <w:t>[41]</w:t>
      </w:r>
      <w:r>
        <w:rPr>
          <w:rFonts w:ascii="Book Antiqua" w:eastAsia="Book Antiqua" w:hAnsi="Book Antiqua" w:cs="Book Antiqua"/>
          <w:color w:val="000000"/>
        </w:rPr>
        <w:t xml:space="preserve"> observed that DCE was more effective in identifying dysplasia compared to standard white light endoscopy (WLE), but without reaching significant differences compared to high-definition WLE (HD-WLE). Recently, retrospective analysis, have shown no difference in the detection of dysplasia using DCE compared to HD-WLE, although withdrawal times were longer with DCE (24.6 min </w:t>
      </w:r>
      <w:r>
        <w:rPr>
          <w:rFonts w:ascii="Book Antiqua" w:eastAsia="Book Antiqua" w:hAnsi="Book Antiqua" w:cs="Book Antiqua"/>
          <w:i/>
          <w:iCs/>
          <w:color w:val="000000"/>
        </w:rPr>
        <w:t>vs</w:t>
      </w:r>
      <w:r>
        <w:rPr>
          <w:rFonts w:ascii="Book Antiqua" w:eastAsia="Book Antiqua" w:hAnsi="Book Antiqua" w:cs="Book Antiqua"/>
          <w:color w:val="000000"/>
        </w:rPr>
        <w:t xml:space="preserve"> 15.4</w:t>
      </w:r>
      <w:r w:rsidR="00DC4F48">
        <w:rPr>
          <w:rFonts w:ascii="Book Antiqua" w:eastAsia="Book Antiqua" w:hAnsi="Book Antiqua" w:cs="Book Antiqua"/>
          <w:color w:val="000000"/>
        </w:rPr>
        <w:t xml:space="preserve"> min</w:t>
      </w:r>
      <w:r>
        <w:rPr>
          <w:rFonts w:ascii="Book Antiqua" w:eastAsia="Book Antiqua" w:hAnsi="Book Antiqua" w:cs="Book Antiqua"/>
          <w:color w:val="000000"/>
        </w:rPr>
        <w:t xml:space="preserve">, </w:t>
      </w:r>
      <w:r w:rsidR="00DC4F48" w:rsidRPr="00DC4F48">
        <w:rPr>
          <w:rFonts w:ascii="Book Antiqua" w:eastAsia="Book Antiqua" w:hAnsi="Book Antiqua" w:cs="Book Antiqua"/>
          <w:i/>
          <w:iCs/>
          <w:color w:val="000000"/>
        </w:rPr>
        <w:t>P</w:t>
      </w:r>
      <w:r>
        <w:rPr>
          <w:rFonts w:ascii="Book Antiqua" w:eastAsia="Book Antiqua" w:hAnsi="Book Antiqua" w:cs="Book Antiqua"/>
          <w:color w:val="000000"/>
        </w:rPr>
        <w:t xml:space="preserve"> &lt;</w:t>
      </w:r>
      <w:r w:rsidR="003131CD">
        <w:rPr>
          <w:rFonts w:ascii="Book Antiqua" w:eastAsia="Book Antiqua" w:hAnsi="Book Antiqua" w:cs="Book Antiqua"/>
          <w:color w:val="000000"/>
        </w:rPr>
        <w:t xml:space="preserve"> </w:t>
      </w:r>
      <w:r>
        <w:rPr>
          <w:rFonts w:ascii="Book Antiqua" w:eastAsia="Book Antiqua" w:hAnsi="Book Antiqua" w:cs="Book Antiqua"/>
          <w:color w:val="000000"/>
        </w:rPr>
        <w:t>0.001)</w:t>
      </w:r>
      <w:r>
        <w:rPr>
          <w:rFonts w:ascii="Book Antiqua" w:eastAsia="Book Antiqua" w:hAnsi="Book Antiqua" w:cs="Book Antiqua"/>
          <w:color w:val="000000"/>
          <w:vertAlign w:val="superscript"/>
        </w:rPr>
        <w:t>[42]</w:t>
      </w:r>
      <w:r>
        <w:rPr>
          <w:rFonts w:ascii="Book Antiqua" w:eastAsia="Book Antiqua" w:hAnsi="Book Antiqua" w:cs="Book Antiqua"/>
          <w:color w:val="000000"/>
        </w:rPr>
        <w:t>.</w:t>
      </w:r>
    </w:p>
    <w:p w14:paraId="10DD2780" w14:textId="5C0C850D" w:rsidR="00DC4F48" w:rsidRDefault="002D3822" w:rsidP="00DE6F12">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SCENIC (Surveillance for Colorectal Endoscopic Neoplasia Detection and Management in Inflammatory Bowel Disease Patients: International Consensus) recommends a surveillance study with high-definition colonoscopy or chromoendoscopy when standard white-light exam are performed</w:t>
      </w:r>
      <w:r>
        <w:rPr>
          <w:rFonts w:ascii="Book Antiqua" w:eastAsia="Book Antiqua" w:hAnsi="Book Antiqua" w:cs="Book Antiqua"/>
          <w:color w:val="000000"/>
          <w:vertAlign w:val="superscript"/>
        </w:rPr>
        <w:t>[30]</w:t>
      </w:r>
      <w:r>
        <w:rPr>
          <w:rFonts w:ascii="Book Antiqua" w:eastAsia="Book Antiqua" w:hAnsi="Book Antiqua" w:cs="Book Antiqua"/>
          <w:color w:val="000000"/>
        </w:rPr>
        <w:t>. The American College of Gastroenterology 2019 guidelines suggests targeted biopsies as an option with high-definition scopes. This approach is evolving as the technology is advancing. In the absence of augmenting imaging by high-definition or chromo, systematic sampling of the mucosa with random biopsies are recommended for every 10 cm of colon</w:t>
      </w:r>
      <w:r>
        <w:rPr>
          <w:rFonts w:ascii="Book Antiqua" w:eastAsia="Book Antiqua" w:hAnsi="Book Antiqua" w:cs="Book Antiqua"/>
          <w:color w:val="000000"/>
          <w:vertAlign w:val="superscript"/>
        </w:rPr>
        <w:t>[3,37]</w:t>
      </w:r>
      <w:r>
        <w:rPr>
          <w:rFonts w:ascii="Book Antiqua" w:eastAsia="Book Antiqua" w:hAnsi="Book Antiqua" w:cs="Book Antiqua"/>
          <w:color w:val="000000"/>
        </w:rPr>
        <w:t>.</w:t>
      </w:r>
    </w:p>
    <w:p w14:paraId="334445F0" w14:textId="55FB2150" w:rsidR="00A77B3E" w:rsidRDefault="002D3822" w:rsidP="00DE6F12">
      <w:pPr>
        <w:spacing w:line="360" w:lineRule="auto"/>
        <w:ind w:firstLineChars="100" w:firstLine="240"/>
        <w:jc w:val="both"/>
      </w:pPr>
      <w:r>
        <w:rPr>
          <w:rFonts w:ascii="Book Antiqua" w:eastAsia="Book Antiqua" w:hAnsi="Book Antiqua" w:cs="Book Antiqua"/>
          <w:color w:val="000000"/>
        </w:rPr>
        <w:t xml:space="preserve">Virtual chromoendoscopy (VCE) [which includes narrow banding imaging (Oympus NBI), i-SCAN (Pentax) and Fujinon Fuji Intelligent Chromo-Endoscopy] is an optical imaging technique that uses filters to enhance the contrast of both the mucosa and the superficial vasculature, allowing a better evaluation of the mucosa. Bisschops </w:t>
      </w:r>
      <w:r>
        <w:rPr>
          <w:rFonts w:ascii="Book Antiqua" w:eastAsia="Book Antiqua" w:hAnsi="Book Antiqua" w:cs="Book Antiqua"/>
          <w:i/>
          <w:iCs/>
          <w:color w:val="000000"/>
        </w:rPr>
        <w:t>et al</w:t>
      </w:r>
      <w:r w:rsidR="00244676">
        <w:rPr>
          <w:rFonts w:ascii="Book Antiqua" w:eastAsia="Book Antiqua" w:hAnsi="Book Antiqua" w:cs="Book Antiqua"/>
          <w:color w:val="000000"/>
          <w:vertAlign w:val="superscript"/>
        </w:rPr>
        <w:t>[43]</w:t>
      </w:r>
      <w:r>
        <w:rPr>
          <w:rFonts w:ascii="Book Antiqua" w:eastAsia="Book Antiqua" w:hAnsi="Book Antiqua" w:cs="Book Antiqua"/>
          <w:color w:val="000000"/>
        </w:rPr>
        <w:t xml:space="preserve">, conducted a multicenter study with UC patients comparing DCE </w:t>
      </w:r>
      <w:r>
        <w:rPr>
          <w:rFonts w:ascii="Book Antiqua" w:eastAsia="Book Antiqua" w:hAnsi="Book Antiqua" w:cs="Book Antiqua"/>
          <w:i/>
          <w:iCs/>
          <w:color w:val="000000"/>
        </w:rPr>
        <w:t>vs</w:t>
      </w:r>
      <w:r>
        <w:rPr>
          <w:rFonts w:ascii="Book Antiqua" w:eastAsia="Book Antiqua" w:hAnsi="Book Antiqua" w:cs="Book Antiqua"/>
          <w:color w:val="000000"/>
        </w:rPr>
        <w:t xml:space="preserve"> NBI. No significant difference was reported between these techniques in detecting neoplastic lesions (OR 1.02</w:t>
      </w:r>
      <w:r w:rsidR="00244676">
        <w:rPr>
          <w:rFonts w:ascii="Book Antiqua" w:eastAsia="Book Antiqua" w:hAnsi="Book Antiqua" w:cs="Book Antiqua"/>
          <w:color w:val="000000"/>
        </w:rPr>
        <w:t xml:space="preserve">, </w:t>
      </w:r>
      <w:r>
        <w:rPr>
          <w:rFonts w:ascii="Book Antiqua" w:eastAsia="Book Antiqua" w:hAnsi="Book Antiqua" w:cs="Book Antiqua"/>
          <w:color w:val="000000"/>
        </w:rPr>
        <w:t>95%CI</w:t>
      </w:r>
      <w:r w:rsidR="00244676">
        <w:rPr>
          <w:rFonts w:ascii="Book Antiqua" w:eastAsia="Book Antiqua" w:hAnsi="Book Antiqua" w:cs="Book Antiqua"/>
          <w:color w:val="000000"/>
        </w:rPr>
        <w:t>:</w:t>
      </w:r>
      <w:r>
        <w:rPr>
          <w:rFonts w:ascii="Book Antiqua" w:eastAsia="Book Antiqua" w:hAnsi="Book Antiqua" w:cs="Book Antiqua"/>
          <w:color w:val="000000"/>
        </w:rPr>
        <w:t xml:space="preserve"> 0.44-2.35, </w:t>
      </w:r>
      <w:r>
        <w:rPr>
          <w:rFonts w:ascii="Book Antiqua" w:eastAsia="Book Antiqua" w:hAnsi="Book Antiqua" w:cs="Book Antiqua"/>
          <w:i/>
          <w:iCs/>
          <w:color w:val="000000"/>
        </w:rPr>
        <w:t>P</w:t>
      </w:r>
      <w:r>
        <w:rPr>
          <w:rFonts w:ascii="Book Antiqua" w:eastAsia="Book Antiqua" w:hAnsi="Book Antiqua" w:cs="Book Antiqua"/>
          <w:color w:val="000000"/>
        </w:rPr>
        <w:t xml:space="preserve"> = 0.964). The SCENIC consensus guidelines state that VCE should not replace DCE. Undoubtedly, larger studies are lacking to evaluate the usefulness of these techniques. The 2019 ACG guidelines recommend the use of DCE or NBI for the surveillance of dysplasia (conditional recommendation, low quality of evidence)</w:t>
      </w:r>
      <w:r>
        <w:rPr>
          <w:rFonts w:ascii="Book Antiqua" w:eastAsia="Book Antiqua" w:hAnsi="Book Antiqua" w:cs="Book Antiqua"/>
          <w:color w:val="000000"/>
          <w:vertAlign w:val="superscript"/>
        </w:rPr>
        <w:t>[44]</w:t>
      </w:r>
      <w:r>
        <w:rPr>
          <w:rFonts w:ascii="Book Antiqua" w:eastAsia="Book Antiqua" w:hAnsi="Book Antiqua" w:cs="Book Antiqua"/>
          <w:color w:val="000000"/>
        </w:rPr>
        <w:t>.</w:t>
      </w:r>
    </w:p>
    <w:p w14:paraId="5D3BDD61" w14:textId="77777777" w:rsidR="00A77B3E" w:rsidRDefault="00A77B3E" w:rsidP="00DE6F12">
      <w:pPr>
        <w:spacing w:line="360" w:lineRule="auto"/>
        <w:jc w:val="both"/>
      </w:pPr>
    </w:p>
    <w:p w14:paraId="5CA8C03B" w14:textId="66349EB8" w:rsidR="00A77B3E" w:rsidRDefault="002D3822" w:rsidP="00DE6F12">
      <w:pPr>
        <w:spacing w:line="360" w:lineRule="auto"/>
        <w:jc w:val="both"/>
      </w:pPr>
      <w:r>
        <w:rPr>
          <w:rFonts w:ascii="Book Antiqua" w:eastAsia="Book Antiqua" w:hAnsi="Book Antiqua" w:cs="Book Antiqua"/>
          <w:b/>
          <w:caps/>
          <w:color w:val="000000"/>
          <w:u w:val="single"/>
        </w:rPr>
        <w:t>Management of Dysplasia</w:t>
      </w:r>
    </w:p>
    <w:p w14:paraId="35B95E00" w14:textId="77777777" w:rsidR="00357465" w:rsidRDefault="002D3822" w:rsidP="00DE6F12">
      <w:pPr>
        <w:spacing w:line="360" w:lineRule="auto"/>
        <w:jc w:val="both"/>
      </w:pPr>
      <w:r>
        <w:rPr>
          <w:rFonts w:ascii="Book Antiqua" w:eastAsia="Book Antiqua" w:hAnsi="Book Antiqua" w:cs="Book Antiqua"/>
          <w:color w:val="000000"/>
        </w:rPr>
        <w:t>Once dysplasia has been identified, its respectability is essential to interrupt the carcinogenic sequence and thus reduce the incidence of CRC. The different management guidelines indicate that active surveillance and endoscopic follow-up should be performed according to the type of dysplasia found and the patient's risk factors. In Figures 3 and 4 the subsequent management is summarized. In selected patients, segmental resection without proctocolectomy is possible</w:t>
      </w:r>
      <w:r>
        <w:rPr>
          <w:rFonts w:ascii="Book Antiqua" w:eastAsia="Book Antiqua" w:hAnsi="Book Antiqua" w:cs="Book Antiqua"/>
          <w:color w:val="000000"/>
          <w:vertAlign w:val="superscript"/>
        </w:rPr>
        <w:t>[45]</w:t>
      </w:r>
      <w:r>
        <w:rPr>
          <w:rFonts w:ascii="Book Antiqua" w:eastAsia="Book Antiqua" w:hAnsi="Book Antiqua" w:cs="Book Antiqua"/>
          <w:color w:val="000000"/>
        </w:rPr>
        <w:t>.</w:t>
      </w:r>
      <w:bookmarkStart w:id="2" w:name="OLE_LINK1"/>
      <w:bookmarkStart w:id="3" w:name="OLE_LINK2"/>
    </w:p>
    <w:p w14:paraId="013855B4" w14:textId="77777777" w:rsidR="00357465" w:rsidRDefault="00357465" w:rsidP="00DE6F12">
      <w:pPr>
        <w:spacing w:line="360" w:lineRule="auto"/>
        <w:jc w:val="both"/>
      </w:pPr>
    </w:p>
    <w:p w14:paraId="32D2A927" w14:textId="693C9D39" w:rsidR="00B2374C" w:rsidRPr="00357465" w:rsidRDefault="008A4E8F" w:rsidP="00DE6F12">
      <w:pPr>
        <w:spacing w:line="360" w:lineRule="auto"/>
        <w:jc w:val="both"/>
      </w:pPr>
      <w:r>
        <w:rPr>
          <w:rFonts w:ascii="Book Antiqua" w:eastAsia="Book Antiqua" w:hAnsi="Book Antiqua" w:cs="Book Antiqua"/>
          <w:b/>
          <w:caps/>
          <w:color w:val="000000"/>
          <w:u w:val="single"/>
        </w:rPr>
        <w:t>endoscopy for therapeutic interventions</w:t>
      </w:r>
    </w:p>
    <w:p w14:paraId="5BDA9221" w14:textId="77777777" w:rsidR="003131CD" w:rsidRDefault="00B2374C" w:rsidP="00DE6F12">
      <w:pPr>
        <w:spacing w:line="360" w:lineRule="auto"/>
        <w:jc w:val="both"/>
        <w:rPr>
          <w:rFonts w:ascii="Book Antiqua" w:eastAsia="Book Antiqua" w:hAnsi="Book Antiqua" w:cs="Book Antiqua"/>
        </w:rPr>
      </w:pPr>
      <w:r>
        <w:rPr>
          <w:rFonts w:ascii="Book Antiqua" w:eastAsia="Book Antiqua" w:hAnsi="Book Antiqua" w:cs="Book Antiqua"/>
        </w:rPr>
        <w:t>Currently, therapeutic endoscopic interventions are considered in four areas: stenosis, fistulas, complications associated with surgery and neoplasms associated with colitis</w:t>
      </w:r>
      <w:r w:rsidRPr="003131CD">
        <w:rPr>
          <w:rFonts w:ascii="Book Antiqua" w:eastAsia="Book Antiqua" w:hAnsi="Book Antiqua" w:cs="Book Antiqua"/>
          <w:vertAlign w:val="superscript"/>
        </w:rPr>
        <w:t>[</w:t>
      </w:r>
      <w:r>
        <w:rPr>
          <w:rFonts w:ascii="Book Antiqua" w:eastAsia="Book Antiqua" w:hAnsi="Book Antiqua" w:cs="Book Antiqua"/>
          <w:vertAlign w:val="superscript"/>
        </w:rPr>
        <w:t>46</w:t>
      </w:r>
      <w:r w:rsidRPr="003131CD">
        <w:rPr>
          <w:rFonts w:ascii="Book Antiqua" w:eastAsia="Book Antiqua" w:hAnsi="Book Antiqua" w:cs="Book Antiqua"/>
          <w:vertAlign w:val="superscript"/>
        </w:rPr>
        <w:t>]</w:t>
      </w:r>
      <w:r>
        <w:rPr>
          <w:rFonts w:ascii="Book Antiqua" w:eastAsia="Book Antiqua" w:hAnsi="Book Antiqua" w:cs="Book Antiqua"/>
        </w:rPr>
        <w:t>. We will review the latter in a separate chapter.</w:t>
      </w:r>
    </w:p>
    <w:p w14:paraId="02DACD46" w14:textId="77777777" w:rsidR="003131CD" w:rsidRDefault="003131CD" w:rsidP="00DE6F12">
      <w:pPr>
        <w:spacing w:line="360" w:lineRule="auto"/>
        <w:jc w:val="both"/>
        <w:rPr>
          <w:rFonts w:ascii="Book Antiqua" w:eastAsia="Book Antiqua" w:hAnsi="Book Antiqua" w:cs="Book Antiqua"/>
        </w:rPr>
      </w:pPr>
    </w:p>
    <w:p w14:paraId="3BD44062" w14:textId="6B24EE67" w:rsidR="00B2374C" w:rsidRPr="003131CD" w:rsidRDefault="00B2374C" w:rsidP="00DE6F12">
      <w:pPr>
        <w:spacing w:line="360" w:lineRule="auto"/>
        <w:jc w:val="both"/>
        <w:rPr>
          <w:rFonts w:ascii="Book Antiqua" w:eastAsia="Book Antiqua" w:hAnsi="Book Antiqua" w:cs="Book Antiqua"/>
          <w:i/>
          <w:iCs/>
        </w:rPr>
      </w:pPr>
      <w:r w:rsidRPr="003131CD">
        <w:rPr>
          <w:rFonts w:ascii="Book Antiqua" w:eastAsia="Book Antiqua" w:hAnsi="Book Antiqua" w:cs="Book Antiqua"/>
          <w:b/>
          <w:i/>
          <w:iCs/>
        </w:rPr>
        <w:t>S</w:t>
      </w:r>
      <w:r w:rsidRPr="003131CD">
        <w:rPr>
          <w:rFonts w:ascii="Book Antiqua" w:eastAsia="Book Antiqua" w:hAnsi="Book Antiqua" w:cs="Book Antiqua"/>
          <w:b/>
          <w:i/>
          <w:iCs/>
          <w:color w:val="000000"/>
        </w:rPr>
        <w:t>tenosis</w:t>
      </w:r>
    </w:p>
    <w:p w14:paraId="58B6C159" w14:textId="28567EA9" w:rsidR="00B2374C" w:rsidRDefault="00B2374C" w:rsidP="00DE6F12">
      <w:pPr>
        <w:spacing w:line="360" w:lineRule="auto"/>
        <w:jc w:val="both"/>
        <w:rPr>
          <w:rFonts w:ascii="Book Antiqua" w:eastAsia="Book Antiqua" w:hAnsi="Book Antiqua" w:cs="Book Antiqua"/>
        </w:rPr>
      </w:pPr>
      <w:r>
        <w:rPr>
          <w:rFonts w:ascii="Book Antiqua" w:eastAsia="Book Antiqua" w:hAnsi="Book Antiqua" w:cs="Book Antiqua"/>
        </w:rPr>
        <w:t>For its diagnosis, an endoscopic evaluation and radiologic exams are required, which may be a magnetic resonance enterography or an abdomen-pelvis computed tomographic enterography</w:t>
      </w:r>
      <w:r w:rsidR="003131CD" w:rsidRPr="003131CD">
        <w:rPr>
          <w:rFonts w:ascii="Book Antiqua" w:eastAsia="Book Antiqua" w:hAnsi="Book Antiqua" w:cs="Book Antiqua"/>
          <w:vertAlign w:val="superscript"/>
        </w:rPr>
        <w:t>[</w:t>
      </w:r>
      <w:r w:rsidR="003131CD">
        <w:rPr>
          <w:rFonts w:ascii="Book Antiqua" w:eastAsia="Book Antiqua" w:hAnsi="Book Antiqua" w:cs="Book Antiqua"/>
          <w:vertAlign w:val="superscript"/>
        </w:rPr>
        <w:t>47</w:t>
      </w:r>
      <w:r w:rsidR="003131CD" w:rsidRPr="003131CD">
        <w:rPr>
          <w:rFonts w:ascii="Book Antiqua" w:eastAsia="Book Antiqua" w:hAnsi="Book Antiqua" w:cs="Book Antiqua"/>
          <w:vertAlign w:val="superscript"/>
        </w:rPr>
        <w:t>]</w:t>
      </w:r>
      <w:r>
        <w:rPr>
          <w:rFonts w:ascii="Book Antiqua" w:eastAsia="Book Antiqua" w:hAnsi="Book Antiqua" w:cs="Book Antiqua"/>
        </w:rPr>
        <w:t>. It is important to record the number of stenoses, their location, their composition (inflammatory, fibrotic), morphology, size, as well as the detection of complications such as abscesses or fistulas</w:t>
      </w:r>
      <w:r w:rsidR="003131CD" w:rsidRPr="003131CD">
        <w:rPr>
          <w:rFonts w:ascii="Book Antiqua" w:eastAsia="Book Antiqua" w:hAnsi="Book Antiqua" w:cs="Book Antiqua"/>
          <w:vertAlign w:val="superscript"/>
        </w:rPr>
        <w:t>[</w:t>
      </w:r>
      <w:r w:rsidR="003131CD">
        <w:rPr>
          <w:rFonts w:ascii="Book Antiqua" w:eastAsia="Book Antiqua" w:hAnsi="Book Antiqua" w:cs="Book Antiqua"/>
          <w:vertAlign w:val="superscript"/>
        </w:rPr>
        <w:t>48</w:t>
      </w:r>
      <w:r w:rsidR="003131CD" w:rsidRPr="003131CD">
        <w:rPr>
          <w:rFonts w:ascii="Book Antiqua" w:eastAsia="Book Antiqua" w:hAnsi="Book Antiqua" w:cs="Book Antiqua"/>
          <w:vertAlign w:val="superscript"/>
        </w:rPr>
        <w:t>]</w:t>
      </w:r>
      <w:r>
        <w:rPr>
          <w:rFonts w:ascii="Book Antiqua" w:eastAsia="Book Antiqua" w:hAnsi="Book Antiqua" w:cs="Book Antiqua"/>
        </w:rPr>
        <w:t>.</w:t>
      </w:r>
    </w:p>
    <w:p w14:paraId="762453B0" w14:textId="130C2EF9" w:rsidR="00B2374C" w:rsidRDefault="00B2374C" w:rsidP="00DE6F12">
      <w:pPr>
        <w:spacing w:line="360" w:lineRule="auto"/>
        <w:ind w:firstLineChars="100" w:firstLine="240"/>
        <w:jc w:val="both"/>
        <w:rPr>
          <w:rFonts w:ascii="Book Antiqua" w:eastAsia="Book Antiqua" w:hAnsi="Book Antiqua" w:cs="Book Antiqua"/>
        </w:rPr>
      </w:pPr>
      <w:r>
        <w:rPr>
          <w:rFonts w:ascii="Book Antiqua" w:eastAsia="Book Antiqua" w:hAnsi="Book Antiqua" w:cs="Book Antiqua"/>
        </w:rPr>
        <w:t>There are three endoscopic therapeutic options in those stenoses smaller than 5 cm; endoscopic balloon dilation, endoscopic stricturotomy or stent placement, the latter with a very low level of evidence</w:t>
      </w:r>
      <w:r w:rsidR="003131CD" w:rsidRPr="003131CD">
        <w:rPr>
          <w:rFonts w:ascii="Book Antiqua" w:eastAsia="Book Antiqua" w:hAnsi="Book Antiqua" w:cs="Book Antiqua"/>
          <w:vertAlign w:val="superscript"/>
        </w:rPr>
        <w:t>[</w:t>
      </w:r>
      <w:r w:rsidR="003131CD">
        <w:rPr>
          <w:rFonts w:ascii="Book Antiqua" w:eastAsia="Book Antiqua" w:hAnsi="Book Antiqua" w:cs="Book Antiqua"/>
          <w:vertAlign w:val="superscript"/>
        </w:rPr>
        <w:t>49</w:t>
      </w:r>
      <w:r w:rsidR="003131CD" w:rsidRPr="003131CD">
        <w:rPr>
          <w:rFonts w:ascii="Book Antiqua" w:eastAsia="Book Antiqua" w:hAnsi="Book Antiqua" w:cs="Book Antiqua"/>
          <w:vertAlign w:val="superscript"/>
        </w:rPr>
        <w:t>]</w:t>
      </w:r>
      <w:r>
        <w:rPr>
          <w:rFonts w:ascii="Book Antiqua" w:eastAsia="Book Antiqua" w:hAnsi="Book Antiqua" w:cs="Book Antiqua"/>
        </w:rPr>
        <w:t>. Endoscopic balloon dilation would have a lower risk of bleeding, but a higher risk of perforation. However, retrospective studies have shown it is a safe technique in patients with CD, with more than 40% of patients asymptomatic and without requiring surgery in a subsequent follow-up</w:t>
      </w:r>
      <w:r w:rsidR="003131CD" w:rsidRPr="003131CD">
        <w:rPr>
          <w:rFonts w:ascii="Book Antiqua" w:eastAsia="Book Antiqua" w:hAnsi="Book Antiqua" w:cs="Book Antiqua"/>
          <w:vertAlign w:val="superscript"/>
        </w:rPr>
        <w:t>[</w:t>
      </w:r>
      <w:r w:rsidR="003131CD">
        <w:rPr>
          <w:rFonts w:ascii="Book Antiqua" w:eastAsia="Book Antiqua" w:hAnsi="Book Antiqua" w:cs="Book Antiqua"/>
          <w:vertAlign w:val="superscript"/>
        </w:rPr>
        <w:t>50</w:t>
      </w:r>
      <w:r w:rsidR="003131CD" w:rsidRPr="003131CD">
        <w:rPr>
          <w:rFonts w:ascii="Book Antiqua" w:eastAsia="Book Antiqua" w:hAnsi="Book Antiqua" w:cs="Book Antiqua"/>
          <w:vertAlign w:val="superscript"/>
        </w:rPr>
        <w:t>]</w:t>
      </w:r>
      <w:r>
        <w:rPr>
          <w:rFonts w:ascii="Book Antiqua" w:eastAsia="Book Antiqua" w:hAnsi="Book Antiqua" w:cs="Book Antiqua"/>
        </w:rPr>
        <w:t xml:space="preserve">. Endoscopic stricturotomy is in evolution and may be an effective procedure in treating fibrotic, distal or anastomotic stenosis. The technique is based on an electro-incision, allowing control of the depth and location of the cut, and with a lower risk of perforation. In a </w:t>
      </w:r>
      <w:r w:rsidR="008A4E8F">
        <w:rPr>
          <w:rFonts w:ascii="Book Antiqua" w:eastAsia="Book Antiqua" w:hAnsi="Book Antiqua" w:cs="Book Antiqua"/>
        </w:rPr>
        <w:t>small reported</w:t>
      </w:r>
      <w:r>
        <w:rPr>
          <w:rFonts w:ascii="Book Antiqua" w:eastAsia="Book Antiqua" w:hAnsi="Book Antiqua" w:cs="Book Antiqua"/>
        </w:rPr>
        <w:t xml:space="preserve"> experience surgery free survival in IBD to non-IBD patients undergoing endoscopic stricturotomy, there was no statistically significant difference between the groups</w:t>
      </w:r>
      <w:r w:rsidR="003131CD" w:rsidRPr="003131CD">
        <w:rPr>
          <w:rFonts w:ascii="Book Antiqua" w:eastAsia="Book Antiqua" w:hAnsi="Book Antiqua" w:cs="Book Antiqua"/>
          <w:vertAlign w:val="superscript"/>
        </w:rPr>
        <w:t>[</w:t>
      </w:r>
      <w:r w:rsidR="003131CD">
        <w:rPr>
          <w:rFonts w:ascii="Book Antiqua" w:eastAsia="Book Antiqua" w:hAnsi="Book Antiqua" w:cs="Book Antiqua"/>
          <w:vertAlign w:val="superscript"/>
        </w:rPr>
        <w:t>51</w:t>
      </w:r>
      <w:r w:rsidR="003131CD" w:rsidRPr="003131CD">
        <w:rPr>
          <w:rFonts w:ascii="Book Antiqua" w:eastAsia="Book Antiqua" w:hAnsi="Book Antiqua" w:cs="Book Antiqua"/>
          <w:vertAlign w:val="superscript"/>
        </w:rPr>
        <w:t>]</w:t>
      </w:r>
      <w:r>
        <w:rPr>
          <w:rFonts w:ascii="Book Antiqua" w:eastAsia="Book Antiqua" w:hAnsi="Book Antiqua" w:cs="Book Antiqua"/>
        </w:rPr>
        <w:t>.</w:t>
      </w:r>
    </w:p>
    <w:p w14:paraId="6AAB7767" w14:textId="38841C33" w:rsidR="00B2374C" w:rsidRDefault="00B2374C" w:rsidP="00DE6F12">
      <w:pPr>
        <w:spacing w:line="360" w:lineRule="auto"/>
        <w:ind w:firstLineChars="100" w:firstLine="240"/>
        <w:jc w:val="both"/>
        <w:rPr>
          <w:rFonts w:ascii="Book Antiqua" w:eastAsia="Book Antiqua" w:hAnsi="Book Antiqua" w:cs="Book Antiqua"/>
        </w:rPr>
      </w:pPr>
      <w:r>
        <w:rPr>
          <w:rFonts w:ascii="Book Antiqua" w:eastAsia="Book Antiqua" w:hAnsi="Book Antiqua" w:cs="Book Antiqua"/>
        </w:rPr>
        <w:t>Endoscopic injections of steroids or anti-tumor necrosis factor agents in conjunction with endoscopic balloon dilation have been reported in series of cases with the intention of reducing the need for future dilation with inconsistent results</w:t>
      </w:r>
      <w:r w:rsidR="003131CD" w:rsidRPr="003131CD">
        <w:rPr>
          <w:rFonts w:ascii="Book Antiqua" w:eastAsia="Book Antiqua" w:hAnsi="Book Antiqua" w:cs="Book Antiqua"/>
          <w:vertAlign w:val="superscript"/>
        </w:rPr>
        <w:t>[</w:t>
      </w:r>
      <w:r w:rsidR="003131CD">
        <w:rPr>
          <w:rFonts w:ascii="Book Antiqua" w:eastAsia="Book Antiqua" w:hAnsi="Book Antiqua" w:cs="Book Antiqua"/>
          <w:vertAlign w:val="superscript"/>
        </w:rPr>
        <w:t>52,53</w:t>
      </w:r>
      <w:r w:rsidR="003131CD" w:rsidRPr="003131CD">
        <w:rPr>
          <w:rFonts w:ascii="Book Antiqua" w:eastAsia="Book Antiqua" w:hAnsi="Book Antiqua" w:cs="Book Antiqua"/>
          <w:vertAlign w:val="superscript"/>
        </w:rPr>
        <w:t>]</w:t>
      </w:r>
      <w:r>
        <w:rPr>
          <w:rFonts w:ascii="Book Antiqua" w:eastAsia="Book Antiqua" w:hAnsi="Book Antiqua" w:cs="Book Antiqua"/>
        </w:rPr>
        <w:t>.</w:t>
      </w:r>
    </w:p>
    <w:p w14:paraId="5DED1368" w14:textId="677A951C" w:rsidR="003131CD" w:rsidRDefault="00B2374C" w:rsidP="00DE6F12">
      <w:pPr>
        <w:spacing w:line="360" w:lineRule="auto"/>
        <w:ind w:firstLineChars="100" w:firstLine="240"/>
        <w:jc w:val="both"/>
        <w:rPr>
          <w:rFonts w:ascii="Book Antiqua" w:eastAsia="Book Antiqua" w:hAnsi="Book Antiqua" w:cs="Book Antiqua"/>
        </w:rPr>
      </w:pPr>
      <w:r>
        <w:rPr>
          <w:rFonts w:ascii="Book Antiqua" w:eastAsia="Book Antiqua" w:hAnsi="Book Antiqua" w:cs="Book Antiqua"/>
        </w:rPr>
        <w:t>In recurrent or refractory stenoses, self-expanding metal stents, covered metal stents or biodegradable metal stents have been used with good results</w:t>
      </w:r>
      <w:r w:rsidR="003131CD" w:rsidRPr="003131CD">
        <w:rPr>
          <w:rFonts w:ascii="Book Antiqua" w:eastAsia="Book Antiqua" w:hAnsi="Book Antiqua" w:cs="Book Antiqua"/>
          <w:vertAlign w:val="superscript"/>
        </w:rPr>
        <w:t>[</w:t>
      </w:r>
      <w:r w:rsidR="003131CD">
        <w:rPr>
          <w:rFonts w:ascii="Book Antiqua" w:eastAsia="Book Antiqua" w:hAnsi="Book Antiqua" w:cs="Book Antiqua"/>
          <w:vertAlign w:val="superscript"/>
        </w:rPr>
        <w:t>54,55</w:t>
      </w:r>
      <w:r w:rsidR="003131CD" w:rsidRPr="003131CD">
        <w:rPr>
          <w:rFonts w:ascii="Book Antiqua" w:eastAsia="Book Antiqua" w:hAnsi="Book Antiqua" w:cs="Book Antiqua"/>
          <w:vertAlign w:val="superscript"/>
        </w:rPr>
        <w:t>]</w:t>
      </w:r>
      <w:r>
        <w:rPr>
          <w:rFonts w:ascii="Book Antiqua" w:eastAsia="Book Antiqua" w:hAnsi="Book Antiqua" w:cs="Book Antiqua"/>
        </w:rPr>
        <w:t>. These can be placed endoscopically with or without fluoroscopic guidance but must be maintained for at least 4 wk</w:t>
      </w:r>
      <w:r w:rsidR="003131CD" w:rsidRPr="003131CD">
        <w:rPr>
          <w:rFonts w:ascii="Book Antiqua" w:eastAsia="Book Antiqua" w:hAnsi="Book Antiqua" w:cs="Book Antiqua"/>
          <w:vertAlign w:val="superscript"/>
        </w:rPr>
        <w:t>[</w:t>
      </w:r>
      <w:r w:rsidR="003131CD">
        <w:rPr>
          <w:rFonts w:ascii="Book Antiqua" w:eastAsia="Book Antiqua" w:hAnsi="Book Antiqua" w:cs="Book Antiqua"/>
          <w:vertAlign w:val="superscript"/>
        </w:rPr>
        <w:t>56</w:t>
      </w:r>
      <w:r w:rsidR="003131CD" w:rsidRPr="003131CD">
        <w:rPr>
          <w:rFonts w:ascii="Book Antiqua" w:eastAsia="Book Antiqua" w:hAnsi="Book Antiqua" w:cs="Book Antiqua"/>
          <w:vertAlign w:val="superscript"/>
        </w:rPr>
        <w:t>]</w:t>
      </w:r>
      <w:r>
        <w:rPr>
          <w:rFonts w:ascii="Book Antiqua" w:eastAsia="Book Antiqua" w:hAnsi="Book Antiqua" w:cs="Book Antiqua"/>
        </w:rPr>
        <w:t>.</w:t>
      </w:r>
    </w:p>
    <w:p w14:paraId="64B74057" w14:textId="77777777" w:rsidR="003131CD" w:rsidRDefault="003131CD" w:rsidP="00DE6F12">
      <w:pPr>
        <w:spacing w:line="360" w:lineRule="auto"/>
        <w:jc w:val="both"/>
        <w:rPr>
          <w:rFonts w:ascii="Book Antiqua" w:eastAsia="Book Antiqua" w:hAnsi="Book Antiqua" w:cs="Book Antiqua"/>
        </w:rPr>
      </w:pPr>
    </w:p>
    <w:p w14:paraId="4B633EF8" w14:textId="537418B0" w:rsidR="00B2374C" w:rsidRPr="003131CD" w:rsidRDefault="00B2374C" w:rsidP="00DE6F12">
      <w:pPr>
        <w:spacing w:line="360" w:lineRule="auto"/>
        <w:jc w:val="both"/>
        <w:rPr>
          <w:rFonts w:ascii="Book Antiqua" w:eastAsia="Book Antiqua" w:hAnsi="Book Antiqua" w:cs="Book Antiqua"/>
          <w:i/>
          <w:iCs/>
        </w:rPr>
      </w:pPr>
      <w:r w:rsidRPr="003131CD">
        <w:rPr>
          <w:rFonts w:ascii="Book Antiqua" w:eastAsia="Book Antiqua" w:hAnsi="Book Antiqua" w:cs="Book Antiqua"/>
          <w:b/>
          <w:i/>
          <w:iCs/>
          <w:color w:val="000000"/>
        </w:rPr>
        <w:t>F</w:t>
      </w:r>
      <w:r w:rsidRPr="003131CD">
        <w:rPr>
          <w:rFonts w:ascii="Book Antiqua" w:eastAsia="Book Antiqua" w:hAnsi="Book Antiqua" w:cs="Book Antiqua"/>
          <w:b/>
          <w:i/>
          <w:iCs/>
        </w:rPr>
        <w:t>i</w:t>
      </w:r>
      <w:r w:rsidRPr="003131CD">
        <w:rPr>
          <w:rFonts w:ascii="Book Antiqua" w:eastAsia="Book Antiqua" w:hAnsi="Book Antiqua" w:cs="Book Antiqua"/>
          <w:b/>
          <w:i/>
          <w:iCs/>
          <w:color w:val="000000"/>
        </w:rPr>
        <w:t>stulas</w:t>
      </w:r>
    </w:p>
    <w:p w14:paraId="1CFE7F20" w14:textId="65466602" w:rsidR="003131CD" w:rsidRDefault="00B2374C" w:rsidP="00DE6F12">
      <w:pPr>
        <w:spacing w:line="360" w:lineRule="auto"/>
        <w:jc w:val="both"/>
        <w:rPr>
          <w:rFonts w:ascii="Book Antiqua" w:eastAsia="Book Antiqua" w:hAnsi="Book Antiqua" w:cs="Book Antiqua"/>
        </w:rPr>
      </w:pPr>
      <w:r>
        <w:rPr>
          <w:rFonts w:ascii="Book Antiqua" w:eastAsia="Book Antiqua" w:hAnsi="Book Antiqua" w:cs="Book Antiqua"/>
        </w:rPr>
        <w:t>The penetrating phenotype may be primary or a result of a long-standing CD. The goals of endoscopic treatment are drainage, closure of the fistulas and preventing them from becoming complex</w:t>
      </w:r>
      <w:r w:rsidR="003131CD" w:rsidRPr="003131CD">
        <w:rPr>
          <w:rFonts w:ascii="Book Antiqua" w:eastAsia="Book Antiqua" w:hAnsi="Book Antiqua" w:cs="Book Antiqua"/>
          <w:vertAlign w:val="superscript"/>
        </w:rPr>
        <w:t>[</w:t>
      </w:r>
      <w:r w:rsidR="003131CD">
        <w:rPr>
          <w:rFonts w:ascii="Book Antiqua" w:eastAsia="Book Antiqua" w:hAnsi="Book Antiqua" w:cs="Book Antiqua"/>
          <w:vertAlign w:val="superscript"/>
        </w:rPr>
        <w:t>48</w:t>
      </w:r>
      <w:r w:rsidR="003131CD" w:rsidRPr="003131CD">
        <w:rPr>
          <w:rFonts w:ascii="Book Antiqua" w:eastAsia="Book Antiqua" w:hAnsi="Book Antiqua" w:cs="Book Antiqua"/>
          <w:vertAlign w:val="superscript"/>
        </w:rPr>
        <w:t>]</w:t>
      </w:r>
      <w:r>
        <w:rPr>
          <w:rFonts w:ascii="Book Antiqua" w:eastAsia="Book Antiqua" w:hAnsi="Book Antiqua" w:cs="Book Antiqua"/>
        </w:rPr>
        <w:t>. In a cohort of 29 patients, about 90% achieved resolution of their fistulas by endoscopic fistulotomy</w:t>
      </w:r>
      <w:r w:rsidR="003131CD" w:rsidRPr="003131CD">
        <w:rPr>
          <w:rFonts w:ascii="Book Antiqua" w:eastAsia="Book Antiqua" w:hAnsi="Book Antiqua" w:cs="Book Antiqua"/>
          <w:vertAlign w:val="superscript"/>
        </w:rPr>
        <w:t>[</w:t>
      </w:r>
      <w:r w:rsidR="003131CD">
        <w:rPr>
          <w:rFonts w:ascii="Book Antiqua" w:eastAsia="Book Antiqua" w:hAnsi="Book Antiqua" w:cs="Book Antiqua"/>
          <w:vertAlign w:val="superscript"/>
        </w:rPr>
        <w:t>57</w:t>
      </w:r>
      <w:r w:rsidR="003131CD" w:rsidRPr="003131CD">
        <w:rPr>
          <w:rFonts w:ascii="Book Antiqua" w:eastAsia="Book Antiqua" w:hAnsi="Book Antiqua" w:cs="Book Antiqua"/>
          <w:vertAlign w:val="superscript"/>
        </w:rPr>
        <w:t>]</w:t>
      </w:r>
      <w:r>
        <w:rPr>
          <w:rFonts w:ascii="Book Antiqua" w:eastAsia="Book Antiqua" w:hAnsi="Book Antiqua" w:cs="Book Antiqua"/>
        </w:rPr>
        <w:t>. This type of therapy might be performed in superficial, short and enteroenteric fistulas</w:t>
      </w:r>
      <w:r w:rsidR="003131CD" w:rsidRPr="003131CD">
        <w:rPr>
          <w:rFonts w:ascii="Book Antiqua" w:eastAsia="Book Antiqua" w:hAnsi="Book Antiqua" w:cs="Book Antiqua"/>
          <w:vertAlign w:val="superscript"/>
        </w:rPr>
        <w:t>[</w:t>
      </w:r>
      <w:r w:rsidR="003131CD">
        <w:rPr>
          <w:rFonts w:ascii="Book Antiqua" w:eastAsia="Book Antiqua" w:hAnsi="Book Antiqua" w:cs="Book Antiqua"/>
          <w:vertAlign w:val="superscript"/>
        </w:rPr>
        <w:t>56</w:t>
      </w:r>
      <w:r w:rsidR="003131CD" w:rsidRPr="003131CD">
        <w:rPr>
          <w:rFonts w:ascii="Book Antiqua" w:eastAsia="Book Antiqua" w:hAnsi="Book Antiqua" w:cs="Book Antiqua"/>
          <w:vertAlign w:val="superscript"/>
        </w:rPr>
        <w:t>]</w:t>
      </w:r>
      <w:r>
        <w:rPr>
          <w:rFonts w:ascii="Book Antiqua" w:eastAsia="Book Antiqua" w:hAnsi="Book Antiqua" w:cs="Book Antiqua"/>
        </w:rPr>
        <w:t>. In addition, it is possible to close the fistula endoscopically by means of a clip, avoiding the formation of abscesses. This has been reported to be achieved with through-the-scope clips or over-the-scope clips, even with reports in perianal fistulas</w:t>
      </w:r>
      <w:r w:rsidR="003131CD" w:rsidRPr="003131CD">
        <w:rPr>
          <w:rFonts w:ascii="Book Antiqua" w:eastAsia="Book Antiqua" w:hAnsi="Book Antiqua" w:cs="Book Antiqua"/>
          <w:vertAlign w:val="superscript"/>
        </w:rPr>
        <w:t>[</w:t>
      </w:r>
      <w:r w:rsidR="003131CD">
        <w:rPr>
          <w:rFonts w:ascii="Book Antiqua" w:eastAsia="Book Antiqua" w:hAnsi="Book Antiqua" w:cs="Book Antiqua"/>
          <w:vertAlign w:val="superscript"/>
        </w:rPr>
        <w:t>48</w:t>
      </w:r>
      <w:r w:rsidR="003131CD" w:rsidRPr="003131CD">
        <w:rPr>
          <w:rFonts w:ascii="Book Antiqua" w:eastAsia="Book Antiqua" w:hAnsi="Book Antiqua" w:cs="Book Antiqua"/>
          <w:vertAlign w:val="superscript"/>
        </w:rPr>
        <w:t>]</w:t>
      </w:r>
      <w:r>
        <w:rPr>
          <w:rFonts w:ascii="Book Antiqua" w:eastAsia="Book Antiqua" w:hAnsi="Book Antiqua" w:cs="Book Antiqua"/>
        </w:rPr>
        <w:t>. Further work is needed in this area, with clarification of risks, benefits, and approach to combination with medical interventions.</w:t>
      </w:r>
    </w:p>
    <w:p w14:paraId="58C44BA4" w14:textId="77777777" w:rsidR="003131CD" w:rsidRDefault="003131CD" w:rsidP="00DE6F12">
      <w:pPr>
        <w:spacing w:line="360" w:lineRule="auto"/>
        <w:jc w:val="both"/>
        <w:rPr>
          <w:rFonts w:ascii="Book Antiqua" w:eastAsia="Book Antiqua" w:hAnsi="Book Antiqua" w:cs="Book Antiqua"/>
        </w:rPr>
      </w:pPr>
    </w:p>
    <w:p w14:paraId="2398C3CE" w14:textId="1C97460C" w:rsidR="00B2374C" w:rsidRPr="003131CD" w:rsidRDefault="00B2374C" w:rsidP="00DE6F12">
      <w:pPr>
        <w:spacing w:line="360" w:lineRule="auto"/>
        <w:jc w:val="both"/>
        <w:rPr>
          <w:rFonts w:ascii="Book Antiqua" w:eastAsia="Book Antiqua" w:hAnsi="Book Antiqua" w:cs="Book Antiqua"/>
          <w:i/>
          <w:iCs/>
        </w:rPr>
      </w:pPr>
      <w:r w:rsidRPr="003131CD">
        <w:rPr>
          <w:rFonts w:ascii="Book Antiqua" w:eastAsia="Book Antiqua" w:hAnsi="Book Antiqua" w:cs="Book Antiqua"/>
          <w:b/>
          <w:i/>
          <w:iCs/>
        </w:rPr>
        <w:t>Post-operative complications</w:t>
      </w:r>
    </w:p>
    <w:p w14:paraId="369C765A" w14:textId="30FD2C63" w:rsidR="00B2374C" w:rsidRDefault="00B2374C" w:rsidP="00DE6F12">
      <w:pPr>
        <w:spacing w:line="360" w:lineRule="auto"/>
        <w:jc w:val="both"/>
        <w:rPr>
          <w:rFonts w:ascii="Book Antiqua" w:eastAsia="Book Antiqua" w:hAnsi="Book Antiqua" w:cs="Book Antiqua"/>
        </w:rPr>
      </w:pPr>
      <w:r>
        <w:rPr>
          <w:rFonts w:ascii="Book Antiqua" w:eastAsia="Book Antiqua" w:hAnsi="Book Antiqua" w:cs="Book Antiqua"/>
        </w:rPr>
        <w:t>Post-surgery complications may present as dehiscence of the suture/staple line or present later with stenosis of the anastomosis, causing obstructive problems</w:t>
      </w:r>
      <w:r w:rsidR="003131CD" w:rsidRPr="003131CD">
        <w:rPr>
          <w:rFonts w:ascii="Book Antiqua" w:eastAsia="Book Antiqua" w:hAnsi="Book Antiqua" w:cs="Book Antiqua"/>
          <w:vertAlign w:val="superscript"/>
        </w:rPr>
        <w:t>[</w:t>
      </w:r>
      <w:r w:rsidR="003131CD">
        <w:rPr>
          <w:rFonts w:ascii="Book Antiqua" w:eastAsia="Book Antiqua" w:hAnsi="Book Antiqua" w:cs="Book Antiqua"/>
          <w:vertAlign w:val="superscript"/>
        </w:rPr>
        <w:t>58</w:t>
      </w:r>
      <w:r w:rsidR="003131CD" w:rsidRPr="003131CD">
        <w:rPr>
          <w:rFonts w:ascii="Book Antiqua" w:eastAsia="Book Antiqua" w:hAnsi="Book Antiqua" w:cs="Book Antiqua"/>
          <w:vertAlign w:val="superscript"/>
        </w:rPr>
        <w:t>]</w:t>
      </w:r>
      <w:r>
        <w:rPr>
          <w:rFonts w:ascii="Book Antiqua" w:eastAsia="Book Antiqua" w:hAnsi="Book Antiqua" w:cs="Book Antiqua"/>
        </w:rPr>
        <w:t>. Endoscopic management of suture dehiscence has been described in clinical cases or case series, reporting lumen integrity in over 80%</w:t>
      </w:r>
      <w:r w:rsidR="003131CD" w:rsidRPr="003131CD">
        <w:rPr>
          <w:rFonts w:ascii="Book Antiqua" w:eastAsia="Book Antiqua" w:hAnsi="Book Antiqua" w:cs="Book Antiqua"/>
          <w:vertAlign w:val="superscript"/>
        </w:rPr>
        <w:t>[</w:t>
      </w:r>
      <w:r w:rsidR="003131CD">
        <w:rPr>
          <w:rFonts w:ascii="Book Antiqua" w:eastAsia="Book Antiqua" w:hAnsi="Book Antiqua" w:cs="Book Antiqua"/>
          <w:vertAlign w:val="superscript"/>
        </w:rPr>
        <w:t>59</w:t>
      </w:r>
      <w:r w:rsidR="003131CD" w:rsidRPr="003131CD">
        <w:rPr>
          <w:rFonts w:ascii="Book Antiqua" w:eastAsia="Book Antiqua" w:hAnsi="Book Antiqua" w:cs="Book Antiqua"/>
          <w:vertAlign w:val="superscript"/>
        </w:rPr>
        <w:t>]</w:t>
      </w:r>
      <w:r>
        <w:rPr>
          <w:rFonts w:ascii="Book Antiqua" w:eastAsia="Book Antiqua" w:hAnsi="Book Antiqua" w:cs="Book Antiqua"/>
        </w:rPr>
        <w:t>. Approximately 11% of patients with UC require an ileal pouch anal anastomoses</w:t>
      </w:r>
      <w:r w:rsidR="003131CD">
        <w:rPr>
          <w:rFonts w:ascii="Book Antiqua" w:eastAsia="Book Antiqua" w:hAnsi="Book Antiqua" w:cs="Book Antiqua"/>
        </w:rPr>
        <w:t xml:space="preserve"> </w:t>
      </w:r>
      <w:r>
        <w:rPr>
          <w:rFonts w:ascii="Book Antiqua" w:eastAsia="Book Antiqua" w:hAnsi="Book Antiqua" w:cs="Book Antiqua"/>
        </w:rPr>
        <w:t>for their management</w:t>
      </w:r>
      <w:r w:rsidR="003131CD" w:rsidRPr="003131CD">
        <w:rPr>
          <w:rFonts w:ascii="Book Antiqua" w:eastAsia="Book Antiqua" w:hAnsi="Book Antiqua" w:cs="Book Antiqua"/>
          <w:vertAlign w:val="superscript"/>
        </w:rPr>
        <w:t>[</w:t>
      </w:r>
      <w:r w:rsidR="003131CD">
        <w:rPr>
          <w:rFonts w:ascii="Book Antiqua" w:eastAsia="Book Antiqua" w:hAnsi="Book Antiqua" w:cs="Book Antiqua"/>
          <w:vertAlign w:val="superscript"/>
        </w:rPr>
        <w:t>60</w:t>
      </w:r>
      <w:r w:rsidR="003131CD" w:rsidRPr="003131CD">
        <w:rPr>
          <w:rFonts w:ascii="Book Antiqua" w:eastAsia="Book Antiqua" w:hAnsi="Book Antiqua" w:cs="Book Antiqua"/>
          <w:vertAlign w:val="superscript"/>
        </w:rPr>
        <w:t>]</w:t>
      </w:r>
      <w:r>
        <w:rPr>
          <w:rFonts w:ascii="Book Antiqua" w:eastAsia="Book Antiqua" w:hAnsi="Book Antiqua" w:cs="Book Antiqua"/>
        </w:rPr>
        <w:t>, where strictures</w:t>
      </w:r>
      <w:r w:rsidRPr="000102AC">
        <w:rPr>
          <w:rFonts w:ascii="Book Antiqua" w:eastAsia="Book Antiqua" w:hAnsi="Book Antiqua" w:cs="Book Antiqua"/>
          <w:bCs/>
        </w:rPr>
        <w:t xml:space="preserve"> may</w:t>
      </w:r>
      <w:r>
        <w:rPr>
          <w:rFonts w:ascii="Book Antiqua" w:eastAsia="Book Antiqua" w:hAnsi="Book Antiqua" w:cs="Book Antiqua"/>
        </w:rPr>
        <w:t xml:space="preserve"> develop in anastomosis, in the pouch or in the afferent loop. Postoperative strictures can be managed endoscopically with balloon dilations or stricturotomy. Endoscopic interventions should be avoided in periods of increased inflammation given the increased risk of perforation</w:t>
      </w:r>
      <w:r w:rsidR="003131CD" w:rsidRPr="003131CD">
        <w:rPr>
          <w:rFonts w:ascii="Book Antiqua" w:eastAsia="Book Antiqua" w:hAnsi="Book Antiqua" w:cs="Book Antiqua"/>
          <w:vertAlign w:val="superscript"/>
        </w:rPr>
        <w:t>[</w:t>
      </w:r>
      <w:r w:rsidR="003131CD">
        <w:rPr>
          <w:rFonts w:ascii="Book Antiqua" w:eastAsia="Book Antiqua" w:hAnsi="Book Antiqua" w:cs="Book Antiqua"/>
          <w:vertAlign w:val="superscript"/>
        </w:rPr>
        <w:t>21</w:t>
      </w:r>
      <w:r w:rsidR="003131CD" w:rsidRPr="003131CD">
        <w:rPr>
          <w:rFonts w:ascii="Book Antiqua" w:eastAsia="Book Antiqua" w:hAnsi="Book Antiqua" w:cs="Book Antiqua"/>
          <w:vertAlign w:val="superscript"/>
        </w:rPr>
        <w:t>]</w:t>
      </w:r>
      <w:r>
        <w:rPr>
          <w:rFonts w:ascii="Book Antiqua" w:eastAsia="Book Antiqua" w:hAnsi="Book Antiqua" w:cs="Book Antiqua"/>
        </w:rPr>
        <w:t>.</w:t>
      </w:r>
    </w:p>
    <w:bookmarkEnd w:id="2"/>
    <w:bookmarkEnd w:id="3"/>
    <w:p w14:paraId="5C4C41DE" w14:textId="77777777" w:rsidR="00B2374C" w:rsidRDefault="00B2374C" w:rsidP="00DE6F12">
      <w:pPr>
        <w:spacing w:line="360" w:lineRule="auto"/>
        <w:jc w:val="both"/>
      </w:pPr>
    </w:p>
    <w:p w14:paraId="27947E89" w14:textId="77777777" w:rsidR="00A77B3E" w:rsidRDefault="002D3822" w:rsidP="00DE6F12">
      <w:pPr>
        <w:spacing w:line="360" w:lineRule="auto"/>
        <w:jc w:val="both"/>
      </w:pPr>
      <w:r>
        <w:rPr>
          <w:rFonts w:ascii="Book Antiqua" w:eastAsia="Book Antiqua" w:hAnsi="Book Antiqua" w:cs="Book Antiqua"/>
          <w:b/>
          <w:caps/>
          <w:color w:val="000000"/>
          <w:u w:val="single"/>
        </w:rPr>
        <w:t>CONCLUSION</w:t>
      </w:r>
    </w:p>
    <w:p w14:paraId="06C7254A" w14:textId="427266C9" w:rsidR="00A77B3E" w:rsidRDefault="002D3822" w:rsidP="00DE6F12">
      <w:pPr>
        <w:spacing w:line="360" w:lineRule="auto"/>
        <w:jc w:val="both"/>
      </w:pPr>
      <w:r>
        <w:rPr>
          <w:rFonts w:ascii="Book Antiqua" w:eastAsia="Book Antiqua" w:hAnsi="Book Antiqua" w:cs="Book Antiqua"/>
          <w:color w:val="000000"/>
        </w:rPr>
        <w:t>Endoscopic evaluation is essential to achieve current therapeutic goals in IBD, which focus on mucosal healing</w:t>
      </w:r>
      <w:r>
        <w:rPr>
          <w:rFonts w:ascii="Book Antiqua" w:eastAsia="Book Antiqua" w:hAnsi="Book Antiqua" w:cs="Book Antiqua"/>
          <w:color w:val="000000"/>
          <w:vertAlign w:val="superscript"/>
        </w:rPr>
        <w:t>[61,62]</w:t>
      </w:r>
      <w:r>
        <w:rPr>
          <w:rFonts w:ascii="Book Antiqua" w:eastAsia="Book Antiqua" w:hAnsi="Book Antiqua" w:cs="Book Antiqua"/>
          <w:color w:val="000000"/>
        </w:rPr>
        <w:t xml:space="preserve">. In cases in which the objectives are not achieved, endoscopic assessments direct therapeutic optimization in order to achieve them. Importantly, endoscopic assessment has a key role in prognostication and disease monitoring to control modifiable risk factors for worse clinical outcomes, with focus on control of inflammation and prevention of complications. Among these, the incidence of CRC has a significant impact on patient morbidity and mortality, and its early diagnosis is a crucial element in IBD management. The evolution of endoscopic visualization techniques, such as the use of </w:t>
      </w:r>
      <w:r w:rsidR="00DC4F48">
        <w:rPr>
          <w:rFonts w:ascii="Book Antiqua" w:eastAsia="Book Antiqua" w:hAnsi="Book Antiqua" w:cs="Book Antiqua"/>
          <w:color w:val="000000"/>
        </w:rPr>
        <w:t>VCE</w:t>
      </w:r>
      <w:r>
        <w:rPr>
          <w:rFonts w:ascii="Book Antiqua" w:eastAsia="Book Antiqua" w:hAnsi="Book Antiqua" w:cs="Book Antiqua"/>
          <w:color w:val="000000"/>
        </w:rPr>
        <w:t xml:space="preserve"> and </w:t>
      </w:r>
      <w:r w:rsidR="00DC4F48">
        <w:rPr>
          <w:rFonts w:ascii="Book Antiqua" w:eastAsia="Book Antiqua" w:hAnsi="Book Antiqua" w:cs="Book Antiqua"/>
          <w:color w:val="000000"/>
        </w:rPr>
        <w:t>DCE</w:t>
      </w:r>
      <w:r>
        <w:rPr>
          <w:rFonts w:ascii="Book Antiqua" w:eastAsia="Book Antiqua" w:hAnsi="Book Antiqua" w:cs="Book Antiqua"/>
          <w:color w:val="000000"/>
        </w:rPr>
        <w:t>, allow a better detection and characterization of premalignant endoscopic lesions, avoiding the risks of advanced stages</w:t>
      </w:r>
      <w:r>
        <w:rPr>
          <w:rFonts w:ascii="Book Antiqua" w:eastAsia="Book Antiqua" w:hAnsi="Book Antiqua" w:cs="Book Antiqua"/>
          <w:color w:val="000000"/>
          <w:vertAlign w:val="superscript"/>
        </w:rPr>
        <w:t>[63]</w:t>
      </w:r>
      <w:r>
        <w:rPr>
          <w:rFonts w:ascii="Book Antiqua" w:eastAsia="Book Antiqua" w:hAnsi="Book Antiqua" w:cs="Book Antiqua"/>
          <w:color w:val="000000"/>
        </w:rPr>
        <w:t>. Additionally, evolving endoscopic therapies allow greater minimally invasive therapeutic options for the treatment of stenosis and fistulas as an alternatives to surgical management with lower morbidity.</w:t>
      </w:r>
    </w:p>
    <w:p w14:paraId="20EE415B" w14:textId="77777777" w:rsidR="00A77B3E" w:rsidRDefault="00A77B3E" w:rsidP="00DE6F12">
      <w:pPr>
        <w:spacing w:line="360" w:lineRule="auto"/>
        <w:jc w:val="both"/>
      </w:pPr>
    </w:p>
    <w:p w14:paraId="6F4DFFBF" w14:textId="77777777" w:rsidR="00A77B3E" w:rsidRDefault="002D3822" w:rsidP="00DE6F12">
      <w:pPr>
        <w:spacing w:line="360" w:lineRule="auto"/>
        <w:jc w:val="both"/>
      </w:pPr>
      <w:r>
        <w:rPr>
          <w:rFonts w:ascii="Book Antiqua" w:eastAsia="Book Antiqua" w:hAnsi="Book Antiqua" w:cs="Book Antiqua"/>
          <w:b/>
          <w:color w:val="000000"/>
        </w:rPr>
        <w:t>REFERENCES</w:t>
      </w:r>
    </w:p>
    <w:p w14:paraId="1E592B5D" w14:textId="77777777" w:rsidR="00A77B3E" w:rsidRDefault="002D3822" w:rsidP="00DE6F12">
      <w:pPr>
        <w:spacing w:line="360" w:lineRule="auto"/>
        <w:jc w:val="both"/>
      </w:pPr>
      <w:bookmarkStart w:id="4" w:name="OLE_LINK2888"/>
      <w:bookmarkStart w:id="5" w:name="OLE_LINK2889"/>
      <w:r>
        <w:rPr>
          <w:rFonts w:ascii="Book Antiqua" w:eastAsia="Book Antiqua" w:hAnsi="Book Antiqua" w:cs="Book Antiqua"/>
          <w:color w:val="000000"/>
        </w:rPr>
        <w:t xml:space="preserve">1 </w:t>
      </w:r>
      <w:r>
        <w:rPr>
          <w:rFonts w:ascii="Book Antiqua" w:eastAsia="Book Antiqua" w:hAnsi="Book Antiqua" w:cs="Book Antiqua"/>
          <w:b/>
          <w:bCs/>
          <w:color w:val="000000"/>
        </w:rPr>
        <w:t>Ungaro R</w:t>
      </w:r>
      <w:r>
        <w:rPr>
          <w:rFonts w:ascii="Book Antiqua" w:eastAsia="Book Antiqua" w:hAnsi="Book Antiqua" w:cs="Book Antiqua"/>
          <w:color w:val="000000"/>
        </w:rPr>
        <w:t xml:space="preserve">, Mehandru S, Allen PB, Peyrin-Biroulet L, Colombel JF. Ulcerative colitis.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2017; </w:t>
      </w:r>
      <w:r>
        <w:rPr>
          <w:rFonts w:ascii="Book Antiqua" w:eastAsia="Book Antiqua" w:hAnsi="Book Antiqua" w:cs="Book Antiqua"/>
          <w:b/>
          <w:bCs/>
          <w:color w:val="000000"/>
        </w:rPr>
        <w:t>389</w:t>
      </w:r>
      <w:r>
        <w:rPr>
          <w:rFonts w:ascii="Book Antiqua" w:eastAsia="Book Antiqua" w:hAnsi="Book Antiqua" w:cs="Book Antiqua"/>
          <w:color w:val="000000"/>
        </w:rPr>
        <w:t>: 1756-1770 [PMID: 27914657 DOI: 10.1016/S0140-6736(16)32126-2]</w:t>
      </w:r>
    </w:p>
    <w:p w14:paraId="5DE154B1" w14:textId="77777777" w:rsidR="00A77B3E" w:rsidRDefault="002D3822" w:rsidP="00DE6F12">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Loftus EV Jr</w:t>
      </w:r>
      <w:r>
        <w:rPr>
          <w:rFonts w:ascii="Book Antiqua" w:eastAsia="Book Antiqua" w:hAnsi="Book Antiqua" w:cs="Book Antiqua"/>
          <w:color w:val="000000"/>
        </w:rPr>
        <w:t xml:space="preserve">. Crohn's Disease: Etiology, Complications, Assessment, Therapy, and Management. </w:t>
      </w:r>
      <w:r>
        <w:rPr>
          <w:rFonts w:ascii="Book Antiqua" w:eastAsia="Book Antiqua" w:hAnsi="Book Antiqua" w:cs="Book Antiqua"/>
          <w:i/>
          <w:iCs/>
          <w:color w:val="000000"/>
        </w:rPr>
        <w:t>Gastroenterol Clin North Am</w:t>
      </w:r>
      <w:r>
        <w:rPr>
          <w:rFonts w:ascii="Book Antiqua" w:eastAsia="Book Antiqua" w:hAnsi="Book Antiqua" w:cs="Book Antiqua"/>
          <w:color w:val="000000"/>
        </w:rPr>
        <w:t xml:space="preserve"> 2017; </w:t>
      </w:r>
      <w:r>
        <w:rPr>
          <w:rFonts w:ascii="Book Antiqua" w:eastAsia="Book Antiqua" w:hAnsi="Book Antiqua" w:cs="Book Antiqua"/>
          <w:b/>
          <w:bCs/>
          <w:color w:val="000000"/>
        </w:rPr>
        <w:t>46</w:t>
      </w:r>
      <w:r>
        <w:rPr>
          <w:rFonts w:ascii="Book Antiqua" w:eastAsia="Book Antiqua" w:hAnsi="Book Antiqua" w:cs="Book Antiqua"/>
          <w:color w:val="000000"/>
        </w:rPr>
        <w:t>: xiii-xixv [PMID: 28838422 DOI: 10.1016/j.gtc.2017.06.001]</w:t>
      </w:r>
    </w:p>
    <w:p w14:paraId="287AF633" w14:textId="77777777" w:rsidR="00A77B3E" w:rsidRDefault="002D3822" w:rsidP="00DE6F12">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Maaser C</w:t>
      </w:r>
      <w:r>
        <w:rPr>
          <w:rFonts w:ascii="Book Antiqua" w:eastAsia="Book Antiqua" w:hAnsi="Book Antiqua" w:cs="Book Antiqua"/>
          <w:color w:val="000000"/>
        </w:rPr>
        <w:t xml:space="preserve">, Sturm A, Vavricka SR, Kucharzik T, Fiorino G, Annese V, Calabrese E, Baumgart DC, Bettenworth D, Borralho Nunes P, Burisch J, Castiglione F, Eliakim R, Ellul P, González-Lama Y, Gordon H, Halligan S, Katsanos K, Kopylov U, Kotze PG, Krustinš E, Laghi A, Limdi JK, Rieder F, Rimola J, Taylor SA, Tolan D, van Rheenen P, Verstockt B, Stoker J; European Crohn’s and Colitis Organisation [ECCO] and the European Society of Gastrointestinal and Abdominal Radiology [ESGAR]. ECCO-ESGAR Guideline for Diagnostic Assessment in IBD Part 1: Initial diagnosis, monitoring of known IBD, detection of complications. </w:t>
      </w:r>
      <w:r>
        <w:rPr>
          <w:rFonts w:ascii="Book Antiqua" w:eastAsia="Book Antiqua" w:hAnsi="Book Antiqua" w:cs="Book Antiqua"/>
          <w:i/>
          <w:iCs/>
          <w:color w:val="000000"/>
        </w:rPr>
        <w:t>J Crohns Colitis</w:t>
      </w:r>
      <w:r>
        <w:rPr>
          <w:rFonts w:ascii="Book Antiqua" w:eastAsia="Book Antiqua" w:hAnsi="Book Antiqua" w:cs="Book Antiqua"/>
          <w:color w:val="000000"/>
        </w:rPr>
        <w:t xml:space="preserve"> 2019; </w:t>
      </w:r>
      <w:r>
        <w:rPr>
          <w:rFonts w:ascii="Book Antiqua" w:eastAsia="Book Antiqua" w:hAnsi="Book Antiqua" w:cs="Book Antiqua"/>
          <w:b/>
          <w:bCs/>
          <w:color w:val="000000"/>
        </w:rPr>
        <w:t>13</w:t>
      </w:r>
      <w:r>
        <w:rPr>
          <w:rFonts w:ascii="Book Antiqua" w:eastAsia="Book Antiqua" w:hAnsi="Book Antiqua" w:cs="Book Antiqua"/>
          <w:color w:val="000000"/>
        </w:rPr>
        <w:t>: 144-164 [PMID: 30137275 DOI: 10.1093/ecco-jcc/jjy113]</w:t>
      </w:r>
    </w:p>
    <w:p w14:paraId="1043CB96" w14:textId="77777777" w:rsidR="00A77B3E" w:rsidRDefault="002D3822" w:rsidP="00DE6F12">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Zilli A</w:t>
      </w:r>
      <w:r>
        <w:rPr>
          <w:rFonts w:ascii="Book Antiqua" w:eastAsia="Book Antiqua" w:hAnsi="Book Antiqua" w:cs="Book Antiqua"/>
          <w:color w:val="000000"/>
        </w:rPr>
        <w:t xml:space="preserve">, Capogreco A, Furfaro F, Allocca M, Roda G, Loy L, Fiorino G, Danese S. Improving quality of care in endoscopy of inflammatory bowel disease: can we do better? </w:t>
      </w:r>
      <w:r>
        <w:rPr>
          <w:rFonts w:ascii="Book Antiqua" w:eastAsia="Book Antiqua" w:hAnsi="Book Antiqua" w:cs="Book Antiqua"/>
          <w:i/>
          <w:iCs/>
          <w:color w:val="000000"/>
        </w:rPr>
        <w:t>Expert Rev Gastroenterol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14</w:t>
      </w:r>
      <w:r>
        <w:rPr>
          <w:rFonts w:ascii="Book Antiqua" w:eastAsia="Book Antiqua" w:hAnsi="Book Antiqua" w:cs="Book Antiqua"/>
          <w:color w:val="000000"/>
        </w:rPr>
        <w:t>: 819-828 [PMID: 32543983 DOI: 10.1080/17474124.2020.1780913]</w:t>
      </w:r>
    </w:p>
    <w:p w14:paraId="13E5F0CB" w14:textId="77777777" w:rsidR="00A77B3E" w:rsidRDefault="002D3822" w:rsidP="00DE6F12">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Vatn MH</w:t>
      </w:r>
      <w:r>
        <w:rPr>
          <w:rFonts w:ascii="Book Antiqua" w:eastAsia="Book Antiqua" w:hAnsi="Book Antiqua" w:cs="Book Antiqua"/>
          <w:color w:val="000000"/>
        </w:rPr>
        <w:t xml:space="preserve">. Natural history and complications of IBD. </w:t>
      </w:r>
      <w:r>
        <w:rPr>
          <w:rFonts w:ascii="Book Antiqua" w:eastAsia="Book Antiqua" w:hAnsi="Book Antiqua" w:cs="Book Antiqua"/>
          <w:i/>
          <w:iCs/>
          <w:color w:val="000000"/>
        </w:rPr>
        <w:t>Curr Gastroenterol Rep</w:t>
      </w:r>
      <w:r>
        <w:rPr>
          <w:rFonts w:ascii="Book Antiqua" w:eastAsia="Book Antiqua" w:hAnsi="Book Antiqua" w:cs="Book Antiqua"/>
          <w:color w:val="000000"/>
        </w:rPr>
        <w:t xml:space="preserve"> 2009; </w:t>
      </w:r>
      <w:r>
        <w:rPr>
          <w:rFonts w:ascii="Book Antiqua" w:eastAsia="Book Antiqua" w:hAnsi="Book Antiqua" w:cs="Book Antiqua"/>
          <w:b/>
          <w:bCs/>
          <w:color w:val="000000"/>
        </w:rPr>
        <w:t>11</w:t>
      </w:r>
      <w:r>
        <w:rPr>
          <w:rFonts w:ascii="Book Antiqua" w:eastAsia="Book Antiqua" w:hAnsi="Book Antiqua" w:cs="Book Antiqua"/>
          <w:color w:val="000000"/>
        </w:rPr>
        <w:t>: 481-487 [PMID: 19903424 DOI: 10.1007/s11894-009-0073-8]</w:t>
      </w:r>
    </w:p>
    <w:p w14:paraId="7753512B" w14:textId="77777777" w:rsidR="00A77B3E" w:rsidRDefault="002D3822" w:rsidP="00DE6F12">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Torres J</w:t>
      </w:r>
      <w:r>
        <w:rPr>
          <w:rFonts w:ascii="Book Antiqua" w:eastAsia="Book Antiqua" w:hAnsi="Book Antiqua" w:cs="Book Antiqua"/>
          <w:color w:val="000000"/>
        </w:rPr>
        <w:t xml:space="preserve">, Billioud V, Sachar DB, Peyrin-Biroulet L, Colombel JF. Ulcerative colitis as a progressive disease: the forgotten evidence. </w:t>
      </w:r>
      <w:r>
        <w:rPr>
          <w:rFonts w:ascii="Book Antiqua" w:eastAsia="Book Antiqua" w:hAnsi="Book Antiqua" w:cs="Book Antiqua"/>
          <w:i/>
          <w:iCs/>
          <w:color w:val="000000"/>
        </w:rPr>
        <w:t>Inflamm Bowel Dis</w:t>
      </w:r>
      <w:r>
        <w:rPr>
          <w:rFonts w:ascii="Book Antiqua" w:eastAsia="Book Antiqua" w:hAnsi="Book Antiqua" w:cs="Book Antiqua"/>
          <w:color w:val="000000"/>
        </w:rPr>
        <w:t xml:space="preserve"> 2012; </w:t>
      </w:r>
      <w:r>
        <w:rPr>
          <w:rFonts w:ascii="Book Antiqua" w:eastAsia="Book Antiqua" w:hAnsi="Book Antiqua" w:cs="Book Antiqua"/>
          <w:b/>
          <w:bCs/>
          <w:color w:val="000000"/>
        </w:rPr>
        <w:t>18</w:t>
      </w:r>
      <w:r>
        <w:rPr>
          <w:rFonts w:ascii="Book Antiqua" w:eastAsia="Book Antiqua" w:hAnsi="Book Antiqua" w:cs="Book Antiqua"/>
          <w:color w:val="000000"/>
        </w:rPr>
        <w:t>: 1356-1363 [PMID: 22162423 DOI: 10.1002/ibd.22839]</w:t>
      </w:r>
    </w:p>
    <w:p w14:paraId="525DCC04" w14:textId="77777777" w:rsidR="00A77B3E" w:rsidRDefault="002D3822" w:rsidP="00DE6F12">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Nuñez F P</w:t>
      </w:r>
      <w:r>
        <w:rPr>
          <w:rFonts w:ascii="Book Antiqua" w:eastAsia="Book Antiqua" w:hAnsi="Book Antiqua" w:cs="Book Antiqua"/>
          <w:color w:val="000000"/>
        </w:rPr>
        <w:t xml:space="preserve">, Mahadevan U, Quera R, Bay C, Ibañez P. Treat-to-target approach in the management of inflammatory Bowel disease. </w:t>
      </w:r>
      <w:r>
        <w:rPr>
          <w:rFonts w:ascii="Book Antiqua" w:eastAsia="Book Antiqua" w:hAnsi="Book Antiqua" w:cs="Book Antiqua"/>
          <w:i/>
          <w:iCs/>
          <w:color w:val="000000"/>
        </w:rPr>
        <w:t>Gastroenterol Hepatol</w:t>
      </w:r>
      <w:r>
        <w:rPr>
          <w:rFonts w:ascii="Book Antiqua" w:eastAsia="Book Antiqua" w:hAnsi="Book Antiqua" w:cs="Book Antiqua"/>
          <w:color w:val="000000"/>
        </w:rPr>
        <w:t xml:space="preserve"> 2021; </w:t>
      </w:r>
      <w:r>
        <w:rPr>
          <w:rFonts w:ascii="Book Antiqua" w:eastAsia="Book Antiqua" w:hAnsi="Book Antiqua" w:cs="Book Antiqua"/>
          <w:b/>
          <w:bCs/>
          <w:color w:val="000000"/>
        </w:rPr>
        <w:t>44</w:t>
      </w:r>
      <w:r>
        <w:rPr>
          <w:rFonts w:ascii="Book Antiqua" w:eastAsia="Book Antiqua" w:hAnsi="Book Antiqua" w:cs="Book Antiqua"/>
          <w:color w:val="000000"/>
        </w:rPr>
        <w:t>: 312-319 [PMID: 33070988 DOI: 10.1016/j.gastrohep.2020.06.032]</w:t>
      </w:r>
    </w:p>
    <w:p w14:paraId="736896C8" w14:textId="77777777" w:rsidR="00A77B3E" w:rsidRDefault="002D3822" w:rsidP="00DE6F12">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Colombel JF</w:t>
      </w:r>
      <w:r>
        <w:rPr>
          <w:rFonts w:ascii="Book Antiqua" w:eastAsia="Book Antiqua" w:hAnsi="Book Antiqua" w:cs="Book Antiqua"/>
          <w:color w:val="000000"/>
        </w:rPr>
        <w:t xml:space="preserve">, Rutgeerts P, Reinisch W, Esser D, Wang Y, Lang Y, Marano CW, Strauss R, Oddens BJ, Feagan BG, Hanauer SB, Lichtenstein GR, Present D, Sands BE, Sandborn WJ. Early mucosal healing with infliximab is associated with improved long-term clinical outcomes in ulcerative colitis.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2011; </w:t>
      </w:r>
      <w:r>
        <w:rPr>
          <w:rFonts w:ascii="Book Antiqua" w:eastAsia="Book Antiqua" w:hAnsi="Book Antiqua" w:cs="Book Antiqua"/>
          <w:b/>
          <w:bCs/>
          <w:color w:val="000000"/>
        </w:rPr>
        <w:t>141</w:t>
      </w:r>
      <w:r>
        <w:rPr>
          <w:rFonts w:ascii="Book Antiqua" w:eastAsia="Book Antiqua" w:hAnsi="Book Antiqua" w:cs="Book Antiqua"/>
          <w:color w:val="000000"/>
        </w:rPr>
        <w:t>: 1194-1201 [PMID: 21723220 DOI: 10.1053/j.gastro.2011.06.054]</w:t>
      </w:r>
    </w:p>
    <w:p w14:paraId="0E6D74FD" w14:textId="77777777" w:rsidR="00A77B3E" w:rsidRDefault="002D3822" w:rsidP="00DE6F12">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Colombel JF</w:t>
      </w:r>
      <w:r>
        <w:rPr>
          <w:rFonts w:ascii="Book Antiqua" w:eastAsia="Book Antiqua" w:hAnsi="Book Antiqua" w:cs="Book Antiqua"/>
          <w:color w:val="000000"/>
        </w:rPr>
        <w:t xml:space="preserve">, Rutgeerts PJ, Sandborn WJ, Yang M, Camez A, Pollack PF, Thakkar RB, Robinson AM, Chen N, Mulani PM, Chao J. Adalimumab induces deep remission in patients with Crohn's disease.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12</w:t>
      </w:r>
      <w:r>
        <w:rPr>
          <w:rFonts w:ascii="Book Antiqua" w:eastAsia="Book Antiqua" w:hAnsi="Book Antiqua" w:cs="Book Antiqua"/>
          <w:color w:val="000000"/>
        </w:rPr>
        <w:t>: 414-22.e5 [PMID: 23856361 DOI: 10.1016/j.cgh.2013.06.019]</w:t>
      </w:r>
    </w:p>
    <w:p w14:paraId="182DCAFB" w14:textId="77777777" w:rsidR="00A77B3E" w:rsidRDefault="002D3822" w:rsidP="00DE6F12">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Peyrin-Biroulet L</w:t>
      </w:r>
      <w:r>
        <w:rPr>
          <w:rFonts w:ascii="Book Antiqua" w:eastAsia="Book Antiqua" w:hAnsi="Book Antiqua" w:cs="Book Antiqua"/>
          <w:color w:val="000000"/>
        </w:rPr>
        <w:t xml:space="preserve">, Sandborn W, Sands BE, Reinisch W, Bemelman W, Bryant RV, D'Haens G, Dotan I, Dubinsky M, Feagan B, Fiorino G, Gearry R, Krishnareddy S, Lakatos PL, Loftus EV Jr, Marteau P, Munkholm P, Murdoch TB, Ordás I, Panaccione R, Riddell RH, Ruel J, Rubin DT, Samaan M, Siegel CA, Silverberg MS, Stoker J, Schreiber S, Travis S, Van Assche G, Danese S, Panes J, Bouguen G, O'Donnell S, Pariente B, Winer S, Hanauer S, Colombel JF. Selecting Therapeutic Targets in Inflammatory Bowel Disease (STRIDE): Determining Therapeutic Goals for Treat-to-Target.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110</w:t>
      </w:r>
      <w:r>
        <w:rPr>
          <w:rFonts w:ascii="Book Antiqua" w:eastAsia="Book Antiqua" w:hAnsi="Book Antiqua" w:cs="Book Antiqua"/>
          <w:color w:val="000000"/>
        </w:rPr>
        <w:t>: 1324-1338 [PMID: 26303131 DOI: 10.1038/ajg.2015.233]</w:t>
      </w:r>
    </w:p>
    <w:p w14:paraId="2FD0B416" w14:textId="77777777" w:rsidR="00A77B3E" w:rsidRDefault="002D3822" w:rsidP="00DE6F12">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Ungaro R</w:t>
      </w:r>
      <w:r>
        <w:rPr>
          <w:rFonts w:ascii="Book Antiqua" w:eastAsia="Book Antiqua" w:hAnsi="Book Antiqua" w:cs="Book Antiqua"/>
          <w:color w:val="000000"/>
        </w:rPr>
        <w:t xml:space="preserve">, Colombel JF, Lissoos T, Peyrin-Biroulet L. A Treat-to-Target Update in Ulcerative Colitis: A Systematic Review.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114</w:t>
      </w:r>
      <w:r>
        <w:rPr>
          <w:rFonts w:ascii="Book Antiqua" w:eastAsia="Book Antiqua" w:hAnsi="Book Antiqua" w:cs="Book Antiqua"/>
          <w:color w:val="000000"/>
        </w:rPr>
        <w:t>: 874-883 [PMID: 30908297 DOI: 10.14309/ajg.0000000000000183]</w:t>
      </w:r>
    </w:p>
    <w:p w14:paraId="74996C9B" w14:textId="77777777" w:rsidR="00A77B3E" w:rsidRPr="00BC0F34" w:rsidRDefault="002D3822" w:rsidP="00DE6F12">
      <w:pPr>
        <w:spacing w:line="360" w:lineRule="auto"/>
        <w:jc w:val="both"/>
        <w:rPr>
          <w:lang w:val="es-CL"/>
        </w:rPr>
      </w:pPr>
      <w:r>
        <w:rPr>
          <w:rFonts w:ascii="Book Antiqua" w:eastAsia="Book Antiqua" w:hAnsi="Book Antiqua" w:cs="Book Antiqua"/>
          <w:color w:val="000000"/>
        </w:rPr>
        <w:t xml:space="preserve">12 </w:t>
      </w:r>
      <w:r>
        <w:rPr>
          <w:rFonts w:ascii="Book Antiqua" w:eastAsia="Book Antiqua" w:hAnsi="Book Antiqua" w:cs="Book Antiqua"/>
          <w:b/>
          <w:bCs/>
          <w:color w:val="000000"/>
        </w:rPr>
        <w:t>Rutgeerts P</w:t>
      </w:r>
      <w:r>
        <w:rPr>
          <w:rFonts w:ascii="Book Antiqua" w:eastAsia="Book Antiqua" w:hAnsi="Book Antiqua" w:cs="Book Antiqua"/>
          <w:color w:val="000000"/>
        </w:rPr>
        <w:t xml:space="preserve">, Diamond RH, Bala M, Olson A, Lichtenstein GR, Bao W, Patel K, Wolf DC, Safdi M, Colombel JF, Lashner B, Hanauer SB. Scheduled maintenance treatment with infliximab is superior to episodic treatment for the healing of mucosal ulceration associated with Crohn's disease. </w:t>
      </w:r>
      <w:r w:rsidRPr="00BC0F34">
        <w:rPr>
          <w:rFonts w:ascii="Book Antiqua" w:eastAsia="Book Antiqua" w:hAnsi="Book Antiqua" w:cs="Book Antiqua"/>
          <w:i/>
          <w:iCs/>
          <w:color w:val="000000"/>
          <w:lang w:val="es-CL"/>
        </w:rPr>
        <w:t>Gastrointest Endosc</w:t>
      </w:r>
      <w:r w:rsidRPr="00BC0F34">
        <w:rPr>
          <w:rFonts w:ascii="Book Antiqua" w:eastAsia="Book Antiqua" w:hAnsi="Book Antiqua" w:cs="Book Antiqua"/>
          <w:color w:val="000000"/>
          <w:lang w:val="es-CL"/>
        </w:rPr>
        <w:t xml:space="preserve"> 2006; </w:t>
      </w:r>
      <w:r w:rsidRPr="00BC0F34">
        <w:rPr>
          <w:rFonts w:ascii="Book Antiqua" w:eastAsia="Book Antiqua" w:hAnsi="Book Antiqua" w:cs="Book Antiqua"/>
          <w:b/>
          <w:bCs/>
          <w:color w:val="000000"/>
          <w:lang w:val="es-CL"/>
        </w:rPr>
        <w:t>63</w:t>
      </w:r>
      <w:r w:rsidRPr="00BC0F34">
        <w:rPr>
          <w:rFonts w:ascii="Book Antiqua" w:eastAsia="Book Antiqua" w:hAnsi="Book Antiqua" w:cs="Book Antiqua"/>
          <w:color w:val="000000"/>
          <w:lang w:val="es-CL"/>
        </w:rPr>
        <w:t>: 433-42; quiz 464 [PMID: 16500392 DOI: 10.1016/j.gie.2005.08.011]</w:t>
      </w:r>
    </w:p>
    <w:p w14:paraId="3CE8747D" w14:textId="77777777" w:rsidR="00A77B3E" w:rsidRDefault="002D3822" w:rsidP="00DE6F12">
      <w:pPr>
        <w:spacing w:line="360" w:lineRule="auto"/>
        <w:jc w:val="both"/>
      </w:pPr>
      <w:r w:rsidRPr="00BC0F34">
        <w:rPr>
          <w:rFonts w:ascii="Book Antiqua" w:eastAsia="Book Antiqua" w:hAnsi="Book Antiqua" w:cs="Book Antiqua"/>
          <w:color w:val="000000"/>
          <w:lang w:val="es-CL"/>
        </w:rPr>
        <w:t xml:space="preserve">13 </w:t>
      </w:r>
      <w:r w:rsidRPr="00BC0F34">
        <w:rPr>
          <w:rFonts w:ascii="Book Antiqua" w:eastAsia="Book Antiqua" w:hAnsi="Book Antiqua" w:cs="Book Antiqua"/>
          <w:b/>
          <w:bCs/>
          <w:color w:val="000000"/>
          <w:lang w:val="es-CL"/>
        </w:rPr>
        <w:t>Barreiro-de Acosta M</w:t>
      </w:r>
      <w:r w:rsidRPr="00BC0F34">
        <w:rPr>
          <w:rFonts w:ascii="Book Antiqua" w:eastAsia="Book Antiqua" w:hAnsi="Book Antiqua" w:cs="Book Antiqua"/>
          <w:color w:val="000000"/>
          <w:lang w:val="es-CL"/>
        </w:rPr>
        <w:t xml:space="preserve">, Vallejo N, de la Iglesia D, Uribarri L, Bastón I, Ferreiro-Iglesias R, Lorenzo A, Domínguez-Muñoz JE. </w:t>
      </w:r>
      <w:r>
        <w:rPr>
          <w:rFonts w:ascii="Book Antiqua" w:eastAsia="Book Antiqua" w:hAnsi="Book Antiqua" w:cs="Book Antiqua"/>
          <w:color w:val="000000"/>
        </w:rPr>
        <w:t xml:space="preserve">Evaluation of the Risk of Relapse in Ulcerative Colitis According to the Degree of Mucosal Healing (Mayo 0 </w:t>
      </w:r>
      <w:r>
        <w:rPr>
          <w:rFonts w:ascii="Book Antiqua" w:eastAsia="Book Antiqua" w:hAnsi="Book Antiqua" w:cs="Book Antiqua"/>
          <w:i/>
          <w:iCs/>
          <w:color w:val="000000"/>
        </w:rPr>
        <w:t>vs</w:t>
      </w:r>
      <w:r>
        <w:rPr>
          <w:rFonts w:ascii="Book Antiqua" w:eastAsia="Book Antiqua" w:hAnsi="Book Antiqua" w:cs="Book Antiqua"/>
          <w:color w:val="000000"/>
        </w:rPr>
        <w:t xml:space="preserve"> 1): A Longitudinal Cohort Study. </w:t>
      </w:r>
      <w:r>
        <w:rPr>
          <w:rFonts w:ascii="Book Antiqua" w:eastAsia="Book Antiqua" w:hAnsi="Book Antiqua" w:cs="Book Antiqua"/>
          <w:i/>
          <w:iCs/>
          <w:color w:val="000000"/>
        </w:rPr>
        <w:t>J Crohns Colitis</w:t>
      </w:r>
      <w:r>
        <w:rPr>
          <w:rFonts w:ascii="Book Antiqua" w:eastAsia="Book Antiqua" w:hAnsi="Book Antiqua" w:cs="Book Antiqua"/>
          <w:color w:val="000000"/>
        </w:rPr>
        <w:t xml:space="preserve"> 2016; </w:t>
      </w:r>
      <w:r>
        <w:rPr>
          <w:rFonts w:ascii="Book Antiqua" w:eastAsia="Book Antiqua" w:hAnsi="Book Antiqua" w:cs="Book Antiqua"/>
          <w:b/>
          <w:bCs/>
          <w:color w:val="000000"/>
        </w:rPr>
        <w:t>10</w:t>
      </w:r>
      <w:r>
        <w:rPr>
          <w:rFonts w:ascii="Book Antiqua" w:eastAsia="Book Antiqua" w:hAnsi="Book Antiqua" w:cs="Book Antiqua"/>
          <w:color w:val="000000"/>
        </w:rPr>
        <w:t>: 13-19 [PMID: 26351390 DOI: 10.1093/ecco-jcc/jjv158]</w:t>
      </w:r>
    </w:p>
    <w:p w14:paraId="3CC9B4C1" w14:textId="77777777" w:rsidR="00A77B3E" w:rsidRDefault="002D3822" w:rsidP="00DE6F12">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Vuitton L</w:t>
      </w:r>
      <w:r>
        <w:rPr>
          <w:rFonts w:ascii="Book Antiqua" w:eastAsia="Book Antiqua" w:hAnsi="Book Antiqua" w:cs="Book Antiqua"/>
          <w:color w:val="000000"/>
        </w:rPr>
        <w:t xml:space="preserve">, Peyrin-Biroulet L, Colombel JF, Pariente B, Pineton de Chambrun G, Walsh AJ, Panes J, Travis SP, Mary JY, Marteau P. Defining endoscopic response and remission in ulcerative colitis clinical trials: an international consensus. </w:t>
      </w:r>
      <w:r>
        <w:rPr>
          <w:rFonts w:ascii="Book Antiqua" w:eastAsia="Book Antiqua" w:hAnsi="Book Antiqua" w:cs="Book Antiqua"/>
          <w:i/>
          <w:iCs/>
          <w:color w:val="000000"/>
        </w:rPr>
        <w:t>Aliment Pharmacol Ther</w:t>
      </w:r>
      <w:r>
        <w:rPr>
          <w:rFonts w:ascii="Book Antiqua" w:eastAsia="Book Antiqua" w:hAnsi="Book Antiqua" w:cs="Book Antiqua"/>
          <w:color w:val="000000"/>
        </w:rPr>
        <w:t xml:space="preserve"> 2017; </w:t>
      </w:r>
      <w:r>
        <w:rPr>
          <w:rFonts w:ascii="Book Antiqua" w:eastAsia="Book Antiqua" w:hAnsi="Book Antiqua" w:cs="Book Antiqua"/>
          <w:b/>
          <w:bCs/>
          <w:color w:val="000000"/>
        </w:rPr>
        <w:t>45</w:t>
      </w:r>
      <w:r>
        <w:rPr>
          <w:rFonts w:ascii="Book Antiqua" w:eastAsia="Book Antiqua" w:hAnsi="Book Antiqua" w:cs="Book Antiqua"/>
          <w:color w:val="000000"/>
        </w:rPr>
        <w:t>: 801-813 [PMID: 28112419 DOI: 10.1111/apt.13948]</w:t>
      </w:r>
    </w:p>
    <w:p w14:paraId="212825AF" w14:textId="77777777" w:rsidR="00A77B3E" w:rsidRDefault="002D3822" w:rsidP="00DE6F12">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Negreanu L</w:t>
      </w:r>
      <w:r>
        <w:rPr>
          <w:rFonts w:ascii="Book Antiqua" w:eastAsia="Book Antiqua" w:hAnsi="Book Antiqua" w:cs="Book Antiqua"/>
          <w:color w:val="000000"/>
        </w:rPr>
        <w:t xml:space="preserve">, Voiosu T, State M, Voiosu A, Bengus A, Mateescu BR. Endoscopy in inflammatory bowel disease: from guidelines to real life. </w:t>
      </w:r>
      <w:r>
        <w:rPr>
          <w:rFonts w:ascii="Book Antiqua" w:eastAsia="Book Antiqua" w:hAnsi="Book Antiqua" w:cs="Book Antiqua"/>
          <w:i/>
          <w:iCs/>
          <w:color w:val="000000"/>
        </w:rPr>
        <w:t>Therap Adv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1756284819865153 [PMID: 31384307 DOI: 10.1177/1756284819865153]</w:t>
      </w:r>
    </w:p>
    <w:p w14:paraId="1C3A6EB0" w14:textId="77777777" w:rsidR="00A77B3E" w:rsidRDefault="002D3822" w:rsidP="00DE6F12">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Daperno M</w:t>
      </w:r>
      <w:r>
        <w:rPr>
          <w:rFonts w:ascii="Book Antiqua" w:eastAsia="Book Antiqua" w:hAnsi="Book Antiqua" w:cs="Book Antiqua"/>
          <w:color w:val="000000"/>
        </w:rPr>
        <w:t xml:space="preserve">, Comberlato M, Bossa F, Biancone L, Bonanomi AG, Cassinotti A, Cosintino R, Lombardi G, Mangiarotti R, Papa A, Pica R, Rizzello F, D'Incà R, Orlando A. Inter-observer agreement in endoscopic scoring systems: preliminary report of an ongoing study from the Italian Group for Inflammatory Bowel Disease (IG-IBD). </w:t>
      </w:r>
      <w:r>
        <w:rPr>
          <w:rFonts w:ascii="Book Antiqua" w:eastAsia="Book Antiqua" w:hAnsi="Book Antiqua" w:cs="Book Antiqua"/>
          <w:i/>
          <w:iCs/>
          <w:color w:val="000000"/>
        </w:rPr>
        <w:t>Dig Liver Dis</w:t>
      </w:r>
      <w:r>
        <w:rPr>
          <w:rFonts w:ascii="Book Antiqua" w:eastAsia="Book Antiqua" w:hAnsi="Book Antiqua" w:cs="Book Antiqua"/>
          <w:color w:val="000000"/>
        </w:rPr>
        <w:t xml:space="preserve"> 2014; </w:t>
      </w:r>
      <w:r>
        <w:rPr>
          <w:rFonts w:ascii="Book Antiqua" w:eastAsia="Book Antiqua" w:hAnsi="Book Antiqua" w:cs="Book Antiqua"/>
          <w:b/>
          <w:bCs/>
          <w:color w:val="000000"/>
        </w:rPr>
        <w:t>46</w:t>
      </w:r>
      <w:r>
        <w:rPr>
          <w:rFonts w:ascii="Book Antiqua" w:eastAsia="Book Antiqua" w:hAnsi="Book Antiqua" w:cs="Book Antiqua"/>
          <w:color w:val="000000"/>
        </w:rPr>
        <w:t>: 969-973 [PMID: 25154049 DOI: 10.1016/j.dld.2014.07.010]</w:t>
      </w:r>
    </w:p>
    <w:p w14:paraId="08B50DB0" w14:textId="77777777" w:rsidR="00A77B3E" w:rsidRDefault="002D3822" w:rsidP="00DE6F12">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Rutgeerts P</w:t>
      </w:r>
      <w:r>
        <w:rPr>
          <w:rFonts w:ascii="Book Antiqua" w:eastAsia="Book Antiqua" w:hAnsi="Book Antiqua" w:cs="Book Antiqua"/>
          <w:color w:val="000000"/>
        </w:rPr>
        <w:t xml:space="preserve">, Geboes K, Vantrappen G, Beyls J, Kerremans R, Hiele M. Predictability of the postoperative course of Crohn's disease.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1990; </w:t>
      </w:r>
      <w:r>
        <w:rPr>
          <w:rFonts w:ascii="Book Antiqua" w:eastAsia="Book Antiqua" w:hAnsi="Book Antiqua" w:cs="Book Antiqua"/>
          <w:b/>
          <w:bCs/>
          <w:color w:val="000000"/>
        </w:rPr>
        <w:t>99</w:t>
      </w:r>
      <w:r>
        <w:rPr>
          <w:rFonts w:ascii="Book Antiqua" w:eastAsia="Book Antiqua" w:hAnsi="Book Antiqua" w:cs="Book Antiqua"/>
          <w:color w:val="000000"/>
        </w:rPr>
        <w:t>: 956-963 [PMID: 2394349 DOI: 10.1016/0016-5085(90)90613-6]</w:t>
      </w:r>
    </w:p>
    <w:p w14:paraId="24DAD1CF" w14:textId="77777777" w:rsidR="00A77B3E" w:rsidRDefault="002D3822" w:rsidP="00DE6F12">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Rivière P</w:t>
      </w:r>
      <w:r>
        <w:rPr>
          <w:rFonts w:ascii="Book Antiqua" w:eastAsia="Book Antiqua" w:hAnsi="Book Antiqua" w:cs="Book Antiqua"/>
          <w:color w:val="000000"/>
        </w:rPr>
        <w:t xml:space="preserve">, Vermeire S, Irles-Depe M, Van Assche G, Rutgeerts P, de Buck van Overstraeten A, Denost Q, Wolthuis A, D'Hoore A, Laharie D, Ferrante M. No Change in Determining Crohn's Disease Recurrence or Need for Endoscopic or Surgical Intervention With Modification of the Rutgeerts' Scoring System.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17</w:t>
      </w:r>
      <w:r>
        <w:rPr>
          <w:rFonts w:ascii="Book Antiqua" w:eastAsia="Book Antiqua" w:hAnsi="Book Antiqua" w:cs="Book Antiqua"/>
          <w:color w:val="000000"/>
        </w:rPr>
        <w:t>: 1643-1645 [PMID: 30291910 DOI: 10.1016/j.cgh.2018.09.047]</w:t>
      </w:r>
    </w:p>
    <w:p w14:paraId="79AFC6DD" w14:textId="77777777" w:rsidR="00A77B3E" w:rsidRDefault="002D3822" w:rsidP="00DE6F12">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Vuitton L</w:t>
      </w:r>
      <w:r>
        <w:rPr>
          <w:rFonts w:ascii="Book Antiqua" w:eastAsia="Book Antiqua" w:hAnsi="Book Antiqua" w:cs="Book Antiqua"/>
          <w:color w:val="000000"/>
        </w:rPr>
        <w:t xml:space="preserve">, Marteau P, Sandborn WJ, Levesque BG, Feagan B, Vermeire S, Danese S, D'Haens G, Lowenberg M, Khanna R, Fiorino G, Travis S, Mary JY, Peyrin-Biroulet L. IOIBD technical review on endoscopic indices for Crohn's disease clinical trials. </w:t>
      </w:r>
      <w:r>
        <w:rPr>
          <w:rFonts w:ascii="Book Antiqua" w:eastAsia="Book Antiqua" w:hAnsi="Book Antiqua" w:cs="Book Antiqua"/>
          <w:i/>
          <w:iCs/>
          <w:color w:val="000000"/>
        </w:rPr>
        <w:t>Gut</w:t>
      </w:r>
      <w:r>
        <w:rPr>
          <w:rFonts w:ascii="Book Antiqua" w:eastAsia="Book Antiqua" w:hAnsi="Book Antiqua" w:cs="Book Antiqua"/>
          <w:color w:val="000000"/>
        </w:rPr>
        <w:t xml:space="preserve"> 2016; </w:t>
      </w:r>
      <w:r>
        <w:rPr>
          <w:rFonts w:ascii="Book Antiqua" w:eastAsia="Book Antiqua" w:hAnsi="Book Antiqua" w:cs="Book Antiqua"/>
          <w:b/>
          <w:bCs/>
          <w:color w:val="000000"/>
        </w:rPr>
        <w:t>65</w:t>
      </w:r>
      <w:r>
        <w:rPr>
          <w:rFonts w:ascii="Book Antiqua" w:eastAsia="Book Antiqua" w:hAnsi="Book Antiqua" w:cs="Book Antiqua"/>
          <w:color w:val="000000"/>
        </w:rPr>
        <w:t>: 1447-1455 [PMID: 26353983 DOI: 10.1136/gutjnl-2015-309903]</w:t>
      </w:r>
    </w:p>
    <w:p w14:paraId="676D163A" w14:textId="77777777" w:rsidR="00A77B3E" w:rsidRDefault="002D3822" w:rsidP="00DE6F12">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Turner D</w:t>
      </w:r>
      <w:r>
        <w:rPr>
          <w:rFonts w:ascii="Book Antiqua" w:eastAsia="Book Antiqua" w:hAnsi="Book Antiqua" w:cs="Book Antiqua"/>
          <w:color w:val="000000"/>
        </w:rPr>
        <w:t xml:space="preserve">, Ricciuto A, Lewis A, D'Amico F, Dhaliwal J, Griffiths AM, Bettenworth D, Sandborn WJ, Sands BE, Reinisch W, Schölmerich J, Bemelman W, Danese S, Mary JY, Rubin D, Colombel JF, Peyrin-Biroulet L, Dotan I, Abreu MT, Dignass A; International Organization for the Study of IBD. STRIDE-II: An Update on the Selecting Therapeutic Targets in Inflammatory Bowel Disease (STRIDE) Initiative of the International Organization for the Study of IBD (IOIBD): Determining Therapeutic Goals for Treat-to-Target strategies in IBD.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2021; </w:t>
      </w:r>
      <w:r>
        <w:rPr>
          <w:rFonts w:ascii="Book Antiqua" w:eastAsia="Book Antiqua" w:hAnsi="Book Antiqua" w:cs="Book Antiqua"/>
          <w:b/>
          <w:bCs/>
          <w:color w:val="000000"/>
        </w:rPr>
        <w:t>160</w:t>
      </w:r>
      <w:r>
        <w:rPr>
          <w:rFonts w:ascii="Book Antiqua" w:eastAsia="Book Antiqua" w:hAnsi="Book Antiqua" w:cs="Book Antiqua"/>
          <w:color w:val="000000"/>
        </w:rPr>
        <w:t>: 1570-1583 [PMID: 33359090 DOI: 10.1053/j.gastro.2020.12.031]</w:t>
      </w:r>
    </w:p>
    <w:p w14:paraId="5EFA9858" w14:textId="77777777" w:rsidR="00A77B3E" w:rsidRDefault="002D3822" w:rsidP="00DE6F12">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De Cruz P</w:t>
      </w:r>
      <w:r>
        <w:rPr>
          <w:rFonts w:ascii="Book Antiqua" w:eastAsia="Book Antiqua" w:hAnsi="Book Antiqua" w:cs="Book Antiqua"/>
          <w:color w:val="000000"/>
        </w:rPr>
        <w:t xml:space="preserve">, Kamm MA, Hamilton AL, Ritchie KJ, Krejany EO, Gorelik A, Liew D, Prideaux L, Lawrance IC, Andrews JM, Bampton PA, Gibson PR, Sparrow M, Leong RW, Florin TH, Gearry RB, Radford-Smith G, Macrae FA, Debinski H, Selby W, Kronborg I, Johnston MJ, Woods R, Elliott PR, Bell SJ, Brown SJ, Connell WR, Desmond PV. Crohn's disease management after intestinal resection: a randomised trial.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2015; </w:t>
      </w:r>
      <w:r>
        <w:rPr>
          <w:rFonts w:ascii="Book Antiqua" w:eastAsia="Book Antiqua" w:hAnsi="Book Antiqua" w:cs="Book Antiqua"/>
          <w:b/>
          <w:bCs/>
          <w:color w:val="000000"/>
        </w:rPr>
        <w:t>385</w:t>
      </w:r>
      <w:r>
        <w:rPr>
          <w:rFonts w:ascii="Book Antiqua" w:eastAsia="Book Antiqua" w:hAnsi="Book Antiqua" w:cs="Book Antiqua"/>
          <w:color w:val="000000"/>
        </w:rPr>
        <w:t>: 1406-1417 [PMID: 25542620 DOI: 10.1016/S0140-6736(14)61908-5]</w:t>
      </w:r>
    </w:p>
    <w:p w14:paraId="4EB349AD" w14:textId="77777777" w:rsidR="00A77B3E" w:rsidRDefault="002D3822" w:rsidP="00DE6F12">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Bhattacharya A</w:t>
      </w:r>
      <w:r>
        <w:rPr>
          <w:rFonts w:ascii="Book Antiqua" w:eastAsia="Book Antiqua" w:hAnsi="Book Antiqua" w:cs="Book Antiqua"/>
          <w:color w:val="000000"/>
        </w:rPr>
        <w:t xml:space="preserve">, Shen B, Regueiro M. Endoscopy in Postoperative Patients with Crohn's Disease or Ulcerative Colitis. Does It Translate to Better Outcomes? </w:t>
      </w:r>
      <w:r>
        <w:rPr>
          <w:rFonts w:ascii="Book Antiqua" w:eastAsia="Book Antiqua" w:hAnsi="Book Antiqua" w:cs="Book Antiqua"/>
          <w:i/>
          <w:iCs/>
          <w:color w:val="000000"/>
        </w:rPr>
        <w:t>Gastrointest Endosc Clin N Am</w:t>
      </w:r>
      <w:r>
        <w:rPr>
          <w:rFonts w:ascii="Book Antiqua" w:eastAsia="Book Antiqua" w:hAnsi="Book Antiqua" w:cs="Book Antiqua"/>
          <w:color w:val="000000"/>
        </w:rPr>
        <w:t xml:space="preserve"> 2019; </w:t>
      </w:r>
      <w:r>
        <w:rPr>
          <w:rFonts w:ascii="Book Antiqua" w:eastAsia="Book Antiqua" w:hAnsi="Book Antiqua" w:cs="Book Antiqua"/>
          <w:b/>
          <w:bCs/>
          <w:color w:val="000000"/>
        </w:rPr>
        <w:t>29</w:t>
      </w:r>
      <w:r>
        <w:rPr>
          <w:rFonts w:ascii="Book Antiqua" w:eastAsia="Book Antiqua" w:hAnsi="Book Antiqua" w:cs="Book Antiqua"/>
          <w:color w:val="000000"/>
        </w:rPr>
        <w:t>: 487-514 [PMID: 31078249 DOI: 10.1016/j.giec.2019.02.013]</w:t>
      </w:r>
    </w:p>
    <w:p w14:paraId="4F1E464B" w14:textId="77777777" w:rsidR="00A77B3E" w:rsidRDefault="002D3822" w:rsidP="00DE6F12">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Bray F</w:t>
      </w:r>
      <w:r>
        <w:rPr>
          <w:rFonts w:ascii="Book Antiqua" w:eastAsia="Book Antiqua" w:hAnsi="Book Antiqua" w:cs="Book Antiqua"/>
          <w:color w:val="000000"/>
        </w:rPr>
        <w:t xml:space="preserve">, Ferlay J, Soerjomataram I, Siegel RL, Torre LA, Jemal A. Global cancer statistics 2018: GLOBOCAN estimates of incidence and mortality worldwide for 36 cancers in 185 countries.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394-424 [PMID: 30207593 DOI: 10.3322/caac.21492]</w:t>
      </w:r>
    </w:p>
    <w:p w14:paraId="577B79EB" w14:textId="77777777" w:rsidR="00A77B3E" w:rsidRDefault="002D3822" w:rsidP="00DE6F12">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Eaden JA</w:t>
      </w:r>
      <w:r>
        <w:rPr>
          <w:rFonts w:ascii="Book Antiqua" w:eastAsia="Book Antiqua" w:hAnsi="Book Antiqua" w:cs="Book Antiqua"/>
          <w:color w:val="000000"/>
        </w:rPr>
        <w:t xml:space="preserve">, Abrams KR, Mayberry JF. The risk of colorectal cancer in ulcerative colitis: a meta-analysis. </w:t>
      </w:r>
      <w:r>
        <w:rPr>
          <w:rFonts w:ascii="Book Antiqua" w:eastAsia="Book Antiqua" w:hAnsi="Book Antiqua" w:cs="Book Antiqua"/>
          <w:i/>
          <w:iCs/>
          <w:color w:val="000000"/>
        </w:rPr>
        <w:t>Gut</w:t>
      </w:r>
      <w:r>
        <w:rPr>
          <w:rFonts w:ascii="Book Antiqua" w:eastAsia="Book Antiqua" w:hAnsi="Book Antiqua" w:cs="Book Antiqua"/>
          <w:color w:val="000000"/>
        </w:rPr>
        <w:t xml:space="preserve"> 2001; </w:t>
      </w:r>
      <w:r>
        <w:rPr>
          <w:rFonts w:ascii="Book Antiqua" w:eastAsia="Book Antiqua" w:hAnsi="Book Antiqua" w:cs="Book Antiqua"/>
          <w:b/>
          <w:bCs/>
          <w:color w:val="000000"/>
        </w:rPr>
        <w:t>48</w:t>
      </w:r>
      <w:r>
        <w:rPr>
          <w:rFonts w:ascii="Book Antiqua" w:eastAsia="Book Antiqua" w:hAnsi="Book Antiqua" w:cs="Book Antiqua"/>
          <w:color w:val="000000"/>
        </w:rPr>
        <w:t>: 526-535 [PMID: 11247898 DOI: 10.1136/gut.48.4.526]</w:t>
      </w:r>
    </w:p>
    <w:p w14:paraId="370121EF" w14:textId="77777777" w:rsidR="00A77B3E" w:rsidRDefault="002D3822" w:rsidP="00DE6F12">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Herrinton LJ</w:t>
      </w:r>
      <w:r>
        <w:rPr>
          <w:rFonts w:ascii="Book Antiqua" w:eastAsia="Book Antiqua" w:hAnsi="Book Antiqua" w:cs="Book Antiqua"/>
          <w:color w:val="000000"/>
        </w:rPr>
        <w:t xml:space="preserve">, Liu L, Levin TR, Allison JE, Lewis JD, Velayos F. Incidence and mortality of colorectal adenocarcinoma in persons with inflammatory bowel disease from 1998 to 2010.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2012; </w:t>
      </w:r>
      <w:r>
        <w:rPr>
          <w:rFonts w:ascii="Book Antiqua" w:eastAsia="Book Antiqua" w:hAnsi="Book Antiqua" w:cs="Book Antiqua"/>
          <w:b/>
          <w:bCs/>
          <w:color w:val="000000"/>
        </w:rPr>
        <w:t>143</w:t>
      </w:r>
      <w:r>
        <w:rPr>
          <w:rFonts w:ascii="Book Antiqua" w:eastAsia="Book Antiqua" w:hAnsi="Book Antiqua" w:cs="Book Antiqua"/>
          <w:color w:val="000000"/>
        </w:rPr>
        <w:t>: 382-389 [PMID: 22609382 DOI: 10.1053/j.gastro.2012.04.054]</w:t>
      </w:r>
    </w:p>
    <w:p w14:paraId="417FA770" w14:textId="77777777" w:rsidR="00A77B3E" w:rsidRDefault="002D3822" w:rsidP="00DE6F12">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Jess T</w:t>
      </w:r>
      <w:r>
        <w:rPr>
          <w:rFonts w:ascii="Book Antiqua" w:eastAsia="Book Antiqua" w:hAnsi="Book Antiqua" w:cs="Book Antiqua"/>
          <w:color w:val="000000"/>
        </w:rPr>
        <w:t xml:space="preserve">, Rungoe C, Peyrin-Biroulet L. Risk of colorectal cancer in patients with ulcerative colitis: a meta-analysis of population-based cohort studies.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10</w:t>
      </w:r>
      <w:r>
        <w:rPr>
          <w:rFonts w:ascii="Book Antiqua" w:eastAsia="Book Antiqua" w:hAnsi="Book Antiqua" w:cs="Book Antiqua"/>
          <w:color w:val="000000"/>
        </w:rPr>
        <w:t>: 639-645 [PMID: 22289873 DOI: 10.1016/j.cgh.2012.01.010]</w:t>
      </w:r>
    </w:p>
    <w:p w14:paraId="594756D1" w14:textId="77777777" w:rsidR="00A77B3E" w:rsidRDefault="002D3822" w:rsidP="00DE6F12">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Beaugerie L</w:t>
      </w:r>
      <w:r>
        <w:rPr>
          <w:rFonts w:ascii="Book Antiqua" w:eastAsia="Book Antiqua" w:hAnsi="Book Antiqua" w:cs="Book Antiqua"/>
          <w:color w:val="000000"/>
        </w:rPr>
        <w:t xml:space="preserve">, Itzkowitz SH. Cancers complicating inflammatory bowel disease.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372</w:t>
      </w:r>
      <w:r>
        <w:rPr>
          <w:rFonts w:ascii="Book Antiqua" w:eastAsia="Book Antiqua" w:hAnsi="Book Antiqua" w:cs="Book Antiqua"/>
          <w:color w:val="000000"/>
        </w:rPr>
        <w:t>: 1441-1452 [PMID: 25853748 DOI: 10.1056/NEJMra1403718]</w:t>
      </w:r>
    </w:p>
    <w:p w14:paraId="20DA75AE" w14:textId="77777777" w:rsidR="00A77B3E" w:rsidRDefault="002D3822" w:rsidP="00DE6F12">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Scaringi S</w:t>
      </w:r>
      <w:r>
        <w:rPr>
          <w:rFonts w:ascii="Book Antiqua" w:eastAsia="Book Antiqua" w:hAnsi="Book Antiqua" w:cs="Book Antiqua"/>
          <w:color w:val="000000"/>
        </w:rPr>
        <w:t xml:space="preserve">, Di Martino C, Zambonin D, Fazi M, Canonico G, Leo F, Ficari F, Tonelli F. Colorectal cancer and Crohn's colitis: clinical implications from 313 surgical patients.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2013; </w:t>
      </w:r>
      <w:r>
        <w:rPr>
          <w:rFonts w:ascii="Book Antiqua" w:eastAsia="Book Antiqua" w:hAnsi="Book Antiqua" w:cs="Book Antiqua"/>
          <w:b/>
          <w:bCs/>
          <w:color w:val="000000"/>
        </w:rPr>
        <w:t>37</w:t>
      </w:r>
      <w:r>
        <w:rPr>
          <w:rFonts w:ascii="Book Antiqua" w:eastAsia="Book Antiqua" w:hAnsi="Book Antiqua" w:cs="Book Antiqua"/>
          <w:color w:val="000000"/>
        </w:rPr>
        <w:t>: 902-910 [PMID: 23381673 DOI: 10.1007/s00268-013-1922-z]</w:t>
      </w:r>
    </w:p>
    <w:p w14:paraId="77E1614F" w14:textId="77777777" w:rsidR="00A77B3E" w:rsidRDefault="002D3822" w:rsidP="00DE6F12">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Connell WR</w:t>
      </w:r>
      <w:r>
        <w:rPr>
          <w:rFonts w:ascii="Book Antiqua" w:eastAsia="Book Antiqua" w:hAnsi="Book Antiqua" w:cs="Book Antiqua"/>
          <w:color w:val="000000"/>
        </w:rPr>
        <w:t xml:space="preserve">, Sheffield JP, Kamm MA, Ritchie JK, Hawley PR, Lennard-Jones JE. Lower gastrointestinal malignancy in Crohn's disease. </w:t>
      </w:r>
      <w:r>
        <w:rPr>
          <w:rFonts w:ascii="Book Antiqua" w:eastAsia="Book Antiqua" w:hAnsi="Book Antiqua" w:cs="Book Antiqua"/>
          <w:i/>
          <w:iCs/>
          <w:color w:val="000000"/>
        </w:rPr>
        <w:t>Gut</w:t>
      </w:r>
      <w:r>
        <w:rPr>
          <w:rFonts w:ascii="Book Antiqua" w:eastAsia="Book Antiqua" w:hAnsi="Book Antiqua" w:cs="Book Antiqua"/>
          <w:color w:val="000000"/>
        </w:rPr>
        <w:t xml:space="preserve"> 1994; </w:t>
      </w:r>
      <w:r>
        <w:rPr>
          <w:rFonts w:ascii="Book Antiqua" w:eastAsia="Book Antiqua" w:hAnsi="Book Antiqua" w:cs="Book Antiqua"/>
          <w:b/>
          <w:bCs/>
          <w:color w:val="000000"/>
        </w:rPr>
        <w:t>35</w:t>
      </w:r>
      <w:r>
        <w:rPr>
          <w:rFonts w:ascii="Book Antiqua" w:eastAsia="Book Antiqua" w:hAnsi="Book Antiqua" w:cs="Book Antiqua"/>
          <w:color w:val="000000"/>
        </w:rPr>
        <w:t>: 347-352 [PMID: 8150345 DOI: 10.1136/gut.35.3.347]</w:t>
      </w:r>
    </w:p>
    <w:p w14:paraId="1C5F1062" w14:textId="77777777" w:rsidR="00A77B3E" w:rsidRDefault="002D3822" w:rsidP="00DE6F12">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Laine L</w:t>
      </w:r>
      <w:r>
        <w:rPr>
          <w:rFonts w:ascii="Book Antiqua" w:eastAsia="Book Antiqua" w:hAnsi="Book Antiqua" w:cs="Book Antiqua"/>
          <w:color w:val="000000"/>
        </w:rPr>
        <w:t xml:space="preserve">, Kaltenbach T, Barkun A, McQuaid KR, Subramanian V, Soetikno R; SCENIC Guideline Development Panel. SCENIC international consensus statement on surveillance and management of dysplasia in inflammatory bowel disease.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148</w:t>
      </w:r>
      <w:r>
        <w:rPr>
          <w:rFonts w:ascii="Book Antiqua" w:eastAsia="Book Antiqua" w:hAnsi="Book Antiqua" w:cs="Book Antiqua"/>
          <w:color w:val="000000"/>
        </w:rPr>
        <w:t>: 639-651.e28 [PMID: 25702852 DOI: 10.1053/j.gastro.2015.01.031]</w:t>
      </w:r>
    </w:p>
    <w:p w14:paraId="06043CAC" w14:textId="77777777" w:rsidR="00A77B3E" w:rsidRDefault="002D3822" w:rsidP="00DE6F12">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Bye WA</w:t>
      </w:r>
      <w:r>
        <w:rPr>
          <w:rFonts w:ascii="Book Antiqua" w:eastAsia="Book Antiqua" w:hAnsi="Book Antiqua" w:cs="Book Antiqua"/>
          <w:color w:val="000000"/>
        </w:rPr>
        <w:t xml:space="preserve">, Nguyen TM, Parker CE, Jairath V, East JE. Strategies for detecting colon cancer in patients with inflammatory bowel disease. </w:t>
      </w:r>
      <w:r>
        <w:rPr>
          <w:rFonts w:ascii="Book Antiqua" w:eastAsia="Book Antiqua" w:hAnsi="Book Antiqua" w:cs="Book Antiqua"/>
          <w:i/>
          <w:iCs/>
          <w:color w:val="000000"/>
        </w:rPr>
        <w:t>Cochrane Database Syst Rev</w:t>
      </w:r>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CD000279 [PMID: 28922695 DOI: 10.1002/14651858.CD000279.pub4]</w:t>
      </w:r>
    </w:p>
    <w:p w14:paraId="6B984762" w14:textId="77777777" w:rsidR="00A77B3E" w:rsidRDefault="002D3822" w:rsidP="00DE6F12">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Iacucci M</w:t>
      </w:r>
      <w:r>
        <w:rPr>
          <w:rFonts w:ascii="Book Antiqua" w:eastAsia="Book Antiqua" w:hAnsi="Book Antiqua" w:cs="Book Antiqua"/>
          <w:color w:val="000000"/>
        </w:rPr>
        <w:t xml:space="preserve">, Cannatelli R, Tontini GE, Panaccione R, Danese S, Fiorino G, Matsumoto T, Kochhar GS, Shen B, Kiesslich R, Ghosh S. Improving the quality of surveillance colonoscopy in inflammatory bowel disease. </w:t>
      </w:r>
      <w:r>
        <w:rPr>
          <w:rFonts w:ascii="Book Antiqua" w:eastAsia="Book Antiqua" w:hAnsi="Book Antiqua" w:cs="Book Antiqua"/>
          <w:i/>
          <w:iCs/>
          <w:color w:val="000000"/>
        </w:rPr>
        <w:t>Lancet Gastroenterol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4</w:t>
      </w:r>
      <w:r>
        <w:rPr>
          <w:rFonts w:ascii="Book Antiqua" w:eastAsia="Book Antiqua" w:hAnsi="Book Antiqua" w:cs="Book Antiqua"/>
          <w:color w:val="000000"/>
        </w:rPr>
        <w:t>: 971-983 [PMID: 31696831 DOI: 10.1016/S2468-1253(19)30194-3]</w:t>
      </w:r>
    </w:p>
    <w:p w14:paraId="4BF75D95" w14:textId="77777777" w:rsidR="00A77B3E" w:rsidRDefault="002D3822" w:rsidP="00DE6F12">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Megna B</w:t>
      </w:r>
      <w:r>
        <w:rPr>
          <w:rFonts w:ascii="Book Antiqua" w:eastAsia="Book Antiqua" w:hAnsi="Book Antiqua" w:cs="Book Antiqua"/>
          <w:color w:val="000000"/>
        </w:rPr>
        <w:t xml:space="preserve">, Weiss J, Ley D, Saha S, Pfau P, Grimes I, Li Z, Caldera F. Clear liquid diet before bowel preparation predicts successful chromoendoscopy in patients with inflammatory bowel disease.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2019; </w:t>
      </w:r>
      <w:r>
        <w:rPr>
          <w:rFonts w:ascii="Book Antiqua" w:eastAsia="Book Antiqua" w:hAnsi="Book Antiqua" w:cs="Book Antiqua"/>
          <w:b/>
          <w:bCs/>
          <w:color w:val="000000"/>
        </w:rPr>
        <w:t>89</w:t>
      </w:r>
      <w:r>
        <w:rPr>
          <w:rFonts w:ascii="Book Antiqua" w:eastAsia="Book Antiqua" w:hAnsi="Book Antiqua" w:cs="Book Antiqua"/>
          <w:color w:val="000000"/>
        </w:rPr>
        <w:t>: 373-379.e2 [PMID: 30339950 DOI: 10.1016/j.gie.2018.09.039]</w:t>
      </w:r>
    </w:p>
    <w:p w14:paraId="6BCDF504" w14:textId="77777777" w:rsidR="00A77B3E" w:rsidRDefault="002D3822" w:rsidP="00DE6F12">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Itzkowitz SH</w:t>
      </w:r>
      <w:r>
        <w:rPr>
          <w:rFonts w:ascii="Book Antiqua" w:eastAsia="Book Antiqua" w:hAnsi="Book Antiqua" w:cs="Book Antiqua"/>
          <w:color w:val="000000"/>
        </w:rPr>
        <w:t xml:space="preserve">, Harpaz N. Diagnosis and management of dysplasia in patients with inflammatory bowel diseases.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2004; </w:t>
      </w:r>
      <w:r>
        <w:rPr>
          <w:rFonts w:ascii="Book Antiqua" w:eastAsia="Book Antiqua" w:hAnsi="Book Antiqua" w:cs="Book Antiqua"/>
          <w:b/>
          <w:bCs/>
          <w:color w:val="000000"/>
        </w:rPr>
        <w:t>126</w:t>
      </w:r>
      <w:r>
        <w:rPr>
          <w:rFonts w:ascii="Book Antiqua" w:eastAsia="Book Antiqua" w:hAnsi="Book Antiqua" w:cs="Book Antiqua"/>
          <w:color w:val="000000"/>
        </w:rPr>
        <w:t>: 1634-1648 [PMID: 15168373 DOI: 10.1053/j.gastro.2004.03.025]</w:t>
      </w:r>
    </w:p>
    <w:p w14:paraId="573D9D21" w14:textId="77777777" w:rsidR="00A77B3E" w:rsidRDefault="002D3822" w:rsidP="00DE6F12">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Vieth M</w:t>
      </w:r>
      <w:r>
        <w:rPr>
          <w:rFonts w:ascii="Book Antiqua" w:eastAsia="Book Antiqua" w:hAnsi="Book Antiqua" w:cs="Book Antiqua"/>
          <w:color w:val="000000"/>
        </w:rPr>
        <w:t xml:space="preserve">, Behrens H, Stolte M. Sporadic adenoma in ulcerative colitis: endoscopic resection is an adequate treatment. </w:t>
      </w:r>
      <w:r>
        <w:rPr>
          <w:rFonts w:ascii="Book Antiqua" w:eastAsia="Book Antiqua" w:hAnsi="Book Antiqua" w:cs="Book Antiqua"/>
          <w:i/>
          <w:iCs/>
          <w:color w:val="000000"/>
        </w:rPr>
        <w:t>Gut</w:t>
      </w:r>
      <w:r>
        <w:rPr>
          <w:rFonts w:ascii="Book Antiqua" w:eastAsia="Book Antiqua" w:hAnsi="Book Antiqua" w:cs="Book Antiqua"/>
          <w:color w:val="000000"/>
        </w:rPr>
        <w:t xml:space="preserve"> 2006; </w:t>
      </w:r>
      <w:r>
        <w:rPr>
          <w:rFonts w:ascii="Book Antiqua" w:eastAsia="Book Antiqua" w:hAnsi="Book Antiqua" w:cs="Book Antiqua"/>
          <w:b/>
          <w:bCs/>
          <w:color w:val="000000"/>
        </w:rPr>
        <w:t>55</w:t>
      </w:r>
      <w:r>
        <w:rPr>
          <w:rFonts w:ascii="Book Antiqua" w:eastAsia="Book Antiqua" w:hAnsi="Book Antiqua" w:cs="Book Antiqua"/>
          <w:color w:val="000000"/>
        </w:rPr>
        <w:t>: 1151-1155 [PMID: 16423892 DOI: 10.1136/gut.2005.075531]</w:t>
      </w:r>
    </w:p>
    <w:p w14:paraId="71C1CC6F" w14:textId="77777777" w:rsidR="00A77B3E" w:rsidRDefault="002D3822" w:rsidP="00DE6F12">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Lakatos PL</w:t>
      </w:r>
      <w:r>
        <w:rPr>
          <w:rFonts w:ascii="Book Antiqua" w:eastAsia="Book Antiqua" w:hAnsi="Book Antiqua" w:cs="Book Antiqua"/>
          <w:color w:val="000000"/>
        </w:rPr>
        <w:t xml:space="preserve">, Lakatos L. Risk for colorectal cancer in ulcerative colitis: changes, causes and management strategies.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14</w:t>
      </w:r>
      <w:r>
        <w:rPr>
          <w:rFonts w:ascii="Book Antiqua" w:eastAsia="Book Antiqua" w:hAnsi="Book Antiqua" w:cs="Book Antiqua"/>
          <w:color w:val="000000"/>
        </w:rPr>
        <w:t>: 3937-3947 [PMID: 18609676 DOI: 10.3748/wjg.14.3937]</w:t>
      </w:r>
    </w:p>
    <w:p w14:paraId="32CCA92C" w14:textId="77777777" w:rsidR="00A77B3E" w:rsidRDefault="002D3822" w:rsidP="00DE6F12">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Mattar MC</w:t>
      </w:r>
      <w:r>
        <w:rPr>
          <w:rFonts w:ascii="Book Antiqua" w:eastAsia="Book Antiqua" w:hAnsi="Book Antiqua" w:cs="Book Antiqua"/>
          <w:color w:val="000000"/>
        </w:rPr>
        <w:t xml:space="preserve">, Lough D, Pishvaian MJ, Charabaty A. Current management of inflammatory bowel disease and colorectal cancer. </w:t>
      </w:r>
      <w:r>
        <w:rPr>
          <w:rFonts w:ascii="Book Antiqua" w:eastAsia="Book Antiqua" w:hAnsi="Book Antiqua" w:cs="Book Antiqua"/>
          <w:i/>
          <w:iCs/>
          <w:color w:val="000000"/>
        </w:rPr>
        <w:t>Gastrointest Cancer Res</w:t>
      </w:r>
      <w:r>
        <w:rPr>
          <w:rFonts w:ascii="Book Antiqua" w:eastAsia="Book Antiqua" w:hAnsi="Book Antiqua" w:cs="Book Antiqua"/>
          <w:color w:val="000000"/>
        </w:rPr>
        <w:t xml:space="preserve"> 2011; </w:t>
      </w:r>
      <w:r>
        <w:rPr>
          <w:rFonts w:ascii="Book Antiqua" w:eastAsia="Book Antiqua" w:hAnsi="Book Antiqua" w:cs="Book Antiqua"/>
          <w:b/>
          <w:bCs/>
          <w:color w:val="000000"/>
        </w:rPr>
        <w:t>4</w:t>
      </w:r>
      <w:r>
        <w:rPr>
          <w:rFonts w:ascii="Book Antiqua" w:eastAsia="Book Antiqua" w:hAnsi="Book Antiqua" w:cs="Book Antiqua"/>
          <w:color w:val="000000"/>
        </w:rPr>
        <w:t>: 53-61 [PMID: 21673876]</w:t>
      </w:r>
    </w:p>
    <w:p w14:paraId="7082D7B8" w14:textId="77777777" w:rsidR="00A77B3E" w:rsidRDefault="002D3822" w:rsidP="00DE6F12">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Cairns SR</w:t>
      </w:r>
      <w:r>
        <w:rPr>
          <w:rFonts w:ascii="Book Antiqua" w:eastAsia="Book Antiqua" w:hAnsi="Book Antiqua" w:cs="Book Antiqua"/>
          <w:color w:val="000000"/>
        </w:rPr>
        <w:t xml:space="preserve">, Scholefield JH, Steele RJ, Dunlop MG, Thomas HJ, Evans GD, Eaden JA, Rutter MD, Atkin WP, Saunders BP, Lucassen A, Jenkins P, Fairclough PD, Woodhouse CR; British Society of Gastroenterology; Association of Coloproctology for Great Britain and Ireland. Guidelines for colorectal cancer screening and surveillance in moderate and high risk groups (update from 2002). </w:t>
      </w:r>
      <w:r>
        <w:rPr>
          <w:rFonts w:ascii="Book Antiqua" w:eastAsia="Book Antiqua" w:hAnsi="Book Antiqua" w:cs="Book Antiqua"/>
          <w:i/>
          <w:iCs/>
          <w:color w:val="000000"/>
        </w:rPr>
        <w:t>Gut</w:t>
      </w:r>
      <w:r>
        <w:rPr>
          <w:rFonts w:ascii="Book Antiqua" w:eastAsia="Book Antiqua" w:hAnsi="Book Antiqua" w:cs="Book Antiqua"/>
          <w:color w:val="000000"/>
        </w:rPr>
        <w:t xml:space="preserve"> 2010; </w:t>
      </w:r>
      <w:r>
        <w:rPr>
          <w:rFonts w:ascii="Book Antiqua" w:eastAsia="Book Antiqua" w:hAnsi="Book Antiqua" w:cs="Book Antiqua"/>
          <w:b/>
          <w:bCs/>
          <w:color w:val="000000"/>
        </w:rPr>
        <w:t>59</w:t>
      </w:r>
      <w:r>
        <w:rPr>
          <w:rFonts w:ascii="Book Antiqua" w:eastAsia="Book Antiqua" w:hAnsi="Book Antiqua" w:cs="Book Antiqua"/>
          <w:color w:val="000000"/>
        </w:rPr>
        <w:t>: 666-689 [PMID: 20427401 DOI: 10.1136/gut.2009.179804]</w:t>
      </w:r>
    </w:p>
    <w:p w14:paraId="669AACC5" w14:textId="77777777" w:rsidR="00A77B3E" w:rsidRDefault="002D3822" w:rsidP="00DE6F12">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American Society for Gastrointestinal Endoscopy Standards of Practice Committee.</w:t>
      </w:r>
      <w:r>
        <w:rPr>
          <w:rFonts w:ascii="Book Antiqua" w:eastAsia="Book Antiqua" w:hAnsi="Book Antiqua" w:cs="Book Antiqua"/>
          <w:color w:val="000000"/>
        </w:rPr>
        <w:t xml:space="preserve">, Shergill AK, Lightdale JR, Bruining DH, Acosta RD, Chandrasekhara V, Chathadi KV, Decker GA, Early DS, Evans JA, Fanelli RD, Fisher DA, Fonkalsrud L, Foley K, Hwang JH, Jue TL, Khashab MA, Muthusamy VR, Pasha SF, Saltzman JR, Sharaf R, Cash BD, DeWitt JM. The role of endoscopy in inflammatory bowel disease.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2015; </w:t>
      </w:r>
      <w:r>
        <w:rPr>
          <w:rFonts w:ascii="Book Antiqua" w:eastAsia="Book Antiqua" w:hAnsi="Book Antiqua" w:cs="Book Antiqua"/>
          <w:b/>
          <w:bCs/>
          <w:color w:val="000000"/>
        </w:rPr>
        <w:t>81</w:t>
      </w:r>
      <w:r>
        <w:rPr>
          <w:rFonts w:ascii="Book Antiqua" w:eastAsia="Book Antiqua" w:hAnsi="Book Antiqua" w:cs="Book Antiqua"/>
          <w:color w:val="000000"/>
        </w:rPr>
        <w:t>: 1101-21.e1-13 [PMID: 25800660 DOI: 10.1016/j.gie.2014.10.030]</w:t>
      </w:r>
    </w:p>
    <w:p w14:paraId="56E2F661" w14:textId="77777777" w:rsidR="00A77B3E" w:rsidRDefault="002D3822" w:rsidP="00DE6F12">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Har-Noy O</w:t>
      </w:r>
      <w:r>
        <w:rPr>
          <w:rFonts w:ascii="Book Antiqua" w:eastAsia="Book Antiqua" w:hAnsi="Book Antiqua" w:cs="Book Antiqua"/>
          <w:color w:val="000000"/>
        </w:rPr>
        <w:t xml:space="preserve">, Katz L, Avni T, Battat R, Bessissow T, Yung DE, Engel T, Koulaouzidis A, Eliakim R, Ben-Horin S, Kopylov U. Chromoendoscopy, Narrow-Band Imaging or White Light Endoscopy for Neoplasia Detection in Inflammatory Bowel Diseases.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2017; </w:t>
      </w:r>
      <w:r>
        <w:rPr>
          <w:rFonts w:ascii="Book Antiqua" w:eastAsia="Book Antiqua" w:hAnsi="Book Antiqua" w:cs="Book Antiqua"/>
          <w:b/>
          <w:bCs/>
          <w:color w:val="000000"/>
        </w:rPr>
        <w:t>62</w:t>
      </w:r>
      <w:r>
        <w:rPr>
          <w:rFonts w:ascii="Book Antiqua" w:eastAsia="Book Antiqua" w:hAnsi="Book Antiqua" w:cs="Book Antiqua"/>
          <w:color w:val="000000"/>
        </w:rPr>
        <w:t>: 2982-2990 [PMID: 28965228 DOI: 10.1007/s10620-017-4772-y]</w:t>
      </w:r>
    </w:p>
    <w:p w14:paraId="5C12C7E5" w14:textId="77777777" w:rsidR="00A77B3E" w:rsidRDefault="002D3822" w:rsidP="00DE6F12">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Feuerstein JD</w:t>
      </w:r>
      <w:r>
        <w:rPr>
          <w:rFonts w:ascii="Book Antiqua" w:eastAsia="Book Antiqua" w:hAnsi="Book Antiqua" w:cs="Book Antiqua"/>
          <w:color w:val="000000"/>
        </w:rPr>
        <w:t xml:space="preserve">, Rakowsky S, Sattler L, Yadav A, Foromera J, Grossberg L, Cheifetz AS. Meta-analysis of dye-based chromoendoscopy compared with standard- and high-definition white-light endoscopy in patients with inflammatory bowel disease at increased risk of colon cancer.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2019; </w:t>
      </w:r>
      <w:r>
        <w:rPr>
          <w:rFonts w:ascii="Book Antiqua" w:eastAsia="Book Antiqua" w:hAnsi="Book Antiqua" w:cs="Book Antiqua"/>
          <w:b/>
          <w:bCs/>
          <w:color w:val="000000"/>
        </w:rPr>
        <w:t>90</w:t>
      </w:r>
      <w:r>
        <w:rPr>
          <w:rFonts w:ascii="Book Antiqua" w:eastAsia="Book Antiqua" w:hAnsi="Book Antiqua" w:cs="Book Antiqua"/>
          <w:color w:val="000000"/>
        </w:rPr>
        <w:t>: 186-195.e1 [PMID: 31009609 DOI: 10.1016/j.gie.2019.04.219]</w:t>
      </w:r>
    </w:p>
    <w:p w14:paraId="578B822B" w14:textId="77777777" w:rsidR="00A77B3E" w:rsidRDefault="002D3822" w:rsidP="00DE6F12">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Clarke K</w:t>
      </w:r>
      <w:r>
        <w:rPr>
          <w:rFonts w:ascii="Book Antiqua" w:eastAsia="Book Antiqua" w:hAnsi="Book Antiqua" w:cs="Book Antiqua"/>
          <w:color w:val="000000"/>
        </w:rPr>
        <w:t xml:space="preserve">, Kang M, Gorrepati VS, Stine JG, Tinsley A, Williams E, Moyer M, Coates M. Dysplasia detection is similar between chromoendoscopy and high-definition white-light colonoscopy in inflammatory bowel disease patients: a US-matched case-control study. </w:t>
      </w:r>
      <w:r>
        <w:rPr>
          <w:rFonts w:ascii="Book Antiqua" w:eastAsia="Book Antiqua" w:hAnsi="Book Antiqua" w:cs="Book Antiqua"/>
          <w:i/>
          <w:iCs/>
          <w:color w:val="000000"/>
        </w:rPr>
        <w:t>Int J Colorectal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35</w:t>
      </w:r>
      <w:r>
        <w:rPr>
          <w:rFonts w:ascii="Book Antiqua" w:eastAsia="Book Antiqua" w:hAnsi="Book Antiqua" w:cs="Book Antiqua"/>
          <w:color w:val="000000"/>
        </w:rPr>
        <w:t>: 2301-2307 [PMID: 32812090 DOI: 10.1007/s00384-020-03719-3]</w:t>
      </w:r>
    </w:p>
    <w:p w14:paraId="1E0D8DA1" w14:textId="77777777" w:rsidR="00A77B3E" w:rsidRDefault="002D3822" w:rsidP="00DE6F12">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Bisschops R</w:t>
      </w:r>
      <w:r>
        <w:rPr>
          <w:rFonts w:ascii="Book Antiqua" w:eastAsia="Book Antiqua" w:hAnsi="Book Antiqua" w:cs="Book Antiqua"/>
          <w:color w:val="000000"/>
        </w:rPr>
        <w:t xml:space="preserve">, Bessissow T, Joseph JA, Baert F, Ferrante M, Ballet V, Willekens H, Demedts I, Geboes K, De Hertogh G, Vermeire S, Rutgeerts P, Van Assche G. Chromoendoscopy </w:t>
      </w:r>
      <w:r>
        <w:rPr>
          <w:rFonts w:ascii="Book Antiqua" w:eastAsia="Book Antiqua" w:hAnsi="Book Antiqua" w:cs="Book Antiqua"/>
          <w:i/>
          <w:iCs/>
          <w:color w:val="000000"/>
        </w:rPr>
        <w:t>vs</w:t>
      </w:r>
      <w:r>
        <w:rPr>
          <w:rFonts w:ascii="Book Antiqua" w:eastAsia="Book Antiqua" w:hAnsi="Book Antiqua" w:cs="Book Antiqua"/>
          <w:color w:val="000000"/>
        </w:rPr>
        <w:t xml:space="preserve"> narrow band imaging in UC: a prospective randomised controlled trial. </w:t>
      </w:r>
      <w:r>
        <w:rPr>
          <w:rFonts w:ascii="Book Antiqua" w:eastAsia="Book Antiqua" w:hAnsi="Book Antiqua" w:cs="Book Antiqua"/>
          <w:i/>
          <w:iCs/>
          <w:color w:val="000000"/>
        </w:rPr>
        <w:t>Gut</w:t>
      </w:r>
      <w:r>
        <w:rPr>
          <w:rFonts w:ascii="Book Antiqua" w:eastAsia="Book Antiqua" w:hAnsi="Book Antiqua" w:cs="Book Antiqua"/>
          <w:color w:val="000000"/>
        </w:rPr>
        <w:t xml:space="preserve"> 2018; </w:t>
      </w:r>
      <w:r>
        <w:rPr>
          <w:rFonts w:ascii="Book Antiqua" w:eastAsia="Book Antiqua" w:hAnsi="Book Antiqua" w:cs="Book Antiqua"/>
          <w:b/>
          <w:bCs/>
          <w:color w:val="000000"/>
        </w:rPr>
        <w:t>67</w:t>
      </w:r>
      <w:r>
        <w:rPr>
          <w:rFonts w:ascii="Book Antiqua" w:eastAsia="Book Antiqua" w:hAnsi="Book Antiqua" w:cs="Book Antiqua"/>
          <w:color w:val="000000"/>
        </w:rPr>
        <w:t>: 1087-1094 [PMID: 28698230 DOI: 10.1136/gutjnl-2016-313213]</w:t>
      </w:r>
    </w:p>
    <w:p w14:paraId="08FF2372" w14:textId="77777777" w:rsidR="00A77B3E" w:rsidRDefault="002D3822" w:rsidP="00DE6F12">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Rubin DT</w:t>
      </w:r>
      <w:r>
        <w:rPr>
          <w:rFonts w:ascii="Book Antiqua" w:eastAsia="Book Antiqua" w:hAnsi="Book Antiqua" w:cs="Book Antiqua"/>
          <w:color w:val="000000"/>
        </w:rPr>
        <w:t xml:space="preserve">, Ananthakrishnan AN, Siegel CA, Sauer BG, Long MD. ACG Clinical Guideline: Ulcerative Colitis in Adults.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114</w:t>
      </w:r>
      <w:r>
        <w:rPr>
          <w:rFonts w:ascii="Book Antiqua" w:eastAsia="Book Antiqua" w:hAnsi="Book Antiqua" w:cs="Book Antiqua"/>
          <w:color w:val="000000"/>
        </w:rPr>
        <w:t>: 384-413 [PMID: 30840605 DOI: 10.14309/ajg.0000000000000152]</w:t>
      </w:r>
    </w:p>
    <w:p w14:paraId="3EFF8A9B" w14:textId="77777777" w:rsidR="00A77B3E" w:rsidRDefault="002D3822" w:rsidP="00DE6F12">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Krugliak Cleveland N</w:t>
      </w:r>
      <w:r>
        <w:rPr>
          <w:rFonts w:ascii="Book Antiqua" w:eastAsia="Book Antiqua" w:hAnsi="Book Antiqua" w:cs="Book Antiqua"/>
          <w:color w:val="000000"/>
        </w:rPr>
        <w:t xml:space="preserve">, Ollech JE, Colman RJ, Rodriquez D, Hirsch A, Cohen RD, Hanauer SB, Hart J, Hurst R, Rubin DT. Efficacy and Follow-up of Segmental or Subtotal Colectomy in Patients With Colitis-Associated Neoplasia.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17</w:t>
      </w:r>
      <w:r>
        <w:rPr>
          <w:rFonts w:ascii="Book Antiqua" w:eastAsia="Book Antiqua" w:hAnsi="Book Antiqua" w:cs="Book Antiqua"/>
          <w:color w:val="000000"/>
        </w:rPr>
        <w:t>: 205-206 [PMID: 29751167 DOI: 10.1016/j.cgh.2018.04.061]</w:t>
      </w:r>
    </w:p>
    <w:p w14:paraId="6C752D01" w14:textId="77777777" w:rsidR="00A77B3E" w:rsidRDefault="002D3822" w:rsidP="00DE6F12">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Shen B</w:t>
      </w:r>
      <w:r>
        <w:rPr>
          <w:rFonts w:ascii="Book Antiqua" w:eastAsia="Book Antiqua" w:hAnsi="Book Antiqua" w:cs="Book Antiqua"/>
          <w:color w:val="000000"/>
        </w:rPr>
        <w:t xml:space="preserve">, Kochhar G, Hull TL. Bridging Medical and Surgical Treatment of Inflammatory Bowel Disease: The Role of Interventional IBD.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114</w:t>
      </w:r>
      <w:r>
        <w:rPr>
          <w:rFonts w:ascii="Book Antiqua" w:eastAsia="Book Antiqua" w:hAnsi="Book Antiqua" w:cs="Book Antiqua"/>
          <w:color w:val="000000"/>
        </w:rPr>
        <w:t>: 539-540 [PMID: 30464306 DOI: 10.1038/s41395-018-0416-x]</w:t>
      </w:r>
    </w:p>
    <w:p w14:paraId="664C7141" w14:textId="77777777" w:rsidR="00A77B3E" w:rsidRDefault="002D3822" w:rsidP="00DE6F12">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Fletcher JG</w:t>
      </w:r>
      <w:r>
        <w:rPr>
          <w:rFonts w:ascii="Book Antiqua" w:eastAsia="Book Antiqua" w:hAnsi="Book Antiqua" w:cs="Book Antiqua"/>
          <w:color w:val="000000"/>
        </w:rPr>
        <w:t xml:space="preserve">, Fidler JL, Bruining DH, Huprich JE. New concepts in intestinal imaging for inflammatory bowel diseases.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2011; </w:t>
      </w:r>
      <w:r>
        <w:rPr>
          <w:rFonts w:ascii="Book Antiqua" w:eastAsia="Book Antiqua" w:hAnsi="Book Antiqua" w:cs="Book Antiqua"/>
          <w:b/>
          <w:bCs/>
          <w:color w:val="000000"/>
        </w:rPr>
        <w:t>140</w:t>
      </w:r>
      <w:r>
        <w:rPr>
          <w:rFonts w:ascii="Book Antiqua" w:eastAsia="Book Antiqua" w:hAnsi="Book Antiqua" w:cs="Book Antiqua"/>
          <w:color w:val="000000"/>
        </w:rPr>
        <w:t>: 1795-1806 [PMID: 21530746 DOI: 10.1053/j.gastro.2011.02.013]</w:t>
      </w:r>
    </w:p>
    <w:p w14:paraId="1DA1A80D" w14:textId="77777777" w:rsidR="00A77B3E" w:rsidRDefault="002D3822" w:rsidP="00DE6F12">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Gu YB</w:t>
      </w:r>
      <w:r>
        <w:rPr>
          <w:rFonts w:ascii="Book Antiqua" w:eastAsia="Book Antiqua" w:hAnsi="Book Antiqua" w:cs="Book Antiqua"/>
          <w:color w:val="000000"/>
        </w:rPr>
        <w:t xml:space="preserve">, Zhong J; Chinese IBD Endoscopic Club. Endoscopic management of stricturing Crohn's disease. </w:t>
      </w:r>
      <w:r>
        <w:rPr>
          <w:rFonts w:ascii="Book Antiqua" w:eastAsia="Book Antiqua" w:hAnsi="Book Antiqua" w:cs="Book Antiqua"/>
          <w:i/>
          <w:iCs/>
          <w:color w:val="000000"/>
        </w:rPr>
        <w:t>J Dig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351-354 [PMID: 32537911 DOI: 10.1111/1751-2980.12914]</w:t>
      </w:r>
    </w:p>
    <w:p w14:paraId="5DB8C19A" w14:textId="77777777" w:rsidR="00A77B3E" w:rsidRDefault="002D3822" w:rsidP="00DE6F12">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Shen B</w:t>
      </w:r>
      <w:r>
        <w:rPr>
          <w:rFonts w:ascii="Book Antiqua" w:eastAsia="Book Antiqua" w:hAnsi="Book Antiqua" w:cs="Book Antiqua"/>
          <w:color w:val="000000"/>
        </w:rPr>
        <w:t xml:space="preserve">, Kochhar G, Navaneethan U, Liu X, Farraye FA, Gonzalez-Lama Y, Bruining D, Pardi DS, Lukas M, Bortlik M, Wu K, Sood A, Schwartz DA, Sandborn WJ; Global Interventional Inflammatory Bowel Disease Group. Role of interventional inflammatory bowel disease in the era of biologic therapy: a position statement from the Global Interventional IBD Group.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2019; </w:t>
      </w:r>
      <w:r>
        <w:rPr>
          <w:rFonts w:ascii="Book Antiqua" w:eastAsia="Book Antiqua" w:hAnsi="Book Antiqua" w:cs="Book Antiqua"/>
          <w:b/>
          <w:bCs/>
          <w:color w:val="000000"/>
        </w:rPr>
        <w:t>89</w:t>
      </w:r>
      <w:r>
        <w:rPr>
          <w:rFonts w:ascii="Book Antiqua" w:eastAsia="Book Antiqua" w:hAnsi="Book Antiqua" w:cs="Book Antiqua"/>
          <w:color w:val="000000"/>
        </w:rPr>
        <w:t>: 215-237 [PMID: 30365985 DOI: 10.1016/j.gie.2018.09.045]</w:t>
      </w:r>
    </w:p>
    <w:p w14:paraId="13E82AB5" w14:textId="77777777" w:rsidR="00A77B3E" w:rsidRDefault="002D3822" w:rsidP="00DE6F12">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Tilmant M</w:t>
      </w:r>
      <w:r>
        <w:rPr>
          <w:rFonts w:ascii="Book Antiqua" w:eastAsia="Book Antiqua" w:hAnsi="Book Antiqua" w:cs="Book Antiqua"/>
          <w:color w:val="000000"/>
        </w:rPr>
        <w:t xml:space="preserve">, Serrero M, Poullenot F, Bouguen G, Pariente B, Altwegg R, Basile P, Filippi J, Vanelslander P, Buisson A, Desjeux A, Laharie D, Le Balch E, Nachury M, Boivineau L, Savoye G, Hebuterne X, Poincloux L, Vuitton L, Brazier F, Yzet C, Lamrani A, Peyrin-Biroulet L, Fumery M. Endoscopic balloon dilation of colorectal strictures complicating Crohn's disease: a multicenter study. </w:t>
      </w:r>
      <w:r>
        <w:rPr>
          <w:rFonts w:ascii="Book Antiqua" w:eastAsia="Book Antiqua" w:hAnsi="Book Antiqua" w:cs="Book Antiqua"/>
          <w:i/>
          <w:iCs/>
          <w:color w:val="000000"/>
        </w:rPr>
        <w:t>Clin Res Hepatol Gastroenterol</w:t>
      </w:r>
      <w:r>
        <w:rPr>
          <w:rFonts w:ascii="Book Antiqua" w:eastAsia="Book Antiqua" w:hAnsi="Book Antiqua" w:cs="Book Antiqua"/>
          <w:color w:val="000000"/>
        </w:rPr>
        <w:t xml:space="preserve"> 2020: 101561 [PMID: 33214090 DOI: 10.1016/j.clinre.2020.10.006]</w:t>
      </w:r>
    </w:p>
    <w:p w14:paraId="4CBB1B99" w14:textId="77777777" w:rsidR="00A77B3E" w:rsidRDefault="002D3822" w:rsidP="00DE6F12">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Zhang LJ</w:t>
      </w:r>
      <w:r>
        <w:rPr>
          <w:rFonts w:ascii="Book Antiqua" w:eastAsia="Book Antiqua" w:hAnsi="Book Antiqua" w:cs="Book Antiqua"/>
          <w:color w:val="000000"/>
        </w:rPr>
        <w:t xml:space="preserve">, Lan N, Wu XR, Shen B. Endoscopic stricturotomy in the treatment of anastomotic strictures in inflammatory bowel disease (IBD) and non-IBD patients. </w:t>
      </w:r>
      <w:r>
        <w:rPr>
          <w:rFonts w:ascii="Book Antiqua" w:eastAsia="Book Antiqua" w:hAnsi="Book Antiqua" w:cs="Book Antiqua"/>
          <w:i/>
          <w:iCs/>
          <w:color w:val="000000"/>
        </w:rPr>
        <w:t>Gastroenterol Rep (Oxf)</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143-150 [PMID: 32280474 DOI: 10.1093/gastro/goz051]</w:t>
      </w:r>
    </w:p>
    <w:p w14:paraId="411E9F1D" w14:textId="77777777" w:rsidR="00A77B3E" w:rsidRDefault="002D3822" w:rsidP="00DE6F12">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Swaminath A</w:t>
      </w:r>
      <w:r>
        <w:rPr>
          <w:rFonts w:ascii="Book Antiqua" w:eastAsia="Book Antiqua" w:hAnsi="Book Antiqua" w:cs="Book Antiqua"/>
          <w:color w:val="000000"/>
        </w:rPr>
        <w:t xml:space="preserve">, Lichtiger S. Dilation of colonic strictures by intralesional injection of infliximab in patients with Crohn's colitis. </w:t>
      </w:r>
      <w:r>
        <w:rPr>
          <w:rFonts w:ascii="Book Antiqua" w:eastAsia="Book Antiqua" w:hAnsi="Book Antiqua" w:cs="Book Antiqua"/>
          <w:i/>
          <w:iCs/>
          <w:color w:val="000000"/>
        </w:rPr>
        <w:t>Inflamm Bowel Dis</w:t>
      </w:r>
      <w:r>
        <w:rPr>
          <w:rFonts w:ascii="Book Antiqua" w:eastAsia="Book Antiqua" w:hAnsi="Book Antiqua" w:cs="Book Antiqua"/>
          <w:color w:val="000000"/>
        </w:rPr>
        <w:t xml:space="preserve"> 2008; </w:t>
      </w:r>
      <w:r>
        <w:rPr>
          <w:rFonts w:ascii="Book Antiqua" w:eastAsia="Book Antiqua" w:hAnsi="Book Antiqua" w:cs="Book Antiqua"/>
          <w:b/>
          <w:bCs/>
          <w:color w:val="000000"/>
        </w:rPr>
        <w:t>14</w:t>
      </w:r>
      <w:r>
        <w:rPr>
          <w:rFonts w:ascii="Book Antiqua" w:eastAsia="Book Antiqua" w:hAnsi="Book Antiqua" w:cs="Book Antiqua"/>
          <w:color w:val="000000"/>
        </w:rPr>
        <w:t>: 213-216 [PMID: 18022870 DOI: 10.1002/ibd.20318]</w:t>
      </w:r>
    </w:p>
    <w:p w14:paraId="4ECAEFE7" w14:textId="77777777" w:rsidR="00A77B3E" w:rsidRDefault="002D3822" w:rsidP="00DE6F12">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Di Nardo G</w:t>
      </w:r>
      <w:r>
        <w:rPr>
          <w:rFonts w:ascii="Book Antiqua" w:eastAsia="Book Antiqua" w:hAnsi="Book Antiqua" w:cs="Book Antiqua"/>
          <w:color w:val="000000"/>
        </w:rPr>
        <w:t xml:space="preserve">, Oliva S, Passariello M, Pallotta N, Civitelli F, Frediani S, Gualdi G, Gandullia P, Mallardo S, Cucchiara S. Intralesional steroid injection after endoscopic balloon dilation in pediatric Crohn's disease with stricture: a prospective, randomized, double-blind, controlled trial.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2010; </w:t>
      </w:r>
      <w:r>
        <w:rPr>
          <w:rFonts w:ascii="Book Antiqua" w:eastAsia="Book Antiqua" w:hAnsi="Book Antiqua" w:cs="Book Antiqua"/>
          <w:b/>
          <w:bCs/>
          <w:color w:val="000000"/>
        </w:rPr>
        <w:t>72</w:t>
      </w:r>
      <w:r>
        <w:rPr>
          <w:rFonts w:ascii="Book Antiqua" w:eastAsia="Book Antiqua" w:hAnsi="Book Antiqua" w:cs="Book Antiqua"/>
          <w:color w:val="000000"/>
        </w:rPr>
        <w:t>: 1201-1208 [PMID: 20951986 DOI: 10.1016/j.gie.2010.08.003]</w:t>
      </w:r>
    </w:p>
    <w:p w14:paraId="5A625EFD" w14:textId="77777777" w:rsidR="00A77B3E" w:rsidRDefault="002D3822" w:rsidP="00DE6F12">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Matsuhashi N</w:t>
      </w:r>
      <w:r>
        <w:rPr>
          <w:rFonts w:ascii="Book Antiqua" w:eastAsia="Book Antiqua" w:hAnsi="Book Antiqua" w:cs="Book Antiqua"/>
          <w:color w:val="000000"/>
        </w:rPr>
        <w:t xml:space="preserve">, Nakajima A, Suzuki A, Yazaki Y, Takazoe M. Long-term outcome of non-surgical strictureplasty using metallic stents for intestinal strictures in Crohn's disease.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2000; </w:t>
      </w:r>
      <w:r>
        <w:rPr>
          <w:rFonts w:ascii="Book Antiqua" w:eastAsia="Book Antiqua" w:hAnsi="Book Antiqua" w:cs="Book Antiqua"/>
          <w:b/>
          <w:bCs/>
          <w:color w:val="000000"/>
        </w:rPr>
        <w:t>51</w:t>
      </w:r>
      <w:r>
        <w:rPr>
          <w:rFonts w:ascii="Book Antiqua" w:eastAsia="Book Antiqua" w:hAnsi="Book Antiqua" w:cs="Book Antiqua"/>
          <w:color w:val="000000"/>
        </w:rPr>
        <w:t>: 343-345 [PMID: 10699786 DOI: 10.1016/s0016-5107(00)70366-x]</w:t>
      </w:r>
    </w:p>
    <w:p w14:paraId="0AE2E33C" w14:textId="77777777" w:rsidR="00A77B3E" w:rsidRDefault="002D3822" w:rsidP="00DE6F12">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Rodrigues C</w:t>
      </w:r>
      <w:r>
        <w:rPr>
          <w:rFonts w:ascii="Book Antiqua" w:eastAsia="Book Antiqua" w:hAnsi="Book Antiqua" w:cs="Book Antiqua"/>
          <w:color w:val="000000"/>
        </w:rPr>
        <w:t xml:space="preserve">, Oliveira A, Santos L, Pires E, Deus J. Biodegradable stent for the treatment of a colonic stricture in Crohn's disease. </w:t>
      </w:r>
      <w:r>
        <w:rPr>
          <w:rFonts w:ascii="Book Antiqua" w:eastAsia="Book Antiqua" w:hAnsi="Book Antiqua" w:cs="Book Antiqua"/>
          <w:i/>
          <w:iCs/>
          <w:color w:val="000000"/>
        </w:rPr>
        <w:t>World J Gastrointest Endosc</w:t>
      </w:r>
      <w:r>
        <w:rPr>
          <w:rFonts w:ascii="Book Antiqua" w:eastAsia="Book Antiqua" w:hAnsi="Book Antiqua" w:cs="Book Antiqua"/>
          <w:color w:val="000000"/>
        </w:rPr>
        <w:t xml:space="preserve"> 2013; </w:t>
      </w:r>
      <w:r>
        <w:rPr>
          <w:rFonts w:ascii="Book Antiqua" w:eastAsia="Book Antiqua" w:hAnsi="Book Antiqua" w:cs="Book Antiqua"/>
          <w:b/>
          <w:bCs/>
          <w:color w:val="000000"/>
        </w:rPr>
        <w:t>5</w:t>
      </w:r>
      <w:r>
        <w:rPr>
          <w:rFonts w:ascii="Book Antiqua" w:eastAsia="Book Antiqua" w:hAnsi="Book Antiqua" w:cs="Book Antiqua"/>
          <w:color w:val="000000"/>
        </w:rPr>
        <w:t>: 265-269 [PMID: 23678382 DOI: 10.4253/wjge.v5.i5.265]</w:t>
      </w:r>
    </w:p>
    <w:p w14:paraId="3D3427AC" w14:textId="77777777" w:rsidR="00A77B3E" w:rsidRDefault="002D3822" w:rsidP="00DE6F12">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Chen M</w:t>
      </w:r>
      <w:r>
        <w:rPr>
          <w:rFonts w:ascii="Book Antiqua" w:eastAsia="Book Antiqua" w:hAnsi="Book Antiqua" w:cs="Book Antiqua"/>
          <w:color w:val="000000"/>
        </w:rPr>
        <w:t xml:space="preserve">, Shen B. Endoscopic therapy for Kock pouch strictures in patients with inflammatory bowel disease.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2014; </w:t>
      </w:r>
      <w:r>
        <w:rPr>
          <w:rFonts w:ascii="Book Antiqua" w:eastAsia="Book Antiqua" w:hAnsi="Book Antiqua" w:cs="Book Antiqua"/>
          <w:b/>
          <w:bCs/>
          <w:color w:val="000000"/>
        </w:rPr>
        <w:t>80</w:t>
      </w:r>
      <w:r>
        <w:rPr>
          <w:rFonts w:ascii="Book Antiqua" w:eastAsia="Book Antiqua" w:hAnsi="Book Antiqua" w:cs="Book Antiqua"/>
          <w:color w:val="000000"/>
        </w:rPr>
        <w:t>: 353-359 [PMID: 24852104 DOI: 10.1016/j.gie.2014.03.039]</w:t>
      </w:r>
    </w:p>
    <w:p w14:paraId="14E2D824" w14:textId="77777777" w:rsidR="00A77B3E" w:rsidRDefault="002D3822" w:rsidP="00DE6F12">
      <w:pPr>
        <w:spacing w:line="360" w:lineRule="auto"/>
        <w:jc w:val="both"/>
      </w:pPr>
      <w:r>
        <w:rPr>
          <w:rFonts w:ascii="Book Antiqua" w:eastAsia="Book Antiqua" w:hAnsi="Book Antiqua" w:cs="Book Antiqua"/>
          <w:color w:val="000000"/>
        </w:rPr>
        <w:t xml:space="preserve">57 </w:t>
      </w:r>
      <w:r>
        <w:rPr>
          <w:rFonts w:ascii="Book Antiqua" w:eastAsia="Book Antiqua" w:hAnsi="Book Antiqua" w:cs="Book Antiqua"/>
          <w:b/>
          <w:bCs/>
          <w:color w:val="000000"/>
        </w:rPr>
        <w:t>Kochhar G</w:t>
      </w:r>
      <w:r>
        <w:rPr>
          <w:rFonts w:ascii="Book Antiqua" w:eastAsia="Book Antiqua" w:hAnsi="Book Antiqua" w:cs="Book Antiqua"/>
          <w:color w:val="000000"/>
        </w:rPr>
        <w:t xml:space="preserve">, Shen B. Endoscopic fistulotomy in inflammatory bowel disease (with video).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2018; </w:t>
      </w:r>
      <w:r>
        <w:rPr>
          <w:rFonts w:ascii="Book Antiqua" w:eastAsia="Book Antiqua" w:hAnsi="Book Antiqua" w:cs="Book Antiqua"/>
          <w:b/>
          <w:bCs/>
          <w:color w:val="000000"/>
        </w:rPr>
        <w:t>88</w:t>
      </w:r>
      <w:r>
        <w:rPr>
          <w:rFonts w:ascii="Book Antiqua" w:eastAsia="Book Antiqua" w:hAnsi="Book Antiqua" w:cs="Book Antiqua"/>
          <w:color w:val="000000"/>
        </w:rPr>
        <w:t>: 87-94 [PMID: 29501418 DOI: 10.1016/j.gie.2018.02.034]</w:t>
      </w:r>
    </w:p>
    <w:p w14:paraId="5D8A8AB5" w14:textId="77777777" w:rsidR="00A77B3E" w:rsidRDefault="002D3822" w:rsidP="00DE6F12">
      <w:pPr>
        <w:spacing w:line="360" w:lineRule="auto"/>
        <w:jc w:val="both"/>
      </w:pPr>
      <w:r>
        <w:rPr>
          <w:rFonts w:ascii="Book Antiqua" w:eastAsia="Book Antiqua" w:hAnsi="Book Antiqua" w:cs="Book Antiqua"/>
          <w:color w:val="000000"/>
        </w:rPr>
        <w:t xml:space="preserve">58 </w:t>
      </w:r>
      <w:r>
        <w:rPr>
          <w:rFonts w:ascii="Book Antiqua" w:eastAsia="Book Antiqua" w:hAnsi="Book Antiqua" w:cs="Book Antiqua"/>
          <w:b/>
          <w:bCs/>
          <w:color w:val="000000"/>
        </w:rPr>
        <w:t>Chen M</w:t>
      </w:r>
      <w:r>
        <w:rPr>
          <w:rFonts w:ascii="Book Antiqua" w:eastAsia="Book Antiqua" w:hAnsi="Book Antiqua" w:cs="Book Antiqua"/>
          <w:color w:val="000000"/>
        </w:rPr>
        <w:t xml:space="preserve">, Shen B. Endoscopic Therapy in Crohn's Disease: Principle, Preparation, and Technique. </w:t>
      </w:r>
      <w:r>
        <w:rPr>
          <w:rFonts w:ascii="Book Antiqua" w:eastAsia="Book Antiqua" w:hAnsi="Book Antiqua" w:cs="Book Antiqua"/>
          <w:i/>
          <w:iCs/>
          <w:color w:val="000000"/>
        </w:rPr>
        <w:t>Inflamm Bowel Dis</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2222-2240 [PMID: 26284298 DOI: 10.1097/MIB.0000000000000433]</w:t>
      </w:r>
    </w:p>
    <w:p w14:paraId="26F83359" w14:textId="77777777" w:rsidR="00A77B3E" w:rsidRDefault="002D3822" w:rsidP="00DE6F12">
      <w:pPr>
        <w:spacing w:line="360" w:lineRule="auto"/>
        <w:jc w:val="both"/>
      </w:pPr>
      <w:r>
        <w:rPr>
          <w:rFonts w:ascii="Book Antiqua" w:eastAsia="Book Antiqua" w:hAnsi="Book Antiqua" w:cs="Book Antiqua"/>
          <w:color w:val="000000"/>
        </w:rPr>
        <w:t xml:space="preserve">59 </w:t>
      </w:r>
      <w:r>
        <w:rPr>
          <w:rFonts w:ascii="Book Antiqua" w:eastAsia="Book Antiqua" w:hAnsi="Book Antiqua" w:cs="Book Antiqua"/>
          <w:b/>
          <w:bCs/>
          <w:color w:val="000000"/>
        </w:rPr>
        <w:t>Verlaan T</w:t>
      </w:r>
      <w:r>
        <w:rPr>
          <w:rFonts w:ascii="Book Antiqua" w:eastAsia="Book Antiqua" w:hAnsi="Book Antiqua" w:cs="Book Antiqua"/>
          <w:color w:val="000000"/>
        </w:rPr>
        <w:t xml:space="preserve">, Bartels SA, van Berge Henegouwen MI, Tanis PJ, Fockens P, Bemelman WA. Early, minimally invasive closure of anastomotic leaks: a new concept. </w:t>
      </w:r>
      <w:r>
        <w:rPr>
          <w:rFonts w:ascii="Book Antiqua" w:eastAsia="Book Antiqua" w:hAnsi="Book Antiqua" w:cs="Book Antiqua"/>
          <w:i/>
          <w:iCs/>
          <w:color w:val="000000"/>
        </w:rPr>
        <w:t>Colorectal Dis</w:t>
      </w:r>
      <w:r>
        <w:rPr>
          <w:rFonts w:ascii="Book Antiqua" w:eastAsia="Book Antiqua" w:hAnsi="Book Antiqua" w:cs="Book Antiqua"/>
          <w:color w:val="000000"/>
        </w:rPr>
        <w:t xml:space="preserve"> 2011; </w:t>
      </w:r>
      <w:r>
        <w:rPr>
          <w:rFonts w:ascii="Book Antiqua" w:eastAsia="Book Antiqua" w:hAnsi="Book Antiqua" w:cs="Book Antiqua"/>
          <w:b/>
          <w:bCs/>
          <w:color w:val="000000"/>
        </w:rPr>
        <w:t>13 Suppl 7</w:t>
      </w:r>
      <w:r>
        <w:rPr>
          <w:rFonts w:ascii="Book Antiqua" w:eastAsia="Book Antiqua" w:hAnsi="Book Antiqua" w:cs="Book Antiqua"/>
          <w:color w:val="000000"/>
        </w:rPr>
        <w:t>: 18-22 [PMID: 22098512 DOI: 10.1111/j.1463-1318.2011.02775.x]</w:t>
      </w:r>
    </w:p>
    <w:p w14:paraId="1AD69EE6" w14:textId="77777777" w:rsidR="00A77B3E" w:rsidRDefault="002D3822" w:rsidP="00DE6F12">
      <w:pPr>
        <w:spacing w:line="360" w:lineRule="auto"/>
        <w:jc w:val="both"/>
      </w:pPr>
      <w:r>
        <w:rPr>
          <w:rFonts w:ascii="Book Antiqua" w:eastAsia="Book Antiqua" w:hAnsi="Book Antiqua" w:cs="Book Antiqua"/>
          <w:color w:val="000000"/>
        </w:rPr>
        <w:t xml:space="preserve">60 </w:t>
      </w:r>
      <w:r>
        <w:rPr>
          <w:rFonts w:ascii="Book Antiqua" w:eastAsia="Book Antiqua" w:hAnsi="Book Antiqua" w:cs="Book Antiqua"/>
          <w:b/>
          <w:bCs/>
          <w:color w:val="000000"/>
        </w:rPr>
        <w:t>Prudhomme M</w:t>
      </w:r>
      <w:r>
        <w:rPr>
          <w:rFonts w:ascii="Book Antiqua" w:eastAsia="Book Antiqua" w:hAnsi="Book Antiqua" w:cs="Book Antiqua"/>
          <w:color w:val="000000"/>
        </w:rPr>
        <w:t xml:space="preserve">, Dozois RR, Godlewski G, Mathison S, Fabbro-Peray P. Anal canal strictures after ileal pouch-anal anastomosis. </w:t>
      </w:r>
      <w:r>
        <w:rPr>
          <w:rFonts w:ascii="Book Antiqua" w:eastAsia="Book Antiqua" w:hAnsi="Book Antiqua" w:cs="Book Antiqua"/>
          <w:i/>
          <w:iCs/>
          <w:color w:val="000000"/>
        </w:rPr>
        <w:t>Dis Colon Rectum</w:t>
      </w:r>
      <w:r>
        <w:rPr>
          <w:rFonts w:ascii="Book Antiqua" w:eastAsia="Book Antiqua" w:hAnsi="Book Antiqua" w:cs="Book Antiqua"/>
          <w:color w:val="000000"/>
        </w:rPr>
        <w:t xml:space="preserve"> 2003; </w:t>
      </w:r>
      <w:r>
        <w:rPr>
          <w:rFonts w:ascii="Book Antiqua" w:eastAsia="Book Antiqua" w:hAnsi="Book Antiqua" w:cs="Book Antiqua"/>
          <w:b/>
          <w:bCs/>
          <w:color w:val="000000"/>
        </w:rPr>
        <w:t>46</w:t>
      </w:r>
      <w:r>
        <w:rPr>
          <w:rFonts w:ascii="Book Antiqua" w:eastAsia="Book Antiqua" w:hAnsi="Book Antiqua" w:cs="Book Antiqua"/>
          <w:color w:val="000000"/>
        </w:rPr>
        <w:t>: 20-23 [PMID: 12544517 DOI: 10.1007/s10350-004-6491-7]</w:t>
      </w:r>
    </w:p>
    <w:p w14:paraId="369A8E8F" w14:textId="77777777" w:rsidR="00A77B3E" w:rsidRDefault="002D3822" w:rsidP="00DE6F12">
      <w:pPr>
        <w:spacing w:line="360" w:lineRule="auto"/>
        <w:jc w:val="both"/>
      </w:pPr>
      <w:r>
        <w:rPr>
          <w:rFonts w:ascii="Book Antiqua" w:eastAsia="Book Antiqua" w:hAnsi="Book Antiqua" w:cs="Book Antiqua"/>
          <w:color w:val="000000"/>
        </w:rPr>
        <w:t xml:space="preserve">61 </w:t>
      </w:r>
      <w:r>
        <w:rPr>
          <w:rFonts w:ascii="Book Antiqua" w:eastAsia="Book Antiqua" w:hAnsi="Book Antiqua" w:cs="Book Antiqua"/>
          <w:b/>
          <w:bCs/>
          <w:color w:val="000000"/>
        </w:rPr>
        <w:t>Agrawal M</w:t>
      </w:r>
      <w:r>
        <w:rPr>
          <w:rFonts w:ascii="Book Antiqua" w:eastAsia="Book Antiqua" w:hAnsi="Book Antiqua" w:cs="Book Antiqua"/>
          <w:color w:val="000000"/>
        </w:rPr>
        <w:t xml:space="preserve">, Colombel JF. Treat-to-Target in Inflammatory Bowel Diseases, What Is the Target and How Do We Treat? </w:t>
      </w:r>
      <w:r>
        <w:rPr>
          <w:rFonts w:ascii="Book Antiqua" w:eastAsia="Book Antiqua" w:hAnsi="Book Antiqua" w:cs="Book Antiqua"/>
          <w:i/>
          <w:iCs/>
          <w:color w:val="000000"/>
        </w:rPr>
        <w:t>Gastrointest Endosc Clin N Am</w:t>
      </w:r>
      <w:r>
        <w:rPr>
          <w:rFonts w:ascii="Book Antiqua" w:eastAsia="Book Antiqua" w:hAnsi="Book Antiqua" w:cs="Book Antiqua"/>
          <w:color w:val="000000"/>
        </w:rPr>
        <w:t xml:space="preserve"> 2019; </w:t>
      </w:r>
      <w:r>
        <w:rPr>
          <w:rFonts w:ascii="Book Antiqua" w:eastAsia="Book Antiqua" w:hAnsi="Book Antiqua" w:cs="Book Antiqua"/>
          <w:b/>
          <w:bCs/>
          <w:color w:val="000000"/>
        </w:rPr>
        <w:t>29</w:t>
      </w:r>
      <w:r>
        <w:rPr>
          <w:rFonts w:ascii="Book Antiqua" w:eastAsia="Book Antiqua" w:hAnsi="Book Antiqua" w:cs="Book Antiqua"/>
          <w:color w:val="000000"/>
        </w:rPr>
        <w:t>: 421-436 [PMID: 31078245 DOI: 10.1016/j.giec.2019.02.004]</w:t>
      </w:r>
    </w:p>
    <w:p w14:paraId="625BD5D8" w14:textId="77777777" w:rsidR="00A77B3E" w:rsidRDefault="002D3822" w:rsidP="00DE6F12">
      <w:pPr>
        <w:spacing w:line="360" w:lineRule="auto"/>
        <w:jc w:val="both"/>
      </w:pPr>
      <w:r>
        <w:rPr>
          <w:rFonts w:ascii="Book Antiqua" w:eastAsia="Book Antiqua" w:hAnsi="Book Antiqua" w:cs="Book Antiqua"/>
          <w:color w:val="000000"/>
        </w:rPr>
        <w:t xml:space="preserve">62 </w:t>
      </w:r>
      <w:r>
        <w:rPr>
          <w:rFonts w:ascii="Book Antiqua" w:eastAsia="Book Antiqua" w:hAnsi="Book Antiqua" w:cs="Book Antiqua"/>
          <w:b/>
          <w:bCs/>
          <w:color w:val="000000"/>
        </w:rPr>
        <w:t>Gupta A</w:t>
      </w:r>
      <w:r>
        <w:rPr>
          <w:rFonts w:ascii="Book Antiqua" w:eastAsia="Book Antiqua" w:hAnsi="Book Antiqua" w:cs="Book Antiqua"/>
          <w:color w:val="000000"/>
        </w:rPr>
        <w:t xml:space="preserve">, Yu A, Peyrin-Biroulet L, Ananthakrishnan AN. Treat to Target: The Role of Histologic Healing in Inflammatory Bowel Diseases: A Systematic Review and Meta-analysis.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2020 [PMID: 33010406 DOI: 10.1016/j.cgh.2020.09.046]</w:t>
      </w:r>
    </w:p>
    <w:p w14:paraId="7827ADC3" w14:textId="77777777" w:rsidR="00A77B3E" w:rsidRDefault="002D3822" w:rsidP="00DE6F12">
      <w:pPr>
        <w:spacing w:line="360" w:lineRule="auto"/>
        <w:jc w:val="both"/>
      </w:pPr>
      <w:r>
        <w:rPr>
          <w:rFonts w:ascii="Book Antiqua" w:eastAsia="Book Antiqua" w:hAnsi="Book Antiqua" w:cs="Book Antiqua"/>
          <w:color w:val="000000"/>
        </w:rPr>
        <w:t xml:space="preserve">63 </w:t>
      </w:r>
      <w:r>
        <w:rPr>
          <w:rFonts w:ascii="Book Antiqua" w:eastAsia="Book Antiqua" w:hAnsi="Book Antiqua" w:cs="Book Antiqua"/>
          <w:b/>
          <w:bCs/>
          <w:color w:val="000000"/>
        </w:rPr>
        <w:t>Scoville EA</w:t>
      </w:r>
      <w:r>
        <w:rPr>
          <w:rFonts w:ascii="Book Antiqua" w:eastAsia="Book Antiqua" w:hAnsi="Book Antiqua" w:cs="Book Antiqua"/>
          <w:color w:val="000000"/>
        </w:rPr>
        <w:t xml:space="preserve">, Schwartz DA. Endoscopy in inflammatory bowel disease: advances in disease management.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2017; </w:t>
      </w:r>
      <w:r>
        <w:rPr>
          <w:rFonts w:ascii="Book Antiqua" w:eastAsia="Book Antiqua" w:hAnsi="Book Antiqua" w:cs="Book Antiqua"/>
          <w:b/>
          <w:bCs/>
          <w:color w:val="000000"/>
        </w:rPr>
        <w:t>86</w:t>
      </w:r>
      <w:r>
        <w:rPr>
          <w:rFonts w:ascii="Book Antiqua" w:eastAsia="Book Antiqua" w:hAnsi="Book Antiqua" w:cs="Book Antiqua"/>
          <w:color w:val="000000"/>
        </w:rPr>
        <w:t>: 952-961 [PMID: 28886962 DOI: 10.1016/j.gie.2017.08.034]</w:t>
      </w:r>
    </w:p>
    <w:bookmarkEnd w:id="4"/>
    <w:bookmarkEnd w:id="5"/>
    <w:p w14:paraId="2541FA11" w14:textId="77777777" w:rsidR="00A77B3E" w:rsidRDefault="00A77B3E" w:rsidP="00DE6F12">
      <w:pPr>
        <w:spacing w:line="360" w:lineRule="auto"/>
        <w:jc w:val="both"/>
        <w:sectPr w:rsidR="00A77B3E">
          <w:pgSz w:w="12240" w:h="15840"/>
          <w:pgMar w:top="1440" w:right="1440" w:bottom="1440" w:left="1440" w:header="720" w:footer="720" w:gutter="0"/>
          <w:cols w:space="720"/>
          <w:docGrid w:linePitch="360"/>
        </w:sectPr>
      </w:pPr>
    </w:p>
    <w:p w14:paraId="6F232B20" w14:textId="77777777" w:rsidR="00A77B3E" w:rsidRDefault="002D3822" w:rsidP="00DE6F12">
      <w:pPr>
        <w:spacing w:line="360" w:lineRule="auto"/>
        <w:jc w:val="both"/>
      </w:pPr>
      <w:r>
        <w:rPr>
          <w:rFonts w:ascii="Book Antiqua" w:eastAsia="Book Antiqua" w:hAnsi="Book Antiqua" w:cs="Book Antiqua"/>
          <w:b/>
          <w:color w:val="000000"/>
        </w:rPr>
        <w:t>Footnotes</w:t>
      </w:r>
    </w:p>
    <w:p w14:paraId="333A595F" w14:textId="2D08ADDD" w:rsidR="00A77B3E" w:rsidRDefault="002D3822" w:rsidP="00DE6F12">
      <w:pPr>
        <w:spacing w:line="360" w:lineRule="auto"/>
        <w:jc w:val="both"/>
      </w:pPr>
      <w:r>
        <w:rPr>
          <w:rFonts w:ascii="Book Antiqua" w:eastAsia="Book Antiqua" w:hAnsi="Book Antiqua" w:cs="Book Antiqua"/>
          <w:b/>
          <w:bCs/>
          <w:color w:val="000000"/>
        </w:rPr>
        <w:t>Conflict-of-interest statement:</w:t>
      </w:r>
      <w:r w:rsidR="00244676">
        <w:rPr>
          <w:rFonts w:ascii="Book Antiqua" w:eastAsia="Book Antiqua" w:hAnsi="Book Antiqua" w:cs="Book Antiqua"/>
          <w:color w:val="000000"/>
        </w:rPr>
        <w:t xml:space="preserve"> </w:t>
      </w:r>
      <w:r>
        <w:rPr>
          <w:rFonts w:ascii="Book Antiqua" w:eastAsia="Book Antiqua" w:hAnsi="Book Antiqua" w:cs="Book Antiqua"/>
          <w:color w:val="000000"/>
        </w:rPr>
        <w:t>Rubin</w:t>
      </w:r>
      <w:r w:rsidR="00244676">
        <w:rPr>
          <w:rFonts w:ascii="Book Antiqua" w:eastAsia="Book Antiqua" w:hAnsi="Book Antiqua" w:cs="Book Antiqua"/>
          <w:color w:val="000000"/>
        </w:rPr>
        <w:t xml:space="preserve"> DT </w:t>
      </w:r>
      <w:r>
        <w:rPr>
          <w:rFonts w:ascii="Book Antiqua" w:eastAsia="Book Antiqua" w:hAnsi="Book Antiqua" w:cs="Book Antiqua"/>
          <w:color w:val="000000"/>
        </w:rPr>
        <w:t>has consulting fees</w:t>
      </w:r>
      <w:r w:rsidR="00244676">
        <w:rPr>
          <w:rFonts w:ascii="Book Antiqua" w:eastAsia="Book Antiqua" w:hAnsi="Book Antiqua" w:cs="Book Antiqua"/>
          <w:color w:val="000000"/>
        </w:rPr>
        <w:t xml:space="preserve"> </w:t>
      </w:r>
      <w:r>
        <w:rPr>
          <w:rFonts w:ascii="Book Antiqua" w:eastAsia="Book Antiqua" w:hAnsi="Book Antiqua" w:cs="Book Antiqua"/>
          <w:color w:val="000000"/>
        </w:rPr>
        <w:t>for</w:t>
      </w:r>
      <w:r w:rsidR="00244676">
        <w:rPr>
          <w:rFonts w:ascii="Book Antiqua" w:eastAsia="Book Antiqua" w:hAnsi="Book Antiqua" w:cs="Book Antiqua"/>
          <w:color w:val="000000"/>
        </w:rPr>
        <w:t xml:space="preserve"> </w:t>
      </w:r>
      <w:r>
        <w:rPr>
          <w:rFonts w:ascii="Book Antiqua" w:eastAsia="Book Antiqua" w:hAnsi="Book Antiqua" w:cs="Book Antiqua"/>
          <w:color w:val="000000"/>
        </w:rPr>
        <w:t>Abbie, Altrubio,</w:t>
      </w:r>
      <w:r w:rsidR="00244676">
        <w:rPr>
          <w:rFonts w:ascii="Book Antiqua" w:eastAsia="Book Antiqua" w:hAnsi="Book Antiqua" w:cs="Book Antiqua"/>
          <w:color w:val="000000"/>
        </w:rPr>
        <w:t xml:space="preserve"> </w:t>
      </w:r>
      <w:r>
        <w:rPr>
          <w:rFonts w:ascii="Book Antiqua" w:eastAsia="Book Antiqua" w:hAnsi="Book Antiqua" w:cs="Book Antiqua"/>
          <w:color w:val="000000"/>
        </w:rPr>
        <w:t xml:space="preserve">Alergan Inc, Arena Pharmaceuticals, Athos Therapeutics, Bellatrix Pharmaceuticals, Athos Therapeutics, Boehringer Ingelheim, Ltd, Bristol - Myers Squibb, , Celgene Corps /Syneos, Galen Pharma/Atlantica, Genentech/Roche , Gilead Sciences, Index Pharmaceuticals, Ironwood Pharmaceuticals, Iterative Scopes, Janssen Pharmaceuticals, Lilly, Materia Prima, Pfizer, Prometeus Laboratory, Reinstone, Takeda, Techlab </w:t>
      </w:r>
      <w:r w:rsidR="00244676">
        <w:rPr>
          <w:rFonts w:ascii="Book Antiqua" w:eastAsia="Book Antiqua" w:hAnsi="Book Antiqua" w:cs="Book Antiqua"/>
          <w:color w:val="000000"/>
        </w:rPr>
        <w:t>I</w:t>
      </w:r>
      <w:r>
        <w:rPr>
          <w:rFonts w:ascii="Book Antiqua" w:eastAsia="Book Antiqua" w:hAnsi="Book Antiqua" w:cs="Book Antiqua"/>
          <w:color w:val="000000"/>
        </w:rPr>
        <w:t xml:space="preserve">nc. Quera </w:t>
      </w:r>
      <w:r w:rsidR="00244676">
        <w:rPr>
          <w:rFonts w:ascii="Book Antiqua" w:eastAsia="Book Antiqua" w:hAnsi="Book Antiqua" w:cs="Book Antiqua"/>
          <w:color w:val="000000"/>
        </w:rPr>
        <w:t xml:space="preserve">R </w:t>
      </w:r>
      <w:r>
        <w:rPr>
          <w:rFonts w:ascii="Book Antiqua" w:eastAsia="Book Antiqua" w:hAnsi="Book Antiqua" w:cs="Book Antiqua"/>
          <w:color w:val="000000"/>
        </w:rPr>
        <w:t>and</w:t>
      </w:r>
      <w:r w:rsidR="00244676">
        <w:rPr>
          <w:rFonts w:ascii="Book Antiqua" w:eastAsia="Book Antiqua" w:hAnsi="Book Antiqua" w:cs="Book Antiqua"/>
          <w:color w:val="000000"/>
        </w:rPr>
        <w:t xml:space="preserve"> </w:t>
      </w:r>
      <w:r>
        <w:rPr>
          <w:rFonts w:ascii="Book Antiqua" w:eastAsia="Book Antiqua" w:hAnsi="Book Antiqua" w:cs="Book Antiqua"/>
          <w:color w:val="000000"/>
        </w:rPr>
        <w:t xml:space="preserve">Nuñez </w:t>
      </w:r>
      <w:r w:rsidR="00244676">
        <w:rPr>
          <w:rFonts w:ascii="Book Antiqua" w:eastAsia="Book Antiqua" w:hAnsi="Book Antiqua" w:cs="Book Antiqua"/>
          <w:color w:val="000000"/>
        </w:rPr>
        <w:t>F P</w:t>
      </w:r>
      <w:r>
        <w:rPr>
          <w:rFonts w:ascii="Book Antiqua" w:eastAsia="Book Antiqua" w:hAnsi="Book Antiqua" w:cs="Book Antiqua"/>
          <w:color w:val="000000"/>
        </w:rPr>
        <w:t>have received</w:t>
      </w:r>
      <w:r w:rsidR="00244676">
        <w:rPr>
          <w:rFonts w:ascii="Book Antiqua" w:eastAsia="Book Antiqua" w:hAnsi="Book Antiqua" w:cs="Book Antiqua"/>
          <w:color w:val="000000"/>
        </w:rPr>
        <w:t xml:space="preserve"> </w:t>
      </w:r>
      <w:r>
        <w:rPr>
          <w:rFonts w:ascii="Book Antiqua" w:eastAsia="Book Antiqua" w:hAnsi="Book Antiqua" w:cs="Book Antiqua"/>
          <w:color w:val="000000"/>
        </w:rPr>
        <w:t>support for attending meetings</w:t>
      </w:r>
      <w:r w:rsidR="00244676">
        <w:rPr>
          <w:rFonts w:ascii="Book Antiqua" w:eastAsia="Book Antiqua" w:hAnsi="Book Antiqua" w:cs="Book Antiqua"/>
          <w:color w:val="000000"/>
        </w:rPr>
        <w:t xml:space="preserve"> </w:t>
      </w:r>
      <w:r>
        <w:rPr>
          <w:rFonts w:ascii="Book Antiqua" w:eastAsia="Book Antiqua" w:hAnsi="Book Antiqua" w:cs="Book Antiqua"/>
          <w:color w:val="000000"/>
        </w:rPr>
        <w:t>from Janssen.</w:t>
      </w:r>
    </w:p>
    <w:p w14:paraId="608356F8" w14:textId="77777777" w:rsidR="00A77B3E" w:rsidRDefault="00A77B3E" w:rsidP="00DE6F12">
      <w:pPr>
        <w:spacing w:line="360" w:lineRule="auto"/>
        <w:jc w:val="both"/>
      </w:pPr>
    </w:p>
    <w:p w14:paraId="29AC508C" w14:textId="77777777" w:rsidR="00A77B3E" w:rsidRDefault="002D3822" w:rsidP="00DE6F1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29AC647" w14:textId="77777777" w:rsidR="00A77B3E" w:rsidRDefault="00A77B3E" w:rsidP="00DE6F12">
      <w:pPr>
        <w:spacing w:line="360" w:lineRule="auto"/>
        <w:jc w:val="both"/>
      </w:pPr>
    </w:p>
    <w:p w14:paraId="16B56D35" w14:textId="5572C9E4" w:rsidR="00A77B3E" w:rsidRDefault="002D3822" w:rsidP="00DE6F12">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Invite</w:t>
      </w:r>
      <w:r w:rsidR="00A369B4">
        <w:rPr>
          <w:rFonts w:ascii="Book Antiqua" w:eastAsia="Book Antiqua" w:hAnsi="Book Antiqua" w:cs="Book Antiqua"/>
          <w:color w:val="000000"/>
        </w:rPr>
        <w:t>d man</w:t>
      </w:r>
      <w:r>
        <w:rPr>
          <w:rFonts w:ascii="Book Antiqua" w:eastAsia="Book Antiqua" w:hAnsi="Book Antiqua" w:cs="Book Antiqua"/>
          <w:color w:val="000000"/>
        </w:rPr>
        <w:t>uscript</w:t>
      </w:r>
    </w:p>
    <w:p w14:paraId="2FB81BF3" w14:textId="77777777" w:rsidR="00DE6F12" w:rsidRDefault="00DE6F12" w:rsidP="00DE6F12">
      <w:pPr>
        <w:spacing w:line="360" w:lineRule="auto"/>
        <w:jc w:val="both"/>
      </w:pPr>
    </w:p>
    <w:p w14:paraId="492B54CF" w14:textId="05A54658" w:rsidR="00A77B3E" w:rsidRDefault="002D3822" w:rsidP="00DE6F12">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 xml:space="preserve">American Gastroenterological Association; American College of Gastroenterology; </w:t>
      </w:r>
      <w:r w:rsidR="00DE6F12">
        <w:rPr>
          <w:rFonts w:ascii="Book Antiqua" w:eastAsia="Book Antiqua" w:hAnsi="Book Antiqua" w:cs="Book Antiqua"/>
          <w:color w:val="000000"/>
        </w:rPr>
        <w:t xml:space="preserve">and </w:t>
      </w:r>
      <w:r>
        <w:rPr>
          <w:rFonts w:ascii="Book Antiqua" w:eastAsia="Book Antiqua" w:hAnsi="Book Antiqua" w:cs="Book Antiqua"/>
          <w:color w:val="000000"/>
        </w:rPr>
        <w:t>American Society for Gastrointestinal Endoscopy.</w:t>
      </w:r>
    </w:p>
    <w:p w14:paraId="1E6158C7" w14:textId="77777777" w:rsidR="00A77B3E" w:rsidRDefault="00A77B3E" w:rsidP="00DE6F12">
      <w:pPr>
        <w:spacing w:line="360" w:lineRule="auto"/>
        <w:jc w:val="both"/>
      </w:pPr>
    </w:p>
    <w:p w14:paraId="17977A06" w14:textId="77777777" w:rsidR="00A77B3E" w:rsidRDefault="002D3822" w:rsidP="00DE6F1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22, 2021</w:t>
      </w:r>
    </w:p>
    <w:p w14:paraId="293106B5" w14:textId="77777777" w:rsidR="00A77B3E" w:rsidRDefault="002D3822" w:rsidP="00DE6F1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29, 2021</w:t>
      </w:r>
    </w:p>
    <w:p w14:paraId="58DB0F04" w14:textId="5F7CF263" w:rsidR="00A77B3E" w:rsidRDefault="002D3822" w:rsidP="00DE6F12">
      <w:pPr>
        <w:spacing w:line="360" w:lineRule="auto"/>
        <w:jc w:val="both"/>
      </w:pPr>
      <w:r>
        <w:rPr>
          <w:rFonts w:ascii="Book Antiqua" w:eastAsia="Book Antiqua" w:hAnsi="Book Antiqua" w:cs="Book Antiqua"/>
          <w:b/>
          <w:color w:val="000000"/>
        </w:rPr>
        <w:t xml:space="preserve">Article in press: </w:t>
      </w:r>
      <w:r w:rsidR="00F403DF" w:rsidRPr="004D3B00">
        <w:rPr>
          <w:rFonts w:ascii="Book Antiqua" w:eastAsia="Book Antiqua" w:hAnsi="Book Antiqua" w:cs="Book Antiqua"/>
          <w:color w:val="000000"/>
        </w:rPr>
        <w:t>April 26, 2021</w:t>
      </w:r>
    </w:p>
    <w:p w14:paraId="66DBEE4F" w14:textId="77777777" w:rsidR="00A77B3E" w:rsidRDefault="00A77B3E" w:rsidP="00DE6F12">
      <w:pPr>
        <w:spacing w:line="360" w:lineRule="auto"/>
        <w:jc w:val="both"/>
      </w:pPr>
    </w:p>
    <w:p w14:paraId="1E522F15" w14:textId="0D48A01C" w:rsidR="00A77B3E" w:rsidRDefault="002D3822" w:rsidP="00DE6F12">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w:t>
      </w:r>
      <w:r w:rsidR="00A369B4">
        <w:rPr>
          <w:rFonts w:ascii="Book Antiqua" w:eastAsia="Book Antiqua" w:hAnsi="Book Antiqua" w:cs="Book Antiqua"/>
          <w:color w:val="000000"/>
        </w:rPr>
        <w:t>d he</w:t>
      </w:r>
      <w:r>
        <w:rPr>
          <w:rFonts w:ascii="Book Antiqua" w:eastAsia="Book Antiqua" w:hAnsi="Book Antiqua" w:cs="Book Antiqua"/>
          <w:color w:val="000000"/>
        </w:rPr>
        <w:t>patology</w:t>
      </w:r>
    </w:p>
    <w:p w14:paraId="51E4FF10" w14:textId="77777777" w:rsidR="00A77B3E" w:rsidRDefault="002D3822" w:rsidP="00DE6F1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5919D8C3" w14:textId="77777777" w:rsidR="00A77B3E" w:rsidRDefault="002D3822" w:rsidP="00DE6F12">
      <w:pPr>
        <w:spacing w:line="360" w:lineRule="auto"/>
        <w:jc w:val="both"/>
      </w:pPr>
      <w:r>
        <w:rPr>
          <w:rFonts w:ascii="Book Antiqua" w:eastAsia="Book Antiqua" w:hAnsi="Book Antiqua" w:cs="Book Antiqua"/>
          <w:b/>
          <w:color w:val="000000"/>
        </w:rPr>
        <w:t>Peer-review report’s scientific quality classification</w:t>
      </w:r>
    </w:p>
    <w:p w14:paraId="4F9D8369" w14:textId="77777777" w:rsidR="00A77B3E" w:rsidRDefault="002D3822" w:rsidP="00DE6F12">
      <w:pPr>
        <w:spacing w:line="360" w:lineRule="auto"/>
        <w:jc w:val="both"/>
      </w:pPr>
      <w:r>
        <w:rPr>
          <w:rFonts w:ascii="Book Antiqua" w:eastAsia="Book Antiqua" w:hAnsi="Book Antiqua" w:cs="Book Antiqua"/>
          <w:color w:val="000000"/>
        </w:rPr>
        <w:t>Grade A (Excellent): A</w:t>
      </w:r>
    </w:p>
    <w:p w14:paraId="68C7336D" w14:textId="77777777" w:rsidR="00A77B3E" w:rsidRDefault="002D3822" w:rsidP="00DE6F12">
      <w:pPr>
        <w:spacing w:line="360" w:lineRule="auto"/>
        <w:jc w:val="both"/>
      </w:pPr>
      <w:r>
        <w:rPr>
          <w:rFonts w:ascii="Book Antiqua" w:eastAsia="Book Antiqua" w:hAnsi="Book Antiqua" w:cs="Book Antiqua"/>
          <w:color w:val="000000"/>
        </w:rPr>
        <w:t>Grade B (Very good): B</w:t>
      </w:r>
    </w:p>
    <w:p w14:paraId="3D0CC619" w14:textId="77777777" w:rsidR="00A77B3E" w:rsidRDefault="002D3822" w:rsidP="00DE6F12">
      <w:pPr>
        <w:spacing w:line="360" w:lineRule="auto"/>
        <w:jc w:val="both"/>
      </w:pPr>
      <w:r>
        <w:rPr>
          <w:rFonts w:ascii="Book Antiqua" w:eastAsia="Book Antiqua" w:hAnsi="Book Antiqua" w:cs="Book Antiqua"/>
          <w:color w:val="000000"/>
        </w:rPr>
        <w:t>Grade C (Good): 0</w:t>
      </w:r>
    </w:p>
    <w:p w14:paraId="2E187D55" w14:textId="77777777" w:rsidR="00A77B3E" w:rsidRDefault="002D3822" w:rsidP="00DE6F12">
      <w:pPr>
        <w:spacing w:line="360" w:lineRule="auto"/>
        <w:jc w:val="both"/>
      </w:pPr>
      <w:r>
        <w:rPr>
          <w:rFonts w:ascii="Book Antiqua" w:eastAsia="Book Antiqua" w:hAnsi="Book Antiqua" w:cs="Book Antiqua"/>
          <w:color w:val="000000"/>
        </w:rPr>
        <w:t>Grade D (Fair): 0</w:t>
      </w:r>
    </w:p>
    <w:p w14:paraId="7C8CEDF5" w14:textId="77777777" w:rsidR="00A77B3E" w:rsidRDefault="002D3822" w:rsidP="00DE6F12">
      <w:pPr>
        <w:spacing w:line="360" w:lineRule="auto"/>
        <w:jc w:val="both"/>
      </w:pPr>
      <w:r>
        <w:rPr>
          <w:rFonts w:ascii="Book Antiqua" w:eastAsia="Book Antiqua" w:hAnsi="Book Antiqua" w:cs="Book Antiqua"/>
          <w:color w:val="000000"/>
        </w:rPr>
        <w:t>Grade E (Poor): 0</w:t>
      </w:r>
    </w:p>
    <w:p w14:paraId="4591C62A" w14:textId="77777777" w:rsidR="00A77B3E" w:rsidRDefault="00A77B3E" w:rsidP="00DE6F12">
      <w:pPr>
        <w:spacing w:line="360" w:lineRule="auto"/>
        <w:jc w:val="both"/>
      </w:pPr>
    </w:p>
    <w:p w14:paraId="559C49A5" w14:textId="19DB2F0D" w:rsidR="00F403DF" w:rsidRPr="00F403DF" w:rsidRDefault="002D3822" w:rsidP="00DE6F12">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Fan RY, Joshi H</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F403DF" w:rsidRPr="00F403DF">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sidR="00F403DF">
        <w:rPr>
          <w:rFonts w:ascii="Book Antiqua" w:hAnsi="Book Antiqua" w:cs="Book Antiqua" w:hint="eastAsia"/>
          <w:b/>
          <w:color w:val="000000"/>
          <w:lang w:eastAsia="zh-CN"/>
        </w:rPr>
        <w:t xml:space="preserve"> </w:t>
      </w:r>
      <w:r w:rsidR="00F403DF" w:rsidRPr="00F403DF">
        <w:rPr>
          <w:rFonts w:ascii="Book Antiqua" w:hAnsi="Book Antiqua" w:cs="Book Antiqua" w:hint="eastAsia"/>
          <w:color w:val="000000"/>
          <w:lang w:eastAsia="zh-CN"/>
        </w:rPr>
        <w:t>Liu JH</w:t>
      </w:r>
    </w:p>
    <w:p w14:paraId="046C2456" w14:textId="67C2291D" w:rsidR="00A77B3E" w:rsidRDefault="002D3822" w:rsidP="00DE6F12">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43BA9A02" w14:textId="5A42BE17" w:rsidR="00A77B3E" w:rsidRDefault="002D3822" w:rsidP="00DE6F1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4D835D82" w14:textId="0EE512FE" w:rsidR="00DE1777" w:rsidRDefault="00DE1777" w:rsidP="00DE6F12">
      <w:pPr>
        <w:spacing w:line="360" w:lineRule="auto"/>
        <w:jc w:val="both"/>
      </w:pPr>
      <w:r w:rsidRPr="00DE1777">
        <w:rPr>
          <w:noProof/>
          <w:lang w:eastAsia="zh-CN"/>
        </w:rPr>
        <w:drawing>
          <wp:inline distT="0" distB="0" distL="0" distR="0" wp14:anchorId="051658EB" wp14:editId="346F626E">
            <wp:extent cx="5943600" cy="5943600"/>
            <wp:effectExtent l="0" t="0" r="0" b="0"/>
            <wp:docPr id="3" name="Imagen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0B5BEC5-A129-1A41-BE97-B2EFA9159A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0B5BEC5-A129-1A41-BE97-B2EFA9159A31}"/>
                        </a:ext>
                      </a:extLst>
                    </pic:cNvPr>
                    <pic:cNvPicPr>
                      <a:picLocks noChangeAspect="1"/>
                    </pic:cNvPicPr>
                  </pic:nvPicPr>
                  <pic:blipFill>
                    <a:blip r:embed="rId10"/>
                    <a:stretch>
                      <a:fillRect/>
                    </a:stretch>
                  </pic:blipFill>
                  <pic:spPr>
                    <a:xfrm>
                      <a:off x="0" y="0"/>
                      <a:ext cx="5943600" cy="5943600"/>
                    </a:xfrm>
                    <a:prstGeom prst="rect">
                      <a:avLst/>
                    </a:prstGeom>
                  </pic:spPr>
                </pic:pic>
              </a:graphicData>
            </a:graphic>
          </wp:inline>
        </w:drawing>
      </w:r>
    </w:p>
    <w:p w14:paraId="70FDCEED" w14:textId="50392AFF" w:rsidR="00DE1777" w:rsidRDefault="002D3822" w:rsidP="00DE6F12">
      <w:pPr>
        <w:spacing w:line="360" w:lineRule="auto"/>
        <w:jc w:val="both"/>
        <w:rPr>
          <w:rFonts w:ascii="Book Antiqua" w:eastAsia="Book Antiqua" w:hAnsi="Book Antiqua" w:cs="Book Antiqua"/>
          <w:color w:val="000000"/>
        </w:rPr>
      </w:pPr>
      <w:r w:rsidRPr="00DE1777">
        <w:rPr>
          <w:rFonts w:ascii="Book Antiqua" w:eastAsia="Book Antiqua" w:hAnsi="Book Antiqua" w:cs="Book Antiqua"/>
          <w:b/>
          <w:bCs/>
          <w:color w:val="000000"/>
        </w:rPr>
        <w:t>Figure 1</w:t>
      </w:r>
      <w:r w:rsidR="00DE1777" w:rsidRPr="00DE1777">
        <w:rPr>
          <w:rFonts w:ascii="Book Antiqua" w:eastAsia="Book Antiqua" w:hAnsi="Book Antiqua" w:cs="Book Antiqua"/>
          <w:b/>
          <w:bCs/>
          <w:color w:val="000000"/>
        </w:rPr>
        <w:t xml:space="preserve"> </w:t>
      </w:r>
      <w:r w:rsidRPr="00DE1777">
        <w:rPr>
          <w:rFonts w:ascii="Book Antiqua" w:eastAsia="Book Antiqua" w:hAnsi="Book Antiqua" w:cs="Book Antiqua"/>
          <w:b/>
          <w:bCs/>
          <w:color w:val="000000"/>
        </w:rPr>
        <w:t xml:space="preserve">Endoscopic index in </w:t>
      </w:r>
      <w:r w:rsidR="00DE1777" w:rsidRPr="00DE1777">
        <w:rPr>
          <w:rFonts w:ascii="Book Antiqua" w:eastAsia="Book Antiqua" w:hAnsi="Book Antiqua" w:cs="Book Antiqua"/>
          <w:b/>
          <w:bCs/>
          <w:color w:val="000000"/>
        </w:rPr>
        <w:t>inflammatory bowel diseases</w:t>
      </w:r>
      <w:r w:rsidRPr="00DE1777">
        <w:rPr>
          <w:rFonts w:ascii="Book Antiqua" w:eastAsia="Book Antiqua" w:hAnsi="Book Antiqua" w:cs="Book Antiqua"/>
          <w:b/>
          <w:bCs/>
          <w:color w:val="000000"/>
          <w:vertAlign w:val="superscript"/>
        </w:rPr>
        <w:t>[13-22]</w:t>
      </w:r>
      <w:r w:rsidRPr="00DE1777">
        <w:rPr>
          <w:rFonts w:ascii="Book Antiqua" w:eastAsia="Book Antiqua" w:hAnsi="Book Antiqua" w:cs="Book Antiqua"/>
          <w:b/>
          <w:bCs/>
          <w:color w:val="000000"/>
        </w:rPr>
        <w:t>.</w:t>
      </w:r>
      <w:r>
        <w:rPr>
          <w:rFonts w:ascii="Book Antiqua" w:eastAsia="Book Antiqua" w:hAnsi="Book Antiqua" w:cs="Book Antiqua"/>
          <w:color w:val="000000"/>
        </w:rPr>
        <w:t xml:space="preserve"> </w:t>
      </w:r>
      <w:r w:rsidR="00DE6F12">
        <w:rPr>
          <w:rFonts w:ascii="Book Antiqua" w:eastAsia="Book Antiqua" w:hAnsi="Book Antiqua" w:cs="Book Antiqua"/>
          <w:color w:val="000000"/>
        </w:rPr>
        <w:t>The Simple endoscopic score Crohn´s disease: Sum of values of the four variables for the five bowel segments (rectum, left colon, transverse colon, right colon and ileum).</w:t>
      </w:r>
      <w:r w:rsidR="00DE6F12">
        <w:rPr>
          <w:rFonts w:ascii="Book Antiqua" w:hAnsi="Book Antiqua" w:cs="Book Antiqua" w:hint="eastAsia"/>
          <w:color w:val="000000"/>
          <w:lang w:eastAsia="zh-CN"/>
        </w:rPr>
        <w:t xml:space="preserve"> </w:t>
      </w:r>
      <w:r>
        <w:rPr>
          <w:rFonts w:ascii="Book Antiqua" w:eastAsia="Book Antiqua" w:hAnsi="Book Antiqua" w:cs="Book Antiqua"/>
          <w:color w:val="000000"/>
        </w:rPr>
        <w:t>UCEIS</w:t>
      </w:r>
      <w:r w:rsidR="00DE1777">
        <w:rPr>
          <w:rFonts w:ascii="Book Antiqua" w:eastAsia="Book Antiqua" w:hAnsi="Book Antiqua" w:cs="Book Antiqua"/>
          <w:color w:val="000000"/>
        </w:rPr>
        <w:t xml:space="preserve">: </w:t>
      </w:r>
      <w:r>
        <w:rPr>
          <w:rFonts w:ascii="Book Antiqua" w:eastAsia="Book Antiqua" w:hAnsi="Book Antiqua" w:cs="Book Antiqua"/>
          <w:color w:val="000000"/>
        </w:rPr>
        <w:t>Ulcerative colitis endoscopic index of severity; SES</w:t>
      </w:r>
      <w:r w:rsidR="00DE6F12">
        <w:rPr>
          <w:rFonts w:ascii="Book Antiqua" w:eastAsia="Book Antiqua" w:hAnsi="Book Antiqua" w:cs="Book Antiqua"/>
          <w:color w:val="000000"/>
        </w:rPr>
        <w:t xml:space="preserve"> </w:t>
      </w:r>
      <w:r>
        <w:rPr>
          <w:rFonts w:ascii="Book Antiqua" w:eastAsia="Book Antiqua" w:hAnsi="Book Antiqua" w:cs="Book Antiqua"/>
          <w:color w:val="000000"/>
        </w:rPr>
        <w:t>CD</w:t>
      </w:r>
      <w:r w:rsidR="00DE1777">
        <w:rPr>
          <w:rFonts w:ascii="Book Antiqua" w:eastAsia="Book Antiqua" w:hAnsi="Book Antiqua" w:cs="Book Antiqua"/>
          <w:color w:val="000000"/>
        </w:rPr>
        <w:t>:</w:t>
      </w:r>
      <w:r>
        <w:rPr>
          <w:rFonts w:ascii="Book Antiqua" w:eastAsia="Book Antiqua" w:hAnsi="Book Antiqua" w:cs="Book Antiqua"/>
          <w:color w:val="000000"/>
        </w:rPr>
        <w:t xml:space="preserve"> </w:t>
      </w:r>
      <w:r w:rsidR="00DE1777">
        <w:rPr>
          <w:rFonts w:ascii="Book Antiqua" w:eastAsia="Book Antiqua" w:hAnsi="Book Antiqua" w:cs="Book Antiqua"/>
          <w:color w:val="000000"/>
        </w:rPr>
        <w:t>S</w:t>
      </w:r>
      <w:r>
        <w:rPr>
          <w:rFonts w:ascii="Book Antiqua" w:eastAsia="Book Antiqua" w:hAnsi="Book Antiqua" w:cs="Book Antiqua"/>
          <w:color w:val="000000"/>
        </w:rPr>
        <w:t>imple endoscopic score Crohn´s disease</w:t>
      </w:r>
      <w:r w:rsidR="00DE6F12">
        <w:rPr>
          <w:rFonts w:ascii="Book Antiqua" w:eastAsia="Book Antiqua" w:hAnsi="Book Antiqua" w:cs="Book Antiqua"/>
          <w:color w:val="000000"/>
        </w:rPr>
        <w:t>; I</w:t>
      </w:r>
      <w:r w:rsidR="00DE6F12" w:rsidRPr="00DE6F12">
        <w:rPr>
          <w:rFonts w:ascii="Book Antiqua" w:eastAsia="Book Antiqua" w:hAnsi="Book Antiqua" w:cs="Book Antiqua"/>
          <w:color w:val="000000"/>
        </w:rPr>
        <w:t>BD: Inflammatory bowel diseases.</w:t>
      </w:r>
    </w:p>
    <w:p w14:paraId="766B7339" w14:textId="772D827A" w:rsidR="00DE1777" w:rsidRDefault="00DE1777" w:rsidP="00DE6F1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drawing>
          <wp:inline distT="0" distB="0" distL="0" distR="0" wp14:anchorId="27F36959" wp14:editId="6B2339DD">
            <wp:extent cx="5943600" cy="37458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745865"/>
                    </a:xfrm>
                    <a:prstGeom prst="rect">
                      <a:avLst/>
                    </a:prstGeom>
                  </pic:spPr>
                </pic:pic>
              </a:graphicData>
            </a:graphic>
          </wp:inline>
        </w:drawing>
      </w:r>
    </w:p>
    <w:p w14:paraId="1A098D95" w14:textId="54548B6E" w:rsidR="009566A8" w:rsidRDefault="002D3822" w:rsidP="00DE6F12">
      <w:pPr>
        <w:spacing w:line="360" w:lineRule="auto"/>
        <w:jc w:val="both"/>
        <w:rPr>
          <w:rFonts w:ascii="Book Antiqua" w:eastAsia="Book Antiqua" w:hAnsi="Book Antiqua" w:cs="Book Antiqua"/>
          <w:color w:val="000000"/>
        </w:rPr>
      </w:pPr>
      <w:r w:rsidRPr="009566A8">
        <w:rPr>
          <w:rFonts w:ascii="Book Antiqua" w:eastAsia="Book Antiqua" w:hAnsi="Book Antiqua" w:cs="Book Antiqua"/>
          <w:b/>
          <w:bCs/>
          <w:color w:val="000000"/>
        </w:rPr>
        <w:t>Figure 2</w:t>
      </w:r>
      <w:r w:rsidR="00DE1777" w:rsidRPr="009566A8">
        <w:rPr>
          <w:rFonts w:ascii="Book Antiqua" w:eastAsia="Book Antiqua" w:hAnsi="Book Antiqua" w:cs="Book Antiqua"/>
          <w:b/>
          <w:bCs/>
          <w:color w:val="000000"/>
        </w:rPr>
        <w:t xml:space="preserve"> </w:t>
      </w:r>
      <w:r w:rsidRPr="009566A8">
        <w:rPr>
          <w:rFonts w:ascii="Book Antiqua" w:eastAsia="Book Antiqua" w:hAnsi="Book Antiqua" w:cs="Book Antiqua"/>
          <w:b/>
          <w:bCs/>
          <w:color w:val="000000"/>
        </w:rPr>
        <w:t xml:space="preserve">Endoscopic objectives in </w:t>
      </w:r>
      <w:r w:rsidR="00DE1777" w:rsidRPr="009566A8">
        <w:rPr>
          <w:rFonts w:ascii="Book Antiqua" w:eastAsia="Book Antiqua" w:hAnsi="Book Antiqua" w:cs="Book Antiqua"/>
          <w:b/>
          <w:bCs/>
          <w:color w:val="000000"/>
        </w:rPr>
        <w:t>inflammatory bowel diseases</w:t>
      </w:r>
      <w:r w:rsidRPr="009566A8">
        <w:rPr>
          <w:rFonts w:ascii="Book Antiqua" w:eastAsia="Book Antiqua" w:hAnsi="Book Antiqua" w:cs="Book Antiqua"/>
          <w:b/>
          <w:bCs/>
          <w:color w:val="000000"/>
        </w:rPr>
        <w:t xml:space="preserve"> treatment</w:t>
      </w:r>
      <w:r w:rsidRPr="009566A8">
        <w:rPr>
          <w:rFonts w:ascii="Book Antiqua" w:eastAsia="Book Antiqua" w:hAnsi="Book Antiqua" w:cs="Book Antiqua"/>
          <w:b/>
          <w:bCs/>
          <w:color w:val="000000"/>
          <w:vertAlign w:val="superscript"/>
        </w:rPr>
        <w:t>[8-22]</w:t>
      </w:r>
      <w:r w:rsidRPr="009566A8">
        <w:rPr>
          <w:rFonts w:ascii="Book Antiqua" w:eastAsia="Book Antiqua" w:hAnsi="Book Antiqua" w:cs="Book Antiqua"/>
          <w:b/>
          <w:bCs/>
          <w:color w:val="000000"/>
        </w:rPr>
        <w:t>.</w:t>
      </w:r>
      <w:r>
        <w:rPr>
          <w:rFonts w:ascii="Book Antiqua" w:eastAsia="Book Antiqua" w:hAnsi="Book Antiqua" w:cs="Book Antiqua"/>
          <w:color w:val="000000"/>
        </w:rPr>
        <w:t xml:space="preserve"> CCR</w:t>
      </w:r>
      <w:r w:rsidR="009566A8">
        <w:rPr>
          <w:rFonts w:ascii="Book Antiqua" w:eastAsia="Book Antiqua" w:hAnsi="Book Antiqua" w:cs="Book Antiqua"/>
          <w:color w:val="000000"/>
        </w:rPr>
        <w:t>:</w:t>
      </w:r>
      <w:r>
        <w:rPr>
          <w:rFonts w:ascii="Book Antiqua" w:eastAsia="Book Antiqua" w:hAnsi="Book Antiqua" w:cs="Book Antiqua"/>
          <w:color w:val="000000"/>
        </w:rPr>
        <w:t xml:space="preserve"> </w:t>
      </w:r>
      <w:r w:rsidR="009566A8">
        <w:rPr>
          <w:rFonts w:ascii="Book Antiqua" w:eastAsia="Book Antiqua" w:hAnsi="Book Antiqua" w:cs="Book Antiqua"/>
          <w:color w:val="000000"/>
        </w:rPr>
        <w:t>C</w:t>
      </w:r>
      <w:r>
        <w:rPr>
          <w:rFonts w:ascii="Book Antiqua" w:eastAsia="Book Antiqua" w:hAnsi="Book Antiqua" w:cs="Book Antiqua"/>
          <w:color w:val="000000"/>
        </w:rPr>
        <w:t>olorectal cancer; UC</w:t>
      </w:r>
      <w:r w:rsidR="009566A8">
        <w:rPr>
          <w:rFonts w:ascii="Book Antiqua" w:eastAsia="Book Antiqua" w:hAnsi="Book Antiqua" w:cs="Book Antiqua"/>
          <w:color w:val="000000"/>
        </w:rPr>
        <w:t>:</w:t>
      </w:r>
      <w:r>
        <w:rPr>
          <w:rFonts w:ascii="Book Antiqua" w:eastAsia="Book Antiqua" w:hAnsi="Book Antiqua" w:cs="Book Antiqua"/>
          <w:color w:val="000000"/>
        </w:rPr>
        <w:t xml:space="preserve"> </w:t>
      </w:r>
      <w:r w:rsidR="009566A8">
        <w:rPr>
          <w:rFonts w:ascii="Book Antiqua" w:eastAsia="Book Antiqua" w:hAnsi="Book Antiqua" w:cs="Book Antiqua"/>
          <w:color w:val="000000"/>
        </w:rPr>
        <w:t>U</w:t>
      </w:r>
      <w:r>
        <w:rPr>
          <w:rFonts w:ascii="Book Antiqua" w:eastAsia="Book Antiqua" w:hAnsi="Book Antiqua" w:cs="Book Antiqua"/>
          <w:color w:val="000000"/>
        </w:rPr>
        <w:t>lcerative colitis; CD</w:t>
      </w:r>
      <w:r w:rsidR="009566A8">
        <w:rPr>
          <w:rFonts w:ascii="Book Antiqua" w:eastAsia="Book Antiqua" w:hAnsi="Book Antiqua" w:cs="Book Antiqua"/>
          <w:color w:val="000000"/>
        </w:rPr>
        <w:t>:</w:t>
      </w:r>
      <w:r>
        <w:rPr>
          <w:rFonts w:ascii="Book Antiqua" w:eastAsia="Book Antiqua" w:hAnsi="Book Antiqua" w:cs="Book Antiqua"/>
          <w:color w:val="000000"/>
        </w:rPr>
        <w:t xml:space="preserve"> Crohn</w:t>
      </w:r>
      <w:r w:rsidR="009566A8">
        <w:rPr>
          <w:rFonts w:ascii="Book Antiqua" w:eastAsia="Book Antiqua" w:hAnsi="Book Antiqua" w:cs="Book Antiqua"/>
          <w:color w:val="000000"/>
        </w:rPr>
        <w:t>’</w:t>
      </w:r>
      <w:r>
        <w:rPr>
          <w:rFonts w:ascii="Book Antiqua" w:eastAsia="Book Antiqua" w:hAnsi="Book Antiqua" w:cs="Book Antiqua"/>
          <w:color w:val="000000"/>
        </w:rPr>
        <w:t>s disease; IPAA</w:t>
      </w:r>
      <w:r w:rsidR="009566A8">
        <w:rPr>
          <w:rFonts w:ascii="Book Antiqua" w:eastAsia="Book Antiqua" w:hAnsi="Book Antiqua" w:cs="Book Antiqua"/>
          <w:color w:val="000000"/>
        </w:rPr>
        <w:t>:</w:t>
      </w:r>
      <w:r>
        <w:rPr>
          <w:rFonts w:ascii="Book Antiqua" w:eastAsia="Book Antiqua" w:hAnsi="Book Antiqua" w:cs="Book Antiqua"/>
          <w:color w:val="000000"/>
        </w:rPr>
        <w:t xml:space="preserve"> </w:t>
      </w:r>
      <w:r w:rsidR="009566A8">
        <w:rPr>
          <w:rFonts w:ascii="Book Antiqua" w:eastAsia="Book Antiqua" w:hAnsi="Book Antiqua" w:cs="Book Antiqua"/>
          <w:color w:val="000000"/>
        </w:rPr>
        <w:t>I</w:t>
      </w:r>
      <w:r>
        <w:rPr>
          <w:rFonts w:ascii="Book Antiqua" w:eastAsia="Book Antiqua" w:hAnsi="Book Antiqua" w:cs="Book Antiqua"/>
          <w:color w:val="000000"/>
        </w:rPr>
        <w:t>leal-pouch-anal anastomoses</w:t>
      </w:r>
      <w:r w:rsidR="00DE6F12">
        <w:rPr>
          <w:rFonts w:ascii="Book Antiqua" w:eastAsia="Book Antiqua" w:hAnsi="Book Antiqua" w:cs="Book Antiqua"/>
          <w:color w:val="000000"/>
        </w:rPr>
        <w:t>; SES-CD: Simple endoscopic score Crohn´s disease; UCEIS: Ulcerative colitis endoscopic index of severity.</w:t>
      </w:r>
    </w:p>
    <w:p w14:paraId="5E2C6D33" w14:textId="12C00183" w:rsidR="009566A8" w:rsidRDefault="009566A8" w:rsidP="00DE6F1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Pr="009566A8">
        <w:rPr>
          <w:rFonts w:ascii="Book Antiqua" w:eastAsia="Book Antiqua" w:hAnsi="Book Antiqua" w:cs="Book Antiqua"/>
          <w:noProof/>
          <w:color w:val="000000"/>
          <w:lang w:eastAsia="zh-CN"/>
        </w:rPr>
        <w:drawing>
          <wp:inline distT="0" distB="0" distL="0" distR="0" wp14:anchorId="6B06AADF" wp14:editId="754F75CD">
            <wp:extent cx="5943600" cy="2882900"/>
            <wp:effectExtent l="0" t="0" r="0" b="0"/>
            <wp:docPr id="6" name="Imagen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068EDA2-875B-9C47-A5CF-F9C1C8DE45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068EDA2-875B-9C47-A5CF-F9C1C8DE455D}"/>
                        </a:ext>
                      </a:extLst>
                    </pic:cNvPr>
                    <pic:cNvPicPr>
                      <a:picLocks noChangeAspect="1"/>
                    </pic:cNvPicPr>
                  </pic:nvPicPr>
                  <pic:blipFill>
                    <a:blip r:embed="rId12"/>
                    <a:stretch>
                      <a:fillRect/>
                    </a:stretch>
                  </pic:blipFill>
                  <pic:spPr>
                    <a:xfrm>
                      <a:off x="0" y="0"/>
                      <a:ext cx="5943600" cy="2882900"/>
                    </a:xfrm>
                    <a:prstGeom prst="rect">
                      <a:avLst/>
                    </a:prstGeom>
                  </pic:spPr>
                </pic:pic>
              </a:graphicData>
            </a:graphic>
          </wp:inline>
        </w:drawing>
      </w:r>
    </w:p>
    <w:p w14:paraId="4ECAE899" w14:textId="1097E0E4" w:rsidR="009566A8" w:rsidRDefault="002D3822" w:rsidP="00DE6F12">
      <w:pPr>
        <w:spacing w:line="360" w:lineRule="auto"/>
        <w:jc w:val="both"/>
        <w:rPr>
          <w:rFonts w:ascii="Book Antiqua" w:eastAsia="Book Antiqua" w:hAnsi="Book Antiqua" w:cs="Book Antiqua"/>
          <w:color w:val="000000"/>
        </w:rPr>
      </w:pPr>
      <w:r w:rsidRPr="009566A8">
        <w:rPr>
          <w:rFonts w:ascii="Book Antiqua" w:eastAsia="Book Antiqua" w:hAnsi="Book Antiqua" w:cs="Book Antiqua"/>
          <w:b/>
          <w:bCs/>
          <w:color w:val="000000"/>
        </w:rPr>
        <w:t>Figure 3</w:t>
      </w:r>
      <w:r w:rsidR="009566A8" w:rsidRPr="009566A8">
        <w:rPr>
          <w:rFonts w:ascii="Book Antiqua" w:eastAsia="Book Antiqua" w:hAnsi="Book Antiqua" w:cs="Book Antiqua"/>
          <w:b/>
          <w:bCs/>
          <w:color w:val="000000"/>
        </w:rPr>
        <w:t xml:space="preserve"> </w:t>
      </w:r>
      <w:bookmarkStart w:id="6" w:name="_Hlk69900312"/>
      <w:r w:rsidR="00DE1777" w:rsidRPr="009566A8">
        <w:rPr>
          <w:rFonts w:ascii="Book Antiqua" w:eastAsia="Book Antiqua" w:hAnsi="Book Antiqua" w:cs="Book Antiqua"/>
          <w:b/>
          <w:bCs/>
          <w:color w:val="000000"/>
        </w:rPr>
        <w:t>Inflammatory bowel diseases</w:t>
      </w:r>
      <w:bookmarkEnd w:id="6"/>
      <w:r w:rsidRPr="009566A8">
        <w:rPr>
          <w:rFonts w:ascii="Book Antiqua" w:eastAsia="Book Antiqua" w:hAnsi="Book Antiqua" w:cs="Book Antiqua"/>
          <w:b/>
          <w:bCs/>
          <w:color w:val="000000"/>
        </w:rPr>
        <w:t xml:space="preserve"> </w:t>
      </w:r>
      <w:r w:rsidR="009566A8">
        <w:rPr>
          <w:rFonts w:ascii="Book Antiqua" w:eastAsia="Book Antiqua" w:hAnsi="Book Antiqua" w:cs="Book Antiqua"/>
          <w:b/>
          <w:bCs/>
          <w:color w:val="000000"/>
        </w:rPr>
        <w:t>s</w:t>
      </w:r>
      <w:r w:rsidRPr="009566A8">
        <w:rPr>
          <w:rFonts w:ascii="Book Antiqua" w:eastAsia="Book Antiqua" w:hAnsi="Book Antiqua" w:cs="Book Antiqua"/>
          <w:b/>
          <w:bCs/>
          <w:color w:val="000000"/>
        </w:rPr>
        <w:t>urveillance</w:t>
      </w:r>
      <w:r w:rsidRPr="009566A8">
        <w:rPr>
          <w:rFonts w:ascii="Book Antiqua" w:eastAsia="Book Antiqua" w:hAnsi="Book Antiqua" w:cs="Book Antiqua"/>
          <w:b/>
          <w:bCs/>
          <w:color w:val="000000"/>
          <w:vertAlign w:val="superscript"/>
        </w:rPr>
        <w:t>[3,24-28]</w:t>
      </w:r>
      <w:r w:rsidR="009566A8" w:rsidRPr="009566A8">
        <w:rPr>
          <w:rFonts w:ascii="Book Antiqua" w:eastAsia="Book Antiqua" w:hAnsi="Book Antiqua" w:cs="Book Antiqua"/>
          <w:b/>
          <w:bCs/>
          <w:color w:val="000000"/>
        </w:rPr>
        <w:t>.</w:t>
      </w:r>
      <w:r w:rsidR="009566A8">
        <w:rPr>
          <w:rFonts w:ascii="Book Antiqua" w:eastAsia="Book Antiqua" w:hAnsi="Book Antiqua" w:cs="Book Antiqua"/>
          <w:b/>
          <w:bCs/>
          <w:color w:val="000000"/>
        </w:rPr>
        <w:t xml:space="preserve"> </w:t>
      </w:r>
      <w:r w:rsidR="009566A8">
        <w:rPr>
          <w:rFonts w:ascii="Book Antiqua" w:eastAsia="Book Antiqua" w:hAnsi="Book Antiqua" w:cs="Book Antiqua"/>
          <w:color w:val="000000"/>
        </w:rPr>
        <w:t xml:space="preserve">CCR: Colorectal cancer; IBD: </w:t>
      </w:r>
      <w:r w:rsidR="009566A8" w:rsidRPr="009566A8">
        <w:rPr>
          <w:rFonts w:ascii="Book Antiqua" w:eastAsia="Book Antiqua" w:hAnsi="Book Antiqua" w:cs="Book Antiqua"/>
          <w:color w:val="000000"/>
        </w:rPr>
        <w:t>Inflammatory bowel diseases</w:t>
      </w:r>
      <w:r w:rsidR="00DE6F12">
        <w:rPr>
          <w:rFonts w:ascii="Book Antiqua" w:eastAsia="Book Antiqua" w:hAnsi="Book Antiqua" w:cs="Book Antiqua"/>
          <w:color w:val="000000"/>
        </w:rPr>
        <w:t>; UC: Ulcerative colitis.</w:t>
      </w:r>
    </w:p>
    <w:p w14:paraId="2B024353" w14:textId="0383AE18" w:rsidR="009566A8" w:rsidRPr="009566A8" w:rsidRDefault="009566A8" w:rsidP="00DE6F12">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9566A8">
        <w:rPr>
          <w:rFonts w:ascii="Book Antiqua" w:eastAsia="Book Antiqua" w:hAnsi="Book Antiqua" w:cs="Book Antiqua"/>
          <w:noProof/>
          <w:color w:val="000000"/>
          <w:lang w:eastAsia="zh-CN"/>
        </w:rPr>
        <w:drawing>
          <wp:inline distT="0" distB="0" distL="0" distR="0" wp14:anchorId="6DBA7681" wp14:editId="21C44DBD">
            <wp:extent cx="5943600" cy="4160520"/>
            <wp:effectExtent l="0" t="0" r="0" b="0"/>
            <wp:docPr id="12" name="Imagen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25723F9-1F0F-9D4E-BB82-BC5B6C1593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25723F9-1F0F-9D4E-BB82-BC5B6C1593FC}"/>
                        </a:ext>
                      </a:extLst>
                    </pic:cNvPr>
                    <pic:cNvPicPr>
                      <a:picLocks noChangeAspect="1"/>
                    </pic:cNvPicPr>
                  </pic:nvPicPr>
                  <pic:blipFill>
                    <a:blip r:embed="rId13"/>
                    <a:stretch>
                      <a:fillRect/>
                    </a:stretch>
                  </pic:blipFill>
                  <pic:spPr>
                    <a:xfrm>
                      <a:off x="0" y="0"/>
                      <a:ext cx="5943600" cy="4160520"/>
                    </a:xfrm>
                    <a:prstGeom prst="rect">
                      <a:avLst/>
                    </a:prstGeom>
                  </pic:spPr>
                </pic:pic>
              </a:graphicData>
            </a:graphic>
          </wp:inline>
        </w:drawing>
      </w:r>
    </w:p>
    <w:p w14:paraId="68B3235A" w14:textId="7891D93D" w:rsidR="009566A8" w:rsidRDefault="002D3822" w:rsidP="00DE6F12">
      <w:pPr>
        <w:spacing w:line="360" w:lineRule="auto"/>
        <w:jc w:val="both"/>
        <w:rPr>
          <w:rFonts w:ascii="Book Antiqua" w:eastAsia="Book Antiqua" w:hAnsi="Book Antiqua" w:cs="Book Antiqua"/>
          <w:color w:val="000000"/>
        </w:rPr>
      </w:pPr>
      <w:r w:rsidRPr="009566A8">
        <w:rPr>
          <w:rFonts w:ascii="Book Antiqua" w:eastAsia="Book Antiqua" w:hAnsi="Book Antiqua" w:cs="Book Antiqua"/>
          <w:b/>
          <w:bCs/>
          <w:color w:val="000000"/>
        </w:rPr>
        <w:t>Figure 4</w:t>
      </w:r>
      <w:r w:rsidR="009566A8" w:rsidRPr="009566A8">
        <w:rPr>
          <w:rFonts w:ascii="Book Antiqua" w:eastAsia="Book Antiqua" w:hAnsi="Book Antiqua" w:cs="Book Antiqua"/>
          <w:b/>
          <w:bCs/>
          <w:color w:val="000000"/>
        </w:rPr>
        <w:t xml:space="preserve"> </w:t>
      </w:r>
      <w:r w:rsidRPr="009566A8">
        <w:rPr>
          <w:rFonts w:ascii="Book Antiqua" w:eastAsia="Book Antiqua" w:hAnsi="Book Antiqua" w:cs="Book Antiqua"/>
          <w:b/>
          <w:bCs/>
          <w:color w:val="000000"/>
        </w:rPr>
        <w:t>Algorithm for the management of dysplasia</w:t>
      </w:r>
      <w:r w:rsidRPr="009566A8">
        <w:rPr>
          <w:rFonts w:ascii="Book Antiqua" w:eastAsia="Book Antiqua" w:hAnsi="Book Antiqua" w:cs="Book Antiqua"/>
          <w:b/>
          <w:bCs/>
          <w:color w:val="000000"/>
          <w:vertAlign w:val="superscript"/>
        </w:rPr>
        <w:t>[3,37,42-46]</w:t>
      </w:r>
      <w:r w:rsidR="009566A8" w:rsidRPr="009566A8">
        <w:rPr>
          <w:rFonts w:ascii="Book Antiqua" w:eastAsia="Book Antiqua" w:hAnsi="Book Antiqua" w:cs="Book Antiqua"/>
          <w:b/>
          <w:bCs/>
          <w:color w:val="000000"/>
        </w:rPr>
        <w:t>.</w:t>
      </w:r>
      <w:r>
        <w:rPr>
          <w:rFonts w:ascii="Book Antiqua" w:eastAsia="Book Antiqua" w:hAnsi="Book Antiqua" w:cs="Book Antiqua"/>
          <w:color w:val="000000"/>
        </w:rPr>
        <w:t xml:space="preserve"> LGD</w:t>
      </w:r>
      <w:r w:rsidR="009566A8">
        <w:rPr>
          <w:rFonts w:ascii="Book Antiqua" w:eastAsia="Book Antiqua" w:hAnsi="Book Antiqua" w:cs="Book Antiqua"/>
          <w:color w:val="000000"/>
        </w:rPr>
        <w:t>:</w:t>
      </w:r>
      <w:r>
        <w:rPr>
          <w:rFonts w:ascii="Book Antiqua" w:eastAsia="Book Antiqua" w:hAnsi="Book Antiqua" w:cs="Book Antiqua"/>
          <w:color w:val="000000"/>
        </w:rPr>
        <w:t xml:space="preserve"> </w:t>
      </w:r>
      <w:r w:rsidR="009566A8">
        <w:rPr>
          <w:rFonts w:ascii="Book Antiqua" w:eastAsia="Book Antiqua" w:hAnsi="Book Antiqua" w:cs="Book Antiqua"/>
          <w:color w:val="000000"/>
        </w:rPr>
        <w:t>L</w:t>
      </w:r>
      <w:r>
        <w:rPr>
          <w:rFonts w:ascii="Book Antiqua" w:eastAsia="Book Antiqua" w:hAnsi="Book Antiqua" w:cs="Book Antiqua"/>
          <w:color w:val="000000"/>
        </w:rPr>
        <w:t>ow grade dysplasia; HGD</w:t>
      </w:r>
      <w:r w:rsidR="009566A8">
        <w:rPr>
          <w:rFonts w:ascii="Book Antiqua" w:eastAsia="Book Antiqua" w:hAnsi="Book Antiqua" w:cs="Book Antiqua"/>
          <w:color w:val="000000"/>
        </w:rPr>
        <w:t>:</w:t>
      </w:r>
      <w:r>
        <w:rPr>
          <w:rFonts w:ascii="Book Antiqua" w:eastAsia="Book Antiqua" w:hAnsi="Book Antiqua" w:cs="Book Antiqua"/>
          <w:color w:val="000000"/>
        </w:rPr>
        <w:t xml:space="preserve"> </w:t>
      </w:r>
      <w:r w:rsidR="009566A8">
        <w:rPr>
          <w:rFonts w:ascii="Book Antiqua" w:eastAsia="Book Antiqua" w:hAnsi="Book Antiqua" w:cs="Book Antiqua"/>
          <w:color w:val="000000"/>
        </w:rPr>
        <w:t>H</w:t>
      </w:r>
      <w:r>
        <w:rPr>
          <w:rFonts w:ascii="Book Antiqua" w:eastAsia="Book Antiqua" w:hAnsi="Book Antiqua" w:cs="Book Antiqua"/>
          <w:color w:val="000000"/>
        </w:rPr>
        <w:t>igh grade dysplasia</w:t>
      </w:r>
      <w:r w:rsidR="009566A8">
        <w:rPr>
          <w:rFonts w:ascii="Book Antiqua" w:eastAsia="Book Antiqua" w:hAnsi="Book Antiqua" w:cs="Book Antiqua"/>
          <w:color w:val="000000"/>
        </w:rPr>
        <w:t>; CE:</w:t>
      </w:r>
      <w:r w:rsidR="003131CD">
        <w:rPr>
          <w:rFonts w:ascii="Book Antiqua" w:eastAsia="Book Antiqua" w:hAnsi="Book Antiqua" w:cs="Book Antiqua"/>
          <w:color w:val="000000"/>
        </w:rPr>
        <w:t xml:space="preserve"> </w:t>
      </w:r>
      <w:r w:rsidR="008A4E8F">
        <w:rPr>
          <w:rFonts w:ascii="Book Antiqua" w:eastAsia="Book Antiqua" w:hAnsi="Book Antiqua" w:cs="Book Antiqua"/>
          <w:color w:val="000000"/>
        </w:rPr>
        <w:t>Chromoendoscopy.</w:t>
      </w:r>
    </w:p>
    <w:p w14:paraId="402C152B" w14:textId="661E4B06" w:rsidR="009566A8" w:rsidRPr="009566A8" w:rsidRDefault="009566A8" w:rsidP="00DE6F12">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002D3822" w:rsidRPr="009566A8">
        <w:rPr>
          <w:rFonts w:ascii="Book Antiqua" w:eastAsia="Book Antiqua" w:hAnsi="Book Antiqua" w:cs="Book Antiqua"/>
          <w:b/>
          <w:bCs/>
          <w:color w:val="000000"/>
        </w:rPr>
        <w:t>Table 1</w:t>
      </w:r>
      <w:r w:rsidRPr="009566A8">
        <w:rPr>
          <w:rFonts w:ascii="Book Antiqua" w:eastAsia="Book Antiqua" w:hAnsi="Book Antiqua" w:cs="Book Antiqua"/>
          <w:b/>
          <w:bCs/>
          <w:color w:val="000000"/>
        </w:rPr>
        <w:t xml:space="preserve"> </w:t>
      </w:r>
      <w:r w:rsidR="002D3822" w:rsidRPr="009566A8">
        <w:rPr>
          <w:rFonts w:ascii="Book Antiqua" w:eastAsia="Book Antiqua" w:hAnsi="Book Antiqua" w:cs="Book Antiqua"/>
          <w:b/>
          <w:bCs/>
          <w:color w:val="000000"/>
        </w:rPr>
        <w:t>Risk factors for colitis associated neoplasia</w:t>
      </w:r>
      <w:r w:rsidR="002D3822" w:rsidRPr="009566A8">
        <w:rPr>
          <w:rFonts w:ascii="Book Antiqua" w:eastAsia="Book Antiqua" w:hAnsi="Book Antiqua" w:cs="Book Antiqua"/>
          <w:b/>
          <w:bCs/>
          <w:color w:val="000000"/>
          <w:vertAlign w:val="superscript"/>
        </w:rPr>
        <w:t>[26-29]</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9566A8" w14:paraId="34A5DC10" w14:textId="77777777" w:rsidTr="000A70D4">
        <w:tc>
          <w:tcPr>
            <w:tcW w:w="9576" w:type="dxa"/>
            <w:gridSpan w:val="3"/>
            <w:tcBorders>
              <w:top w:val="single" w:sz="4" w:space="0" w:color="auto"/>
              <w:bottom w:val="single" w:sz="4" w:space="0" w:color="auto"/>
            </w:tcBorders>
          </w:tcPr>
          <w:p w14:paraId="4E9491B0" w14:textId="11C98F90" w:rsidR="009566A8" w:rsidRPr="009566A8" w:rsidRDefault="009566A8" w:rsidP="00DE6F12">
            <w:pPr>
              <w:spacing w:line="360" w:lineRule="auto"/>
              <w:jc w:val="both"/>
              <w:rPr>
                <w:rFonts w:ascii="Book Antiqua" w:eastAsia="Book Antiqua" w:hAnsi="Book Antiqua" w:cs="Book Antiqua"/>
                <w:b/>
                <w:bCs/>
                <w:color w:val="000000"/>
              </w:rPr>
            </w:pPr>
            <w:r w:rsidRPr="009566A8">
              <w:rPr>
                <w:rFonts w:ascii="Book Antiqua" w:eastAsia="Book Antiqua" w:hAnsi="Book Antiqua" w:cs="Book Antiqua"/>
                <w:b/>
                <w:bCs/>
                <w:color w:val="000000"/>
              </w:rPr>
              <w:t>CRC risk</w:t>
            </w:r>
          </w:p>
        </w:tc>
      </w:tr>
      <w:tr w:rsidR="009566A8" w14:paraId="0C277A66" w14:textId="77777777" w:rsidTr="000A70D4">
        <w:tc>
          <w:tcPr>
            <w:tcW w:w="3192" w:type="dxa"/>
            <w:vMerge w:val="restart"/>
            <w:tcBorders>
              <w:top w:val="single" w:sz="4" w:space="0" w:color="auto"/>
              <w:bottom w:val="single" w:sz="4" w:space="0" w:color="auto"/>
            </w:tcBorders>
          </w:tcPr>
          <w:p w14:paraId="59F82475" w14:textId="3D39EF1D" w:rsidR="009566A8" w:rsidRPr="003F1A9F" w:rsidRDefault="009566A8" w:rsidP="00DE6F12">
            <w:pPr>
              <w:spacing w:line="360" w:lineRule="auto"/>
              <w:jc w:val="both"/>
              <w:rPr>
                <w:rFonts w:ascii="Book Antiqua" w:eastAsia="Book Antiqua" w:hAnsi="Book Antiqua" w:cs="Book Antiqua"/>
                <w:b/>
                <w:bCs/>
                <w:color w:val="000000"/>
              </w:rPr>
            </w:pPr>
            <w:r w:rsidRPr="003F1A9F">
              <w:rPr>
                <w:rFonts w:ascii="Book Antiqua" w:eastAsia="Book Antiqua" w:hAnsi="Book Antiqua" w:cs="Book Antiqua"/>
                <w:b/>
                <w:bCs/>
                <w:color w:val="000000"/>
              </w:rPr>
              <w:t>Patient related factors</w:t>
            </w:r>
          </w:p>
        </w:tc>
        <w:tc>
          <w:tcPr>
            <w:tcW w:w="6384" w:type="dxa"/>
            <w:gridSpan w:val="2"/>
            <w:tcBorders>
              <w:top w:val="single" w:sz="4" w:space="0" w:color="auto"/>
              <w:bottom w:val="single" w:sz="4" w:space="0" w:color="auto"/>
            </w:tcBorders>
          </w:tcPr>
          <w:p w14:paraId="2C1A687E" w14:textId="28BB81C1" w:rsidR="009566A8" w:rsidRPr="003F1A9F" w:rsidRDefault="009566A8" w:rsidP="00DE6F12">
            <w:pPr>
              <w:spacing w:line="360" w:lineRule="auto"/>
              <w:jc w:val="both"/>
              <w:rPr>
                <w:rFonts w:ascii="Book Antiqua" w:eastAsia="Book Antiqua" w:hAnsi="Book Antiqua" w:cs="Book Antiqua"/>
                <w:b/>
                <w:bCs/>
                <w:color w:val="000000"/>
              </w:rPr>
            </w:pPr>
            <w:r w:rsidRPr="003F1A9F">
              <w:rPr>
                <w:rFonts w:ascii="Book Antiqua" w:eastAsia="Book Antiqua" w:hAnsi="Book Antiqua" w:cs="Book Antiqua"/>
                <w:b/>
                <w:bCs/>
                <w:color w:val="000000"/>
              </w:rPr>
              <w:t>Disease related factors</w:t>
            </w:r>
          </w:p>
        </w:tc>
      </w:tr>
      <w:tr w:rsidR="009566A8" w14:paraId="6DC356BE" w14:textId="77777777" w:rsidTr="000A70D4">
        <w:tc>
          <w:tcPr>
            <w:tcW w:w="3192" w:type="dxa"/>
            <w:vMerge/>
            <w:tcBorders>
              <w:top w:val="single" w:sz="4" w:space="0" w:color="auto"/>
              <w:bottom w:val="single" w:sz="4" w:space="0" w:color="auto"/>
            </w:tcBorders>
          </w:tcPr>
          <w:p w14:paraId="3D63727D" w14:textId="77777777" w:rsidR="009566A8" w:rsidRPr="003F1A9F" w:rsidRDefault="009566A8" w:rsidP="00DE6F12">
            <w:pPr>
              <w:spacing w:line="360" w:lineRule="auto"/>
              <w:jc w:val="both"/>
              <w:rPr>
                <w:rFonts w:ascii="Book Antiqua" w:eastAsia="Book Antiqua" w:hAnsi="Book Antiqua" w:cs="Book Antiqua"/>
                <w:b/>
                <w:bCs/>
                <w:color w:val="000000"/>
              </w:rPr>
            </w:pPr>
          </w:p>
        </w:tc>
        <w:tc>
          <w:tcPr>
            <w:tcW w:w="3192" w:type="dxa"/>
            <w:tcBorders>
              <w:top w:val="single" w:sz="4" w:space="0" w:color="auto"/>
              <w:bottom w:val="single" w:sz="4" w:space="0" w:color="auto"/>
            </w:tcBorders>
          </w:tcPr>
          <w:p w14:paraId="2B2BF3DD" w14:textId="3F22128B" w:rsidR="009566A8" w:rsidRPr="003F1A9F" w:rsidRDefault="009566A8" w:rsidP="00DE6F12">
            <w:pPr>
              <w:spacing w:line="360" w:lineRule="auto"/>
              <w:jc w:val="both"/>
              <w:rPr>
                <w:rFonts w:ascii="Book Antiqua" w:hAnsi="Book Antiqua" w:cs="Book Antiqua"/>
                <w:b/>
                <w:bCs/>
                <w:color w:val="000000"/>
                <w:lang w:eastAsia="zh-CN"/>
              </w:rPr>
            </w:pPr>
            <w:r w:rsidRPr="003F1A9F">
              <w:rPr>
                <w:rFonts w:ascii="Book Antiqua" w:hAnsi="Book Antiqua" w:cs="Book Antiqua" w:hint="eastAsia"/>
                <w:b/>
                <w:bCs/>
                <w:color w:val="000000"/>
                <w:lang w:eastAsia="zh-CN"/>
              </w:rPr>
              <w:t>U</w:t>
            </w:r>
            <w:r w:rsidRPr="003F1A9F">
              <w:rPr>
                <w:rFonts w:ascii="Book Antiqua" w:hAnsi="Book Antiqua" w:cs="Book Antiqua"/>
                <w:b/>
                <w:bCs/>
                <w:color w:val="000000"/>
                <w:lang w:eastAsia="zh-CN"/>
              </w:rPr>
              <w:t>C</w:t>
            </w:r>
          </w:p>
        </w:tc>
        <w:tc>
          <w:tcPr>
            <w:tcW w:w="3192" w:type="dxa"/>
            <w:tcBorders>
              <w:top w:val="single" w:sz="4" w:space="0" w:color="auto"/>
              <w:bottom w:val="single" w:sz="4" w:space="0" w:color="auto"/>
            </w:tcBorders>
          </w:tcPr>
          <w:p w14:paraId="50371F94" w14:textId="1B3FE36B" w:rsidR="009566A8" w:rsidRPr="003F1A9F" w:rsidRDefault="009566A8" w:rsidP="00DE6F12">
            <w:pPr>
              <w:spacing w:line="360" w:lineRule="auto"/>
              <w:jc w:val="both"/>
              <w:rPr>
                <w:rFonts w:ascii="Book Antiqua" w:hAnsi="Book Antiqua" w:cs="Book Antiqua"/>
                <w:b/>
                <w:bCs/>
                <w:color w:val="000000"/>
                <w:lang w:eastAsia="zh-CN"/>
              </w:rPr>
            </w:pPr>
            <w:r w:rsidRPr="003F1A9F">
              <w:rPr>
                <w:rFonts w:ascii="Book Antiqua" w:hAnsi="Book Antiqua" w:cs="Book Antiqua" w:hint="eastAsia"/>
                <w:b/>
                <w:bCs/>
                <w:color w:val="000000"/>
                <w:lang w:eastAsia="zh-CN"/>
              </w:rPr>
              <w:t>C</w:t>
            </w:r>
            <w:r w:rsidRPr="003F1A9F">
              <w:rPr>
                <w:rFonts w:ascii="Book Antiqua" w:hAnsi="Book Antiqua" w:cs="Book Antiqua"/>
                <w:b/>
                <w:bCs/>
                <w:color w:val="000000"/>
                <w:lang w:eastAsia="zh-CN"/>
              </w:rPr>
              <w:t>D</w:t>
            </w:r>
          </w:p>
        </w:tc>
      </w:tr>
      <w:tr w:rsidR="009566A8" w14:paraId="3EF195F6" w14:textId="77777777" w:rsidTr="000A70D4">
        <w:tc>
          <w:tcPr>
            <w:tcW w:w="3192" w:type="dxa"/>
            <w:tcBorders>
              <w:top w:val="single" w:sz="4" w:space="0" w:color="auto"/>
              <w:bottom w:val="single" w:sz="4" w:space="0" w:color="auto"/>
            </w:tcBorders>
          </w:tcPr>
          <w:p w14:paraId="127B0577" w14:textId="59CF983E" w:rsidR="009566A8" w:rsidRDefault="009566A8" w:rsidP="00DE6F12">
            <w:pPr>
              <w:spacing w:line="360" w:lineRule="auto"/>
              <w:jc w:val="both"/>
              <w:rPr>
                <w:rFonts w:ascii="Book Antiqua" w:eastAsia="Book Antiqua" w:hAnsi="Book Antiqua" w:cs="Book Antiqua"/>
                <w:color w:val="000000"/>
              </w:rPr>
            </w:pPr>
            <w:r w:rsidRPr="00BC0F34">
              <w:rPr>
                <w:rFonts w:ascii="Book Antiqua" w:eastAsia="Book Antiqua" w:hAnsi="Book Antiqua" w:cs="Book Antiqua"/>
                <w:color w:val="000000"/>
              </w:rPr>
              <w:t>Male sex; Longer duration of the disease or younger age of diagnosis; Prior History of colon neoplasia; History of CRC in first degree relative; Especially if &lt; 50 yr old; Primary sclerosing colangitis</w:t>
            </w:r>
          </w:p>
        </w:tc>
        <w:tc>
          <w:tcPr>
            <w:tcW w:w="3192" w:type="dxa"/>
            <w:tcBorders>
              <w:top w:val="single" w:sz="4" w:space="0" w:color="auto"/>
              <w:bottom w:val="single" w:sz="4" w:space="0" w:color="auto"/>
            </w:tcBorders>
          </w:tcPr>
          <w:p w14:paraId="148D66BF" w14:textId="79F091DA" w:rsidR="009566A8" w:rsidRDefault="009566A8" w:rsidP="00DE6F12">
            <w:pPr>
              <w:spacing w:line="360" w:lineRule="auto"/>
              <w:jc w:val="both"/>
              <w:rPr>
                <w:rFonts w:ascii="Book Antiqua" w:eastAsia="Book Antiqua" w:hAnsi="Book Antiqua" w:cs="Book Antiqua"/>
                <w:color w:val="000000"/>
              </w:rPr>
            </w:pPr>
            <w:r w:rsidRPr="009566A8">
              <w:rPr>
                <w:rFonts w:ascii="Book Antiqua" w:eastAsia="Book Antiqua" w:hAnsi="Book Antiqua" w:cs="Book Antiqua"/>
                <w:color w:val="000000"/>
              </w:rPr>
              <w:t>Extensive colitis</w:t>
            </w:r>
            <w:r>
              <w:rPr>
                <w:rFonts w:ascii="Book Antiqua" w:eastAsia="Book Antiqua" w:hAnsi="Book Antiqua" w:cs="Book Antiqua"/>
                <w:color w:val="000000"/>
              </w:rPr>
              <w:t xml:space="preserve">; </w:t>
            </w:r>
            <w:r w:rsidRPr="009566A8">
              <w:rPr>
                <w:rFonts w:ascii="Book Antiqua" w:eastAsia="Book Antiqua" w:hAnsi="Book Antiqua" w:cs="Book Antiqua"/>
                <w:color w:val="000000"/>
              </w:rPr>
              <w:t>Severity of inflammation</w:t>
            </w:r>
            <w:r>
              <w:rPr>
                <w:rFonts w:ascii="Book Antiqua" w:eastAsia="Book Antiqua" w:hAnsi="Book Antiqua" w:cs="Book Antiqua"/>
                <w:color w:val="000000"/>
              </w:rPr>
              <w:t xml:space="preserve">; </w:t>
            </w:r>
            <w:r w:rsidRPr="009566A8">
              <w:rPr>
                <w:rFonts w:ascii="Book Antiqua" w:eastAsia="Book Antiqua" w:hAnsi="Book Antiqua" w:cs="Book Antiqua"/>
                <w:color w:val="000000"/>
              </w:rPr>
              <w:t>Early onset of disease</w:t>
            </w:r>
            <w:r>
              <w:rPr>
                <w:rFonts w:ascii="Book Antiqua" w:eastAsia="Book Antiqua" w:hAnsi="Book Antiqua" w:cs="Book Antiqua"/>
                <w:color w:val="000000"/>
              </w:rPr>
              <w:t xml:space="preserve">; </w:t>
            </w:r>
            <w:r w:rsidRPr="009566A8">
              <w:rPr>
                <w:rFonts w:ascii="Book Antiqua" w:eastAsia="Book Antiqua" w:hAnsi="Book Antiqua" w:cs="Book Antiqua"/>
                <w:color w:val="000000"/>
              </w:rPr>
              <w:t>Mass/stenosis</w:t>
            </w:r>
            <w:r>
              <w:rPr>
                <w:rFonts w:ascii="Book Antiqua" w:eastAsia="Book Antiqua" w:hAnsi="Book Antiqua" w:cs="Book Antiqua"/>
                <w:color w:val="000000"/>
              </w:rPr>
              <w:t xml:space="preserve">; </w:t>
            </w:r>
            <w:r w:rsidRPr="009566A8">
              <w:rPr>
                <w:rFonts w:ascii="Book Antiqua" w:eastAsia="Book Antiqua" w:hAnsi="Book Antiqua" w:cs="Book Antiqua"/>
                <w:color w:val="000000"/>
              </w:rPr>
              <w:t>Pseudopolyps</w:t>
            </w:r>
          </w:p>
        </w:tc>
        <w:tc>
          <w:tcPr>
            <w:tcW w:w="3192" w:type="dxa"/>
            <w:tcBorders>
              <w:top w:val="single" w:sz="4" w:space="0" w:color="auto"/>
              <w:bottom w:val="single" w:sz="4" w:space="0" w:color="auto"/>
            </w:tcBorders>
          </w:tcPr>
          <w:p w14:paraId="0FAB6FED" w14:textId="7CD48ADD" w:rsidR="009566A8" w:rsidRDefault="009566A8" w:rsidP="00DE6F12">
            <w:pPr>
              <w:spacing w:line="360" w:lineRule="auto"/>
              <w:jc w:val="both"/>
              <w:rPr>
                <w:rFonts w:ascii="Book Antiqua" w:eastAsia="Book Antiqua" w:hAnsi="Book Antiqua" w:cs="Book Antiqua"/>
                <w:color w:val="000000"/>
              </w:rPr>
            </w:pPr>
            <w:r w:rsidRPr="009566A8">
              <w:rPr>
                <w:rFonts w:ascii="Book Antiqua" w:eastAsia="Book Antiqua" w:hAnsi="Book Antiqua" w:cs="Book Antiqua"/>
                <w:color w:val="000000"/>
              </w:rPr>
              <w:t>Early onset of disease</w:t>
            </w:r>
            <w:r>
              <w:rPr>
                <w:rFonts w:ascii="Book Antiqua" w:eastAsia="Book Antiqua" w:hAnsi="Book Antiqua" w:cs="Book Antiqua"/>
                <w:color w:val="000000"/>
              </w:rPr>
              <w:t xml:space="preserve">; </w:t>
            </w:r>
            <w:r w:rsidRPr="009566A8">
              <w:rPr>
                <w:rFonts w:ascii="Book Antiqua" w:eastAsia="Book Antiqua" w:hAnsi="Book Antiqua" w:cs="Book Antiqua"/>
                <w:color w:val="000000"/>
              </w:rPr>
              <w:t>Younger age of diagnosis</w:t>
            </w:r>
            <w:r>
              <w:rPr>
                <w:rFonts w:ascii="Book Antiqua" w:eastAsia="Book Antiqua" w:hAnsi="Book Antiqua" w:cs="Book Antiqua"/>
                <w:color w:val="000000"/>
              </w:rPr>
              <w:t xml:space="preserve">; </w:t>
            </w:r>
            <w:r w:rsidRPr="009566A8">
              <w:rPr>
                <w:rFonts w:ascii="Book Antiqua" w:eastAsia="Book Antiqua" w:hAnsi="Book Antiqua" w:cs="Book Antiqua"/>
                <w:color w:val="000000"/>
              </w:rPr>
              <w:t>Perianal disease</w:t>
            </w:r>
            <w:r>
              <w:rPr>
                <w:rFonts w:ascii="Book Antiqua" w:eastAsia="Book Antiqua" w:hAnsi="Book Antiqua" w:cs="Book Antiqua"/>
                <w:color w:val="000000"/>
              </w:rPr>
              <w:t xml:space="preserve">; </w:t>
            </w:r>
            <w:r w:rsidRPr="009566A8">
              <w:rPr>
                <w:rFonts w:ascii="Book Antiqua" w:eastAsia="Book Antiqua" w:hAnsi="Book Antiqua" w:cs="Book Antiqua"/>
                <w:color w:val="000000"/>
              </w:rPr>
              <w:t xml:space="preserve">Colonic </w:t>
            </w:r>
            <w:r>
              <w:rPr>
                <w:rFonts w:ascii="Book Antiqua" w:eastAsia="Book Antiqua" w:hAnsi="Book Antiqua" w:cs="Book Antiqua"/>
                <w:color w:val="000000"/>
              </w:rPr>
              <w:t xml:space="preserve">extension; </w:t>
            </w:r>
            <w:r w:rsidRPr="009566A8">
              <w:rPr>
                <w:rFonts w:ascii="Book Antiqua" w:eastAsia="Book Antiqua" w:hAnsi="Book Antiqua" w:cs="Book Antiqua"/>
                <w:color w:val="000000"/>
              </w:rPr>
              <w:t xml:space="preserve">Bypassed segments of bowel </w:t>
            </w:r>
            <w:r>
              <w:rPr>
                <w:rFonts w:ascii="Book Antiqua" w:eastAsia="Book Antiqua" w:hAnsi="Book Antiqua" w:cs="Book Antiqua"/>
                <w:color w:val="000000"/>
              </w:rPr>
              <w:t>s</w:t>
            </w:r>
            <w:r w:rsidRPr="009566A8">
              <w:rPr>
                <w:rFonts w:ascii="Book Antiqua" w:eastAsia="Book Antiqua" w:hAnsi="Book Antiqua" w:cs="Book Antiqua"/>
                <w:color w:val="000000"/>
              </w:rPr>
              <w:t>trictures</w:t>
            </w:r>
          </w:p>
        </w:tc>
      </w:tr>
    </w:tbl>
    <w:p w14:paraId="3B6031BA" w14:textId="136B2CFA" w:rsidR="007764C2" w:rsidRDefault="002D3822" w:rsidP="00DE6F1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UC</w:t>
      </w:r>
      <w:r w:rsidR="009566A8">
        <w:rPr>
          <w:rFonts w:ascii="Book Antiqua" w:eastAsia="Book Antiqua" w:hAnsi="Book Antiqua" w:cs="Book Antiqua"/>
          <w:color w:val="000000"/>
        </w:rPr>
        <w:t>:</w:t>
      </w:r>
      <w:r>
        <w:rPr>
          <w:rFonts w:ascii="Book Antiqua" w:eastAsia="Book Antiqua" w:hAnsi="Book Antiqua" w:cs="Book Antiqua"/>
          <w:color w:val="000000"/>
        </w:rPr>
        <w:t xml:space="preserve"> </w:t>
      </w:r>
      <w:r w:rsidR="009566A8">
        <w:rPr>
          <w:rFonts w:ascii="Book Antiqua" w:eastAsia="Book Antiqua" w:hAnsi="Book Antiqua" w:cs="Book Antiqua"/>
          <w:color w:val="000000"/>
        </w:rPr>
        <w:t>U</w:t>
      </w:r>
      <w:r>
        <w:rPr>
          <w:rFonts w:ascii="Book Antiqua" w:eastAsia="Book Antiqua" w:hAnsi="Book Antiqua" w:cs="Book Antiqua"/>
          <w:color w:val="000000"/>
        </w:rPr>
        <w:t>lcerative colitis; CD</w:t>
      </w:r>
      <w:r w:rsidR="009566A8">
        <w:rPr>
          <w:rFonts w:ascii="Book Antiqua" w:eastAsia="Book Antiqua" w:hAnsi="Book Antiqua" w:cs="Book Antiqua"/>
          <w:color w:val="000000"/>
        </w:rPr>
        <w:t>:</w:t>
      </w:r>
      <w:r>
        <w:rPr>
          <w:rFonts w:ascii="Book Antiqua" w:eastAsia="Book Antiqua" w:hAnsi="Book Antiqua" w:cs="Book Antiqua"/>
          <w:color w:val="000000"/>
        </w:rPr>
        <w:t xml:space="preserve"> Crohn</w:t>
      </w:r>
      <w:r w:rsidR="009566A8">
        <w:rPr>
          <w:rFonts w:ascii="Book Antiqua" w:eastAsia="Book Antiqua" w:hAnsi="Book Antiqua" w:cs="Book Antiqua"/>
          <w:color w:val="000000"/>
        </w:rPr>
        <w:t>’s</w:t>
      </w:r>
      <w:r>
        <w:rPr>
          <w:rFonts w:ascii="Book Antiqua" w:eastAsia="Book Antiqua" w:hAnsi="Book Antiqua" w:cs="Book Antiqua"/>
          <w:color w:val="000000"/>
        </w:rPr>
        <w:t xml:space="preserve"> disease</w:t>
      </w:r>
      <w:r w:rsidR="009566A8">
        <w:rPr>
          <w:rFonts w:ascii="Book Antiqua" w:eastAsia="Book Antiqua" w:hAnsi="Book Antiqua" w:cs="Book Antiqua"/>
          <w:color w:val="000000"/>
        </w:rPr>
        <w:t>; CCR: Colorectal cancer.</w:t>
      </w:r>
    </w:p>
    <w:p w14:paraId="11A91E35" w14:textId="77777777" w:rsidR="007764C2" w:rsidRDefault="007764C2">
      <w:pPr>
        <w:rPr>
          <w:rFonts w:ascii="Book Antiqua" w:eastAsia="Book Antiqua" w:hAnsi="Book Antiqua" w:cs="Book Antiqua"/>
          <w:color w:val="000000"/>
        </w:rPr>
      </w:pPr>
      <w:r>
        <w:rPr>
          <w:rFonts w:ascii="Book Antiqua" w:eastAsia="Book Antiqua" w:hAnsi="Book Antiqua" w:cs="Book Antiqua"/>
          <w:color w:val="000000"/>
        </w:rPr>
        <w:br w:type="page"/>
      </w:r>
    </w:p>
    <w:p w14:paraId="7B16BAB4" w14:textId="77777777" w:rsidR="007764C2" w:rsidRDefault="007764C2" w:rsidP="007764C2">
      <w:pPr>
        <w:jc w:val="center"/>
        <w:rPr>
          <w:rFonts w:ascii="Book Antiqua" w:hAnsi="Book Antiqua"/>
          <w:lang w:eastAsia="zh-CN"/>
        </w:rPr>
      </w:pPr>
    </w:p>
    <w:p w14:paraId="32058440" w14:textId="77777777" w:rsidR="007764C2" w:rsidRDefault="007764C2" w:rsidP="007764C2">
      <w:pPr>
        <w:jc w:val="center"/>
        <w:rPr>
          <w:rFonts w:ascii="Book Antiqua" w:hAnsi="Book Antiqua"/>
          <w:lang w:eastAsia="zh-CN"/>
        </w:rPr>
      </w:pPr>
    </w:p>
    <w:p w14:paraId="18AF64A4" w14:textId="77777777" w:rsidR="007764C2" w:rsidRDefault="007764C2" w:rsidP="007764C2">
      <w:pPr>
        <w:jc w:val="center"/>
        <w:rPr>
          <w:rFonts w:ascii="Book Antiqua" w:hAnsi="Book Antiqua"/>
          <w:lang w:eastAsia="zh-CN"/>
        </w:rPr>
      </w:pPr>
    </w:p>
    <w:p w14:paraId="1BB4B5CE" w14:textId="77777777" w:rsidR="007764C2" w:rsidRDefault="007764C2" w:rsidP="007764C2">
      <w:pPr>
        <w:jc w:val="center"/>
        <w:rPr>
          <w:rFonts w:ascii="Book Antiqua" w:hAnsi="Book Antiqua"/>
          <w:lang w:eastAsia="zh-CN"/>
        </w:rPr>
      </w:pPr>
    </w:p>
    <w:p w14:paraId="7EAF6B96" w14:textId="77777777" w:rsidR="007764C2" w:rsidRDefault="007764C2" w:rsidP="007764C2">
      <w:pPr>
        <w:jc w:val="center"/>
        <w:rPr>
          <w:rFonts w:ascii="Book Antiqua" w:hAnsi="Book Antiqua"/>
          <w:lang w:eastAsia="zh-CN"/>
        </w:rPr>
      </w:pPr>
    </w:p>
    <w:p w14:paraId="2ABF4BD6" w14:textId="77777777" w:rsidR="007764C2" w:rsidRDefault="007764C2" w:rsidP="007764C2">
      <w:pPr>
        <w:jc w:val="center"/>
        <w:rPr>
          <w:rFonts w:ascii="Book Antiqua" w:hAnsi="Book Antiqua"/>
          <w:lang w:eastAsia="zh-CN"/>
        </w:rPr>
      </w:pPr>
      <w:r>
        <w:rPr>
          <w:rFonts w:ascii="Book Antiqua" w:hAnsi="Book Antiqua"/>
          <w:noProof/>
          <w:lang w:eastAsia="zh-CN"/>
        </w:rPr>
        <w:drawing>
          <wp:inline distT="0" distB="0" distL="0" distR="0" wp14:anchorId="70B70A30" wp14:editId="390EBAD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7CD0B44" w14:textId="77777777" w:rsidR="007764C2" w:rsidRDefault="007764C2" w:rsidP="007764C2">
      <w:pPr>
        <w:jc w:val="center"/>
        <w:rPr>
          <w:rFonts w:ascii="Book Antiqua" w:hAnsi="Book Antiqua"/>
          <w:lang w:eastAsia="zh-CN"/>
        </w:rPr>
      </w:pPr>
    </w:p>
    <w:p w14:paraId="6035DDDB" w14:textId="77777777" w:rsidR="007764C2" w:rsidRPr="00763D22" w:rsidRDefault="007764C2" w:rsidP="007764C2">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0D8D1691" w14:textId="77777777" w:rsidR="007764C2" w:rsidRPr="00763D22" w:rsidRDefault="007764C2" w:rsidP="007764C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8A783C0" w14:textId="77777777" w:rsidR="007764C2" w:rsidRPr="00763D22" w:rsidRDefault="007764C2" w:rsidP="007764C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D765D1A" w14:textId="77777777" w:rsidR="007764C2" w:rsidRPr="00763D22" w:rsidRDefault="007764C2" w:rsidP="007764C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0DE8E21" w14:textId="77777777" w:rsidR="007764C2" w:rsidRPr="00763D22" w:rsidRDefault="007764C2" w:rsidP="007764C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4FF601C" w14:textId="77777777" w:rsidR="007764C2" w:rsidRPr="00763D22" w:rsidRDefault="007764C2" w:rsidP="007764C2">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5416B6A9" w14:textId="77777777" w:rsidR="007764C2" w:rsidRDefault="007764C2" w:rsidP="007764C2">
      <w:pPr>
        <w:jc w:val="center"/>
        <w:rPr>
          <w:rFonts w:ascii="Book Antiqua" w:hAnsi="Book Antiqua"/>
          <w:lang w:eastAsia="zh-CN"/>
        </w:rPr>
      </w:pPr>
    </w:p>
    <w:p w14:paraId="066A5CD8" w14:textId="77777777" w:rsidR="007764C2" w:rsidRDefault="007764C2" w:rsidP="007764C2">
      <w:pPr>
        <w:jc w:val="center"/>
        <w:rPr>
          <w:rFonts w:ascii="Book Antiqua" w:hAnsi="Book Antiqua"/>
          <w:lang w:eastAsia="zh-CN"/>
        </w:rPr>
      </w:pPr>
    </w:p>
    <w:p w14:paraId="39789014" w14:textId="77777777" w:rsidR="007764C2" w:rsidRDefault="007764C2" w:rsidP="007764C2">
      <w:pPr>
        <w:jc w:val="center"/>
        <w:rPr>
          <w:rFonts w:ascii="Book Antiqua" w:hAnsi="Book Antiqua"/>
          <w:lang w:eastAsia="zh-CN"/>
        </w:rPr>
      </w:pPr>
    </w:p>
    <w:p w14:paraId="613C1F4A" w14:textId="77777777" w:rsidR="007764C2" w:rsidRDefault="007764C2" w:rsidP="007764C2">
      <w:pPr>
        <w:jc w:val="center"/>
        <w:rPr>
          <w:rFonts w:ascii="Book Antiqua" w:hAnsi="Book Antiqua"/>
          <w:lang w:eastAsia="zh-CN"/>
        </w:rPr>
      </w:pPr>
      <w:r>
        <w:rPr>
          <w:rFonts w:ascii="Book Antiqua" w:hAnsi="Book Antiqua"/>
          <w:noProof/>
          <w:lang w:eastAsia="zh-CN"/>
        </w:rPr>
        <w:drawing>
          <wp:inline distT="0" distB="0" distL="0" distR="0" wp14:anchorId="05229710" wp14:editId="1B09E2D5">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A89336C" w14:textId="77777777" w:rsidR="007764C2" w:rsidRDefault="007764C2" w:rsidP="007764C2">
      <w:pPr>
        <w:jc w:val="center"/>
        <w:rPr>
          <w:rFonts w:ascii="Book Antiqua" w:hAnsi="Book Antiqua"/>
          <w:lang w:eastAsia="zh-CN"/>
        </w:rPr>
      </w:pPr>
    </w:p>
    <w:p w14:paraId="5C869265" w14:textId="77777777" w:rsidR="007764C2" w:rsidRDefault="007764C2" w:rsidP="007764C2">
      <w:pPr>
        <w:jc w:val="center"/>
        <w:rPr>
          <w:rFonts w:ascii="Book Antiqua" w:hAnsi="Book Antiqua"/>
          <w:lang w:eastAsia="zh-CN"/>
        </w:rPr>
      </w:pPr>
    </w:p>
    <w:p w14:paraId="31AB1691" w14:textId="77777777" w:rsidR="007764C2" w:rsidRDefault="007764C2" w:rsidP="007764C2">
      <w:pPr>
        <w:jc w:val="center"/>
        <w:rPr>
          <w:rFonts w:ascii="Book Antiqua" w:hAnsi="Book Antiqua"/>
          <w:lang w:eastAsia="zh-CN"/>
        </w:rPr>
      </w:pPr>
    </w:p>
    <w:p w14:paraId="0B8D8568" w14:textId="77777777" w:rsidR="007764C2" w:rsidRDefault="007764C2" w:rsidP="007764C2">
      <w:pPr>
        <w:jc w:val="center"/>
        <w:rPr>
          <w:rFonts w:ascii="Book Antiqua" w:hAnsi="Book Antiqua"/>
          <w:lang w:eastAsia="zh-CN"/>
        </w:rPr>
      </w:pPr>
    </w:p>
    <w:p w14:paraId="4F439A42" w14:textId="77777777" w:rsidR="007764C2" w:rsidRDefault="007764C2" w:rsidP="007764C2">
      <w:pPr>
        <w:jc w:val="center"/>
        <w:rPr>
          <w:rFonts w:ascii="Book Antiqua" w:hAnsi="Book Antiqua"/>
          <w:lang w:eastAsia="zh-CN"/>
        </w:rPr>
      </w:pPr>
    </w:p>
    <w:p w14:paraId="6F81A7A5" w14:textId="77777777" w:rsidR="007764C2" w:rsidRDefault="007764C2" w:rsidP="007764C2">
      <w:pPr>
        <w:jc w:val="center"/>
        <w:rPr>
          <w:rFonts w:ascii="Book Antiqua" w:hAnsi="Book Antiqua"/>
          <w:lang w:eastAsia="zh-CN"/>
        </w:rPr>
      </w:pPr>
    </w:p>
    <w:p w14:paraId="5C0964B1" w14:textId="77777777" w:rsidR="007764C2" w:rsidRDefault="007764C2" w:rsidP="007764C2">
      <w:pPr>
        <w:jc w:val="center"/>
        <w:rPr>
          <w:rFonts w:ascii="Book Antiqua" w:hAnsi="Book Antiqua"/>
          <w:lang w:eastAsia="zh-CN"/>
        </w:rPr>
      </w:pPr>
    </w:p>
    <w:p w14:paraId="6F68CEF6" w14:textId="77777777" w:rsidR="007764C2" w:rsidRDefault="007764C2" w:rsidP="007764C2">
      <w:pPr>
        <w:jc w:val="center"/>
        <w:rPr>
          <w:rFonts w:ascii="Book Antiqua" w:hAnsi="Book Antiqua"/>
          <w:lang w:eastAsia="zh-CN"/>
        </w:rPr>
      </w:pPr>
    </w:p>
    <w:p w14:paraId="22D8AC74" w14:textId="77777777" w:rsidR="007764C2" w:rsidRDefault="007764C2" w:rsidP="007764C2">
      <w:pPr>
        <w:jc w:val="center"/>
        <w:rPr>
          <w:rFonts w:ascii="Book Antiqua" w:hAnsi="Book Antiqua"/>
          <w:lang w:eastAsia="zh-CN"/>
        </w:rPr>
      </w:pPr>
    </w:p>
    <w:p w14:paraId="6D5CA5FF" w14:textId="77777777" w:rsidR="007764C2" w:rsidRPr="00763D22" w:rsidRDefault="007764C2" w:rsidP="007764C2">
      <w:pPr>
        <w:jc w:val="right"/>
        <w:rPr>
          <w:rFonts w:ascii="Book Antiqua" w:hAnsi="Book Antiqua"/>
          <w:color w:val="000000" w:themeColor="text1"/>
          <w:lang w:eastAsia="zh-CN"/>
        </w:rPr>
      </w:pPr>
    </w:p>
    <w:p w14:paraId="165908E6" w14:textId="77777777" w:rsidR="007764C2" w:rsidRPr="00763D22" w:rsidRDefault="007764C2" w:rsidP="007764C2">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5A15DA79" w14:textId="77777777" w:rsidR="00A77B3E" w:rsidRDefault="00A77B3E" w:rsidP="00DE6F12">
      <w:pPr>
        <w:spacing w:line="360" w:lineRule="auto"/>
        <w:jc w:val="both"/>
      </w:pPr>
      <w:bookmarkStart w:id="7" w:name="_GoBack"/>
      <w:bookmarkEnd w:id="7"/>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92BD1F" w14:textId="77777777" w:rsidR="003242D6" w:rsidRDefault="003242D6" w:rsidP="002C334D">
      <w:r>
        <w:separator/>
      </w:r>
    </w:p>
  </w:endnote>
  <w:endnote w:type="continuationSeparator" w:id="0">
    <w:p w14:paraId="2607C7F8" w14:textId="77777777" w:rsidR="003242D6" w:rsidRDefault="003242D6" w:rsidP="002C33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726546"/>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4D7BBDC5" w14:textId="79E63172" w:rsidR="002C334D" w:rsidRPr="002C334D" w:rsidRDefault="002C334D" w:rsidP="002C334D">
            <w:pPr>
              <w:pStyle w:val="a8"/>
              <w:jc w:val="right"/>
              <w:rPr>
                <w:rFonts w:ascii="Book Antiqua" w:hAnsi="Book Antiqua"/>
                <w:sz w:val="24"/>
                <w:szCs w:val="24"/>
              </w:rPr>
            </w:pPr>
            <w:r w:rsidRPr="002C334D">
              <w:rPr>
                <w:rFonts w:ascii="Book Antiqua" w:hAnsi="Book Antiqua"/>
                <w:sz w:val="24"/>
                <w:szCs w:val="24"/>
                <w:lang w:val="zh-CN" w:eastAsia="zh-CN"/>
              </w:rPr>
              <w:t xml:space="preserve"> </w:t>
            </w:r>
            <w:r w:rsidRPr="002C334D">
              <w:rPr>
                <w:rFonts w:ascii="Book Antiqua" w:hAnsi="Book Antiqua"/>
                <w:sz w:val="24"/>
                <w:szCs w:val="24"/>
              </w:rPr>
              <w:fldChar w:fldCharType="begin"/>
            </w:r>
            <w:r w:rsidRPr="002C334D">
              <w:rPr>
                <w:rFonts w:ascii="Book Antiqua" w:hAnsi="Book Antiqua"/>
                <w:sz w:val="24"/>
                <w:szCs w:val="24"/>
              </w:rPr>
              <w:instrText>PAGE</w:instrText>
            </w:r>
            <w:r w:rsidRPr="002C334D">
              <w:rPr>
                <w:rFonts w:ascii="Book Antiqua" w:hAnsi="Book Antiqua"/>
                <w:sz w:val="24"/>
                <w:szCs w:val="24"/>
              </w:rPr>
              <w:fldChar w:fldCharType="separate"/>
            </w:r>
            <w:r w:rsidR="003242D6">
              <w:rPr>
                <w:rFonts w:ascii="Book Antiqua" w:hAnsi="Book Antiqua"/>
                <w:noProof/>
                <w:sz w:val="24"/>
                <w:szCs w:val="24"/>
              </w:rPr>
              <w:t>1</w:t>
            </w:r>
            <w:r w:rsidRPr="002C334D">
              <w:rPr>
                <w:rFonts w:ascii="Book Antiqua" w:hAnsi="Book Antiqua"/>
                <w:sz w:val="24"/>
                <w:szCs w:val="24"/>
              </w:rPr>
              <w:fldChar w:fldCharType="end"/>
            </w:r>
            <w:r w:rsidRPr="002C334D">
              <w:rPr>
                <w:rFonts w:ascii="Book Antiqua" w:hAnsi="Book Antiqua"/>
                <w:sz w:val="24"/>
                <w:szCs w:val="24"/>
                <w:lang w:val="zh-CN" w:eastAsia="zh-CN"/>
              </w:rPr>
              <w:t xml:space="preserve"> / </w:t>
            </w:r>
            <w:r w:rsidRPr="002C334D">
              <w:rPr>
                <w:rFonts w:ascii="Book Antiqua" w:hAnsi="Book Antiqua"/>
                <w:sz w:val="24"/>
                <w:szCs w:val="24"/>
              </w:rPr>
              <w:fldChar w:fldCharType="begin"/>
            </w:r>
            <w:r w:rsidRPr="002C334D">
              <w:rPr>
                <w:rFonts w:ascii="Book Antiqua" w:hAnsi="Book Antiqua"/>
                <w:sz w:val="24"/>
                <w:szCs w:val="24"/>
              </w:rPr>
              <w:instrText>NUMPAGES</w:instrText>
            </w:r>
            <w:r w:rsidRPr="002C334D">
              <w:rPr>
                <w:rFonts w:ascii="Book Antiqua" w:hAnsi="Book Antiqua"/>
                <w:sz w:val="24"/>
                <w:szCs w:val="24"/>
              </w:rPr>
              <w:fldChar w:fldCharType="separate"/>
            </w:r>
            <w:r w:rsidR="003242D6">
              <w:rPr>
                <w:rFonts w:ascii="Book Antiqua" w:hAnsi="Book Antiqua"/>
                <w:noProof/>
                <w:sz w:val="24"/>
                <w:szCs w:val="24"/>
              </w:rPr>
              <w:t>1</w:t>
            </w:r>
            <w:r w:rsidRPr="002C334D">
              <w:rPr>
                <w:rFonts w:ascii="Book Antiqua" w:hAnsi="Book Antiqua"/>
                <w:sz w:val="24"/>
                <w:szCs w:val="24"/>
              </w:rPr>
              <w:fldChar w:fldCharType="end"/>
            </w:r>
          </w:p>
        </w:sdtContent>
      </w:sdt>
    </w:sdtContent>
  </w:sdt>
  <w:p w14:paraId="61E20362" w14:textId="77777777" w:rsidR="002C334D" w:rsidRPr="002C334D" w:rsidRDefault="002C334D" w:rsidP="002C334D">
    <w:pPr>
      <w:pStyle w:val="a8"/>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DFAA64" w14:textId="77777777" w:rsidR="003242D6" w:rsidRDefault="003242D6" w:rsidP="002C334D">
      <w:r>
        <w:separator/>
      </w:r>
    </w:p>
  </w:footnote>
  <w:footnote w:type="continuationSeparator" w:id="0">
    <w:p w14:paraId="58A77209" w14:textId="77777777" w:rsidR="003242D6" w:rsidRDefault="003242D6" w:rsidP="002C33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25F5C"/>
    <w:multiLevelType w:val="multilevel"/>
    <w:tmpl w:val="4B0EDB60"/>
    <w:lvl w:ilvl="0">
      <w:start w:val="1"/>
      <w:numFmt w:val="lowerLetter"/>
      <w:lvlText w:val="%1)"/>
      <w:lvlJc w:val="left"/>
      <w:pPr>
        <w:ind w:left="720" w:hanging="360"/>
      </w:pPr>
      <w:rPr>
        <w:rFonts w:ascii="Book Antiqua" w:eastAsia="Book Antiqua" w:hAnsi="Book Antiqua" w:cs="Book Antiqu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A70D4"/>
    <w:rsid w:val="00194D2A"/>
    <w:rsid w:val="00241E5A"/>
    <w:rsid w:val="00244676"/>
    <w:rsid w:val="00274177"/>
    <w:rsid w:val="002C334D"/>
    <w:rsid w:val="002D3822"/>
    <w:rsid w:val="003131CD"/>
    <w:rsid w:val="003242D6"/>
    <w:rsid w:val="00357465"/>
    <w:rsid w:val="003F1A9F"/>
    <w:rsid w:val="004D2CB2"/>
    <w:rsid w:val="004D3B00"/>
    <w:rsid w:val="005E36E2"/>
    <w:rsid w:val="005F1A2D"/>
    <w:rsid w:val="006123F7"/>
    <w:rsid w:val="007764C2"/>
    <w:rsid w:val="008A4E8F"/>
    <w:rsid w:val="009155FB"/>
    <w:rsid w:val="00937588"/>
    <w:rsid w:val="009566A8"/>
    <w:rsid w:val="00A369B4"/>
    <w:rsid w:val="00A54999"/>
    <w:rsid w:val="00A77B3E"/>
    <w:rsid w:val="00A870DB"/>
    <w:rsid w:val="00B2374C"/>
    <w:rsid w:val="00B67BEE"/>
    <w:rsid w:val="00BC0F34"/>
    <w:rsid w:val="00C521A8"/>
    <w:rsid w:val="00C5731E"/>
    <w:rsid w:val="00C7463C"/>
    <w:rsid w:val="00C86154"/>
    <w:rsid w:val="00CA2A55"/>
    <w:rsid w:val="00CC39EA"/>
    <w:rsid w:val="00DC4F48"/>
    <w:rsid w:val="00DE1777"/>
    <w:rsid w:val="00DE6F12"/>
    <w:rsid w:val="00E66E5A"/>
    <w:rsid w:val="00F22A14"/>
    <w:rsid w:val="00F403DF"/>
    <w:rsid w:val="00FC48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4E1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Preformatted"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244676"/>
    <w:rPr>
      <w:sz w:val="21"/>
      <w:szCs w:val="21"/>
    </w:rPr>
  </w:style>
  <w:style w:type="paragraph" w:styleId="a4">
    <w:name w:val="annotation text"/>
    <w:basedOn w:val="a"/>
    <w:link w:val="Char"/>
    <w:semiHidden/>
    <w:unhideWhenUsed/>
    <w:rsid w:val="00244676"/>
  </w:style>
  <w:style w:type="character" w:customStyle="1" w:styleId="Char">
    <w:name w:val="批注文字 Char"/>
    <w:basedOn w:val="a0"/>
    <w:link w:val="a4"/>
    <w:semiHidden/>
    <w:rsid w:val="00244676"/>
    <w:rPr>
      <w:sz w:val="24"/>
      <w:szCs w:val="24"/>
    </w:rPr>
  </w:style>
  <w:style w:type="paragraph" w:styleId="a5">
    <w:name w:val="annotation subject"/>
    <w:basedOn w:val="a4"/>
    <w:next w:val="a4"/>
    <w:link w:val="Char0"/>
    <w:semiHidden/>
    <w:unhideWhenUsed/>
    <w:rsid w:val="00244676"/>
    <w:rPr>
      <w:b/>
      <w:bCs/>
    </w:rPr>
  </w:style>
  <w:style w:type="character" w:customStyle="1" w:styleId="Char0">
    <w:name w:val="批注主题 Char"/>
    <w:basedOn w:val="Char"/>
    <w:link w:val="a5"/>
    <w:semiHidden/>
    <w:rsid w:val="00244676"/>
    <w:rPr>
      <w:b/>
      <w:bCs/>
      <w:sz w:val="24"/>
      <w:szCs w:val="24"/>
    </w:rPr>
  </w:style>
  <w:style w:type="table" w:styleId="a6">
    <w:name w:val="Table Grid"/>
    <w:basedOn w:val="a1"/>
    <w:rsid w:val="009566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Char1"/>
    <w:unhideWhenUsed/>
    <w:rsid w:val="002C334D"/>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rsid w:val="002C334D"/>
    <w:rPr>
      <w:sz w:val="18"/>
      <w:szCs w:val="18"/>
    </w:rPr>
  </w:style>
  <w:style w:type="paragraph" w:styleId="a8">
    <w:name w:val="footer"/>
    <w:basedOn w:val="a"/>
    <w:link w:val="Char2"/>
    <w:uiPriority w:val="99"/>
    <w:unhideWhenUsed/>
    <w:rsid w:val="002C334D"/>
    <w:pPr>
      <w:tabs>
        <w:tab w:val="center" w:pos="4153"/>
        <w:tab w:val="right" w:pos="8306"/>
      </w:tabs>
      <w:snapToGrid w:val="0"/>
    </w:pPr>
    <w:rPr>
      <w:sz w:val="18"/>
      <w:szCs w:val="18"/>
    </w:rPr>
  </w:style>
  <w:style w:type="character" w:customStyle="1" w:styleId="Char2">
    <w:name w:val="页脚 Char"/>
    <w:basedOn w:val="a0"/>
    <w:link w:val="a8"/>
    <w:uiPriority w:val="99"/>
    <w:rsid w:val="002C334D"/>
    <w:rPr>
      <w:sz w:val="18"/>
      <w:szCs w:val="18"/>
    </w:rPr>
  </w:style>
  <w:style w:type="paragraph" w:styleId="a9">
    <w:name w:val="endnote text"/>
    <w:basedOn w:val="a"/>
    <w:link w:val="Char3"/>
    <w:semiHidden/>
    <w:unhideWhenUsed/>
    <w:rsid w:val="00B2374C"/>
    <w:rPr>
      <w:sz w:val="20"/>
      <w:szCs w:val="20"/>
    </w:rPr>
  </w:style>
  <w:style w:type="character" w:customStyle="1" w:styleId="Char3">
    <w:name w:val="尾注文本 Char"/>
    <w:basedOn w:val="a0"/>
    <w:link w:val="a9"/>
    <w:semiHidden/>
    <w:rsid w:val="00B2374C"/>
  </w:style>
  <w:style w:type="character" w:styleId="aa">
    <w:name w:val="endnote reference"/>
    <w:basedOn w:val="a0"/>
    <w:semiHidden/>
    <w:unhideWhenUsed/>
    <w:rsid w:val="00B2374C"/>
    <w:rPr>
      <w:vertAlign w:val="superscript"/>
    </w:rPr>
  </w:style>
  <w:style w:type="paragraph" w:styleId="ab">
    <w:name w:val="Revision"/>
    <w:hidden/>
    <w:uiPriority w:val="99"/>
    <w:semiHidden/>
    <w:rsid w:val="00BC0F34"/>
    <w:rPr>
      <w:sz w:val="24"/>
      <w:szCs w:val="24"/>
    </w:rPr>
  </w:style>
  <w:style w:type="paragraph" w:styleId="HTML">
    <w:name w:val="HTML Preformatted"/>
    <w:basedOn w:val="a"/>
    <w:link w:val="HTMLChar"/>
    <w:uiPriority w:val="99"/>
    <w:semiHidden/>
    <w:unhideWhenUsed/>
    <w:rsid w:val="00CC39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CL" w:eastAsia="es-MX"/>
    </w:rPr>
  </w:style>
  <w:style w:type="character" w:customStyle="1" w:styleId="HTMLChar">
    <w:name w:val="HTML 预设格式 Char"/>
    <w:basedOn w:val="a0"/>
    <w:link w:val="HTML"/>
    <w:uiPriority w:val="99"/>
    <w:semiHidden/>
    <w:rsid w:val="00CC39EA"/>
    <w:rPr>
      <w:rFonts w:ascii="Courier New" w:eastAsia="Times New Roman" w:hAnsi="Courier New" w:cs="Courier New"/>
      <w:lang w:val="es-CL" w:eastAsia="es-MX"/>
    </w:rPr>
  </w:style>
  <w:style w:type="character" w:customStyle="1" w:styleId="y2iqfc">
    <w:name w:val="y2iqfc"/>
    <w:basedOn w:val="a0"/>
    <w:rsid w:val="00CC39EA"/>
  </w:style>
  <w:style w:type="paragraph" w:styleId="ac">
    <w:name w:val="Balloon Text"/>
    <w:basedOn w:val="a"/>
    <w:link w:val="Char4"/>
    <w:rsid w:val="00F403DF"/>
    <w:rPr>
      <w:sz w:val="18"/>
      <w:szCs w:val="18"/>
    </w:rPr>
  </w:style>
  <w:style w:type="character" w:customStyle="1" w:styleId="Char4">
    <w:name w:val="批注框文本 Char"/>
    <w:basedOn w:val="a0"/>
    <w:link w:val="ac"/>
    <w:rsid w:val="00F403D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Preformatted"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244676"/>
    <w:rPr>
      <w:sz w:val="21"/>
      <w:szCs w:val="21"/>
    </w:rPr>
  </w:style>
  <w:style w:type="paragraph" w:styleId="a4">
    <w:name w:val="annotation text"/>
    <w:basedOn w:val="a"/>
    <w:link w:val="Char"/>
    <w:semiHidden/>
    <w:unhideWhenUsed/>
    <w:rsid w:val="00244676"/>
  </w:style>
  <w:style w:type="character" w:customStyle="1" w:styleId="Char">
    <w:name w:val="批注文字 Char"/>
    <w:basedOn w:val="a0"/>
    <w:link w:val="a4"/>
    <w:semiHidden/>
    <w:rsid w:val="00244676"/>
    <w:rPr>
      <w:sz w:val="24"/>
      <w:szCs w:val="24"/>
    </w:rPr>
  </w:style>
  <w:style w:type="paragraph" w:styleId="a5">
    <w:name w:val="annotation subject"/>
    <w:basedOn w:val="a4"/>
    <w:next w:val="a4"/>
    <w:link w:val="Char0"/>
    <w:semiHidden/>
    <w:unhideWhenUsed/>
    <w:rsid w:val="00244676"/>
    <w:rPr>
      <w:b/>
      <w:bCs/>
    </w:rPr>
  </w:style>
  <w:style w:type="character" w:customStyle="1" w:styleId="Char0">
    <w:name w:val="批注主题 Char"/>
    <w:basedOn w:val="Char"/>
    <w:link w:val="a5"/>
    <w:semiHidden/>
    <w:rsid w:val="00244676"/>
    <w:rPr>
      <w:b/>
      <w:bCs/>
      <w:sz w:val="24"/>
      <w:szCs w:val="24"/>
    </w:rPr>
  </w:style>
  <w:style w:type="table" w:styleId="a6">
    <w:name w:val="Table Grid"/>
    <w:basedOn w:val="a1"/>
    <w:rsid w:val="009566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Char1"/>
    <w:unhideWhenUsed/>
    <w:rsid w:val="002C334D"/>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rsid w:val="002C334D"/>
    <w:rPr>
      <w:sz w:val="18"/>
      <w:szCs w:val="18"/>
    </w:rPr>
  </w:style>
  <w:style w:type="paragraph" w:styleId="a8">
    <w:name w:val="footer"/>
    <w:basedOn w:val="a"/>
    <w:link w:val="Char2"/>
    <w:uiPriority w:val="99"/>
    <w:unhideWhenUsed/>
    <w:rsid w:val="002C334D"/>
    <w:pPr>
      <w:tabs>
        <w:tab w:val="center" w:pos="4153"/>
        <w:tab w:val="right" w:pos="8306"/>
      </w:tabs>
      <w:snapToGrid w:val="0"/>
    </w:pPr>
    <w:rPr>
      <w:sz w:val="18"/>
      <w:szCs w:val="18"/>
    </w:rPr>
  </w:style>
  <w:style w:type="character" w:customStyle="1" w:styleId="Char2">
    <w:name w:val="页脚 Char"/>
    <w:basedOn w:val="a0"/>
    <w:link w:val="a8"/>
    <w:uiPriority w:val="99"/>
    <w:rsid w:val="002C334D"/>
    <w:rPr>
      <w:sz w:val="18"/>
      <w:szCs w:val="18"/>
    </w:rPr>
  </w:style>
  <w:style w:type="paragraph" w:styleId="a9">
    <w:name w:val="endnote text"/>
    <w:basedOn w:val="a"/>
    <w:link w:val="Char3"/>
    <w:semiHidden/>
    <w:unhideWhenUsed/>
    <w:rsid w:val="00B2374C"/>
    <w:rPr>
      <w:sz w:val="20"/>
      <w:szCs w:val="20"/>
    </w:rPr>
  </w:style>
  <w:style w:type="character" w:customStyle="1" w:styleId="Char3">
    <w:name w:val="尾注文本 Char"/>
    <w:basedOn w:val="a0"/>
    <w:link w:val="a9"/>
    <w:semiHidden/>
    <w:rsid w:val="00B2374C"/>
  </w:style>
  <w:style w:type="character" w:styleId="aa">
    <w:name w:val="endnote reference"/>
    <w:basedOn w:val="a0"/>
    <w:semiHidden/>
    <w:unhideWhenUsed/>
    <w:rsid w:val="00B2374C"/>
    <w:rPr>
      <w:vertAlign w:val="superscript"/>
    </w:rPr>
  </w:style>
  <w:style w:type="paragraph" w:styleId="ab">
    <w:name w:val="Revision"/>
    <w:hidden/>
    <w:uiPriority w:val="99"/>
    <w:semiHidden/>
    <w:rsid w:val="00BC0F34"/>
    <w:rPr>
      <w:sz w:val="24"/>
      <w:szCs w:val="24"/>
    </w:rPr>
  </w:style>
  <w:style w:type="paragraph" w:styleId="HTML">
    <w:name w:val="HTML Preformatted"/>
    <w:basedOn w:val="a"/>
    <w:link w:val="HTMLChar"/>
    <w:uiPriority w:val="99"/>
    <w:semiHidden/>
    <w:unhideWhenUsed/>
    <w:rsid w:val="00CC39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CL" w:eastAsia="es-MX"/>
    </w:rPr>
  </w:style>
  <w:style w:type="character" w:customStyle="1" w:styleId="HTMLChar">
    <w:name w:val="HTML 预设格式 Char"/>
    <w:basedOn w:val="a0"/>
    <w:link w:val="HTML"/>
    <w:uiPriority w:val="99"/>
    <w:semiHidden/>
    <w:rsid w:val="00CC39EA"/>
    <w:rPr>
      <w:rFonts w:ascii="Courier New" w:eastAsia="Times New Roman" w:hAnsi="Courier New" w:cs="Courier New"/>
      <w:lang w:val="es-CL" w:eastAsia="es-MX"/>
    </w:rPr>
  </w:style>
  <w:style w:type="character" w:customStyle="1" w:styleId="y2iqfc">
    <w:name w:val="y2iqfc"/>
    <w:basedOn w:val="a0"/>
    <w:rsid w:val="00CC39EA"/>
  </w:style>
  <w:style w:type="paragraph" w:styleId="ac">
    <w:name w:val="Balloon Text"/>
    <w:basedOn w:val="a"/>
    <w:link w:val="Char4"/>
    <w:rsid w:val="00F403DF"/>
    <w:rPr>
      <w:sz w:val="18"/>
      <w:szCs w:val="18"/>
    </w:rPr>
  </w:style>
  <w:style w:type="character" w:customStyle="1" w:styleId="Char4">
    <w:name w:val="批注框文本 Char"/>
    <w:basedOn w:val="a0"/>
    <w:link w:val="ac"/>
    <w:rsid w:val="00F403D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864037">
      <w:bodyDiv w:val="1"/>
      <w:marLeft w:val="0"/>
      <w:marRight w:val="0"/>
      <w:marTop w:val="0"/>
      <w:marBottom w:val="0"/>
      <w:divBdr>
        <w:top w:val="none" w:sz="0" w:space="0" w:color="auto"/>
        <w:left w:val="none" w:sz="0" w:space="0" w:color="auto"/>
        <w:bottom w:val="none" w:sz="0" w:space="0" w:color="auto"/>
        <w:right w:val="none" w:sz="0" w:space="0" w:color="auto"/>
      </w:divBdr>
    </w:div>
    <w:div w:id="406853133">
      <w:bodyDiv w:val="1"/>
      <w:marLeft w:val="0"/>
      <w:marRight w:val="0"/>
      <w:marTop w:val="0"/>
      <w:marBottom w:val="0"/>
      <w:divBdr>
        <w:top w:val="none" w:sz="0" w:space="0" w:color="auto"/>
        <w:left w:val="none" w:sz="0" w:space="0" w:color="auto"/>
        <w:bottom w:val="none" w:sz="0" w:space="0" w:color="auto"/>
        <w:right w:val="none" w:sz="0" w:space="0" w:color="auto"/>
      </w:divBdr>
    </w:div>
    <w:div w:id="1025012891">
      <w:bodyDiv w:val="1"/>
      <w:marLeft w:val="0"/>
      <w:marRight w:val="0"/>
      <w:marTop w:val="0"/>
      <w:marBottom w:val="0"/>
      <w:divBdr>
        <w:top w:val="none" w:sz="0" w:space="0" w:color="auto"/>
        <w:left w:val="none" w:sz="0" w:space="0" w:color="auto"/>
        <w:bottom w:val="none" w:sz="0" w:space="0" w:color="auto"/>
        <w:right w:val="none" w:sz="0" w:space="0" w:color="auto"/>
      </w:divBdr>
    </w:div>
    <w:div w:id="1338727664">
      <w:bodyDiv w:val="1"/>
      <w:marLeft w:val="0"/>
      <w:marRight w:val="0"/>
      <w:marTop w:val="0"/>
      <w:marBottom w:val="0"/>
      <w:divBdr>
        <w:top w:val="none" w:sz="0" w:space="0" w:color="auto"/>
        <w:left w:val="none" w:sz="0" w:space="0" w:color="auto"/>
        <w:bottom w:val="none" w:sz="0" w:space="0" w:color="auto"/>
        <w:right w:val="none" w:sz="0" w:space="0" w:color="auto"/>
      </w:divBdr>
    </w:div>
    <w:div w:id="1501579754">
      <w:bodyDiv w:val="1"/>
      <w:marLeft w:val="0"/>
      <w:marRight w:val="0"/>
      <w:marTop w:val="0"/>
      <w:marBottom w:val="0"/>
      <w:divBdr>
        <w:top w:val="none" w:sz="0" w:space="0" w:color="auto"/>
        <w:left w:val="none" w:sz="0" w:space="0" w:color="auto"/>
        <w:bottom w:val="none" w:sz="0" w:space="0" w:color="auto"/>
        <w:right w:val="none" w:sz="0" w:space="0" w:color="auto"/>
      </w:divBdr>
    </w:div>
    <w:div w:id="1591086890">
      <w:bodyDiv w:val="1"/>
      <w:marLeft w:val="0"/>
      <w:marRight w:val="0"/>
      <w:marTop w:val="0"/>
      <w:marBottom w:val="0"/>
      <w:divBdr>
        <w:top w:val="none" w:sz="0" w:space="0" w:color="auto"/>
        <w:left w:val="none" w:sz="0" w:space="0" w:color="auto"/>
        <w:bottom w:val="none" w:sz="0" w:space="0" w:color="auto"/>
        <w:right w:val="none" w:sz="0" w:space="0" w:color="auto"/>
      </w:divBdr>
    </w:div>
    <w:div w:id="17581345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53933F-5E07-406F-87B4-A49AD6387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28</Pages>
  <Words>6031</Words>
  <Characters>34380</Characters>
  <Application>Microsoft Office Word</Application>
  <DocSecurity>0</DocSecurity>
  <Lines>286</Lines>
  <Paragraphs>80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liujihong2008@qq.con</cp:lastModifiedBy>
  <cp:revision>12</cp:revision>
  <dcterms:created xsi:type="dcterms:W3CDTF">2021-04-22T04:08:00Z</dcterms:created>
  <dcterms:modified xsi:type="dcterms:W3CDTF">2021-05-19T04:05:00Z</dcterms:modified>
</cp:coreProperties>
</file>