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78BA2"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t xml:space="preserve">Name of Journal: </w:t>
      </w:r>
      <w:r w:rsidRPr="004D2D9E">
        <w:rPr>
          <w:rFonts w:ascii="Book Antiqua" w:eastAsia="Book Antiqua" w:hAnsi="Book Antiqua" w:cs="Book Antiqua"/>
          <w:i/>
          <w:color w:val="000000"/>
        </w:rPr>
        <w:t>World Journal of Gastroenterology</w:t>
      </w:r>
    </w:p>
    <w:p w14:paraId="3D94AD2E"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t xml:space="preserve">Manuscript NO: </w:t>
      </w:r>
      <w:r w:rsidRPr="004D2D9E">
        <w:rPr>
          <w:rFonts w:ascii="Book Antiqua" w:eastAsia="Book Antiqua" w:hAnsi="Book Antiqua" w:cs="Book Antiqua"/>
          <w:color w:val="000000"/>
        </w:rPr>
        <w:t>63009</w:t>
      </w:r>
    </w:p>
    <w:p w14:paraId="0BC483B3"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t xml:space="preserve">Manuscript Type: </w:t>
      </w:r>
      <w:r w:rsidRPr="004D2D9E">
        <w:rPr>
          <w:rFonts w:ascii="Book Antiqua" w:eastAsia="Book Antiqua" w:hAnsi="Book Antiqua" w:cs="Book Antiqua"/>
          <w:color w:val="000000"/>
        </w:rPr>
        <w:t>REVIEW</w:t>
      </w:r>
    </w:p>
    <w:p w14:paraId="0CFD102B" w14:textId="77777777" w:rsidR="003C7086" w:rsidRPr="004D2D9E" w:rsidRDefault="003C7086" w:rsidP="004D2D9E">
      <w:pPr>
        <w:spacing w:line="360" w:lineRule="auto"/>
        <w:jc w:val="both"/>
        <w:rPr>
          <w:rFonts w:ascii="Book Antiqua" w:hAnsi="Book Antiqua"/>
        </w:rPr>
      </w:pPr>
    </w:p>
    <w:p w14:paraId="6362068E" w14:textId="59AE45E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t>Progress and challenges in the comprehensive management of chronic viral hepatitis</w:t>
      </w:r>
      <w:r w:rsidR="006836D7">
        <w:rPr>
          <w:rFonts w:ascii="Book Antiqua" w:eastAsia="Book Antiqua" w:hAnsi="Book Antiqua" w:cs="Book Antiqua"/>
          <w:b/>
          <w:color w:val="000000"/>
        </w:rPr>
        <w:t>:</w:t>
      </w:r>
      <w:r w:rsidRPr="004D2D9E">
        <w:rPr>
          <w:rFonts w:ascii="Book Antiqua" w:eastAsia="Book Antiqua" w:hAnsi="Book Antiqua" w:cs="Book Antiqua"/>
          <w:b/>
          <w:color w:val="000000"/>
        </w:rPr>
        <w:t xml:space="preserve"> Key</w:t>
      </w:r>
      <w:r w:rsidR="00CA0BA0">
        <w:rPr>
          <w:rFonts w:ascii="Book Antiqua" w:eastAsia="Book Antiqua" w:hAnsi="Book Antiqua" w:cs="Book Antiqua"/>
          <w:b/>
          <w:color w:val="000000"/>
        </w:rPr>
        <w:t xml:space="preserve"> </w:t>
      </w:r>
      <w:r w:rsidRPr="004D2D9E">
        <w:rPr>
          <w:rFonts w:ascii="Book Antiqua" w:eastAsia="Book Antiqua" w:hAnsi="Book Antiqua" w:cs="Book Antiqua"/>
          <w:b/>
          <w:color w:val="000000"/>
        </w:rPr>
        <w:t>ways to achieve the elimination</w:t>
      </w:r>
    </w:p>
    <w:p w14:paraId="42A2539F" w14:textId="77777777" w:rsidR="003C7086" w:rsidRPr="004D2D9E" w:rsidRDefault="003C7086" w:rsidP="004D2D9E">
      <w:pPr>
        <w:spacing w:line="360" w:lineRule="auto"/>
        <w:jc w:val="both"/>
        <w:rPr>
          <w:rFonts w:ascii="Book Antiqua" w:hAnsi="Book Antiqua"/>
        </w:rPr>
      </w:pPr>
    </w:p>
    <w:p w14:paraId="686ED306" w14:textId="4DCD50BD" w:rsidR="003C7086" w:rsidRPr="00AB5EED" w:rsidRDefault="0078673D" w:rsidP="004D2D9E">
      <w:pPr>
        <w:spacing w:line="360" w:lineRule="auto"/>
        <w:jc w:val="both"/>
        <w:rPr>
          <w:rFonts w:ascii="Book Antiqua" w:hAnsi="Book Antiqua"/>
          <w:lang w:val="es-MX"/>
        </w:rPr>
      </w:pPr>
      <w:r w:rsidRPr="002B46CE">
        <w:rPr>
          <w:rFonts w:ascii="Book Antiqua" w:eastAsia="Book Antiqua" w:hAnsi="Book Antiqua" w:cs="Book Antiqua"/>
          <w:color w:val="000000"/>
          <w:lang w:val="es-MX"/>
        </w:rPr>
        <w:t>Higuera-de la Tijera</w:t>
      </w:r>
      <w:r w:rsidRPr="00AB5EED">
        <w:rPr>
          <w:rFonts w:ascii="Book Antiqua" w:eastAsia="Book Antiqua" w:hAnsi="Book Antiqua" w:cs="Book Antiqua"/>
          <w:color w:val="000000"/>
          <w:lang w:val="es-MX"/>
        </w:rPr>
        <w:t xml:space="preserve"> F </w:t>
      </w:r>
      <w:r w:rsidRPr="00AB5EED">
        <w:rPr>
          <w:rFonts w:ascii="Book Antiqua" w:eastAsia="Book Antiqua" w:hAnsi="Book Antiqua" w:cs="Book Antiqua"/>
          <w:i/>
          <w:iCs/>
          <w:color w:val="000000"/>
          <w:lang w:val="es-MX"/>
        </w:rPr>
        <w:t>et al</w:t>
      </w:r>
      <w:r w:rsidRPr="00AB5EED">
        <w:rPr>
          <w:rFonts w:ascii="Book Antiqua" w:eastAsia="Book Antiqua" w:hAnsi="Book Antiqua" w:cs="Book Antiqua"/>
          <w:color w:val="000000"/>
          <w:lang w:val="es-MX"/>
        </w:rPr>
        <w:t xml:space="preserve">. </w:t>
      </w:r>
      <w:r w:rsidR="00CA77E2" w:rsidRPr="00AB5EED">
        <w:rPr>
          <w:rFonts w:ascii="Book Antiqua" w:eastAsia="Book Antiqua" w:hAnsi="Book Antiqua" w:cs="Book Antiqua"/>
          <w:color w:val="000000"/>
          <w:lang w:val="es-MX"/>
        </w:rPr>
        <w:t>Viral hepatitis, achieving WHO's goals</w:t>
      </w:r>
    </w:p>
    <w:p w14:paraId="7EA28C54" w14:textId="77777777" w:rsidR="003C7086" w:rsidRPr="00AB5EED" w:rsidRDefault="003C7086" w:rsidP="004D2D9E">
      <w:pPr>
        <w:spacing w:line="360" w:lineRule="auto"/>
        <w:jc w:val="both"/>
        <w:rPr>
          <w:rFonts w:ascii="Book Antiqua" w:hAnsi="Book Antiqua"/>
          <w:lang w:val="es-MX"/>
        </w:rPr>
      </w:pPr>
    </w:p>
    <w:p w14:paraId="3CEE7C16" w14:textId="58AFBA11" w:rsidR="003C7086" w:rsidRPr="004D2D9E" w:rsidRDefault="002B46CE" w:rsidP="004D2D9E">
      <w:pPr>
        <w:spacing w:line="360" w:lineRule="auto"/>
        <w:jc w:val="both"/>
        <w:rPr>
          <w:rFonts w:ascii="Book Antiqua" w:hAnsi="Book Antiqua"/>
          <w:lang w:val="es-MX"/>
        </w:rPr>
      </w:pPr>
      <w:r w:rsidRPr="002B46CE">
        <w:rPr>
          <w:rFonts w:ascii="Book Antiqua" w:eastAsia="Book Antiqua" w:hAnsi="Book Antiqua" w:cs="Book Antiqua"/>
          <w:color w:val="000000"/>
          <w:lang w:val="es-MX"/>
        </w:rPr>
        <w:t>Fátima Higuera-de la Tijera</w:t>
      </w:r>
      <w:r w:rsidR="00CA77E2" w:rsidRPr="004D2D9E">
        <w:rPr>
          <w:rFonts w:ascii="Book Antiqua" w:eastAsia="Book Antiqua" w:hAnsi="Book Antiqua" w:cs="Book Antiqua"/>
          <w:color w:val="000000"/>
          <w:lang w:val="es-MX"/>
        </w:rPr>
        <w:t>, Alfredo Servín-Caamaño, Luis Servín-Abad</w:t>
      </w:r>
    </w:p>
    <w:p w14:paraId="241B1E5A" w14:textId="77777777" w:rsidR="003C7086" w:rsidRPr="004D2D9E" w:rsidRDefault="003C7086" w:rsidP="004D2D9E">
      <w:pPr>
        <w:spacing w:line="360" w:lineRule="auto"/>
        <w:jc w:val="both"/>
        <w:rPr>
          <w:rFonts w:ascii="Book Antiqua" w:hAnsi="Book Antiqua"/>
          <w:lang w:val="es-MX"/>
        </w:rPr>
      </w:pPr>
    </w:p>
    <w:p w14:paraId="3F682BAD" w14:textId="26AA4984" w:rsidR="003C7086" w:rsidRPr="004D2D9E" w:rsidRDefault="002B46CE" w:rsidP="004D2D9E">
      <w:pPr>
        <w:spacing w:line="360" w:lineRule="auto"/>
        <w:jc w:val="both"/>
        <w:rPr>
          <w:rFonts w:ascii="Book Antiqua" w:hAnsi="Book Antiqua"/>
          <w:lang w:val="es-MX"/>
        </w:rPr>
      </w:pPr>
      <w:r w:rsidRPr="002B46CE">
        <w:rPr>
          <w:rFonts w:ascii="Book Antiqua" w:eastAsia="Book Antiqua" w:hAnsi="Book Antiqua" w:cs="Book Antiqua"/>
          <w:b/>
          <w:bCs/>
          <w:color w:val="000000"/>
          <w:lang w:val="es-MX"/>
        </w:rPr>
        <w:t>Fátima Higuera-de la Tijera</w:t>
      </w:r>
      <w:r w:rsidR="00CA77E2" w:rsidRPr="002B46CE">
        <w:rPr>
          <w:rFonts w:ascii="Book Antiqua" w:eastAsia="Book Antiqua" w:hAnsi="Book Antiqua" w:cs="Book Antiqua"/>
          <w:b/>
          <w:bCs/>
          <w:color w:val="000000"/>
          <w:lang w:val="es-MX"/>
        </w:rPr>
        <w:t xml:space="preserve">, </w:t>
      </w:r>
      <w:r w:rsidR="00B906F2" w:rsidRPr="004D2D9E">
        <w:rPr>
          <w:rFonts w:ascii="Book Antiqua" w:eastAsia="Book Antiqua" w:hAnsi="Book Antiqua" w:cs="Book Antiqua"/>
          <w:color w:val="000000"/>
          <w:lang w:val="es-MX"/>
        </w:rPr>
        <w:t xml:space="preserve">Department </w:t>
      </w:r>
      <w:r w:rsidR="00B906F2">
        <w:rPr>
          <w:rFonts w:ascii="Book Antiqua" w:eastAsia="Book Antiqua" w:hAnsi="Book Antiqua" w:cs="Book Antiqua"/>
          <w:color w:val="000000"/>
          <w:lang w:val="es-MX"/>
        </w:rPr>
        <w:t xml:space="preserve">of </w:t>
      </w:r>
      <w:r w:rsidR="00CA77E2" w:rsidRPr="004D2D9E">
        <w:rPr>
          <w:rFonts w:ascii="Book Antiqua" w:eastAsia="Book Antiqua" w:hAnsi="Book Antiqua" w:cs="Book Antiqua"/>
          <w:color w:val="000000"/>
          <w:lang w:val="es-MX"/>
        </w:rPr>
        <w:t>Gastroenterology and Hepatology, Hospital General de México, Mexico City 06726, Mexico</w:t>
      </w:r>
    </w:p>
    <w:p w14:paraId="1A60628B" w14:textId="77777777" w:rsidR="003C7086" w:rsidRPr="004D2D9E" w:rsidRDefault="003C7086" w:rsidP="004D2D9E">
      <w:pPr>
        <w:spacing w:line="360" w:lineRule="auto"/>
        <w:jc w:val="both"/>
        <w:rPr>
          <w:rFonts w:ascii="Book Antiqua" w:hAnsi="Book Antiqua"/>
          <w:lang w:val="es-MX"/>
        </w:rPr>
      </w:pPr>
    </w:p>
    <w:p w14:paraId="7EB1280A" w14:textId="0E712BCE" w:rsidR="003C7086" w:rsidRPr="004D2D9E" w:rsidRDefault="00CA77E2" w:rsidP="004D2D9E">
      <w:pPr>
        <w:spacing w:line="360" w:lineRule="auto"/>
        <w:jc w:val="both"/>
        <w:rPr>
          <w:rFonts w:ascii="Book Antiqua" w:hAnsi="Book Antiqua"/>
          <w:lang w:val="es-MX"/>
        </w:rPr>
      </w:pPr>
      <w:r w:rsidRPr="004D2D9E">
        <w:rPr>
          <w:rFonts w:ascii="Book Antiqua" w:eastAsia="Book Antiqua" w:hAnsi="Book Antiqua" w:cs="Book Antiqua"/>
          <w:b/>
          <w:bCs/>
          <w:color w:val="000000"/>
          <w:lang w:val="es-MX"/>
        </w:rPr>
        <w:t xml:space="preserve">Alfredo Servín-Caamaño, </w:t>
      </w:r>
      <w:r w:rsidR="00B906F2" w:rsidRPr="004D2D9E">
        <w:rPr>
          <w:rFonts w:ascii="Book Antiqua" w:eastAsia="Book Antiqua" w:hAnsi="Book Antiqua" w:cs="Book Antiqua"/>
          <w:color w:val="000000"/>
          <w:lang w:val="es-MX"/>
        </w:rPr>
        <w:t xml:space="preserve">Department </w:t>
      </w:r>
      <w:r w:rsidR="00B906F2">
        <w:rPr>
          <w:rFonts w:ascii="Book Antiqua" w:eastAsia="Book Antiqua" w:hAnsi="Book Antiqua" w:cs="Book Antiqua"/>
          <w:color w:val="000000"/>
          <w:lang w:val="es-MX"/>
        </w:rPr>
        <w:t xml:space="preserve">of </w:t>
      </w:r>
      <w:r w:rsidRPr="004D2D9E">
        <w:rPr>
          <w:rFonts w:ascii="Book Antiqua" w:eastAsia="Book Antiqua" w:hAnsi="Book Antiqua" w:cs="Book Antiqua"/>
          <w:color w:val="000000"/>
          <w:lang w:val="es-MX"/>
        </w:rPr>
        <w:t xml:space="preserve">Internal Medicine, Hospital General de México, </w:t>
      </w:r>
      <w:r w:rsidR="00745F31" w:rsidRPr="004D2D9E">
        <w:rPr>
          <w:rFonts w:ascii="Book Antiqua" w:eastAsia="Book Antiqua" w:hAnsi="Book Antiqua" w:cs="Book Antiqua"/>
          <w:color w:val="000000"/>
          <w:lang w:val="es-MX"/>
        </w:rPr>
        <w:t xml:space="preserve">Mexico City </w:t>
      </w:r>
      <w:r w:rsidRPr="004D2D9E">
        <w:rPr>
          <w:rFonts w:ascii="Book Antiqua" w:eastAsia="Book Antiqua" w:hAnsi="Book Antiqua" w:cs="Book Antiqua"/>
          <w:color w:val="000000"/>
          <w:lang w:val="es-MX"/>
        </w:rPr>
        <w:t>06726, Mexico</w:t>
      </w:r>
    </w:p>
    <w:p w14:paraId="6D59F4A7" w14:textId="77777777" w:rsidR="003C7086" w:rsidRPr="004D2D9E" w:rsidRDefault="003C7086" w:rsidP="004D2D9E">
      <w:pPr>
        <w:spacing w:line="360" w:lineRule="auto"/>
        <w:jc w:val="both"/>
        <w:rPr>
          <w:rFonts w:ascii="Book Antiqua" w:hAnsi="Book Antiqua"/>
          <w:lang w:val="es-MX"/>
        </w:rPr>
      </w:pPr>
    </w:p>
    <w:p w14:paraId="2F0B8F99" w14:textId="78B8A908"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bCs/>
          <w:color w:val="000000"/>
        </w:rPr>
        <w:t xml:space="preserve">Luis Servín-Abad, </w:t>
      </w:r>
      <w:r w:rsidR="00B906F2" w:rsidRPr="004D2D9E">
        <w:rPr>
          <w:rFonts w:ascii="Book Antiqua" w:eastAsia="Book Antiqua" w:hAnsi="Book Antiqua" w:cs="Book Antiqua"/>
          <w:color w:val="000000"/>
        </w:rPr>
        <w:t xml:space="preserve">Department </w:t>
      </w:r>
      <w:r w:rsidR="00B906F2">
        <w:rPr>
          <w:rFonts w:ascii="Book Antiqua" w:eastAsia="Book Antiqua" w:hAnsi="Book Antiqua" w:cs="Book Antiqua"/>
          <w:color w:val="000000"/>
        </w:rPr>
        <w:t xml:space="preserve">of </w:t>
      </w:r>
      <w:r w:rsidRPr="004D2D9E">
        <w:rPr>
          <w:rFonts w:ascii="Book Antiqua" w:eastAsia="Book Antiqua" w:hAnsi="Book Antiqua" w:cs="Book Antiqua"/>
          <w:color w:val="000000"/>
        </w:rPr>
        <w:t>Gastroenterology, Saint Cloud Hospital, Saint Cloud, M</w:t>
      </w:r>
      <w:r w:rsidR="00631B98">
        <w:rPr>
          <w:rFonts w:ascii="Book Antiqua" w:eastAsia="Book Antiqua" w:hAnsi="Book Antiqua" w:cs="Book Antiqua"/>
          <w:color w:val="000000"/>
        </w:rPr>
        <w:t>N</w:t>
      </w:r>
      <w:r w:rsidRPr="004D2D9E">
        <w:rPr>
          <w:rFonts w:ascii="Book Antiqua" w:eastAsia="Book Antiqua" w:hAnsi="Book Antiqua" w:cs="Book Antiqua"/>
          <w:color w:val="000000"/>
        </w:rPr>
        <w:t xml:space="preserve"> 56303, United States</w:t>
      </w:r>
    </w:p>
    <w:p w14:paraId="6990ADD5" w14:textId="77777777" w:rsidR="003C7086" w:rsidRPr="004D2D9E" w:rsidRDefault="003C7086" w:rsidP="004D2D9E">
      <w:pPr>
        <w:spacing w:line="360" w:lineRule="auto"/>
        <w:jc w:val="both"/>
        <w:rPr>
          <w:rFonts w:ascii="Book Antiqua" w:hAnsi="Book Antiqua"/>
        </w:rPr>
      </w:pPr>
    </w:p>
    <w:p w14:paraId="6E69A8A1" w14:textId="71DCD986"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bCs/>
          <w:color w:val="000000"/>
        </w:rPr>
        <w:t xml:space="preserve">Author contributions: </w:t>
      </w:r>
      <w:r w:rsidR="003F472A" w:rsidRPr="00AB5EED">
        <w:rPr>
          <w:rFonts w:ascii="Book Antiqua" w:eastAsia="Book Antiqua" w:hAnsi="Book Antiqua" w:cs="Book Antiqua"/>
          <w:color w:val="000000"/>
        </w:rPr>
        <w:t>Higuera-de la Tijera</w:t>
      </w:r>
      <w:r w:rsidRPr="004D2D9E">
        <w:rPr>
          <w:rFonts w:ascii="Book Antiqua" w:eastAsia="Book Antiqua" w:hAnsi="Book Antiqua" w:cs="Book Antiqua"/>
          <w:color w:val="000000"/>
        </w:rPr>
        <w:t xml:space="preserve"> F designed the overall concept of the manuscript; Higuera-de la Tijera F</w:t>
      </w:r>
      <w:r w:rsidR="003F472A">
        <w:rPr>
          <w:rFonts w:ascii="Book Antiqua" w:eastAsia="Book Antiqua" w:hAnsi="Book Antiqua" w:cs="Book Antiqua"/>
          <w:color w:val="000000"/>
        </w:rPr>
        <w:t xml:space="preserve"> and</w:t>
      </w:r>
      <w:r w:rsidRPr="004D2D9E">
        <w:rPr>
          <w:rFonts w:ascii="Book Antiqua" w:eastAsia="Book Antiqua" w:hAnsi="Book Antiqua" w:cs="Book Antiqua"/>
          <w:color w:val="000000"/>
        </w:rPr>
        <w:t xml:space="preserve"> Servín-Caamaño A performed the literature review and wrote the manuscript; Servín-Abad</w:t>
      </w:r>
      <w:r w:rsidR="003F472A">
        <w:rPr>
          <w:rFonts w:ascii="Book Antiqua" w:eastAsia="Book Antiqua" w:hAnsi="Book Antiqua" w:cs="Book Antiqua"/>
          <w:color w:val="000000"/>
        </w:rPr>
        <w:t xml:space="preserve"> L</w:t>
      </w:r>
      <w:r w:rsidRPr="004D2D9E">
        <w:rPr>
          <w:rFonts w:ascii="Book Antiqua" w:eastAsia="Book Antiqua" w:hAnsi="Book Antiqua" w:cs="Book Antiqua"/>
          <w:color w:val="000000"/>
        </w:rPr>
        <w:t xml:space="preserve"> translated and edited the manuscript to its English version.</w:t>
      </w:r>
    </w:p>
    <w:p w14:paraId="66772A0A" w14:textId="77777777" w:rsidR="003C7086" w:rsidRPr="004D2D9E" w:rsidRDefault="003C7086" w:rsidP="004D2D9E">
      <w:pPr>
        <w:spacing w:line="360" w:lineRule="auto"/>
        <w:jc w:val="both"/>
        <w:rPr>
          <w:rFonts w:ascii="Book Antiqua" w:hAnsi="Book Antiqua"/>
        </w:rPr>
      </w:pPr>
    </w:p>
    <w:p w14:paraId="04949DB9" w14:textId="726B41E1" w:rsidR="003C7086" w:rsidRPr="004D2D9E" w:rsidRDefault="00CA77E2" w:rsidP="004D2D9E">
      <w:pPr>
        <w:spacing w:line="360" w:lineRule="auto"/>
        <w:jc w:val="both"/>
        <w:rPr>
          <w:rFonts w:ascii="Book Antiqua" w:hAnsi="Book Antiqua"/>
          <w:lang w:val="es-MX"/>
        </w:rPr>
      </w:pPr>
      <w:r w:rsidRPr="004D2D9E">
        <w:rPr>
          <w:rFonts w:ascii="Book Antiqua" w:eastAsia="Book Antiqua" w:hAnsi="Book Antiqua" w:cs="Book Antiqua"/>
          <w:b/>
          <w:bCs/>
          <w:color w:val="000000"/>
        </w:rPr>
        <w:t xml:space="preserve">Corresponding author: </w:t>
      </w:r>
      <w:r w:rsidR="004F303F" w:rsidRPr="00AB5EED">
        <w:rPr>
          <w:rFonts w:ascii="Book Antiqua" w:eastAsia="Book Antiqua" w:hAnsi="Book Antiqua" w:cs="Book Antiqua"/>
          <w:b/>
          <w:bCs/>
          <w:color w:val="000000"/>
        </w:rPr>
        <w:t>Fátima Higuera-de la Tijera,</w:t>
      </w:r>
      <w:r w:rsidRPr="004D2D9E">
        <w:rPr>
          <w:rFonts w:ascii="Book Antiqua" w:eastAsia="Book Antiqua" w:hAnsi="Book Antiqua" w:cs="Book Antiqua"/>
          <w:b/>
          <w:bCs/>
          <w:color w:val="000000"/>
        </w:rPr>
        <w:t xml:space="preserve"> MD, MSc, PhD, Academic Research, Professor,</w:t>
      </w:r>
      <w:r w:rsidR="005748AE" w:rsidRPr="005748AE">
        <w:rPr>
          <w:rFonts w:ascii="Book Antiqua" w:eastAsia="Book Antiqua" w:hAnsi="Book Antiqua" w:cs="Book Antiqua"/>
          <w:color w:val="000000"/>
        </w:rPr>
        <w:t xml:space="preserve"> </w:t>
      </w:r>
      <w:r w:rsidR="005748AE" w:rsidRPr="004D2D9E">
        <w:rPr>
          <w:rFonts w:ascii="Book Antiqua" w:eastAsia="Book Antiqua" w:hAnsi="Book Antiqua" w:cs="Book Antiqua"/>
          <w:color w:val="000000"/>
        </w:rPr>
        <w:t>Department</w:t>
      </w:r>
      <w:r w:rsidRPr="004D2D9E">
        <w:rPr>
          <w:rFonts w:ascii="Book Antiqua" w:eastAsia="Book Antiqua" w:hAnsi="Book Antiqua" w:cs="Book Antiqua"/>
          <w:b/>
          <w:bCs/>
          <w:color w:val="000000"/>
        </w:rPr>
        <w:t xml:space="preserve"> </w:t>
      </w:r>
      <w:r w:rsidR="005748AE" w:rsidRPr="005748AE">
        <w:rPr>
          <w:rFonts w:ascii="Book Antiqua" w:eastAsia="Book Antiqua" w:hAnsi="Book Antiqua" w:cs="Book Antiqua"/>
          <w:color w:val="000000"/>
        </w:rPr>
        <w:t>of</w:t>
      </w:r>
      <w:r w:rsidR="005748AE">
        <w:rPr>
          <w:rFonts w:ascii="Book Antiqua" w:eastAsia="Book Antiqua" w:hAnsi="Book Antiqua" w:cs="Book Antiqua"/>
          <w:b/>
          <w:bCs/>
          <w:color w:val="000000"/>
        </w:rPr>
        <w:t xml:space="preserve"> </w:t>
      </w:r>
      <w:r w:rsidRPr="004D2D9E">
        <w:rPr>
          <w:rFonts w:ascii="Book Antiqua" w:eastAsia="Book Antiqua" w:hAnsi="Book Antiqua" w:cs="Book Antiqua"/>
          <w:color w:val="000000"/>
        </w:rPr>
        <w:t xml:space="preserve">Gastroenterology and Hepatology, Hospital General de México, Dr. Balmis 148 Col. Doctores, Del. </w:t>
      </w:r>
      <w:r w:rsidRPr="004D2D9E">
        <w:rPr>
          <w:rFonts w:ascii="Book Antiqua" w:eastAsia="Book Antiqua" w:hAnsi="Book Antiqua" w:cs="Book Antiqua"/>
          <w:color w:val="000000"/>
          <w:lang w:val="es-MX"/>
        </w:rPr>
        <w:t>Cuauhtémoc, Departamento de Gastroenterología 310-D., Mexico City 06726, Mexico. fatimahiguera@yahoo.com.mx</w:t>
      </w:r>
    </w:p>
    <w:p w14:paraId="54737EC0" w14:textId="77777777" w:rsidR="003C7086" w:rsidRPr="004D2D9E" w:rsidRDefault="003C7086" w:rsidP="004D2D9E">
      <w:pPr>
        <w:spacing w:line="360" w:lineRule="auto"/>
        <w:jc w:val="both"/>
        <w:rPr>
          <w:rFonts w:ascii="Book Antiqua" w:hAnsi="Book Antiqua"/>
          <w:lang w:val="es-MX"/>
        </w:rPr>
      </w:pPr>
    </w:p>
    <w:p w14:paraId="6DD25C98"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bCs/>
          <w:color w:val="000000"/>
        </w:rPr>
        <w:lastRenderedPageBreak/>
        <w:t xml:space="preserve">Received: </w:t>
      </w:r>
      <w:r w:rsidRPr="004D2D9E">
        <w:rPr>
          <w:rFonts w:ascii="Book Antiqua" w:eastAsia="Book Antiqua" w:hAnsi="Book Antiqua" w:cs="Book Antiqua"/>
          <w:color w:val="000000"/>
        </w:rPr>
        <w:t>January 22, 2021</w:t>
      </w:r>
    </w:p>
    <w:p w14:paraId="3A37330C"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bCs/>
          <w:color w:val="000000"/>
        </w:rPr>
        <w:t xml:space="preserve">Revised: </w:t>
      </w:r>
      <w:r w:rsidRPr="004D2D9E">
        <w:rPr>
          <w:rFonts w:ascii="Book Antiqua" w:eastAsia="Book Antiqua" w:hAnsi="Book Antiqua" w:cs="Book Antiqua"/>
          <w:color w:val="000000"/>
        </w:rPr>
        <w:t>March 4, 2021</w:t>
      </w:r>
    </w:p>
    <w:p w14:paraId="72AE28B3" w14:textId="2447696E"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bCs/>
          <w:color w:val="000000"/>
        </w:rPr>
        <w:t>Accepted:</w:t>
      </w:r>
      <w:r w:rsidRPr="00AA4EF4">
        <w:rPr>
          <w:rFonts w:ascii="Book Antiqua" w:eastAsia="Book Antiqua" w:hAnsi="Book Antiqua" w:cs="Book Antiqua"/>
          <w:bCs/>
          <w:color w:val="000000"/>
        </w:rPr>
        <w:t xml:space="preserve"> </w:t>
      </w:r>
      <w:r w:rsidR="00AA4EF4" w:rsidRPr="00AA4EF4">
        <w:rPr>
          <w:rFonts w:ascii="Book Antiqua" w:eastAsia="Book Antiqua" w:hAnsi="Book Antiqua" w:cs="Book Antiqua"/>
          <w:bCs/>
          <w:color w:val="000000"/>
        </w:rPr>
        <w:t>June 17, 2021</w:t>
      </w:r>
    </w:p>
    <w:p w14:paraId="1E5C56F6" w14:textId="77777777" w:rsidR="003C7086" w:rsidRDefault="00CA77E2" w:rsidP="004D2D9E">
      <w:pPr>
        <w:spacing w:line="360" w:lineRule="auto"/>
        <w:jc w:val="both"/>
        <w:rPr>
          <w:rFonts w:ascii="Book Antiqua" w:eastAsia="Book Antiqua" w:hAnsi="Book Antiqua" w:cs="Book Antiqua"/>
          <w:b/>
          <w:bCs/>
          <w:color w:val="000000"/>
        </w:rPr>
      </w:pPr>
      <w:r w:rsidRPr="004D2D9E">
        <w:rPr>
          <w:rFonts w:ascii="Book Antiqua" w:eastAsia="Book Antiqua" w:hAnsi="Book Antiqua" w:cs="Book Antiqua"/>
          <w:b/>
          <w:bCs/>
          <w:color w:val="000000"/>
        </w:rPr>
        <w:t xml:space="preserve">Published online: </w:t>
      </w:r>
    </w:p>
    <w:p w14:paraId="2117EDC1" w14:textId="77777777" w:rsidR="007E389F" w:rsidRPr="004D2D9E" w:rsidRDefault="007E389F" w:rsidP="004D2D9E">
      <w:pPr>
        <w:spacing w:line="360" w:lineRule="auto"/>
        <w:jc w:val="both"/>
        <w:rPr>
          <w:rFonts w:ascii="Book Antiqua" w:hAnsi="Book Antiqua"/>
        </w:rPr>
        <w:sectPr w:rsidR="007E389F" w:rsidRPr="004D2D9E">
          <w:footerReference w:type="default" r:id="rId6"/>
          <w:pgSz w:w="12240" w:h="15840"/>
          <w:pgMar w:top="1440" w:right="1440" w:bottom="1440" w:left="1440" w:header="720" w:footer="720" w:gutter="0"/>
          <w:cols w:space="720"/>
        </w:sectPr>
      </w:pPr>
    </w:p>
    <w:p w14:paraId="5780DFA0"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lastRenderedPageBreak/>
        <w:t>Abstract</w:t>
      </w:r>
    </w:p>
    <w:p w14:paraId="060FE92D" w14:textId="2867ACAB"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shd w:val="clear" w:color="auto" w:fill="FFFFFF"/>
        </w:rPr>
        <w:t xml:space="preserve">Chronic viral hepatitis is a significant health problem throughout the world, which already represents high annual mortality. By 2040, chronic viral hepatitis due to virus B and virus C and their complications cirrhosis and hepatocellular carcinoma will be more deadly than malaria, </w:t>
      </w:r>
      <w:r w:rsidR="00AC133B" w:rsidRPr="00AC133B">
        <w:rPr>
          <w:rFonts w:ascii="Book Antiqua" w:eastAsia="Book Antiqua" w:hAnsi="Book Antiqua" w:cs="Book Antiqua"/>
          <w:color w:val="000000"/>
          <w:shd w:val="clear" w:color="auto" w:fill="FFFFFF"/>
        </w:rPr>
        <w:t>vitellogenesis-inhibiting hormone</w:t>
      </w:r>
      <w:r w:rsidR="004B7A6E">
        <w:rPr>
          <w:rFonts w:ascii="Book Antiqua" w:eastAsia="Book Antiqua" w:hAnsi="Book Antiqua" w:cs="Book Antiqua"/>
          <w:color w:val="000000"/>
          <w:shd w:val="clear" w:color="auto" w:fill="FFFFFF"/>
        </w:rPr>
        <w:t>,</w:t>
      </w:r>
      <w:r w:rsidRPr="004D2D9E">
        <w:rPr>
          <w:rFonts w:ascii="Book Antiqua" w:eastAsia="Book Antiqua" w:hAnsi="Book Antiqua" w:cs="Book Antiqua"/>
          <w:color w:val="000000"/>
          <w:shd w:val="clear" w:color="auto" w:fill="FFFFFF"/>
        </w:rPr>
        <w:t xml:space="preserve"> and tuberculosis altogether. In this review, we analyze the global impact of chronic viral hepatitis with a focus on the most vulnerable groups, the goals set by the </w:t>
      </w:r>
      <w:r w:rsidR="00ED6B43" w:rsidRPr="004D2D9E">
        <w:rPr>
          <w:rFonts w:ascii="Book Antiqua" w:eastAsia="Book Antiqua" w:hAnsi="Book Antiqua" w:cs="Book Antiqua"/>
          <w:color w:val="000000"/>
        </w:rPr>
        <w:t>World Health Organization</w:t>
      </w:r>
      <w:r w:rsidRPr="004D2D9E">
        <w:rPr>
          <w:rFonts w:ascii="Book Antiqua" w:eastAsia="Book Antiqua" w:hAnsi="Book Antiqua" w:cs="Book Antiqua"/>
          <w:color w:val="000000"/>
          <w:shd w:val="clear" w:color="auto" w:fill="FFFFFF"/>
        </w:rPr>
        <w:t xml:space="preserve"> for the year 2030, and the key points to achieve them, such as timely access to antiviral treatment of </w:t>
      </w:r>
      <w:r w:rsidR="00ED6B43" w:rsidRPr="004D2D9E">
        <w:rPr>
          <w:rFonts w:ascii="Book Antiqua" w:eastAsia="Book Antiqua" w:hAnsi="Book Antiqua" w:cs="Book Antiqua"/>
          <w:color w:val="000000"/>
        </w:rPr>
        <w:t>direct-acting antiviral</w:t>
      </w:r>
      <w:r w:rsidRPr="004D2D9E">
        <w:rPr>
          <w:rFonts w:ascii="Book Antiqua" w:eastAsia="Book Antiqua" w:hAnsi="Book Antiqua" w:cs="Book Antiqua"/>
          <w:color w:val="000000"/>
          <w:shd w:val="clear" w:color="auto" w:fill="FFFFFF"/>
        </w:rPr>
        <w:t xml:space="preserve">, which represents the key to achieving </w:t>
      </w:r>
      <w:r w:rsidR="00ED6B43" w:rsidRPr="004D2D9E">
        <w:rPr>
          <w:rFonts w:ascii="Book Antiqua" w:eastAsia="Book Antiqua" w:hAnsi="Book Antiqua" w:cs="Book Antiqua"/>
          <w:color w:val="000000"/>
          <w:shd w:val="clear" w:color="auto" w:fill="FFFFFF"/>
        </w:rPr>
        <w:t>hepatitis C virus</w:t>
      </w:r>
      <w:r w:rsidRPr="004D2D9E">
        <w:rPr>
          <w:rFonts w:ascii="Book Antiqua" w:eastAsia="Book Antiqua" w:hAnsi="Book Antiqua" w:cs="Book Antiqua"/>
          <w:color w:val="000000"/>
          <w:shd w:val="clear" w:color="auto" w:fill="FFFFFF"/>
        </w:rPr>
        <w:t xml:space="preserve"> elimination. Likewise, we review the strategies to prevent transmission and achieve control of </w:t>
      </w:r>
      <w:r w:rsidR="00ED6B43" w:rsidRPr="004D2D9E">
        <w:rPr>
          <w:rFonts w:ascii="Book Antiqua" w:eastAsia="Book Antiqua" w:hAnsi="Book Antiqua" w:cs="Book Antiqua"/>
          <w:color w:val="000000"/>
          <w:shd w:val="clear" w:color="auto" w:fill="FFFFFF"/>
        </w:rPr>
        <w:t xml:space="preserve">hepatitis </w:t>
      </w:r>
      <w:r w:rsidR="00ED6B43">
        <w:rPr>
          <w:rFonts w:ascii="Book Antiqua" w:eastAsia="Book Antiqua" w:hAnsi="Book Antiqua" w:cs="Book Antiqua"/>
          <w:color w:val="000000"/>
          <w:shd w:val="clear" w:color="auto" w:fill="FFFFFF"/>
        </w:rPr>
        <w:t>B</w:t>
      </w:r>
      <w:r w:rsidR="00ED6B43" w:rsidRPr="004D2D9E">
        <w:rPr>
          <w:rFonts w:ascii="Book Antiqua" w:eastAsia="Book Antiqua" w:hAnsi="Book Antiqua" w:cs="Book Antiqua"/>
          <w:color w:val="000000"/>
          <w:shd w:val="clear" w:color="auto" w:fill="FFFFFF"/>
        </w:rPr>
        <w:t xml:space="preserve"> virus</w:t>
      </w:r>
      <w:r w:rsidRPr="004D2D9E">
        <w:rPr>
          <w:rFonts w:ascii="Book Antiqua" w:eastAsia="Book Antiqua" w:hAnsi="Book Antiqua" w:cs="Book Antiqua"/>
          <w:color w:val="000000"/>
          <w:shd w:val="clear" w:color="auto" w:fill="FFFFFF"/>
        </w:rPr>
        <w:t xml:space="preserve">. Finally, we address the impact that the </w:t>
      </w:r>
      <w:r w:rsidR="00D7033F" w:rsidRPr="00D7033F">
        <w:rPr>
          <w:rFonts w:ascii="Book Antiqua" w:eastAsia="Book Antiqua" w:hAnsi="Book Antiqua" w:cs="Book Antiqua"/>
          <w:color w:val="000000"/>
          <w:shd w:val="clear" w:color="auto" w:fill="FFFFFF"/>
        </w:rPr>
        <w:t>coronavirus disease 2019</w:t>
      </w:r>
      <w:r w:rsidRPr="004D2D9E">
        <w:rPr>
          <w:rFonts w:ascii="Book Antiqua" w:eastAsia="Book Antiqua" w:hAnsi="Book Antiqua" w:cs="Book Antiqua"/>
          <w:color w:val="000000"/>
          <w:shd w:val="clear" w:color="auto" w:fill="FFFFFF"/>
        </w:rPr>
        <w:t xml:space="preserve"> pandemic has had on implementing elimination strategies and the advantages of implementing telemedicine programs.</w:t>
      </w:r>
    </w:p>
    <w:p w14:paraId="2B7113FA" w14:textId="77777777" w:rsidR="003C7086" w:rsidRPr="004D2D9E" w:rsidRDefault="003C7086" w:rsidP="004D2D9E">
      <w:pPr>
        <w:spacing w:line="360" w:lineRule="auto"/>
        <w:jc w:val="both"/>
        <w:rPr>
          <w:rFonts w:ascii="Book Antiqua" w:hAnsi="Book Antiqua"/>
        </w:rPr>
      </w:pPr>
    </w:p>
    <w:p w14:paraId="2C18333D" w14:textId="76E55C0F"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bCs/>
          <w:color w:val="000000"/>
        </w:rPr>
        <w:t xml:space="preserve">Key Words: </w:t>
      </w:r>
      <w:r w:rsidR="00515012">
        <w:rPr>
          <w:rFonts w:ascii="Book Antiqua" w:eastAsia="Book Antiqua" w:hAnsi="Book Antiqua" w:cs="Book Antiqua"/>
          <w:color w:val="000000"/>
        </w:rPr>
        <w:t>H</w:t>
      </w:r>
      <w:r w:rsidRPr="004D2D9E">
        <w:rPr>
          <w:rFonts w:ascii="Book Antiqua" w:eastAsia="Book Antiqua" w:hAnsi="Book Antiqua" w:cs="Book Antiqua"/>
          <w:color w:val="000000"/>
        </w:rPr>
        <w:t xml:space="preserve">epatitis C; </w:t>
      </w:r>
      <w:r w:rsidR="00515012">
        <w:rPr>
          <w:rFonts w:ascii="Book Antiqua" w:eastAsia="Book Antiqua" w:hAnsi="Book Antiqua" w:cs="Book Antiqua"/>
          <w:color w:val="000000"/>
        </w:rPr>
        <w:t>H</w:t>
      </w:r>
      <w:r w:rsidRPr="004D2D9E">
        <w:rPr>
          <w:rFonts w:ascii="Book Antiqua" w:eastAsia="Book Antiqua" w:hAnsi="Book Antiqua" w:cs="Book Antiqua"/>
          <w:color w:val="000000"/>
        </w:rPr>
        <w:t xml:space="preserve">epatitis B; </w:t>
      </w:r>
      <w:r w:rsidR="00515012">
        <w:rPr>
          <w:rFonts w:ascii="Book Antiqua" w:eastAsia="Book Antiqua" w:hAnsi="Book Antiqua" w:cs="Book Antiqua"/>
          <w:color w:val="000000"/>
        </w:rPr>
        <w:t>V</w:t>
      </w:r>
      <w:r w:rsidRPr="004D2D9E">
        <w:rPr>
          <w:rFonts w:ascii="Book Antiqua" w:eastAsia="Book Antiqua" w:hAnsi="Book Antiqua" w:cs="Book Antiqua"/>
          <w:color w:val="000000"/>
        </w:rPr>
        <w:t xml:space="preserve">accination; </w:t>
      </w:r>
      <w:r w:rsidR="00515012">
        <w:rPr>
          <w:rFonts w:ascii="Book Antiqua" w:eastAsia="Book Antiqua" w:hAnsi="Book Antiqua" w:cs="Book Antiqua"/>
          <w:color w:val="000000"/>
        </w:rPr>
        <w:t>E</w:t>
      </w:r>
      <w:r w:rsidRPr="004D2D9E">
        <w:rPr>
          <w:rFonts w:ascii="Book Antiqua" w:eastAsia="Book Antiqua" w:hAnsi="Book Antiqua" w:cs="Book Antiqua"/>
          <w:color w:val="000000"/>
        </w:rPr>
        <w:t xml:space="preserve">limination program; </w:t>
      </w:r>
      <w:r w:rsidR="00515012">
        <w:rPr>
          <w:rFonts w:ascii="Book Antiqua" w:eastAsia="Book Antiqua" w:hAnsi="Book Antiqua" w:cs="Book Antiqua"/>
          <w:color w:val="000000"/>
        </w:rPr>
        <w:t>T</w:t>
      </w:r>
      <w:r w:rsidRPr="004D2D9E">
        <w:rPr>
          <w:rFonts w:ascii="Book Antiqua" w:eastAsia="Book Antiqua" w:hAnsi="Book Antiqua" w:cs="Book Antiqua"/>
          <w:color w:val="000000"/>
        </w:rPr>
        <w:t xml:space="preserve">elemedicine; </w:t>
      </w:r>
      <w:r w:rsidR="00515012">
        <w:rPr>
          <w:rFonts w:ascii="Book Antiqua" w:eastAsia="Book Antiqua" w:hAnsi="Book Antiqua" w:cs="Book Antiqua"/>
          <w:color w:val="000000"/>
        </w:rPr>
        <w:t>D</w:t>
      </w:r>
      <w:r w:rsidRPr="004D2D9E">
        <w:rPr>
          <w:rFonts w:ascii="Book Antiqua" w:eastAsia="Book Antiqua" w:hAnsi="Book Antiqua" w:cs="Book Antiqua"/>
          <w:color w:val="000000"/>
        </w:rPr>
        <w:t>irect antiviral agents</w:t>
      </w:r>
    </w:p>
    <w:p w14:paraId="377287B3" w14:textId="77777777" w:rsidR="003C7086" w:rsidRPr="004D2D9E" w:rsidRDefault="003C7086" w:rsidP="004D2D9E">
      <w:pPr>
        <w:spacing w:line="360" w:lineRule="auto"/>
        <w:jc w:val="both"/>
        <w:rPr>
          <w:rFonts w:ascii="Book Antiqua" w:hAnsi="Book Antiqua"/>
        </w:rPr>
      </w:pPr>
    </w:p>
    <w:p w14:paraId="3FCC9E04" w14:textId="21093E43" w:rsidR="003C7086" w:rsidRPr="004D2D9E" w:rsidRDefault="00CF4467" w:rsidP="004D2D9E">
      <w:pPr>
        <w:spacing w:line="360" w:lineRule="auto"/>
        <w:jc w:val="both"/>
        <w:rPr>
          <w:rFonts w:ascii="Book Antiqua" w:hAnsi="Book Antiqua"/>
        </w:rPr>
      </w:pPr>
      <w:r w:rsidRPr="00AB5EED">
        <w:rPr>
          <w:rFonts w:ascii="Book Antiqua" w:eastAsia="Book Antiqua" w:hAnsi="Book Antiqua" w:cs="Book Antiqua"/>
          <w:color w:val="000000"/>
        </w:rPr>
        <w:t>Higuera-de la Tijera</w:t>
      </w:r>
      <w:r w:rsidR="00CA77E2" w:rsidRPr="004D2D9E">
        <w:rPr>
          <w:rFonts w:ascii="Book Antiqua" w:eastAsia="Book Antiqua" w:hAnsi="Book Antiqua" w:cs="Book Antiqua"/>
          <w:color w:val="000000"/>
        </w:rPr>
        <w:t xml:space="preserve"> F, Servín-Caamaño A, Servín-Abad L. </w:t>
      </w:r>
      <w:r w:rsidR="00E6577E" w:rsidRPr="004D2D9E">
        <w:rPr>
          <w:rFonts w:ascii="Book Antiqua" w:eastAsia="Book Antiqua" w:hAnsi="Book Antiqua" w:cs="Book Antiqua"/>
          <w:color w:val="000000"/>
        </w:rPr>
        <w:t>Progress and challenges in the comprehensive management of chronic viral hepatitis</w:t>
      </w:r>
      <w:r>
        <w:rPr>
          <w:rFonts w:ascii="Book Antiqua" w:eastAsia="Book Antiqua" w:hAnsi="Book Antiqua" w:cs="Book Antiqua"/>
          <w:color w:val="000000"/>
        </w:rPr>
        <w:t>:</w:t>
      </w:r>
      <w:r w:rsidR="00E6577E" w:rsidRPr="004D2D9E">
        <w:rPr>
          <w:rFonts w:ascii="Book Antiqua" w:eastAsia="Book Antiqua" w:hAnsi="Book Antiqua" w:cs="Book Antiqua"/>
          <w:color w:val="000000"/>
        </w:rPr>
        <w:t xml:space="preserve"> Key</w:t>
      </w:r>
      <w:r w:rsidR="00B53D1C">
        <w:rPr>
          <w:rFonts w:ascii="Book Antiqua" w:eastAsia="Book Antiqua" w:hAnsi="Book Antiqua" w:cs="Book Antiqua"/>
          <w:color w:val="000000"/>
        </w:rPr>
        <w:t xml:space="preserve"> </w:t>
      </w:r>
      <w:r w:rsidR="00E6577E" w:rsidRPr="004D2D9E">
        <w:rPr>
          <w:rFonts w:ascii="Book Antiqua" w:eastAsia="Book Antiqua" w:hAnsi="Book Antiqua" w:cs="Book Antiqua"/>
          <w:color w:val="000000"/>
        </w:rPr>
        <w:t>ways to achieve the elimination</w:t>
      </w:r>
      <w:r w:rsidR="00CA77E2" w:rsidRPr="004D2D9E">
        <w:rPr>
          <w:rFonts w:ascii="Book Antiqua" w:eastAsia="Book Antiqua" w:hAnsi="Book Antiqua" w:cs="Book Antiqua"/>
          <w:color w:val="000000"/>
        </w:rPr>
        <w:t xml:space="preserve">. </w:t>
      </w:r>
      <w:r w:rsidR="00CA77E2" w:rsidRPr="004D2D9E">
        <w:rPr>
          <w:rFonts w:ascii="Book Antiqua" w:eastAsia="Book Antiqua" w:hAnsi="Book Antiqua" w:cs="Book Antiqua"/>
          <w:i/>
          <w:iCs/>
          <w:color w:val="000000"/>
        </w:rPr>
        <w:t>World J Gastroenterol</w:t>
      </w:r>
      <w:r w:rsidR="00CA77E2" w:rsidRPr="004D2D9E">
        <w:rPr>
          <w:rFonts w:ascii="Book Antiqua" w:eastAsia="Book Antiqua" w:hAnsi="Book Antiqua" w:cs="Book Antiqua"/>
          <w:color w:val="000000"/>
        </w:rPr>
        <w:t xml:space="preserve"> 2021; In press</w:t>
      </w:r>
    </w:p>
    <w:p w14:paraId="27D6DDF1" w14:textId="77777777" w:rsidR="003C7086" w:rsidRPr="004D2D9E" w:rsidRDefault="003C7086" w:rsidP="004D2D9E">
      <w:pPr>
        <w:spacing w:line="360" w:lineRule="auto"/>
        <w:jc w:val="both"/>
        <w:rPr>
          <w:rFonts w:ascii="Book Antiqua" w:hAnsi="Book Antiqua"/>
        </w:rPr>
      </w:pPr>
    </w:p>
    <w:p w14:paraId="06F42CFC" w14:textId="48D6CDFB"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bCs/>
          <w:color w:val="000000"/>
        </w:rPr>
        <w:t xml:space="preserve">Core Tip: </w:t>
      </w:r>
      <w:r w:rsidRPr="004D2D9E">
        <w:rPr>
          <w:rFonts w:ascii="Book Antiqua" w:eastAsia="Book Antiqua" w:hAnsi="Book Antiqua" w:cs="Book Antiqua"/>
          <w:color w:val="000000"/>
        </w:rPr>
        <w:t xml:space="preserve">The World Health Organization proposes eliminating hepatitis infection as a threat to public health by 2030. Despite notable advances reached to achieve those goals, many challenges persist, such as guarantee access to complete vaccination schemes for </w:t>
      </w:r>
      <w:r w:rsidR="00CF4467" w:rsidRPr="004D2D9E">
        <w:rPr>
          <w:rFonts w:ascii="Book Antiqua" w:eastAsia="Book Antiqua" w:hAnsi="Book Antiqua" w:cs="Book Antiqua"/>
          <w:color w:val="000000"/>
          <w:shd w:val="clear" w:color="auto" w:fill="FFFFFF"/>
        </w:rPr>
        <w:t xml:space="preserve">hepatitis </w:t>
      </w:r>
      <w:r w:rsidR="00391C94">
        <w:rPr>
          <w:rFonts w:ascii="Book Antiqua" w:eastAsia="Book Antiqua" w:hAnsi="Book Antiqua" w:cs="Book Antiqua"/>
          <w:color w:val="000000"/>
          <w:shd w:val="clear" w:color="auto" w:fill="FFFFFF"/>
        </w:rPr>
        <w:t>B</w:t>
      </w:r>
      <w:r w:rsidR="00CF4467" w:rsidRPr="004D2D9E">
        <w:rPr>
          <w:rFonts w:ascii="Book Antiqua" w:eastAsia="Book Antiqua" w:hAnsi="Book Antiqua" w:cs="Book Antiqua"/>
          <w:color w:val="000000"/>
          <w:shd w:val="clear" w:color="auto" w:fill="FFFFFF"/>
        </w:rPr>
        <w:t xml:space="preserve"> virus</w:t>
      </w:r>
      <w:r w:rsidR="004B7A6E">
        <w:rPr>
          <w:rFonts w:ascii="Book Antiqua" w:eastAsia="Book Antiqua" w:hAnsi="Book Antiqua" w:cs="Book Antiqua"/>
          <w:color w:val="000000"/>
        </w:rPr>
        <w:t xml:space="preserve"> and</w:t>
      </w:r>
      <w:r w:rsidRPr="004D2D9E">
        <w:rPr>
          <w:rFonts w:ascii="Book Antiqua" w:eastAsia="Book Antiqua" w:hAnsi="Book Antiqua" w:cs="Book Antiqua"/>
          <w:color w:val="000000"/>
        </w:rPr>
        <w:t xml:space="preserve"> universal screening for all adults at least once in life to screen for </w:t>
      </w:r>
      <w:r w:rsidR="00ED6B43" w:rsidRPr="004D2D9E">
        <w:rPr>
          <w:rFonts w:ascii="Book Antiqua" w:eastAsia="Book Antiqua" w:hAnsi="Book Antiqua" w:cs="Book Antiqua"/>
          <w:color w:val="000000"/>
          <w:shd w:val="clear" w:color="auto" w:fill="FFFFFF"/>
        </w:rPr>
        <w:t>hepatitis C virus</w:t>
      </w:r>
      <w:r w:rsidRPr="004D2D9E">
        <w:rPr>
          <w:rFonts w:ascii="Book Antiqua" w:eastAsia="Book Antiqua" w:hAnsi="Book Antiqua" w:cs="Book Antiqua"/>
          <w:color w:val="000000"/>
        </w:rPr>
        <w:t xml:space="preserve">. Those non-vaccinated against </w:t>
      </w:r>
      <w:r w:rsidR="004B7A6E">
        <w:rPr>
          <w:rFonts w:ascii="Book Antiqua" w:eastAsia="Book Antiqua" w:hAnsi="Book Antiqua" w:cs="Book Antiqua"/>
          <w:color w:val="000000"/>
        </w:rPr>
        <w:t>hepatitis B virus</w:t>
      </w:r>
      <w:r w:rsidRPr="004D2D9E">
        <w:rPr>
          <w:rFonts w:ascii="Book Antiqua" w:eastAsia="Book Antiqua" w:hAnsi="Book Antiqua" w:cs="Book Antiqua"/>
          <w:color w:val="000000"/>
        </w:rPr>
        <w:t xml:space="preserve"> guarantee access to effective therapies programs to all patients who need it, emphasizing risk groups like prison inmates, sex workers, injecting drug users, and men who have sex with men, trying to reduce the high incidence of viral hepatitis in these groups. Telemedicine and telementoring approaches are valuable strategies to facilitate more patients access to </w:t>
      </w:r>
      <w:r w:rsidRPr="004D2D9E">
        <w:rPr>
          <w:rFonts w:ascii="Book Antiqua" w:eastAsia="Book Antiqua" w:hAnsi="Book Antiqua" w:cs="Book Antiqua"/>
          <w:color w:val="000000"/>
        </w:rPr>
        <w:lastRenderedPageBreak/>
        <w:t xml:space="preserve">healthcare systems and should be encouraged. </w:t>
      </w:r>
      <w:r w:rsidR="001B3221">
        <w:rPr>
          <w:rFonts w:ascii="Book Antiqua" w:eastAsia="Book Antiqua" w:hAnsi="Book Antiqua" w:cs="Book Antiqua"/>
          <w:color w:val="000000"/>
          <w:shd w:val="clear" w:color="auto" w:fill="FFFFFF"/>
        </w:rPr>
        <w:t>C</w:t>
      </w:r>
      <w:r w:rsidR="001B3221" w:rsidRPr="00D7033F">
        <w:rPr>
          <w:rFonts w:ascii="Book Antiqua" w:eastAsia="Book Antiqua" w:hAnsi="Book Antiqua" w:cs="Book Antiqua"/>
          <w:color w:val="000000"/>
          <w:shd w:val="clear" w:color="auto" w:fill="FFFFFF"/>
        </w:rPr>
        <w:t>oronavirus disease 2019</w:t>
      </w:r>
      <w:r w:rsidRPr="004D2D9E">
        <w:rPr>
          <w:rFonts w:ascii="Book Antiqua" w:eastAsia="Book Antiqua" w:hAnsi="Book Antiqua" w:cs="Book Antiqua"/>
          <w:color w:val="000000"/>
        </w:rPr>
        <w:t xml:space="preserve"> pandemic affects all strategies significantly to eliminate viral hepatitis, particularly in </w:t>
      </w:r>
      <w:r w:rsidR="00F76E30" w:rsidRPr="004D2D9E">
        <w:rPr>
          <w:rFonts w:ascii="Book Antiqua" w:eastAsia="Book Antiqua" w:hAnsi="Book Antiqua" w:cs="Book Antiqua"/>
          <w:color w:val="000000"/>
        </w:rPr>
        <w:t>low-income and middle-income countries</w:t>
      </w:r>
      <w:r w:rsidRPr="004D2D9E">
        <w:rPr>
          <w:rFonts w:ascii="Book Antiqua" w:eastAsia="Book Antiqua" w:hAnsi="Book Antiqua" w:cs="Book Antiqua"/>
          <w:color w:val="000000"/>
        </w:rPr>
        <w:t>. With available effective vaccines for anti-</w:t>
      </w:r>
      <w:r w:rsidR="00B31DD5" w:rsidRPr="004D2D9E">
        <w:rPr>
          <w:rFonts w:ascii="Book Antiqua" w:eastAsia="Book Antiqua" w:hAnsi="Book Antiqua" w:cs="Book Antiqua"/>
          <w:color w:val="000000"/>
        </w:rPr>
        <w:t>severe acute respiratory syndrome-coronavirus-2</w:t>
      </w:r>
      <w:r w:rsidRPr="004D2D9E">
        <w:rPr>
          <w:rFonts w:ascii="Book Antiqua" w:eastAsia="Book Antiqua" w:hAnsi="Book Antiqua" w:cs="Book Antiqua"/>
          <w:color w:val="000000"/>
        </w:rPr>
        <w:t>, strategies to immunize most people are crucial to restarting the viral hepatitis elimination programs throughout the world as soon as possible.</w:t>
      </w:r>
    </w:p>
    <w:p w14:paraId="488B652F" w14:textId="77777777" w:rsidR="007A21E4" w:rsidRDefault="007A21E4">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06E7EB6" w14:textId="584ACC45"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aps/>
          <w:color w:val="000000"/>
          <w:u w:val="single"/>
        </w:rPr>
        <w:lastRenderedPageBreak/>
        <w:t>INTRODUCTION</w:t>
      </w:r>
    </w:p>
    <w:p w14:paraId="09FFEAAE" w14:textId="429E341A"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shd w:val="clear" w:color="auto" w:fill="FFFFFF"/>
        </w:rPr>
        <w:t>More than 320 million people worldwide have chronic viral hepatitis. Around 248 million people are living with hepatitis B virus (HBV) chronic infection, which represents 3.2% of the global population</w:t>
      </w:r>
      <w:r w:rsidR="001B699F" w:rsidRPr="004D2D9E">
        <w:rPr>
          <w:rFonts w:ascii="Book Antiqua" w:eastAsia="Book Antiqua" w:hAnsi="Book Antiqua" w:cs="Book Antiqua"/>
          <w:color w:val="000000"/>
          <w:shd w:val="clear" w:color="auto" w:fill="FFFFFF"/>
          <w:vertAlign w:val="superscript"/>
        </w:rPr>
        <w:t>[1</w:t>
      </w:r>
      <w:r w:rsidR="001B699F">
        <w:rPr>
          <w:rFonts w:ascii="Book Antiqua" w:eastAsia="Book Antiqua" w:hAnsi="Book Antiqua" w:cs="Book Antiqua"/>
          <w:color w:val="000000"/>
          <w:shd w:val="clear" w:color="auto" w:fill="FFFFFF"/>
          <w:vertAlign w:val="superscript"/>
        </w:rPr>
        <w:t>-</w:t>
      </w:r>
      <w:r w:rsidR="001B699F" w:rsidRPr="004D2D9E">
        <w:rPr>
          <w:rFonts w:ascii="Book Antiqua" w:eastAsia="Book Antiqua" w:hAnsi="Book Antiqua" w:cs="Book Antiqua"/>
          <w:color w:val="000000"/>
          <w:shd w:val="clear" w:color="auto" w:fill="FFFFFF"/>
          <w:vertAlign w:val="superscript"/>
        </w:rPr>
        <w:t>3]</w:t>
      </w:r>
      <w:r w:rsidRPr="004D2D9E">
        <w:rPr>
          <w:rFonts w:ascii="Book Antiqua" w:eastAsia="Book Antiqua" w:hAnsi="Book Antiqua" w:cs="Book Antiqua"/>
          <w:color w:val="000000"/>
          <w:shd w:val="clear" w:color="auto" w:fill="FFFFFF"/>
        </w:rPr>
        <w:t xml:space="preserve">; and an estimated 71 to 80 million </w:t>
      </w:r>
      <w:r w:rsidR="00BF3522" w:rsidRPr="004D2D9E">
        <w:rPr>
          <w:rFonts w:ascii="Book Antiqua" w:eastAsia="Book Antiqua" w:hAnsi="Book Antiqua" w:cs="Book Antiqua"/>
          <w:color w:val="000000"/>
          <w:shd w:val="clear" w:color="auto" w:fill="FFFFFF"/>
        </w:rPr>
        <w:t>individuals</w:t>
      </w:r>
      <w:r w:rsidRPr="004D2D9E">
        <w:rPr>
          <w:rFonts w:ascii="Book Antiqua" w:eastAsia="Book Antiqua" w:hAnsi="Book Antiqua" w:cs="Book Antiqua"/>
          <w:color w:val="000000"/>
          <w:shd w:val="clear" w:color="auto" w:fill="FFFFFF"/>
        </w:rPr>
        <w:t xml:space="preserve"> (1.1%) are living with hepatitis C virus (HCV) chronic infection</w:t>
      </w:r>
      <w:r w:rsidR="001B699F" w:rsidRPr="004D2D9E">
        <w:rPr>
          <w:rFonts w:ascii="Book Antiqua" w:eastAsia="Book Antiqua" w:hAnsi="Book Antiqua" w:cs="Book Antiqua"/>
          <w:color w:val="000000"/>
          <w:shd w:val="clear" w:color="auto" w:fill="FFFFFF"/>
          <w:vertAlign w:val="superscript"/>
        </w:rPr>
        <w:t>[3</w:t>
      </w:r>
      <w:r w:rsidR="001B699F">
        <w:rPr>
          <w:rFonts w:ascii="Book Antiqua" w:eastAsia="Book Antiqua" w:hAnsi="Book Antiqua" w:cs="Book Antiqua"/>
          <w:color w:val="000000"/>
          <w:shd w:val="clear" w:color="auto" w:fill="FFFFFF"/>
          <w:vertAlign w:val="superscript"/>
        </w:rPr>
        <w:t>,</w:t>
      </w:r>
      <w:r w:rsidR="001B699F" w:rsidRPr="004D2D9E">
        <w:rPr>
          <w:rFonts w:ascii="Book Antiqua" w:eastAsia="Book Antiqua" w:hAnsi="Book Antiqua" w:cs="Book Antiqua"/>
          <w:color w:val="000000"/>
          <w:shd w:val="clear" w:color="auto" w:fill="FFFFFF"/>
          <w:vertAlign w:val="superscript"/>
        </w:rPr>
        <w:t>4]</w:t>
      </w:r>
      <w:r w:rsidRPr="004D2D9E">
        <w:rPr>
          <w:rFonts w:ascii="Book Antiqua" w:eastAsia="Book Antiqua" w:hAnsi="Book Antiqua" w:cs="Book Antiqua"/>
          <w:color w:val="000000"/>
          <w:shd w:val="clear" w:color="auto" w:fill="FFFFFF"/>
        </w:rPr>
        <w:t>.</w:t>
      </w:r>
    </w:p>
    <w:p w14:paraId="39DAD187" w14:textId="73A90261" w:rsidR="003C7086" w:rsidRPr="004D2D9E" w:rsidRDefault="00CA77E2" w:rsidP="001B699F">
      <w:pPr>
        <w:spacing w:line="360" w:lineRule="auto"/>
        <w:ind w:firstLineChars="200" w:firstLine="480"/>
        <w:jc w:val="both"/>
        <w:rPr>
          <w:rFonts w:ascii="Book Antiqua" w:hAnsi="Book Antiqua"/>
        </w:rPr>
      </w:pPr>
      <w:r w:rsidRPr="004D2D9E">
        <w:rPr>
          <w:rFonts w:ascii="Book Antiqua" w:eastAsia="Book Antiqua" w:hAnsi="Book Antiqua" w:cs="Book Antiqua"/>
          <w:color w:val="000000"/>
          <w:shd w:val="clear" w:color="auto" w:fill="FFFFFF"/>
        </w:rPr>
        <w:t xml:space="preserve">Chronic viral hepatitis and its related complications, cirrhosis and hepatocellular carcinoma (HCC), </w:t>
      </w:r>
      <w:r w:rsidRPr="004D2D9E">
        <w:rPr>
          <w:rFonts w:ascii="Book Antiqua" w:eastAsia="Book Antiqua" w:hAnsi="Book Antiqua" w:cs="Book Antiqua"/>
          <w:color w:val="000000"/>
        </w:rPr>
        <w:t>have been regarded as the leading causes of death for decades</w:t>
      </w:r>
      <w:r w:rsidR="001B699F" w:rsidRPr="004D2D9E">
        <w:rPr>
          <w:rFonts w:ascii="Book Antiqua" w:eastAsia="Book Antiqua" w:hAnsi="Book Antiqua" w:cs="Book Antiqua"/>
          <w:color w:val="000000"/>
          <w:vertAlign w:val="superscript"/>
        </w:rPr>
        <w:t>[1]</w:t>
      </w:r>
      <w:r w:rsidRPr="004D2D9E">
        <w:rPr>
          <w:rFonts w:ascii="Book Antiqua" w:eastAsia="Book Antiqua" w:hAnsi="Book Antiqua" w:cs="Book Antiqua"/>
          <w:color w:val="000000"/>
        </w:rPr>
        <w:t xml:space="preserve">, </w:t>
      </w:r>
      <w:r w:rsidRPr="004D2D9E">
        <w:rPr>
          <w:rFonts w:ascii="Book Antiqua" w:eastAsia="Book Antiqua" w:hAnsi="Book Antiqua" w:cs="Book Antiqua"/>
          <w:color w:val="000000"/>
          <w:shd w:val="clear" w:color="auto" w:fill="FFFFFF"/>
        </w:rPr>
        <w:t>causing globally more than 1 million deaths each year</w:t>
      </w:r>
      <w:r w:rsidR="001B699F" w:rsidRPr="004D2D9E">
        <w:rPr>
          <w:rFonts w:ascii="Book Antiqua" w:eastAsia="Book Antiqua" w:hAnsi="Book Antiqua" w:cs="Book Antiqua"/>
          <w:color w:val="000000"/>
          <w:shd w:val="clear" w:color="auto" w:fill="FFFFFF"/>
          <w:vertAlign w:val="superscript"/>
        </w:rPr>
        <w:t>[5]</w:t>
      </w:r>
      <w:r w:rsidRPr="004D2D9E">
        <w:rPr>
          <w:rFonts w:ascii="Book Antiqua" w:eastAsia="Book Antiqua" w:hAnsi="Book Antiqua" w:cs="Book Antiqua"/>
          <w:color w:val="000000"/>
          <w:shd w:val="clear" w:color="auto" w:fill="FFFFFF"/>
        </w:rPr>
        <w:t>. In fact, by 2040, deaths from chronic viral hepatitis are expected to exceed the related mortality as a whole from human immunodeficiency virus infection (HIV), tuberculosis, and malaria</w:t>
      </w:r>
      <w:r w:rsidR="001B699F" w:rsidRPr="004D2D9E">
        <w:rPr>
          <w:rFonts w:ascii="Book Antiqua" w:eastAsia="Book Antiqua" w:hAnsi="Book Antiqua" w:cs="Book Antiqua"/>
          <w:color w:val="000000"/>
          <w:shd w:val="clear" w:color="auto" w:fill="FFFFFF"/>
          <w:vertAlign w:val="superscript"/>
        </w:rPr>
        <w:t>[5</w:t>
      </w:r>
      <w:r w:rsidR="001B699F">
        <w:rPr>
          <w:rFonts w:ascii="Book Antiqua" w:eastAsia="Book Antiqua" w:hAnsi="Book Antiqua" w:cs="Book Antiqua"/>
          <w:color w:val="000000"/>
          <w:shd w:val="clear" w:color="auto" w:fill="FFFFFF"/>
          <w:vertAlign w:val="superscript"/>
        </w:rPr>
        <w:t>,</w:t>
      </w:r>
      <w:r w:rsidR="001B699F" w:rsidRPr="004D2D9E">
        <w:rPr>
          <w:rFonts w:ascii="Book Antiqua" w:eastAsia="Book Antiqua" w:hAnsi="Book Antiqua" w:cs="Book Antiqua"/>
          <w:color w:val="000000"/>
          <w:shd w:val="clear" w:color="auto" w:fill="FFFFFF"/>
          <w:vertAlign w:val="superscript"/>
        </w:rPr>
        <w:t>6]</w:t>
      </w:r>
      <w:r w:rsidRPr="004D2D9E">
        <w:rPr>
          <w:rFonts w:ascii="Book Antiqua" w:eastAsia="Book Antiqua" w:hAnsi="Book Antiqua" w:cs="Book Antiqua"/>
          <w:color w:val="000000"/>
          <w:shd w:val="clear" w:color="auto" w:fill="FFFFFF"/>
        </w:rPr>
        <w:t xml:space="preserve">. </w:t>
      </w:r>
      <w:r w:rsidRPr="004D2D9E">
        <w:rPr>
          <w:rFonts w:ascii="Book Antiqua" w:eastAsia="Book Antiqua" w:hAnsi="Book Antiqua" w:cs="Book Antiqua"/>
          <w:color w:val="000000"/>
        </w:rPr>
        <w:t>Liver disease due to viral hepatitis represents a substantial burden in the Asia-Pacific region. This region lives 1.8 billion people, which means a</w:t>
      </w:r>
      <w:r w:rsidR="00BF3522" w:rsidRPr="004D2D9E">
        <w:rPr>
          <w:rFonts w:ascii="Book Antiqua" w:eastAsia="Book Antiqua" w:hAnsi="Book Antiqua" w:cs="Book Antiqua"/>
          <w:color w:val="000000"/>
        </w:rPr>
        <w:t>round</w:t>
      </w:r>
      <w:r w:rsidRPr="004D2D9E">
        <w:rPr>
          <w:rFonts w:ascii="Book Antiqua" w:eastAsia="Book Antiqua" w:hAnsi="Book Antiqua" w:cs="Book Antiqua"/>
          <w:color w:val="000000"/>
        </w:rPr>
        <w:t xml:space="preserve"> </w:t>
      </w:r>
      <w:r w:rsidR="00BF3522" w:rsidRPr="004D2D9E">
        <w:rPr>
          <w:rFonts w:ascii="Book Antiqua" w:eastAsia="Book Antiqua" w:hAnsi="Book Antiqua" w:cs="Book Antiqua"/>
          <w:color w:val="000000"/>
        </w:rPr>
        <w:t>25%</w:t>
      </w:r>
      <w:r w:rsidRPr="004D2D9E">
        <w:rPr>
          <w:rFonts w:ascii="Book Antiqua" w:eastAsia="Book Antiqua" w:hAnsi="Book Antiqua" w:cs="Book Antiqua"/>
          <w:color w:val="000000"/>
        </w:rPr>
        <w:t xml:space="preserve"> of the world's population; a third of global deaths occur due to viral hepatitis, mainly driven by cirrhosis and HCC. Asia-Pacific represents 40% of the global burden of chronic hepatitis, where 115 million people in the Western Pacific are chronically infected with HBV and 14 million with HCV. Al least 58.6% of deaths due to cirrhosis and </w:t>
      </w:r>
      <w:r w:rsidR="00BF3522" w:rsidRPr="004D2D9E">
        <w:rPr>
          <w:rFonts w:ascii="Book Antiqua" w:eastAsia="Book Antiqua" w:hAnsi="Book Antiqua" w:cs="Book Antiqua"/>
          <w:color w:val="000000"/>
        </w:rPr>
        <w:t>HCC</w:t>
      </w:r>
      <w:r w:rsidRPr="004D2D9E">
        <w:rPr>
          <w:rFonts w:ascii="Book Antiqua" w:eastAsia="Book Antiqua" w:hAnsi="Book Antiqua" w:cs="Book Antiqua"/>
          <w:color w:val="000000"/>
        </w:rPr>
        <w:t xml:space="preserve"> in the Asia-Pacific region are related to </w:t>
      </w:r>
      <w:r w:rsidR="00162362" w:rsidRPr="004D2D9E">
        <w:rPr>
          <w:rFonts w:ascii="Book Antiqua" w:eastAsia="Book Antiqua" w:hAnsi="Book Antiqua" w:cs="Book Antiqua"/>
          <w:color w:val="000000"/>
        </w:rPr>
        <w:t>HBV or HCV</w:t>
      </w:r>
      <w:r w:rsidR="001B699F" w:rsidRPr="004D2D9E">
        <w:rPr>
          <w:rFonts w:ascii="Book Antiqua" w:eastAsia="Book Antiqua" w:hAnsi="Book Antiqua" w:cs="Book Antiqua"/>
          <w:color w:val="000000"/>
          <w:vertAlign w:val="superscript"/>
        </w:rPr>
        <w:t>[7]</w:t>
      </w:r>
      <w:r w:rsidRPr="004D2D9E">
        <w:rPr>
          <w:rFonts w:ascii="Book Antiqua" w:eastAsia="Book Antiqua" w:hAnsi="Book Antiqua" w:cs="Book Antiqua"/>
          <w:color w:val="000000"/>
        </w:rPr>
        <w:t xml:space="preserve">. In 2013, </w:t>
      </w:r>
      <w:r w:rsidRPr="004D2D9E">
        <w:rPr>
          <w:rFonts w:ascii="Book Antiqua" w:eastAsia="Book Antiqua" w:hAnsi="Book Antiqua" w:cs="Book Antiqua"/>
          <w:color w:val="000000"/>
          <w:lang w:bidi="en-US"/>
        </w:rPr>
        <w:t>China was the country that reported the most significant absolute number of deaths and disability-adjusted life-years attributable to viral hepatitis</w:t>
      </w:r>
      <w:r w:rsidR="001B699F" w:rsidRPr="004D2D9E">
        <w:rPr>
          <w:rFonts w:ascii="Book Antiqua" w:eastAsia="Book Antiqua" w:hAnsi="Book Antiqua" w:cs="Book Antiqua"/>
          <w:color w:val="000000"/>
          <w:vertAlign w:val="superscript"/>
        </w:rPr>
        <w:t>[1]</w:t>
      </w:r>
      <w:r w:rsidRPr="004D2D9E">
        <w:rPr>
          <w:rFonts w:ascii="Book Antiqua" w:eastAsia="Book Antiqua" w:hAnsi="Book Antiqua" w:cs="Book Antiqua"/>
          <w:color w:val="000000"/>
        </w:rPr>
        <w:t xml:space="preserve">. </w:t>
      </w:r>
    </w:p>
    <w:p w14:paraId="488ADE29" w14:textId="35CD282B" w:rsidR="003C7086" w:rsidRPr="004D2D9E" w:rsidRDefault="00CA77E2" w:rsidP="001B699F">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The North of Africa and the Middle East are also geographic regions extensively affected by viral hepatitis. They have a wide range of viral hepatitis causes, viremic prevalence, and diversity in HBV and HCV genotype distributions. Vaccination and treatment policies, socioeconomic conditions, and migration are responsible factors for the high prevalence of viral hepatitis in these particular regions. Here, elimination strategies might be challenging to implement because of a scarcity of reliable and profitable quality epidemiological data on hepatitis</w:t>
      </w:r>
      <w:r w:rsidR="001B699F" w:rsidRPr="004D2D9E">
        <w:rPr>
          <w:rFonts w:ascii="Book Antiqua" w:eastAsia="Book Antiqua" w:hAnsi="Book Antiqua" w:cs="Book Antiqua"/>
          <w:color w:val="000000"/>
          <w:vertAlign w:val="superscript"/>
        </w:rPr>
        <w:t>[8]</w:t>
      </w:r>
      <w:r w:rsidR="00D4261C" w:rsidRPr="004D2D9E">
        <w:rPr>
          <w:rFonts w:ascii="Book Antiqua" w:eastAsia="Book Antiqua" w:hAnsi="Book Antiqua" w:cs="Book Antiqua"/>
          <w:color w:val="000000"/>
        </w:rPr>
        <w:t>.</w:t>
      </w:r>
    </w:p>
    <w:p w14:paraId="12799EF8" w14:textId="77777777" w:rsidR="003C7086" w:rsidRPr="004D2D9E" w:rsidRDefault="003C7086" w:rsidP="004D2D9E">
      <w:pPr>
        <w:spacing w:line="360" w:lineRule="auto"/>
        <w:jc w:val="both"/>
        <w:rPr>
          <w:rFonts w:ascii="Book Antiqua" w:hAnsi="Book Antiqua"/>
        </w:rPr>
      </w:pPr>
    </w:p>
    <w:p w14:paraId="5ED43BED" w14:textId="2B053AA1" w:rsidR="003C7086" w:rsidRPr="001B699F" w:rsidRDefault="001B699F" w:rsidP="004D2D9E">
      <w:pPr>
        <w:spacing w:line="360" w:lineRule="auto"/>
        <w:jc w:val="both"/>
        <w:rPr>
          <w:rFonts w:ascii="Book Antiqua" w:eastAsia="Book Antiqua" w:hAnsi="Book Antiqua" w:cs="Book Antiqua"/>
          <w:b/>
          <w:caps/>
          <w:color w:val="000000"/>
          <w:u w:val="single"/>
        </w:rPr>
      </w:pPr>
      <w:r w:rsidRPr="001B699F">
        <w:rPr>
          <w:rFonts w:ascii="Book Antiqua" w:eastAsia="Book Antiqua" w:hAnsi="Book Antiqua" w:cs="Book Antiqua"/>
          <w:b/>
          <w:caps/>
          <w:color w:val="000000"/>
          <w:u w:val="single"/>
        </w:rPr>
        <w:t>Search m</w:t>
      </w:r>
      <w:r w:rsidR="00CA77E2" w:rsidRPr="001B699F">
        <w:rPr>
          <w:rFonts w:ascii="Book Antiqua" w:eastAsia="Book Antiqua" w:hAnsi="Book Antiqua" w:cs="Book Antiqua"/>
          <w:b/>
          <w:caps/>
          <w:color w:val="000000"/>
          <w:u w:val="single"/>
        </w:rPr>
        <w:t xml:space="preserve">ethods </w:t>
      </w:r>
    </w:p>
    <w:p w14:paraId="0F0BD6E8" w14:textId="58FC3D44"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rPr>
        <w:t xml:space="preserve">It is a narrative review. We searched PubMed, EMBASE, MEDLINE, and Web of Science from January 2015 to January 2021 to identify all studies documenting achievements and </w:t>
      </w:r>
      <w:r w:rsidRPr="004D2D9E">
        <w:rPr>
          <w:rFonts w:ascii="Book Antiqua" w:eastAsia="Book Antiqua" w:hAnsi="Book Antiqua" w:cs="Book Antiqua"/>
          <w:color w:val="000000"/>
        </w:rPr>
        <w:lastRenderedPageBreak/>
        <w:t xml:space="preserve">challenges on vaccination, diagnosis, access to healthcare systems, therapy, </w:t>
      </w:r>
      <w:r w:rsidR="004C378C">
        <w:rPr>
          <w:rFonts w:ascii="Book Antiqua" w:eastAsia="Book Antiqua" w:hAnsi="Book Antiqua" w:cs="Book Antiqua"/>
          <w:color w:val="000000"/>
        </w:rPr>
        <w:t xml:space="preserve">and </w:t>
      </w:r>
      <w:r w:rsidRPr="004D2D9E">
        <w:rPr>
          <w:rFonts w:ascii="Book Antiqua" w:eastAsia="Book Antiqua" w:hAnsi="Book Antiqua" w:cs="Book Antiqua"/>
          <w:color w:val="000000"/>
        </w:rPr>
        <w:t>elimination programs on hepatitis B and hepatitis C viral infections. The following search terms alone or matched with the Boolean operators "AND" or "OR" were used: "</w:t>
      </w:r>
      <w:r w:rsidR="004F7337">
        <w:rPr>
          <w:rFonts w:ascii="Book Antiqua" w:eastAsia="Book Antiqua" w:hAnsi="Book Antiqua" w:cs="Book Antiqua"/>
          <w:color w:val="000000"/>
        </w:rPr>
        <w:t>H</w:t>
      </w:r>
      <w:r w:rsidRPr="004D2D9E">
        <w:rPr>
          <w:rFonts w:ascii="Book Antiqua" w:eastAsia="Book Antiqua" w:hAnsi="Book Antiqua" w:cs="Book Antiqua"/>
          <w:color w:val="000000"/>
        </w:rPr>
        <w:t>epatitis C," "hepatitis B," "</w:t>
      </w:r>
      <w:r w:rsidR="004F7337" w:rsidRPr="004F7337">
        <w:rPr>
          <w:rFonts w:ascii="Book Antiqua" w:eastAsia="Book Antiqua" w:hAnsi="Book Antiqua" w:cs="Book Antiqua"/>
          <w:color w:val="000000"/>
          <w:shd w:val="clear" w:color="auto" w:fill="FFFFFF"/>
        </w:rPr>
        <w:t>World Health Organization (WHO)</w:t>
      </w:r>
      <w:r w:rsidRPr="004D2D9E">
        <w:rPr>
          <w:rFonts w:ascii="Book Antiqua" w:eastAsia="Book Antiqua" w:hAnsi="Book Antiqua" w:cs="Book Antiqua"/>
          <w:color w:val="000000"/>
        </w:rPr>
        <w:t>'s goals," "vaccination," "detection," "access to diagnosis," "access to healthcare system," "direct antiviral agents," "</w:t>
      </w:r>
      <w:r w:rsidR="00054D51">
        <w:rPr>
          <w:rFonts w:ascii="Book Antiqua" w:eastAsia="Book Antiqua" w:hAnsi="Book Antiqua" w:cs="Book Antiqua"/>
          <w:color w:val="000000"/>
        </w:rPr>
        <w:t>s</w:t>
      </w:r>
      <w:r w:rsidR="00054D51" w:rsidRPr="004D2D9E">
        <w:rPr>
          <w:rFonts w:ascii="Book Antiqua" w:eastAsia="Book Antiqua" w:hAnsi="Book Antiqua" w:cs="Book Antiqua"/>
          <w:color w:val="000000"/>
        </w:rPr>
        <w:t>ofosbuvir-velpatasvir (SOF-VEL)</w:t>
      </w:r>
      <w:r w:rsidRPr="004D2D9E">
        <w:rPr>
          <w:rFonts w:ascii="Book Antiqua" w:eastAsia="Book Antiqua" w:hAnsi="Book Antiqua" w:cs="Book Antiqua"/>
          <w:color w:val="000000"/>
        </w:rPr>
        <w:t>," "</w:t>
      </w:r>
      <w:r w:rsidR="00E07246">
        <w:rPr>
          <w:rFonts w:ascii="Book Antiqua" w:eastAsia="Book Antiqua" w:hAnsi="Book Antiqua" w:cs="Book Antiqua"/>
          <w:color w:val="000000"/>
        </w:rPr>
        <w:t>g</w:t>
      </w:r>
      <w:r w:rsidR="00E07246" w:rsidRPr="004D2D9E">
        <w:rPr>
          <w:rFonts w:ascii="Book Antiqua" w:eastAsia="Book Antiqua" w:hAnsi="Book Antiqua" w:cs="Book Antiqua"/>
          <w:color w:val="000000"/>
        </w:rPr>
        <w:t>lecaprevir-pibrentasvir (G-P)</w:t>
      </w:r>
      <w:r w:rsidRPr="004D2D9E">
        <w:rPr>
          <w:rFonts w:ascii="Book Antiqua" w:eastAsia="Book Antiqua" w:hAnsi="Book Antiqua" w:cs="Book Antiqua"/>
          <w:color w:val="000000"/>
        </w:rPr>
        <w:t>," "</w:t>
      </w:r>
      <w:r w:rsidR="00903A32" w:rsidRPr="004D2D9E">
        <w:rPr>
          <w:rFonts w:ascii="Book Antiqua" w:eastAsia="Book Antiqua" w:hAnsi="Book Antiqua" w:cs="Book Antiqua"/>
          <w:color w:val="000000"/>
        </w:rPr>
        <w:t xml:space="preserve">entecavir </w:t>
      </w:r>
      <w:r w:rsidR="00903A32">
        <w:rPr>
          <w:rFonts w:ascii="Book Antiqua" w:eastAsia="Book Antiqua" w:hAnsi="Book Antiqua" w:cs="Book Antiqua"/>
          <w:color w:val="000000"/>
        </w:rPr>
        <w:t>(</w:t>
      </w:r>
      <w:r w:rsidR="00903A32" w:rsidRPr="004D2D9E">
        <w:rPr>
          <w:rFonts w:ascii="Book Antiqua" w:eastAsia="Book Antiqua" w:hAnsi="Book Antiqua" w:cs="Book Antiqua"/>
          <w:color w:val="000000"/>
        </w:rPr>
        <w:t>ETV)</w:t>
      </w:r>
      <w:r w:rsidRPr="004D2D9E">
        <w:rPr>
          <w:rFonts w:ascii="Book Antiqua" w:eastAsia="Book Antiqua" w:hAnsi="Book Antiqua" w:cs="Book Antiqua"/>
          <w:color w:val="000000"/>
        </w:rPr>
        <w:t>," "</w:t>
      </w:r>
      <w:r w:rsidR="00215511" w:rsidRPr="004D2D9E">
        <w:rPr>
          <w:rFonts w:ascii="Book Antiqua" w:eastAsia="Book Antiqua" w:hAnsi="Book Antiqua" w:cs="Book Antiqua"/>
          <w:color w:val="000000"/>
        </w:rPr>
        <w:t xml:space="preserve">tenofovir disoproxil fumarate </w:t>
      </w:r>
      <w:r w:rsidR="00215511">
        <w:rPr>
          <w:rFonts w:ascii="Book Antiqua" w:eastAsia="Book Antiqua" w:hAnsi="Book Antiqua" w:cs="Book Antiqua"/>
          <w:color w:val="000000"/>
        </w:rPr>
        <w:t>(</w:t>
      </w:r>
      <w:r w:rsidR="00215511" w:rsidRPr="004D2D9E">
        <w:rPr>
          <w:rFonts w:ascii="Book Antiqua" w:eastAsia="Book Antiqua" w:hAnsi="Book Antiqua" w:cs="Book Antiqua"/>
          <w:color w:val="000000"/>
        </w:rPr>
        <w:t>TDF</w:t>
      </w:r>
      <w:r w:rsidR="00215511">
        <w:rPr>
          <w:rFonts w:ascii="Book Antiqua" w:eastAsia="Book Antiqua" w:hAnsi="Book Antiqua" w:cs="Book Antiqua"/>
          <w:color w:val="000000"/>
        </w:rPr>
        <w:t>)</w:t>
      </w:r>
      <w:r w:rsidRPr="004D2D9E">
        <w:rPr>
          <w:rFonts w:ascii="Book Antiqua" w:eastAsia="Book Antiqua" w:hAnsi="Book Antiqua" w:cs="Book Antiqua"/>
          <w:color w:val="000000"/>
        </w:rPr>
        <w:t>," "</w:t>
      </w:r>
      <w:r w:rsidR="00215511" w:rsidRPr="004D2D9E">
        <w:rPr>
          <w:rFonts w:ascii="Book Antiqua" w:eastAsia="Book Antiqua" w:hAnsi="Book Antiqua" w:cs="Book Antiqua"/>
          <w:color w:val="000000"/>
        </w:rPr>
        <w:t xml:space="preserve">tenofovir alafenamide </w:t>
      </w:r>
      <w:r w:rsidR="00215511">
        <w:rPr>
          <w:rFonts w:ascii="Book Antiqua" w:eastAsia="Book Antiqua" w:hAnsi="Book Antiqua" w:cs="Book Antiqua"/>
          <w:color w:val="000000"/>
        </w:rPr>
        <w:t>(</w:t>
      </w:r>
      <w:r w:rsidR="00215511" w:rsidRPr="004D2D9E">
        <w:rPr>
          <w:rFonts w:ascii="Book Antiqua" w:eastAsia="Book Antiqua" w:hAnsi="Book Antiqua" w:cs="Book Antiqua"/>
          <w:color w:val="000000"/>
        </w:rPr>
        <w:t>TAF</w:t>
      </w:r>
      <w:r w:rsidR="00215511">
        <w:rPr>
          <w:rFonts w:ascii="Book Antiqua" w:eastAsia="Book Antiqua" w:hAnsi="Book Antiqua" w:cs="Book Antiqua"/>
          <w:color w:val="000000"/>
        </w:rPr>
        <w:t>)</w:t>
      </w:r>
      <w:r w:rsidRPr="004D2D9E">
        <w:rPr>
          <w:rFonts w:ascii="Book Antiqua" w:eastAsia="Book Antiqua" w:hAnsi="Book Antiqua" w:cs="Book Antiqua"/>
          <w:color w:val="000000"/>
        </w:rPr>
        <w:t>," "elimination program," "telemedicine," "</w:t>
      </w:r>
      <w:r w:rsidR="004F7337" w:rsidRPr="004F7337">
        <w:rPr>
          <w:rFonts w:ascii="Book Antiqua" w:eastAsia="Book Antiqua" w:hAnsi="Book Antiqua" w:cs="Book Antiqua"/>
          <w:color w:val="000000"/>
          <w:shd w:val="clear" w:color="auto" w:fill="FFFFFF"/>
        </w:rPr>
        <w:t>coronavirus disease 2019 (COVID-19)</w:t>
      </w:r>
      <w:r w:rsidRPr="004D2D9E">
        <w:rPr>
          <w:rFonts w:ascii="Book Antiqua" w:eastAsia="Book Antiqua" w:hAnsi="Book Antiqua" w:cs="Book Antiqua"/>
          <w:color w:val="000000"/>
        </w:rPr>
        <w:t xml:space="preserve">". Using these terms, we found a total of 13497 articles; no study design or language restrictions were applied. We focused on full-text articles, but abstracts were considered if relevant. Finally, we selected the those with the most relevant content. </w:t>
      </w:r>
    </w:p>
    <w:p w14:paraId="544033A8" w14:textId="77777777" w:rsidR="003C7086" w:rsidRPr="004D2D9E" w:rsidRDefault="003C7086" w:rsidP="004D2D9E">
      <w:pPr>
        <w:spacing w:line="360" w:lineRule="auto"/>
        <w:jc w:val="both"/>
        <w:rPr>
          <w:rFonts w:ascii="Book Antiqua" w:hAnsi="Book Antiqua"/>
        </w:rPr>
      </w:pPr>
    </w:p>
    <w:p w14:paraId="3E0AA8C5" w14:textId="3F34A10E" w:rsidR="003C7086" w:rsidRPr="00357667" w:rsidRDefault="00CA77E2" w:rsidP="004D2D9E">
      <w:pPr>
        <w:spacing w:line="360" w:lineRule="auto"/>
        <w:jc w:val="both"/>
        <w:rPr>
          <w:rFonts w:ascii="Book Antiqua" w:eastAsia="Book Antiqua" w:hAnsi="Book Antiqua" w:cs="Book Antiqua"/>
          <w:b/>
          <w:caps/>
          <w:color w:val="000000"/>
          <w:u w:val="single"/>
        </w:rPr>
      </w:pPr>
      <w:r w:rsidRPr="00357667">
        <w:rPr>
          <w:rFonts w:ascii="Book Antiqua" w:eastAsia="Book Antiqua" w:hAnsi="Book Antiqua" w:cs="Book Antiqua"/>
          <w:b/>
          <w:caps/>
          <w:color w:val="000000"/>
          <w:u w:val="single"/>
        </w:rPr>
        <w:t xml:space="preserve">WHO </w:t>
      </w:r>
      <w:r w:rsidR="004F7337" w:rsidRPr="00357667">
        <w:rPr>
          <w:rFonts w:ascii="Book Antiqua" w:eastAsia="Book Antiqua" w:hAnsi="Book Antiqua" w:cs="Book Antiqua"/>
          <w:b/>
          <w:caps/>
          <w:color w:val="000000"/>
          <w:u w:val="single"/>
        </w:rPr>
        <w:t>g</w:t>
      </w:r>
      <w:r w:rsidRPr="00357667">
        <w:rPr>
          <w:rFonts w:ascii="Book Antiqua" w:eastAsia="Book Antiqua" w:hAnsi="Book Antiqua" w:cs="Book Antiqua"/>
          <w:b/>
          <w:caps/>
          <w:color w:val="000000"/>
          <w:u w:val="single"/>
        </w:rPr>
        <w:t xml:space="preserve">oals for 2030 </w:t>
      </w:r>
    </w:p>
    <w:p w14:paraId="4E09B1C0" w14:textId="1D76325E"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rPr>
        <w:t>WHO goals are to achieve a 65% reduction in liver-related deaths, which means preventing more than 7 million related deaths by 2030, achieving a 90% reduction in viral hepatitis incidence, and reaching 90% of patients living with viral hepatitis diagnosed by 2030</w:t>
      </w:r>
      <w:r w:rsidR="00903140" w:rsidRPr="004D2D9E">
        <w:rPr>
          <w:rFonts w:ascii="Book Antiqua" w:eastAsia="Book Antiqua" w:hAnsi="Book Antiqua" w:cs="Book Antiqua"/>
          <w:color w:val="000000"/>
          <w:vertAlign w:val="superscript"/>
        </w:rPr>
        <w:t>[9</w:t>
      </w:r>
      <w:r w:rsidR="00903140">
        <w:rPr>
          <w:rFonts w:ascii="Book Antiqua" w:eastAsia="Book Antiqua" w:hAnsi="Book Antiqua" w:cs="Book Antiqua"/>
          <w:color w:val="000000"/>
          <w:vertAlign w:val="superscript"/>
        </w:rPr>
        <w:t>-</w:t>
      </w:r>
      <w:r w:rsidR="00903140" w:rsidRPr="004D2D9E">
        <w:rPr>
          <w:rFonts w:ascii="Book Antiqua" w:eastAsia="Book Antiqua" w:hAnsi="Book Antiqua" w:cs="Book Antiqua"/>
          <w:color w:val="000000"/>
          <w:vertAlign w:val="superscript"/>
        </w:rPr>
        <w:t>12]</w:t>
      </w:r>
      <w:r w:rsidRPr="004D2D9E">
        <w:rPr>
          <w:rFonts w:ascii="Book Antiqua" w:eastAsia="Book Antiqua" w:hAnsi="Book Antiqua" w:cs="Book Antiqua"/>
          <w:color w:val="000000"/>
        </w:rPr>
        <w:t xml:space="preserve">. </w:t>
      </w:r>
      <w:r w:rsidR="000D11D0" w:rsidRPr="004D2D9E">
        <w:rPr>
          <w:rFonts w:ascii="Book Antiqua" w:eastAsia="Book Antiqua" w:hAnsi="Book Antiqua" w:cs="Book Antiqua"/>
          <w:color w:val="000000"/>
        </w:rPr>
        <w:t>Specifically, in the case of HCV infection, the reduction in liver-related deaths is today achievable since the disponibility of direct-acting antivirals (DAAs), which have a high rate of sustained viral response (SVR). Nevertheless, an increase in harm reduction programs and treatment among populations at risk of transmission is undoubtedly still needed to reduce new infections</w:t>
      </w:r>
      <w:r w:rsidR="00903140" w:rsidRPr="004D2D9E">
        <w:rPr>
          <w:rFonts w:ascii="Book Antiqua" w:eastAsia="Book Antiqua" w:hAnsi="Book Antiqua" w:cs="Book Antiqua"/>
          <w:color w:val="000000"/>
          <w:vertAlign w:val="superscript"/>
        </w:rPr>
        <w:t>[9]</w:t>
      </w:r>
      <w:r w:rsidRPr="004D2D9E">
        <w:rPr>
          <w:rFonts w:ascii="Book Antiqua" w:eastAsia="Book Antiqua" w:hAnsi="Book Antiqua" w:cs="Book Antiqua"/>
          <w:color w:val="000000"/>
        </w:rPr>
        <w:t>.</w:t>
      </w:r>
    </w:p>
    <w:p w14:paraId="64F4E039" w14:textId="0A6282BC" w:rsidR="003C7086" w:rsidRPr="004D2D9E" w:rsidRDefault="00CA77E2" w:rsidP="00903140">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 xml:space="preserve">For HBV infection, the WHO aims are divided into two main categories: </w:t>
      </w:r>
      <w:r w:rsidR="00115B2B">
        <w:rPr>
          <w:rFonts w:ascii="Book Antiqua" w:eastAsia="Book Antiqua" w:hAnsi="Book Antiqua" w:cs="Book Antiqua"/>
          <w:color w:val="000000"/>
        </w:rPr>
        <w:t>F</w:t>
      </w:r>
      <w:r w:rsidRPr="004D2D9E">
        <w:rPr>
          <w:rFonts w:ascii="Book Antiqua" w:eastAsia="Book Antiqua" w:hAnsi="Book Antiqua" w:cs="Book Antiqua"/>
          <w:color w:val="000000"/>
        </w:rPr>
        <w:t>irst, prevention of new HBV cases through vaccination and blood safety; second, identification, linkage to care, and treatment of persons living with HBV who need it</w:t>
      </w:r>
      <w:r w:rsidR="00903140" w:rsidRPr="004D2D9E">
        <w:rPr>
          <w:rFonts w:ascii="Book Antiqua" w:eastAsia="Book Antiqua" w:hAnsi="Book Antiqua" w:cs="Book Antiqua"/>
          <w:color w:val="000000"/>
          <w:vertAlign w:val="superscript"/>
        </w:rPr>
        <w:t>[10]</w:t>
      </w:r>
      <w:r w:rsidRPr="004D2D9E">
        <w:rPr>
          <w:rFonts w:ascii="Book Antiqua" w:eastAsia="Book Antiqua" w:hAnsi="Book Antiqua" w:cs="Book Antiqua"/>
          <w:color w:val="000000"/>
        </w:rPr>
        <w:t xml:space="preserve">. </w:t>
      </w:r>
    </w:p>
    <w:p w14:paraId="214AE3DE" w14:textId="77777777" w:rsidR="003C7086" w:rsidRPr="004D2D9E" w:rsidRDefault="003C7086" w:rsidP="004D2D9E">
      <w:pPr>
        <w:spacing w:line="360" w:lineRule="auto"/>
        <w:jc w:val="both"/>
        <w:rPr>
          <w:rFonts w:ascii="Book Antiqua" w:hAnsi="Book Antiqua"/>
        </w:rPr>
      </w:pPr>
    </w:p>
    <w:p w14:paraId="51148A79" w14:textId="77777777" w:rsidR="003C7086" w:rsidRPr="00357667" w:rsidRDefault="00CA77E2" w:rsidP="004D2D9E">
      <w:pPr>
        <w:spacing w:line="360" w:lineRule="auto"/>
        <w:jc w:val="both"/>
        <w:rPr>
          <w:rFonts w:ascii="Book Antiqua" w:eastAsia="Book Antiqua" w:hAnsi="Book Antiqua" w:cs="Book Antiqua"/>
          <w:b/>
          <w:caps/>
          <w:color w:val="000000"/>
          <w:u w:val="single"/>
        </w:rPr>
      </w:pPr>
      <w:r w:rsidRPr="00357667">
        <w:rPr>
          <w:rFonts w:ascii="Book Antiqua" w:eastAsia="Book Antiqua" w:hAnsi="Book Antiqua" w:cs="Book Antiqua"/>
          <w:b/>
          <w:caps/>
          <w:color w:val="000000"/>
          <w:u w:val="single"/>
        </w:rPr>
        <w:t>The effective and safe cure for hepatitis C</w:t>
      </w:r>
    </w:p>
    <w:p w14:paraId="1C112118" w14:textId="61B6985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shd w:val="clear" w:color="auto" w:fill="FFFFFF"/>
        </w:rPr>
        <w:t xml:space="preserve">In the absence of an effective vaccine, the cornerstone </w:t>
      </w:r>
      <w:r w:rsidRPr="004D2D9E">
        <w:rPr>
          <w:rFonts w:ascii="Book Antiqua" w:eastAsia="Book Antiqua" w:hAnsi="Book Antiqua" w:cs="Book Antiqua"/>
          <w:color w:val="000000"/>
        </w:rPr>
        <w:t>to achieving HCV elimination worldwide</w:t>
      </w:r>
      <w:r w:rsidRPr="004D2D9E">
        <w:rPr>
          <w:rFonts w:ascii="Book Antiqua" w:eastAsia="Book Antiqua" w:hAnsi="Book Antiqua" w:cs="Book Antiqua"/>
          <w:color w:val="000000"/>
          <w:shd w:val="clear" w:color="auto" w:fill="FFFFFF"/>
        </w:rPr>
        <w:t xml:space="preserve"> is treatment with DAAs</w:t>
      </w:r>
      <w:r w:rsidR="00903140" w:rsidRPr="004D2D9E">
        <w:rPr>
          <w:rFonts w:ascii="Book Antiqua" w:eastAsia="Book Antiqua" w:hAnsi="Book Antiqua" w:cs="Book Antiqua"/>
          <w:color w:val="000000"/>
          <w:shd w:val="clear" w:color="auto" w:fill="FFFFFF"/>
          <w:vertAlign w:val="superscript"/>
        </w:rPr>
        <w:t>[2]</w:t>
      </w:r>
      <w:r w:rsidRPr="004D2D9E">
        <w:rPr>
          <w:rFonts w:ascii="Book Antiqua" w:eastAsia="Book Antiqua" w:hAnsi="Book Antiqua" w:cs="Book Antiqua"/>
          <w:color w:val="000000"/>
          <w:shd w:val="clear" w:color="auto" w:fill="FFFFFF"/>
        </w:rPr>
        <w:t>,</w:t>
      </w:r>
      <w:r w:rsidR="00903140">
        <w:rPr>
          <w:rFonts w:ascii="Book Antiqua" w:eastAsia="Book Antiqua" w:hAnsi="Book Antiqua" w:cs="Book Antiqua"/>
          <w:color w:val="000000"/>
          <w:shd w:val="clear" w:color="auto" w:fill="FFFFFF"/>
        </w:rPr>
        <w:t xml:space="preserve"> </w:t>
      </w:r>
      <w:r w:rsidRPr="004D2D9E">
        <w:rPr>
          <w:rFonts w:ascii="Book Antiqua" w:eastAsia="Book Antiqua" w:hAnsi="Book Antiqua" w:cs="Book Antiqua"/>
          <w:color w:val="000000"/>
        </w:rPr>
        <w:t>which have excellent efficacy and good tolerability profiles, offering a unique opportunity</w:t>
      </w:r>
      <w:r w:rsidR="00054D51" w:rsidRPr="004D2D9E">
        <w:rPr>
          <w:rFonts w:ascii="Book Antiqua" w:eastAsia="Book Antiqua" w:hAnsi="Book Antiqua" w:cs="Book Antiqua"/>
          <w:color w:val="000000"/>
          <w:vertAlign w:val="superscript"/>
        </w:rPr>
        <w:t>[13</w:t>
      </w:r>
      <w:r w:rsidR="00054D51">
        <w:rPr>
          <w:rFonts w:ascii="Book Antiqua" w:eastAsia="Book Antiqua" w:hAnsi="Book Antiqua" w:cs="Book Antiqua"/>
          <w:color w:val="000000"/>
          <w:vertAlign w:val="superscript"/>
        </w:rPr>
        <w:t>,</w:t>
      </w:r>
      <w:r w:rsidR="00054D51" w:rsidRPr="004D2D9E">
        <w:rPr>
          <w:rFonts w:ascii="Book Antiqua" w:eastAsia="Book Antiqua" w:hAnsi="Book Antiqua" w:cs="Book Antiqua"/>
          <w:color w:val="000000"/>
          <w:vertAlign w:val="superscript"/>
        </w:rPr>
        <w:t>14]</w:t>
      </w:r>
      <w:r w:rsidRPr="004D2D9E">
        <w:rPr>
          <w:rFonts w:ascii="Book Antiqua" w:eastAsia="Book Antiqua" w:hAnsi="Book Antiqua" w:cs="Book Antiqua"/>
          <w:color w:val="000000"/>
        </w:rPr>
        <w:t>.</w:t>
      </w:r>
      <w:r w:rsidRPr="004D2D9E">
        <w:rPr>
          <w:rFonts w:ascii="Book Antiqua" w:eastAsia="Book Antiqua" w:hAnsi="Book Antiqua" w:cs="Book Antiqua"/>
          <w:b/>
          <w:bCs/>
          <w:color w:val="000000"/>
        </w:rPr>
        <w:t xml:space="preserve"> </w:t>
      </w:r>
      <w:r w:rsidRPr="004D2D9E">
        <w:rPr>
          <w:rFonts w:ascii="Book Antiqua" w:eastAsia="Book Antiqua" w:hAnsi="Book Antiqua" w:cs="Book Antiqua"/>
          <w:color w:val="000000"/>
        </w:rPr>
        <w:t xml:space="preserve">Currently, pan-genotypic regimens are </w:t>
      </w:r>
      <w:r w:rsidRPr="004D2D9E">
        <w:rPr>
          <w:rFonts w:ascii="Book Antiqua" w:eastAsia="Book Antiqua" w:hAnsi="Book Antiqua" w:cs="Book Antiqua"/>
          <w:color w:val="000000"/>
        </w:rPr>
        <w:lastRenderedPageBreak/>
        <w:t>available, which allows them to simplify decisions when initiating HCV therapy and ensuring universal access for these patients</w:t>
      </w:r>
      <w:r w:rsidR="00054D51" w:rsidRPr="004D2D9E">
        <w:rPr>
          <w:rFonts w:ascii="Book Antiqua" w:eastAsia="Book Antiqua" w:hAnsi="Book Antiqua" w:cs="Book Antiqua"/>
          <w:color w:val="000000"/>
          <w:vertAlign w:val="superscript"/>
        </w:rPr>
        <w:t>[15]</w:t>
      </w:r>
      <w:r w:rsidRPr="004D2D9E">
        <w:rPr>
          <w:rFonts w:ascii="Book Antiqua" w:eastAsia="Book Antiqua" w:hAnsi="Book Antiqua" w:cs="Book Antiqua"/>
          <w:color w:val="000000"/>
        </w:rPr>
        <w:t>.</w:t>
      </w:r>
    </w:p>
    <w:p w14:paraId="582F6717" w14:textId="5FC734E4" w:rsidR="003C7086" w:rsidRPr="004D2D9E" w:rsidRDefault="00CA77E2" w:rsidP="00054D51">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SOF-VEL is a pan-genotypic regimen that allows achieving the SVR in more than 95%. It can be prescribed even in decompensated cirrhosis because SOF-VEL is a protease inhibitor-free regimen proven effective and safe in this clinical scenario; HCV-infected liver posttransplant recipients are also effectively and safely treated with it SOF-VEL</w:t>
      </w:r>
      <w:r w:rsidR="00054D51" w:rsidRPr="004D2D9E">
        <w:rPr>
          <w:rFonts w:ascii="Book Antiqua" w:eastAsia="Book Antiqua" w:hAnsi="Book Antiqua" w:cs="Book Antiqua"/>
          <w:color w:val="000000"/>
          <w:vertAlign w:val="superscript"/>
        </w:rPr>
        <w:t>[16</w:t>
      </w:r>
      <w:r w:rsidR="00054D51">
        <w:rPr>
          <w:rFonts w:ascii="Book Antiqua" w:eastAsia="Book Antiqua" w:hAnsi="Book Antiqua" w:cs="Book Antiqua"/>
          <w:color w:val="000000"/>
          <w:vertAlign w:val="superscript"/>
        </w:rPr>
        <w:t>-</w:t>
      </w:r>
      <w:r w:rsidR="00054D51" w:rsidRPr="004D2D9E">
        <w:rPr>
          <w:rFonts w:ascii="Book Antiqua" w:eastAsia="Book Antiqua" w:hAnsi="Book Antiqua" w:cs="Book Antiqua"/>
          <w:color w:val="000000"/>
          <w:vertAlign w:val="superscript"/>
        </w:rPr>
        <w:t>29]</w:t>
      </w:r>
      <w:r w:rsidRPr="004D2D9E">
        <w:rPr>
          <w:rFonts w:ascii="Book Antiqua" w:eastAsia="Book Antiqua" w:hAnsi="Book Antiqua" w:cs="Book Antiqua"/>
          <w:color w:val="000000"/>
        </w:rPr>
        <w:t>. Several cohort studies also have validated the efficacy and safety of SOF-VEL in the real world</w:t>
      </w:r>
      <w:r w:rsidR="00D12B1D" w:rsidRPr="004D2D9E">
        <w:rPr>
          <w:rFonts w:ascii="Book Antiqua" w:eastAsia="Book Antiqua" w:hAnsi="Book Antiqua" w:cs="Book Antiqua"/>
          <w:color w:val="000000"/>
          <w:vertAlign w:val="superscript"/>
        </w:rPr>
        <w:t>[30</w:t>
      </w:r>
      <w:r w:rsidR="00D12B1D">
        <w:rPr>
          <w:rFonts w:ascii="Book Antiqua" w:eastAsia="Book Antiqua" w:hAnsi="Book Antiqua" w:cs="Book Antiqua"/>
          <w:color w:val="000000"/>
          <w:vertAlign w:val="superscript"/>
        </w:rPr>
        <w:t>-</w:t>
      </w:r>
      <w:r w:rsidR="00D12B1D" w:rsidRPr="004D2D9E">
        <w:rPr>
          <w:rFonts w:ascii="Book Antiqua" w:eastAsia="Book Antiqua" w:hAnsi="Book Antiqua" w:cs="Book Antiqua"/>
          <w:color w:val="000000"/>
          <w:vertAlign w:val="superscript"/>
        </w:rPr>
        <w:t>33]</w:t>
      </w:r>
      <w:r w:rsidRPr="004D2D9E">
        <w:rPr>
          <w:rFonts w:ascii="Book Antiqua" w:eastAsia="Book Antiqua" w:hAnsi="Book Antiqua" w:cs="Book Antiqua"/>
          <w:color w:val="000000"/>
        </w:rPr>
        <w:t>. Despite nearly 80% of SOF being renally excreted</w:t>
      </w:r>
      <w:r w:rsidR="00D605F0" w:rsidRPr="004D2D9E">
        <w:rPr>
          <w:rFonts w:ascii="Book Antiqua" w:eastAsia="Book Antiqua" w:hAnsi="Book Antiqua" w:cs="Book Antiqua"/>
          <w:color w:val="000000"/>
          <w:vertAlign w:val="superscript"/>
        </w:rPr>
        <w:t>[4]</w:t>
      </w:r>
      <w:r w:rsidRPr="004D2D9E">
        <w:rPr>
          <w:rFonts w:ascii="Book Antiqua" w:eastAsia="Book Antiqua" w:hAnsi="Book Antiqua" w:cs="Book Antiqua"/>
          <w:color w:val="000000"/>
        </w:rPr>
        <w:t xml:space="preserve">, the treatment with SOF-VEL is safe. It </w:t>
      </w:r>
      <w:r w:rsidR="00C50010" w:rsidRPr="004D2D9E">
        <w:rPr>
          <w:rFonts w:ascii="Book Antiqua" w:eastAsia="Book Antiqua" w:hAnsi="Book Antiqua" w:cs="Book Antiqua"/>
          <w:color w:val="000000"/>
        </w:rPr>
        <w:t>can be prescribed</w:t>
      </w:r>
      <w:r w:rsidRPr="004D2D9E">
        <w:rPr>
          <w:rFonts w:ascii="Book Antiqua" w:eastAsia="Book Antiqua" w:hAnsi="Book Antiqua" w:cs="Book Antiqua"/>
          <w:color w:val="000000"/>
        </w:rPr>
        <w:t xml:space="preserve">, </w:t>
      </w:r>
      <w:r w:rsidR="00486C09" w:rsidRPr="004D2D9E">
        <w:rPr>
          <w:rFonts w:ascii="Book Antiqua" w:eastAsia="Book Antiqua" w:hAnsi="Book Antiqua" w:cs="Book Antiqua"/>
          <w:color w:val="000000"/>
        </w:rPr>
        <w:t>achieving</w:t>
      </w:r>
      <w:r w:rsidRPr="004D2D9E">
        <w:rPr>
          <w:rFonts w:ascii="Book Antiqua" w:eastAsia="Book Antiqua" w:hAnsi="Book Antiqua" w:cs="Book Antiqua"/>
          <w:color w:val="000000"/>
        </w:rPr>
        <w:t xml:space="preserve"> a SVR rate greater than 95% in patients with hepatitis C and end-stage renal disease, even in those requiring dialysis</w:t>
      </w:r>
      <w:r w:rsidR="00D605F0" w:rsidRPr="004D2D9E">
        <w:rPr>
          <w:rFonts w:ascii="Book Antiqua" w:eastAsia="Book Antiqua" w:hAnsi="Book Antiqua" w:cs="Book Antiqua"/>
          <w:color w:val="000000"/>
          <w:vertAlign w:val="superscript"/>
        </w:rPr>
        <w:t>[34]</w:t>
      </w:r>
      <w:r w:rsidRPr="004D2D9E">
        <w:rPr>
          <w:rFonts w:ascii="Book Antiqua" w:eastAsia="Book Antiqua" w:hAnsi="Book Antiqua" w:cs="Book Antiqua"/>
          <w:color w:val="000000"/>
        </w:rPr>
        <w:t>.</w:t>
      </w:r>
    </w:p>
    <w:p w14:paraId="2D92C13D" w14:textId="06F2160C" w:rsidR="003C7086" w:rsidRPr="004D2D9E" w:rsidRDefault="00CA77E2" w:rsidP="00D605F0">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 xml:space="preserve">G-P, also a pan-genotypic regimen, is effective and safe in </w:t>
      </w:r>
      <w:r w:rsidR="00A06603" w:rsidRPr="004D2D9E">
        <w:rPr>
          <w:rFonts w:ascii="Book Antiqua" w:eastAsia="Book Antiqua" w:hAnsi="Book Antiqua" w:cs="Book Antiqua"/>
          <w:color w:val="000000"/>
        </w:rPr>
        <w:t>those</w:t>
      </w:r>
      <w:r w:rsidRPr="004D2D9E">
        <w:rPr>
          <w:rFonts w:ascii="Book Antiqua" w:eastAsia="Book Antiqua" w:hAnsi="Book Antiqua" w:cs="Book Antiqua"/>
          <w:color w:val="000000"/>
        </w:rPr>
        <w:t xml:space="preserve"> without cirrhosis and with compensated cirrhosis</w:t>
      </w:r>
      <w:r w:rsidR="00D605F0" w:rsidRPr="004D2D9E">
        <w:rPr>
          <w:rFonts w:ascii="Book Antiqua" w:eastAsia="Book Antiqua" w:hAnsi="Book Antiqua" w:cs="Book Antiqua"/>
          <w:color w:val="000000"/>
          <w:vertAlign w:val="superscript"/>
        </w:rPr>
        <w:t>[35</w:t>
      </w:r>
      <w:r w:rsidR="00D605F0">
        <w:rPr>
          <w:rFonts w:ascii="Book Antiqua" w:eastAsia="Book Antiqua" w:hAnsi="Book Antiqua" w:cs="Book Antiqua"/>
          <w:color w:val="000000"/>
          <w:vertAlign w:val="superscript"/>
        </w:rPr>
        <w:t>-</w:t>
      </w:r>
      <w:r w:rsidR="00D605F0" w:rsidRPr="004D2D9E">
        <w:rPr>
          <w:rFonts w:ascii="Book Antiqua" w:eastAsia="Book Antiqua" w:hAnsi="Book Antiqua" w:cs="Book Antiqua"/>
          <w:color w:val="000000"/>
          <w:vertAlign w:val="superscript"/>
        </w:rPr>
        <w:t>50]</w:t>
      </w:r>
      <w:r w:rsidRPr="004D2D9E">
        <w:rPr>
          <w:rFonts w:ascii="Book Antiqua" w:eastAsia="Book Antiqua" w:hAnsi="Book Antiqua" w:cs="Book Antiqua"/>
          <w:color w:val="000000"/>
        </w:rPr>
        <w:t xml:space="preserve"> but is contraindicated in decompensated cirrhosis since glecaprevir is a protease inhibitor</w:t>
      </w:r>
      <w:r w:rsidR="00D605F0" w:rsidRPr="004D2D9E">
        <w:rPr>
          <w:rFonts w:ascii="Book Antiqua" w:eastAsia="Book Antiqua" w:hAnsi="Book Antiqua" w:cs="Book Antiqua"/>
          <w:color w:val="000000"/>
          <w:vertAlign w:val="superscript"/>
        </w:rPr>
        <w:t>[</w:t>
      </w:r>
      <w:r w:rsidR="00D605F0">
        <w:rPr>
          <w:rFonts w:ascii="Book Antiqua" w:eastAsia="Book Antiqua" w:hAnsi="Book Antiqua" w:cs="Book Antiqua"/>
          <w:color w:val="000000"/>
          <w:vertAlign w:val="superscript"/>
        </w:rPr>
        <w:t>4,</w:t>
      </w:r>
      <w:r w:rsidR="00D605F0" w:rsidRPr="004D2D9E">
        <w:rPr>
          <w:rFonts w:ascii="Book Antiqua" w:eastAsia="Book Antiqua" w:hAnsi="Book Antiqua" w:cs="Book Antiqua"/>
          <w:color w:val="000000"/>
          <w:vertAlign w:val="superscript"/>
        </w:rPr>
        <w:t>15]</w:t>
      </w:r>
      <w:r w:rsidRPr="004D2D9E">
        <w:rPr>
          <w:rFonts w:ascii="Book Antiqua" w:eastAsia="Book Antiqua" w:hAnsi="Book Antiqua" w:cs="Book Antiqua"/>
          <w:color w:val="000000"/>
        </w:rPr>
        <w:t xml:space="preserve">. G-P is effective and safe in patients with </w:t>
      </w:r>
      <w:r w:rsidR="004C378C" w:rsidRPr="004D2D9E">
        <w:rPr>
          <w:rFonts w:ascii="Book Antiqua" w:eastAsia="Book Antiqua" w:hAnsi="Book Antiqua" w:cs="Book Antiqua"/>
          <w:color w:val="000000"/>
        </w:rPr>
        <w:t>end-stage renal disease</w:t>
      </w:r>
      <w:r w:rsidR="00D605F0" w:rsidRPr="004D2D9E">
        <w:rPr>
          <w:rFonts w:ascii="Book Antiqua" w:eastAsia="Book Antiqua" w:hAnsi="Book Antiqua" w:cs="Book Antiqua"/>
          <w:color w:val="000000"/>
          <w:vertAlign w:val="superscript"/>
        </w:rPr>
        <w:t>[51</w:t>
      </w:r>
      <w:r w:rsidR="00D605F0">
        <w:rPr>
          <w:rFonts w:ascii="Book Antiqua" w:eastAsia="Book Antiqua" w:hAnsi="Book Antiqua" w:cs="Book Antiqua"/>
          <w:color w:val="000000"/>
          <w:vertAlign w:val="superscript"/>
        </w:rPr>
        <w:t>-</w:t>
      </w:r>
      <w:r w:rsidR="00D605F0" w:rsidRPr="004D2D9E">
        <w:rPr>
          <w:rFonts w:ascii="Book Antiqua" w:eastAsia="Book Antiqua" w:hAnsi="Book Antiqua" w:cs="Book Antiqua"/>
          <w:color w:val="000000"/>
          <w:vertAlign w:val="superscript"/>
        </w:rPr>
        <w:t>53]</w:t>
      </w:r>
      <w:r w:rsidRPr="004D2D9E">
        <w:rPr>
          <w:rFonts w:ascii="Book Antiqua" w:eastAsia="Book Antiqua" w:hAnsi="Book Antiqua" w:cs="Book Antiqua"/>
          <w:color w:val="000000"/>
        </w:rPr>
        <w:t xml:space="preserve">. The study MAGELLAN-2 validated that G-P is a safe and effective therapy to treat HCV infection in those patients who </w:t>
      </w:r>
      <w:r w:rsidRPr="004D2D9E">
        <w:rPr>
          <w:rFonts w:ascii="Book Antiqua" w:eastAsia="Book Antiqua" w:hAnsi="Book Antiqua" w:cs="Book Antiqua"/>
          <w:color w:val="000000"/>
          <w:shd w:val="clear" w:color="auto" w:fill="FFFFFF"/>
        </w:rPr>
        <w:t>received a liver or kidney transplant</w:t>
      </w:r>
      <w:r w:rsidR="00D605F0" w:rsidRPr="004D2D9E">
        <w:rPr>
          <w:rFonts w:ascii="Book Antiqua" w:eastAsia="Book Antiqua" w:hAnsi="Book Antiqua" w:cs="Book Antiqua"/>
          <w:color w:val="000000"/>
          <w:shd w:val="clear" w:color="auto" w:fill="FFFFFF"/>
          <w:vertAlign w:val="superscript"/>
        </w:rPr>
        <w:t>[54]</w:t>
      </w:r>
      <w:r w:rsidRPr="004D2D9E">
        <w:rPr>
          <w:rFonts w:ascii="Book Antiqua" w:eastAsia="Book Antiqua" w:hAnsi="Book Antiqua" w:cs="Book Antiqua"/>
          <w:color w:val="000000"/>
          <w:shd w:val="clear" w:color="auto" w:fill="FFFFFF"/>
        </w:rPr>
        <w:t>.</w:t>
      </w:r>
    </w:p>
    <w:p w14:paraId="720BF981" w14:textId="1044790B" w:rsidR="003C7086" w:rsidRPr="004D2D9E" w:rsidRDefault="00CA77E2" w:rsidP="00D605F0">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Both pan-genotypic regimens, SOF-VEL, and G-P are also effective and safe in patients coinfected with HIV</w:t>
      </w:r>
      <w:r w:rsidR="00E07246" w:rsidRPr="004D2D9E">
        <w:rPr>
          <w:rFonts w:ascii="Book Antiqua" w:eastAsia="Book Antiqua" w:hAnsi="Book Antiqua" w:cs="Book Antiqua"/>
          <w:color w:val="000000"/>
          <w:vertAlign w:val="superscript"/>
        </w:rPr>
        <w:t>[55</w:t>
      </w:r>
      <w:r w:rsidR="00E07246">
        <w:rPr>
          <w:rFonts w:ascii="Book Antiqua" w:eastAsia="Book Antiqua" w:hAnsi="Book Antiqua" w:cs="Book Antiqua"/>
          <w:color w:val="000000"/>
          <w:vertAlign w:val="superscript"/>
        </w:rPr>
        <w:t>-</w:t>
      </w:r>
      <w:r w:rsidR="00E07246" w:rsidRPr="004D2D9E">
        <w:rPr>
          <w:rFonts w:ascii="Book Antiqua" w:eastAsia="Book Antiqua" w:hAnsi="Book Antiqua" w:cs="Book Antiqua"/>
          <w:color w:val="000000"/>
          <w:vertAlign w:val="superscript"/>
        </w:rPr>
        <w:t>57]</w:t>
      </w:r>
      <w:r w:rsidRPr="004D2D9E">
        <w:rPr>
          <w:rFonts w:ascii="Book Antiqua" w:eastAsia="Book Antiqua" w:hAnsi="Book Antiqua" w:cs="Book Antiqua"/>
          <w:color w:val="000000"/>
        </w:rPr>
        <w:t xml:space="preserve">. </w:t>
      </w:r>
    </w:p>
    <w:p w14:paraId="506FBA7B" w14:textId="2DE454B1" w:rsidR="003C7086" w:rsidRPr="004D2D9E" w:rsidRDefault="00CA77E2" w:rsidP="00E07246">
      <w:pPr>
        <w:spacing w:line="360" w:lineRule="auto"/>
        <w:ind w:firstLineChars="200" w:firstLine="480"/>
        <w:jc w:val="both"/>
        <w:rPr>
          <w:rFonts w:ascii="Book Antiqua" w:hAnsi="Book Antiqua"/>
        </w:rPr>
      </w:pPr>
      <w:r w:rsidRPr="004D2D9E">
        <w:rPr>
          <w:rFonts w:ascii="Book Antiqua" w:eastAsia="Book Antiqua" w:hAnsi="Book Antiqua" w:cs="Book Antiqua"/>
          <w:color w:val="000000"/>
          <w:shd w:val="clear" w:color="auto" w:fill="FFFFFF"/>
        </w:rPr>
        <w:t>Around 5% of patients with chronic HCV infection treated with the first line DAAs do not achieve SVR; for this group of patients, sofosbuvir-velpatasvir-voxilaprevir (SOF-VEL-VOX) for 12 wk is the current option of rescue</w:t>
      </w:r>
      <w:r w:rsidR="00E07246" w:rsidRPr="004D2D9E">
        <w:rPr>
          <w:rFonts w:ascii="Book Antiqua" w:eastAsia="Book Antiqua" w:hAnsi="Book Antiqua" w:cs="Book Antiqua"/>
          <w:color w:val="000000"/>
          <w:shd w:val="clear" w:color="auto" w:fill="FFFFFF"/>
          <w:vertAlign w:val="superscript"/>
        </w:rPr>
        <w:t>[</w:t>
      </w:r>
      <w:r w:rsidR="00E07246">
        <w:rPr>
          <w:rFonts w:ascii="Book Antiqua" w:eastAsia="Book Antiqua" w:hAnsi="Book Antiqua" w:cs="Book Antiqua"/>
          <w:color w:val="000000"/>
          <w:shd w:val="clear" w:color="auto" w:fill="FFFFFF"/>
          <w:vertAlign w:val="superscript"/>
        </w:rPr>
        <w:t>4,</w:t>
      </w:r>
      <w:r w:rsidR="00E07246" w:rsidRPr="004D2D9E">
        <w:rPr>
          <w:rFonts w:ascii="Book Antiqua" w:eastAsia="Book Antiqua" w:hAnsi="Book Antiqua" w:cs="Book Antiqua"/>
          <w:color w:val="000000"/>
          <w:shd w:val="clear" w:color="auto" w:fill="FFFFFF"/>
          <w:vertAlign w:val="superscript"/>
        </w:rPr>
        <w:t>15]</w:t>
      </w:r>
      <w:r w:rsidRPr="004D2D9E">
        <w:rPr>
          <w:rFonts w:ascii="Book Antiqua" w:eastAsia="Book Antiqua" w:hAnsi="Book Antiqua" w:cs="Book Antiqua"/>
          <w:color w:val="000000"/>
          <w:shd w:val="clear" w:color="auto" w:fill="FFFFFF"/>
        </w:rPr>
        <w:t xml:space="preserve">. In a </w:t>
      </w:r>
      <w:r w:rsidR="00385690" w:rsidRPr="004D2D9E">
        <w:rPr>
          <w:rFonts w:ascii="Book Antiqua" w:eastAsia="Book Antiqua" w:hAnsi="Book Antiqua" w:cs="Book Antiqua"/>
          <w:color w:val="000000"/>
          <w:shd w:val="clear" w:color="auto" w:fill="FFFFFF"/>
        </w:rPr>
        <w:t>study</w:t>
      </w:r>
      <w:r w:rsidRPr="004D2D9E">
        <w:rPr>
          <w:rFonts w:ascii="Book Antiqua" w:eastAsia="Book Antiqua" w:hAnsi="Book Antiqua" w:cs="Book Antiqua"/>
          <w:color w:val="000000"/>
          <w:shd w:val="clear" w:color="auto" w:fill="FFFFFF"/>
        </w:rPr>
        <w:t xml:space="preserve"> including 137 patients who failed a previous combination of DAAs, a SVR of 95% was reached with SOF-VEL-VOX. </w:t>
      </w:r>
      <w:r w:rsidR="00FF7B8A" w:rsidRPr="004D2D9E">
        <w:rPr>
          <w:rFonts w:ascii="Book Antiqua" w:eastAsia="Book Antiqua" w:hAnsi="Book Antiqua" w:cs="Book Antiqua"/>
          <w:color w:val="000000"/>
          <w:shd w:val="clear" w:color="auto" w:fill="FFFFFF"/>
        </w:rPr>
        <w:t xml:space="preserve">Factors related to </w:t>
      </w:r>
      <w:r w:rsidR="00456359" w:rsidRPr="004D2D9E">
        <w:rPr>
          <w:rFonts w:ascii="Book Antiqua" w:eastAsia="Book Antiqua" w:hAnsi="Book Antiqua" w:cs="Book Antiqua"/>
          <w:color w:val="000000"/>
          <w:shd w:val="clear" w:color="auto" w:fill="FFFFFF"/>
        </w:rPr>
        <w:t xml:space="preserve">the </w:t>
      </w:r>
      <w:r w:rsidR="00FF7B8A" w:rsidRPr="004D2D9E">
        <w:rPr>
          <w:rFonts w:ascii="Book Antiqua" w:eastAsia="Book Antiqua" w:hAnsi="Book Antiqua" w:cs="Book Antiqua"/>
          <w:color w:val="000000"/>
          <w:shd w:val="clear" w:color="auto" w:fill="FFFFFF"/>
        </w:rPr>
        <w:t xml:space="preserve">reduced rate of SVR were </w:t>
      </w:r>
      <w:r w:rsidRPr="004D2D9E">
        <w:rPr>
          <w:rFonts w:ascii="Book Antiqua" w:eastAsia="Book Antiqua" w:hAnsi="Book Antiqua" w:cs="Book Antiqua"/>
          <w:color w:val="000000"/>
          <w:shd w:val="clear" w:color="auto" w:fill="FFFFFF"/>
        </w:rPr>
        <w:t>genotype 3 and cirrhosis</w:t>
      </w:r>
      <w:r w:rsidR="00E07246" w:rsidRPr="004D2D9E">
        <w:rPr>
          <w:rFonts w:ascii="Book Antiqua" w:eastAsia="Book Antiqua" w:hAnsi="Book Antiqua" w:cs="Book Antiqua"/>
          <w:color w:val="000000"/>
          <w:shd w:val="clear" w:color="auto" w:fill="FFFFFF"/>
          <w:vertAlign w:val="superscript"/>
        </w:rPr>
        <w:t>[58]</w:t>
      </w:r>
      <w:r w:rsidRPr="004D2D9E">
        <w:rPr>
          <w:rFonts w:ascii="Book Antiqua" w:eastAsia="Book Antiqua" w:hAnsi="Book Antiqua" w:cs="Book Antiqua"/>
          <w:color w:val="000000"/>
          <w:shd w:val="clear" w:color="auto" w:fill="FFFFFF"/>
        </w:rPr>
        <w:t xml:space="preserve">. </w:t>
      </w:r>
      <w:r w:rsidRPr="004D2D9E">
        <w:rPr>
          <w:rFonts w:ascii="Book Antiqua" w:eastAsia="Book Antiqua" w:hAnsi="Book Antiqua" w:cs="Book Antiqua"/>
          <w:color w:val="000000"/>
        </w:rPr>
        <w:t xml:space="preserve">Even in those coinfected HIV-HCV patients who failed </w:t>
      </w:r>
      <w:r w:rsidRPr="004D2D9E">
        <w:rPr>
          <w:rFonts w:ascii="Book Antiqua" w:eastAsia="Book Antiqua" w:hAnsi="Book Antiqua" w:cs="Book Antiqua"/>
          <w:color w:val="000000"/>
          <w:shd w:val="clear" w:color="auto" w:fill="FFFFFF"/>
        </w:rPr>
        <w:t xml:space="preserve">a previous combination of DAAs, the RESOLVE study demonstrated that </w:t>
      </w:r>
      <w:r w:rsidR="004C378C">
        <w:rPr>
          <w:rFonts w:ascii="Book Antiqua" w:eastAsia="Book Antiqua" w:hAnsi="Book Antiqua" w:cs="Book Antiqua"/>
          <w:color w:val="000000"/>
          <w:shd w:val="clear" w:color="auto" w:fill="FFFFFF"/>
        </w:rPr>
        <w:t>12 wk</w:t>
      </w:r>
      <w:r w:rsidRPr="004D2D9E">
        <w:rPr>
          <w:rFonts w:ascii="Book Antiqua" w:eastAsia="Book Antiqua" w:hAnsi="Book Antiqua" w:cs="Book Antiqua"/>
          <w:color w:val="000000"/>
          <w:shd w:val="clear" w:color="auto" w:fill="FFFFFF"/>
        </w:rPr>
        <w:t xml:space="preserve"> of SOF-VEL-VOX was safe and effective. The treatment response was not diminished by HIV coinfection</w:t>
      </w:r>
      <w:r w:rsidR="00E07246" w:rsidRPr="004D2D9E">
        <w:rPr>
          <w:rFonts w:ascii="Book Antiqua" w:eastAsia="Book Antiqua" w:hAnsi="Book Antiqua" w:cs="Book Antiqua"/>
          <w:color w:val="000000"/>
          <w:shd w:val="clear" w:color="auto" w:fill="FFFFFF"/>
          <w:vertAlign w:val="superscript"/>
        </w:rPr>
        <w:t>[59]</w:t>
      </w:r>
      <w:r w:rsidRPr="004D2D9E">
        <w:rPr>
          <w:rFonts w:ascii="Book Antiqua" w:eastAsia="Book Antiqua" w:hAnsi="Book Antiqua" w:cs="Book Antiqua"/>
          <w:color w:val="000000"/>
          <w:shd w:val="clear" w:color="auto" w:fill="FFFFFF"/>
        </w:rPr>
        <w:t>.</w:t>
      </w:r>
    </w:p>
    <w:p w14:paraId="6951DAD2" w14:textId="2B91DEE5" w:rsidR="003C7086" w:rsidRPr="004D2D9E" w:rsidRDefault="00CA77E2" w:rsidP="00E07246">
      <w:pPr>
        <w:spacing w:line="360" w:lineRule="auto"/>
        <w:ind w:firstLineChars="200" w:firstLine="480"/>
        <w:jc w:val="both"/>
        <w:rPr>
          <w:rFonts w:ascii="Book Antiqua" w:hAnsi="Book Antiqua"/>
        </w:rPr>
      </w:pPr>
      <w:r w:rsidRPr="004D2D9E">
        <w:rPr>
          <w:rFonts w:ascii="Book Antiqua" w:eastAsia="Book Antiqua" w:hAnsi="Book Antiqua" w:cs="Book Antiqua"/>
          <w:color w:val="000000"/>
          <w:shd w:val="clear" w:color="auto" w:fill="FFFFFF"/>
        </w:rPr>
        <w:t xml:space="preserve">Sixteen weeks of G-P treatment </w:t>
      </w:r>
      <w:r w:rsidR="004C378C">
        <w:rPr>
          <w:rFonts w:ascii="Book Antiqua" w:eastAsia="Book Antiqua" w:hAnsi="Book Antiqua" w:cs="Book Antiqua"/>
          <w:color w:val="000000"/>
          <w:shd w:val="clear" w:color="auto" w:fill="FFFFFF"/>
        </w:rPr>
        <w:t>is</w:t>
      </w:r>
      <w:r w:rsidRPr="004D2D9E">
        <w:rPr>
          <w:rFonts w:ascii="Book Antiqua" w:eastAsia="Book Antiqua" w:hAnsi="Book Antiqua" w:cs="Book Antiqua"/>
          <w:color w:val="000000"/>
          <w:shd w:val="clear" w:color="auto" w:fill="FFFFFF"/>
        </w:rPr>
        <w:t xml:space="preserve"> an effective and safe option for those who failed NS5A or NS3-protease inhibitors</w:t>
      </w:r>
      <w:r w:rsidR="00E07246" w:rsidRPr="004D2D9E">
        <w:rPr>
          <w:rFonts w:ascii="Book Antiqua" w:eastAsia="Book Antiqua" w:hAnsi="Book Antiqua" w:cs="Book Antiqua"/>
          <w:color w:val="000000"/>
          <w:shd w:val="clear" w:color="auto" w:fill="FFFFFF"/>
          <w:vertAlign w:val="superscript"/>
        </w:rPr>
        <w:t>[50</w:t>
      </w:r>
      <w:r w:rsidR="00E07246">
        <w:rPr>
          <w:rFonts w:ascii="Book Antiqua" w:eastAsia="Book Antiqua" w:hAnsi="Book Antiqua" w:cs="Book Antiqua"/>
          <w:color w:val="000000"/>
          <w:shd w:val="clear" w:color="auto" w:fill="FFFFFF"/>
          <w:vertAlign w:val="superscript"/>
        </w:rPr>
        <w:t>,</w:t>
      </w:r>
      <w:r w:rsidR="00E07246" w:rsidRPr="004D2D9E">
        <w:rPr>
          <w:rFonts w:ascii="Book Antiqua" w:eastAsia="Book Antiqua" w:hAnsi="Book Antiqua" w:cs="Book Antiqua"/>
          <w:color w:val="000000"/>
          <w:shd w:val="clear" w:color="auto" w:fill="FFFFFF"/>
          <w:vertAlign w:val="superscript"/>
        </w:rPr>
        <w:t>60</w:t>
      </w:r>
      <w:r w:rsidR="00E07246">
        <w:rPr>
          <w:rFonts w:ascii="Book Antiqua" w:eastAsia="Book Antiqua" w:hAnsi="Book Antiqua" w:cs="Book Antiqua"/>
          <w:color w:val="000000"/>
          <w:shd w:val="clear" w:color="auto" w:fill="FFFFFF"/>
          <w:vertAlign w:val="superscript"/>
        </w:rPr>
        <w:t>,</w:t>
      </w:r>
      <w:r w:rsidR="00E07246" w:rsidRPr="004D2D9E">
        <w:rPr>
          <w:rFonts w:ascii="Book Antiqua" w:eastAsia="Book Antiqua" w:hAnsi="Book Antiqua" w:cs="Book Antiqua"/>
          <w:color w:val="000000"/>
          <w:shd w:val="clear" w:color="auto" w:fill="FFFFFF"/>
          <w:vertAlign w:val="superscript"/>
        </w:rPr>
        <w:t>61]</w:t>
      </w:r>
      <w:r w:rsidRPr="004D2D9E">
        <w:rPr>
          <w:rFonts w:ascii="Book Antiqua" w:eastAsia="Book Antiqua" w:hAnsi="Book Antiqua" w:cs="Book Antiqua"/>
          <w:color w:val="000000"/>
          <w:shd w:val="clear" w:color="auto" w:fill="FFFFFF"/>
        </w:rPr>
        <w:t xml:space="preserve">. </w:t>
      </w:r>
      <w:r w:rsidR="00375200" w:rsidRPr="004D2D9E">
        <w:rPr>
          <w:rFonts w:ascii="Book Antiqua" w:eastAsia="Book Antiqua" w:hAnsi="Book Antiqua" w:cs="Book Antiqua"/>
          <w:color w:val="000000"/>
          <w:shd w:val="clear" w:color="auto" w:fill="FFFFFF"/>
        </w:rPr>
        <w:t xml:space="preserve">In a randomized study including genotype 1 patients who failed previous treatment with SOF plus an NS5A inhibitor, retreatment </w:t>
      </w:r>
      <w:r w:rsidR="00375200" w:rsidRPr="004D2D9E">
        <w:rPr>
          <w:rFonts w:ascii="Book Antiqua" w:eastAsia="Book Antiqua" w:hAnsi="Book Antiqua" w:cs="Book Antiqua"/>
          <w:color w:val="000000"/>
          <w:shd w:val="clear" w:color="auto" w:fill="FFFFFF"/>
        </w:rPr>
        <w:lastRenderedPageBreak/>
        <w:t>with G-P achieved the SVR in greater than 90% of cases, including patients with compensated cirrhosis</w:t>
      </w:r>
      <w:r w:rsidR="00E07246" w:rsidRPr="004D2D9E">
        <w:rPr>
          <w:rFonts w:ascii="Book Antiqua" w:eastAsia="Book Antiqua" w:hAnsi="Book Antiqua" w:cs="Book Antiqua"/>
          <w:color w:val="000000"/>
          <w:shd w:val="clear" w:color="auto" w:fill="FFFFFF"/>
          <w:vertAlign w:val="superscript"/>
        </w:rPr>
        <w:t>[60]</w:t>
      </w:r>
      <w:r w:rsidRPr="004D2D9E">
        <w:rPr>
          <w:rFonts w:ascii="Book Antiqua" w:eastAsia="Book Antiqua" w:hAnsi="Book Antiqua" w:cs="Book Antiqua"/>
          <w:color w:val="000000"/>
          <w:shd w:val="clear" w:color="auto" w:fill="FFFFFF"/>
        </w:rPr>
        <w:t xml:space="preserve">. </w:t>
      </w:r>
    </w:p>
    <w:p w14:paraId="044497D7" w14:textId="77777777" w:rsidR="003C7086" w:rsidRPr="004D2D9E" w:rsidRDefault="003C7086" w:rsidP="004D2D9E">
      <w:pPr>
        <w:spacing w:line="360" w:lineRule="auto"/>
        <w:jc w:val="both"/>
        <w:rPr>
          <w:rFonts w:ascii="Book Antiqua" w:hAnsi="Book Antiqua"/>
        </w:rPr>
      </w:pPr>
    </w:p>
    <w:p w14:paraId="5681B5A5" w14:textId="77777777" w:rsidR="003C7086" w:rsidRPr="00357667" w:rsidRDefault="00CA77E2" w:rsidP="004D2D9E">
      <w:pPr>
        <w:spacing w:line="360" w:lineRule="auto"/>
        <w:jc w:val="both"/>
        <w:rPr>
          <w:rFonts w:ascii="Book Antiqua" w:eastAsia="Book Antiqua" w:hAnsi="Book Antiqua" w:cs="Book Antiqua"/>
          <w:b/>
          <w:caps/>
          <w:color w:val="000000"/>
          <w:u w:val="single"/>
        </w:rPr>
      </w:pPr>
      <w:r w:rsidRPr="00357667">
        <w:rPr>
          <w:rFonts w:ascii="Book Antiqua" w:eastAsia="Book Antiqua" w:hAnsi="Book Antiqua" w:cs="Book Antiqua"/>
          <w:b/>
          <w:caps/>
          <w:color w:val="000000"/>
          <w:u w:val="single"/>
        </w:rPr>
        <w:t>DAAs and the liver transplant programs</w:t>
      </w:r>
    </w:p>
    <w:p w14:paraId="49227107" w14:textId="19D428C0"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rPr>
        <w:t xml:space="preserve">Since DAAs represent a highly effective and safe therapy, livers from HCV-infected donors can now be used to transplant, optimizing the transplant opportunity for more patients. </w:t>
      </w:r>
      <w:r w:rsidRPr="004D2D9E">
        <w:rPr>
          <w:rFonts w:ascii="Book Antiqua" w:eastAsia="Book Antiqua" w:hAnsi="Book Antiqua" w:cs="Book Antiqua"/>
          <w:color w:val="000000"/>
          <w:shd w:val="clear" w:color="auto" w:fill="FFFFFF"/>
        </w:rPr>
        <w:t xml:space="preserve">After transplantation from an </w:t>
      </w:r>
      <w:r w:rsidR="00176A52" w:rsidRPr="004D2D9E">
        <w:rPr>
          <w:rFonts w:ascii="Book Antiqua" w:eastAsia="Book Antiqua" w:hAnsi="Book Antiqua" w:cs="Book Antiqua"/>
          <w:color w:val="000000"/>
          <w:shd w:val="clear" w:color="auto" w:fill="FFFFFF"/>
        </w:rPr>
        <w:t>HCV-positive</w:t>
      </w:r>
      <w:r w:rsidRPr="004D2D9E">
        <w:rPr>
          <w:rFonts w:ascii="Book Antiqua" w:eastAsia="Book Antiqua" w:hAnsi="Book Antiqua" w:cs="Book Antiqua"/>
          <w:color w:val="000000"/>
          <w:shd w:val="clear" w:color="auto" w:fill="FFFFFF"/>
        </w:rPr>
        <w:t xml:space="preserve"> donor, the occurrence of HCV infection in </w:t>
      </w:r>
      <w:r w:rsidR="00176A52" w:rsidRPr="004D2D9E">
        <w:rPr>
          <w:rFonts w:ascii="Book Antiqua" w:eastAsia="Book Antiqua" w:hAnsi="Book Antiqua" w:cs="Book Antiqua"/>
          <w:color w:val="000000"/>
          <w:shd w:val="clear" w:color="auto" w:fill="FFFFFF"/>
        </w:rPr>
        <w:t>HCV-negative</w:t>
      </w:r>
      <w:r w:rsidRPr="004D2D9E">
        <w:rPr>
          <w:rFonts w:ascii="Book Antiqua" w:eastAsia="Book Antiqua" w:hAnsi="Book Antiqua" w:cs="Book Antiqua"/>
          <w:color w:val="000000"/>
          <w:shd w:val="clear" w:color="auto" w:fill="FFFFFF"/>
        </w:rPr>
        <w:t xml:space="preserve"> recipients is </w:t>
      </w:r>
      <w:r w:rsidR="00A73E30" w:rsidRPr="004D2D9E">
        <w:rPr>
          <w:rFonts w:ascii="Book Antiqua" w:eastAsia="Book Antiqua" w:hAnsi="Book Antiqua" w:cs="Book Antiqua"/>
          <w:color w:val="000000"/>
          <w:shd w:val="clear" w:color="auto" w:fill="FFFFFF"/>
        </w:rPr>
        <w:t xml:space="preserve">practically </w:t>
      </w:r>
      <w:r w:rsidRPr="004D2D9E">
        <w:rPr>
          <w:rFonts w:ascii="Book Antiqua" w:eastAsia="Book Antiqua" w:hAnsi="Book Antiqua" w:cs="Book Antiqua"/>
          <w:color w:val="000000"/>
          <w:shd w:val="clear" w:color="auto" w:fill="FFFFFF"/>
        </w:rPr>
        <w:t>universal, requiring post-transplant antiviral treatment</w:t>
      </w:r>
      <w:r w:rsidR="005732C9" w:rsidRPr="004D2D9E">
        <w:rPr>
          <w:rFonts w:ascii="Book Antiqua" w:eastAsia="Book Antiqua" w:hAnsi="Book Antiqua" w:cs="Book Antiqua"/>
          <w:color w:val="000000"/>
          <w:shd w:val="clear" w:color="auto" w:fill="FFFFFF"/>
          <w:vertAlign w:val="superscript"/>
        </w:rPr>
        <w:t>[62]</w:t>
      </w:r>
      <w:r w:rsidRPr="004D2D9E">
        <w:rPr>
          <w:rFonts w:ascii="Book Antiqua" w:eastAsia="Book Antiqua" w:hAnsi="Book Antiqua" w:cs="Book Antiqua"/>
          <w:color w:val="000000"/>
          <w:shd w:val="clear" w:color="auto" w:fill="FFFFFF"/>
        </w:rPr>
        <w:t>.</w:t>
      </w:r>
    </w:p>
    <w:p w14:paraId="4956FD92" w14:textId="7D10E21B" w:rsidR="003C7086" w:rsidRPr="004D2D9E" w:rsidRDefault="00CA77E2" w:rsidP="005732C9">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 xml:space="preserve">Some interesting strategies are being studied to </w:t>
      </w:r>
      <w:r w:rsidRPr="004D2D9E">
        <w:rPr>
          <w:rFonts w:ascii="Book Antiqua" w:eastAsia="Book Antiqua" w:hAnsi="Book Antiqua" w:cs="Book Antiqua"/>
          <w:color w:val="000000"/>
          <w:shd w:val="clear" w:color="auto" w:fill="FFFFFF"/>
        </w:rPr>
        <w:t xml:space="preserve">reduce HCV infection likelihood in organ recipients from HCV-infected donors. Feld </w:t>
      </w:r>
      <w:r w:rsidRPr="004D2D9E">
        <w:rPr>
          <w:rFonts w:ascii="Book Antiqua" w:eastAsia="Book Antiqua" w:hAnsi="Book Antiqua" w:cs="Book Antiqua"/>
          <w:i/>
          <w:iCs/>
          <w:color w:val="000000"/>
          <w:shd w:val="clear" w:color="auto" w:fill="FFFFFF"/>
        </w:rPr>
        <w:t>et al</w:t>
      </w:r>
      <w:r w:rsidR="005732C9" w:rsidRPr="004D2D9E">
        <w:rPr>
          <w:rFonts w:ascii="Book Antiqua" w:eastAsia="Book Antiqua" w:hAnsi="Book Antiqua" w:cs="Book Antiqua"/>
          <w:color w:val="000000"/>
          <w:shd w:val="clear" w:color="auto" w:fill="FFFFFF"/>
          <w:vertAlign w:val="superscript"/>
        </w:rPr>
        <w:t>[62]</w:t>
      </w:r>
      <w:r w:rsidRPr="004D2D9E">
        <w:rPr>
          <w:rFonts w:ascii="Book Antiqua" w:eastAsia="Book Antiqua" w:hAnsi="Book Antiqua" w:cs="Book Antiqua"/>
          <w:color w:val="000000"/>
          <w:shd w:val="clear" w:color="auto" w:fill="FFFFFF"/>
        </w:rPr>
        <w:t xml:space="preserve"> </w:t>
      </w:r>
      <w:r w:rsidRPr="004D2D9E">
        <w:rPr>
          <w:rFonts w:ascii="Book Antiqua" w:eastAsia="Book Antiqua" w:hAnsi="Book Antiqua" w:cs="Book Antiqua"/>
          <w:color w:val="000000"/>
        </w:rPr>
        <w:t xml:space="preserve">found that ezetimibe (10 mg; an HCV entry inhibitor) plus G-P (300 mg/120 mg) given </w:t>
      </w:r>
      <w:r w:rsidR="007B3F85" w:rsidRPr="004D2D9E">
        <w:rPr>
          <w:rFonts w:ascii="Book Antiqua" w:eastAsia="Book Antiqua" w:hAnsi="Book Antiqua" w:cs="Book Antiqua"/>
          <w:color w:val="000000"/>
        </w:rPr>
        <w:t>previous</w:t>
      </w:r>
      <w:r w:rsidRPr="004D2D9E">
        <w:rPr>
          <w:rFonts w:ascii="Book Antiqua" w:eastAsia="Book Antiqua" w:hAnsi="Book Antiqua" w:cs="Book Antiqua"/>
          <w:color w:val="000000"/>
        </w:rPr>
        <w:t xml:space="preserve"> and </w:t>
      </w:r>
      <w:r w:rsidR="00176A52" w:rsidRPr="004D2D9E">
        <w:rPr>
          <w:rFonts w:ascii="Book Antiqua" w:eastAsia="Book Antiqua" w:hAnsi="Book Antiqua" w:cs="Book Antiqua"/>
          <w:color w:val="000000"/>
        </w:rPr>
        <w:t>during</w:t>
      </w:r>
      <w:r w:rsidRPr="004D2D9E">
        <w:rPr>
          <w:rFonts w:ascii="Book Antiqua" w:eastAsia="Book Antiqua" w:hAnsi="Book Antiqua" w:cs="Book Antiqua"/>
          <w:color w:val="000000"/>
        </w:rPr>
        <w:t xml:space="preserve"> </w:t>
      </w:r>
      <w:r w:rsidR="004C378C">
        <w:rPr>
          <w:rFonts w:ascii="Book Antiqua" w:eastAsia="Book Antiqua" w:hAnsi="Book Antiqua" w:cs="Book Antiqua"/>
          <w:color w:val="000000"/>
        </w:rPr>
        <w:t>7 d</w:t>
      </w:r>
      <w:r w:rsidRPr="004D2D9E">
        <w:rPr>
          <w:rFonts w:ascii="Book Antiqua" w:eastAsia="Book Antiqua" w:hAnsi="Book Antiqua" w:cs="Book Antiqua"/>
          <w:color w:val="000000"/>
        </w:rPr>
        <w:t xml:space="preserve"> after transplant </w:t>
      </w:r>
      <w:r w:rsidR="00176A52" w:rsidRPr="004D2D9E">
        <w:rPr>
          <w:rFonts w:ascii="Book Antiqua" w:eastAsia="Book Antiqua" w:hAnsi="Book Antiqua" w:cs="Book Antiqua"/>
          <w:color w:val="000000"/>
        </w:rPr>
        <w:t>avoided</w:t>
      </w:r>
      <w:r w:rsidRPr="004D2D9E">
        <w:rPr>
          <w:rFonts w:ascii="Book Antiqua" w:eastAsia="Book Antiqua" w:hAnsi="Book Antiqua" w:cs="Book Antiqua"/>
          <w:color w:val="000000"/>
        </w:rPr>
        <w:t xml:space="preserve"> the </w:t>
      </w:r>
      <w:r w:rsidR="00176A52" w:rsidRPr="004D2D9E">
        <w:rPr>
          <w:rFonts w:ascii="Book Antiqua" w:eastAsia="Book Antiqua" w:hAnsi="Book Antiqua" w:cs="Book Antiqua"/>
          <w:color w:val="000000"/>
        </w:rPr>
        <w:t>occurrence</w:t>
      </w:r>
      <w:r w:rsidRPr="004D2D9E">
        <w:rPr>
          <w:rFonts w:ascii="Book Antiqua" w:eastAsia="Book Antiqua" w:hAnsi="Book Antiqua" w:cs="Book Antiqua"/>
          <w:color w:val="000000"/>
        </w:rPr>
        <w:t xml:space="preserve"> of chronic </w:t>
      </w:r>
      <w:r w:rsidR="00176A52" w:rsidRPr="004D2D9E">
        <w:rPr>
          <w:rFonts w:ascii="Book Antiqua" w:eastAsia="Book Antiqua" w:hAnsi="Book Antiqua" w:cs="Book Antiqua"/>
          <w:color w:val="000000"/>
        </w:rPr>
        <w:t>hepatitis C</w:t>
      </w:r>
      <w:r w:rsidRPr="004D2D9E">
        <w:rPr>
          <w:rFonts w:ascii="Book Antiqua" w:eastAsia="Book Antiqua" w:hAnsi="Book Antiqua" w:cs="Book Antiqua"/>
          <w:color w:val="000000"/>
        </w:rPr>
        <w:t xml:space="preserve"> in 30 (100%) recipients of different organs from HCV-</w:t>
      </w:r>
      <w:r w:rsidR="00176A52" w:rsidRPr="004D2D9E">
        <w:rPr>
          <w:rFonts w:ascii="Book Antiqua" w:eastAsia="Book Antiqua" w:hAnsi="Book Antiqua" w:cs="Book Antiqua"/>
          <w:color w:val="000000"/>
        </w:rPr>
        <w:t>positive</w:t>
      </w:r>
      <w:r w:rsidRPr="004D2D9E">
        <w:rPr>
          <w:rFonts w:ascii="Book Antiqua" w:eastAsia="Book Antiqua" w:hAnsi="Book Antiqua" w:cs="Book Antiqua"/>
          <w:color w:val="000000"/>
        </w:rPr>
        <w:t xml:space="preserve"> donors. </w:t>
      </w:r>
    </w:p>
    <w:p w14:paraId="294AB6B0" w14:textId="304C21A2" w:rsidR="003C7086" w:rsidRPr="004D2D9E" w:rsidRDefault="00CA77E2" w:rsidP="005732C9">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Although patients with HCV infection had a higher risk of post-</w:t>
      </w:r>
      <w:r w:rsidR="005732C9" w:rsidRPr="004D2D9E">
        <w:rPr>
          <w:rFonts w:ascii="Book Antiqua" w:eastAsia="Book Antiqua" w:hAnsi="Book Antiqua" w:cs="Book Antiqua"/>
          <w:color w:val="000000"/>
          <w:shd w:val="clear" w:color="auto" w:fill="FFFFFF"/>
        </w:rPr>
        <w:t>liver transplant (LT)</w:t>
      </w:r>
      <w:r w:rsidRPr="004D2D9E">
        <w:rPr>
          <w:rFonts w:ascii="Book Antiqua" w:eastAsia="Book Antiqua" w:hAnsi="Book Antiqua" w:cs="Book Antiqua"/>
          <w:color w:val="000000"/>
        </w:rPr>
        <w:t xml:space="preserve"> graft failure and death in the pre-DAA era, this issue seems to be solved in the post-DAA era</w:t>
      </w:r>
      <w:r w:rsidR="005732C9" w:rsidRPr="004D2D9E">
        <w:rPr>
          <w:rFonts w:ascii="Book Antiqua" w:eastAsia="Book Antiqua" w:hAnsi="Book Antiqua" w:cs="Book Antiqua"/>
          <w:color w:val="000000"/>
          <w:vertAlign w:val="superscript"/>
        </w:rPr>
        <w:t>[63]</w:t>
      </w:r>
      <w:r w:rsidR="00D4261C" w:rsidRPr="004D2D9E">
        <w:rPr>
          <w:rFonts w:ascii="Book Antiqua" w:eastAsia="Book Antiqua" w:hAnsi="Book Antiqua" w:cs="Book Antiqua"/>
          <w:color w:val="000000"/>
        </w:rPr>
        <w:t xml:space="preserve">. </w:t>
      </w:r>
      <w:r w:rsidR="00D4261C" w:rsidRPr="004D2D9E">
        <w:rPr>
          <w:rFonts w:ascii="Book Antiqua" w:eastAsia="Book Antiqua" w:hAnsi="Book Antiqua" w:cs="Book Antiqua"/>
          <w:color w:val="000000"/>
          <w:shd w:val="clear" w:color="auto" w:fill="FFFFFF"/>
        </w:rPr>
        <w:t>The burden of HCV-related LT waitlist and LT is declining in the DAA era, with improved post-transplant outcomes</w:t>
      </w:r>
      <w:r w:rsidR="005732C9" w:rsidRPr="004D2D9E">
        <w:rPr>
          <w:rFonts w:ascii="Book Antiqua" w:eastAsia="Book Antiqua" w:hAnsi="Book Antiqua" w:cs="Book Antiqua"/>
          <w:color w:val="000000"/>
          <w:shd w:val="clear" w:color="auto" w:fill="FFFFFF"/>
          <w:vertAlign w:val="superscript"/>
        </w:rPr>
        <w:t>[64]</w:t>
      </w:r>
      <w:r w:rsidR="00D4261C" w:rsidRPr="004D2D9E">
        <w:rPr>
          <w:rFonts w:ascii="Book Antiqua" w:eastAsia="Book Antiqua" w:hAnsi="Book Antiqua" w:cs="Book Antiqua"/>
          <w:color w:val="000000"/>
          <w:shd w:val="clear" w:color="auto" w:fill="FFFFFF"/>
        </w:rPr>
        <w:t xml:space="preserve">. </w:t>
      </w:r>
      <w:r w:rsidR="00370663" w:rsidRPr="004D2D9E">
        <w:rPr>
          <w:rFonts w:ascii="Book Antiqua" w:eastAsia="Book Antiqua" w:hAnsi="Book Antiqua" w:cs="Book Antiqua"/>
          <w:color w:val="000000"/>
        </w:rPr>
        <w:t>It probably reflects the impact of DAAs on bettering post-</w:t>
      </w:r>
      <w:r w:rsidR="005732C9" w:rsidRPr="004D2D9E">
        <w:rPr>
          <w:rFonts w:ascii="Book Antiqua" w:eastAsia="Book Antiqua" w:hAnsi="Book Antiqua" w:cs="Book Antiqua"/>
          <w:color w:val="000000"/>
          <w:shd w:val="clear" w:color="auto" w:fill="FFFFFF"/>
        </w:rPr>
        <w:t>LT</w:t>
      </w:r>
      <w:r w:rsidR="00370663" w:rsidRPr="004D2D9E">
        <w:rPr>
          <w:rFonts w:ascii="Book Antiqua" w:eastAsia="Book Antiqua" w:hAnsi="Book Antiqua" w:cs="Book Antiqua"/>
          <w:color w:val="000000"/>
        </w:rPr>
        <w:t xml:space="preserve"> results in patients with hepatitis C and maybe also a better patient selection for a </w:t>
      </w:r>
      <w:r w:rsidR="005732C9" w:rsidRPr="004D2D9E">
        <w:rPr>
          <w:rFonts w:ascii="Book Antiqua" w:eastAsia="Book Antiqua" w:hAnsi="Book Antiqua" w:cs="Book Antiqua"/>
          <w:color w:val="000000"/>
          <w:shd w:val="clear" w:color="auto" w:fill="FFFFFF"/>
        </w:rPr>
        <w:t>LT</w:t>
      </w:r>
      <w:r w:rsidR="00370663" w:rsidRPr="004D2D9E">
        <w:rPr>
          <w:rFonts w:ascii="Book Antiqua" w:eastAsia="Book Antiqua" w:hAnsi="Book Antiqua" w:cs="Book Antiqua"/>
          <w:color w:val="000000"/>
        </w:rPr>
        <w:t xml:space="preserve"> after 2014</w:t>
      </w:r>
      <w:r w:rsidR="005732C9" w:rsidRPr="004D2D9E">
        <w:rPr>
          <w:rFonts w:ascii="Book Antiqua" w:eastAsia="Book Antiqua" w:hAnsi="Book Antiqua" w:cs="Book Antiqua"/>
          <w:color w:val="000000"/>
          <w:vertAlign w:val="superscript"/>
        </w:rPr>
        <w:t>[63]</w:t>
      </w:r>
      <w:r w:rsidR="00D4261C" w:rsidRPr="004D2D9E">
        <w:rPr>
          <w:rFonts w:ascii="Book Antiqua" w:eastAsia="Book Antiqua" w:hAnsi="Book Antiqua" w:cs="Book Antiqua"/>
          <w:color w:val="000000"/>
        </w:rPr>
        <w:t xml:space="preserve">. </w:t>
      </w:r>
      <w:r w:rsidR="00370663" w:rsidRPr="004D2D9E">
        <w:rPr>
          <w:rFonts w:ascii="Book Antiqua" w:eastAsia="Book Antiqua" w:hAnsi="Book Antiqua" w:cs="Book Antiqua"/>
          <w:color w:val="000000"/>
        </w:rPr>
        <w:t xml:space="preserve">After the availability of DAAs, HCV as an indication for </w:t>
      </w:r>
      <w:r w:rsidR="005732C9" w:rsidRPr="004D2D9E">
        <w:rPr>
          <w:rFonts w:ascii="Book Antiqua" w:eastAsia="Book Antiqua" w:hAnsi="Book Antiqua" w:cs="Book Antiqua"/>
          <w:color w:val="000000"/>
          <w:shd w:val="clear" w:color="auto" w:fill="FFFFFF"/>
        </w:rPr>
        <w:t>LT</w:t>
      </w:r>
      <w:r w:rsidR="00370663" w:rsidRPr="004D2D9E">
        <w:rPr>
          <w:rFonts w:ascii="Book Antiqua" w:eastAsia="Book Antiqua" w:hAnsi="Book Antiqua" w:cs="Book Antiqua"/>
          <w:color w:val="000000"/>
        </w:rPr>
        <w:t xml:space="preserve"> has reduced, patients exhibit a less severe disease at transplantation, and there is a trend towards better patient survival</w:t>
      </w:r>
      <w:r w:rsidR="005732C9" w:rsidRPr="004D2D9E">
        <w:rPr>
          <w:rFonts w:ascii="Book Antiqua" w:eastAsia="Book Antiqua" w:hAnsi="Book Antiqua" w:cs="Book Antiqua"/>
          <w:color w:val="000000"/>
          <w:shd w:val="clear" w:color="auto" w:fill="FFFFFF"/>
          <w:vertAlign w:val="superscript"/>
        </w:rPr>
        <w:t>[65</w:t>
      </w:r>
      <w:r w:rsidR="005732C9">
        <w:rPr>
          <w:rFonts w:ascii="Book Antiqua" w:eastAsia="Book Antiqua" w:hAnsi="Book Antiqua" w:cs="Book Antiqua"/>
          <w:color w:val="000000"/>
          <w:shd w:val="clear" w:color="auto" w:fill="FFFFFF"/>
          <w:vertAlign w:val="superscript"/>
        </w:rPr>
        <w:t>,</w:t>
      </w:r>
      <w:r w:rsidR="005732C9" w:rsidRPr="004D2D9E">
        <w:rPr>
          <w:rFonts w:ascii="Book Antiqua" w:eastAsia="Book Antiqua" w:hAnsi="Book Antiqua" w:cs="Book Antiqua"/>
          <w:color w:val="000000"/>
          <w:shd w:val="clear" w:color="auto" w:fill="FFFFFF"/>
          <w:vertAlign w:val="superscript"/>
        </w:rPr>
        <w:t>66]</w:t>
      </w:r>
      <w:r w:rsidR="00D4261C" w:rsidRPr="004D2D9E">
        <w:rPr>
          <w:rFonts w:ascii="Book Antiqua" w:eastAsia="Book Antiqua" w:hAnsi="Book Antiqua" w:cs="Book Antiqua"/>
          <w:color w:val="000000"/>
          <w:shd w:val="clear" w:color="auto" w:fill="FFFFFF"/>
        </w:rPr>
        <w:t>.</w:t>
      </w:r>
    </w:p>
    <w:p w14:paraId="324F3FF3" w14:textId="1867CD19" w:rsidR="003C7086" w:rsidRPr="004D2D9E" w:rsidRDefault="00CA77E2" w:rsidP="005732C9">
      <w:pPr>
        <w:spacing w:line="360" w:lineRule="auto"/>
        <w:ind w:firstLineChars="200" w:firstLine="480"/>
        <w:jc w:val="both"/>
        <w:rPr>
          <w:rFonts w:ascii="Book Antiqua" w:hAnsi="Book Antiqua"/>
        </w:rPr>
      </w:pPr>
      <w:r w:rsidRPr="004D2D9E">
        <w:rPr>
          <w:rFonts w:ascii="Book Antiqua" w:eastAsia="Book Antiqua" w:hAnsi="Book Antiqua" w:cs="Book Antiqua"/>
          <w:color w:val="000000"/>
          <w:shd w:val="clear" w:color="auto" w:fill="FFFFFF"/>
        </w:rPr>
        <w:t xml:space="preserve">Overall listing rates for decompensated HCV cirrhosis have decreased in the DAA era. According to Bittermann </w:t>
      </w:r>
      <w:r w:rsidR="00553699">
        <w:rPr>
          <w:rFonts w:ascii="Book Antiqua" w:eastAsia="Book Antiqua" w:hAnsi="Book Antiqua" w:cs="Book Antiqua"/>
          <w:color w:val="000000"/>
          <w:shd w:val="clear" w:color="auto" w:fill="FFFFFF"/>
        </w:rPr>
        <w:t xml:space="preserve">and </w:t>
      </w:r>
      <w:r w:rsidR="00553699" w:rsidRPr="004D2D9E">
        <w:rPr>
          <w:rFonts w:ascii="Book Antiqua" w:hAnsi="Book Antiqua"/>
        </w:rPr>
        <w:t>Reddy</w:t>
      </w:r>
      <w:r w:rsidR="005732C9" w:rsidRPr="004D2D9E">
        <w:rPr>
          <w:rFonts w:ascii="Book Antiqua" w:eastAsia="Book Antiqua" w:hAnsi="Book Antiqua" w:cs="Book Antiqua"/>
          <w:color w:val="000000"/>
          <w:shd w:val="clear" w:color="auto" w:fill="FFFFFF"/>
          <w:vertAlign w:val="superscript"/>
        </w:rPr>
        <w:t>[67]</w:t>
      </w:r>
      <w:r w:rsidR="004C378C">
        <w:rPr>
          <w:rFonts w:ascii="Book Antiqua" w:eastAsia="Book Antiqua" w:hAnsi="Book Antiqua" w:cs="Book Antiqua"/>
          <w:color w:val="000000"/>
        </w:rPr>
        <w:t xml:space="preserve">, </w:t>
      </w:r>
      <w:r w:rsidRPr="004D2D9E">
        <w:rPr>
          <w:rFonts w:ascii="Book Antiqua" w:eastAsia="Book Antiqua" w:hAnsi="Book Antiqua" w:cs="Book Antiqua"/>
          <w:color w:val="000000"/>
        </w:rPr>
        <w:t xml:space="preserve">waitlist recovery is more frequent for HCV patients post-DAAs </w:t>
      </w:r>
      <w:r w:rsidR="00903A32">
        <w:rPr>
          <w:rFonts w:ascii="Book Antiqua" w:eastAsia="Book Antiqua" w:hAnsi="Book Antiqua" w:cs="Book Antiqua"/>
          <w:color w:val="000000"/>
        </w:rPr>
        <w:t>[</w:t>
      </w:r>
      <w:r w:rsidRPr="004D2D9E">
        <w:rPr>
          <w:rFonts w:ascii="Book Antiqua" w:eastAsia="Book Antiqua" w:hAnsi="Book Antiqua" w:cs="Book Antiqua"/>
          <w:color w:val="000000"/>
        </w:rPr>
        <w:t xml:space="preserve">adjusted survival hazard ratio 1.78 </w:t>
      </w:r>
      <w:r w:rsidRPr="004D2D9E">
        <w:rPr>
          <w:rFonts w:ascii="Book Antiqua" w:eastAsia="Book Antiqua" w:hAnsi="Book Antiqua" w:cs="Book Antiqua"/>
          <w:i/>
          <w:iCs/>
          <w:color w:val="000000"/>
          <w:shd w:val="clear" w:color="auto" w:fill="FFFFFF"/>
        </w:rPr>
        <w:t>vs</w:t>
      </w:r>
      <w:r w:rsidRPr="004D2D9E">
        <w:rPr>
          <w:rFonts w:ascii="Book Antiqua" w:eastAsia="Book Antiqua" w:hAnsi="Book Antiqua" w:cs="Book Antiqua"/>
          <w:color w:val="000000"/>
        </w:rPr>
        <w:t xml:space="preserve"> pre-DAAs, 95% confidence interval </w:t>
      </w:r>
      <w:r w:rsidR="00903A32">
        <w:rPr>
          <w:rFonts w:ascii="Book Antiqua" w:eastAsia="Book Antiqua" w:hAnsi="Book Antiqua" w:cs="Book Antiqua"/>
          <w:color w:val="000000"/>
        </w:rPr>
        <w:t>(</w:t>
      </w:r>
      <w:r w:rsidRPr="004D2D9E">
        <w:rPr>
          <w:rFonts w:ascii="Book Antiqua" w:eastAsia="Book Antiqua" w:hAnsi="Book Antiqua" w:cs="Book Antiqua"/>
          <w:color w:val="000000"/>
        </w:rPr>
        <w:t>95%CI</w:t>
      </w:r>
      <w:r w:rsidR="00903A32">
        <w:rPr>
          <w:rFonts w:ascii="Book Antiqua" w:eastAsia="Book Antiqua" w:hAnsi="Book Antiqua" w:cs="Book Antiqua"/>
          <w:color w:val="000000"/>
        </w:rPr>
        <w:t>)</w:t>
      </w:r>
      <w:r w:rsidRPr="004D2D9E">
        <w:rPr>
          <w:rFonts w:ascii="Book Antiqua" w:eastAsia="Book Antiqua" w:hAnsi="Book Antiqua" w:cs="Book Antiqua"/>
          <w:color w:val="000000"/>
        </w:rPr>
        <w:t xml:space="preserve">: 1.58-2.02; </w:t>
      </w:r>
      <w:r w:rsidRPr="004D2D9E">
        <w:rPr>
          <w:rFonts w:ascii="Book Antiqua" w:eastAsia="Book Antiqua" w:hAnsi="Book Antiqua" w:cs="Book Antiqua"/>
          <w:i/>
          <w:iCs/>
          <w:color w:val="000000"/>
          <w:shd w:val="clear" w:color="auto" w:fill="FFFFFF"/>
        </w:rPr>
        <w:t xml:space="preserve">P </w:t>
      </w:r>
      <w:r w:rsidRPr="004D2D9E">
        <w:rPr>
          <w:rFonts w:ascii="Book Antiqua" w:eastAsia="Book Antiqua" w:hAnsi="Book Antiqua" w:cs="Book Antiqua"/>
          <w:color w:val="000000"/>
          <w:shd w:val="clear" w:color="auto" w:fill="FFFFFF"/>
        </w:rPr>
        <w:t>&lt;</w:t>
      </w:r>
      <w:r w:rsidRPr="004D2D9E">
        <w:rPr>
          <w:rFonts w:ascii="Book Antiqua" w:eastAsia="Book Antiqua" w:hAnsi="Book Antiqua" w:cs="Book Antiqua"/>
          <w:i/>
          <w:iCs/>
          <w:color w:val="000000"/>
          <w:shd w:val="clear" w:color="auto" w:fill="FFFFFF"/>
        </w:rPr>
        <w:t xml:space="preserve"> </w:t>
      </w:r>
      <w:r w:rsidRPr="004D2D9E">
        <w:rPr>
          <w:rFonts w:ascii="Book Antiqua" w:eastAsia="Book Antiqua" w:hAnsi="Book Antiqua" w:cs="Book Antiqua"/>
          <w:color w:val="000000"/>
        </w:rPr>
        <w:t>0.001</w:t>
      </w:r>
      <w:r w:rsidR="00903A32">
        <w:rPr>
          <w:rFonts w:ascii="Book Antiqua" w:eastAsia="Book Antiqua" w:hAnsi="Book Antiqua" w:cs="Book Antiqua"/>
          <w:color w:val="000000"/>
        </w:rPr>
        <w:t>]</w:t>
      </w:r>
      <w:r w:rsidRPr="004D2D9E">
        <w:rPr>
          <w:rFonts w:ascii="Book Antiqua" w:eastAsia="Book Antiqua" w:hAnsi="Book Antiqua" w:cs="Book Antiqua"/>
          <w:color w:val="000000"/>
        </w:rPr>
        <w:t xml:space="preserve">, while improvements in waitlist mortality by era are similar to non-HCV candidates </w:t>
      </w:r>
      <w:r w:rsidR="00903A32">
        <w:rPr>
          <w:rFonts w:ascii="Book Antiqua" w:eastAsia="Book Antiqua" w:hAnsi="Book Antiqua" w:cs="Book Antiqua"/>
          <w:color w:val="000000"/>
        </w:rPr>
        <w:t>[</w:t>
      </w:r>
      <w:r w:rsidR="004C378C" w:rsidRPr="004D2D9E">
        <w:rPr>
          <w:rFonts w:ascii="Book Antiqua" w:eastAsia="Book Antiqua" w:hAnsi="Book Antiqua" w:cs="Book Antiqua"/>
          <w:color w:val="000000"/>
        </w:rPr>
        <w:t>adjusted survival hazard ratio</w:t>
      </w:r>
      <w:r w:rsidR="004C378C" w:rsidRPr="004D2D9E" w:rsidDel="004C378C">
        <w:rPr>
          <w:rFonts w:ascii="Book Antiqua" w:eastAsia="Book Antiqua" w:hAnsi="Book Antiqua" w:cs="Book Antiqua"/>
          <w:color w:val="000000"/>
        </w:rPr>
        <w:t xml:space="preserve"> </w:t>
      </w:r>
      <w:r w:rsidRPr="004D2D9E">
        <w:rPr>
          <w:rFonts w:ascii="Book Antiqua" w:eastAsia="Book Antiqua" w:hAnsi="Book Antiqua" w:cs="Book Antiqua"/>
          <w:color w:val="000000"/>
        </w:rPr>
        <w:t xml:space="preserve">0.74 </w:t>
      </w:r>
      <w:r w:rsidR="00903A32">
        <w:rPr>
          <w:rFonts w:ascii="Book Antiqua" w:eastAsia="Book Antiqua" w:hAnsi="Book Antiqua" w:cs="Book Antiqua"/>
          <w:color w:val="000000"/>
        </w:rPr>
        <w:t>(</w:t>
      </w:r>
      <w:r w:rsidRPr="004D2D9E">
        <w:rPr>
          <w:rFonts w:ascii="Book Antiqua" w:eastAsia="Book Antiqua" w:hAnsi="Book Antiqua" w:cs="Book Antiqua"/>
          <w:color w:val="000000"/>
        </w:rPr>
        <w:t xml:space="preserve">95%CI: 0.7-0.78; </w:t>
      </w:r>
      <w:r w:rsidR="00903A32" w:rsidRPr="00903A32">
        <w:rPr>
          <w:rFonts w:ascii="Book Antiqua" w:eastAsia="Book Antiqua" w:hAnsi="Book Antiqua" w:cs="Book Antiqua"/>
          <w:i/>
          <w:iCs/>
          <w:color w:val="000000"/>
        </w:rPr>
        <w:t>P</w:t>
      </w:r>
      <w:r w:rsidRPr="004D2D9E">
        <w:rPr>
          <w:rFonts w:ascii="Book Antiqua" w:eastAsia="Book Antiqua" w:hAnsi="Book Antiqua" w:cs="Book Antiqua"/>
          <w:color w:val="000000"/>
        </w:rPr>
        <w:t xml:space="preserve"> &lt;</w:t>
      </w:r>
      <w:r w:rsidR="00903A32">
        <w:rPr>
          <w:rFonts w:ascii="Book Antiqua" w:eastAsia="Book Antiqua" w:hAnsi="Book Antiqua" w:cs="Book Antiqua"/>
          <w:color w:val="000000"/>
        </w:rPr>
        <w:t xml:space="preserve"> </w:t>
      </w:r>
      <w:r w:rsidRPr="004D2D9E">
        <w:rPr>
          <w:rFonts w:ascii="Book Antiqua" w:eastAsia="Book Antiqua" w:hAnsi="Book Antiqua" w:cs="Book Antiqua"/>
          <w:color w:val="000000"/>
        </w:rPr>
        <w:t>0.001</w:t>
      </w:r>
      <w:r w:rsidR="00903A32">
        <w:rPr>
          <w:rFonts w:ascii="Book Antiqua" w:eastAsia="Book Antiqua" w:hAnsi="Book Antiqua" w:cs="Book Antiqua"/>
          <w:color w:val="000000"/>
        </w:rPr>
        <w:t>)</w:t>
      </w:r>
      <w:r w:rsidRPr="004D2D9E">
        <w:rPr>
          <w:rFonts w:ascii="Book Antiqua" w:eastAsia="Book Antiqua" w:hAnsi="Book Antiqua" w:cs="Book Antiqua"/>
          <w:color w:val="000000"/>
        </w:rPr>
        <w:t xml:space="preserve"> and 0.77 </w:t>
      </w:r>
      <w:r w:rsidR="00903A32">
        <w:rPr>
          <w:rFonts w:ascii="Book Antiqua" w:eastAsia="Book Antiqua" w:hAnsi="Book Antiqua" w:cs="Book Antiqua"/>
          <w:color w:val="000000"/>
        </w:rPr>
        <w:t>(</w:t>
      </w:r>
      <w:r w:rsidRPr="004D2D9E">
        <w:rPr>
          <w:rFonts w:ascii="Book Antiqua" w:eastAsia="Book Antiqua" w:hAnsi="Book Antiqua" w:cs="Book Antiqua"/>
          <w:color w:val="000000"/>
        </w:rPr>
        <w:t xml:space="preserve">95%CI: 0.74-0.8; </w:t>
      </w:r>
      <w:r w:rsidRPr="004D2D9E">
        <w:rPr>
          <w:rFonts w:ascii="Book Antiqua" w:eastAsia="Book Antiqua" w:hAnsi="Book Antiqua" w:cs="Book Antiqua"/>
          <w:i/>
          <w:iCs/>
          <w:color w:val="000000"/>
          <w:shd w:val="clear" w:color="auto" w:fill="FFFFFF"/>
        </w:rPr>
        <w:t>P</w:t>
      </w:r>
      <w:r w:rsidRPr="004D2D9E">
        <w:rPr>
          <w:rFonts w:ascii="Book Antiqua" w:eastAsia="Book Antiqua" w:hAnsi="Book Antiqua" w:cs="Book Antiqua"/>
          <w:color w:val="000000"/>
          <w:shd w:val="clear" w:color="auto" w:fill="FFFFFF"/>
        </w:rPr>
        <w:t xml:space="preserve"> &lt; 0.001</w:t>
      </w:r>
      <w:r w:rsidR="00903A32">
        <w:rPr>
          <w:rFonts w:ascii="Book Antiqua" w:eastAsia="Book Antiqua" w:hAnsi="Book Antiqua" w:cs="Book Antiqua"/>
          <w:color w:val="000000"/>
          <w:shd w:val="clear" w:color="auto" w:fill="FFFFFF"/>
        </w:rPr>
        <w:t>)</w:t>
      </w:r>
      <w:r w:rsidRPr="004D2D9E">
        <w:rPr>
          <w:rFonts w:ascii="Book Antiqua" w:eastAsia="Book Antiqua" w:hAnsi="Book Antiqua" w:cs="Book Antiqua"/>
          <w:color w:val="000000"/>
          <w:shd w:val="clear" w:color="auto" w:fill="FFFFFF"/>
        </w:rPr>
        <w:t>, respectively</w:t>
      </w:r>
      <w:r w:rsidR="00903A32">
        <w:rPr>
          <w:rFonts w:ascii="Book Antiqua" w:eastAsia="Book Antiqua" w:hAnsi="Book Antiqua" w:cs="Book Antiqua"/>
          <w:color w:val="000000"/>
          <w:shd w:val="clear" w:color="auto" w:fill="FFFFFF"/>
        </w:rPr>
        <w:t>]</w:t>
      </w:r>
      <w:r w:rsidR="005732C9" w:rsidRPr="004D2D9E">
        <w:rPr>
          <w:rFonts w:ascii="Book Antiqua" w:eastAsia="Book Antiqua" w:hAnsi="Book Antiqua" w:cs="Book Antiqua"/>
          <w:color w:val="000000"/>
          <w:shd w:val="clear" w:color="auto" w:fill="FFFFFF"/>
          <w:vertAlign w:val="superscript"/>
        </w:rPr>
        <w:t>[67]</w:t>
      </w:r>
      <w:r w:rsidRPr="004D2D9E">
        <w:rPr>
          <w:rFonts w:ascii="Book Antiqua" w:eastAsia="Book Antiqua" w:hAnsi="Book Antiqua" w:cs="Book Antiqua"/>
          <w:color w:val="000000"/>
          <w:shd w:val="clear" w:color="auto" w:fill="FFFFFF"/>
        </w:rPr>
        <w:t xml:space="preserve">. </w:t>
      </w:r>
    </w:p>
    <w:p w14:paraId="25552818" w14:textId="77777777" w:rsidR="003C7086" w:rsidRPr="004D2D9E" w:rsidRDefault="003C7086" w:rsidP="004D2D9E">
      <w:pPr>
        <w:spacing w:line="360" w:lineRule="auto"/>
        <w:jc w:val="both"/>
        <w:rPr>
          <w:rFonts w:ascii="Book Antiqua" w:hAnsi="Book Antiqua"/>
        </w:rPr>
      </w:pPr>
    </w:p>
    <w:p w14:paraId="4EEFD9E3" w14:textId="77777777" w:rsidR="003C7086" w:rsidRPr="00357667" w:rsidRDefault="00CA77E2" w:rsidP="004D2D9E">
      <w:pPr>
        <w:spacing w:line="360" w:lineRule="auto"/>
        <w:jc w:val="both"/>
        <w:rPr>
          <w:rFonts w:ascii="Book Antiqua" w:eastAsia="Book Antiqua" w:hAnsi="Book Antiqua" w:cs="Book Antiqua"/>
          <w:b/>
          <w:caps/>
          <w:color w:val="000000"/>
          <w:u w:val="single"/>
        </w:rPr>
      </w:pPr>
      <w:r w:rsidRPr="00357667">
        <w:rPr>
          <w:rFonts w:ascii="Book Antiqua" w:eastAsia="Book Antiqua" w:hAnsi="Book Antiqua" w:cs="Book Antiqua"/>
          <w:b/>
          <w:caps/>
          <w:color w:val="000000"/>
          <w:u w:val="single"/>
        </w:rPr>
        <w:lastRenderedPageBreak/>
        <w:t>The strategies to control hepatitis B transmission and to control the burden of disease</w:t>
      </w:r>
    </w:p>
    <w:p w14:paraId="6286CA01" w14:textId="0C894B0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rPr>
        <w:t>Universal vaccination is the essential strategy to prevent HBV transmission. Already in 1992, WHO recommended introducing universal childhood vaccination all around the world. Nowadays, at least 180 countries have adopted this recommendation</w:t>
      </w:r>
      <w:r w:rsidR="00903A32" w:rsidRPr="004D2D9E">
        <w:rPr>
          <w:rFonts w:ascii="Book Antiqua" w:eastAsia="Book Antiqua" w:hAnsi="Book Antiqua" w:cs="Book Antiqua"/>
          <w:color w:val="000000"/>
          <w:vertAlign w:val="superscript"/>
        </w:rPr>
        <w:t>[68]</w:t>
      </w:r>
      <w:r w:rsidRPr="004D2D9E">
        <w:rPr>
          <w:rFonts w:ascii="Book Antiqua" w:eastAsia="Book Antiqua" w:hAnsi="Book Antiqua" w:cs="Book Antiqua"/>
          <w:color w:val="000000"/>
        </w:rPr>
        <w:t xml:space="preserve">. The efficacy of universal vaccination programs has been demonstrated in several countries all around the world. In Taiwan, </w:t>
      </w:r>
      <w:r w:rsidRPr="004D2D9E">
        <w:rPr>
          <w:rFonts w:ascii="Book Antiqua" w:eastAsia="Book Antiqua" w:hAnsi="Book Antiqua" w:cs="Book Antiqua"/>
          <w:color w:val="000000"/>
          <w:shd w:val="clear" w:color="auto" w:fill="FFFFFF"/>
        </w:rPr>
        <w:t>the prevalence of hepatitis B surface antigen (HBsAg) decreased notably from 14.3% in 1995 to 1.1% in 2009, and the seroprevalence of hepatitis B e-antigen (HBeAg) reduced from 5.9% in 1995 to 0.3% in 2009</w:t>
      </w:r>
      <w:r w:rsidR="00903A32" w:rsidRPr="004D2D9E">
        <w:rPr>
          <w:rFonts w:ascii="Book Antiqua" w:eastAsia="Book Antiqua" w:hAnsi="Book Antiqua" w:cs="Book Antiqua"/>
          <w:color w:val="000000"/>
          <w:shd w:val="clear" w:color="auto" w:fill="FFFFFF"/>
          <w:vertAlign w:val="superscript"/>
        </w:rPr>
        <w:t>[69]</w:t>
      </w:r>
      <w:r w:rsidRPr="004D2D9E">
        <w:rPr>
          <w:rFonts w:ascii="Book Antiqua" w:eastAsia="Book Antiqua" w:hAnsi="Book Antiqua" w:cs="Book Antiqua"/>
          <w:color w:val="000000"/>
          <w:shd w:val="clear" w:color="auto" w:fill="FFFFFF"/>
        </w:rPr>
        <w:t>.</w:t>
      </w:r>
      <w:r w:rsidR="00903A32">
        <w:rPr>
          <w:rFonts w:ascii="Book Antiqua" w:eastAsia="Book Antiqua" w:hAnsi="Book Antiqua" w:cs="Book Antiqua"/>
          <w:color w:val="000000"/>
          <w:shd w:val="clear" w:color="auto" w:fill="FFFFFF"/>
        </w:rPr>
        <w:t xml:space="preserve"> </w:t>
      </w:r>
      <w:r w:rsidRPr="004D2D9E">
        <w:rPr>
          <w:rFonts w:ascii="Book Antiqua" w:eastAsia="Book Antiqua" w:hAnsi="Book Antiqua" w:cs="Book Antiqua"/>
          <w:color w:val="000000"/>
        </w:rPr>
        <w:t xml:space="preserve">Furthermore, in Taiwan, the HCC incidence </w:t>
      </w:r>
      <w:r w:rsidR="00102250" w:rsidRPr="004D2D9E">
        <w:rPr>
          <w:rFonts w:ascii="Book Antiqua" w:eastAsia="Book Antiqua" w:hAnsi="Book Antiqua" w:cs="Book Antiqua"/>
          <w:color w:val="000000"/>
        </w:rPr>
        <w:t xml:space="preserve">reduced </w:t>
      </w:r>
      <w:r w:rsidRPr="004D2D9E">
        <w:rPr>
          <w:rFonts w:ascii="Book Antiqua" w:eastAsia="Book Antiqua" w:hAnsi="Book Antiqua" w:cs="Book Antiqua"/>
          <w:color w:val="000000"/>
        </w:rPr>
        <w:t xml:space="preserve">from 0.57 to 0.17 </w:t>
      </w:r>
      <w:r w:rsidRPr="00903A32">
        <w:rPr>
          <w:rFonts w:ascii="Book Antiqua" w:eastAsia="Book Antiqua" w:hAnsi="Book Antiqua" w:cs="Book Antiqua"/>
          <w:i/>
          <w:iCs/>
          <w:color w:val="000000"/>
        </w:rPr>
        <w:t>per</w:t>
      </w:r>
      <w:r w:rsidRPr="004D2D9E">
        <w:rPr>
          <w:rFonts w:ascii="Book Antiqua" w:eastAsia="Book Antiqua" w:hAnsi="Book Antiqua" w:cs="Book Antiqua"/>
          <w:color w:val="000000"/>
        </w:rPr>
        <w:t xml:space="preserve"> 100000 person-years </w:t>
      </w:r>
      <w:r w:rsidR="00102250" w:rsidRPr="004D2D9E">
        <w:rPr>
          <w:rFonts w:ascii="Book Antiqua" w:eastAsia="Book Antiqua" w:hAnsi="Book Antiqua" w:cs="Book Antiqua"/>
          <w:color w:val="000000"/>
        </w:rPr>
        <w:t>following</w:t>
      </w:r>
      <w:r w:rsidRPr="004D2D9E">
        <w:rPr>
          <w:rFonts w:ascii="Book Antiqua" w:eastAsia="Book Antiqua" w:hAnsi="Book Antiqua" w:cs="Book Antiqua"/>
          <w:color w:val="000000"/>
        </w:rPr>
        <w:t xml:space="preserve"> mass anti-HBV vaccination</w:t>
      </w:r>
      <w:r w:rsidR="00903A32" w:rsidRPr="004D2D9E">
        <w:rPr>
          <w:rFonts w:ascii="Book Antiqua" w:eastAsia="Book Antiqua" w:hAnsi="Book Antiqua" w:cs="Book Antiqua"/>
          <w:color w:val="000000"/>
          <w:vertAlign w:val="superscript"/>
        </w:rPr>
        <w:t>[70]</w:t>
      </w:r>
      <w:r w:rsidRPr="004D2D9E">
        <w:rPr>
          <w:rFonts w:ascii="Book Antiqua" w:eastAsia="Book Antiqua" w:hAnsi="Book Antiqua" w:cs="Book Antiqua"/>
          <w:color w:val="000000"/>
        </w:rPr>
        <w:t>.</w:t>
      </w:r>
    </w:p>
    <w:p w14:paraId="680081D2" w14:textId="1FE7A385" w:rsidR="003C7086" w:rsidRPr="004D2D9E" w:rsidRDefault="00CA77E2" w:rsidP="00903A32">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Before the HBV vaccination program, Korea was considered an area of high endemicity</w:t>
      </w:r>
      <w:r w:rsidR="00D4261C" w:rsidRPr="004D2D9E">
        <w:rPr>
          <w:rFonts w:ascii="Book Antiqua" w:eastAsia="Book Antiqua" w:hAnsi="Book Antiqua" w:cs="Book Antiqua"/>
          <w:color w:val="000000"/>
        </w:rPr>
        <w:t xml:space="preserve">. </w:t>
      </w:r>
      <w:r w:rsidRPr="004D2D9E">
        <w:rPr>
          <w:rFonts w:ascii="Book Antiqua" w:eastAsia="Book Antiqua" w:hAnsi="Book Antiqua" w:cs="Book Antiqua"/>
          <w:color w:val="000000"/>
        </w:rPr>
        <w:t>Studies from the 1980s and 1990s revealed that chronic HBV carriage prevalence ranged from 8</w:t>
      </w:r>
      <w:r w:rsidR="00903A32" w:rsidRPr="004D2D9E">
        <w:rPr>
          <w:rFonts w:ascii="Book Antiqua" w:eastAsia="Book Antiqua" w:hAnsi="Book Antiqua" w:cs="Book Antiqua"/>
          <w:color w:val="000000"/>
        </w:rPr>
        <w:t>%</w:t>
      </w:r>
      <w:r w:rsidR="00377ED6">
        <w:rPr>
          <w:rFonts w:ascii="Book Antiqua" w:eastAsia="Book Antiqua" w:hAnsi="Book Antiqua" w:cs="Book Antiqua"/>
          <w:color w:val="000000"/>
        </w:rPr>
        <w:t>-</w:t>
      </w:r>
      <w:r w:rsidRPr="004D2D9E">
        <w:rPr>
          <w:rFonts w:ascii="Book Antiqua" w:eastAsia="Book Antiqua" w:hAnsi="Book Antiqua" w:cs="Book Antiqua"/>
          <w:color w:val="000000"/>
        </w:rPr>
        <w:t>10% before introducing the anti-HBV vaccination</w:t>
      </w:r>
      <w:r w:rsidR="00D4261C" w:rsidRPr="004D2D9E">
        <w:rPr>
          <w:rFonts w:ascii="Book Antiqua" w:eastAsia="Book Antiqua" w:hAnsi="Book Antiqua" w:cs="Book Antiqua"/>
          <w:color w:val="000000"/>
        </w:rPr>
        <w:t xml:space="preserve"> in Korea. Since 1990, </w:t>
      </w:r>
      <w:r w:rsidR="00D4261C" w:rsidRPr="004D2D9E">
        <w:rPr>
          <w:rFonts w:ascii="Book Antiqua" w:eastAsia="Book Antiqua" w:hAnsi="Book Antiqua" w:cs="Book Antiqua"/>
          <w:color w:val="000000"/>
          <w:shd w:val="clear" w:color="auto" w:fill="FFFFFF"/>
        </w:rPr>
        <w:t>the percentage of vaccinated infants has surpassed 98.9%, and after 25 years of active vaccination</w:t>
      </w:r>
      <w:r w:rsidR="00D4261C" w:rsidRPr="004D2D9E">
        <w:rPr>
          <w:rFonts w:ascii="Book Antiqua" w:eastAsia="Book Antiqua" w:hAnsi="Book Antiqua" w:cs="Book Antiqua"/>
          <w:color w:val="000000"/>
        </w:rPr>
        <w:t>, t</w:t>
      </w:r>
      <w:r w:rsidR="00D4261C" w:rsidRPr="004D2D9E">
        <w:rPr>
          <w:rFonts w:ascii="Book Antiqua" w:eastAsia="Book Antiqua" w:hAnsi="Book Antiqua" w:cs="Book Antiqua"/>
          <w:color w:val="000000"/>
          <w:shd w:val="clear" w:color="auto" w:fill="FFFFFF"/>
        </w:rPr>
        <w:t>he HBsAg carrier rate in the general population decreased to 3.7% in 2007. Also, the administration of the anti-HBV vaccine reduced the risk of HCC among adults</w:t>
      </w:r>
      <w:r w:rsidR="00903A32" w:rsidRPr="004D2D9E">
        <w:rPr>
          <w:rFonts w:ascii="Book Antiqua" w:eastAsia="Book Antiqua" w:hAnsi="Book Antiqua" w:cs="Book Antiqua"/>
          <w:color w:val="000000"/>
          <w:shd w:val="clear" w:color="auto" w:fill="FFFFFF"/>
          <w:vertAlign w:val="superscript"/>
        </w:rPr>
        <w:t>[71]</w:t>
      </w:r>
      <w:r w:rsidR="00D4261C" w:rsidRPr="004D2D9E">
        <w:rPr>
          <w:rFonts w:ascii="Book Antiqua" w:eastAsia="Book Antiqua" w:hAnsi="Book Antiqua" w:cs="Book Antiqua"/>
          <w:color w:val="000000"/>
          <w:shd w:val="clear" w:color="auto" w:fill="FFFFFF"/>
        </w:rPr>
        <w:t xml:space="preserve">. </w:t>
      </w:r>
    </w:p>
    <w:p w14:paraId="76813FFC" w14:textId="5C4F8FE1" w:rsidR="003C7086" w:rsidRPr="004D2D9E" w:rsidRDefault="00CA77E2" w:rsidP="00903A32">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Chars="200" w:firstLine="480"/>
        <w:jc w:val="both"/>
        <w:rPr>
          <w:rFonts w:ascii="Book Antiqua" w:hAnsi="Book Antiqua"/>
          <w:color w:val="000000"/>
        </w:rPr>
      </w:pPr>
      <w:r w:rsidRPr="004D2D9E">
        <w:rPr>
          <w:rFonts w:ascii="Book Antiqua" w:eastAsia="Book Antiqua" w:hAnsi="Book Antiqua" w:cs="Book Antiqua"/>
          <w:color w:val="000000"/>
          <w:shd w:val="clear" w:color="auto" w:fill="FFFFFF"/>
        </w:rPr>
        <w:t>However, continuous efforts are needed to ensure timely access to be vaccinated with comprehensive schemes</w:t>
      </w:r>
      <w:r w:rsidR="00903A32" w:rsidRPr="004D2D9E">
        <w:rPr>
          <w:rFonts w:ascii="Book Antiqua" w:eastAsia="Book Antiqua" w:hAnsi="Book Antiqua" w:cs="Book Antiqua"/>
          <w:color w:val="000000"/>
          <w:shd w:val="clear" w:color="auto" w:fill="FFFFFF"/>
          <w:vertAlign w:val="superscript"/>
        </w:rPr>
        <w:t>[72]</w:t>
      </w:r>
      <w:r w:rsidRPr="004D2D9E">
        <w:rPr>
          <w:rFonts w:ascii="Book Antiqua" w:eastAsia="Book Antiqua" w:hAnsi="Book Antiqua" w:cs="Book Antiqua"/>
          <w:color w:val="000000"/>
          <w:shd w:val="clear" w:color="auto" w:fill="FFFFFF"/>
        </w:rPr>
        <w:t xml:space="preserve">. In spite of the success of vaccination and therapy, chronic hepatitis B (CHB) infection remains a major </w:t>
      </w:r>
      <w:r w:rsidR="00EF4139" w:rsidRPr="004D2D9E">
        <w:rPr>
          <w:rFonts w:ascii="Book Antiqua" w:eastAsia="Book Antiqua" w:hAnsi="Book Antiqua" w:cs="Book Antiqua"/>
          <w:color w:val="000000"/>
          <w:shd w:val="clear" w:color="auto" w:fill="FFFFFF"/>
        </w:rPr>
        <w:t>concern</w:t>
      </w:r>
      <w:r w:rsidRPr="004D2D9E">
        <w:rPr>
          <w:rFonts w:ascii="Book Antiqua" w:eastAsia="Book Antiqua" w:hAnsi="Book Antiqua" w:cs="Book Antiqua"/>
          <w:color w:val="000000"/>
          <w:shd w:val="clear" w:color="auto" w:fill="FFFFFF"/>
        </w:rPr>
        <w:t xml:space="preserve"> </w:t>
      </w:r>
      <w:r w:rsidR="00EF4139" w:rsidRPr="004D2D9E">
        <w:rPr>
          <w:rFonts w:ascii="Book Antiqua" w:eastAsia="Book Antiqua" w:hAnsi="Book Antiqua" w:cs="Book Antiqua"/>
          <w:color w:val="000000"/>
          <w:shd w:val="clear" w:color="auto" w:fill="FFFFFF"/>
        </w:rPr>
        <w:t>due to</w:t>
      </w:r>
      <w:r w:rsidRPr="004D2D9E">
        <w:rPr>
          <w:rFonts w:ascii="Book Antiqua" w:eastAsia="Book Antiqua" w:hAnsi="Book Antiqua" w:cs="Book Antiqua"/>
          <w:color w:val="000000"/>
          <w:shd w:val="clear" w:color="auto" w:fill="FFFFFF"/>
        </w:rPr>
        <w:t xml:space="preserve"> many patients </w:t>
      </w:r>
      <w:r w:rsidR="00EF4139" w:rsidRPr="004D2D9E">
        <w:rPr>
          <w:rFonts w:ascii="Book Antiqua" w:eastAsia="Book Antiqua" w:hAnsi="Book Antiqua" w:cs="Book Antiqua"/>
          <w:color w:val="000000"/>
          <w:shd w:val="clear" w:color="auto" w:fill="FFFFFF"/>
        </w:rPr>
        <w:t>ignor</w:t>
      </w:r>
      <w:r w:rsidR="004C378C">
        <w:rPr>
          <w:rFonts w:ascii="Book Antiqua" w:eastAsia="Book Antiqua" w:hAnsi="Book Antiqua" w:cs="Book Antiqua"/>
          <w:color w:val="000000"/>
          <w:shd w:val="clear" w:color="auto" w:fill="FFFFFF"/>
        </w:rPr>
        <w:t>ing</w:t>
      </w:r>
      <w:r w:rsidRPr="004D2D9E">
        <w:rPr>
          <w:rFonts w:ascii="Book Antiqua" w:eastAsia="Book Antiqua" w:hAnsi="Book Antiqua" w:cs="Book Antiqua"/>
          <w:color w:val="000000"/>
          <w:shd w:val="clear" w:color="auto" w:fill="FFFFFF"/>
        </w:rPr>
        <w:t xml:space="preserve"> their </w:t>
      </w:r>
      <w:r w:rsidR="00EF4139" w:rsidRPr="004D2D9E">
        <w:rPr>
          <w:rFonts w:ascii="Book Antiqua" w:eastAsia="Book Antiqua" w:hAnsi="Book Antiqua" w:cs="Book Antiqua"/>
          <w:color w:val="000000"/>
          <w:shd w:val="clear" w:color="auto" w:fill="FFFFFF"/>
        </w:rPr>
        <w:t>clinical status</w:t>
      </w:r>
      <w:r w:rsidRPr="004D2D9E">
        <w:rPr>
          <w:rFonts w:ascii="Book Antiqua" w:eastAsia="Book Antiqua" w:hAnsi="Book Antiqua" w:cs="Book Antiqua"/>
          <w:color w:val="000000"/>
          <w:shd w:val="clear" w:color="auto" w:fill="FFFFFF"/>
        </w:rPr>
        <w:t xml:space="preserve">. </w:t>
      </w:r>
      <w:r w:rsidR="00881562" w:rsidRPr="004D2D9E">
        <w:rPr>
          <w:rFonts w:ascii="Book Antiqua" w:eastAsia="Book Antiqua" w:hAnsi="Book Antiqua" w:cs="Book Antiqua"/>
          <w:color w:val="000000"/>
          <w:shd w:val="clear" w:color="auto" w:fill="FFFFFF"/>
        </w:rPr>
        <w:t xml:space="preserve">The troubles in diagnosis and screening may be overcome by </w:t>
      </w:r>
      <w:r w:rsidR="002D0D1A" w:rsidRPr="004D2D9E">
        <w:rPr>
          <w:rFonts w:ascii="Book Antiqua" w:eastAsia="Book Antiqua" w:hAnsi="Book Antiqua" w:cs="Book Antiqua"/>
          <w:color w:val="000000"/>
          <w:shd w:val="clear" w:color="auto" w:fill="FFFFFF"/>
        </w:rPr>
        <w:t>lifting</w:t>
      </w:r>
      <w:r w:rsidR="00881562" w:rsidRPr="004D2D9E">
        <w:rPr>
          <w:rFonts w:ascii="Book Antiqua" w:eastAsia="Book Antiqua" w:hAnsi="Book Antiqua" w:cs="Book Antiqua"/>
          <w:color w:val="000000"/>
          <w:shd w:val="clear" w:color="auto" w:fill="FFFFFF"/>
        </w:rPr>
        <w:t xml:space="preserve"> awareness, favoring partnerships, and allocating resources</w:t>
      </w:r>
      <w:r w:rsidR="00903A32" w:rsidRPr="004D2D9E">
        <w:rPr>
          <w:rFonts w:ascii="Book Antiqua" w:eastAsia="Book Antiqua" w:hAnsi="Book Antiqua" w:cs="Book Antiqua"/>
          <w:color w:val="000000"/>
          <w:shd w:val="clear" w:color="auto" w:fill="FFFFFF"/>
          <w:vertAlign w:val="superscript"/>
        </w:rPr>
        <w:t>[73]</w:t>
      </w:r>
      <w:r w:rsidRPr="004D2D9E">
        <w:rPr>
          <w:rFonts w:ascii="Book Antiqua" w:eastAsia="Book Antiqua" w:hAnsi="Book Antiqua" w:cs="Book Antiqua"/>
          <w:color w:val="000000"/>
          <w:shd w:val="clear" w:color="auto" w:fill="FFFFFF"/>
        </w:rPr>
        <w:t xml:space="preserve">. In a meta-analysis of 26 studies, the prevalence of HBV infection in </w:t>
      </w:r>
      <w:r w:rsidR="0007476C" w:rsidRPr="004D2D9E">
        <w:rPr>
          <w:rFonts w:ascii="Book Antiqua" w:eastAsia="Book Antiqua" w:hAnsi="Book Antiqua" w:cs="Book Antiqua"/>
          <w:color w:val="000000"/>
          <w:shd w:val="clear" w:color="auto" w:fill="FFFFFF"/>
        </w:rPr>
        <w:t>non-</w:t>
      </w:r>
      <w:r w:rsidRPr="004D2D9E">
        <w:rPr>
          <w:rFonts w:ascii="Book Antiqua" w:eastAsia="Book Antiqua" w:hAnsi="Book Antiqua" w:cs="Book Antiqua"/>
          <w:color w:val="000000"/>
          <w:shd w:val="clear" w:color="auto" w:fill="FFFFFF"/>
        </w:rPr>
        <w:t xml:space="preserve">vaccinated and vaccinated cohorts </w:t>
      </w:r>
      <w:r w:rsidR="0007476C" w:rsidRPr="004D2D9E">
        <w:rPr>
          <w:rFonts w:ascii="Book Antiqua" w:eastAsia="Book Antiqua" w:hAnsi="Book Antiqua" w:cs="Book Antiqua"/>
          <w:color w:val="000000"/>
          <w:shd w:val="clear" w:color="auto" w:fill="FFFFFF"/>
        </w:rPr>
        <w:t>went</w:t>
      </w:r>
      <w:r w:rsidRPr="004D2D9E">
        <w:rPr>
          <w:rFonts w:ascii="Book Antiqua" w:eastAsia="Book Antiqua" w:hAnsi="Book Antiqua" w:cs="Book Antiqua"/>
          <w:color w:val="000000"/>
          <w:shd w:val="clear" w:color="auto" w:fill="FFFFFF"/>
        </w:rPr>
        <w:t xml:space="preserve"> from 0.6% to 16.3% and from 0.3% to 8.5%, respectively. The relative prevalence, comparing vaccinat</w:t>
      </w:r>
      <w:r w:rsidR="00F9102A" w:rsidRPr="004D2D9E">
        <w:rPr>
          <w:rFonts w:ascii="Book Antiqua" w:eastAsia="Book Antiqua" w:hAnsi="Book Antiqua" w:cs="Book Antiqua"/>
          <w:color w:val="000000"/>
          <w:shd w:val="clear" w:color="auto" w:fill="FFFFFF"/>
        </w:rPr>
        <w:t xml:space="preserve">ed </w:t>
      </w:r>
      <w:r w:rsidR="00F9102A" w:rsidRPr="00AB5EED">
        <w:rPr>
          <w:rFonts w:ascii="Book Antiqua" w:eastAsia="Book Antiqua" w:hAnsi="Book Antiqua" w:cs="Book Antiqua"/>
          <w:i/>
          <w:iCs/>
          <w:color w:val="000000"/>
          <w:shd w:val="clear" w:color="auto" w:fill="FFFFFF"/>
        </w:rPr>
        <w:t>vs</w:t>
      </w:r>
      <w:r w:rsidRPr="004D2D9E">
        <w:rPr>
          <w:rFonts w:ascii="Book Antiqua" w:eastAsia="Book Antiqua" w:hAnsi="Book Antiqua" w:cs="Book Antiqua"/>
          <w:color w:val="000000"/>
          <w:shd w:val="clear" w:color="auto" w:fill="FFFFFF"/>
        </w:rPr>
        <w:t xml:space="preserve"> </w:t>
      </w:r>
      <w:r w:rsidR="00F9102A" w:rsidRPr="004D2D9E">
        <w:rPr>
          <w:rFonts w:ascii="Book Antiqua" w:eastAsia="Book Antiqua" w:hAnsi="Book Antiqua" w:cs="Book Antiqua"/>
          <w:color w:val="000000"/>
          <w:shd w:val="clear" w:color="auto" w:fill="FFFFFF"/>
        </w:rPr>
        <w:t>non-</w:t>
      </w:r>
      <w:r w:rsidRPr="004D2D9E">
        <w:rPr>
          <w:rFonts w:ascii="Book Antiqua" w:eastAsia="Book Antiqua" w:hAnsi="Book Antiqua" w:cs="Book Antiqua"/>
          <w:color w:val="000000"/>
          <w:shd w:val="clear" w:color="auto" w:fill="FFFFFF"/>
        </w:rPr>
        <w:t>vaccinat</w:t>
      </w:r>
      <w:r w:rsidR="00F9102A" w:rsidRPr="004D2D9E">
        <w:rPr>
          <w:rFonts w:ascii="Book Antiqua" w:eastAsia="Book Antiqua" w:hAnsi="Book Antiqua" w:cs="Book Antiqua"/>
          <w:color w:val="000000"/>
          <w:shd w:val="clear" w:color="auto" w:fill="FFFFFF"/>
        </w:rPr>
        <w:t>ed</w:t>
      </w:r>
      <w:r w:rsidRPr="004D2D9E">
        <w:rPr>
          <w:rFonts w:ascii="Book Antiqua" w:eastAsia="Book Antiqua" w:hAnsi="Book Antiqua" w:cs="Book Antiqua"/>
          <w:color w:val="000000"/>
          <w:shd w:val="clear" w:color="auto" w:fill="FFFFFF"/>
        </w:rPr>
        <w:t>, was 0.24 (95%CI: 0.16-0.35) for HBsAg and 0.23 (95%CI: 0.17-0.32) for antibody anti-hepatitis B core antigen. For populations with targeted vaccination, relative prevalence was 0.32 (95%CI: 0.24-0.43) and 0.33 (95%CI: 0.23-0.45), respectively.</w:t>
      </w:r>
      <w:r w:rsidRPr="004D2D9E">
        <w:rPr>
          <w:rFonts w:ascii="Book Antiqua" w:eastAsia="Book Antiqua" w:hAnsi="Book Antiqua" w:cs="Book Antiqua"/>
          <w:color w:val="000000"/>
        </w:rPr>
        <w:t xml:space="preserve"> The residual burden of infection in cohorts offered vaccination suggests that longer-term evaluations of vaccination coverage, </w:t>
      </w:r>
      <w:r w:rsidRPr="004D2D9E">
        <w:rPr>
          <w:rFonts w:ascii="Book Antiqua" w:eastAsia="Book Antiqua" w:hAnsi="Book Antiqua" w:cs="Book Antiqua"/>
          <w:color w:val="000000"/>
        </w:rPr>
        <w:lastRenderedPageBreak/>
        <w:t>timeliness, and other program quality aspects are needed. As HBV-vaccinated infant cohorts reach adulthood, ongoing analysis of prevalence in adolescents and young adults will ensure that elimination efforts are on track</w:t>
      </w:r>
      <w:r w:rsidR="00903A32" w:rsidRPr="004D2D9E">
        <w:rPr>
          <w:rFonts w:ascii="Book Antiqua" w:eastAsia="Book Antiqua" w:hAnsi="Book Antiqua" w:cs="Book Antiqua"/>
          <w:color w:val="000000"/>
          <w:vertAlign w:val="superscript"/>
        </w:rPr>
        <w:t>[72]</w:t>
      </w:r>
      <w:r w:rsidRPr="004D2D9E">
        <w:rPr>
          <w:rFonts w:ascii="Book Antiqua" w:eastAsia="Book Antiqua" w:hAnsi="Book Antiqua" w:cs="Book Antiqua"/>
          <w:color w:val="000000"/>
        </w:rPr>
        <w:t>.</w:t>
      </w:r>
    </w:p>
    <w:p w14:paraId="57809990" w14:textId="36A805F7" w:rsidR="003C7086" w:rsidRPr="004D2D9E" w:rsidRDefault="00CA77E2" w:rsidP="00903A32">
      <w:pPr>
        <w:spacing w:line="360" w:lineRule="auto"/>
        <w:ind w:firstLineChars="200" w:firstLine="480"/>
        <w:jc w:val="both"/>
        <w:rPr>
          <w:rFonts w:ascii="Book Antiqua" w:hAnsi="Book Antiqua"/>
        </w:rPr>
      </w:pPr>
      <w:r w:rsidRPr="004D2D9E">
        <w:rPr>
          <w:rFonts w:ascii="Book Antiqua" w:eastAsia="Book Antiqua" w:hAnsi="Book Antiqua" w:cs="Book Antiqua"/>
          <w:color w:val="000000"/>
          <w:lang w:bidi="en-US"/>
        </w:rPr>
        <w:t xml:space="preserve">Notwithstanding guidelines suggest screening in high-risk groups </w:t>
      </w:r>
      <w:r w:rsidR="00375580" w:rsidRPr="004D2D9E">
        <w:rPr>
          <w:rFonts w:ascii="Book Antiqua" w:eastAsia="Book Antiqua" w:hAnsi="Book Antiqua" w:cs="Book Antiqua"/>
          <w:color w:val="000000"/>
          <w:lang w:bidi="en-US"/>
        </w:rPr>
        <w:t>like</w:t>
      </w:r>
      <w:r w:rsidRPr="004D2D9E">
        <w:rPr>
          <w:rFonts w:ascii="Book Antiqua" w:eastAsia="Book Antiqua" w:hAnsi="Book Antiqua" w:cs="Book Antiqua"/>
          <w:color w:val="000000"/>
          <w:lang w:bidi="en-US"/>
        </w:rPr>
        <w:t xml:space="preserve"> immigrants, these recommendations have not been </w:t>
      </w:r>
      <w:r w:rsidR="00EC737A" w:rsidRPr="004D2D9E">
        <w:rPr>
          <w:rFonts w:ascii="Book Antiqua" w:eastAsia="Book Antiqua" w:hAnsi="Book Antiqua" w:cs="Book Antiqua"/>
          <w:color w:val="000000"/>
          <w:lang w:bidi="en-US"/>
        </w:rPr>
        <w:t>adopted everywhere</w:t>
      </w:r>
      <w:r w:rsidR="00903A32" w:rsidRPr="004D2D9E">
        <w:rPr>
          <w:rFonts w:ascii="Book Antiqua" w:eastAsia="Book Antiqua" w:hAnsi="Book Antiqua" w:cs="Book Antiqua"/>
          <w:color w:val="000000"/>
          <w:shd w:val="clear" w:color="auto" w:fill="FFFFFF"/>
          <w:vertAlign w:val="superscript"/>
          <w:lang w:bidi="en-US"/>
        </w:rPr>
        <w:t>[73</w:t>
      </w:r>
      <w:r w:rsidR="00903A32" w:rsidRPr="004D2D9E">
        <w:rPr>
          <w:rFonts w:ascii="Book Antiqua" w:eastAsia="Book Antiqua" w:hAnsi="Book Antiqua" w:cs="Book Antiqua"/>
          <w:color w:val="000000"/>
          <w:shd w:val="clear" w:color="auto" w:fill="FFFFFF"/>
          <w:vertAlign w:val="superscript"/>
        </w:rPr>
        <w:t>]</w:t>
      </w:r>
      <w:r w:rsidRPr="004D2D9E">
        <w:rPr>
          <w:rFonts w:ascii="Book Antiqua" w:eastAsia="Book Antiqua" w:hAnsi="Book Antiqua" w:cs="Book Antiqua"/>
          <w:color w:val="000000"/>
          <w:shd w:val="clear" w:color="auto" w:fill="FFFFFF"/>
          <w:lang w:bidi="en-US"/>
        </w:rPr>
        <w:t>.</w:t>
      </w:r>
      <w:r w:rsidRPr="004D2D9E">
        <w:rPr>
          <w:rFonts w:ascii="Book Antiqua" w:eastAsia="Book Antiqua" w:hAnsi="Book Antiqua" w:cs="Book Antiqua"/>
          <w:color w:val="000000"/>
          <w:shd w:val="clear" w:color="auto" w:fill="FFFFFF"/>
        </w:rPr>
        <w:t xml:space="preserve"> Also, there is a need to improve the uptake of vaccination for household contacts of HBV carriers</w:t>
      </w:r>
      <w:r w:rsidR="00903A32" w:rsidRPr="004D2D9E">
        <w:rPr>
          <w:rFonts w:ascii="Book Antiqua" w:eastAsia="Book Antiqua" w:hAnsi="Book Antiqua" w:cs="Book Antiqua"/>
          <w:color w:val="000000"/>
          <w:shd w:val="clear" w:color="auto" w:fill="FFFFFF"/>
          <w:vertAlign w:val="superscript"/>
        </w:rPr>
        <w:t>[74]</w:t>
      </w:r>
      <w:r w:rsidRPr="004D2D9E">
        <w:rPr>
          <w:rFonts w:ascii="Book Antiqua" w:eastAsia="Book Antiqua" w:hAnsi="Book Antiqua" w:cs="Book Antiqua"/>
          <w:color w:val="000000"/>
          <w:shd w:val="clear" w:color="auto" w:fill="FFFFFF"/>
        </w:rPr>
        <w:t>.</w:t>
      </w:r>
    </w:p>
    <w:p w14:paraId="7B8FFC41" w14:textId="65C31FBE" w:rsidR="003C7086" w:rsidRPr="004D2D9E" w:rsidRDefault="00CA77E2" w:rsidP="00903A32">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The second important strategy to avoid the transmission and control the disease's burden in people living with CHB infection is to guarantee access to medical care and treatment</w:t>
      </w:r>
      <w:r w:rsidR="00903A32" w:rsidRPr="004D2D9E">
        <w:rPr>
          <w:rFonts w:ascii="Book Antiqua" w:eastAsia="Book Antiqua" w:hAnsi="Book Antiqua" w:cs="Book Antiqua"/>
          <w:color w:val="000000"/>
          <w:vertAlign w:val="superscript"/>
        </w:rPr>
        <w:t>[75</w:t>
      </w:r>
      <w:r w:rsidR="00903A32">
        <w:rPr>
          <w:rFonts w:ascii="Book Antiqua" w:eastAsia="Book Antiqua" w:hAnsi="Book Antiqua" w:cs="Book Antiqua"/>
          <w:color w:val="000000"/>
          <w:vertAlign w:val="superscript"/>
        </w:rPr>
        <w:t>,</w:t>
      </w:r>
      <w:r w:rsidR="00903A32" w:rsidRPr="004D2D9E">
        <w:rPr>
          <w:rFonts w:ascii="Book Antiqua" w:eastAsia="Book Antiqua" w:hAnsi="Book Antiqua" w:cs="Book Antiqua"/>
          <w:color w:val="000000"/>
          <w:vertAlign w:val="superscript"/>
        </w:rPr>
        <w:t>76]</w:t>
      </w:r>
      <w:r w:rsidRPr="004D2D9E">
        <w:rPr>
          <w:rFonts w:ascii="Book Antiqua" w:eastAsia="Book Antiqua" w:hAnsi="Book Antiqua" w:cs="Book Antiqua"/>
          <w:color w:val="000000"/>
        </w:rPr>
        <w:t>.</w:t>
      </w:r>
      <w:r w:rsidRPr="004D2D9E">
        <w:rPr>
          <w:rFonts w:ascii="Book Antiqua" w:eastAsia="Book Antiqua" w:hAnsi="Book Antiqua" w:cs="Book Antiqua"/>
          <w:b/>
          <w:bCs/>
          <w:color w:val="000000"/>
          <w:vertAlign w:val="superscript"/>
        </w:rPr>
        <w:t xml:space="preserve"> </w:t>
      </w:r>
      <w:r w:rsidRPr="004D2D9E">
        <w:rPr>
          <w:rFonts w:ascii="Book Antiqua" w:eastAsia="Book Antiqua" w:hAnsi="Book Antiqua" w:cs="Book Antiqua"/>
          <w:color w:val="000000"/>
          <w:shd w:val="clear" w:color="auto" w:fill="FFFFFF"/>
        </w:rPr>
        <w:t>However, most people with CHB live in resource-constrained countries where effective drugs are not always widely available</w:t>
      </w:r>
      <w:r w:rsidR="00903A32" w:rsidRPr="004D2D9E">
        <w:rPr>
          <w:rFonts w:ascii="Book Antiqua" w:eastAsia="Book Antiqua" w:hAnsi="Book Antiqua" w:cs="Book Antiqua"/>
          <w:color w:val="000000"/>
          <w:shd w:val="clear" w:color="auto" w:fill="FFFFFF"/>
          <w:vertAlign w:val="superscript"/>
        </w:rPr>
        <w:t>[73]</w:t>
      </w:r>
      <w:r w:rsidRPr="004D2D9E">
        <w:rPr>
          <w:rFonts w:ascii="Book Antiqua" w:eastAsia="Book Antiqua" w:hAnsi="Book Antiqua" w:cs="Book Antiqua"/>
          <w:color w:val="000000"/>
          <w:shd w:val="clear" w:color="auto" w:fill="FFFFFF"/>
        </w:rPr>
        <w:t xml:space="preserve">. </w:t>
      </w:r>
      <w:r w:rsidRPr="004D2D9E">
        <w:rPr>
          <w:rFonts w:ascii="Book Antiqua" w:eastAsia="Book Antiqua" w:hAnsi="Book Antiqua" w:cs="Book Antiqua"/>
          <w:color w:val="000000"/>
        </w:rPr>
        <w:t xml:space="preserve">First-choice drugs in patients with CHB, who meet the criteria for initiating treatment, include nucleoside analogs </w:t>
      </w:r>
      <w:r w:rsidR="00903A32">
        <w:rPr>
          <w:rFonts w:ascii="Book Antiqua" w:eastAsia="Book Antiqua" w:hAnsi="Book Antiqua" w:cs="Book Antiqua"/>
          <w:color w:val="000000"/>
        </w:rPr>
        <w:t>(</w:t>
      </w:r>
      <w:r w:rsidRPr="004D2D9E">
        <w:rPr>
          <w:rFonts w:ascii="Book Antiqua" w:eastAsia="Book Antiqua" w:hAnsi="Book Antiqua" w:cs="Book Antiqua"/>
          <w:color w:val="000000"/>
        </w:rPr>
        <w:t xml:space="preserve">ETV) and nucleotide analogs </w:t>
      </w:r>
      <w:r w:rsidR="00903A32">
        <w:rPr>
          <w:rFonts w:ascii="Book Antiqua" w:eastAsia="Book Antiqua" w:hAnsi="Book Antiqua" w:cs="Book Antiqua"/>
          <w:color w:val="000000"/>
        </w:rPr>
        <w:t>(</w:t>
      </w:r>
      <w:r w:rsidRPr="004D2D9E">
        <w:rPr>
          <w:rFonts w:ascii="Book Antiqua" w:eastAsia="Book Antiqua" w:hAnsi="Book Antiqua" w:cs="Book Antiqua"/>
          <w:color w:val="000000"/>
        </w:rPr>
        <w:t>TDF and TAF</w:t>
      </w:r>
      <w:r w:rsidR="00903A32">
        <w:rPr>
          <w:rFonts w:ascii="Book Antiqua" w:eastAsia="Book Antiqua" w:hAnsi="Book Antiqua" w:cs="Book Antiqua"/>
          <w:color w:val="000000"/>
        </w:rPr>
        <w:t>)</w:t>
      </w:r>
      <w:r w:rsidR="00903A32" w:rsidRPr="004D2D9E">
        <w:rPr>
          <w:rFonts w:ascii="Book Antiqua" w:eastAsia="Book Antiqua" w:hAnsi="Book Antiqua" w:cs="Book Antiqua"/>
          <w:color w:val="000000"/>
          <w:vertAlign w:val="superscript"/>
        </w:rPr>
        <w:t>[77</w:t>
      </w:r>
      <w:r w:rsidR="00903A32">
        <w:rPr>
          <w:rFonts w:ascii="Book Antiqua" w:eastAsia="Book Antiqua" w:hAnsi="Book Antiqua" w:cs="Book Antiqua"/>
          <w:color w:val="000000"/>
          <w:vertAlign w:val="superscript"/>
        </w:rPr>
        <w:t>-</w:t>
      </w:r>
      <w:r w:rsidR="00903A32" w:rsidRPr="004D2D9E">
        <w:rPr>
          <w:rFonts w:ascii="Book Antiqua" w:eastAsia="Book Antiqua" w:hAnsi="Book Antiqua" w:cs="Book Antiqua"/>
          <w:color w:val="000000"/>
          <w:vertAlign w:val="superscript"/>
        </w:rPr>
        <w:t>79]</w:t>
      </w:r>
      <w:r w:rsidRPr="004D2D9E">
        <w:rPr>
          <w:rFonts w:ascii="Book Antiqua" w:eastAsia="Book Antiqua" w:hAnsi="Book Antiqua" w:cs="Book Antiqua"/>
          <w:color w:val="000000"/>
        </w:rPr>
        <w:t>.</w:t>
      </w:r>
      <w:r w:rsidRPr="004D2D9E">
        <w:rPr>
          <w:rFonts w:ascii="Book Antiqua" w:eastAsia="Book Antiqua" w:hAnsi="Book Antiqua" w:cs="Book Antiqua"/>
          <w:b/>
          <w:bCs/>
          <w:color w:val="000000"/>
          <w:vertAlign w:val="superscript"/>
        </w:rPr>
        <w:t xml:space="preserve"> </w:t>
      </w:r>
      <w:r w:rsidRPr="004D2D9E">
        <w:rPr>
          <w:rFonts w:ascii="Book Antiqua" w:eastAsia="Book Antiqua" w:hAnsi="Book Antiqua" w:cs="Book Antiqua"/>
          <w:color w:val="000000"/>
        </w:rPr>
        <w:t xml:space="preserve">After </w:t>
      </w:r>
      <w:r w:rsidR="004C378C">
        <w:rPr>
          <w:rFonts w:ascii="Book Antiqua" w:eastAsia="Book Antiqua" w:hAnsi="Book Antiqua" w:cs="Book Antiqua"/>
          <w:color w:val="000000"/>
        </w:rPr>
        <w:t>10</w:t>
      </w:r>
      <w:r w:rsidRPr="004D2D9E">
        <w:rPr>
          <w:rFonts w:ascii="Book Antiqua" w:eastAsia="Book Antiqua" w:hAnsi="Book Antiqua" w:cs="Book Antiqua"/>
          <w:color w:val="000000"/>
        </w:rPr>
        <w:t xml:space="preserve"> years of follow-up, TDF and ETV showed effective suppression of the HBV viral load, between 94</w:t>
      </w:r>
      <w:r w:rsidR="00903A32" w:rsidRPr="004D2D9E">
        <w:rPr>
          <w:rFonts w:ascii="Book Antiqua" w:eastAsia="Book Antiqua" w:hAnsi="Book Antiqua" w:cs="Book Antiqua"/>
          <w:color w:val="000000"/>
        </w:rPr>
        <w:t>%</w:t>
      </w:r>
      <w:r w:rsidRPr="004D2D9E">
        <w:rPr>
          <w:rFonts w:ascii="Book Antiqua" w:eastAsia="Book Antiqua" w:hAnsi="Book Antiqua" w:cs="Book Antiqua"/>
          <w:color w:val="000000"/>
        </w:rPr>
        <w:t xml:space="preserve"> and 99%, both in HBeAg-positive and HBeAg-negative patients. HBeAg seroconversion in HBeAg-positive patients with TDF or ETV has been reported in 49</w:t>
      </w:r>
      <w:r w:rsidR="00E06757" w:rsidRPr="004D2D9E">
        <w:rPr>
          <w:rFonts w:ascii="Book Antiqua" w:eastAsia="Book Antiqua" w:hAnsi="Book Antiqua" w:cs="Book Antiqua"/>
          <w:color w:val="000000"/>
        </w:rPr>
        <w:t>%</w:t>
      </w:r>
      <w:r w:rsidRPr="004D2D9E">
        <w:rPr>
          <w:rFonts w:ascii="Book Antiqua" w:eastAsia="Book Antiqua" w:hAnsi="Book Antiqua" w:cs="Book Antiqua"/>
          <w:color w:val="000000"/>
        </w:rPr>
        <w:t>-53% of cases. Alanine aminotransferase normalization has been achieved between 77% and 83% of patients with CHB treated with any of these regimens. However, the annual frequency of HBsAg seroconversion is rare (&lt;</w:t>
      </w:r>
      <w:r w:rsidR="0054553F">
        <w:rPr>
          <w:rFonts w:ascii="Book Antiqua" w:eastAsia="Book Antiqua" w:hAnsi="Book Antiqua" w:cs="Book Antiqua"/>
          <w:color w:val="000000"/>
        </w:rPr>
        <w:t xml:space="preserve"> </w:t>
      </w:r>
      <w:r w:rsidRPr="004D2D9E">
        <w:rPr>
          <w:rFonts w:ascii="Book Antiqua" w:eastAsia="Book Antiqua" w:hAnsi="Book Antiqua" w:cs="Book Antiqua"/>
          <w:color w:val="000000"/>
        </w:rPr>
        <w:t>1% annually)</w:t>
      </w:r>
      <w:r w:rsidR="0054553F" w:rsidRPr="004D2D9E">
        <w:rPr>
          <w:rFonts w:ascii="Book Antiqua" w:eastAsia="Book Antiqua" w:hAnsi="Book Antiqua" w:cs="Book Antiqua"/>
          <w:color w:val="000000"/>
          <w:vertAlign w:val="superscript"/>
        </w:rPr>
        <w:t>[80]</w:t>
      </w:r>
      <w:r w:rsidRPr="004D2D9E">
        <w:rPr>
          <w:rFonts w:ascii="Book Antiqua" w:eastAsia="Book Antiqua" w:hAnsi="Book Antiqua" w:cs="Book Antiqua"/>
          <w:color w:val="000000"/>
        </w:rPr>
        <w:t>. TAF is as effective as TDF but with a better bone and renal safety profile</w:t>
      </w:r>
      <w:r w:rsidR="0054553F" w:rsidRPr="004D2D9E">
        <w:rPr>
          <w:rFonts w:ascii="Book Antiqua" w:eastAsia="Book Antiqua" w:hAnsi="Book Antiqua" w:cs="Book Antiqua"/>
          <w:color w:val="000000"/>
          <w:vertAlign w:val="superscript"/>
        </w:rPr>
        <w:t>[81</w:t>
      </w:r>
      <w:r w:rsidR="0054553F">
        <w:rPr>
          <w:rFonts w:ascii="Book Antiqua" w:eastAsia="Book Antiqua" w:hAnsi="Book Antiqua" w:cs="Book Antiqua"/>
          <w:color w:val="000000"/>
          <w:vertAlign w:val="superscript"/>
        </w:rPr>
        <w:t>-</w:t>
      </w:r>
      <w:r w:rsidR="0054553F" w:rsidRPr="004D2D9E">
        <w:rPr>
          <w:rFonts w:ascii="Book Antiqua" w:eastAsia="Book Antiqua" w:hAnsi="Book Antiqua" w:cs="Book Antiqua"/>
          <w:color w:val="000000"/>
          <w:vertAlign w:val="superscript"/>
        </w:rPr>
        <w:t>84]</w:t>
      </w:r>
      <w:r w:rsidRPr="004D2D9E">
        <w:rPr>
          <w:rFonts w:ascii="Book Antiqua" w:eastAsia="Book Antiqua" w:hAnsi="Book Antiqua" w:cs="Book Antiqua"/>
          <w:color w:val="000000"/>
        </w:rPr>
        <w:t>.</w:t>
      </w:r>
      <w:r w:rsidRPr="004D2D9E">
        <w:rPr>
          <w:rFonts w:ascii="Book Antiqua" w:eastAsia="Book Antiqua" w:hAnsi="Book Antiqua" w:cs="Book Antiqua"/>
          <w:b/>
          <w:bCs/>
          <w:color w:val="000000"/>
          <w:vertAlign w:val="superscript"/>
        </w:rPr>
        <w:t xml:space="preserve"> </w:t>
      </w:r>
      <w:r w:rsidRPr="004D2D9E">
        <w:rPr>
          <w:rFonts w:ascii="Book Antiqua" w:eastAsia="Book Antiqua" w:hAnsi="Book Antiqua" w:cs="Book Antiqua"/>
          <w:color w:val="000000"/>
        </w:rPr>
        <w:t xml:space="preserve">However, some disparities in the opportunity to access hepatitis B therapy have been reported. Miquel </w:t>
      </w:r>
      <w:r w:rsidRPr="004D2D9E">
        <w:rPr>
          <w:rFonts w:ascii="Book Antiqua" w:eastAsia="Book Antiqua" w:hAnsi="Book Antiqua" w:cs="Book Antiqua"/>
          <w:i/>
          <w:iCs/>
          <w:color w:val="000000"/>
        </w:rPr>
        <w:t>et al</w:t>
      </w:r>
      <w:r w:rsidR="0054553F" w:rsidRPr="004D2D9E">
        <w:rPr>
          <w:rFonts w:ascii="Book Antiqua" w:eastAsia="Book Antiqua" w:hAnsi="Book Antiqua" w:cs="Book Antiqua"/>
          <w:color w:val="000000"/>
          <w:shd w:val="clear" w:color="auto" w:fill="FFFFFF"/>
          <w:vertAlign w:val="superscript"/>
        </w:rPr>
        <w:t>[85]</w:t>
      </w:r>
      <w:r w:rsidRPr="004D2D9E">
        <w:rPr>
          <w:rFonts w:ascii="Book Antiqua" w:eastAsia="Book Antiqua" w:hAnsi="Book Antiqua" w:cs="Book Antiqua"/>
          <w:i/>
          <w:iCs/>
          <w:color w:val="000000"/>
        </w:rPr>
        <w:t xml:space="preserve"> </w:t>
      </w:r>
      <w:r w:rsidRPr="004D2D9E">
        <w:rPr>
          <w:rFonts w:ascii="Book Antiqua" w:eastAsia="Book Antiqua" w:hAnsi="Book Antiqua" w:cs="Book Antiqua"/>
          <w:color w:val="000000"/>
        </w:rPr>
        <w:t>found that a minor proportion of non-immigrants</w:t>
      </w:r>
      <w:r w:rsidRPr="004D2D9E">
        <w:rPr>
          <w:rFonts w:ascii="Book Antiqua" w:eastAsia="Book Antiqua" w:hAnsi="Book Antiqua" w:cs="Book Antiqua"/>
          <w:color w:val="000000"/>
          <w:shd w:val="clear" w:color="auto" w:fill="FFFFFF"/>
        </w:rPr>
        <w:t xml:space="preserve"> with the indication of effectively receiving hepatitis B therapy got it, compared with non-immigrants (57.8 </w:t>
      </w:r>
      <w:r w:rsidRPr="0013245B">
        <w:rPr>
          <w:rFonts w:ascii="Book Antiqua" w:eastAsia="Book Antiqua" w:hAnsi="Book Antiqua" w:cs="Book Antiqua"/>
          <w:i/>
          <w:iCs/>
          <w:color w:val="000000"/>
          <w:shd w:val="clear" w:color="auto" w:fill="FFFFFF"/>
        </w:rPr>
        <w:t>vs</w:t>
      </w:r>
      <w:r w:rsidRPr="004D2D9E">
        <w:rPr>
          <w:rFonts w:ascii="Book Antiqua" w:eastAsia="Book Antiqua" w:hAnsi="Book Antiqua" w:cs="Book Antiqua"/>
          <w:color w:val="000000"/>
          <w:shd w:val="clear" w:color="auto" w:fill="FFFFFF"/>
        </w:rPr>
        <w:t xml:space="preserve"> 83.2%,</w:t>
      </w:r>
      <w:r w:rsidR="0013245B">
        <w:rPr>
          <w:rFonts w:ascii="Book Antiqua" w:eastAsia="Book Antiqua" w:hAnsi="Book Antiqua" w:cs="Book Antiqua"/>
          <w:color w:val="000000"/>
          <w:shd w:val="clear" w:color="auto" w:fill="FFFFFF"/>
        </w:rPr>
        <w:t xml:space="preserve"> </w:t>
      </w:r>
      <w:r w:rsidRPr="004D2D9E">
        <w:rPr>
          <w:rFonts w:ascii="Book Antiqua" w:eastAsia="Book Antiqua" w:hAnsi="Book Antiqua" w:cs="Book Antiqua"/>
          <w:i/>
          <w:iCs/>
          <w:color w:val="000000"/>
          <w:shd w:val="clear" w:color="auto" w:fill="FFFFFF"/>
        </w:rPr>
        <w:t>P</w:t>
      </w:r>
      <w:r w:rsidRPr="004D2D9E">
        <w:rPr>
          <w:rFonts w:ascii="MS Gothic" w:eastAsia="MS Gothic" w:hAnsi="MS Gothic" w:cs="MS Gothic" w:hint="eastAsia"/>
          <w:i/>
          <w:iCs/>
          <w:color w:val="000000"/>
          <w:shd w:val="clear" w:color="auto" w:fill="FFFFFF"/>
        </w:rPr>
        <w:t> </w:t>
      </w:r>
      <w:r w:rsidRPr="004D2D9E">
        <w:rPr>
          <w:rFonts w:ascii="Book Antiqua" w:eastAsia="Book Antiqua" w:hAnsi="Book Antiqua" w:cs="Book Antiqua"/>
          <w:i/>
          <w:iCs/>
          <w:color w:val="000000"/>
          <w:shd w:val="clear" w:color="auto" w:fill="FFFFFF"/>
        </w:rPr>
        <w:t xml:space="preserve"> </w:t>
      </w:r>
      <w:r w:rsidRPr="004D2D9E">
        <w:rPr>
          <w:rFonts w:ascii="Book Antiqua" w:eastAsia="Book Antiqua" w:hAnsi="Book Antiqua" w:cs="Book Antiqua"/>
          <w:color w:val="000000"/>
          <w:shd w:val="clear" w:color="auto" w:fill="FFFFFF"/>
        </w:rPr>
        <w:t>&lt;</w:t>
      </w:r>
      <w:r w:rsidRPr="004D2D9E">
        <w:rPr>
          <w:rFonts w:ascii="MS Gothic" w:eastAsia="MS Gothic" w:hAnsi="MS Gothic" w:cs="MS Gothic" w:hint="eastAsia"/>
          <w:i/>
          <w:iCs/>
          <w:color w:val="000000"/>
          <w:shd w:val="clear" w:color="auto" w:fill="FFFFFF"/>
        </w:rPr>
        <w:t> </w:t>
      </w:r>
      <w:r w:rsidRPr="004D2D9E">
        <w:rPr>
          <w:rFonts w:ascii="Book Antiqua" w:eastAsia="Book Antiqua" w:hAnsi="Book Antiqua" w:cs="Book Antiqua"/>
          <w:color w:val="000000"/>
          <w:shd w:val="clear" w:color="auto" w:fill="FFFFFF"/>
        </w:rPr>
        <w:t>0.001)</w:t>
      </w:r>
      <w:r w:rsidR="0013245B" w:rsidRPr="004D2D9E">
        <w:rPr>
          <w:rFonts w:ascii="Book Antiqua" w:eastAsia="Book Antiqua" w:hAnsi="Book Antiqua" w:cs="Book Antiqua"/>
          <w:color w:val="000000"/>
          <w:shd w:val="clear" w:color="auto" w:fill="FFFFFF"/>
          <w:vertAlign w:val="superscript"/>
        </w:rPr>
        <w:t>[85]</w:t>
      </w:r>
      <w:r w:rsidRPr="004D2D9E">
        <w:rPr>
          <w:rFonts w:ascii="Book Antiqua" w:eastAsia="Book Antiqua" w:hAnsi="Book Antiqua" w:cs="Book Antiqua"/>
          <w:color w:val="000000"/>
          <w:shd w:val="clear" w:color="auto" w:fill="FFFFFF"/>
        </w:rPr>
        <w:t>. Similarly, other studies also have reported</w:t>
      </w:r>
      <w:r w:rsidRPr="004D2D9E">
        <w:rPr>
          <w:rFonts w:ascii="Book Antiqua" w:eastAsia="Book Antiqua" w:hAnsi="Book Antiqua" w:cs="Book Antiqua"/>
          <w:color w:val="000000"/>
        </w:rPr>
        <w:t xml:space="preserve"> that i</w:t>
      </w:r>
      <w:r w:rsidRPr="004D2D9E">
        <w:rPr>
          <w:rFonts w:ascii="Book Antiqua" w:eastAsia="Book Antiqua" w:hAnsi="Book Antiqua" w:cs="Book Antiqua"/>
          <w:color w:val="000000"/>
          <w:shd w:val="clear" w:color="auto" w:fill="FFFFFF"/>
        </w:rPr>
        <w:t xml:space="preserve">mmigrants are lost more frequently during the </w:t>
      </w:r>
      <w:r w:rsidR="009E4B85">
        <w:rPr>
          <w:rFonts w:ascii="Book Antiqua" w:eastAsia="Book Antiqua" w:hAnsi="Book Antiqua" w:cs="Book Antiqua"/>
          <w:color w:val="000000"/>
          <w:shd w:val="clear" w:color="auto" w:fill="FFFFFF"/>
        </w:rPr>
        <w:t>1</w:t>
      </w:r>
      <w:r w:rsidR="009E4B85" w:rsidRPr="00AB5EED">
        <w:rPr>
          <w:rFonts w:ascii="Book Antiqua" w:eastAsia="Book Antiqua" w:hAnsi="Book Antiqua" w:cs="Book Antiqua"/>
          <w:color w:val="000000"/>
          <w:shd w:val="clear" w:color="auto" w:fill="FFFFFF"/>
          <w:vertAlign w:val="superscript"/>
        </w:rPr>
        <w:t>st</w:t>
      </w:r>
      <w:r w:rsidR="009E4B85">
        <w:rPr>
          <w:rFonts w:ascii="Book Antiqua" w:eastAsia="Book Antiqua" w:hAnsi="Book Antiqua" w:cs="Book Antiqua"/>
          <w:color w:val="000000"/>
          <w:shd w:val="clear" w:color="auto" w:fill="FFFFFF"/>
        </w:rPr>
        <w:t xml:space="preserve"> </w:t>
      </w:r>
      <w:r w:rsidRPr="004D2D9E">
        <w:rPr>
          <w:rFonts w:ascii="Book Antiqua" w:eastAsia="Book Antiqua" w:hAnsi="Book Antiqua" w:cs="Book Antiqua"/>
          <w:color w:val="000000"/>
          <w:shd w:val="clear" w:color="auto" w:fill="FFFFFF"/>
        </w:rPr>
        <w:t>year of follow-up</w:t>
      </w:r>
      <w:r w:rsidR="0013245B" w:rsidRPr="004D2D9E">
        <w:rPr>
          <w:rFonts w:ascii="Book Antiqua" w:eastAsia="Book Antiqua" w:hAnsi="Book Antiqua" w:cs="Book Antiqua"/>
          <w:color w:val="000000"/>
          <w:shd w:val="clear" w:color="auto" w:fill="FFFFFF"/>
          <w:vertAlign w:val="superscript"/>
        </w:rPr>
        <w:t>[86]</w:t>
      </w:r>
      <w:r w:rsidRPr="004D2D9E">
        <w:rPr>
          <w:rFonts w:ascii="Book Antiqua" w:eastAsia="Book Antiqua" w:hAnsi="Book Antiqua" w:cs="Book Antiqua"/>
          <w:color w:val="000000"/>
          <w:shd w:val="clear" w:color="auto" w:fill="FFFFFF"/>
        </w:rPr>
        <w:t>. Immigrants constitute a vulnerable group that would benefit from a more active approach to</w:t>
      </w:r>
      <w:r w:rsidR="00FA14FB">
        <w:rPr>
          <w:rFonts w:ascii="Book Antiqua" w:eastAsia="Book Antiqua" w:hAnsi="Book Antiqua" w:cs="Book Antiqua"/>
          <w:color w:val="000000"/>
          <w:shd w:val="clear" w:color="auto" w:fill="FFFFFF"/>
        </w:rPr>
        <w:t xml:space="preserve"> recognize</w:t>
      </w:r>
      <w:r w:rsidRPr="004D2D9E">
        <w:rPr>
          <w:rFonts w:ascii="Book Antiqua" w:eastAsia="Book Antiqua" w:hAnsi="Book Antiqua" w:cs="Book Antiqua"/>
          <w:color w:val="000000"/>
          <w:shd w:val="clear" w:color="auto" w:fill="FFFFFF"/>
        </w:rPr>
        <w:t xml:space="preserve"> timely HBV infection and access treatment programs</w:t>
      </w:r>
      <w:r w:rsidR="0013245B" w:rsidRPr="004D2D9E">
        <w:rPr>
          <w:rFonts w:ascii="Book Antiqua" w:eastAsia="Book Antiqua" w:hAnsi="Book Antiqua" w:cs="Book Antiqua"/>
          <w:color w:val="000000"/>
          <w:shd w:val="clear" w:color="auto" w:fill="FFFFFF"/>
          <w:vertAlign w:val="superscript"/>
        </w:rPr>
        <w:t>[87]</w:t>
      </w:r>
      <w:r w:rsidRPr="004D2D9E">
        <w:rPr>
          <w:rFonts w:ascii="Book Antiqua" w:eastAsia="Book Antiqua" w:hAnsi="Book Antiqua" w:cs="Book Antiqua"/>
          <w:color w:val="000000"/>
          <w:shd w:val="clear" w:color="auto" w:fill="FFFFFF"/>
        </w:rPr>
        <w:t>.</w:t>
      </w:r>
    </w:p>
    <w:p w14:paraId="5DCD4CBC" w14:textId="77777777" w:rsidR="003C7086" w:rsidRPr="004D2D9E" w:rsidRDefault="003C7086" w:rsidP="004D2D9E">
      <w:pPr>
        <w:spacing w:line="360" w:lineRule="auto"/>
        <w:jc w:val="both"/>
        <w:rPr>
          <w:rFonts w:ascii="Book Antiqua" w:hAnsi="Book Antiqua"/>
        </w:rPr>
      </w:pPr>
    </w:p>
    <w:p w14:paraId="2805C3B5" w14:textId="77777777" w:rsidR="003C7086" w:rsidRPr="0013245B" w:rsidRDefault="00CA77E2" w:rsidP="004D2D9E">
      <w:pPr>
        <w:spacing w:line="360" w:lineRule="auto"/>
        <w:jc w:val="both"/>
        <w:rPr>
          <w:rFonts w:ascii="Book Antiqua" w:hAnsi="Book Antiqua"/>
          <w:i/>
          <w:iCs/>
        </w:rPr>
      </w:pPr>
      <w:r w:rsidRPr="00357667">
        <w:rPr>
          <w:rFonts w:ascii="Book Antiqua" w:eastAsia="Book Antiqua" w:hAnsi="Book Antiqua" w:cs="Book Antiqua"/>
          <w:b/>
          <w:caps/>
          <w:color w:val="000000"/>
          <w:u w:val="single"/>
        </w:rPr>
        <w:t>The efforts to construct micro and macro-elimination programs throughout the world</w:t>
      </w:r>
    </w:p>
    <w:p w14:paraId="0031B074" w14:textId="09A5B2DD"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rPr>
        <w:t xml:space="preserve">The high chronic hepatitis prevalence groups should be recognized and prioritized for detection and linkage to healthcare to reduce the risk of transmitting these infectious </w:t>
      </w:r>
      <w:r w:rsidRPr="004D2D9E">
        <w:rPr>
          <w:rFonts w:ascii="Book Antiqua" w:eastAsia="Book Antiqua" w:hAnsi="Book Antiqua" w:cs="Book Antiqua"/>
          <w:color w:val="000000"/>
        </w:rPr>
        <w:lastRenderedPageBreak/>
        <w:t xml:space="preserve">diseases. The most vulnerable groups are prison inmates, </w:t>
      </w:r>
      <w:r w:rsidR="004B6F2D" w:rsidRPr="004D2D9E">
        <w:rPr>
          <w:rFonts w:ascii="Book Antiqua" w:eastAsia="Book Antiqua" w:hAnsi="Book Antiqua" w:cs="Book Antiqua"/>
          <w:color w:val="000000"/>
        </w:rPr>
        <w:t xml:space="preserve">homosexual men, </w:t>
      </w:r>
      <w:r w:rsidR="003A58FB" w:rsidRPr="004D2D9E">
        <w:rPr>
          <w:rFonts w:ascii="Book Antiqua" w:eastAsia="Book Antiqua" w:hAnsi="Book Antiqua" w:cs="Book Antiqua"/>
          <w:color w:val="000000"/>
        </w:rPr>
        <w:t xml:space="preserve">intravenous </w:t>
      </w:r>
      <w:r w:rsidRPr="004D2D9E">
        <w:rPr>
          <w:rFonts w:ascii="Book Antiqua" w:eastAsia="Book Antiqua" w:hAnsi="Book Antiqua" w:cs="Book Antiqua"/>
          <w:color w:val="000000"/>
        </w:rPr>
        <w:t>drug users (</w:t>
      </w:r>
      <w:r w:rsidR="003A58FB" w:rsidRPr="004D2D9E">
        <w:rPr>
          <w:rFonts w:ascii="Book Antiqua" w:eastAsia="Book Antiqua" w:hAnsi="Book Antiqua" w:cs="Book Antiqua"/>
          <w:color w:val="000000"/>
        </w:rPr>
        <w:t>I</w:t>
      </w:r>
      <w:r w:rsidRPr="004D2D9E">
        <w:rPr>
          <w:rFonts w:ascii="Book Antiqua" w:eastAsia="Book Antiqua" w:hAnsi="Book Antiqua" w:cs="Book Antiqua"/>
          <w:color w:val="000000"/>
        </w:rPr>
        <w:t xml:space="preserve">DU), </w:t>
      </w:r>
      <w:r w:rsidR="004B6F2D" w:rsidRPr="004D2D9E">
        <w:rPr>
          <w:rFonts w:ascii="Book Antiqua" w:eastAsia="Book Antiqua" w:hAnsi="Book Antiqua" w:cs="Book Antiqua"/>
          <w:color w:val="000000"/>
        </w:rPr>
        <w:t xml:space="preserve">and </w:t>
      </w:r>
      <w:r w:rsidRPr="004D2D9E">
        <w:rPr>
          <w:rFonts w:ascii="Book Antiqua" w:eastAsia="Book Antiqua" w:hAnsi="Book Antiqua" w:cs="Book Antiqua"/>
          <w:color w:val="000000"/>
        </w:rPr>
        <w:t>sex workers</w:t>
      </w:r>
      <w:r w:rsidR="0013245B" w:rsidRPr="004D2D9E">
        <w:rPr>
          <w:rFonts w:ascii="Book Antiqua" w:eastAsia="Book Antiqua" w:hAnsi="Book Antiqua" w:cs="Book Antiqua"/>
          <w:color w:val="000000"/>
          <w:vertAlign w:val="superscript"/>
        </w:rPr>
        <w:t>[88]</w:t>
      </w:r>
      <w:r w:rsidRPr="004D2D9E">
        <w:rPr>
          <w:rFonts w:ascii="Book Antiqua" w:eastAsia="Book Antiqua" w:hAnsi="Book Antiqua" w:cs="Book Antiqua"/>
          <w:color w:val="000000"/>
        </w:rPr>
        <w:t xml:space="preserve">. According to the study by Alonso </w:t>
      </w:r>
      <w:r w:rsidRPr="004D2D9E">
        <w:rPr>
          <w:rFonts w:ascii="Book Antiqua" w:eastAsia="Book Antiqua" w:hAnsi="Book Antiqua" w:cs="Book Antiqua"/>
          <w:i/>
          <w:iCs/>
          <w:color w:val="000000"/>
        </w:rPr>
        <w:t>et al</w:t>
      </w:r>
      <w:r w:rsidR="0013245B" w:rsidRPr="004D2D9E">
        <w:rPr>
          <w:rFonts w:ascii="Book Antiqua" w:eastAsia="Book Antiqua" w:hAnsi="Book Antiqua" w:cs="Book Antiqua"/>
          <w:color w:val="000000"/>
          <w:vertAlign w:val="superscript"/>
        </w:rPr>
        <w:t>[88]</w:t>
      </w:r>
      <w:r w:rsidRPr="004D2D9E">
        <w:rPr>
          <w:rFonts w:ascii="Book Antiqua" w:eastAsia="Book Antiqua" w:hAnsi="Book Antiqua" w:cs="Book Antiqua"/>
          <w:color w:val="000000"/>
        </w:rPr>
        <w:t>, in Latin America and the Caribbean, the estimated pooled regional anti-HCV prevalence for IDU was 49% (95%CI: 22.6</w:t>
      </w:r>
      <w:r w:rsidR="009C661A" w:rsidRPr="004D2D9E">
        <w:rPr>
          <w:rFonts w:ascii="Book Antiqua" w:eastAsia="Book Antiqua" w:hAnsi="Book Antiqua" w:cs="Book Antiqua"/>
          <w:color w:val="000000"/>
        </w:rPr>
        <w:t>%</w:t>
      </w:r>
      <w:r w:rsidR="00377ED6">
        <w:rPr>
          <w:rFonts w:ascii="Book Antiqua" w:eastAsia="Book Antiqua" w:hAnsi="Book Antiqua" w:cs="Book Antiqua"/>
          <w:color w:val="000000"/>
        </w:rPr>
        <w:t>-</w:t>
      </w:r>
      <w:r w:rsidRPr="004D2D9E">
        <w:rPr>
          <w:rFonts w:ascii="Book Antiqua" w:eastAsia="Book Antiqua" w:hAnsi="Book Antiqua" w:cs="Book Antiqua"/>
          <w:color w:val="000000"/>
        </w:rPr>
        <w:t xml:space="preserve">76.3 %); for </w:t>
      </w:r>
      <w:r w:rsidR="004B6F2D" w:rsidRPr="004D2D9E">
        <w:rPr>
          <w:rFonts w:ascii="Book Antiqua" w:eastAsia="Book Antiqua" w:hAnsi="Book Antiqua" w:cs="Book Antiqua"/>
          <w:color w:val="000000"/>
        </w:rPr>
        <w:t>homosexual men</w:t>
      </w:r>
      <w:r w:rsidRPr="004D2D9E">
        <w:rPr>
          <w:rFonts w:ascii="Book Antiqua" w:eastAsia="Book Antiqua" w:hAnsi="Book Antiqua" w:cs="Book Antiqua"/>
          <w:color w:val="000000"/>
        </w:rPr>
        <w:t xml:space="preserve"> was 3% (95%CI: 1.7</w:t>
      </w:r>
      <w:r w:rsidR="009C661A" w:rsidRPr="004D2D9E">
        <w:rPr>
          <w:rFonts w:ascii="Book Antiqua" w:eastAsia="Book Antiqua" w:hAnsi="Book Antiqua" w:cs="Book Antiqua"/>
          <w:color w:val="000000"/>
        </w:rPr>
        <w:t>%</w:t>
      </w:r>
      <w:r w:rsidR="00377ED6">
        <w:rPr>
          <w:rFonts w:ascii="Book Antiqua" w:eastAsia="Book Antiqua" w:hAnsi="Book Antiqua" w:cs="Book Antiqua"/>
          <w:color w:val="000000"/>
        </w:rPr>
        <w:t>-</w:t>
      </w:r>
      <w:r w:rsidRPr="004D2D9E">
        <w:rPr>
          <w:rFonts w:ascii="Book Antiqua" w:eastAsia="Book Antiqua" w:hAnsi="Book Antiqua" w:cs="Book Antiqua"/>
          <w:color w:val="000000"/>
        </w:rPr>
        <w:t>4.5%); for sex workers was 2% (95%CI: 1.0</w:t>
      </w:r>
      <w:r w:rsidR="009C661A" w:rsidRPr="004D2D9E">
        <w:rPr>
          <w:rFonts w:ascii="Book Antiqua" w:eastAsia="Book Antiqua" w:hAnsi="Book Antiqua" w:cs="Book Antiqua"/>
          <w:color w:val="000000"/>
        </w:rPr>
        <w:t>%</w:t>
      </w:r>
      <w:r w:rsidR="00377ED6">
        <w:rPr>
          <w:rFonts w:ascii="Book Antiqua" w:eastAsia="Book Antiqua" w:hAnsi="Book Antiqua" w:cs="Book Antiqua"/>
          <w:color w:val="000000"/>
        </w:rPr>
        <w:t>-</w:t>
      </w:r>
      <w:r w:rsidRPr="004D2D9E">
        <w:rPr>
          <w:rFonts w:ascii="Book Antiqua" w:eastAsia="Book Antiqua" w:hAnsi="Book Antiqua" w:cs="Book Antiqua"/>
          <w:color w:val="000000"/>
        </w:rPr>
        <w:t>3.4%)</w:t>
      </w:r>
      <w:r w:rsidR="0013245B" w:rsidRPr="004D2D9E">
        <w:rPr>
          <w:rFonts w:ascii="Book Antiqua" w:eastAsia="Book Antiqua" w:hAnsi="Book Antiqua" w:cs="Book Antiqua"/>
          <w:color w:val="000000"/>
          <w:vertAlign w:val="superscript"/>
        </w:rPr>
        <w:t>[88]</w:t>
      </w:r>
      <w:r w:rsidRPr="004D2D9E">
        <w:rPr>
          <w:rFonts w:ascii="Book Antiqua" w:eastAsia="Book Antiqua" w:hAnsi="Book Antiqua" w:cs="Book Antiqua"/>
          <w:color w:val="000000"/>
        </w:rPr>
        <w:t xml:space="preserve">. </w:t>
      </w:r>
    </w:p>
    <w:p w14:paraId="0D4B0060" w14:textId="0D4364FB" w:rsidR="003C7086" w:rsidRPr="004D2D9E" w:rsidRDefault="00CA77E2" w:rsidP="00883F59">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 xml:space="preserve">In Canada, </w:t>
      </w:r>
      <w:r w:rsidR="00596023" w:rsidRPr="004D2D9E">
        <w:rPr>
          <w:rFonts w:ascii="Book Antiqua" w:eastAsia="Book Antiqua" w:hAnsi="Book Antiqua" w:cs="Book Antiqua"/>
          <w:color w:val="000000"/>
        </w:rPr>
        <w:t>penitentiary</w:t>
      </w:r>
      <w:r w:rsidRPr="004D2D9E">
        <w:rPr>
          <w:rFonts w:ascii="Book Antiqua" w:eastAsia="Book Antiqua" w:hAnsi="Book Antiqua" w:cs="Book Antiqua"/>
          <w:color w:val="000000"/>
        </w:rPr>
        <w:t xml:space="preserve"> test-and-treat </w:t>
      </w:r>
      <w:r w:rsidR="004B6F2D" w:rsidRPr="004D2D9E">
        <w:rPr>
          <w:rFonts w:ascii="Book Antiqua" w:eastAsia="Book Antiqua" w:hAnsi="Book Antiqua" w:cs="Book Antiqua"/>
          <w:color w:val="000000"/>
        </w:rPr>
        <w:t>programs</w:t>
      </w:r>
      <w:r w:rsidRPr="004D2D9E">
        <w:rPr>
          <w:rFonts w:ascii="Book Antiqua" w:eastAsia="Book Antiqua" w:hAnsi="Book Antiqua" w:cs="Book Antiqua"/>
          <w:color w:val="000000"/>
        </w:rPr>
        <w:t xml:space="preserve"> could </w:t>
      </w:r>
      <w:r w:rsidR="004B6F2D" w:rsidRPr="004D2D9E">
        <w:rPr>
          <w:rFonts w:ascii="Book Antiqua" w:eastAsia="Book Antiqua" w:hAnsi="Book Antiqua" w:cs="Book Antiqua"/>
          <w:color w:val="000000"/>
        </w:rPr>
        <w:t xml:space="preserve">achieve </w:t>
      </w:r>
      <w:r w:rsidRPr="004D2D9E">
        <w:rPr>
          <w:rFonts w:ascii="Book Antiqua" w:eastAsia="Book Antiqua" w:hAnsi="Book Antiqua" w:cs="Book Antiqua"/>
          <w:color w:val="000000"/>
        </w:rPr>
        <w:t xml:space="preserve">the most significant decreases in </w:t>
      </w:r>
      <w:r w:rsidR="004B6F2D" w:rsidRPr="004D2D9E">
        <w:rPr>
          <w:rFonts w:ascii="Book Antiqua" w:eastAsia="Book Antiqua" w:hAnsi="Book Antiqua" w:cs="Book Antiqua"/>
          <w:color w:val="000000"/>
        </w:rPr>
        <w:t>incidence</w:t>
      </w:r>
      <w:r w:rsidRPr="004D2D9E">
        <w:rPr>
          <w:rFonts w:ascii="Book Antiqua" w:eastAsia="Book Antiqua" w:hAnsi="Book Antiqua" w:cs="Book Antiqua"/>
          <w:color w:val="000000"/>
        </w:rPr>
        <w:t xml:space="preserve"> </w:t>
      </w:r>
      <w:r w:rsidR="00FA14FB">
        <w:rPr>
          <w:rFonts w:ascii="Book Antiqua" w:eastAsia="Book Antiqua" w:hAnsi="Book Antiqua" w:cs="Book Antiqua"/>
          <w:color w:val="000000"/>
        </w:rPr>
        <w:t>(</w:t>
      </w:r>
      <w:r w:rsidRPr="004D2D9E">
        <w:rPr>
          <w:rFonts w:ascii="Book Antiqua" w:eastAsia="Book Antiqua" w:hAnsi="Book Antiqua" w:cs="Book Antiqua"/>
          <w:color w:val="000000"/>
        </w:rPr>
        <w:t>48%; 95% crude incidence: 38</w:t>
      </w:r>
      <w:r w:rsidR="007738AE" w:rsidRPr="004D2D9E">
        <w:rPr>
          <w:rFonts w:ascii="Book Antiqua" w:eastAsia="Book Antiqua" w:hAnsi="Book Antiqua" w:cs="Book Antiqua"/>
          <w:color w:val="000000"/>
        </w:rPr>
        <w:t>%</w:t>
      </w:r>
      <w:r w:rsidRPr="004D2D9E">
        <w:rPr>
          <w:rFonts w:ascii="Book Antiqua" w:eastAsia="Book Antiqua" w:hAnsi="Book Antiqua" w:cs="Book Antiqua"/>
          <w:color w:val="000000"/>
        </w:rPr>
        <w:t>-57%</w:t>
      </w:r>
      <w:r w:rsidR="00FA14FB">
        <w:rPr>
          <w:rFonts w:ascii="Book Antiqua" w:eastAsia="Book Antiqua" w:hAnsi="Book Antiqua" w:cs="Book Antiqua"/>
          <w:color w:val="000000"/>
        </w:rPr>
        <w:t>)</w:t>
      </w:r>
      <w:r w:rsidRPr="004D2D9E">
        <w:rPr>
          <w:rFonts w:ascii="Book Antiqua" w:eastAsia="Book Antiqua" w:hAnsi="Book Antiqua" w:cs="Book Antiqua"/>
          <w:color w:val="000000"/>
        </w:rPr>
        <w:t xml:space="preserve"> over 2018-2030 and prevent the newest first chronic infections (22%; 95%</w:t>
      </w:r>
      <w:r w:rsidR="00FA14FB">
        <w:rPr>
          <w:rFonts w:ascii="Book Antiqua" w:eastAsia="Book Antiqua" w:hAnsi="Book Antiqua" w:cs="Book Antiqua"/>
          <w:color w:val="000000"/>
        </w:rPr>
        <w:t xml:space="preserve"> crude incidence</w:t>
      </w:r>
      <w:r w:rsidRPr="004D2D9E">
        <w:rPr>
          <w:rFonts w:ascii="Book Antiqua" w:eastAsia="Book Antiqua" w:hAnsi="Book Antiqua" w:cs="Book Antiqua"/>
          <w:color w:val="000000"/>
        </w:rPr>
        <w:t>: 16</w:t>
      </w:r>
      <w:r w:rsidR="007738AE" w:rsidRPr="004D2D9E">
        <w:rPr>
          <w:rFonts w:ascii="Book Antiqua" w:eastAsia="Book Antiqua" w:hAnsi="Book Antiqua" w:cs="Book Antiqua"/>
          <w:color w:val="000000"/>
        </w:rPr>
        <w:t>%</w:t>
      </w:r>
      <w:r w:rsidRPr="004D2D9E">
        <w:rPr>
          <w:rFonts w:ascii="Book Antiqua" w:eastAsia="Book Antiqua" w:hAnsi="Book Antiqua" w:cs="Book Antiqua"/>
          <w:color w:val="000000"/>
        </w:rPr>
        <w:t xml:space="preserve">-28%) within </w:t>
      </w:r>
      <w:r w:rsidR="004B6F2D" w:rsidRPr="004D2D9E">
        <w:rPr>
          <w:rFonts w:ascii="Book Antiqua" w:eastAsia="Book Antiqua" w:hAnsi="Book Antiqua" w:cs="Book Antiqua"/>
          <w:color w:val="000000"/>
        </w:rPr>
        <w:t xml:space="preserve">those </w:t>
      </w:r>
      <w:r w:rsidR="00596023" w:rsidRPr="004D2D9E">
        <w:rPr>
          <w:rFonts w:ascii="Book Antiqua" w:eastAsia="Book Antiqua" w:hAnsi="Book Antiqua" w:cs="Book Antiqua"/>
          <w:color w:val="000000"/>
        </w:rPr>
        <w:t xml:space="preserve">who </w:t>
      </w:r>
      <w:r w:rsidRPr="004D2D9E">
        <w:rPr>
          <w:rFonts w:ascii="Book Antiqua" w:eastAsia="Book Antiqua" w:hAnsi="Book Antiqua" w:cs="Book Antiqua"/>
          <w:color w:val="000000"/>
        </w:rPr>
        <w:t>never exposed to HCV</w:t>
      </w:r>
      <w:r w:rsidR="00E34EB0" w:rsidRPr="004D2D9E">
        <w:rPr>
          <w:rFonts w:ascii="Book Antiqua" w:eastAsia="Book Antiqua" w:hAnsi="Book Antiqua" w:cs="Book Antiqua"/>
          <w:color w:val="000000"/>
          <w:vertAlign w:val="superscript"/>
        </w:rPr>
        <w:t>[89]</w:t>
      </w:r>
      <w:r w:rsidRPr="004D2D9E">
        <w:rPr>
          <w:rFonts w:ascii="Book Antiqua" w:eastAsia="Book Antiqua" w:hAnsi="Book Antiqua" w:cs="Book Antiqua"/>
          <w:color w:val="000000"/>
        </w:rPr>
        <w:t>.</w:t>
      </w:r>
      <w:r w:rsidR="00E34EB0">
        <w:rPr>
          <w:rFonts w:ascii="Book Antiqua" w:eastAsia="Book Antiqua" w:hAnsi="Book Antiqua" w:cs="Book Antiqua"/>
          <w:color w:val="000000"/>
        </w:rPr>
        <w:t xml:space="preserve"> </w:t>
      </w:r>
      <w:r w:rsidRPr="004D2D9E">
        <w:rPr>
          <w:rFonts w:ascii="Book Antiqua" w:eastAsia="Book Antiqua" w:hAnsi="Book Antiqua" w:cs="Book Antiqua"/>
          <w:color w:val="000000"/>
        </w:rPr>
        <w:t>The project HIPPOCRATES is an example of a micro-elimination program conducted in prison inmates, a vulnerable population to receive treatment less frequently due to many obstacles in healthcare access. The onsite evaluation and treatment of HCV-infected prison inmates achieved an unprecedented effective success rate (SVR was 99%). This type of integral program should be replicated to favor hepatitis C elimination</w:t>
      </w:r>
      <w:r w:rsidR="00E34EB0" w:rsidRPr="004D2D9E">
        <w:rPr>
          <w:rFonts w:ascii="Book Antiqua" w:eastAsia="Book Antiqua" w:hAnsi="Book Antiqua" w:cs="Book Antiqua"/>
          <w:color w:val="000000"/>
          <w:vertAlign w:val="superscript"/>
        </w:rPr>
        <w:t>[90]</w:t>
      </w:r>
      <w:r w:rsidRPr="004D2D9E">
        <w:rPr>
          <w:rFonts w:ascii="Book Antiqua" w:eastAsia="Book Antiqua" w:hAnsi="Book Antiqua" w:cs="Book Antiqua"/>
          <w:color w:val="000000"/>
        </w:rPr>
        <w:t>.</w:t>
      </w:r>
    </w:p>
    <w:p w14:paraId="115A1921" w14:textId="32BAD72A" w:rsidR="003C7086" w:rsidRPr="004D2D9E" w:rsidRDefault="00CA77E2" w:rsidP="00E34EB0">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 xml:space="preserve">More attention should be paid to the risk group of </w:t>
      </w:r>
      <w:r w:rsidR="00E30744" w:rsidRPr="004D2D9E">
        <w:rPr>
          <w:rFonts w:ascii="Book Antiqua" w:eastAsia="Book Antiqua" w:hAnsi="Book Antiqua" w:cs="Book Antiqua"/>
          <w:color w:val="000000"/>
        </w:rPr>
        <w:t>homosexual men</w:t>
      </w:r>
      <w:r w:rsidRPr="004D2D9E">
        <w:rPr>
          <w:rFonts w:ascii="Book Antiqua" w:eastAsia="Book Antiqua" w:hAnsi="Book Antiqua" w:cs="Book Antiqua"/>
          <w:color w:val="000000"/>
        </w:rPr>
        <w:t xml:space="preserve"> since HCV incidence in this high-risk group seems to be increasing. In France, a recently important change in HCV epidemiology was reported within HIV-infected patients since the higher rate of HCV transmission occurs in 2018 among </w:t>
      </w:r>
      <w:r w:rsidR="00E30744" w:rsidRPr="004D2D9E">
        <w:rPr>
          <w:rFonts w:ascii="Book Antiqua" w:eastAsia="Book Antiqua" w:hAnsi="Book Antiqua" w:cs="Book Antiqua"/>
          <w:color w:val="000000"/>
        </w:rPr>
        <w:t>homosexual men</w:t>
      </w:r>
      <w:r w:rsidRPr="004D2D9E">
        <w:rPr>
          <w:rFonts w:ascii="Book Antiqua" w:eastAsia="Book Antiqua" w:hAnsi="Book Antiqua" w:cs="Book Antiqua"/>
          <w:color w:val="000000"/>
        </w:rPr>
        <w:t xml:space="preserve">. From 2012 to 2018, the HCV prevalence among new HIV cases </w:t>
      </w:r>
      <w:r w:rsidR="00FA14FB">
        <w:rPr>
          <w:rFonts w:ascii="Book Antiqua" w:eastAsia="Book Antiqua" w:hAnsi="Book Antiqua" w:cs="Book Antiqua"/>
          <w:color w:val="000000"/>
        </w:rPr>
        <w:t>increased</w:t>
      </w:r>
      <w:r w:rsidRPr="004D2D9E">
        <w:rPr>
          <w:rFonts w:ascii="Book Antiqua" w:eastAsia="Book Antiqua" w:hAnsi="Book Antiqua" w:cs="Book Antiqua"/>
          <w:color w:val="000000"/>
        </w:rPr>
        <w:t xml:space="preserve"> from 1.9% to 3.5% in </w:t>
      </w:r>
      <w:r w:rsidR="00E30744" w:rsidRPr="004D2D9E">
        <w:rPr>
          <w:rFonts w:ascii="Book Antiqua" w:eastAsia="Book Antiqua" w:hAnsi="Book Antiqua" w:cs="Book Antiqua"/>
          <w:color w:val="000000"/>
        </w:rPr>
        <w:t>homosexual men</w:t>
      </w:r>
      <w:r w:rsidRPr="004D2D9E">
        <w:rPr>
          <w:rFonts w:ascii="Book Antiqua" w:eastAsia="Book Antiqua" w:hAnsi="Book Antiqua" w:cs="Book Antiqua"/>
          <w:color w:val="000000"/>
        </w:rPr>
        <w:t xml:space="preserve">. Recently acquired HCV incidence increased from 0.36/100 person-years to 1.25/100 person-years in </w:t>
      </w:r>
      <w:r w:rsidR="00E30744" w:rsidRPr="004D2D9E">
        <w:rPr>
          <w:rFonts w:ascii="Book Antiqua" w:eastAsia="Book Antiqua" w:hAnsi="Book Antiqua" w:cs="Book Antiqua"/>
          <w:color w:val="000000"/>
        </w:rPr>
        <w:t>homosexual men</w:t>
      </w:r>
      <w:r w:rsidRPr="004D2D9E">
        <w:rPr>
          <w:rFonts w:ascii="Book Antiqua" w:eastAsia="Book Antiqua" w:hAnsi="Book Antiqua" w:cs="Book Antiqua"/>
          <w:color w:val="000000"/>
        </w:rPr>
        <w:t xml:space="preserve">. If well, the proportion of all viremic patients </w:t>
      </w:r>
      <w:r w:rsidR="00EC74D6" w:rsidRPr="004D2D9E">
        <w:rPr>
          <w:rFonts w:ascii="Book Antiqua" w:eastAsia="Book Antiqua" w:hAnsi="Book Antiqua" w:cs="Book Antiqua"/>
          <w:color w:val="000000"/>
        </w:rPr>
        <w:t>reduc</w:t>
      </w:r>
      <w:r w:rsidRPr="004D2D9E">
        <w:rPr>
          <w:rFonts w:ascii="Book Antiqua" w:eastAsia="Book Antiqua" w:hAnsi="Book Antiqua" w:cs="Book Antiqua"/>
          <w:color w:val="000000"/>
        </w:rPr>
        <w:t xml:space="preserve">ed from 67.0% to 8.9%, </w:t>
      </w:r>
      <w:r w:rsidR="00E30744" w:rsidRPr="004D2D9E">
        <w:rPr>
          <w:rFonts w:ascii="Book Antiqua" w:eastAsia="Book Antiqua" w:hAnsi="Book Antiqua" w:cs="Book Antiqua"/>
          <w:color w:val="000000"/>
        </w:rPr>
        <w:t>homosexual men</w:t>
      </w:r>
      <w:r w:rsidRPr="004D2D9E">
        <w:rPr>
          <w:rFonts w:ascii="Book Antiqua" w:eastAsia="Book Antiqua" w:hAnsi="Book Antiqua" w:cs="Book Antiqua"/>
          <w:color w:val="000000"/>
        </w:rPr>
        <w:t xml:space="preserve"> became the first group of viremic patients in 2018 (37.9%), and recently acquired hepatitis represented 59.2% of viremic </w:t>
      </w:r>
      <w:r w:rsidR="00E30744" w:rsidRPr="004D2D9E">
        <w:rPr>
          <w:rFonts w:ascii="Book Antiqua" w:eastAsia="Book Antiqua" w:hAnsi="Book Antiqua" w:cs="Book Antiqua"/>
          <w:color w:val="000000"/>
        </w:rPr>
        <w:t>homosexual men</w:t>
      </w:r>
      <w:r w:rsidRPr="004D2D9E">
        <w:rPr>
          <w:rFonts w:ascii="Book Antiqua" w:eastAsia="Book Antiqua" w:hAnsi="Book Antiqua" w:cs="Book Antiqua"/>
          <w:color w:val="000000"/>
        </w:rPr>
        <w:t xml:space="preserve"> in 2018. Global DAA treatment </w:t>
      </w:r>
      <w:r w:rsidR="00EC74D6" w:rsidRPr="004D2D9E">
        <w:rPr>
          <w:rFonts w:ascii="Book Antiqua" w:eastAsia="Book Antiqua" w:hAnsi="Book Antiqua" w:cs="Book Antiqua"/>
          <w:color w:val="000000"/>
        </w:rPr>
        <w:t>prescription</w:t>
      </w:r>
      <w:r w:rsidRPr="004D2D9E">
        <w:rPr>
          <w:rFonts w:ascii="Book Antiqua" w:eastAsia="Book Antiqua" w:hAnsi="Book Antiqua" w:cs="Book Antiqua"/>
          <w:color w:val="000000"/>
        </w:rPr>
        <w:t xml:space="preserve"> </w:t>
      </w:r>
      <w:r w:rsidR="00EC74D6" w:rsidRPr="004D2D9E">
        <w:rPr>
          <w:rFonts w:ascii="Book Antiqua" w:eastAsia="Book Antiqua" w:hAnsi="Book Antiqua" w:cs="Book Antiqua"/>
          <w:color w:val="000000"/>
        </w:rPr>
        <w:t>went</w:t>
      </w:r>
      <w:r w:rsidRPr="004D2D9E">
        <w:rPr>
          <w:rFonts w:ascii="Book Antiqua" w:eastAsia="Book Antiqua" w:hAnsi="Book Antiqua" w:cs="Book Antiqua"/>
          <w:color w:val="000000"/>
        </w:rPr>
        <w:t xml:space="preserve"> from 11.4% to 61.5%. More treatments were initiated in </w:t>
      </w:r>
      <w:r w:rsidR="00E30744" w:rsidRPr="004D2D9E">
        <w:rPr>
          <w:rFonts w:ascii="Book Antiqua" w:eastAsia="Book Antiqua" w:hAnsi="Book Antiqua" w:cs="Book Antiqua"/>
          <w:color w:val="000000"/>
        </w:rPr>
        <w:t>homosexual men</w:t>
      </w:r>
      <w:r w:rsidRPr="004D2D9E">
        <w:rPr>
          <w:rFonts w:ascii="Book Antiqua" w:eastAsia="Book Antiqua" w:hAnsi="Book Antiqua" w:cs="Book Antiqua"/>
          <w:color w:val="000000"/>
        </w:rPr>
        <w:t xml:space="preserve"> in 2018 (41.2%). In </w:t>
      </w:r>
      <w:r w:rsidR="00E30744" w:rsidRPr="004D2D9E">
        <w:rPr>
          <w:rFonts w:ascii="Book Antiqua" w:eastAsia="Book Antiqua" w:hAnsi="Book Antiqua" w:cs="Book Antiqua"/>
          <w:color w:val="000000"/>
        </w:rPr>
        <w:t>homosexual men</w:t>
      </w:r>
      <w:r w:rsidRPr="004D2D9E">
        <w:rPr>
          <w:rFonts w:ascii="Book Antiqua" w:eastAsia="Book Antiqua" w:hAnsi="Book Antiqua" w:cs="Book Antiqua"/>
          <w:color w:val="000000"/>
        </w:rPr>
        <w:t>, treatment at the acute phase represented 30.0% of treatments in 2018</w:t>
      </w:r>
      <w:r w:rsidR="00E34EB0" w:rsidRPr="004D2D9E">
        <w:rPr>
          <w:rFonts w:ascii="Book Antiqua" w:eastAsia="Book Antiqua" w:hAnsi="Book Antiqua" w:cs="Book Antiqua"/>
          <w:color w:val="000000"/>
          <w:vertAlign w:val="superscript"/>
        </w:rPr>
        <w:t>[91]</w:t>
      </w:r>
      <w:r w:rsidRPr="004D2D9E">
        <w:rPr>
          <w:rFonts w:ascii="Book Antiqua" w:eastAsia="Book Antiqua" w:hAnsi="Book Antiqua" w:cs="Book Antiqua"/>
          <w:color w:val="000000"/>
        </w:rPr>
        <w:t xml:space="preserve">. In Spain, a very close to HCV elimination country, </w:t>
      </w:r>
      <w:r w:rsidR="00E30744" w:rsidRPr="004D2D9E">
        <w:rPr>
          <w:rFonts w:ascii="Book Antiqua" w:eastAsia="Book Antiqua" w:hAnsi="Book Antiqua" w:cs="Book Antiqua"/>
          <w:color w:val="000000"/>
        </w:rPr>
        <w:t>homosexual men</w:t>
      </w:r>
      <w:r w:rsidRPr="004D2D9E">
        <w:rPr>
          <w:rFonts w:ascii="Book Antiqua" w:eastAsia="Book Antiqua" w:hAnsi="Book Antiqua" w:cs="Book Antiqua"/>
          <w:color w:val="000000"/>
        </w:rPr>
        <w:t xml:space="preserve"> also carr</w:t>
      </w:r>
      <w:r w:rsidR="00E30744" w:rsidRPr="004D2D9E">
        <w:rPr>
          <w:rFonts w:ascii="Book Antiqua" w:eastAsia="Book Antiqua" w:hAnsi="Book Antiqua" w:cs="Book Antiqua"/>
          <w:color w:val="000000"/>
        </w:rPr>
        <w:t>y</w:t>
      </w:r>
      <w:r w:rsidRPr="004D2D9E">
        <w:rPr>
          <w:rFonts w:ascii="Book Antiqua" w:eastAsia="Book Antiqua" w:hAnsi="Book Antiqua" w:cs="Book Antiqua"/>
          <w:color w:val="000000"/>
        </w:rPr>
        <w:t xml:space="preserve"> the highest HCV acquisition risk. The identified main risk factors contributing to new cases of HCV infection in Spain are history of sexually </w:t>
      </w:r>
      <w:r w:rsidR="004A38AE" w:rsidRPr="004D2D9E">
        <w:rPr>
          <w:rFonts w:ascii="Book Antiqua" w:eastAsia="Book Antiqua" w:hAnsi="Book Antiqua" w:cs="Book Antiqua"/>
          <w:color w:val="000000"/>
        </w:rPr>
        <w:t>acquir</w:t>
      </w:r>
      <w:r w:rsidRPr="004D2D9E">
        <w:rPr>
          <w:rFonts w:ascii="Book Antiqua" w:eastAsia="Book Antiqua" w:hAnsi="Book Antiqua" w:cs="Book Antiqua"/>
          <w:color w:val="000000"/>
        </w:rPr>
        <w:t xml:space="preserve">ed infections </w:t>
      </w:r>
      <w:r w:rsidR="00E34EB0">
        <w:rPr>
          <w:rFonts w:ascii="Book Antiqua" w:eastAsia="Book Antiqua" w:hAnsi="Book Antiqua" w:cs="Book Antiqua"/>
          <w:color w:val="000000"/>
        </w:rPr>
        <w:t>[</w:t>
      </w:r>
      <w:r w:rsidRPr="004D2D9E">
        <w:rPr>
          <w:rFonts w:ascii="Book Antiqua" w:eastAsia="Book Antiqua" w:hAnsi="Book Antiqua" w:cs="Book Antiqua"/>
          <w:color w:val="000000"/>
        </w:rPr>
        <w:t xml:space="preserve">incidence rate ratio </w:t>
      </w:r>
      <w:r w:rsidR="00E34EB0">
        <w:rPr>
          <w:rFonts w:ascii="Book Antiqua" w:eastAsia="Book Antiqua" w:hAnsi="Book Antiqua" w:cs="Book Antiqua"/>
          <w:color w:val="000000"/>
        </w:rPr>
        <w:t>(</w:t>
      </w:r>
      <w:r w:rsidRPr="004D2D9E">
        <w:rPr>
          <w:rFonts w:ascii="Book Antiqua" w:eastAsia="Book Antiqua" w:hAnsi="Book Antiqua" w:cs="Book Antiqua"/>
          <w:color w:val="000000"/>
        </w:rPr>
        <w:t>IRR</w:t>
      </w:r>
      <w:r w:rsidR="00E34EB0">
        <w:rPr>
          <w:rFonts w:ascii="Book Antiqua" w:eastAsia="Book Antiqua" w:hAnsi="Book Antiqua" w:cs="Book Antiqua"/>
          <w:color w:val="000000"/>
        </w:rPr>
        <w:t>)</w:t>
      </w:r>
      <w:r w:rsidRPr="004D2D9E">
        <w:rPr>
          <w:rFonts w:ascii="Book Antiqua" w:eastAsia="Book Antiqua" w:hAnsi="Book Antiqua" w:cs="Book Antiqua"/>
          <w:color w:val="000000"/>
        </w:rPr>
        <w:t xml:space="preserve"> = 18.2, 95%CI: 1.9-172.1; </w:t>
      </w:r>
      <w:r w:rsidRPr="004D2D9E">
        <w:rPr>
          <w:rFonts w:ascii="Book Antiqua" w:eastAsia="Book Antiqua" w:hAnsi="Book Antiqua" w:cs="Book Antiqua"/>
          <w:i/>
          <w:iCs/>
          <w:color w:val="000000"/>
        </w:rPr>
        <w:t>P</w:t>
      </w:r>
      <w:r w:rsidRPr="004D2D9E">
        <w:rPr>
          <w:rFonts w:ascii="Book Antiqua" w:eastAsia="Book Antiqua" w:hAnsi="Book Antiqua" w:cs="Book Antiqua"/>
          <w:color w:val="000000"/>
        </w:rPr>
        <w:t xml:space="preserve"> = 0.01)</w:t>
      </w:r>
      <w:r w:rsidR="00E34EB0">
        <w:rPr>
          <w:rFonts w:ascii="Book Antiqua" w:eastAsia="Book Antiqua" w:hAnsi="Book Antiqua" w:cs="Book Antiqua"/>
          <w:color w:val="000000"/>
        </w:rPr>
        <w:t>]</w:t>
      </w:r>
      <w:r w:rsidRPr="004D2D9E">
        <w:rPr>
          <w:rFonts w:ascii="Book Antiqua" w:eastAsia="Book Antiqua" w:hAnsi="Book Antiqua" w:cs="Book Antiqua"/>
          <w:color w:val="000000"/>
        </w:rPr>
        <w:t xml:space="preserve">, male </w:t>
      </w:r>
      <w:r w:rsidR="004A38AE" w:rsidRPr="004D2D9E">
        <w:rPr>
          <w:rFonts w:ascii="Book Antiqua" w:eastAsia="Book Antiqua" w:hAnsi="Book Antiqua" w:cs="Book Antiqua"/>
          <w:color w:val="000000"/>
        </w:rPr>
        <w:t>gender</w:t>
      </w:r>
      <w:r w:rsidRPr="004D2D9E">
        <w:rPr>
          <w:rFonts w:ascii="Book Antiqua" w:eastAsia="Book Antiqua" w:hAnsi="Book Antiqua" w:cs="Book Antiqua"/>
          <w:color w:val="000000"/>
        </w:rPr>
        <w:t xml:space="preserve"> (IRR = 8.3, 95%CI: 1.</w:t>
      </w:r>
      <w:r w:rsidR="004A38AE" w:rsidRPr="004D2D9E">
        <w:rPr>
          <w:rFonts w:ascii="Book Antiqua" w:eastAsia="Book Antiqua" w:hAnsi="Book Antiqua" w:cs="Book Antiqua"/>
          <w:color w:val="000000"/>
        </w:rPr>
        <w:t>4</w:t>
      </w:r>
      <w:r w:rsidRPr="004D2D9E">
        <w:rPr>
          <w:rFonts w:ascii="Book Antiqua" w:eastAsia="Book Antiqua" w:hAnsi="Book Antiqua" w:cs="Book Antiqua"/>
          <w:color w:val="000000"/>
        </w:rPr>
        <w:t>-54.</w:t>
      </w:r>
      <w:r w:rsidR="004A38AE" w:rsidRPr="004D2D9E">
        <w:rPr>
          <w:rFonts w:ascii="Book Antiqua" w:eastAsia="Book Antiqua" w:hAnsi="Book Antiqua" w:cs="Book Antiqua"/>
          <w:color w:val="000000"/>
        </w:rPr>
        <w:t>2</w:t>
      </w:r>
      <w:r w:rsidRPr="004D2D9E">
        <w:rPr>
          <w:rFonts w:ascii="Book Antiqua" w:eastAsia="Book Antiqua" w:hAnsi="Book Antiqua" w:cs="Book Antiqua"/>
          <w:color w:val="000000"/>
        </w:rPr>
        <w:t xml:space="preserve">; </w:t>
      </w:r>
      <w:r w:rsidRPr="004D2D9E">
        <w:rPr>
          <w:rFonts w:ascii="Book Antiqua" w:eastAsia="Book Antiqua" w:hAnsi="Book Antiqua" w:cs="Book Antiqua"/>
          <w:i/>
          <w:iCs/>
          <w:color w:val="000000"/>
        </w:rPr>
        <w:t>P</w:t>
      </w:r>
      <w:r w:rsidRPr="004D2D9E">
        <w:rPr>
          <w:rFonts w:ascii="Book Antiqua" w:eastAsia="Book Antiqua" w:hAnsi="Book Antiqua" w:cs="Book Antiqua"/>
          <w:color w:val="000000"/>
        </w:rPr>
        <w:t xml:space="preserve"> = 0.0</w:t>
      </w:r>
      <w:r w:rsidR="00EC74D6" w:rsidRPr="004D2D9E">
        <w:rPr>
          <w:rFonts w:ascii="Book Antiqua" w:eastAsia="Book Antiqua" w:hAnsi="Book Antiqua" w:cs="Book Antiqua"/>
          <w:color w:val="000000"/>
        </w:rPr>
        <w:t>3</w:t>
      </w:r>
      <w:r w:rsidRPr="004D2D9E">
        <w:rPr>
          <w:rFonts w:ascii="Book Antiqua" w:eastAsia="Book Antiqua" w:hAnsi="Book Antiqua" w:cs="Book Antiqua"/>
          <w:color w:val="000000"/>
        </w:rPr>
        <w:t>)</w:t>
      </w:r>
      <w:r w:rsidR="00E34EB0">
        <w:rPr>
          <w:rFonts w:ascii="Book Antiqua" w:eastAsia="Book Antiqua" w:hAnsi="Book Antiqua" w:cs="Book Antiqua"/>
          <w:color w:val="000000"/>
        </w:rPr>
        <w:t>]</w:t>
      </w:r>
      <w:r w:rsidRPr="004D2D9E">
        <w:rPr>
          <w:rFonts w:ascii="Book Antiqua" w:eastAsia="Book Antiqua" w:hAnsi="Book Antiqua" w:cs="Book Antiqua"/>
          <w:color w:val="000000"/>
        </w:rPr>
        <w:t xml:space="preserve"> and sharing chem-sex drugs </w:t>
      </w:r>
      <w:r w:rsidRPr="004D2D9E">
        <w:rPr>
          <w:rFonts w:ascii="Book Antiqua" w:eastAsia="Book Antiqua" w:hAnsi="Book Antiqua" w:cs="Book Antiqua"/>
          <w:color w:val="000000"/>
        </w:rPr>
        <w:lastRenderedPageBreak/>
        <w:t>(IRR: 4.9, 95%CI: 1.</w:t>
      </w:r>
      <w:r w:rsidR="004A38AE" w:rsidRPr="004D2D9E">
        <w:rPr>
          <w:rFonts w:ascii="Book Antiqua" w:eastAsia="Book Antiqua" w:hAnsi="Book Antiqua" w:cs="Book Antiqua"/>
          <w:color w:val="000000"/>
        </w:rPr>
        <w:t>2</w:t>
      </w:r>
      <w:r w:rsidRPr="004D2D9E">
        <w:rPr>
          <w:rFonts w:ascii="Book Antiqua" w:eastAsia="Book Antiqua" w:hAnsi="Book Antiqua" w:cs="Book Antiqua"/>
          <w:color w:val="000000"/>
        </w:rPr>
        <w:t>-20.</w:t>
      </w:r>
      <w:r w:rsidR="004A38AE" w:rsidRPr="004D2D9E">
        <w:rPr>
          <w:rFonts w:ascii="Book Antiqua" w:eastAsia="Book Antiqua" w:hAnsi="Book Antiqua" w:cs="Book Antiqua"/>
          <w:color w:val="000000"/>
        </w:rPr>
        <w:t>8</w:t>
      </w:r>
      <w:r w:rsidRPr="004D2D9E">
        <w:rPr>
          <w:rFonts w:ascii="Book Antiqua" w:eastAsia="Book Antiqua" w:hAnsi="Book Antiqua" w:cs="Book Antiqua"/>
          <w:color w:val="000000"/>
        </w:rPr>
        <w:t xml:space="preserve">; </w:t>
      </w:r>
      <w:r w:rsidRPr="004D2D9E">
        <w:rPr>
          <w:rFonts w:ascii="Book Antiqua" w:eastAsia="Book Antiqua" w:hAnsi="Book Antiqua" w:cs="Book Antiqua"/>
          <w:i/>
          <w:iCs/>
          <w:color w:val="000000"/>
        </w:rPr>
        <w:t>P</w:t>
      </w:r>
      <w:r w:rsidRPr="004D2D9E">
        <w:rPr>
          <w:rFonts w:ascii="Book Antiqua" w:eastAsia="Book Antiqua" w:hAnsi="Book Antiqua" w:cs="Book Antiqua"/>
          <w:color w:val="000000"/>
        </w:rPr>
        <w:t xml:space="preserve"> = 0.03)</w:t>
      </w:r>
      <w:r w:rsidR="00E34EB0" w:rsidRPr="004D2D9E">
        <w:rPr>
          <w:rFonts w:ascii="Book Antiqua" w:eastAsia="Book Antiqua" w:hAnsi="Book Antiqua" w:cs="Book Antiqua"/>
          <w:color w:val="000000"/>
          <w:vertAlign w:val="superscript"/>
        </w:rPr>
        <w:t>[92]</w:t>
      </w:r>
      <w:r w:rsidRPr="004D2D9E">
        <w:rPr>
          <w:rFonts w:ascii="Book Antiqua" w:eastAsia="Book Antiqua" w:hAnsi="Book Antiqua" w:cs="Book Antiqua"/>
          <w:color w:val="000000"/>
        </w:rPr>
        <w:t xml:space="preserve">. In the Netherlands, </w:t>
      </w:r>
      <w:r w:rsidR="00E30744" w:rsidRPr="004D2D9E">
        <w:rPr>
          <w:rFonts w:ascii="Book Antiqua" w:eastAsia="Book Antiqua" w:hAnsi="Book Antiqua" w:cs="Book Antiqua"/>
          <w:color w:val="000000"/>
        </w:rPr>
        <w:t>homosexual men</w:t>
      </w:r>
      <w:r w:rsidRPr="004D2D9E">
        <w:rPr>
          <w:rFonts w:ascii="Book Antiqua" w:eastAsia="Book Antiqua" w:hAnsi="Book Antiqua" w:cs="Book Antiqua"/>
          <w:color w:val="000000"/>
        </w:rPr>
        <w:t xml:space="preserve"> also have the highest incidence and the highest HCV reinfection rate despite universal and unrestricted access to DAAs, stressing the need for additional preventive measures</w:t>
      </w:r>
      <w:r w:rsidR="00C15B26" w:rsidRPr="004D2D9E">
        <w:rPr>
          <w:rFonts w:ascii="Book Antiqua" w:eastAsia="Book Antiqua" w:hAnsi="Book Antiqua" w:cs="Book Antiqua"/>
          <w:color w:val="000000"/>
          <w:vertAlign w:val="superscript"/>
        </w:rPr>
        <w:t>[93</w:t>
      </w:r>
      <w:r w:rsidR="00C15B26">
        <w:rPr>
          <w:rFonts w:ascii="Book Antiqua" w:eastAsia="Book Antiqua" w:hAnsi="Book Antiqua" w:cs="Book Antiqua"/>
          <w:color w:val="000000"/>
          <w:vertAlign w:val="superscript"/>
        </w:rPr>
        <w:t>,</w:t>
      </w:r>
      <w:r w:rsidR="00C15B26" w:rsidRPr="004D2D9E">
        <w:rPr>
          <w:rFonts w:ascii="Book Antiqua" w:eastAsia="Book Antiqua" w:hAnsi="Book Antiqua" w:cs="Book Antiqua"/>
          <w:color w:val="000000"/>
          <w:vertAlign w:val="superscript"/>
        </w:rPr>
        <w:t>94]</w:t>
      </w:r>
      <w:r w:rsidRPr="004D2D9E">
        <w:rPr>
          <w:rFonts w:ascii="Book Antiqua" w:eastAsia="Book Antiqua" w:hAnsi="Book Antiqua" w:cs="Book Antiqua"/>
          <w:color w:val="000000"/>
        </w:rPr>
        <w:t xml:space="preserve">. </w:t>
      </w:r>
    </w:p>
    <w:p w14:paraId="4882B5F5" w14:textId="44DD2DBD" w:rsidR="003C7086" w:rsidRPr="004D2D9E" w:rsidRDefault="00CA77E2" w:rsidP="00C15B26">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However, other risk factors should not be minimized either; for example, the unapparent parenteral transmission, t</w:t>
      </w:r>
      <w:r w:rsidR="00FA14FB">
        <w:rPr>
          <w:rFonts w:ascii="Book Antiqua" w:eastAsia="Book Antiqua" w:hAnsi="Book Antiqua" w:cs="Book Antiqua"/>
          <w:color w:val="000000"/>
        </w:rPr>
        <w:t>h</w:t>
      </w:r>
      <w:r w:rsidRPr="004D2D9E">
        <w:rPr>
          <w:rFonts w:ascii="Book Antiqua" w:eastAsia="Book Antiqua" w:hAnsi="Book Antiqua" w:cs="Book Antiqua"/>
          <w:color w:val="000000"/>
        </w:rPr>
        <w:t>rough share</w:t>
      </w:r>
      <w:r w:rsidR="00FA14FB">
        <w:rPr>
          <w:rFonts w:ascii="Book Antiqua" w:eastAsia="Book Antiqua" w:hAnsi="Book Antiqua" w:cs="Book Antiqua"/>
          <w:color w:val="000000"/>
        </w:rPr>
        <w:t>d</w:t>
      </w:r>
      <w:r w:rsidRPr="004D2D9E">
        <w:rPr>
          <w:rFonts w:ascii="Book Antiqua" w:eastAsia="Book Antiqua" w:hAnsi="Book Antiqua" w:cs="Book Antiqua"/>
          <w:color w:val="000000"/>
        </w:rPr>
        <w:t xml:space="preserve"> nail clippers, rakes, and manicure scissors can also be the primary source of viral infection</w:t>
      </w:r>
      <w:r w:rsidR="00C15B26" w:rsidRPr="004D2D9E">
        <w:rPr>
          <w:rFonts w:ascii="Book Antiqua" w:eastAsia="Book Antiqua" w:hAnsi="Book Antiqua" w:cs="Book Antiqua"/>
          <w:color w:val="000000"/>
          <w:vertAlign w:val="superscript"/>
        </w:rPr>
        <w:t>[95]</w:t>
      </w:r>
      <w:r w:rsidRPr="004D2D9E">
        <w:rPr>
          <w:rFonts w:ascii="Book Antiqua" w:eastAsia="Book Antiqua" w:hAnsi="Book Antiqua" w:cs="Book Antiqua"/>
          <w:color w:val="000000"/>
        </w:rPr>
        <w:t>. Therefore, it is now recommended to perform universal one-time in-life routine HCV screening for all adults</w:t>
      </w:r>
      <w:r w:rsidR="00C15B26" w:rsidRPr="004D2D9E">
        <w:rPr>
          <w:rFonts w:ascii="Book Antiqua" w:eastAsia="Book Antiqua" w:hAnsi="Book Antiqua" w:cs="Book Antiqua"/>
          <w:color w:val="000000"/>
          <w:vertAlign w:val="superscript"/>
        </w:rPr>
        <w:t>[15]</w:t>
      </w:r>
      <w:r w:rsidRPr="004D2D9E">
        <w:rPr>
          <w:rFonts w:ascii="Book Antiqua" w:eastAsia="Book Antiqua" w:hAnsi="Book Antiqua" w:cs="Book Antiqua"/>
          <w:color w:val="000000"/>
        </w:rPr>
        <w:t>.</w:t>
      </w:r>
    </w:p>
    <w:p w14:paraId="598B64B0" w14:textId="74309070" w:rsidR="003C7086" w:rsidRPr="004D2D9E" w:rsidRDefault="00CA77E2" w:rsidP="00C15B26">
      <w:pPr>
        <w:spacing w:line="360" w:lineRule="auto"/>
        <w:ind w:firstLineChars="200" w:firstLine="480"/>
        <w:jc w:val="both"/>
        <w:rPr>
          <w:rFonts w:ascii="Book Antiqua" w:hAnsi="Book Antiqua"/>
        </w:rPr>
      </w:pPr>
      <w:r w:rsidRPr="004D2D9E">
        <w:rPr>
          <w:rFonts w:ascii="Book Antiqua" w:eastAsia="Book Antiqua" w:hAnsi="Book Antiqua" w:cs="Book Antiqua"/>
          <w:color w:val="000000"/>
          <w:shd w:val="clear" w:color="auto" w:fill="FFFFFF"/>
        </w:rPr>
        <w:t>Likewise, the telemedicine programs and telementoring approaches are outstanding options that may help reduce urban-rural disparities, facilitate access to healthcare systems to receive timely therapy to all kinds of patients who need it, and save costs</w:t>
      </w:r>
      <w:r w:rsidR="00C15B26" w:rsidRPr="004D2D9E">
        <w:rPr>
          <w:rFonts w:ascii="Book Antiqua" w:eastAsia="Book Antiqua" w:hAnsi="Book Antiqua" w:cs="Book Antiqua"/>
          <w:color w:val="000000"/>
          <w:shd w:val="clear" w:color="auto" w:fill="FFFFFF"/>
          <w:vertAlign w:val="superscript"/>
        </w:rPr>
        <w:t>[96</w:t>
      </w:r>
      <w:r w:rsidR="00C15B26">
        <w:rPr>
          <w:rFonts w:ascii="Book Antiqua" w:eastAsia="Book Antiqua" w:hAnsi="Book Antiqua" w:cs="Book Antiqua"/>
          <w:color w:val="000000"/>
          <w:shd w:val="clear" w:color="auto" w:fill="FFFFFF"/>
          <w:vertAlign w:val="superscript"/>
        </w:rPr>
        <w:t>-</w:t>
      </w:r>
      <w:r w:rsidR="00C15B26" w:rsidRPr="004D2D9E">
        <w:rPr>
          <w:rFonts w:ascii="Book Antiqua" w:eastAsia="Book Antiqua" w:hAnsi="Book Antiqua" w:cs="Book Antiqua"/>
          <w:color w:val="000000"/>
          <w:shd w:val="clear" w:color="auto" w:fill="FFFFFF"/>
          <w:vertAlign w:val="superscript"/>
        </w:rPr>
        <w:t>104]</w:t>
      </w:r>
      <w:r w:rsidRPr="004D2D9E">
        <w:rPr>
          <w:rFonts w:ascii="Book Antiqua" w:eastAsia="Book Antiqua" w:hAnsi="Book Antiqua" w:cs="Book Antiqua"/>
          <w:color w:val="000000"/>
          <w:shd w:val="clear" w:color="auto" w:fill="FFFFFF"/>
        </w:rPr>
        <w:t>. In Mexico, with the aid of a telemedicine approach, significant savings were achieved by minimizing costs since nearly half of the patients were outsiders. Coverage reached 86%, and treatment with DAAs achieved 99% of SVR</w:t>
      </w:r>
      <w:r w:rsidRPr="004D2D9E">
        <w:rPr>
          <w:rFonts w:ascii="Book Antiqua" w:eastAsia="Book Antiqua" w:hAnsi="Book Antiqua" w:cs="Book Antiqua"/>
          <w:color w:val="000000"/>
          <w:shd w:val="clear" w:color="auto" w:fill="FFFFFF"/>
          <w:vertAlign w:val="superscript"/>
        </w:rPr>
        <w:t>[100]</w:t>
      </w:r>
      <w:r w:rsidRPr="004D2D9E">
        <w:rPr>
          <w:rFonts w:ascii="Book Antiqua" w:eastAsia="Book Antiqua" w:hAnsi="Book Antiqua" w:cs="Book Antiqua"/>
          <w:color w:val="000000"/>
          <w:shd w:val="clear" w:color="auto" w:fill="FFFFFF"/>
        </w:rPr>
        <w:t xml:space="preserve"> </w:t>
      </w:r>
      <w:r w:rsidR="00FA14FB">
        <w:rPr>
          <w:rFonts w:ascii="Book Antiqua" w:eastAsia="Book Antiqua" w:hAnsi="Book Antiqua" w:cs="Book Antiqua"/>
          <w:color w:val="000000"/>
          <w:shd w:val="clear" w:color="auto" w:fill="FFFFFF"/>
        </w:rPr>
        <w:t>(s</w:t>
      </w:r>
      <w:r w:rsidRPr="00C15B26">
        <w:rPr>
          <w:rFonts w:ascii="Book Antiqua" w:eastAsia="Book Antiqua" w:hAnsi="Book Antiqua" w:cs="Book Antiqua"/>
          <w:color w:val="000000"/>
          <w:shd w:val="clear" w:color="auto" w:fill="FFFFFF"/>
        </w:rPr>
        <w:t>ee Table 1</w:t>
      </w:r>
      <w:r w:rsidR="00FA14FB">
        <w:rPr>
          <w:rFonts w:ascii="Book Antiqua" w:eastAsia="Book Antiqua" w:hAnsi="Book Antiqua" w:cs="Book Antiqua"/>
          <w:color w:val="000000"/>
          <w:shd w:val="clear" w:color="auto" w:fill="FFFFFF"/>
        </w:rPr>
        <w:t>)</w:t>
      </w:r>
      <w:r w:rsidRPr="00C15B26">
        <w:rPr>
          <w:rFonts w:ascii="Book Antiqua" w:eastAsia="Book Antiqua" w:hAnsi="Book Antiqua" w:cs="Book Antiqua"/>
          <w:color w:val="000000"/>
          <w:shd w:val="clear" w:color="auto" w:fill="FFFFFF"/>
        </w:rPr>
        <w:t>.</w:t>
      </w:r>
    </w:p>
    <w:p w14:paraId="53A28CA7" w14:textId="77777777" w:rsidR="003C7086" w:rsidRPr="004D2D9E" w:rsidRDefault="003C7086" w:rsidP="004D2D9E">
      <w:pPr>
        <w:spacing w:line="360" w:lineRule="auto"/>
        <w:jc w:val="both"/>
        <w:rPr>
          <w:rFonts w:ascii="Book Antiqua" w:hAnsi="Book Antiqua"/>
        </w:rPr>
      </w:pPr>
    </w:p>
    <w:p w14:paraId="1DFABEE8" w14:textId="61254269" w:rsidR="003C7086" w:rsidRPr="00357667" w:rsidRDefault="00CA77E2" w:rsidP="004D2D9E">
      <w:pPr>
        <w:spacing w:line="360" w:lineRule="auto"/>
        <w:jc w:val="both"/>
        <w:rPr>
          <w:rFonts w:ascii="Book Antiqua" w:eastAsia="Book Antiqua" w:hAnsi="Book Antiqua" w:cs="Book Antiqua"/>
          <w:b/>
          <w:caps/>
          <w:color w:val="000000"/>
          <w:u w:val="single"/>
        </w:rPr>
      </w:pPr>
      <w:r w:rsidRPr="00357667">
        <w:rPr>
          <w:rFonts w:ascii="Book Antiqua" w:eastAsia="Book Antiqua" w:hAnsi="Book Antiqua" w:cs="Book Antiqua"/>
          <w:b/>
          <w:caps/>
          <w:color w:val="000000"/>
          <w:u w:val="single"/>
        </w:rPr>
        <w:t xml:space="preserve">How </w:t>
      </w:r>
      <w:r w:rsidR="00FA14FB">
        <w:rPr>
          <w:rFonts w:ascii="Book Antiqua" w:eastAsia="Book Antiqua" w:hAnsi="Book Antiqua" w:cs="Book Antiqua"/>
          <w:b/>
          <w:caps/>
          <w:color w:val="000000"/>
          <w:u w:val="single"/>
        </w:rPr>
        <w:t>has</w:t>
      </w:r>
      <w:r w:rsidRPr="00357667">
        <w:rPr>
          <w:rFonts w:ascii="Book Antiqua" w:eastAsia="Book Antiqua" w:hAnsi="Book Antiqua" w:cs="Book Antiqua"/>
          <w:b/>
          <w:caps/>
          <w:color w:val="000000"/>
          <w:u w:val="single"/>
        </w:rPr>
        <w:t xml:space="preserve"> the COVID-19 pandemic affected the WHO's goals to eliminate chronic viral hepatitis?</w:t>
      </w:r>
    </w:p>
    <w:p w14:paraId="377A94C3" w14:textId="7E60882A"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shd w:val="clear" w:color="auto" w:fill="FFFFFF"/>
        </w:rPr>
        <w:t>Quarantine and social distancing for COVID</w:t>
      </w:r>
      <w:r w:rsidR="00FA14FB">
        <w:rPr>
          <w:rFonts w:ascii="Book Antiqua" w:eastAsia="Book Antiqua" w:hAnsi="Book Antiqua" w:cs="Book Antiqua"/>
          <w:color w:val="000000"/>
          <w:shd w:val="clear" w:color="auto" w:fill="FFFFFF"/>
        </w:rPr>
        <w:t>-</w:t>
      </w:r>
      <w:r w:rsidRPr="004D2D9E">
        <w:rPr>
          <w:rFonts w:ascii="Book Antiqua" w:eastAsia="Book Antiqua" w:hAnsi="Book Antiqua" w:cs="Book Antiqua"/>
          <w:color w:val="000000"/>
          <w:shd w:val="clear" w:color="auto" w:fill="FFFFFF"/>
        </w:rPr>
        <w:t>19 can drastically affect some parts of the HBV</w:t>
      </w:r>
      <w:r w:rsidRPr="004D2D9E">
        <w:rPr>
          <w:rFonts w:ascii="Book Antiqua" w:eastAsia="Book Antiqua" w:hAnsi="Book Antiqua" w:cs="Book Antiqua"/>
          <w:color w:val="000000"/>
          <w:shd w:val="clear" w:color="auto" w:fill="FFFFFF"/>
          <w:vertAlign w:val="superscript"/>
        </w:rPr>
        <w:t>[105]</w:t>
      </w:r>
      <w:r w:rsidRPr="004D2D9E">
        <w:rPr>
          <w:rFonts w:ascii="Book Antiqua" w:eastAsia="Book Antiqua" w:hAnsi="Book Antiqua" w:cs="Book Antiqua"/>
          <w:color w:val="000000"/>
          <w:shd w:val="clear" w:color="auto" w:fill="FFFFFF"/>
        </w:rPr>
        <w:t xml:space="preserve"> and HCV elimination programs, such as diagnosis, treatment, and harm reduction programs. </w:t>
      </w:r>
      <w:r w:rsidR="00494F3C" w:rsidRPr="004D2D9E">
        <w:rPr>
          <w:rFonts w:ascii="Book Antiqua" w:eastAsia="Book Antiqua" w:hAnsi="Book Antiqua" w:cs="Book Antiqua"/>
          <w:color w:val="000000"/>
          <w:shd w:val="clear" w:color="auto" w:fill="FFFFFF"/>
        </w:rPr>
        <w:t>Therefore, the rate of diagnosis has decreased as voluntary activities such as the NoHep program have been reduced. Furthermore, the incidence of viral hepatitis may increase due to the closure of harm reduction centers</w:t>
      </w:r>
      <w:r w:rsidR="009E724A" w:rsidRPr="004D2D9E">
        <w:rPr>
          <w:rFonts w:ascii="Book Antiqua" w:eastAsia="Book Antiqua" w:hAnsi="Book Antiqua" w:cs="Book Antiqua"/>
          <w:color w:val="000000"/>
          <w:shd w:val="clear" w:color="auto" w:fill="FFFFFF"/>
          <w:vertAlign w:val="superscript"/>
        </w:rPr>
        <w:t>[106]</w:t>
      </w:r>
      <w:r w:rsidRPr="004D2D9E">
        <w:rPr>
          <w:rFonts w:ascii="Book Antiqua" w:eastAsia="Book Antiqua" w:hAnsi="Book Antiqua" w:cs="Book Antiqua"/>
          <w:color w:val="000000"/>
          <w:shd w:val="clear" w:color="auto" w:fill="FFFFFF"/>
        </w:rPr>
        <w:t xml:space="preserve">. </w:t>
      </w:r>
      <w:r w:rsidR="00A058DC" w:rsidRPr="004D2D9E">
        <w:rPr>
          <w:rFonts w:ascii="Book Antiqua" w:eastAsia="Book Antiqua" w:hAnsi="Book Antiqua" w:cs="Book Antiqua"/>
          <w:color w:val="000000"/>
          <w:shd w:val="clear" w:color="auto" w:fill="FFFFFF"/>
        </w:rPr>
        <w:t>According to the World Hepatitis Alliance global survey to evaluate the collateral damage of the pandemic on viral hepatitis elimination programs,</w:t>
      </w:r>
      <w:r w:rsidRPr="004D2D9E">
        <w:rPr>
          <w:rFonts w:ascii="Book Antiqua" w:eastAsia="Book Antiqua" w:hAnsi="Book Antiqua" w:cs="Book Antiqua"/>
          <w:color w:val="000000"/>
          <w:shd w:val="clear" w:color="auto" w:fill="FFFFFF"/>
        </w:rPr>
        <w:t xml:space="preserve"> civil society organizations are a vital contributor to </w:t>
      </w:r>
      <w:r w:rsidR="00AD4895" w:rsidRPr="004D2D9E">
        <w:rPr>
          <w:rFonts w:ascii="Book Antiqua" w:eastAsia="Book Antiqua" w:hAnsi="Book Antiqua" w:cs="Book Antiqua"/>
          <w:color w:val="000000"/>
          <w:shd w:val="clear" w:color="auto" w:fill="FFFFFF"/>
        </w:rPr>
        <w:t xml:space="preserve">the success of the </w:t>
      </w:r>
      <w:r w:rsidRPr="004D2D9E">
        <w:rPr>
          <w:rFonts w:ascii="Book Antiqua" w:eastAsia="Book Antiqua" w:hAnsi="Book Antiqua" w:cs="Book Antiqua"/>
          <w:color w:val="000000"/>
          <w:shd w:val="clear" w:color="auto" w:fill="FFFFFF"/>
        </w:rPr>
        <w:t>elimination programs</w:t>
      </w:r>
      <w:r w:rsidR="00250DC3" w:rsidRPr="004D2D9E">
        <w:rPr>
          <w:rFonts w:ascii="Book Antiqua" w:eastAsia="Book Antiqua" w:hAnsi="Book Antiqua" w:cs="Book Antiqua"/>
          <w:color w:val="000000"/>
          <w:shd w:val="clear" w:color="auto" w:fill="FFFFFF"/>
        </w:rPr>
        <w:t>; of them,</w:t>
      </w:r>
      <w:r w:rsidRPr="004D2D9E">
        <w:rPr>
          <w:rFonts w:ascii="Book Antiqua" w:eastAsia="Book Antiqua" w:hAnsi="Book Antiqua" w:cs="Book Antiqua"/>
          <w:color w:val="000000"/>
          <w:shd w:val="clear" w:color="auto" w:fill="FFFFFF"/>
        </w:rPr>
        <w:t xml:space="preserve"> 123 of 131 (94%) reported that the</w:t>
      </w:r>
      <w:r w:rsidR="00C3065B" w:rsidRPr="004D2D9E">
        <w:rPr>
          <w:rFonts w:ascii="Book Antiqua" w:eastAsia="Book Antiqua" w:hAnsi="Book Antiqua" w:cs="Book Antiqua"/>
          <w:color w:val="000000"/>
          <w:shd w:val="clear" w:color="auto" w:fill="FFFFFF"/>
        </w:rPr>
        <w:t xml:space="preserve"> effect of</w:t>
      </w:r>
      <w:r w:rsidRPr="004D2D9E">
        <w:rPr>
          <w:rFonts w:ascii="Book Antiqua" w:eastAsia="Book Antiqua" w:hAnsi="Book Antiqua" w:cs="Book Antiqua"/>
          <w:color w:val="000000"/>
          <w:shd w:val="clear" w:color="auto" w:fill="FFFFFF"/>
        </w:rPr>
        <w:t xml:space="preserve"> the </w:t>
      </w:r>
      <w:r w:rsidR="00250DC3" w:rsidRPr="004D2D9E">
        <w:rPr>
          <w:rFonts w:ascii="Book Antiqua" w:eastAsia="Book Antiqua" w:hAnsi="Book Antiqua" w:cs="Book Antiqua"/>
          <w:color w:val="000000"/>
          <w:shd w:val="clear" w:color="auto" w:fill="FFFFFF"/>
        </w:rPr>
        <w:t>COVID-19 pandemic</w:t>
      </w:r>
      <w:r w:rsidRPr="004D2D9E">
        <w:rPr>
          <w:rFonts w:ascii="Book Antiqua" w:eastAsia="Book Antiqua" w:hAnsi="Book Antiqua" w:cs="Book Antiqua"/>
          <w:color w:val="000000"/>
          <w:shd w:val="clear" w:color="auto" w:fill="FFFFFF"/>
        </w:rPr>
        <w:t xml:space="preserve"> altered their activities. </w:t>
      </w:r>
      <w:r w:rsidR="00D730DD" w:rsidRPr="004D2D9E">
        <w:rPr>
          <w:rFonts w:ascii="Book Antiqua" w:eastAsia="Book Antiqua" w:hAnsi="Book Antiqua" w:cs="Book Antiqua"/>
          <w:color w:val="000000"/>
          <w:shd w:val="clear" w:color="auto" w:fill="FFFFFF"/>
        </w:rPr>
        <w:t>A participant from the U</w:t>
      </w:r>
      <w:r w:rsidR="009E724A">
        <w:rPr>
          <w:rFonts w:ascii="Book Antiqua" w:eastAsia="Book Antiqua" w:hAnsi="Book Antiqua" w:cs="Book Antiqua"/>
          <w:color w:val="000000"/>
          <w:shd w:val="clear" w:color="auto" w:fill="FFFFFF"/>
        </w:rPr>
        <w:t>nited States</w:t>
      </w:r>
      <w:r w:rsidR="00D730DD" w:rsidRPr="004D2D9E">
        <w:rPr>
          <w:rFonts w:ascii="Book Antiqua" w:eastAsia="Book Antiqua" w:hAnsi="Book Antiqua" w:cs="Book Antiqua"/>
          <w:color w:val="000000"/>
          <w:shd w:val="clear" w:color="auto" w:fill="FFFFFF"/>
        </w:rPr>
        <w:t xml:space="preserve"> reported that collateral effects from the COVID-19 pandemic included the limitation or even the stop of presential interventions, also affecting community education and detection programs. </w:t>
      </w:r>
      <w:r w:rsidR="00C35C55" w:rsidRPr="004D2D9E">
        <w:rPr>
          <w:rFonts w:ascii="Book Antiqua" w:eastAsia="Book Antiqua" w:hAnsi="Book Antiqua" w:cs="Book Antiqua"/>
          <w:color w:val="000000"/>
          <w:shd w:val="clear" w:color="auto" w:fill="FFFFFF"/>
        </w:rPr>
        <w:t>As a negative outcome, fewer people living with viral hepatitis are expected to be diagnosed during 2020</w:t>
      </w:r>
      <w:r w:rsidR="009E724A" w:rsidRPr="004D2D9E">
        <w:rPr>
          <w:rFonts w:ascii="Book Antiqua" w:eastAsia="Book Antiqua" w:hAnsi="Book Antiqua" w:cs="Book Antiqua"/>
          <w:color w:val="000000"/>
          <w:shd w:val="clear" w:color="auto" w:fill="FFFFFF"/>
          <w:vertAlign w:val="superscript"/>
        </w:rPr>
        <w:t>[107]</w:t>
      </w:r>
      <w:r w:rsidR="00056CA3" w:rsidRPr="004D2D9E">
        <w:rPr>
          <w:rFonts w:ascii="Book Antiqua" w:eastAsia="Book Antiqua" w:hAnsi="Book Antiqua" w:cs="Book Antiqua"/>
          <w:color w:val="000000"/>
          <w:shd w:val="clear" w:color="auto" w:fill="FFFFFF"/>
        </w:rPr>
        <w:t>.</w:t>
      </w:r>
      <w:r w:rsidRPr="004D2D9E">
        <w:rPr>
          <w:rFonts w:ascii="Book Antiqua" w:eastAsia="Book Antiqua" w:hAnsi="Book Antiqua" w:cs="Book Antiqua"/>
          <w:b/>
          <w:bCs/>
          <w:color w:val="000000"/>
          <w:shd w:val="clear" w:color="auto" w:fill="FFFFFF"/>
        </w:rPr>
        <w:t xml:space="preserve"> </w:t>
      </w:r>
      <w:r w:rsidR="00F27F54" w:rsidRPr="004D2D9E">
        <w:rPr>
          <w:rFonts w:ascii="Book Antiqua" w:eastAsia="Book Antiqua" w:hAnsi="Book Antiqua" w:cs="Book Antiqua"/>
          <w:color w:val="000000"/>
        </w:rPr>
        <w:t xml:space="preserve">The </w:t>
      </w:r>
      <w:r w:rsidR="00FA14FB" w:rsidRPr="004D2D9E">
        <w:rPr>
          <w:rFonts w:ascii="Book Antiqua" w:eastAsia="Book Antiqua" w:hAnsi="Book Antiqua" w:cs="Book Antiqua"/>
          <w:color w:val="000000"/>
          <w:shd w:val="clear" w:color="auto" w:fill="FFFFFF"/>
        </w:rPr>
        <w:t xml:space="preserve">World Hepatitis Alliance </w:t>
      </w:r>
      <w:r w:rsidR="00F27F54" w:rsidRPr="004D2D9E">
        <w:rPr>
          <w:rFonts w:ascii="Book Antiqua" w:eastAsia="Book Antiqua" w:hAnsi="Book Antiqua" w:cs="Book Antiqua"/>
          <w:color w:val="000000"/>
        </w:rPr>
        <w:lastRenderedPageBreak/>
        <w:t>survey data show that treatment access has been significantly deteriorated by COVID-19 in low-income and middle-income countries (LMICs), with 15 (52%) of 29 respondents from those countries described that the patients could not timely access treatments</w:t>
      </w:r>
      <w:r w:rsidRPr="004D2D9E">
        <w:rPr>
          <w:rFonts w:ascii="Book Antiqua" w:eastAsia="Book Antiqua" w:hAnsi="Book Antiqua" w:cs="Book Antiqua"/>
          <w:color w:val="000000"/>
        </w:rPr>
        <w:t xml:space="preserve">. </w:t>
      </w:r>
      <w:r w:rsidR="00CE7BAF" w:rsidRPr="004D2D9E">
        <w:rPr>
          <w:rFonts w:ascii="Book Antiqua" w:eastAsia="Book Antiqua" w:hAnsi="Book Antiqua" w:cs="Book Antiqua"/>
          <w:color w:val="000000"/>
        </w:rPr>
        <w:t>However, in high-income countries, like the United Kingdom, the impact of COVID-19 on HCV treatment will be lesser, partly due to telemedicine and home delivery of medicines, conditions that are not very feasible in LMICs</w:t>
      </w:r>
      <w:r w:rsidR="009E724A" w:rsidRPr="004D2D9E">
        <w:rPr>
          <w:rFonts w:ascii="Book Antiqua" w:eastAsia="Book Antiqua" w:hAnsi="Book Antiqua" w:cs="Book Antiqua"/>
          <w:color w:val="000000"/>
          <w:vertAlign w:val="superscript"/>
        </w:rPr>
        <w:t>[108]</w:t>
      </w:r>
      <w:r w:rsidRPr="004D2D9E">
        <w:rPr>
          <w:rFonts w:ascii="Book Antiqua" w:eastAsia="Book Antiqua" w:hAnsi="Book Antiqua" w:cs="Book Antiqua"/>
          <w:color w:val="000000"/>
        </w:rPr>
        <w:t xml:space="preserve">. </w:t>
      </w:r>
      <w:r w:rsidR="00182D93" w:rsidRPr="004D2D9E">
        <w:rPr>
          <w:rFonts w:ascii="Book Antiqua" w:eastAsia="Book Antiqua" w:hAnsi="Book Antiqua" w:cs="Book Antiqua"/>
          <w:color w:val="000000"/>
          <w:shd w:val="clear" w:color="auto" w:fill="FFFFFF"/>
        </w:rPr>
        <w:t xml:space="preserve">Sperring </w:t>
      </w:r>
      <w:r w:rsidR="00182D93" w:rsidRPr="004D2D9E">
        <w:rPr>
          <w:rFonts w:ascii="Book Antiqua" w:eastAsia="Book Antiqua" w:hAnsi="Book Antiqua" w:cs="Book Antiqua"/>
          <w:i/>
          <w:iCs/>
          <w:color w:val="000000"/>
          <w:shd w:val="clear" w:color="auto" w:fill="FFFFFF"/>
        </w:rPr>
        <w:t>et al</w:t>
      </w:r>
      <w:r w:rsidR="009E724A" w:rsidRPr="004D2D9E">
        <w:rPr>
          <w:rFonts w:ascii="Book Antiqua" w:eastAsia="Book Antiqua" w:hAnsi="Book Antiqua" w:cs="Book Antiqua"/>
          <w:color w:val="000000"/>
          <w:vertAlign w:val="superscript"/>
        </w:rPr>
        <w:t>[109]</w:t>
      </w:r>
      <w:r w:rsidR="00182D93" w:rsidRPr="004D2D9E">
        <w:rPr>
          <w:rFonts w:ascii="Book Antiqua" w:eastAsia="Book Antiqua" w:hAnsi="Book Antiqua" w:cs="Book Antiqua"/>
          <w:color w:val="000000"/>
          <w:shd w:val="clear" w:color="auto" w:fill="FFFFFF"/>
        </w:rPr>
        <w:t xml:space="preserve"> explored the impact of the COVID-19 pandemic on screening HCV testing, finding a comprehensive hospital-wide HCV testing reduced by 49.6%, and new HCV+ patient identification reduced by 42.1%</w:t>
      </w:r>
      <w:r w:rsidRPr="004D2D9E">
        <w:rPr>
          <w:rFonts w:ascii="Book Antiqua" w:eastAsia="Book Antiqua" w:hAnsi="Book Antiqua" w:cs="Book Antiqua"/>
          <w:color w:val="000000"/>
        </w:rPr>
        <w:t xml:space="preserve">. In ambulatory clinics, testing </w:t>
      </w:r>
      <w:r w:rsidR="00182D93" w:rsidRPr="004D2D9E">
        <w:rPr>
          <w:rFonts w:ascii="Book Antiqua" w:eastAsia="Book Antiqua" w:hAnsi="Book Antiqua" w:cs="Book Antiqua"/>
          <w:color w:val="000000"/>
        </w:rPr>
        <w:t>reduce</w:t>
      </w:r>
      <w:r w:rsidRPr="004D2D9E">
        <w:rPr>
          <w:rFonts w:ascii="Book Antiqua" w:eastAsia="Book Antiqua" w:hAnsi="Book Antiqua" w:cs="Book Antiqua"/>
          <w:color w:val="000000"/>
        </w:rPr>
        <w:t xml:space="preserve">d by 71.9%, and new HCV+ identification </w:t>
      </w:r>
      <w:r w:rsidR="00182D93" w:rsidRPr="004D2D9E">
        <w:rPr>
          <w:rFonts w:ascii="Book Antiqua" w:eastAsia="Book Antiqua" w:hAnsi="Book Antiqua" w:cs="Book Antiqua"/>
          <w:color w:val="000000"/>
        </w:rPr>
        <w:t>reduc</w:t>
      </w:r>
      <w:r w:rsidRPr="004D2D9E">
        <w:rPr>
          <w:rFonts w:ascii="Book Antiqua" w:eastAsia="Book Antiqua" w:hAnsi="Book Antiqua" w:cs="Book Antiqua"/>
          <w:color w:val="000000"/>
        </w:rPr>
        <w:t>ed by 63.3%</w:t>
      </w:r>
      <w:r w:rsidR="009E724A" w:rsidRPr="004D2D9E">
        <w:rPr>
          <w:rFonts w:ascii="Book Antiqua" w:eastAsia="Book Antiqua" w:hAnsi="Book Antiqua" w:cs="Book Antiqua"/>
          <w:color w:val="000000"/>
          <w:vertAlign w:val="superscript"/>
        </w:rPr>
        <w:t>[109]</w:t>
      </w:r>
      <w:r w:rsidRPr="004D2D9E">
        <w:rPr>
          <w:rFonts w:ascii="Book Antiqua" w:eastAsia="Book Antiqua" w:hAnsi="Book Antiqua" w:cs="Book Antiqua"/>
          <w:color w:val="000000"/>
        </w:rPr>
        <w:t xml:space="preserve">. </w:t>
      </w:r>
    </w:p>
    <w:p w14:paraId="74A9C571" w14:textId="5854A992" w:rsidR="003C7086" w:rsidRPr="004D2D9E" w:rsidRDefault="00CA77E2" w:rsidP="00F335E0">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 xml:space="preserve">According to the mathematical model projection by Blach </w:t>
      </w:r>
      <w:r w:rsidRPr="004D2D9E">
        <w:rPr>
          <w:rFonts w:ascii="Book Antiqua" w:eastAsia="Book Antiqua" w:hAnsi="Book Antiqua" w:cs="Book Antiqua"/>
          <w:i/>
          <w:iCs/>
          <w:color w:val="000000"/>
        </w:rPr>
        <w:t>et al</w:t>
      </w:r>
      <w:r w:rsidR="009E724A" w:rsidRPr="004D2D9E">
        <w:rPr>
          <w:rFonts w:ascii="Book Antiqua" w:eastAsia="Book Antiqua" w:hAnsi="Book Antiqua" w:cs="Book Antiqua"/>
          <w:color w:val="000000"/>
          <w:vertAlign w:val="superscript"/>
        </w:rPr>
        <w:t>[110]</w:t>
      </w:r>
      <w:r w:rsidRPr="004D2D9E">
        <w:rPr>
          <w:rFonts w:ascii="Book Antiqua" w:eastAsia="Book Antiqua" w:hAnsi="Book Antiqua" w:cs="Book Antiqua"/>
          <w:color w:val="000000"/>
        </w:rPr>
        <w:t xml:space="preserve">, a 1-year delay in viral hepatitis elimination programs will result in 44800 </w:t>
      </w:r>
      <w:r w:rsidR="009E724A">
        <w:rPr>
          <w:rFonts w:ascii="Book Antiqua" w:eastAsia="Book Antiqua" w:hAnsi="Book Antiqua" w:cs="Book Antiqua"/>
          <w:color w:val="000000"/>
        </w:rPr>
        <w:t>[</w:t>
      </w:r>
      <w:r w:rsidRPr="004D2D9E">
        <w:rPr>
          <w:rFonts w:ascii="Book Antiqua" w:eastAsia="Book Antiqua" w:hAnsi="Book Antiqua" w:cs="Book Antiqua"/>
          <w:color w:val="000000"/>
        </w:rPr>
        <w:t xml:space="preserve">95% uncertainty interval </w:t>
      </w:r>
      <w:r w:rsidR="009E724A">
        <w:rPr>
          <w:rFonts w:ascii="Book Antiqua" w:eastAsia="Book Antiqua" w:hAnsi="Book Antiqua" w:cs="Book Antiqua"/>
          <w:color w:val="000000"/>
        </w:rPr>
        <w:t>(</w:t>
      </w:r>
      <w:r w:rsidRPr="004D2D9E">
        <w:rPr>
          <w:rFonts w:ascii="Book Antiqua" w:eastAsia="Book Antiqua" w:hAnsi="Book Antiqua" w:cs="Book Antiqua"/>
          <w:color w:val="000000"/>
        </w:rPr>
        <w:t>UI</w:t>
      </w:r>
      <w:r w:rsidR="009E724A">
        <w:rPr>
          <w:rFonts w:ascii="Book Antiqua" w:eastAsia="Book Antiqua" w:hAnsi="Book Antiqua" w:cs="Book Antiqua"/>
          <w:color w:val="000000"/>
        </w:rPr>
        <w:t>)</w:t>
      </w:r>
      <w:r w:rsidRPr="004D2D9E">
        <w:rPr>
          <w:rFonts w:ascii="Book Antiqua" w:eastAsia="Book Antiqua" w:hAnsi="Book Antiqua" w:cs="Book Antiqua"/>
          <w:color w:val="000000"/>
        </w:rPr>
        <w:t>: 43800-49300</w:t>
      </w:r>
      <w:r w:rsidR="009E724A">
        <w:rPr>
          <w:rFonts w:ascii="Book Antiqua" w:eastAsia="Book Antiqua" w:hAnsi="Book Antiqua" w:cs="Book Antiqua"/>
          <w:color w:val="000000"/>
        </w:rPr>
        <w:t>]</w:t>
      </w:r>
      <w:r w:rsidRPr="004D2D9E">
        <w:rPr>
          <w:rFonts w:ascii="Book Antiqua" w:eastAsia="Book Antiqua" w:hAnsi="Book Antiqua" w:cs="Book Antiqua"/>
          <w:color w:val="000000"/>
        </w:rPr>
        <w:t xml:space="preserve"> excess HCC cases and 72300 (95%UI: 70600-79400</w:t>
      </w:r>
      <w:r w:rsidR="009E724A">
        <w:rPr>
          <w:rFonts w:ascii="Book Antiqua" w:eastAsia="Book Antiqua" w:hAnsi="Book Antiqua" w:cs="Book Antiqua"/>
          <w:color w:val="000000"/>
        </w:rPr>
        <w:t>)</w:t>
      </w:r>
      <w:r w:rsidRPr="004D2D9E">
        <w:rPr>
          <w:rFonts w:ascii="Book Antiqua" w:eastAsia="Book Antiqua" w:hAnsi="Book Antiqua" w:cs="Book Antiqua"/>
          <w:color w:val="000000"/>
        </w:rPr>
        <w:t xml:space="preserve"> excess liver-related deaths, relative to the no-delay scenario globally, from 2020 to 2030. Most missed treatments would be in LMICs, whereas most excess HCC and liver-related deaths would be among </w:t>
      </w:r>
      <w:r w:rsidR="00FA14FB" w:rsidRPr="004D2D9E">
        <w:rPr>
          <w:rFonts w:ascii="Book Antiqua" w:eastAsia="Book Antiqua" w:hAnsi="Book Antiqua" w:cs="Book Antiqua"/>
          <w:color w:val="000000"/>
        </w:rPr>
        <w:t>high-income countries</w:t>
      </w:r>
      <w:r w:rsidRPr="004D2D9E">
        <w:rPr>
          <w:rFonts w:ascii="Book Antiqua" w:eastAsia="Book Antiqua" w:hAnsi="Book Antiqua" w:cs="Book Antiqua"/>
          <w:color w:val="000000"/>
        </w:rPr>
        <w:t xml:space="preserve">. </w:t>
      </w:r>
      <w:r w:rsidR="00D75DA2" w:rsidRPr="004D2D9E">
        <w:rPr>
          <w:rFonts w:ascii="Book Antiqua" w:eastAsia="Book Antiqua" w:hAnsi="Book Antiqua" w:cs="Book Antiqua"/>
          <w:color w:val="000000"/>
        </w:rPr>
        <w:t>Authorities should privilege hepatitis programs as soon as safe to attenuate the negative impact on elimination programs and reduce excess mortality from delayed treatment</w:t>
      </w:r>
      <w:r w:rsidR="009E724A" w:rsidRPr="004D2D9E">
        <w:rPr>
          <w:rFonts w:ascii="Book Antiqua" w:eastAsia="Book Antiqua" w:hAnsi="Book Antiqua" w:cs="Book Antiqua"/>
          <w:color w:val="000000"/>
          <w:vertAlign w:val="superscript"/>
        </w:rPr>
        <w:t>[110]</w:t>
      </w:r>
      <w:r w:rsidRPr="004D2D9E">
        <w:rPr>
          <w:rFonts w:ascii="Book Antiqua" w:eastAsia="Book Antiqua" w:hAnsi="Book Antiqua" w:cs="Book Antiqua"/>
          <w:color w:val="000000"/>
        </w:rPr>
        <w:t>.</w:t>
      </w:r>
    </w:p>
    <w:p w14:paraId="300880A1" w14:textId="6B7BDA39" w:rsidR="003C7086" w:rsidRPr="004D2D9E" w:rsidRDefault="00CA77E2" w:rsidP="009E724A">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 xml:space="preserve">With the approval of a severe acute respiratory syndrome-coronavirus-2 (SARS-CoV-2) vaccine, most of the possibility </w:t>
      </w:r>
      <w:r w:rsidR="00581ABA" w:rsidRPr="004D2D9E">
        <w:rPr>
          <w:rFonts w:ascii="Book Antiqua" w:eastAsia="Book Antiqua" w:hAnsi="Book Antiqua" w:cs="Book Antiqua"/>
          <w:color w:val="000000"/>
        </w:rPr>
        <w:t>to</w:t>
      </w:r>
      <w:r w:rsidRPr="004D2D9E">
        <w:rPr>
          <w:rFonts w:ascii="Book Antiqua" w:eastAsia="Book Antiqua" w:hAnsi="Book Antiqua" w:cs="Book Antiqua"/>
          <w:color w:val="000000"/>
        </w:rPr>
        <w:t xml:space="preserve"> reactivate elimination viral hepatitis programs throughout the world will rely on SARS-CoV-2 effective vaccination strategies that gradually allow restarting the function of viral hepatitis detection campaigns, safe-needle programs, and outpatient clinics to dispenser antiviral medication. </w:t>
      </w:r>
      <w:r w:rsidR="00B47A99" w:rsidRPr="004D2D9E">
        <w:rPr>
          <w:rFonts w:ascii="Book Antiqua" w:eastAsia="Book Antiqua" w:hAnsi="Book Antiqua" w:cs="Book Antiqua"/>
          <w:color w:val="000000"/>
        </w:rPr>
        <w:t>According to mathematical modeling analyses, a vaccine with efficacy (VE) ≥</w:t>
      </w:r>
      <w:r w:rsidR="009E724A">
        <w:rPr>
          <w:rFonts w:ascii="Book Antiqua" w:eastAsia="Book Antiqua" w:hAnsi="Book Antiqua" w:cs="Book Antiqua"/>
          <w:color w:val="000000"/>
        </w:rPr>
        <w:t xml:space="preserve"> </w:t>
      </w:r>
      <w:r w:rsidR="00B47A99" w:rsidRPr="004D2D9E">
        <w:rPr>
          <w:rFonts w:ascii="Book Antiqua" w:eastAsia="Book Antiqua" w:hAnsi="Book Antiqua" w:cs="Book Antiqua"/>
          <w:color w:val="000000"/>
        </w:rPr>
        <w:t>70% can prevent the infection. A vaccine with VE &lt;</w:t>
      </w:r>
      <w:r w:rsidR="009E724A">
        <w:rPr>
          <w:rFonts w:ascii="Book Antiqua" w:eastAsia="Book Antiqua" w:hAnsi="Book Antiqua" w:cs="Book Antiqua"/>
          <w:color w:val="000000"/>
        </w:rPr>
        <w:t xml:space="preserve"> </w:t>
      </w:r>
      <w:r w:rsidR="00B47A99" w:rsidRPr="004D2D9E">
        <w:rPr>
          <w:rFonts w:ascii="Book Antiqua" w:eastAsia="Book Antiqua" w:hAnsi="Book Antiqua" w:cs="Book Antiqua"/>
          <w:color w:val="000000"/>
        </w:rPr>
        <w:t>70% may still control the infection transmission if it reduces infectiousness or infection duration among those vaccinated who acquire the infection</w:t>
      </w:r>
      <w:r w:rsidR="001E1B6B" w:rsidRPr="004D2D9E">
        <w:rPr>
          <w:rFonts w:ascii="Book Antiqua" w:eastAsia="Book Antiqua" w:hAnsi="Book Antiqua" w:cs="Book Antiqua"/>
          <w:color w:val="000000"/>
        </w:rPr>
        <w:t xml:space="preserve"> if i</w:t>
      </w:r>
      <w:r w:rsidRPr="004D2D9E">
        <w:rPr>
          <w:rFonts w:ascii="Book Antiqua" w:eastAsia="Book Antiqua" w:hAnsi="Book Antiqua" w:cs="Book Antiqua"/>
          <w:color w:val="000000"/>
        </w:rPr>
        <w:t>t is supplemented with a &lt;</w:t>
      </w:r>
      <w:r w:rsidR="009E724A">
        <w:rPr>
          <w:rFonts w:ascii="Book Antiqua" w:eastAsia="Book Antiqua" w:hAnsi="Book Antiqua" w:cs="Book Antiqua"/>
          <w:color w:val="000000"/>
        </w:rPr>
        <w:t xml:space="preserve"> </w:t>
      </w:r>
      <w:r w:rsidRPr="004D2D9E">
        <w:rPr>
          <w:rFonts w:ascii="Book Antiqua" w:eastAsia="Book Antiqua" w:hAnsi="Book Antiqua" w:cs="Book Antiqua"/>
          <w:color w:val="000000"/>
        </w:rPr>
        <w:t>20% reduction in contact rate complemented with herd immunity. The probability of a significant outbreak is zero at VE ≥</w:t>
      </w:r>
      <w:r w:rsidR="009E724A">
        <w:rPr>
          <w:rFonts w:ascii="Book Antiqua" w:eastAsia="Book Antiqua" w:hAnsi="Book Antiqua" w:cs="Book Antiqua"/>
          <w:color w:val="000000"/>
        </w:rPr>
        <w:t xml:space="preserve"> </w:t>
      </w:r>
      <w:r w:rsidRPr="004D2D9E">
        <w:rPr>
          <w:rFonts w:ascii="Book Antiqua" w:eastAsia="Book Antiqua" w:hAnsi="Book Antiqua" w:cs="Book Antiqua"/>
          <w:color w:val="000000"/>
        </w:rPr>
        <w:t>70% regardless of the number of virus introductions. However, an increase in the social contact rate among those vaccinated (behavior compensation) can undermine vaccine impact</w:t>
      </w:r>
      <w:r w:rsidR="008A4F70" w:rsidRPr="004D2D9E">
        <w:rPr>
          <w:rFonts w:ascii="Book Antiqua" w:eastAsia="Book Antiqua" w:hAnsi="Book Antiqua" w:cs="Book Antiqua"/>
          <w:color w:val="000000"/>
          <w:vertAlign w:val="superscript"/>
        </w:rPr>
        <w:t>[111]</w:t>
      </w:r>
      <w:r w:rsidRPr="004D2D9E">
        <w:rPr>
          <w:rFonts w:ascii="Book Antiqua" w:eastAsia="Book Antiqua" w:hAnsi="Book Antiqua" w:cs="Book Antiqua"/>
          <w:color w:val="000000"/>
        </w:rPr>
        <w:t xml:space="preserve">. </w:t>
      </w:r>
      <w:r w:rsidRPr="004D2D9E">
        <w:rPr>
          <w:rFonts w:ascii="Book Antiqua" w:eastAsia="Book Antiqua" w:hAnsi="Book Antiqua" w:cs="Book Antiqua"/>
          <w:color w:val="000000"/>
        </w:rPr>
        <w:lastRenderedPageBreak/>
        <w:t>Existing reports of currently approved SARS-CoV-2 vaccines indicate their effectiveness at around 95%, making it very plausible to achieve collective herd-acquired immunity based on the mass implementation of vaccination programs against COVID-19 soon</w:t>
      </w:r>
      <w:r w:rsidR="009E724A" w:rsidRPr="004D2D9E">
        <w:rPr>
          <w:rFonts w:ascii="Book Antiqua" w:eastAsia="Book Antiqua" w:hAnsi="Book Antiqua" w:cs="Book Antiqua"/>
          <w:color w:val="000000"/>
          <w:vertAlign w:val="superscript"/>
        </w:rPr>
        <w:t>[112]</w:t>
      </w:r>
      <w:r w:rsidRPr="004D2D9E">
        <w:rPr>
          <w:rFonts w:ascii="Book Antiqua" w:eastAsia="Book Antiqua" w:hAnsi="Book Antiqua" w:cs="Book Antiqua"/>
          <w:color w:val="000000"/>
        </w:rPr>
        <w:t>.</w:t>
      </w:r>
    </w:p>
    <w:p w14:paraId="513B6EA3" w14:textId="77777777" w:rsidR="003C7086" w:rsidRPr="004D2D9E" w:rsidRDefault="003C7086" w:rsidP="004D2D9E">
      <w:pPr>
        <w:spacing w:line="360" w:lineRule="auto"/>
        <w:jc w:val="both"/>
        <w:rPr>
          <w:rFonts w:ascii="Book Antiqua" w:hAnsi="Book Antiqua"/>
        </w:rPr>
      </w:pPr>
    </w:p>
    <w:p w14:paraId="70104E5C"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aps/>
          <w:color w:val="000000"/>
          <w:u w:val="single"/>
        </w:rPr>
        <w:t>CONCLUSION</w:t>
      </w:r>
    </w:p>
    <w:p w14:paraId="3C9B15E2" w14:textId="79AB18F6"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shd w:val="clear" w:color="auto" w:fill="FFFFFF"/>
        </w:rPr>
        <w:t>Chronic viral hepatitis and its complications, cirrhosis, and HCC affect many people worldwide</w:t>
      </w:r>
      <w:r w:rsidRPr="004D2D9E">
        <w:rPr>
          <w:rFonts w:ascii="Book Antiqua" w:eastAsia="Book Antiqua" w:hAnsi="Book Antiqua" w:cs="Book Antiqua"/>
          <w:color w:val="000000"/>
        </w:rPr>
        <w:t xml:space="preserve">. Without a plan of action, the projection to </w:t>
      </w:r>
      <w:r w:rsidRPr="004D2D9E">
        <w:rPr>
          <w:rFonts w:ascii="Book Antiqua" w:eastAsia="Book Antiqua" w:hAnsi="Book Antiqua" w:cs="Book Antiqua"/>
          <w:color w:val="000000"/>
          <w:shd w:val="clear" w:color="auto" w:fill="FFFFFF"/>
        </w:rPr>
        <w:t xml:space="preserve">2040 will exceed the related mortality as a whole from other significant infectious healthcare problems. </w:t>
      </w:r>
      <w:r w:rsidRPr="004D2D9E">
        <w:rPr>
          <w:rFonts w:ascii="Book Antiqua" w:eastAsia="Book Antiqua" w:hAnsi="Book Antiqua" w:cs="Book Antiqua"/>
          <w:color w:val="000000"/>
        </w:rPr>
        <w:t>Asia-Pacific</w:t>
      </w:r>
      <w:r w:rsidR="00860947" w:rsidRPr="004D2D9E">
        <w:rPr>
          <w:rFonts w:ascii="Book Antiqua" w:eastAsia="Book Antiqua" w:hAnsi="Book Antiqua" w:cs="Book Antiqua"/>
          <w:color w:val="000000"/>
        </w:rPr>
        <w:t>, Middle East, and North Africa</w:t>
      </w:r>
      <w:r w:rsidRPr="004D2D9E">
        <w:rPr>
          <w:rFonts w:ascii="Book Antiqua" w:eastAsia="Book Antiqua" w:hAnsi="Book Antiqua" w:cs="Book Antiqua"/>
          <w:color w:val="000000"/>
        </w:rPr>
        <w:t xml:space="preserve"> regions have the highest prevalence, representing a substantial burden of the disease. </w:t>
      </w:r>
      <w:r w:rsidR="00A65517">
        <w:rPr>
          <w:rFonts w:ascii="Book Antiqua" w:eastAsia="Book Antiqua" w:hAnsi="Book Antiqua" w:cs="Book Antiqua"/>
          <w:color w:val="000000"/>
        </w:rPr>
        <w:t>Hopefully,</w:t>
      </w:r>
      <w:r w:rsidRPr="004D2D9E">
        <w:rPr>
          <w:rFonts w:ascii="Book Antiqua" w:eastAsia="Book Antiqua" w:hAnsi="Book Antiqua" w:cs="Book Antiqua"/>
          <w:color w:val="000000"/>
        </w:rPr>
        <w:t xml:space="preserve"> notable advances have been made to achieve WHO goals to 2030</w:t>
      </w:r>
      <w:r w:rsidRPr="004D2D9E">
        <w:rPr>
          <w:rFonts w:ascii="Book Antiqua" w:eastAsia="Book Antiqua" w:hAnsi="Book Antiqua" w:cs="Book Antiqua"/>
          <w:color w:val="000000"/>
          <w:shd w:val="clear" w:color="auto" w:fill="FFFFFF"/>
        </w:rPr>
        <w:t xml:space="preserve"> regard</w:t>
      </w:r>
      <w:r w:rsidR="00A65517">
        <w:rPr>
          <w:rFonts w:ascii="Book Antiqua" w:eastAsia="Book Antiqua" w:hAnsi="Book Antiqua" w:cs="Book Antiqua"/>
          <w:color w:val="000000"/>
          <w:shd w:val="clear" w:color="auto" w:fill="FFFFFF"/>
        </w:rPr>
        <w:t>ing</w:t>
      </w:r>
      <w:r w:rsidRPr="004D2D9E">
        <w:rPr>
          <w:rFonts w:ascii="Book Antiqua" w:eastAsia="Book Antiqua" w:hAnsi="Book Antiqua" w:cs="Book Antiqua"/>
          <w:color w:val="000000"/>
        </w:rPr>
        <w:t xml:space="preserve"> eliminat</w:t>
      </w:r>
      <w:r w:rsidR="00A65517">
        <w:rPr>
          <w:rFonts w:ascii="Book Antiqua" w:eastAsia="Book Antiqua" w:hAnsi="Book Antiqua" w:cs="Book Antiqua"/>
          <w:color w:val="000000"/>
        </w:rPr>
        <w:t xml:space="preserve">ing </w:t>
      </w:r>
      <w:r w:rsidRPr="004D2D9E">
        <w:rPr>
          <w:rFonts w:ascii="Book Antiqua" w:eastAsia="Book Antiqua" w:hAnsi="Book Antiqua" w:cs="Book Antiqua"/>
          <w:color w:val="000000"/>
        </w:rPr>
        <w:t xml:space="preserve">hepatitis infection better adaptable to actual reality. In that case, actions need to continue being implemented, which </w:t>
      </w:r>
      <w:r w:rsidR="0002475D" w:rsidRPr="004D2D9E">
        <w:rPr>
          <w:rFonts w:ascii="Book Antiqua" w:eastAsia="Book Antiqua" w:hAnsi="Book Antiqua" w:cs="Book Antiqua"/>
          <w:color w:val="000000"/>
        </w:rPr>
        <w:t xml:space="preserve">must </w:t>
      </w:r>
      <w:r w:rsidRPr="004D2D9E">
        <w:rPr>
          <w:rFonts w:ascii="Book Antiqua" w:eastAsia="Book Antiqua" w:hAnsi="Book Antiqua" w:cs="Book Antiqua"/>
          <w:color w:val="000000"/>
        </w:rPr>
        <w:t xml:space="preserve">include </w:t>
      </w:r>
      <w:r w:rsidR="0002475D" w:rsidRPr="004D2D9E">
        <w:rPr>
          <w:rFonts w:ascii="Book Antiqua" w:eastAsia="Book Antiqua" w:hAnsi="Book Antiqua" w:cs="Book Antiqua"/>
          <w:color w:val="000000"/>
        </w:rPr>
        <w:t>more</w:t>
      </w:r>
      <w:r w:rsidRPr="004D2D9E">
        <w:rPr>
          <w:rFonts w:ascii="Book Antiqua" w:eastAsia="Book Antiqua" w:hAnsi="Book Antiqua" w:cs="Book Antiqua"/>
          <w:color w:val="000000"/>
        </w:rPr>
        <w:t xml:space="preserve"> harm </w:t>
      </w:r>
      <w:r w:rsidR="0002475D" w:rsidRPr="004D2D9E">
        <w:rPr>
          <w:rFonts w:ascii="Book Antiqua" w:eastAsia="Book Antiqua" w:hAnsi="Book Antiqua" w:cs="Book Antiqua"/>
          <w:color w:val="000000"/>
        </w:rPr>
        <w:t>limitation</w:t>
      </w:r>
      <w:r w:rsidRPr="004D2D9E">
        <w:rPr>
          <w:rFonts w:ascii="Book Antiqua" w:eastAsia="Book Antiqua" w:hAnsi="Book Antiqua" w:cs="Book Antiqua"/>
          <w:color w:val="000000"/>
        </w:rPr>
        <w:t xml:space="preserve"> programs and</w:t>
      </w:r>
      <w:r w:rsidR="0002475D" w:rsidRPr="004D2D9E">
        <w:rPr>
          <w:rFonts w:ascii="Book Antiqua" w:eastAsia="Book Antiqua" w:hAnsi="Book Antiqua" w:cs="Book Antiqua"/>
          <w:color w:val="000000"/>
        </w:rPr>
        <w:t xml:space="preserve"> timely therapy access</w:t>
      </w:r>
      <w:r w:rsidRPr="004D2D9E">
        <w:rPr>
          <w:rFonts w:ascii="Book Antiqua" w:eastAsia="Book Antiqua" w:hAnsi="Book Antiqua" w:cs="Book Antiqua"/>
          <w:color w:val="000000"/>
        </w:rPr>
        <w:t xml:space="preserve"> </w:t>
      </w:r>
      <w:r w:rsidR="0057608A" w:rsidRPr="004D2D9E">
        <w:rPr>
          <w:rFonts w:ascii="Book Antiqua" w:eastAsia="Book Antiqua" w:hAnsi="Book Antiqua" w:cs="Book Antiqua"/>
          <w:color w:val="000000"/>
        </w:rPr>
        <w:t>for</w:t>
      </w:r>
      <w:r w:rsidRPr="004D2D9E">
        <w:rPr>
          <w:rFonts w:ascii="Book Antiqua" w:eastAsia="Book Antiqua" w:hAnsi="Book Antiqua" w:cs="Book Antiqua"/>
          <w:color w:val="000000"/>
        </w:rPr>
        <w:t xml:space="preserve"> </w:t>
      </w:r>
      <w:r w:rsidR="0002475D" w:rsidRPr="004D2D9E">
        <w:rPr>
          <w:rFonts w:ascii="Book Antiqua" w:eastAsia="Book Antiqua" w:hAnsi="Book Antiqua" w:cs="Book Antiqua"/>
          <w:color w:val="000000"/>
        </w:rPr>
        <w:t>those</w:t>
      </w:r>
      <w:r w:rsidRPr="004D2D9E">
        <w:rPr>
          <w:rFonts w:ascii="Book Antiqua" w:eastAsia="Book Antiqua" w:hAnsi="Book Antiqua" w:cs="Book Antiqua"/>
          <w:color w:val="000000"/>
        </w:rPr>
        <w:t xml:space="preserve"> at risk of transmission are certainly needed to </w:t>
      </w:r>
      <w:r w:rsidR="00860947" w:rsidRPr="004D2D9E">
        <w:rPr>
          <w:rFonts w:ascii="Book Antiqua" w:eastAsia="Book Antiqua" w:hAnsi="Book Antiqua" w:cs="Book Antiqua"/>
          <w:color w:val="000000"/>
        </w:rPr>
        <w:t>reach</w:t>
      </w:r>
      <w:r w:rsidRPr="004D2D9E">
        <w:rPr>
          <w:rFonts w:ascii="Book Antiqua" w:eastAsia="Book Antiqua" w:hAnsi="Book Antiqua" w:cs="Book Antiqua"/>
          <w:color w:val="000000"/>
        </w:rPr>
        <w:t xml:space="preserve"> a</w:t>
      </w:r>
      <w:r w:rsidR="00860947" w:rsidRPr="004D2D9E">
        <w:rPr>
          <w:rFonts w:ascii="Book Antiqua" w:eastAsia="Book Antiqua" w:hAnsi="Book Antiqua" w:cs="Book Antiqua"/>
          <w:color w:val="000000"/>
        </w:rPr>
        <w:t>n incidence</w:t>
      </w:r>
      <w:r w:rsidRPr="004D2D9E">
        <w:rPr>
          <w:rFonts w:ascii="Book Antiqua" w:eastAsia="Book Antiqua" w:hAnsi="Book Antiqua" w:cs="Book Antiqua"/>
          <w:color w:val="000000"/>
        </w:rPr>
        <w:t xml:space="preserve"> </w:t>
      </w:r>
      <w:r w:rsidR="00860947" w:rsidRPr="004D2D9E">
        <w:rPr>
          <w:rFonts w:ascii="Book Antiqua" w:eastAsia="Book Antiqua" w:hAnsi="Book Antiqua" w:cs="Book Antiqua"/>
          <w:color w:val="000000"/>
        </w:rPr>
        <w:t>decrease</w:t>
      </w:r>
      <w:r w:rsidRPr="004D2D9E">
        <w:rPr>
          <w:rFonts w:ascii="Book Antiqua" w:eastAsia="Book Antiqua" w:hAnsi="Book Antiqua" w:cs="Book Antiqua"/>
          <w:color w:val="000000"/>
        </w:rPr>
        <w:t>. Since universal vaccination is the essential strategy to prevent HBV transmission, c</w:t>
      </w:r>
      <w:r w:rsidRPr="004D2D9E">
        <w:rPr>
          <w:rFonts w:ascii="Book Antiqua" w:eastAsia="Book Antiqua" w:hAnsi="Book Antiqua" w:cs="Book Antiqua"/>
          <w:color w:val="000000"/>
          <w:shd w:val="clear" w:color="auto" w:fill="FFFFFF"/>
        </w:rPr>
        <w:t xml:space="preserve">ontinuous efforts are needed to ensure timely access to be vaccinated with comprehensive schemes. Strategies to find positive contacts ensuing a timely screening and diagnosis must be continuously promoted. </w:t>
      </w:r>
      <w:r w:rsidRPr="004D2D9E">
        <w:rPr>
          <w:rFonts w:ascii="Book Antiqua" w:eastAsia="Book Antiqua" w:hAnsi="Book Antiqua" w:cs="Book Antiqua"/>
          <w:color w:val="000000"/>
        </w:rPr>
        <w:t xml:space="preserve">To avoid viral hepatitis transmission and control the burden of the disease, guarantee access to medical care and effective therapies must include all people who need it, with more emphasis on including vulnerable groups with currently limited access like immigrants, prison inmates, </w:t>
      </w:r>
      <w:r w:rsidR="00A65517">
        <w:rPr>
          <w:rFonts w:ascii="Book Antiqua" w:eastAsia="Book Antiqua" w:hAnsi="Book Antiqua" w:cs="Book Antiqua"/>
          <w:color w:val="000000"/>
        </w:rPr>
        <w:t xml:space="preserve">and </w:t>
      </w:r>
      <w:r w:rsidRPr="004D2D9E">
        <w:rPr>
          <w:rFonts w:ascii="Book Antiqua" w:eastAsia="Book Antiqua" w:hAnsi="Book Antiqua" w:cs="Book Antiqua"/>
          <w:color w:val="000000"/>
        </w:rPr>
        <w:t xml:space="preserve">sex workers. </w:t>
      </w:r>
      <w:r w:rsidRPr="004D2D9E">
        <w:rPr>
          <w:rFonts w:ascii="Book Antiqua" w:eastAsia="Book Antiqua" w:hAnsi="Book Antiqua" w:cs="Book Antiqua"/>
          <w:color w:val="000000"/>
          <w:shd w:val="clear" w:color="auto" w:fill="FFFFFF"/>
        </w:rPr>
        <w:t xml:space="preserve">More attention should be paid to the risk group of </w:t>
      </w:r>
      <w:r w:rsidR="008A4F70">
        <w:rPr>
          <w:rFonts w:ascii="Book Antiqua" w:eastAsia="Calibri" w:hAnsi="Book Antiqua" w:cs="Tahoma"/>
          <w:bCs/>
          <w:color w:val="212121"/>
          <w:shd w:val="clear" w:color="auto" w:fill="FFFFFF"/>
        </w:rPr>
        <w:t>m</w:t>
      </w:r>
      <w:r w:rsidR="008A4F70" w:rsidRPr="004D2D9E">
        <w:rPr>
          <w:rFonts w:ascii="Book Antiqua" w:eastAsia="Calibri" w:hAnsi="Book Antiqua" w:cs="Tahoma"/>
          <w:bCs/>
          <w:color w:val="212121"/>
          <w:shd w:val="clear" w:color="auto" w:fill="FFFFFF"/>
        </w:rPr>
        <w:t>en who have sex with men</w:t>
      </w:r>
      <w:r w:rsidRPr="004D2D9E">
        <w:rPr>
          <w:rFonts w:ascii="Book Antiqua" w:eastAsia="Book Antiqua" w:hAnsi="Book Antiqua" w:cs="Book Antiqua"/>
          <w:color w:val="000000"/>
          <w:shd w:val="clear" w:color="auto" w:fill="FFFFFF"/>
        </w:rPr>
        <w:t xml:space="preserve"> since HCV incidence in this high-risk group seems to be increasing. Telemedicine and telementoring approaches facilitate access to healthcare systems and save costs; therefore, this kind of program should be implemented. Finally, the COVID-19 pandemic is currently a significant challenge to achieve viral hepatitis elimination; with the recent </w:t>
      </w:r>
      <w:r w:rsidRPr="004D2D9E">
        <w:rPr>
          <w:rFonts w:ascii="Book Antiqua" w:eastAsia="Book Antiqua" w:hAnsi="Book Antiqua" w:cs="Book Antiqua"/>
          <w:color w:val="000000"/>
        </w:rPr>
        <w:t xml:space="preserve">approval of a SARS-CoV-2 vaccine, most of the possibility to reactivate elimination viral hepatitis programs throughout the world will rely on SARS-CoV-2 effective vaccination strategies that gradually allows restarting the operativity of liver clinics and services. </w:t>
      </w:r>
    </w:p>
    <w:p w14:paraId="24A35FB0" w14:textId="77777777" w:rsidR="003C7086" w:rsidRPr="004D2D9E" w:rsidRDefault="003C7086" w:rsidP="004D2D9E">
      <w:pPr>
        <w:spacing w:line="360" w:lineRule="auto"/>
        <w:jc w:val="both"/>
        <w:rPr>
          <w:rFonts w:ascii="Book Antiqua" w:hAnsi="Book Antiqua"/>
        </w:rPr>
      </w:pPr>
    </w:p>
    <w:p w14:paraId="2A9A9B96"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lastRenderedPageBreak/>
        <w:t>REFERENCES</w:t>
      </w:r>
    </w:p>
    <w:p w14:paraId="21D97C37"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 </w:t>
      </w:r>
      <w:r w:rsidRPr="004D2D9E">
        <w:rPr>
          <w:rFonts w:ascii="Book Antiqua" w:hAnsi="Book Antiqua"/>
          <w:b/>
          <w:bCs/>
        </w:rPr>
        <w:t>The Lancet</w:t>
      </w:r>
      <w:r w:rsidRPr="004D2D9E">
        <w:rPr>
          <w:rFonts w:ascii="Book Antiqua" w:hAnsi="Book Antiqua"/>
        </w:rPr>
        <w:t xml:space="preserve">. Towards elimination of viral hepatitis by 2030. </w:t>
      </w:r>
      <w:r w:rsidRPr="004D2D9E">
        <w:rPr>
          <w:rFonts w:ascii="Book Antiqua" w:hAnsi="Book Antiqua"/>
          <w:i/>
          <w:iCs/>
        </w:rPr>
        <w:t>Lancet</w:t>
      </w:r>
      <w:r w:rsidRPr="004D2D9E">
        <w:rPr>
          <w:rFonts w:ascii="Book Antiqua" w:hAnsi="Book Antiqua"/>
        </w:rPr>
        <w:t xml:space="preserve"> 2016; </w:t>
      </w:r>
      <w:r w:rsidRPr="004D2D9E">
        <w:rPr>
          <w:rFonts w:ascii="Book Antiqua" w:hAnsi="Book Antiqua"/>
          <w:b/>
          <w:bCs/>
        </w:rPr>
        <w:t>388</w:t>
      </w:r>
      <w:r w:rsidRPr="004D2D9E">
        <w:rPr>
          <w:rFonts w:ascii="Book Antiqua" w:hAnsi="Book Antiqua"/>
        </w:rPr>
        <w:t>: 308 [PMID: 27477148 DOI: 10.1016/S0140-6736(16)31144-8]</w:t>
      </w:r>
    </w:p>
    <w:p w14:paraId="2F7F0EEA"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2 </w:t>
      </w:r>
      <w:r w:rsidRPr="004D2D9E">
        <w:rPr>
          <w:rFonts w:ascii="Book Antiqua" w:hAnsi="Book Antiqua"/>
          <w:b/>
          <w:bCs/>
        </w:rPr>
        <w:t>Lazarus JV</w:t>
      </w:r>
      <w:r w:rsidRPr="004D2D9E">
        <w:rPr>
          <w:rFonts w:ascii="Book Antiqua" w:hAnsi="Book Antiqua"/>
        </w:rPr>
        <w:t xml:space="preserve">, Wiktor S, Colombo M, Thursz M; EASL International Liver Foundation. Micro-elimination - A path to global elimination of hepatitis C. </w:t>
      </w:r>
      <w:r w:rsidRPr="004D2D9E">
        <w:rPr>
          <w:rFonts w:ascii="Book Antiqua" w:hAnsi="Book Antiqua"/>
          <w:i/>
          <w:iCs/>
        </w:rPr>
        <w:t>J Hepatol</w:t>
      </w:r>
      <w:r w:rsidRPr="004D2D9E">
        <w:rPr>
          <w:rFonts w:ascii="Book Antiqua" w:hAnsi="Book Antiqua"/>
        </w:rPr>
        <w:t xml:space="preserve"> 2017; </w:t>
      </w:r>
      <w:r w:rsidRPr="004D2D9E">
        <w:rPr>
          <w:rFonts w:ascii="Book Antiqua" w:hAnsi="Book Antiqua"/>
          <w:b/>
          <w:bCs/>
        </w:rPr>
        <w:t>67</w:t>
      </w:r>
      <w:r w:rsidRPr="004D2D9E">
        <w:rPr>
          <w:rFonts w:ascii="Book Antiqua" w:hAnsi="Book Antiqua"/>
        </w:rPr>
        <w:t>: 665-666 [PMID: 28760329 DOI: 10.1016/j.jhep.2017.06.033]</w:t>
      </w:r>
    </w:p>
    <w:p w14:paraId="386C050B"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3 </w:t>
      </w:r>
      <w:r w:rsidRPr="004D2D9E">
        <w:rPr>
          <w:rFonts w:ascii="Book Antiqua" w:hAnsi="Book Antiqua"/>
          <w:b/>
          <w:bCs/>
        </w:rPr>
        <w:t>Howell J</w:t>
      </w:r>
      <w:r w:rsidRPr="004D2D9E">
        <w:rPr>
          <w:rFonts w:ascii="Book Antiqua" w:hAnsi="Book Antiqua"/>
        </w:rPr>
        <w:t xml:space="preserve">, Pedrana A, Cowie BC, Doyle J, Getahun A, Ward J, Gane E, Cunningham C, Wallace J, Lee A, Malani J, Thompson A, Hellard ME. Aiming for the elimination of viral hepatitis in Australia, New Zealand, and the Pacific Islands and Territories: Where are we now and barriers to meeting World Health Organization targets by 2030. </w:t>
      </w:r>
      <w:r w:rsidRPr="004D2D9E">
        <w:rPr>
          <w:rFonts w:ascii="Book Antiqua" w:hAnsi="Book Antiqua"/>
          <w:i/>
          <w:iCs/>
        </w:rPr>
        <w:t>J Gastroenterol Hepatol</w:t>
      </w:r>
      <w:r w:rsidRPr="004D2D9E">
        <w:rPr>
          <w:rFonts w:ascii="Book Antiqua" w:hAnsi="Book Antiqua"/>
        </w:rPr>
        <w:t xml:space="preserve"> 2019; </w:t>
      </w:r>
      <w:r w:rsidRPr="004D2D9E">
        <w:rPr>
          <w:rFonts w:ascii="Book Antiqua" w:hAnsi="Book Antiqua"/>
          <w:b/>
          <w:bCs/>
        </w:rPr>
        <w:t>34</w:t>
      </w:r>
      <w:r w:rsidRPr="004D2D9E">
        <w:rPr>
          <w:rFonts w:ascii="Book Antiqua" w:hAnsi="Book Antiqua"/>
        </w:rPr>
        <w:t>: 40-48 [PMID: 30151932 DOI: 10.1111/jgh.14457]</w:t>
      </w:r>
    </w:p>
    <w:p w14:paraId="230A4F44" w14:textId="1478EA8E" w:rsidR="004D2D9E" w:rsidRPr="004D2D9E" w:rsidRDefault="004D2D9E" w:rsidP="004D2D9E">
      <w:pPr>
        <w:spacing w:line="360" w:lineRule="auto"/>
        <w:jc w:val="both"/>
        <w:rPr>
          <w:rFonts w:ascii="Book Antiqua" w:hAnsi="Book Antiqua"/>
        </w:rPr>
      </w:pPr>
      <w:r w:rsidRPr="004D2D9E">
        <w:rPr>
          <w:rFonts w:ascii="Book Antiqua" w:hAnsi="Book Antiqua"/>
        </w:rPr>
        <w:t xml:space="preserve">4 </w:t>
      </w:r>
      <w:r w:rsidRPr="004D2D9E">
        <w:rPr>
          <w:rFonts w:ascii="Book Antiqua" w:hAnsi="Book Antiqua"/>
          <w:b/>
          <w:bCs/>
        </w:rPr>
        <w:t xml:space="preserve">European Association for the Study of the Liver. </w:t>
      </w:r>
      <w:r w:rsidRPr="004D2D9E">
        <w:rPr>
          <w:rFonts w:ascii="Book Antiqua" w:hAnsi="Book Antiqua"/>
        </w:rPr>
        <w:t>Clinical Practice Guidelines Panel: Chair:; EASL Governing Board representative:; Panel members:. EASL recommendations on treatment of hepatitis C: Final update of the series</w:t>
      </w:r>
      <w:r w:rsidRPr="004D2D9E">
        <w:rPr>
          <w:rFonts w:ascii="Segoe UI Symbol" w:hAnsi="Segoe UI Symbol" w:cs="Segoe UI Symbol"/>
          <w:vertAlign w:val="superscript"/>
        </w:rPr>
        <w:t>☆</w:t>
      </w:r>
      <w:r w:rsidRPr="004D2D9E">
        <w:rPr>
          <w:rFonts w:ascii="Book Antiqua" w:hAnsi="Book Antiqua"/>
        </w:rPr>
        <w:t xml:space="preserve">. </w:t>
      </w:r>
      <w:r w:rsidRPr="004D2D9E">
        <w:rPr>
          <w:rFonts w:ascii="Book Antiqua" w:hAnsi="Book Antiqua"/>
          <w:i/>
          <w:iCs/>
        </w:rPr>
        <w:t>J Hepatol</w:t>
      </w:r>
      <w:r w:rsidRPr="004D2D9E">
        <w:rPr>
          <w:rFonts w:ascii="Book Antiqua" w:hAnsi="Book Antiqua"/>
        </w:rPr>
        <w:t xml:space="preserve"> 2020; </w:t>
      </w:r>
      <w:r w:rsidRPr="004D2D9E">
        <w:rPr>
          <w:rFonts w:ascii="Book Antiqua" w:hAnsi="Book Antiqua"/>
          <w:b/>
          <w:bCs/>
        </w:rPr>
        <w:t>73</w:t>
      </w:r>
      <w:r w:rsidRPr="004D2D9E">
        <w:rPr>
          <w:rFonts w:ascii="Book Antiqua" w:hAnsi="Book Antiqua"/>
        </w:rPr>
        <w:t>: 1170-1218 [PMID: 32956768 DOI: 10.1016/j.jhep.2020.08.018]</w:t>
      </w:r>
    </w:p>
    <w:p w14:paraId="5D8F9621" w14:textId="465B2E2C" w:rsidR="004D2D9E" w:rsidRPr="004D2D9E" w:rsidRDefault="004D2D9E" w:rsidP="004D2D9E">
      <w:pPr>
        <w:spacing w:line="360" w:lineRule="auto"/>
        <w:jc w:val="both"/>
        <w:rPr>
          <w:rFonts w:ascii="Book Antiqua" w:hAnsi="Book Antiqua"/>
        </w:rPr>
      </w:pPr>
      <w:r w:rsidRPr="004D2D9E">
        <w:rPr>
          <w:rFonts w:ascii="Book Antiqua" w:hAnsi="Book Antiqua"/>
        </w:rPr>
        <w:t xml:space="preserve">5 </w:t>
      </w:r>
      <w:r w:rsidRPr="004D2D9E">
        <w:rPr>
          <w:rFonts w:ascii="Book Antiqua" w:hAnsi="Book Antiqua"/>
          <w:b/>
          <w:bCs/>
        </w:rPr>
        <w:t>Thomas DL</w:t>
      </w:r>
      <w:r w:rsidRPr="004D2D9E">
        <w:rPr>
          <w:rFonts w:ascii="Book Antiqua" w:hAnsi="Book Antiqua"/>
        </w:rPr>
        <w:t xml:space="preserve">. Global Elimination of Chronic Hepatitis. </w:t>
      </w:r>
      <w:r w:rsidRPr="004D2D9E">
        <w:rPr>
          <w:rFonts w:ascii="Book Antiqua" w:hAnsi="Book Antiqua"/>
          <w:i/>
          <w:iCs/>
        </w:rPr>
        <w:t>N Engl J Med</w:t>
      </w:r>
      <w:r w:rsidRPr="004D2D9E">
        <w:rPr>
          <w:rFonts w:ascii="Book Antiqua" w:hAnsi="Book Antiqua"/>
        </w:rPr>
        <w:t xml:space="preserve"> 2019; </w:t>
      </w:r>
      <w:r w:rsidRPr="004D2D9E">
        <w:rPr>
          <w:rFonts w:ascii="Book Antiqua" w:hAnsi="Book Antiqua"/>
          <w:b/>
          <w:bCs/>
        </w:rPr>
        <w:t>380</w:t>
      </w:r>
      <w:r w:rsidRPr="004D2D9E">
        <w:rPr>
          <w:rFonts w:ascii="Book Antiqua" w:hAnsi="Book Antiqua"/>
        </w:rPr>
        <w:t xml:space="preserve">: 2041-2050 [PMID: 31116920 DOI: </w:t>
      </w:r>
      <w:r w:rsidR="00C747AC" w:rsidRPr="00C747AC">
        <w:rPr>
          <w:rFonts w:ascii="Book Antiqua" w:hAnsi="Book Antiqua"/>
        </w:rPr>
        <w:t>10.1056/NEJMra1810477</w:t>
      </w:r>
      <w:r w:rsidRPr="004D2D9E">
        <w:rPr>
          <w:rFonts w:ascii="Book Antiqua" w:hAnsi="Book Antiqua"/>
        </w:rPr>
        <w:t>]</w:t>
      </w:r>
    </w:p>
    <w:p w14:paraId="687F5331"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6 </w:t>
      </w:r>
      <w:r w:rsidRPr="004D2D9E">
        <w:rPr>
          <w:rFonts w:ascii="Book Antiqua" w:hAnsi="Book Antiqua"/>
          <w:b/>
          <w:bCs/>
        </w:rPr>
        <w:t>Foreman KJ</w:t>
      </w:r>
      <w:r w:rsidRPr="004D2D9E">
        <w:rPr>
          <w:rFonts w:ascii="Book Antiqua" w:hAnsi="Book Antiqua"/>
        </w:rPr>
        <w:t xml:space="preserve">, Marquez N, Dolgert A, Fukutaki K, Fullman N, McGaughey M, Pletcher MA, Smith AE, Tang K, Yuan CW, Brown JC, Friedman J, He J, Heuton KR, Holmberg M, Patel DJ, Reidy P, Carter A, Cercy K, Chapin A, Douwes-Schultz D, Frank T, Goettsch F, Liu PY, Nandakumar V, Reitsma MB, Reuter V, Sadat N, Sorensen RJD, Srinivasan V, Updike RL, York H, Lopez AD, Lozano R, Lim SS, Mokdad AH, Vollset SE, Murray CJL. Forecasting life expectancy, years of life lost, and all-cause and cause-specific mortality for 250 causes of death: reference and alternative scenarios for 2016-40 for 195 countries and territories. </w:t>
      </w:r>
      <w:r w:rsidRPr="004D2D9E">
        <w:rPr>
          <w:rFonts w:ascii="Book Antiqua" w:hAnsi="Book Antiqua"/>
          <w:i/>
          <w:iCs/>
        </w:rPr>
        <w:t>Lancet</w:t>
      </w:r>
      <w:r w:rsidRPr="004D2D9E">
        <w:rPr>
          <w:rFonts w:ascii="Book Antiqua" w:hAnsi="Book Antiqua"/>
        </w:rPr>
        <w:t xml:space="preserve"> 2018; </w:t>
      </w:r>
      <w:r w:rsidRPr="004D2D9E">
        <w:rPr>
          <w:rFonts w:ascii="Book Antiqua" w:hAnsi="Book Antiqua"/>
          <w:b/>
          <w:bCs/>
        </w:rPr>
        <w:t>392</w:t>
      </w:r>
      <w:r w:rsidRPr="004D2D9E">
        <w:rPr>
          <w:rFonts w:ascii="Book Antiqua" w:hAnsi="Book Antiqua"/>
        </w:rPr>
        <w:t>: 2052-2090 [PMID: 30340847 DOI: 10.1016/S0140-6736(18)31694-5]</w:t>
      </w:r>
    </w:p>
    <w:p w14:paraId="77A76B85"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7 </w:t>
      </w:r>
      <w:r w:rsidRPr="004D2D9E">
        <w:rPr>
          <w:rFonts w:ascii="Book Antiqua" w:hAnsi="Book Antiqua"/>
          <w:b/>
          <w:bCs/>
        </w:rPr>
        <w:t>Kasai T</w:t>
      </w:r>
      <w:r w:rsidRPr="004D2D9E">
        <w:rPr>
          <w:rFonts w:ascii="Book Antiqua" w:hAnsi="Book Antiqua"/>
        </w:rPr>
        <w:t xml:space="preserve">. Time to act to make elimination of viral hepatitis a reality. </w:t>
      </w:r>
      <w:r w:rsidRPr="004D2D9E">
        <w:rPr>
          <w:rFonts w:ascii="Book Antiqua" w:hAnsi="Book Antiqua"/>
          <w:i/>
          <w:iCs/>
        </w:rPr>
        <w:t>Lancet Gastroenterol Hepatol</w:t>
      </w:r>
      <w:r w:rsidRPr="004D2D9E">
        <w:rPr>
          <w:rFonts w:ascii="Book Antiqua" w:hAnsi="Book Antiqua"/>
        </w:rPr>
        <w:t xml:space="preserve"> 2020; </w:t>
      </w:r>
      <w:r w:rsidRPr="004D2D9E">
        <w:rPr>
          <w:rFonts w:ascii="Book Antiqua" w:hAnsi="Book Antiqua"/>
          <w:b/>
          <w:bCs/>
        </w:rPr>
        <w:t>5</w:t>
      </w:r>
      <w:r w:rsidRPr="004D2D9E">
        <w:rPr>
          <w:rFonts w:ascii="Book Antiqua" w:hAnsi="Book Antiqua"/>
        </w:rPr>
        <w:t>: 102-103 [PMID: 31852633 DOI: 10.1016/S2468-1253(19)30303-6]</w:t>
      </w:r>
    </w:p>
    <w:p w14:paraId="6CD4BCA8"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8 </w:t>
      </w:r>
      <w:r w:rsidRPr="004D2D9E">
        <w:rPr>
          <w:rFonts w:ascii="Book Antiqua" w:hAnsi="Book Antiqua"/>
          <w:b/>
          <w:bCs/>
        </w:rPr>
        <w:t>Poortahmasebi V</w:t>
      </w:r>
      <w:r w:rsidRPr="004D2D9E">
        <w:rPr>
          <w:rFonts w:ascii="Book Antiqua" w:hAnsi="Book Antiqua"/>
        </w:rPr>
        <w:t xml:space="preserve">, Baghi HB. Living in the shadows of hepatitis. </w:t>
      </w:r>
      <w:r w:rsidRPr="004D2D9E">
        <w:rPr>
          <w:rFonts w:ascii="Book Antiqua" w:hAnsi="Book Antiqua"/>
          <w:i/>
          <w:iCs/>
        </w:rPr>
        <w:t>Lancet Infect Dis</w:t>
      </w:r>
      <w:r w:rsidRPr="004D2D9E">
        <w:rPr>
          <w:rFonts w:ascii="Book Antiqua" w:hAnsi="Book Antiqua"/>
        </w:rPr>
        <w:t xml:space="preserve"> 2019; </w:t>
      </w:r>
      <w:r w:rsidRPr="004D2D9E">
        <w:rPr>
          <w:rFonts w:ascii="Book Antiqua" w:hAnsi="Book Antiqua"/>
          <w:b/>
          <w:bCs/>
        </w:rPr>
        <w:t>19</w:t>
      </w:r>
      <w:r w:rsidRPr="004D2D9E">
        <w:rPr>
          <w:rFonts w:ascii="Book Antiqua" w:hAnsi="Book Antiqua"/>
        </w:rPr>
        <w:t>: 1171-1172 [PMID: 31657779 DOI: 10.1016/S1473-3099(19)30534-1]</w:t>
      </w:r>
    </w:p>
    <w:p w14:paraId="3856763D" w14:textId="66DF4FC5" w:rsidR="004D2D9E" w:rsidRPr="004D2D9E" w:rsidRDefault="004D2D9E" w:rsidP="004D2D9E">
      <w:pPr>
        <w:spacing w:line="360" w:lineRule="auto"/>
        <w:jc w:val="both"/>
        <w:rPr>
          <w:rFonts w:ascii="Book Antiqua" w:hAnsi="Book Antiqua"/>
        </w:rPr>
      </w:pPr>
      <w:r w:rsidRPr="004D2D9E">
        <w:rPr>
          <w:rFonts w:ascii="Book Antiqua" w:hAnsi="Book Antiqua"/>
        </w:rPr>
        <w:lastRenderedPageBreak/>
        <w:t xml:space="preserve">9 </w:t>
      </w:r>
      <w:r w:rsidRPr="004D2D9E">
        <w:rPr>
          <w:rFonts w:ascii="Book Antiqua" w:hAnsi="Book Antiqua"/>
          <w:b/>
          <w:bCs/>
        </w:rPr>
        <w:t>European Union HCV Collaborators</w:t>
      </w:r>
      <w:r w:rsidRPr="004D2D9E">
        <w:rPr>
          <w:rFonts w:ascii="Book Antiqua" w:hAnsi="Book Antiqua"/>
        </w:rPr>
        <w:t xml:space="preserve">. Hepatitis C virus prevalence and level of intervention required to achieve the WHO targets for elimination in the European Union by 2030: a modelling study. </w:t>
      </w:r>
      <w:r w:rsidRPr="004D2D9E">
        <w:rPr>
          <w:rFonts w:ascii="Book Antiqua" w:hAnsi="Book Antiqua"/>
          <w:i/>
          <w:iCs/>
        </w:rPr>
        <w:t>Lancet Gastroenterol Hepatol</w:t>
      </w:r>
      <w:r w:rsidRPr="004D2D9E">
        <w:rPr>
          <w:rFonts w:ascii="Book Antiqua" w:hAnsi="Book Antiqua"/>
        </w:rPr>
        <w:t xml:space="preserve"> 2017; </w:t>
      </w:r>
      <w:r w:rsidRPr="004D2D9E">
        <w:rPr>
          <w:rFonts w:ascii="Book Antiqua" w:hAnsi="Book Antiqua"/>
          <w:b/>
          <w:bCs/>
        </w:rPr>
        <w:t>2</w:t>
      </w:r>
      <w:r w:rsidRPr="004D2D9E">
        <w:rPr>
          <w:rFonts w:ascii="Book Antiqua" w:hAnsi="Book Antiqua"/>
        </w:rPr>
        <w:t>: 325-336 [PMID: 28397696 DOI: 10.1016/S2468-1253(17)30045-6]</w:t>
      </w:r>
    </w:p>
    <w:p w14:paraId="6802C9B7"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10 </w:t>
      </w:r>
      <w:r w:rsidRPr="004D2D9E">
        <w:rPr>
          <w:rFonts w:ascii="Book Antiqua" w:hAnsi="Book Antiqua"/>
          <w:b/>
          <w:bCs/>
        </w:rPr>
        <w:t>McMahon BJ</w:t>
      </w:r>
      <w:r w:rsidRPr="004D2D9E">
        <w:rPr>
          <w:rFonts w:ascii="Book Antiqua" w:hAnsi="Book Antiqua"/>
        </w:rPr>
        <w:t xml:space="preserve">. Meeting the WHO and US Goals to Eliminate Hepatitis B Infection by 2030: Opportunities and Challenges. </w:t>
      </w:r>
      <w:r w:rsidRPr="004D2D9E">
        <w:rPr>
          <w:rFonts w:ascii="Book Antiqua" w:hAnsi="Book Antiqua"/>
          <w:i/>
          <w:iCs/>
        </w:rPr>
        <w:t>Clin Liver Dis (Hoboken)</w:t>
      </w:r>
      <w:r w:rsidRPr="004D2D9E">
        <w:rPr>
          <w:rFonts w:ascii="Book Antiqua" w:hAnsi="Book Antiqua"/>
        </w:rPr>
        <w:t xml:space="preserve"> 2018; </w:t>
      </w:r>
      <w:r w:rsidRPr="004D2D9E">
        <w:rPr>
          <w:rFonts w:ascii="Book Antiqua" w:hAnsi="Book Antiqua"/>
          <w:b/>
          <w:bCs/>
        </w:rPr>
        <w:t>12</w:t>
      </w:r>
      <w:r w:rsidRPr="004D2D9E">
        <w:rPr>
          <w:rFonts w:ascii="Book Antiqua" w:hAnsi="Book Antiqua"/>
        </w:rPr>
        <w:t>: 29-32 [PMID: 30988906 DOI: 10.1002/cld.733]</w:t>
      </w:r>
    </w:p>
    <w:p w14:paraId="4E015D3A"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11 </w:t>
      </w:r>
      <w:r w:rsidRPr="004D2D9E">
        <w:rPr>
          <w:rFonts w:ascii="Book Antiqua" w:hAnsi="Book Antiqua"/>
          <w:b/>
          <w:bCs/>
        </w:rPr>
        <w:t>Ward JW</w:t>
      </w:r>
      <w:r w:rsidRPr="004D2D9E">
        <w:rPr>
          <w:rFonts w:ascii="Book Antiqua" w:hAnsi="Book Antiqua"/>
        </w:rPr>
        <w:t xml:space="preserve">, Hinman AR. What Is Needed to Eliminate Hepatitis B Virus and Hepatitis C Virus as Global Health Threats. </w:t>
      </w:r>
      <w:r w:rsidRPr="004D2D9E">
        <w:rPr>
          <w:rFonts w:ascii="Book Antiqua" w:hAnsi="Book Antiqua"/>
          <w:i/>
          <w:iCs/>
        </w:rPr>
        <w:t>Gastroenterology</w:t>
      </w:r>
      <w:r w:rsidRPr="004D2D9E">
        <w:rPr>
          <w:rFonts w:ascii="Book Antiqua" w:hAnsi="Book Antiqua"/>
        </w:rPr>
        <w:t xml:space="preserve"> 2019; </w:t>
      </w:r>
      <w:r w:rsidRPr="004D2D9E">
        <w:rPr>
          <w:rFonts w:ascii="Book Antiqua" w:hAnsi="Book Antiqua"/>
          <w:b/>
          <w:bCs/>
        </w:rPr>
        <w:t>156</w:t>
      </w:r>
      <w:r w:rsidRPr="004D2D9E">
        <w:rPr>
          <w:rFonts w:ascii="Book Antiqua" w:hAnsi="Book Antiqua"/>
        </w:rPr>
        <w:t>: 297-310 [PMID: 30391470 DOI: 10.1053/j.gastro.2018.10.048]</w:t>
      </w:r>
    </w:p>
    <w:p w14:paraId="25625B8E"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12 </w:t>
      </w:r>
      <w:r w:rsidRPr="004D2D9E">
        <w:rPr>
          <w:rFonts w:ascii="Book Antiqua" w:hAnsi="Book Antiqua"/>
          <w:b/>
          <w:bCs/>
        </w:rPr>
        <w:t>Popping S</w:t>
      </w:r>
      <w:r w:rsidRPr="004D2D9E">
        <w:rPr>
          <w:rFonts w:ascii="Book Antiqua" w:hAnsi="Book Antiqua"/>
        </w:rPr>
        <w:t xml:space="preserve">, El-Sayed M, Feld J, Hatzakis A, Hellard M, Lesi O, Ninburg M, Ward J, Boucher C. Report from the International Viral Hepatitis Elimination Meeting (IVHEM), 17-18 November 2017, Amsterdam, the Netherlands: gaps and challenges in the WHO 2030 hepatitis C elimination framework. </w:t>
      </w:r>
      <w:r w:rsidRPr="004D2D9E">
        <w:rPr>
          <w:rFonts w:ascii="Book Antiqua" w:hAnsi="Book Antiqua"/>
          <w:i/>
          <w:iCs/>
        </w:rPr>
        <w:t>J Virus Erad</w:t>
      </w:r>
      <w:r w:rsidRPr="004D2D9E">
        <w:rPr>
          <w:rFonts w:ascii="Book Antiqua" w:hAnsi="Book Antiqua"/>
        </w:rPr>
        <w:t xml:space="preserve"> 2018; </w:t>
      </w:r>
      <w:r w:rsidRPr="004D2D9E">
        <w:rPr>
          <w:rFonts w:ascii="Book Antiqua" w:hAnsi="Book Antiqua"/>
          <w:b/>
          <w:bCs/>
        </w:rPr>
        <w:t>4</w:t>
      </w:r>
      <w:r w:rsidRPr="004D2D9E">
        <w:rPr>
          <w:rFonts w:ascii="Book Antiqua" w:hAnsi="Book Antiqua"/>
        </w:rPr>
        <w:t>: 193-195 [PMID: 30050685]</w:t>
      </w:r>
    </w:p>
    <w:p w14:paraId="495F1620"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13 </w:t>
      </w:r>
      <w:r w:rsidRPr="004D2D9E">
        <w:rPr>
          <w:rFonts w:ascii="Book Antiqua" w:hAnsi="Book Antiqua"/>
          <w:b/>
          <w:bCs/>
        </w:rPr>
        <w:t>Asselah T</w:t>
      </w:r>
      <w:r w:rsidRPr="004D2D9E">
        <w:rPr>
          <w:rFonts w:ascii="Book Antiqua" w:hAnsi="Book Antiqua"/>
        </w:rPr>
        <w:t xml:space="preserve">, Marcellin P, Schinazi RF. Treatment of hepatitis C virus infection with direct-acting antiviral agents: 100% cure? </w:t>
      </w:r>
      <w:r w:rsidRPr="004D2D9E">
        <w:rPr>
          <w:rFonts w:ascii="Book Antiqua" w:hAnsi="Book Antiqua"/>
          <w:i/>
          <w:iCs/>
        </w:rPr>
        <w:t>Liver Int</w:t>
      </w:r>
      <w:r w:rsidRPr="004D2D9E">
        <w:rPr>
          <w:rFonts w:ascii="Book Antiqua" w:hAnsi="Book Antiqua"/>
        </w:rPr>
        <w:t xml:space="preserve"> 2018; </w:t>
      </w:r>
      <w:r w:rsidRPr="004D2D9E">
        <w:rPr>
          <w:rFonts w:ascii="Book Antiqua" w:hAnsi="Book Antiqua"/>
          <w:b/>
          <w:bCs/>
        </w:rPr>
        <w:t>38 Suppl 1</w:t>
      </w:r>
      <w:r w:rsidRPr="004D2D9E">
        <w:rPr>
          <w:rFonts w:ascii="Book Antiqua" w:hAnsi="Book Antiqua"/>
        </w:rPr>
        <w:t>: 7-13 [PMID: 29427484 DOI: 10.1111/liv.13673]</w:t>
      </w:r>
    </w:p>
    <w:p w14:paraId="5FE0A4A9"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14 </w:t>
      </w:r>
      <w:r w:rsidRPr="004D2D9E">
        <w:rPr>
          <w:rFonts w:ascii="Book Antiqua" w:hAnsi="Book Antiqua"/>
          <w:b/>
          <w:bCs/>
        </w:rPr>
        <w:t>Asselah T</w:t>
      </w:r>
      <w:r w:rsidRPr="004D2D9E">
        <w:rPr>
          <w:rFonts w:ascii="Book Antiqua" w:hAnsi="Book Antiqua"/>
        </w:rPr>
        <w:t xml:space="preserve">. A village without hepatitis C in Egypt: will micro-elimination lead to macro-elimination? </w:t>
      </w:r>
      <w:r w:rsidRPr="004D2D9E">
        <w:rPr>
          <w:rFonts w:ascii="Book Antiqua" w:hAnsi="Book Antiqua"/>
          <w:i/>
          <w:iCs/>
        </w:rPr>
        <w:t>Lancet Gastroenterol Hepatol</w:t>
      </w:r>
      <w:r w:rsidRPr="004D2D9E">
        <w:rPr>
          <w:rFonts w:ascii="Book Antiqua" w:hAnsi="Book Antiqua"/>
        </w:rPr>
        <w:t xml:space="preserve"> 2018; </w:t>
      </w:r>
      <w:r w:rsidRPr="004D2D9E">
        <w:rPr>
          <w:rFonts w:ascii="Book Antiqua" w:hAnsi="Book Antiqua"/>
          <w:b/>
          <w:bCs/>
        </w:rPr>
        <w:t>3</w:t>
      </w:r>
      <w:r w:rsidRPr="004D2D9E">
        <w:rPr>
          <w:rFonts w:ascii="Book Antiqua" w:hAnsi="Book Antiqua"/>
        </w:rPr>
        <w:t>: 734-736 [PMID: 30030069 DOI: 10.1016/S2468-1253(18)30178-X]</w:t>
      </w:r>
    </w:p>
    <w:p w14:paraId="4819DBD5"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15 </w:t>
      </w:r>
      <w:r w:rsidRPr="004D2D9E">
        <w:rPr>
          <w:rFonts w:ascii="Book Antiqua" w:hAnsi="Book Antiqua"/>
          <w:b/>
          <w:bCs/>
        </w:rPr>
        <w:t>Ghany MG</w:t>
      </w:r>
      <w:r w:rsidRPr="004D2D9E">
        <w:rPr>
          <w:rFonts w:ascii="Book Antiqua" w:hAnsi="Book Antiqua"/>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sidRPr="004D2D9E">
        <w:rPr>
          <w:rFonts w:ascii="Book Antiqua" w:hAnsi="Book Antiqua"/>
          <w:i/>
          <w:iCs/>
        </w:rPr>
        <w:t>Hepatology</w:t>
      </w:r>
      <w:r w:rsidRPr="004D2D9E">
        <w:rPr>
          <w:rFonts w:ascii="Book Antiqua" w:hAnsi="Book Antiqua"/>
        </w:rPr>
        <w:t xml:space="preserve"> 2020; </w:t>
      </w:r>
      <w:r w:rsidRPr="004D2D9E">
        <w:rPr>
          <w:rFonts w:ascii="Book Antiqua" w:hAnsi="Book Antiqua"/>
          <w:b/>
          <w:bCs/>
        </w:rPr>
        <w:t>71</w:t>
      </w:r>
      <w:r w:rsidRPr="004D2D9E">
        <w:rPr>
          <w:rFonts w:ascii="Book Antiqua" w:hAnsi="Book Antiqua"/>
        </w:rPr>
        <w:t>: 686-721 [PMID: 31816111 DOI: 10.1002/hep.31060]</w:t>
      </w:r>
    </w:p>
    <w:p w14:paraId="23135E8F"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16 </w:t>
      </w:r>
      <w:r w:rsidRPr="004D2D9E">
        <w:rPr>
          <w:rFonts w:ascii="Book Antiqua" w:hAnsi="Book Antiqua"/>
          <w:b/>
          <w:bCs/>
        </w:rPr>
        <w:t>Feld JJ</w:t>
      </w:r>
      <w:r w:rsidRPr="004D2D9E">
        <w:rPr>
          <w:rFonts w:ascii="Book Antiqua" w:hAnsi="Book Antiqua"/>
        </w:rPr>
        <w:t xml:space="preserve">, Jacobson IM, Hézode C, Asselah T, Ruane PJ, Gruener N, Abergel A, Mangia A, Lai CL, Chan HL, Mazzotta F, Moreno C, Yoshida E, Shafran SD, Towner WJ, Tran TT, McNally J, Osinusi A, Svarovskaia E, Zhu Y, Brainard DM, McHutchison JG, Agarwal K, Zeuzem S; ASTRAL-1 Investigators. Sofosbuvir and Velpatasvir for HCV Genotype 1, 2, </w:t>
      </w:r>
      <w:r w:rsidRPr="004D2D9E">
        <w:rPr>
          <w:rFonts w:ascii="Book Antiqua" w:hAnsi="Book Antiqua"/>
        </w:rPr>
        <w:lastRenderedPageBreak/>
        <w:t xml:space="preserve">4, 5, and 6 Infection. </w:t>
      </w:r>
      <w:r w:rsidRPr="004D2D9E">
        <w:rPr>
          <w:rFonts w:ascii="Book Antiqua" w:hAnsi="Book Antiqua"/>
          <w:i/>
          <w:iCs/>
        </w:rPr>
        <w:t>N Engl J Med</w:t>
      </w:r>
      <w:r w:rsidRPr="004D2D9E">
        <w:rPr>
          <w:rFonts w:ascii="Book Antiqua" w:hAnsi="Book Antiqua"/>
        </w:rPr>
        <w:t xml:space="preserve"> 2015; </w:t>
      </w:r>
      <w:r w:rsidRPr="004D2D9E">
        <w:rPr>
          <w:rFonts w:ascii="Book Antiqua" w:hAnsi="Book Antiqua"/>
          <w:b/>
          <w:bCs/>
        </w:rPr>
        <w:t>373</w:t>
      </w:r>
      <w:r w:rsidRPr="004D2D9E">
        <w:rPr>
          <w:rFonts w:ascii="Book Antiqua" w:hAnsi="Book Antiqua"/>
        </w:rPr>
        <w:t>: 2599-2607 [PMID: 26571066 DOI: 10.1056/NEJMoa1512610]</w:t>
      </w:r>
    </w:p>
    <w:p w14:paraId="391F682B"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17 </w:t>
      </w:r>
      <w:r w:rsidRPr="004D2D9E">
        <w:rPr>
          <w:rFonts w:ascii="Book Antiqua" w:hAnsi="Book Antiqua"/>
          <w:b/>
          <w:bCs/>
        </w:rPr>
        <w:t>Foster GR</w:t>
      </w:r>
      <w:r w:rsidRPr="004D2D9E">
        <w:rPr>
          <w:rFonts w:ascii="Book Antiqua" w:hAnsi="Book Antiqua"/>
        </w:rPr>
        <w:t xml:space="preserve">, Afdhal N, Roberts SK, Bräu N, Gane EJ, Pianko S, Lawitz E, Thompson A, Shiffman ML, Cooper C, Towner WJ, Conway B, Ruane P, Bourlière M, Asselah T, Berg T, Zeuzem S, Rosenberg W, Agarwal K, Stedman CA, Mo H, Dvory-Sobol H, Han L, Wang J, McNally J, Osinusi A, Brainard DM, McHutchison JG, Mazzotta F, Tran TT, Gordon SC, Patel K, Reau N, Mangia A, Sulkowski M; ASTRAL-2 Investigators; ASTRAL-3 Investigators. Sofosbuvir and Velpatasvir for HCV Genotype 2 and 3 Infection. </w:t>
      </w:r>
      <w:r w:rsidRPr="004D2D9E">
        <w:rPr>
          <w:rFonts w:ascii="Book Antiqua" w:hAnsi="Book Antiqua"/>
          <w:i/>
          <w:iCs/>
        </w:rPr>
        <w:t>N Engl J Med</w:t>
      </w:r>
      <w:r w:rsidRPr="004D2D9E">
        <w:rPr>
          <w:rFonts w:ascii="Book Antiqua" w:hAnsi="Book Antiqua"/>
        </w:rPr>
        <w:t xml:space="preserve"> 2015; </w:t>
      </w:r>
      <w:r w:rsidRPr="004D2D9E">
        <w:rPr>
          <w:rFonts w:ascii="Book Antiqua" w:hAnsi="Book Antiqua"/>
          <w:b/>
          <w:bCs/>
        </w:rPr>
        <w:t>373</w:t>
      </w:r>
      <w:r w:rsidRPr="004D2D9E">
        <w:rPr>
          <w:rFonts w:ascii="Book Antiqua" w:hAnsi="Book Antiqua"/>
        </w:rPr>
        <w:t>: 2608-2617 [PMID: 26575258 DOI: 10.1056/NEJMoa1512612]</w:t>
      </w:r>
    </w:p>
    <w:p w14:paraId="04EC19C2"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18 </w:t>
      </w:r>
      <w:r w:rsidRPr="004D2D9E">
        <w:rPr>
          <w:rFonts w:ascii="Book Antiqua" w:hAnsi="Book Antiqua"/>
          <w:b/>
          <w:bCs/>
        </w:rPr>
        <w:t>Curry MP</w:t>
      </w:r>
      <w:r w:rsidRPr="004D2D9E">
        <w:rPr>
          <w:rFonts w:ascii="Book Antiqua" w:hAnsi="Book Antiqua"/>
        </w:rPr>
        <w:t xml:space="preserve">, O'Leary JG, Bzowej N, Muir AJ, Korenblat KM, Fenkel JM, Reddy KR, Lawitz E, Flamm SL, Schiano T, Teperman L, Fontana R, Schiff E, Fried M, Doehle B, An D, McNally J, Osinusi A, Brainard DM, McHutchison JG, Brown RS Jr, Charlton M; ASTRAL-4 Investigators. Sofosbuvir and Velpatasvir for HCV in Patients with Decompensated Cirrhosis. </w:t>
      </w:r>
      <w:r w:rsidRPr="004D2D9E">
        <w:rPr>
          <w:rFonts w:ascii="Book Antiqua" w:hAnsi="Book Antiqua"/>
          <w:i/>
          <w:iCs/>
        </w:rPr>
        <w:t>N Engl J Med</w:t>
      </w:r>
      <w:r w:rsidRPr="004D2D9E">
        <w:rPr>
          <w:rFonts w:ascii="Book Antiqua" w:hAnsi="Book Antiqua"/>
        </w:rPr>
        <w:t xml:space="preserve"> 2015; </w:t>
      </w:r>
      <w:r w:rsidRPr="004D2D9E">
        <w:rPr>
          <w:rFonts w:ascii="Book Antiqua" w:hAnsi="Book Antiqua"/>
          <w:b/>
          <w:bCs/>
        </w:rPr>
        <w:t>373</w:t>
      </w:r>
      <w:r w:rsidRPr="004D2D9E">
        <w:rPr>
          <w:rFonts w:ascii="Book Antiqua" w:hAnsi="Book Antiqua"/>
        </w:rPr>
        <w:t>: 2618-2628 [PMID: 26569658 DOI: 10.1056/NEJMoa1512614]</w:t>
      </w:r>
    </w:p>
    <w:p w14:paraId="70A4DCAC"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19 </w:t>
      </w:r>
      <w:r w:rsidRPr="004D2D9E">
        <w:rPr>
          <w:rFonts w:ascii="Book Antiqua" w:hAnsi="Book Antiqua"/>
          <w:b/>
          <w:bCs/>
        </w:rPr>
        <w:t>Grebely J</w:t>
      </w:r>
      <w:r w:rsidRPr="004D2D9E">
        <w:rPr>
          <w:rFonts w:ascii="Book Antiqua" w:hAnsi="Book Antiqua"/>
        </w:rPr>
        <w:t xml:space="preserve">, Dalgard O, Conway B, Cunningham EB, Bruggmann P, Hajarizadeh B, Amin J, Bruneau J, Hellard M, Litwin AH, Marks P, Quiene S, Siriragavan S, Applegate TL, Swan T, Byrne J, Lacalamita M, Dunlop A, Matthews GV, Powis J, Shaw D, Thurnheer MC, Weltman M, Kronborg I, Cooper C, Feld JJ, Fraser C, Dillon JF, Read P, Gane E, Dore GJ; SIMPLIFY Study Group. Sofosbuvir and velpatasvir for hepatitis C virus infection in people with recent injection drug use (SIMPLIFY): an open-label, single-arm, phase 4, multicentre trial. </w:t>
      </w:r>
      <w:r w:rsidRPr="004D2D9E">
        <w:rPr>
          <w:rFonts w:ascii="Book Antiqua" w:hAnsi="Book Antiqua"/>
          <w:i/>
          <w:iCs/>
        </w:rPr>
        <w:t>Lancet Gastroenterol Hepatol</w:t>
      </w:r>
      <w:r w:rsidRPr="004D2D9E">
        <w:rPr>
          <w:rFonts w:ascii="Book Antiqua" w:hAnsi="Book Antiqua"/>
        </w:rPr>
        <w:t xml:space="preserve"> 2018; </w:t>
      </w:r>
      <w:r w:rsidRPr="004D2D9E">
        <w:rPr>
          <w:rFonts w:ascii="Book Antiqua" w:hAnsi="Book Antiqua"/>
          <w:b/>
          <w:bCs/>
        </w:rPr>
        <w:t>3</w:t>
      </w:r>
      <w:r w:rsidRPr="004D2D9E">
        <w:rPr>
          <w:rFonts w:ascii="Book Antiqua" w:hAnsi="Book Antiqua"/>
        </w:rPr>
        <w:t>: 153-161 [PMID: 29310928 DOI: 10.1016/S2468-1253(17)30404-1]</w:t>
      </w:r>
    </w:p>
    <w:p w14:paraId="7FB2B156"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20 </w:t>
      </w:r>
      <w:r w:rsidRPr="004D2D9E">
        <w:rPr>
          <w:rFonts w:ascii="Book Antiqua" w:hAnsi="Book Antiqua"/>
          <w:b/>
          <w:bCs/>
        </w:rPr>
        <w:t>Isakov V</w:t>
      </w:r>
      <w:r w:rsidRPr="004D2D9E">
        <w:rPr>
          <w:rFonts w:ascii="Book Antiqua" w:hAnsi="Book Antiqua"/>
        </w:rPr>
        <w:t xml:space="preserve">, Chulanov V, Abdurakhmanov D, Burnevich E, Nurmukhametova E, Kozhevnikova G, Gankina N, Zhuravel S, Romanova S, Hyland RH, Lu S, Svarovskaia ES, McNally J, Brainard DM, Ivashkin V, Morozov V, Bakulin I, Lagging M, Zhdanov K, Weiland O. Sofosbuvir/velpatasvir for the treatment of HCV: excellent results from a phase-3, open-label study in Russia and Sweden. </w:t>
      </w:r>
      <w:r w:rsidRPr="004D2D9E">
        <w:rPr>
          <w:rFonts w:ascii="Book Antiqua" w:hAnsi="Book Antiqua"/>
          <w:i/>
          <w:iCs/>
        </w:rPr>
        <w:t>Infect Dis (Lond)</w:t>
      </w:r>
      <w:r w:rsidRPr="004D2D9E">
        <w:rPr>
          <w:rFonts w:ascii="Book Antiqua" w:hAnsi="Book Antiqua"/>
        </w:rPr>
        <w:t xml:space="preserve"> 2019; </w:t>
      </w:r>
      <w:r w:rsidRPr="004D2D9E">
        <w:rPr>
          <w:rFonts w:ascii="Book Antiqua" w:hAnsi="Book Antiqua"/>
          <w:b/>
          <w:bCs/>
        </w:rPr>
        <w:t>51</w:t>
      </w:r>
      <w:r w:rsidRPr="004D2D9E">
        <w:rPr>
          <w:rFonts w:ascii="Book Antiqua" w:hAnsi="Book Antiqua"/>
        </w:rPr>
        <w:t>: 131-139 [PMID: 30499360 DOI: 10.1080/23744235.2018.1535186]</w:t>
      </w:r>
    </w:p>
    <w:p w14:paraId="054A1E04" w14:textId="77777777" w:rsidR="004D2D9E" w:rsidRPr="004D2D9E" w:rsidRDefault="004D2D9E" w:rsidP="004D2D9E">
      <w:pPr>
        <w:spacing w:line="360" w:lineRule="auto"/>
        <w:jc w:val="both"/>
        <w:rPr>
          <w:rFonts w:ascii="Book Antiqua" w:hAnsi="Book Antiqua"/>
        </w:rPr>
      </w:pPr>
      <w:r w:rsidRPr="004D2D9E">
        <w:rPr>
          <w:rFonts w:ascii="Book Antiqua" w:hAnsi="Book Antiqua"/>
        </w:rPr>
        <w:lastRenderedPageBreak/>
        <w:t xml:space="preserve">21 </w:t>
      </w:r>
      <w:r w:rsidRPr="004D2D9E">
        <w:rPr>
          <w:rFonts w:ascii="Book Antiqua" w:hAnsi="Book Antiqua"/>
          <w:b/>
          <w:bCs/>
        </w:rPr>
        <w:t>Guan WJ</w:t>
      </w:r>
      <w:r w:rsidRPr="004D2D9E">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4D2D9E">
        <w:rPr>
          <w:rFonts w:ascii="Book Antiqua" w:hAnsi="Book Antiqua"/>
          <w:i/>
          <w:iCs/>
        </w:rPr>
        <w:t>N Engl J Med</w:t>
      </w:r>
      <w:r w:rsidRPr="004D2D9E">
        <w:rPr>
          <w:rFonts w:ascii="Book Antiqua" w:hAnsi="Book Antiqua"/>
        </w:rPr>
        <w:t xml:space="preserve"> 2020; </w:t>
      </w:r>
      <w:r w:rsidRPr="004D2D9E">
        <w:rPr>
          <w:rFonts w:ascii="Book Antiqua" w:hAnsi="Book Antiqua"/>
          <w:b/>
          <w:bCs/>
        </w:rPr>
        <w:t>382</w:t>
      </w:r>
      <w:r w:rsidRPr="004D2D9E">
        <w:rPr>
          <w:rFonts w:ascii="Book Antiqua" w:hAnsi="Book Antiqua"/>
        </w:rPr>
        <w:t>: 1708-1720 [PMID: 32109013 DOI: 10.1056/NEJMoa2002032]</w:t>
      </w:r>
    </w:p>
    <w:p w14:paraId="076E36FB" w14:textId="3CFD8091" w:rsidR="004D2D9E" w:rsidRPr="004D2D9E" w:rsidRDefault="004D2D9E" w:rsidP="004D2D9E">
      <w:pPr>
        <w:spacing w:line="360" w:lineRule="auto"/>
        <w:jc w:val="both"/>
        <w:rPr>
          <w:rFonts w:ascii="Book Antiqua" w:hAnsi="Book Antiqua"/>
        </w:rPr>
      </w:pPr>
      <w:r w:rsidRPr="004D2D9E">
        <w:rPr>
          <w:rFonts w:ascii="Book Antiqua" w:hAnsi="Book Antiqua"/>
        </w:rPr>
        <w:t xml:space="preserve">22 </w:t>
      </w:r>
      <w:r w:rsidRPr="004D2D9E">
        <w:rPr>
          <w:rFonts w:ascii="Book Antiqua" w:hAnsi="Book Antiqua"/>
          <w:b/>
          <w:bCs/>
        </w:rPr>
        <w:t>Agarwal K,</w:t>
      </w:r>
      <w:r w:rsidRPr="004D2D9E">
        <w:rPr>
          <w:rFonts w:ascii="Book Antiqua" w:hAnsi="Book Antiqua"/>
        </w:rPr>
        <w:t xml:space="preserve"> Castells L, Müllhaupt B, Rosenberg WMC, McNabb B, Arterburn S, Camus G, McNally J, Stamm LM, Brainard DM, Mani Subramanian G, Mariño Z, Dufour JF FX. Sofosbuvir / velpatasvir for 12 wk in genotype 1 – 4 HCV-infected liver transplant recipients.</w:t>
      </w:r>
      <w:r w:rsidRPr="008201BD">
        <w:rPr>
          <w:rFonts w:ascii="Book Antiqua" w:hAnsi="Book Antiqua"/>
          <w:i/>
          <w:iCs/>
        </w:rPr>
        <w:t xml:space="preserve"> J Hepatol</w:t>
      </w:r>
      <w:r w:rsidRPr="004D2D9E">
        <w:rPr>
          <w:rFonts w:ascii="Book Antiqua" w:hAnsi="Book Antiqua"/>
        </w:rPr>
        <w:t xml:space="preserve"> 2018;</w:t>
      </w:r>
      <w:r w:rsidR="008201BD">
        <w:rPr>
          <w:rFonts w:ascii="Book Antiqua" w:hAnsi="Book Antiqua"/>
        </w:rPr>
        <w:t xml:space="preserve"> </w:t>
      </w:r>
      <w:r w:rsidRPr="008201BD">
        <w:rPr>
          <w:rFonts w:ascii="Book Antiqua" w:hAnsi="Book Antiqua"/>
          <w:b/>
          <w:bCs/>
        </w:rPr>
        <w:t>69:</w:t>
      </w:r>
      <w:r w:rsidR="008201BD" w:rsidRPr="008201BD">
        <w:rPr>
          <w:rFonts w:ascii="Book Antiqua" w:hAnsi="Book Antiqua"/>
          <w:b/>
          <w:bCs/>
        </w:rPr>
        <w:t xml:space="preserve"> </w:t>
      </w:r>
      <w:r w:rsidRPr="004D2D9E">
        <w:rPr>
          <w:rFonts w:ascii="Book Antiqua" w:hAnsi="Book Antiqua"/>
        </w:rPr>
        <w:t>603</w:t>
      </w:r>
      <w:r w:rsidR="00377ED6">
        <w:rPr>
          <w:rFonts w:ascii="Book Antiqua" w:hAnsi="Book Antiqua"/>
        </w:rPr>
        <w:t>-</w:t>
      </w:r>
      <w:r w:rsidRPr="004D2D9E">
        <w:rPr>
          <w:rFonts w:ascii="Book Antiqua" w:hAnsi="Book Antiqua"/>
        </w:rPr>
        <w:t>607 [DOI: 10.1016/j.jhep.2018.05.039]</w:t>
      </w:r>
    </w:p>
    <w:p w14:paraId="2A3FDF27"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23 </w:t>
      </w:r>
      <w:r w:rsidRPr="004D2D9E">
        <w:rPr>
          <w:rFonts w:ascii="Book Antiqua" w:hAnsi="Book Antiqua"/>
          <w:b/>
          <w:bCs/>
        </w:rPr>
        <w:t>Asselah T</w:t>
      </w:r>
      <w:r w:rsidRPr="004D2D9E">
        <w:rPr>
          <w:rFonts w:ascii="Book Antiqua" w:hAnsi="Book Antiqua"/>
        </w:rPr>
        <w:t xml:space="preserve">, Shafran SD, Bourgeois S, Lai CL, Mathurin P, Willems B, Nguyen MH, Davis MN, Huang KC, Svarovskaia E, Osinusi A, McNally J, Brainard DM, Shaikh OS, Tran TT. Deferred treatment with a fixed-dose combination of sofosbuvir-velpatasvir for chronic hepatitis C virus genotype 1, 2, 4 and 6 infection. </w:t>
      </w:r>
      <w:r w:rsidRPr="004D2D9E">
        <w:rPr>
          <w:rFonts w:ascii="Book Antiqua" w:hAnsi="Book Antiqua"/>
          <w:i/>
          <w:iCs/>
        </w:rPr>
        <w:t>J Viral Hepat</w:t>
      </w:r>
      <w:r w:rsidRPr="004D2D9E">
        <w:rPr>
          <w:rFonts w:ascii="Book Antiqua" w:hAnsi="Book Antiqua"/>
        </w:rPr>
        <w:t xml:space="preserve"> 2019; </w:t>
      </w:r>
      <w:r w:rsidRPr="004D2D9E">
        <w:rPr>
          <w:rFonts w:ascii="Book Antiqua" w:hAnsi="Book Antiqua"/>
          <w:b/>
          <w:bCs/>
        </w:rPr>
        <w:t>26</w:t>
      </w:r>
      <w:r w:rsidRPr="004D2D9E">
        <w:rPr>
          <w:rFonts w:ascii="Book Antiqua" w:hAnsi="Book Antiqua"/>
        </w:rPr>
        <w:t>: 1229-1232 [PMID: 31216086 DOI: 10.1111/jvh.13159]</w:t>
      </w:r>
    </w:p>
    <w:p w14:paraId="6F6095D6"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24 </w:t>
      </w:r>
      <w:r w:rsidRPr="004D2D9E">
        <w:rPr>
          <w:rFonts w:ascii="Book Antiqua" w:hAnsi="Book Antiqua"/>
          <w:b/>
          <w:bCs/>
        </w:rPr>
        <w:t>Sood A</w:t>
      </w:r>
      <w:r w:rsidRPr="004D2D9E">
        <w:rPr>
          <w:rFonts w:ascii="Book Antiqua" w:hAnsi="Book Antiqua"/>
        </w:rPr>
        <w:t xml:space="preserve">, Duseja A, Kabrawala M, Amrose P, Goswami B, Chowdhury A, Sarin SK, Koshy A, Hyland RH, Lu S, Camus G, Stamm LM, Brainard DM, Subramanian GM, Prasad M, Bhatia S, Shah SR, Kapoor D, Shalimar, Saraswat V. Sofosbuvir-velpatasvir single-tablet regimen administered for 12 weeks in a phase 3 study with minimal monitoring in India. </w:t>
      </w:r>
      <w:r w:rsidRPr="004D2D9E">
        <w:rPr>
          <w:rFonts w:ascii="Book Antiqua" w:hAnsi="Book Antiqua"/>
          <w:i/>
          <w:iCs/>
        </w:rPr>
        <w:t>Hepatol Int</w:t>
      </w:r>
      <w:r w:rsidRPr="004D2D9E">
        <w:rPr>
          <w:rFonts w:ascii="Book Antiqua" w:hAnsi="Book Antiqua"/>
        </w:rPr>
        <w:t xml:space="preserve"> 2019; </w:t>
      </w:r>
      <w:r w:rsidRPr="004D2D9E">
        <w:rPr>
          <w:rFonts w:ascii="Book Antiqua" w:hAnsi="Book Antiqua"/>
          <w:b/>
          <w:bCs/>
        </w:rPr>
        <w:t>13</w:t>
      </w:r>
      <w:r w:rsidRPr="004D2D9E">
        <w:rPr>
          <w:rFonts w:ascii="Book Antiqua" w:hAnsi="Book Antiqua"/>
        </w:rPr>
        <w:t>: 173-179 [PMID: 30790229 DOI: 10.1007/s12072-019-09927-6]</w:t>
      </w:r>
    </w:p>
    <w:p w14:paraId="67611532"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25 </w:t>
      </w:r>
      <w:r w:rsidRPr="004D2D9E">
        <w:rPr>
          <w:rFonts w:ascii="Book Antiqua" w:hAnsi="Book Antiqua"/>
          <w:b/>
          <w:bCs/>
        </w:rPr>
        <w:t>Wei L</w:t>
      </w:r>
      <w:r w:rsidRPr="004D2D9E">
        <w:rPr>
          <w:rFonts w:ascii="Book Antiqua" w:hAnsi="Book Antiqua"/>
        </w:rPr>
        <w:t xml:space="preserve">, Lim SG, Xie Q, Văn KN, Piratvisuth T, Huang Y, Wu S, Xu M, Tang H, Cheng J, Le Manh H, Gao Y, Mou Z, Sobhonslidsuk A, Dou X, Thongsawat S, Nan Y, Tan CK, Ning Q, Tee HP, Mao Y, Stamm LM, Lu S, Dvory-Sobol H, Mo H, Brainard DM, Yang YF, Dao L, Wang GQ, Tanwandee T, Hu P, Tangkijvanich P, Zhang L, Gao ZL, Lin F, Le TTP, Shang J, Gong G, Li J, Su M, Duan Z, Mohamed R, Hou JL, Jia J. Sofosbuvir-velpatasvir for treatment of chronic hepatitis C virus infection in Asia: a single-arm, open-label, phase 3 trial. </w:t>
      </w:r>
      <w:r w:rsidRPr="004D2D9E">
        <w:rPr>
          <w:rFonts w:ascii="Book Antiqua" w:hAnsi="Book Antiqua"/>
          <w:i/>
          <w:iCs/>
        </w:rPr>
        <w:t>Lancet Gastroenterol Hepatol</w:t>
      </w:r>
      <w:r w:rsidRPr="004D2D9E">
        <w:rPr>
          <w:rFonts w:ascii="Book Antiqua" w:hAnsi="Book Antiqua"/>
        </w:rPr>
        <w:t xml:space="preserve"> 2019; </w:t>
      </w:r>
      <w:r w:rsidRPr="004D2D9E">
        <w:rPr>
          <w:rFonts w:ascii="Book Antiqua" w:hAnsi="Book Antiqua"/>
          <w:b/>
          <w:bCs/>
        </w:rPr>
        <w:t>4</w:t>
      </w:r>
      <w:r w:rsidRPr="004D2D9E">
        <w:rPr>
          <w:rFonts w:ascii="Book Antiqua" w:hAnsi="Book Antiqua"/>
        </w:rPr>
        <w:t>: 127-134 [PMID: 30555048 DOI: 10.1016/S2468-1253(18)30343-1]</w:t>
      </w:r>
    </w:p>
    <w:p w14:paraId="12771315" w14:textId="77777777" w:rsidR="004D2D9E" w:rsidRPr="004D2D9E" w:rsidRDefault="004D2D9E" w:rsidP="004D2D9E">
      <w:pPr>
        <w:spacing w:line="360" w:lineRule="auto"/>
        <w:jc w:val="both"/>
        <w:rPr>
          <w:rFonts w:ascii="Book Antiqua" w:hAnsi="Book Antiqua"/>
        </w:rPr>
      </w:pPr>
      <w:r w:rsidRPr="004D2D9E">
        <w:rPr>
          <w:rFonts w:ascii="Book Antiqua" w:hAnsi="Book Antiqua"/>
        </w:rPr>
        <w:lastRenderedPageBreak/>
        <w:t xml:space="preserve">26 </w:t>
      </w:r>
      <w:r w:rsidRPr="004D2D9E">
        <w:rPr>
          <w:rFonts w:ascii="Book Antiqua" w:hAnsi="Book Antiqua"/>
          <w:b/>
          <w:bCs/>
        </w:rPr>
        <w:t>Takehara T</w:t>
      </w:r>
      <w:r w:rsidRPr="004D2D9E">
        <w:rPr>
          <w:rFonts w:ascii="Book Antiqua" w:hAnsi="Book Antiqua"/>
        </w:rPr>
        <w:t xml:space="preserve">, Sakamoto N, Nishiguchi S, Ikeda F, Tatsumi T, Ueno Y, Yatsuhashi H, Takikawa Y, Kanda T, Sakamoto M, Tamori A, Mita E, Chayama K, Zhang G, De-Oertel S, Dvory-Sobol H, Matsuda T, Stamm LM, Brainard DM, Tanaka Y, Kurosaki M. Efficacy and safety of sofosbuvir-velpatasvir with or without ribavirin in HCV-infected Japanese patients with decompensated cirrhosis: an open-label phase 3 trial. </w:t>
      </w:r>
      <w:r w:rsidRPr="004D2D9E">
        <w:rPr>
          <w:rFonts w:ascii="Book Antiqua" w:hAnsi="Book Antiqua"/>
          <w:i/>
          <w:iCs/>
        </w:rPr>
        <w:t>J Gastroenterol</w:t>
      </w:r>
      <w:r w:rsidRPr="004D2D9E">
        <w:rPr>
          <w:rFonts w:ascii="Book Antiqua" w:hAnsi="Book Antiqua"/>
        </w:rPr>
        <w:t xml:space="preserve"> 2019; </w:t>
      </w:r>
      <w:r w:rsidRPr="004D2D9E">
        <w:rPr>
          <w:rFonts w:ascii="Book Antiqua" w:hAnsi="Book Antiqua"/>
          <w:b/>
          <w:bCs/>
        </w:rPr>
        <w:t>54</w:t>
      </w:r>
      <w:r w:rsidRPr="004D2D9E">
        <w:rPr>
          <w:rFonts w:ascii="Book Antiqua" w:hAnsi="Book Antiqua"/>
        </w:rPr>
        <w:t>: 87-95 [PMID: 30203225 DOI: 10.1007/s00535-018-1503-x]</w:t>
      </w:r>
    </w:p>
    <w:p w14:paraId="7D23C007"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27 </w:t>
      </w:r>
      <w:r w:rsidRPr="004D2D9E">
        <w:rPr>
          <w:rFonts w:ascii="Book Antiqua" w:hAnsi="Book Antiqua"/>
          <w:b/>
          <w:bCs/>
        </w:rPr>
        <w:t>Esteban R</w:t>
      </w:r>
      <w:r w:rsidRPr="004D2D9E">
        <w:rPr>
          <w:rFonts w:ascii="Book Antiqua" w:hAnsi="Book Antiqua"/>
        </w:rPr>
        <w:t xml:space="preserve">, Pineda JA, Calleja JL, Casado M, Rodríguez M, Turnes J, Morano Amado LE, Morillas RM, Forns X, Pascasio Acevedo JM, Andrade RJ, Rivero A, Carrión JA, Lens S, Riveiro-Barciela M, McNabb B, Zhang G, Camus G, Stamm LM, Brainard DM, Subramanian GM, Buti M. Efficacy of Sofosbuvir and Velpatasvir, With and Without Ribavirin, in Patients With Hepatitis C Virus Genotype 3 Infection and Cirrhosis. </w:t>
      </w:r>
      <w:r w:rsidRPr="004D2D9E">
        <w:rPr>
          <w:rFonts w:ascii="Book Antiqua" w:hAnsi="Book Antiqua"/>
          <w:i/>
          <w:iCs/>
        </w:rPr>
        <w:t>Gastroenterology</w:t>
      </w:r>
      <w:r w:rsidRPr="004D2D9E">
        <w:rPr>
          <w:rFonts w:ascii="Book Antiqua" w:hAnsi="Book Antiqua"/>
        </w:rPr>
        <w:t xml:space="preserve"> 2018; </w:t>
      </w:r>
      <w:r w:rsidRPr="004D2D9E">
        <w:rPr>
          <w:rFonts w:ascii="Book Antiqua" w:hAnsi="Book Antiqua"/>
          <w:b/>
          <w:bCs/>
        </w:rPr>
        <w:t>155</w:t>
      </w:r>
      <w:r w:rsidRPr="004D2D9E">
        <w:rPr>
          <w:rFonts w:ascii="Book Antiqua" w:hAnsi="Book Antiqua"/>
        </w:rPr>
        <w:t>: 1120-1127.e4 [PMID: 29958855 DOI: 10.1053/j.gastro.2018.06.042]</w:t>
      </w:r>
    </w:p>
    <w:p w14:paraId="5F8ABD9C"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28 </w:t>
      </w:r>
      <w:r w:rsidRPr="004D2D9E">
        <w:rPr>
          <w:rFonts w:ascii="Book Antiqua" w:hAnsi="Book Antiqua"/>
          <w:b/>
          <w:bCs/>
        </w:rPr>
        <w:t>Hezode C</w:t>
      </w:r>
      <w:r w:rsidRPr="004D2D9E">
        <w:rPr>
          <w:rFonts w:ascii="Book Antiqua" w:hAnsi="Book Antiqua"/>
        </w:rPr>
        <w:t xml:space="preserve">, Reau N, Svarovskaia ES, Doehle BP, Shanmugam R, Dvory-Sobol H, Hedskog C, McNally J, Osinusi A, Brainard DM, Miller MD, Mo H, Roberts SK, O'Leary JG, Shafran SD, Zeuzem S. Resistance analysis in patients with genotype 1-6 HCV infection treated with sofosbuvir/velpatasvir in the phase III studies. </w:t>
      </w:r>
      <w:r w:rsidRPr="004D2D9E">
        <w:rPr>
          <w:rFonts w:ascii="Book Antiqua" w:hAnsi="Book Antiqua"/>
          <w:i/>
          <w:iCs/>
        </w:rPr>
        <w:t>J Hepatol</w:t>
      </w:r>
      <w:r w:rsidRPr="004D2D9E">
        <w:rPr>
          <w:rFonts w:ascii="Book Antiqua" w:hAnsi="Book Antiqua"/>
        </w:rPr>
        <w:t xml:space="preserve"> 2018; </w:t>
      </w:r>
      <w:r w:rsidRPr="004D2D9E">
        <w:rPr>
          <w:rFonts w:ascii="Book Antiqua" w:hAnsi="Book Antiqua"/>
          <w:b/>
          <w:bCs/>
        </w:rPr>
        <w:t>68</w:t>
      </w:r>
      <w:r w:rsidRPr="004D2D9E">
        <w:rPr>
          <w:rFonts w:ascii="Book Antiqua" w:hAnsi="Book Antiqua"/>
        </w:rPr>
        <w:t>: 895-903 [PMID: 29221887 DOI: 10.1016/j.jhep.2017.11.032]</w:t>
      </w:r>
    </w:p>
    <w:p w14:paraId="6898E741"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29 </w:t>
      </w:r>
      <w:r w:rsidRPr="004D2D9E">
        <w:rPr>
          <w:rFonts w:ascii="Book Antiqua" w:hAnsi="Book Antiqua"/>
          <w:b/>
          <w:bCs/>
        </w:rPr>
        <w:t>Grebely J</w:t>
      </w:r>
      <w:r w:rsidRPr="004D2D9E">
        <w:rPr>
          <w:rFonts w:ascii="Book Antiqua" w:hAnsi="Book Antiqua"/>
        </w:rPr>
        <w:t xml:space="preserve">, Dore GJ, Zeuzem S, Aspinall RJ, Fox R, Han L, McNally J, Osinusi A, Brainard DM, Subramanian GM, Natha M, Foster GR, Mangia A, Sulkowski M, Feld JJ. Efficacy and Safety of Sofosbuvir/Velpatasvir in Patients With Chronic Hepatitis C Virus Infection Receiving Opioid Substitution Therapy: Analysis of Phase 3 ASTRAL Trials. </w:t>
      </w:r>
      <w:r w:rsidRPr="004D2D9E">
        <w:rPr>
          <w:rFonts w:ascii="Book Antiqua" w:hAnsi="Book Antiqua"/>
          <w:i/>
          <w:iCs/>
        </w:rPr>
        <w:t>Clin Infect Dis</w:t>
      </w:r>
      <w:r w:rsidRPr="004D2D9E">
        <w:rPr>
          <w:rFonts w:ascii="Book Antiqua" w:hAnsi="Book Antiqua"/>
        </w:rPr>
        <w:t xml:space="preserve"> 2016; </w:t>
      </w:r>
      <w:r w:rsidRPr="004D2D9E">
        <w:rPr>
          <w:rFonts w:ascii="Book Antiqua" w:hAnsi="Book Antiqua"/>
          <w:b/>
          <w:bCs/>
        </w:rPr>
        <w:t>63</w:t>
      </w:r>
      <w:r w:rsidRPr="004D2D9E">
        <w:rPr>
          <w:rFonts w:ascii="Book Antiqua" w:hAnsi="Book Antiqua"/>
        </w:rPr>
        <w:t>: 1479-1481 [PMID: 27553377 DOI: 10.1093/cid/ciw579]</w:t>
      </w:r>
    </w:p>
    <w:p w14:paraId="4CECA3CC"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30 </w:t>
      </w:r>
      <w:r w:rsidRPr="004D2D9E">
        <w:rPr>
          <w:rFonts w:ascii="Book Antiqua" w:hAnsi="Book Antiqua"/>
          <w:b/>
          <w:bCs/>
        </w:rPr>
        <w:t>Mangia A</w:t>
      </w:r>
      <w:r w:rsidRPr="004D2D9E">
        <w:rPr>
          <w:rFonts w:ascii="Book Antiqua" w:hAnsi="Book Antiqua"/>
        </w:rPr>
        <w:t xml:space="preserve">, Milligan S, Khalili M, Fagiuoli S, Shafran SD, Carrat F, Ouzan D, Papatheodoridis G, Ramji A, Borgia SM, Wedemeyer H, Losappio R, Pérez-Hernandez F, Wick N, Brown RS Jr, Lampertico P, Doucette K, Ntalla I, Ramroth H, Mertens M, Vanstraelen K, Turnes J. Global real-world evidence of sofosbuvir/velpatasvir as simple, effective HCV treatment: Analysis of 5552 patients from 12 cohorts. </w:t>
      </w:r>
      <w:r w:rsidRPr="004D2D9E">
        <w:rPr>
          <w:rFonts w:ascii="Book Antiqua" w:hAnsi="Book Antiqua"/>
          <w:i/>
          <w:iCs/>
        </w:rPr>
        <w:t>Liver Int</w:t>
      </w:r>
      <w:r w:rsidRPr="004D2D9E">
        <w:rPr>
          <w:rFonts w:ascii="Book Antiqua" w:hAnsi="Book Antiqua"/>
        </w:rPr>
        <w:t xml:space="preserve"> 2020; </w:t>
      </w:r>
      <w:r w:rsidRPr="004D2D9E">
        <w:rPr>
          <w:rFonts w:ascii="Book Antiqua" w:hAnsi="Book Antiqua"/>
          <w:b/>
          <w:bCs/>
        </w:rPr>
        <w:t>40</w:t>
      </w:r>
      <w:r w:rsidRPr="004D2D9E">
        <w:rPr>
          <w:rFonts w:ascii="Book Antiqua" w:hAnsi="Book Antiqua"/>
        </w:rPr>
        <w:t>: 1841-1852 [PMID: 32449966 DOI: 10.1111/liv.14537]</w:t>
      </w:r>
    </w:p>
    <w:p w14:paraId="2D549444" w14:textId="77777777" w:rsidR="004D2D9E" w:rsidRPr="004D2D9E" w:rsidRDefault="004D2D9E" w:rsidP="004D2D9E">
      <w:pPr>
        <w:spacing w:line="360" w:lineRule="auto"/>
        <w:jc w:val="both"/>
        <w:rPr>
          <w:rFonts w:ascii="Book Antiqua" w:hAnsi="Book Antiqua"/>
        </w:rPr>
      </w:pPr>
      <w:r w:rsidRPr="004D2D9E">
        <w:rPr>
          <w:rFonts w:ascii="Book Antiqua" w:hAnsi="Book Antiqua"/>
        </w:rPr>
        <w:lastRenderedPageBreak/>
        <w:t xml:space="preserve">31 </w:t>
      </w:r>
      <w:r w:rsidRPr="004D2D9E">
        <w:rPr>
          <w:rFonts w:ascii="Book Antiqua" w:hAnsi="Book Antiqua"/>
          <w:b/>
          <w:bCs/>
        </w:rPr>
        <w:t>Mangia A</w:t>
      </w:r>
      <w:r w:rsidRPr="004D2D9E">
        <w:rPr>
          <w:rFonts w:ascii="Book Antiqua" w:hAnsi="Book Antiqua"/>
        </w:rPr>
        <w:t xml:space="preserve">, Piazzolla V, Giannelli A, Visaggi E, Minerva N, Palmieri V, Carraturo I, Potenza D, Napoli N, Lauletta G, Tagarielli V, Santoro R, Piccigallo E, De Gioia S, Chimenti A, Cuccorese G, Metrangolo A, Mazzola M, Agostinacchio E, Mennea G, Sabbà C, Cela M, Copetti M, Losappio R. SVR12 rates higher than 99% after sofosbuvir/velpatasvir combination in HCV infected patients with F0-F1 fibrosis stage: A real world experience. </w:t>
      </w:r>
      <w:r w:rsidRPr="004D2D9E">
        <w:rPr>
          <w:rFonts w:ascii="Book Antiqua" w:hAnsi="Book Antiqua"/>
          <w:i/>
          <w:iCs/>
        </w:rPr>
        <w:t>PLoS One</w:t>
      </w:r>
      <w:r w:rsidRPr="004D2D9E">
        <w:rPr>
          <w:rFonts w:ascii="Book Antiqua" w:hAnsi="Book Antiqua"/>
        </w:rPr>
        <w:t xml:space="preserve"> 2019; </w:t>
      </w:r>
      <w:r w:rsidRPr="004D2D9E">
        <w:rPr>
          <w:rFonts w:ascii="Book Antiqua" w:hAnsi="Book Antiqua"/>
          <w:b/>
          <w:bCs/>
        </w:rPr>
        <w:t>14</w:t>
      </w:r>
      <w:r w:rsidRPr="004D2D9E">
        <w:rPr>
          <w:rFonts w:ascii="Book Antiqua" w:hAnsi="Book Antiqua"/>
        </w:rPr>
        <w:t>: e0215783 [PMID: 31091254 DOI: 10.1371/journal.pone.0215783]</w:t>
      </w:r>
    </w:p>
    <w:p w14:paraId="20C8AF4D"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32 </w:t>
      </w:r>
      <w:r w:rsidRPr="004D2D9E">
        <w:rPr>
          <w:rFonts w:ascii="Book Antiqua" w:hAnsi="Book Antiqua"/>
          <w:b/>
          <w:bCs/>
        </w:rPr>
        <w:t>von Felden J</w:t>
      </w:r>
      <w:r w:rsidRPr="004D2D9E">
        <w:rPr>
          <w:rFonts w:ascii="Book Antiqua" w:hAnsi="Book Antiqua"/>
        </w:rPr>
        <w:t xml:space="preserve">, Vermehren J, Ingiliz P, Mauss S, Lutz T, Simon KG, Busch HW, Baumgarten A, Schewe K, Hueppe D, Boesecke C, Rockstroh JK, Daeumer M, Luebke N, Timm J, Schulze Zur Wiesch J, Sarrazin C, Christensen S. High efficacy of sofosbuvir/velpatasvir and impact of baseline resistance-associated substitutions in hepatitis C genotype 3 infection. </w:t>
      </w:r>
      <w:r w:rsidRPr="004D2D9E">
        <w:rPr>
          <w:rFonts w:ascii="Book Antiqua" w:hAnsi="Book Antiqua"/>
          <w:i/>
          <w:iCs/>
        </w:rPr>
        <w:t>Aliment Pharmacol Ther</w:t>
      </w:r>
      <w:r w:rsidRPr="004D2D9E">
        <w:rPr>
          <w:rFonts w:ascii="Book Antiqua" w:hAnsi="Book Antiqua"/>
        </w:rPr>
        <w:t xml:space="preserve"> 2018; </w:t>
      </w:r>
      <w:r w:rsidRPr="004D2D9E">
        <w:rPr>
          <w:rFonts w:ascii="Book Antiqua" w:hAnsi="Book Antiqua"/>
          <w:b/>
          <w:bCs/>
        </w:rPr>
        <w:t>47</w:t>
      </w:r>
      <w:r w:rsidRPr="004D2D9E">
        <w:rPr>
          <w:rFonts w:ascii="Book Antiqua" w:hAnsi="Book Antiqua"/>
        </w:rPr>
        <w:t>: 1288-1295 [PMID: 29536554 DOI: 10.1111/apt.14592]</w:t>
      </w:r>
    </w:p>
    <w:p w14:paraId="4DF9D219"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33 </w:t>
      </w:r>
      <w:r w:rsidRPr="004D2D9E">
        <w:rPr>
          <w:rFonts w:ascii="Book Antiqua" w:hAnsi="Book Antiqua"/>
          <w:b/>
          <w:bCs/>
        </w:rPr>
        <w:t>Mangia A</w:t>
      </w:r>
      <w:r w:rsidRPr="004D2D9E">
        <w:rPr>
          <w:rFonts w:ascii="Book Antiqua" w:hAnsi="Book Antiqua"/>
        </w:rPr>
        <w:t xml:space="preserve">, Cenderello G, Copetti M, Verucchi G, Piazzolla V, Lorusso C, Santoro R, Squillante MM, Orlandini A, Minisini R, Ciancio A. SVR12 Higher than 97% in GT3 Cirrhotic Patients with Evidence of Portal Hypertension Treated with SOF/VEL without Ribavirin: A Nation-Wide Cohort Study. </w:t>
      </w:r>
      <w:r w:rsidRPr="004D2D9E">
        <w:rPr>
          <w:rFonts w:ascii="Book Antiqua" w:hAnsi="Book Antiqua"/>
          <w:i/>
          <w:iCs/>
        </w:rPr>
        <w:t>Cells</w:t>
      </w:r>
      <w:r w:rsidRPr="004D2D9E">
        <w:rPr>
          <w:rFonts w:ascii="Book Antiqua" w:hAnsi="Book Antiqua"/>
        </w:rPr>
        <w:t xml:space="preserve"> 2019; </w:t>
      </w:r>
      <w:r w:rsidRPr="004D2D9E">
        <w:rPr>
          <w:rFonts w:ascii="Book Antiqua" w:hAnsi="Book Antiqua"/>
          <w:b/>
          <w:bCs/>
        </w:rPr>
        <w:t>8</w:t>
      </w:r>
      <w:r w:rsidRPr="004D2D9E">
        <w:rPr>
          <w:rFonts w:ascii="Book Antiqua" w:hAnsi="Book Antiqua"/>
        </w:rPr>
        <w:t xml:space="preserve"> [PMID: 30987413 DOI: 10.3390/cells8040313]</w:t>
      </w:r>
    </w:p>
    <w:p w14:paraId="03FDDA9C"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34 </w:t>
      </w:r>
      <w:r w:rsidRPr="004D2D9E">
        <w:rPr>
          <w:rFonts w:ascii="Book Antiqua" w:hAnsi="Book Antiqua"/>
          <w:b/>
          <w:bCs/>
        </w:rPr>
        <w:t>Borgia SM</w:t>
      </w:r>
      <w:r w:rsidRPr="004D2D9E">
        <w:rPr>
          <w:rFonts w:ascii="Book Antiqua" w:hAnsi="Book Antiqua"/>
        </w:rPr>
        <w:t>, Dearden J, Yoshida EM, Shafran SD, Brown A, Ben-Ari Z, Cramp ME, Cooper C, Foxton M, Rodriguez CF, Esteban R, Hyland R, Lu S, Kirby BJ, Meng A, Markova S, Dvory-Sobol H, Osinusi AO, Bruck R, Ampuero J, Ryder SD, Agarwal K, Fox R, Shaw D, Haider S, Willems B, Lurie Y, Calleja JL, Gane EJ. Sofosbuvir/velpatasvir for 12</w:t>
      </w:r>
      <w:r w:rsidRPr="004D2D9E">
        <w:t> </w:t>
      </w:r>
      <w:r w:rsidRPr="004D2D9E">
        <w:rPr>
          <w:rFonts w:ascii="Book Antiqua" w:hAnsi="Book Antiqua"/>
        </w:rPr>
        <w:t xml:space="preserve">weeks in hepatitis C virus-infected patients with end-stage renal disease undergoing dialysis. </w:t>
      </w:r>
      <w:r w:rsidRPr="004D2D9E">
        <w:rPr>
          <w:rFonts w:ascii="Book Antiqua" w:hAnsi="Book Antiqua"/>
          <w:i/>
          <w:iCs/>
        </w:rPr>
        <w:t>J Hepatol</w:t>
      </w:r>
      <w:r w:rsidRPr="004D2D9E">
        <w:rPr>
          <w:rFonts w:ascii="Book Antiqua" w:hAnsi="Book Antiqua"/>
        </w:rPr>
        <w:t xml:space="preserve"> 2019; </w:t>
      </w:r>
      <w:r w:rsidRPr="004D2D9E">
        <w:rPr>
          <w:rFonts w:ascii="Book Antiqua" w:hAnsi="Book Antiqua"/>
          <w:b/>
          <w:bCs/>
        </w:rPr>
        <w:t>71</w:t>
      </w:r>
      <w:r w:rsidRPr="004D2D9E">
        <w:rPr>
          <w:rFonts w:ascii="Book Antiqua" w:hAnsi="Book Antiqua"/>
        </w:rPr>
        <w:t>: 660-665 [PMID: 31195062 DOI: 10.1016/j.jhep.2019.05.028]</w:t>
      </w:r>
    </w:p>
    <w:p w14:paraId="3CB837C3"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35 </w:t>
      </w:r>
      <w:r w:rsidRPr="004D2D9E">
        <w:rPr>
          <w:rFonts w:ascii="Book Antiqua" w:hAnsi="Book Antiqua"/>
          <w:b/>
          <w:bCs/>
        </w:rPr>
        <w:t>Wei L</w:t>
      </w:r>
      <w:r w:rsidRPr="004D2D9E">
        <w:rPr>
          <w:rFonts w:ascii="Book Antiqua" w:hAnsi="Book Antiqua"/>
        </w:rPr>
        <w:t xml:space="preserve">, Wang G, Alami NN, Xie W, Heo J, Xie Q, Zhang M, Kim YJ, Lim SG, Fredrick LM, Lu W, Liu W, Kalluri HV, Krishnan P, Tripathi R, Mobashery N, Burroughs M, Asatryan A, Jia J, Hou J. Glecaprevir-pibrentasvir to treat chronic hepatitis C virus infection in Asia: two multicentre, phase 3 studies- a randomised, double-blind study (VOYAGE-1) and an open-label, single-arm study (VOYAGE-2). </w:t>
      </w:r>
      <w:r w:rsidRPr="004D2D9E">
        <w:rPr>
          <w:rFonts w:ascii="Book Antiqua" w:hAnsi="Book Antiqua"/>
          <w:i/>
          <w:iCs/>
        </w:rPr>
        <w:t>Lancet Gastroenterol Hepatol</w:t>
      </w:r>
      <w:r w:rsidRPr="004D2D9E">
        <w:rPr>
          <w:rFonts w:ascii="Book Antiqua" w:hAnsi="Book Antiqua"/>
        </w:rPr>
        <w:t xml:space="preserve"> 2020; </w:t>
      </w:r>
      <w:r w:rsidRPr="004D2D9E">
        <w:rPr>
          <w:rFonts w:ascii="Book Antiqua" w:hAnsi="Book Antiqua"/>
          <w:b/>
          <w:bCs/>
        </w:rPr>
        <w:t>5</w:t>
      </w:r>
      <w:r w:rsidRPr="004D2D9E">
        <w:rPr>
          <w:rFonts w:ascii="Book Antiqua" w:hAnsi="Book Antiqua"/>
        </w:rPr>
        <w:t>: 839-849 [PMID: 32682494 DOI: 10.1016/S2468-1253(20)30086-8]</w:t>
      </w:r>
    </w:p>
    <w:p w14:paraId="02400A50" w14:textId="77777777" w:rsidR="004D2D9E" w:rsidRPr="004D2D9E" w:rsidRDefault="004D2D9E" w:rsidP="004D2D9E">
      <w:pPr>
        <w:spacing w:line="360" w:lineRule="auto"/>
        <w:jc w:val="both"/>
        <w:rPr>
          <w:rFonts w:ascii="Book Antiqua" w:hAnsi="Book Antiqua"/>
        </w:rPr>
      </w:pPr>
      <w:r w:rsidRPr="004D2D9E">
        <w:rPr>
          <w:rFonts w:ascii="Book Antiqua" w:hAnsi="Book Antiqua"/>
        </w:rPr>
        <w:lastRenderedPageBreak/>
        <w:t xml:space="preserve">36 </w:t>
      </w:r>
      <w:r w:rsidRPr="004D2D9E">
        <w:rPr>
          <w:rFonts w:ascii="Book Antiqua" w:hAnsi="Book Antiqua"/>
          <w:b/>
          <w:bCs/>
        </w:rPr>
        <w:t>Toyoda H</w:t>
      </w:r>
      <w:r w:rsidRPr="004D2D9E">
        <w:rPr>
          <w:rFonts w:ascii="Book Antiqua" w:hAnsi="Book Antiqua"/>
        </w:rPr>
        <w:t xml:space="preserve">, Atsukawa M, Watanabe T, Nakamuta M, Uojima H, Nozaki A, Takaguchi K, Fujioka S, Iio E, Shima T, Akahane T, Fukunishi S, Asano T, Michitaka K, Tsuji K, Abe H, Mikami S, Okubo H, Okubo T, Shimada N, Ishikawa T, Moriya A, Tani J, Morishita A, Ogawa C, Tachi Y, Ikeda H, Yamashita N, Yasuda S, Chuma M, Tsutsui A, Hiraoka A, Ikegami T, Genda T, Tsubota A, Masaki T, Tanaka Y, Iwakiri K, Kumada T. Real-world experience of 12-week direct-acting antiviral regimen of glecaprevir and pibrentasvir in patients with chronic hepatitis C virus infection. </w:t>
      </w:r>
      <w:r w:rsidRPr="004D2D9E">
        <w:rPr>
          <w:rFonts w:ascii="Book Antiqua" w:hAnsi="Book Antiqua"/>
          <w:i/>
          <w:iCs/>
        </w:rPr>
        <w:t>J Gastroenterol Hepatol</w:t>
      </w:r>
      <w:r w:rsidRPr="004D2D9E">
        <w:rPr>
          <w:rFonts w:ascii="Book Antiqua" w:hAnsi="Book Antiqua"/>
        </w:rPr>
        <w:t xml:space="preserve"> 2020; </w:t>
      </w:r>
      <w:r w:rsidRPr="004D2D9E">
        <w:rPr>
          <w:rFonts w:ascii="Book Antiqua" w:hAnsi="Book Antiqua"/>
          <w:b/>
          <w:bCs/>
        </w:rPr>
        <w:t>35</w:t>
      </w:r>
      <w:r w:rsidRPr="004D2D9E">
        <w:rPr>
          <w:rFonts w:ascii="Book Antiqua" w:hAnsi="Book Antiqua"/>
        </w:rPr>
        <w:t>: 855-861 [PMID: 31609495 DOI: 10.1111/jgh.14874]</w:t>
      </w:r>
    </w:p>
    <w:p w14:paraId="6DD843B3"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37 </w:t>
      </w:r>
      <w:r w:rsidRPr="004D2D9E">
        <w:rPr>
          <w:rFonts w:ascii="Book Antiqua" w:hAnsi="Book Antiqua"/>
          <w:b/>
          <w:bCs/>
        </w:rPr>
        <w:t>Gane E</w:t>
      </w:r>
      <w:r w:rsidRPr="004D2D9E">
        <w:rPr>
          <w:rFonts w:ascii="Book Antiqua" w:hAnsi="Book Antiqua"/>
        </w:rPr>
        <w:t xml:space="preserve">, Poordad F, Zadeikis N, Valdes J, Lin CW, Liu W, Asatryan A, Wang S, Stedman C, Greenbloom S, Nguyen T, Elkhashab M, Wörns MA, Tran A, Mulkay JP, Setze C, Yu Y, Pilot-Matias T, Porcalla A, Mensa FJ. Safety and Pharmacokinetics of Glecaprevir/Pibrentasvir in Adults With Chronic Genotype 1-6 Hepatitis C Virus Infections and Compensated Liver Disease. </w:t>
      </w:r>
      <w:r w:rsidRPr="004D2D9E">
        <w:rPr>
          <w:rFonts w:ascii="Book Antiqua" w:hAnsi="Book Antiqua"/>
          <w:i/>
          <w:iCs/>
        </w:rPr>
        <w:t>Clin Infect Dis</w:t>
      </w:r>
      <w:r w:rsidRPr="004D2D9E">
        <w:rPr>
          <w:rFonts w:ascii="Book Antiqua" w:hAnsi="Book Antiqua"/>
        </w:rPr>
        <w:t xml:space="preserve"> 2019; </w:t>
      </w:r>
      <w:r w:rsidRPr="004D2D9E">
        <w:rPr>
          <w:rFonts w:ascii="Book Antiqua" w:hAnsi="Book Antiqua"/>
          <w:b/>
          <w:bCs/>
        </w:rPr>
        <w:t>69</w:t>
      </w:r>
      <w:r w:rsidRPr="004D2D9E">
        <w:rPr>
          <w:rFonts w:ascii="Book Antiqua" w:hAnsi="Book Antiqua"/>
        </w:rPr>
        <w:t>: 1657-1664 [PMID: 30923816 DOI: 10.1093/cid/ciz022]</w:t>
      </w:r>
    </w:p>
    <w:p w14:paraId="1CAA236A"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38 </w:t>
      </w:r>
      <w:r w:rsidRPr="004D2D9E">
        <w:rPr>
          <w:rFonts w:ascii="Book Antiqua" w:hAnsi="Book Antiqua"/>
          <w:b/>
          <w:bCs/>
        </w:rPr>
        <w:t>Foster GR</w:t>
      </w:r>
      <w:r w:rsidRPr="004D2D9E">
        <w:rPr>
          <w:rFonts w:ascii="Book Antiqua" w:hAnsi="Book Antiqua"/>
        </w:rPr>
        <w:t xml:space="preserve">, Asselah T, Kopecky-Bromberg S, Lei Y, Asatryan A, Trinh R, Zadeikis N, Mensa FJ. Safety and efficacy of glecaprevir/pibrentasvir for the treatment of chronic hepatitis C in patients aged 65 years or older. </w:t>
      </w:r>
      <w:r w:rsidRPr="004D2D9E">
        <w:rPr>
          <w:rFonts w:ascii="Book Antiqua" w:hAnsi="Book Antiqua"/>
          <w:i/>
          <w:iCs/>
        </w:rPr>
        <w:t>PLoS One</w:t>
      </w:r>
      <w:r w:rsidRPr="004D2D9E">
        <w:rPr>
          <w:rFonts w:ascii="Book Antiqua" w:hAnsi="Book Antiqua"/>
        </w:rPr>
        <w:t xml:space="preserve"> 2019; </w:t>
      </w:r>
      <w:r w:rsidRPr="004D2D9E">
        <w:rPr>
          <w:rFonts w:ascii="Book Antiqua" w:hAnsi="Book Antiqua"/>
          <w:b/>
          <w:bCs/>
        </w:rPr>
        <w:t>14</w:t>
      </w:r>
      <w:r w:rsidRPr="004D2D9E">
        <w:rPr>
          <w:rFonts w:ascii="Book Antiqua" w:hAnsi="Book Antiqua"/>
        </w:rPr>
        <w:t>: e0208506 [PMID: 30601818 DOI: 10.1371/journal.pone.0208506]</w:t>
      </w:r>
    </w:p>
    <w:p w14:paraId="461D6DF4"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39 </w:t>
      </w:r>
      <w:r w:rsidRPr="004D2D9E">
        <w:rPr>
          <w:rFonts w:ascii="Book Antiqua" w:hAnsi="Book Antiqua"/>
          <w:b/>
          <w:bCs/>
        </w:rPr>
        <w:t>Flamm S</w:t>
      </w:r>
      <w:r w:rsidRPr="004D2D9E">
        <w:rPr>
          <w:rFonts w:ascii="Book Antiqua" w:hAnsi="Book Antiqua"/>
        </w:rPr>
        <w:t xml:space="preserve">, Mutimer D, Asatryan A, Wang S, Rockstroh J, Horsmans Y, Kwo PY, Weiland O, Villa E, Heo J, Gane E, Ryder SD, Welzel TM, Ruane PJ, Agarwal K, Ng TI, Xue Z, Lovell SS, Krishnan P, Kopecky-Bromberg S, Trinh R, Mensa FJ, Wyles DL. Glecaprevir/Pibrentasvir in patients with chronic HCV genotype 3 infection: An integrated phase 2/3 analysis. </w:t>
      </w:r>
      <w:r w:rsidRPr="004D2D9E">
        <w:rPr>
          <w:rFonts w:ascii="Book Antiqua" w:hAnsi="Book Antiqua"/>
          <w:i/>
          <w:iCs/>
        </w:rPr>
        <w:t>J Viral Hepat</w:t>
      </w:r>
      <w:r w:rsidRPr="004D2D9E">
        <w:rPr>
          <w:rFonts w:ascii="Book Antiqua" w:hAnsi="Book Antiqua"/>
        </w:rPr>
        <w:t xml:space="preserve"> 2019; </w:t>
      </w:r>
      <w:r w:rsidRPr="004D2D9E">
        <w:rPr>
          <w:rFonts w:ascii="Book Antiqua" w:hAnsi="Book Antiqua"/>
          <w:b/>
          <w:bCs/>
        </w:rPr>
        <w:t>26</w:t>
      </w:r>
      <w:r w:rsidRPr="004D2D9E">
        <w:rPr>
          <w:rFonts w:ascii="Book Antiqua" w:hAnsi="Book Antiqua"/>
        </w:rPr>
        <w:t>: 337-349 [PMID: 30421537 DOI: 10.1111/jvh.13038]</w:t>
      </w:r>
    </w:p>
    <w:p w14:paraId="720FF850"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40 </w:t>
      </w:r>
      <w:r w:rsidRPr="004D2D9E">
        <w:rPr>
          <w:rFonts w:ascii="Book Antiqua" w:hAnsi="Book Antiqua"/>
          <w:b/>
          <w:bCs/>
        </w:rPr>
        <w:t>Asselah T</w:t>
      </w:r>
      <w:r w:rsidRPr="004D2D9E">
        <w:rPr>
          <w:rFonts w:ascii="Book Antiqua" w:hAnsi="Book Antiqua"/>
        </w:rPr>
        <w:t xml:space="preserve">, Lee SS, Yao BB, Nguyen T, Wong F, Mahomed A, Lim SG, Abergel A, Sasadeusz J, Gane E, Zadeikis N, Schnell G, Zhang Z, Porcalla A, Mensa FJ, Nguyen K. Efficacy and safety of glecaprevir/pibrentasvir in patients with chronic hepatitis C virus genotype 5 or 6 infection (ENDURANCE-5,6): an open-label, multicentre, phase 3b trial. </w:t>
      </w:r>
      <w:r w:rsidRPr="004D2D9E">
        <w:rPr>
          <w:rFonts w:ascii="Book Antiqua" w:hAnsi="Book Antiqua"/>
          <w:i/>
          <w:iCs/>
        </w:rPr>
        <w:t>Lancet Gastroenterol Hepatol</w:t>
      </w:r>
      <w:r w:rsidRPr="004D2D9E">
        <w:rPr>
          <w:rFonts w:ascii="Book Antiqua" w:hAnsi="Book Antiqua"/>
        </w:rPr>
        <w:t xml:space="preserve"> 2019; </w:t>
      </w:r>
      <w:r w:rsidRPr="004D2D9E">
        <w:rPr>
          <w:rFonts w:ascii="Book Antiqua" w:hAnsi="Book Antiqua"/>
          <w:b/>
          <w:bCs/>
        </w:rPr>
        <w:t>4</w:t>
      </w:r>
      <w:r w:rsidRPr="004D2D9E">
        <w:rPr>
          <w:rFonts w:ascii="Book Antiqua" w:hAnsi="Book Antiqua"/>
        </w:rPr>
        <w:t>: 45-51 [PMID: 30393106 DOI: 10.1016/S2468-1253(18)30341-8]</w:t>
      </w:r>
    </w:p>
    <w:p w14:paraId="69B60A9F" w14:textId="77777777" w:rsidR="004D2D9E" w:rsidRPr="004D2D9E" w:rsidRDefault="004D2D9E" w:rsidP="004D2D9E">
      <w:pPr>
        <w:spacing w:line="360" w:lineRule="auto"/>
        <w:jc w:val="both"/>
        <w:rPr>
          <w:rFonts w:ascii="Book Antiqua" w:hAnsi="Book Antiqua"/>
        </w:rPr>
      </w:pPr>
      <w:r w:rsidRPr="004D2D9E">
        <w:rPr>
          <w:rFonts w:ascii="Book Antiqua" w:hAnsi="Book Antiqua"/>
        </w:rPr>
        <w:lastRenderedPageBreak/>
        <w:t xml:space="preserve">41 </w:t>
      </w:r>
      <w:r w:rsidRPr="004D2D9E">
        <w:rPr>
          <w:rFonts w:ascii="Book Antiqua" w:hAnsi="Book Antiqua"/>
          <w:b/>
          <w:bCs/>
        </w:rPr>
        <w:t>Krishnan P</w:t>
      </w:r>
      <w:r w:rsidRPr="004D2D9E">
        <w:rPr>
          <w:rFonts w:ascii="Book Antiqua" w:hAnsi="Book Antiqua"/>
        </w:rPr>
        <w:t xml:space="preserve">, Pilot-Matias T, Schnell G, Tripathi R, Ng TI, Reisch T, Beyer J, Dekhtyar T, Irvin M, Xie W, Larsen L, Mensa FJ, Collins C. Pooled Resistance Analysis in Patients with Hepatitis C Virus Genotype 1 to 6 Infection Treated with Glecaprevir-Pibrentasvir in Phase 2 and 3 Clinical Trials. </w:t>
      </w:r>
      <w:r w:rsidRPr="004D2D9E">
        <w:rPr>
          <w:rFonts w:ascii="Book Antiqua" w:hAnsi="Book Antiqua"/>
          <w:i/>
          <w:iCs/>
        </w:rPr>
        <w:t>Antimicrob Agents Chemother</w:t>
      </w:r>
      <w:r w:rsidRPr="004D2D9E">
        <w:rPr>
          <w:rFonts w:ascii="Book Antiqua" w:hAnsi="Book Antiqua"/>
        </w:rPr>
        <w:t xml:space="preserve"> 2018; </w:t>
      </w:r>
      <w:r w:rsidRPr="004D2D9E">
        <w:rPr>
          <w:rFonts w:ascii="Book Antiqua" w:hAnsi="Book Antiqua"/>
          <w:b/>
          <w:bCs/>
        </w:rPr>
        <w:t>62</w:t>
      </w:r>
      <w:r w:rsidRPr="004D2D9E">
        <w:rPr>
          <w:rFonts w:ascii="Book Antiqua" w:hAnsi="Book Antiqua"/>
        </w:rPr>
        <w:t xml:space="preserve"> [PMID: 30061289 DOI: 10.1128/AAC.01249-18]</w:t>
      </w:r>
    </w:p>
    <w:p w14:paraId="07C275D1"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42 </w:t>
      </w:r>
      <w:r w:rsidRPr="004D2D9E">
        <w:rPr>
          <w:rFonts w:ascii="Book Antiqua" w:hAnsi="Book Antiqua"/>
          <w:b/>
          <w:bCs/>
        </w:rPr>
        <w:t>Puoti M</w:t>
      </w:r>
      <w:r w:rsidRPr="004D2D9E">
        <w:rPr>
          <w:rFonts w:ascii="Book Antiqua" w:hAnsi="Book Antiqua"/>
        </w:rPr>
        <w:t xml:space="preserve">, Foster GR, Wang S, Mutimer D, Gane E, Moreno C, Chang TT, Lee SS, Marinho R, Dufour JF, Pol S, Hezode C, Gordon SC, Strasser SI, Thuluvath PJ, Zhang Z, Lovell S, Pilot-Matias T, Mensa FJ. High SVR12 with 8-week and 12-week glecaprevir/pibrentasvir therapy: An integrated analysis of HCV genotype 1-6 patients without cirrhosis. </w:t>
      </w:r>
      <w:r w:rsidRPr="004D2D9E">
        <w:rPr>
          <w:rFonts w:ascii="Book Antiqua" w:hAnsi="Book Antiqua"/>
          <w:i/>
          <w:iCs/>
        </w:rPr>
        <w:t>J Hepatol</w:t>
      </w:r>
      <w:r w:rsidRPr="004D2D9E">
        <w:rPr>
          <w:rFonts w:ascii="Book Antiqua" w:hAnsi="Book Antiqua"/>
        </w:rPr>
        <w:t xml:space="preserve"> 2018; </w:t>
      </w:r>
      <w:r w:rsidRPr="004D2D9E">
        <w:rPr>
          <w:rFonts w:ascii="Book Antiqua" w:hAnsi="Book Antiqua"/>
          <w:b/>
          <w:bCs/>
        </w:rPr>
        <w:t>69</w:t>
      </w:r>
      <w:r w:rsidRPr="004D2D9E">
        <w:rPr>
          <w:rFonts w:ascii="Book Antiqua" w:hAnsi="Book Antiqua"/>
        </w:rPr>
        <w:t>: 293-300 [PMID: 29551706 DOI: 10.1016/j.jhep.2018.03.007]</w:t>
      </w:r>
    </w:p>
    <w:p w14:paraId="4A2E96A9" w14:textId="00CA2983" w:rsidR="004D2D9E" w:rsidRPr="004D2D9E" w:rsidRDefault="004D2D9E" w:rsidP="004D2D9E">
      <w:pPr>
        <w:spacing w:line="360" w:lineRule="auto"/>
        <w:jc w:val="both"/>
        <w:rPr>
          <w:rFonts w:ascii="Book Antiqua" w:hAnsi="Book Antiqua"/>
        </w:rPr>
      </w:pPr>
      <w:r w:rsidRPr="004D2D9E">
        <w:rPr>
          <w:rFonts w:ascii="Book Antiqua" w:hAnsi="Book Antiqua"/>
        </w:rPr>
        <w:t xml:space="preserve">43 </w:t>
      </w:r>
      <w:r w:rsidRPr="004D2D9E">
        <w:rPr>
          <w:rFonts w:ascii="Book Antiqua" w:hAnsi="Book Antiqua"/>
          <w:b/>
          <w:bCs/>
        </w:rPr>
        <w:t>Zeuzem S</w:t>
      </w:r>
      <w:r w:rsidRPr="004D2D9E">
        <w:rPr>
          <w:rFonts w:ascii="Book Antiqua" w:hAnsi="Book Antiqua"/>
        </w:rPr>
        <w:t xml:space="preserve">, Foster GR, Wang S, Asatryan A, Gane E, Feld JJ, Asselah T, Bourlière M, Ruane PJ, Wedemeyer H, Pol S, Flisiak R, Poordad F, Chuang WL, Stedman CA, Flamm S, Kwo P, Dore GJ, Sepulveda-Arzola G, Roberts SK, Soto-Malave R, Kaita K, Puoti M, Vierling J, Tam E, Vargas HE, Bruck R, Fuster F, Paik SW, Felizarta F, Kort J, Fu B, Liu R, Ng TI, Pilot-Matias T, Lin CW, Trinh R, Mensa FJ. Glecaprevir-Pibrentasvir for 8 or 12 Weeks in HCV Genotype 1 or 3 Infection. </w:t>
      </w:r>
      <w:r w:rsidRPr="004D2D9E">
        <w:rPr>
          <w:rFonts w:ascii="Book Antiqua" w:hAnsi="Book Antiqua"/>
          <w:i/>
          <w:iCs/>
        </w:rPr>
        <w:t>N Engl J Med</w:t>
      </w:r>
      <w:r w:rsidRPr="004D2D9E">
        <w:rPr>
          <w:rFonts w:ascii="Book Antiqua" w:hAnsi="Book Antiqua"/>
        </w:rPr>
        <w:t xml:space="preserve"> 2018; </w:t>
      </w:r>
      <w:r w:rsidRPr="004D2D9E">
        <w:rPr>
          <w:rFonts w:ascii="Book Antiqua" w:hAnsi="Book Antiqua"/>
          <w:b/>
          <w:bCs/>
        </w:rPr>
        <w:t>378</w:t>
      </w:r>
      <w:r w:rsidRPr="004D2D9E">
        <w:rPr>
          <w:rFonts w:ascii="Book Antiqua" w:hAnsi="Book Antiqua"/>
        </w:rPr>
        <w:t xml:space="preserve">: 354-369 [PMID: 29365309 DOI: </w:t>
      </w:r>
      <w:r w:rsidR="008201BD">
        <w:t>10.1056/NEJMoa1702417</w:t>
      </w:r>
      <w:r w:rsidRPr="004D2D9E">
        <w:rPr>
          <w:rFonts w:ascii="Book Antiqua" w:hAnsi="Book Antiqua"/>
        </w:rPr>
        <w:t>]</w:t>
      </w:r>
    </w:p>
    <w:p w14:paraId="7856B306"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44 </w:t>
      </w:r>
      <w:r w:rsidRPr="004D2D9E">
        <w:rPr>
          <w:rFonts w:ascii="Book Antiqua" w:hAnsi="Book Antiqua"/>
          <w:b/>
          <w:bCs/>
        </w:rPr>
        <w:t>Asselah T</w:t>
      </w:r>
      <w:r w:rsidRPr="004D2D9E">
        <w:rPr>
          <w:rFonts w:ascii="Book Antiqua" w:hAnsi="Book Antiqua"/>
        </w:rPr>
        <w:t xml:space="preserve">, Kowdley KV, Zadeikis N, Wang S, Hassanein T, Horsmans Y, Colombo M, Calinas F, Aguilar H, de Ledinghen V, Mantry PS, Hezode C, Marinho RT, Agarwal K, Nevens F, Elkhashab M, Kort J, Liu R, Ng TI, Krishnan P, Lin CW, Mensa FJ. Efficacy of Glecaprevir/Pibrentasvir for 8 or 12 Weeks in Patients With Hepatitis C Virus Genotype 2, 4, 5, or 6 Infection Without Cirrhosis. </w:t>
      </w:r>
      <w:r w:rsidRPr="004D2D9E">
        <w:rPr>
          <w:rFonts w:ascii="Book Antiqua" w:hAnsi="Book Antiqua"/>
          <w:i/>
          <w:iCs/>
        </w:rPr>
        <w:t>Clin Gastroenterol Hepatol</w:t>
      </w:r>
      <w:r w:rsidRPr="004D2D9E">
        <w:rPr>
          <w:rFonts w:ascii="Book Antiqua" w:hAnsi="Book Antiqua"/>
        </w:rPr>
        <w:t xml:space="preserve"> 2018; </w:t>
      </w:r>
      <w:r w:rsidRPr="004D2D9E">
        <w:rPr>
          <w:rFonts w:ascii="Book Antiqua" w:hAnsi="Book Antiqua"/>
          <w:b/>
          <w:bCs/>
        </w:rPr>
        <w:t>16</w:t>
      </w:r>
      <w:r w:rsidRPr="004D2D9E">
        <w:rPr>
          <w:rFonts w:ascii="Book Antiqua" w:hAnsi="Book Antiqua"/>
        </w:rPr>
        <w:t>: 417-426 [PMID: 28951228 DOI: 10.1016/j.cgh.2017.09.027]</w:t>
      </w:r>
    </w:p>
    <w:p w14:paraId="311EE105"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45 </w:t>
      </w:r>
      <w:r w:rsidRPr="004D2D9E">
        <w:rPr>
          <w:rFonts w:ascii="Book Antiqua" w:hAnsi="Book Antiqua"/>
          <w:b/>
          <w:bCs/>
        </w:rPr>
        <w:t>Chayama K</w:t>
      </w:r>
      <w:r w:rsidRPr="004D2D9E">
        <w:rPr>
          <w:rFonts w:ascii="Book Antiqua" w:hAnsi="Book Antiqua"/>
        </w:rPr>
        <w:t xml:space="preserve">, Suzuki F, Karino Y, Kawakami Y, Sato K, Atarashi T, Naganuma A, Watanabe T, Eguchi Y, Yoshiji H, Seike M, Takei Y, Kato K, Alves K, Burroughs M, Redman R, Pugatch DL, Pilot-Matias TJ, Krishnan P, Oberoi RK, Xie W, Kumada H. Efficacy and safety of glecaprevir/pibrentasvir in Japanese patients with chronic genotype 1 hepatitis C virus infection with and without cirrhosis. </w:t>
      </w:r>
      <w:r w:rsidRPr="004D2D9E">
        <w:rPr>
          <w:rFonts w:ascii="Book Antiqua" w:hAnsi="Book Antiqua"/>
          <w:i/>
          <w:iCs/>
        </w:rPr>
        <w:t>J Gastroenterol</w:t>
      </w:r>
      <w:r w:rsidRPr="004D2D9E">
        <w:rPr>
          <w:rFonts w:ascii="Book Antiqua" w:hAnsi="Book Antiqua"/>
        </w:rPr>
        <w:t xml:space="preserve"> 2018; </w:t>
      </w:r>
      <w:r w:rsidRPr="004D2D9E">
        <w:rPr>
          <w:rFonts w:ascii="Book Antiqua" w:hAnsi="Book Antiqua"/>
          <w:b/>
          <w:bCs/>
        </w:rPr>
        <w:t>53</w:t>
      </w:r>
      <w:r w:rsidRPr="004D2D9E">
        <w:rPr>
          <w:rFonts w:ascii="Book Antiqua" w:hAnsi="Book Antiqua"/>
        </w:rPr>
        <w:t>: 557-565 [PMID: 28948366 DOI: 10.1007/s00535-017-1391-5]</w:t>
      </w:r>
    </w:p>
    <w:p w14:paraId="08AB4FC4" w14:textId="77777777" w:rsidR="004D2D9E" w:rsidRPr="004D2D9E" w:rsidRDefault="004D2D9E" w:rsidP="004D2D9E">
      <w:pPr>
        <w:spacing w:line="360" w:lineRule="auto"/>
        <w:jc w:val="both"/>
        <w:rPr>
          <w:rFonts w:ascii="Book Antiqua" w:hAnsi="Book Antiqua"/>
        </w:rPr>
      </w:pPr>
      <w:r w:rsidRPr="004D2D9E">
        <w:rPr>
          <w:rFonts w:ascii="Book Antiqua" w:hAnsi="Book Antiqua"/>
        </w:rPr>
        <w:lastRenderedPageBreak/>
        <w:t xml:space="preserve">46 </w:t>
      </w:r>
      <w:r w:rsidRPr="004D2D9E">
        <w:rPr>
          <w:rFonts w:ascii="Book Antiqua" w:hAnsi="Book Antiqua"/>
          <w:b/>
          <w:bCs/>
        </w:rPr>
        <w:t>Wyles D</w:t>
      </w:r>
      <w:r w:rsidRPr="004D2D9E">
        <w:rPr>
          <w:rFonts w:ascii="Book Antiqua" w:hAnsi="Book Antiqua"/>
        </w:rPr>
        <w:t xml:space="preserve">, Poordad F, Wang S, Alric L, Felizarta F, Kwo PY, Maliakkal B, Agarwal K, Hassanein T, Weilert F, Lee SS, Kort J, Lovell SS, Liu R, Lin CW, Pilot-Matias T, Krishnan P, Mensa FJ. Glecaprevir/pibrentasvir for hepatitis C virus genotype 3 patients with cirrhosis and/or prior treatment experience: A partially randomized phase 3 clinical trial. </w:t>
      </w:r>
      <w:r w:rsidRPr="004D2D9E">
        <w:rPr>
          <w:rFonts w:ascii="Book Antiqua" w:hAnsi="Book Antiqua"/>
          <w:i/>
          <w:iCs/>
        </w:rPr>
        <w:t>Hepatology</w:t>
      </w:r>
      <w:r w:rsidRPr="004D2D9E">
        <w:rPr>
          <w:rFonts w:ascii="Book Antiqua" w:hAnsi="Book Antiqua"/>
        </w:rPr>
        <w:t xml:space="preserve"> 2018; </w:t>
      </w:r>
      <w:r w:rsidRPr="004D2D9E">
        <w:rPr>
          <w:rFonts w:ascii="Book Antiqua" w:hAnsi="Book Antiqua"/>
          <w:b/>
          <w:bCs/>
        </w:rPr>
        <w:t>67</w:t>
      </w:r>
      <w:r w:rsidRPr="004D2D9E">
        <w:rPr>
          <w:rFonts w:ascii="Book Antiqua" w:hAnsi="Book Antiqua"/>
        </w:rPr>
        <w:t>: 514-523 [PMID: 28926120 DOI: 10.1002/hep.29541]</w:t>
      </w:r>
    </w:p>
    <w:p w14:paraId="2F1FC89A"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47 </w:t>
      </w:r>
      <w:r w:rsidRPr="004D2D9E">
        <w:rPr>
          <w:rFonts w:ascii="Book Antiqua" w:hAnsi="Book Antiqua"/>
          <w:b/>
          <w:bCs/>
        </w:rPr>
        <w:t>Toyoda H</w:t>
      </w:r>
      <w:r w:rsidRPr="004D2D9E">
        <w:rPr>
          <w:rFonts w:ascii="Book Antiqua" w:hAnsi="Book Antiqua"/>
        </w:rPr>
        <w:t xml:space="preserve">, Chayama K, Suzuki F, Sato K, Atarashi T, Watanabe T, Atsukawa M, Naganuma A, Notsumata K, Osaki Y, Nakamuta M, Takaguchi K, Saito S, Kato K, Pugatch D, Burroughs M, Redman R, Alves K, Pilot-Matias TJ, Oberoi RK, Fu B, Kumada H. Efficacy and safety of glecaprevir/pibrentasvir in Japanese patients with chronic genotype 2 hepatitis C virus infection. </w:t>
      </w:r>
      <w:r w:rsidRPr="004D2D9E">
        <w:rPr>
          <w:rFonts w:ascii="Book Antiqua" w:hAnsi="Book Antiqua"/>
          <w:i/>
          <w:iCs/>
        </w:rPr>
        <w:t>Hepatology</w:t>
      </w:r>
      <w:r w:rsidRPr="004D2D9E">
        <w:rPr>
          <w:rFonts w:ascii="Book Antiqua" w:hAnsi="Book Antiqua"/>
        </w:rPr>
        <w:t xml:space="preserve"> 2018; </w:t>
      </w:r>
      <w:r w:rsidRPr="004D2D9E">
        <w:rPr>
          <w:rFonts w:ascii="Book Antiqua" w:hAnsi="Book Antiqua"/>
          <w:b/>
          <w:bCs/>
        </w:rPr>
        <w:t>67</w:t>
      </w:r>
      <w:r w:rsidRPr="004D2D9E">
        <w:rPr>
          <w:rFonts w:ascii="Book Antiqua" w:hAnsi="Book Antiqua"/>
        </w:rPr>
        <w:t>: 505-513 [PMID: 28865152 DOI: 10.1002/hep.29510]</w:t>
      </w:r>
    </w:p>
    <w:p w14:paraId="715F90D6"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48 </w:t>
      </w:r>
      <w:r w:rsidRPr="004D2D9E">
        <w:rPr>
          <w:rFonts w:ascii="Book Antiqua" w:hAnsi="Book Antiqua"/>
          <w:b/>
          <w:bCs/>
        </w:rPr>
        <w:t>Forns X</w:t>
      </w:r>
      <w:r w:rsidRPr="004D2D9E">
        <w:rPr>
          <w:rFonts w:ascii="Book Antiqua" w:hAnsi="Book Antiqua"/>
        </w:rPr>
        <w:t xml:space="preserve">, Lee SS, Valdes J, Lens S, Ghalib R, Aguilar H, Felizarta F, Hassanein T, Hinrichsen H, Rincon D, Morillas R, Zeuzem S, Horsmans Y, Nelson DR, Yu Y, Krishnan P, Lin CW, Kort JJ, Mensa FJ. Glecaprevir plus pibrentasvir for chronic hepatitis C virus genotype 1, 2, 4, 5, or 6 infection in adults with compensated cirrhosis (EXPEDITION-1): a single-arm, open-label, multicentre phase 3 trial. </w:t>
      </w:r>
      <w:r w:rsidRPr="004D2D9E">
        <w:rPr>
          <w:rFonts w:ascii="Book Antiqua" w:hAnsi="Book Antiqua"/>
          <w:i/>
          <w:iCs/>
        </w:rPr>
        <w:t>Lancet Infect Dis</w:t>
      </w:r>
      <w:r w:rsidRPr="004D2D9E">
        <w:rPr>
          <w:rFonts w:ascii="Book Antiqua" w:hAnsi="Book Antiqua"/>
        </w:rPr>
        <w:t xml:space="preserve"> 2017; </w:t>
      </w:r>
      <w:r w:rsidRPr="004D2D9E">
        <w:rPr>
          <w:rFonts w:ascii="Book Antiqua" w:hAnsi="Book Antiqua"/>
          <w:b/>
          <w:bCs/>
        </w:rPr>
        <w:t>17</w:t>
      </w:r>
      <w:r w:rsidRPr="004D2D9E">
        <w:rPr>
          <w:rFonts w:ascii="Book Antiqua" w:hAnsi="Book Antiqua"/>
        </w:rPr>
        <w:t>: 1062-1068 [PMID: 28818546 DOI: 10.1016/S1473-3099(17)30496-6]</w:t>
      </w:r>
    </w:p>
    <w:p w14:paraId="7A445A39"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49 </w:t>
      </w:r>
      <w:r w:rsidRPr="004D2D9E">
        <w:rPr>
          <w:rFonts w:ascii="Book Antiqua" w:hAnsi="Book Antiqua"/>
          <w:b/>
          <w:bCs/>
        </w:rPr>
        <w:t>Kwo PY</w:t>
      </w:r>
      <w:r w:rsidRPr="004D2D9E">
        <w:rPr>
          <w:rFonts w:ascii="Book Antiqua" w:hAnsi="Book Antiqua"/>
        </w:rPr>
        <w:t xml:space="preserve">, Poordad F, Asatryan A, Wang S, Wyles DL, Hassanein T, Felizarta F, Sulkowski MS, Gane E, Maliakkal B, Overcash JS, Gordon SC, Muir AJ, Aguilar H, Agarwal K, Dore GJ, Lin CW, Liu R, Lovell SS, Ng TI, Kort J, Mensa FJ. Glecaprevir and pibrentasvir yield high response rates in patients with HCV genotype 1-6 without cirrhosis. </w:t>
      </w:r>
      <w:r w:rsidRPr="004D2D9E">
        <w:rPr>
          <w:rFonts w:ascii="Book Antiqua" w:hAnsi="Book Antiqua"/>
          <w:i/>
          <w:iCs/>
        </w:rPr>
        <w:t>J Hepatol</w:t>
      </w:r>
      <w:r w:rsidRPr="004D2D9E">
        <w:rPr>
          <w:rFonts w:ascii="Book Antiqua" w:hAnsi="Book Antiqua"/>
        </w:rPr>
        <w:t xml:space="preserve"> 2017; </w:t>
      </w:r>
      <w:r w:rsidRPr="004D2D9E">
        <w:rPr>
          <w:rFonts w:ascii="Book Antiqua" w:hAnsi="Book Antiqua"/>
          <w:b/>
          <w:bCs/>
        </w:rPr>
        <w:t>67</w:t>
      </w:r>
      <w:r w:rsidRPr="004D2D9E">
        <w:rPr>
          <w:rFonts w:ascii="Book Antiqua" w:hAnsi="Book Antiqua"/>
        </w:rPr>
        <w:t>: 263-271 [PMID: 28412293 DOI: 10.1016/j.jhep.2017.03.039]</w:t>
      </w:r>
    </w:p>
    <w:p w14:paraId="2B463FE8"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50 </w:t>
      </w:r>
      <w:r w:rsidRPr="004D2D9E">
        <w:rPr>
          <w:rFonts w:ascii="Book Antiqua" w:hAnsi="Book Antiqua"/>
          <w:b/>
          <w:bCs/>
        </w:rPr>
        <w:t>Poordad F</w:t>
      </w:r>
      <w:r w:rsidRPr="004D2D9E">
        <w:rPr>
          <w:rFonts w:ascii="Book Antiqua" w:hAnsi="Book Antiqua"/>
        </w:rPr>
        <w:t xml:space="preserve">, Felizarta F, Asatryan A, Sulkowski MS, Reindollar RW, Landis CS, Gordon SC, Flamm SL, Fried MW, Bernstein DE, Lin CW, Liu R, Lovell SS, Ng TI, Kort J, Mensa FJ. Glecaprevir and pibrentasvir for 12 weeks for hepatitis C virus genotype 1 infection and prior direct-acting antiviral treatment. </w:t>
      </w:r>
      <w:r w:rsidRPr="004D2D9E">
        <w:rPr>
          <w:rFonts w:ascii="Book Antiqua" w:hAnsi="Book Antiqua"/>
          <w:i/>
          <w:iCs/>
        </w:rPr>
        <w:t>Hepatology</w:t>
      </w:r>
      <w:r w:rsidRPr="004D2D9E">
        <w:rPr>
          <w:rFonts w:ascii="Book Antiqua" w:hAnsi="Book Antiqua"/>
        </w:rPr>
        <w:t xml:space="preserve"> 2017; </w:t>
      </w:r>
      <w:r w:rsidRPr="004D2D9E">
        <w:rPr>
          <w:rFonts w:ascii="Book Antiqua" w:hAnsi="Book Antiqua"/>
          <w:b/>
          <w:bCs/>
        </w:rPr>
        <w:t>66</w:t>
      </w:r>
      <w:r w:rsidRPr="004D2D9E">
        <w:rPr>
          <w:rFonts w:ascii="Book Antiqua" w:hAnsi="Book Antiqua"/>
        </w:rPr>
        <w:t>: 389-397 [PMID: 28128852 DOI: 10.1002/hep.29081]</w:t>
      </w:r>
    </w:p>
    <w:p w14:paraId="410E8338"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51 </w:t>
      </w:r>
      <w:r w:rsidRPr="004D2D9E">
        <w:rPr>
          <w:rFonts w:ascii="Book Antiqua" w:hAnsi="Book Antiqua"/>
          <w:b/>
          <w:bCs/>
        </w:rPr>
        <w:t>Atsukawa M</w:t>
      </w:r>
      <w:r w:rsidRPr="004D2D9E">
        <w:rPr>
          <w:rFonts w:ascii="Book Antiqua" w:hAnsi="Book Antiqua"/>
        </w:rPr>
        <w:t xml:space="preserve">, Tsubota A, Toyoda H, Takaguchi K, Nakamuta M, Watanabe T, Michitaka K, Ikegami T, Nozaki A, Uojima H, Fukunishi S, Genda T, Abe H, Hotta N, Tsuji K, Ogawa C, Tachi Y, Shima T, Shimada N, Kondo C, Akahane T, Aizawa Y, Tanaka </w:t>
      </w:r>
      <w:r w:rsidRPr="004D2D9E">
        <w:rPr>
          <w:rFonts w:ascii="Book Antiqua" w:hAnsi="Book Antiqua"/>
        </w:rPr>
        <w:lastRenderedPageBreak/>
        <w:t xml:space="preserve">Y, Kumada T, Iwakiri K. The efficacy and safety of glecaprevir plus pibrentasvir in 141 patients with severe renal impairment: a prospective, multicenter study. </w:t>
      </w:r>
      <w:r w:rsidRPr="004D2D9E">
        <w:rPr>
          <w:rFonts w:ascii="Book Antiqua" w:hAnsi="Book Antiqua"/>
          <w:i/>
          <w:iCs/>
        </w:rPr>
        <w:t>Aliment Pharmacol Ther</w:t>
      </w:r>
      <w:r w:rsidRPr="004D2D9E">
        <w:rPr>
          <w:rFonts w:ascii="Book Antiqua" w:hAnsi="Book Antiqua"/>
        </w:rPr>
        <w:t xml:space="preserve"> 2019; </w:t>
      </w:r>
      <w:r w:rsidRPr="004D2D9E">
        <w:rPr>
          <w:rFonts w:ascii="Book Antiqua" w:hAnsi="Book Antiqua"/>
          <w:b/>
          <w:bCs/>
        </w:rPr>
        <w:t>49</w:t>
      </w:r>
      <w:r w:rsidRPr="004D2D9E">
        <w:rPr>
          <w:rFonts w:ascii="Book Antiqua" w:hAnsi="Book Antiqua"/>
        </w:rPr>
        <w:t>: 1230-1241 [PMID: 30873651 DOI: 10.1111/apt.15218]</w:t>
      </w:r>
    </w:p>
    <w:p w14:paraId="64CCD04F"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52 </w:t>
      </w:r>
      <w:r w:rsidRPr="004D2D9E">
        <w:rPr>
          <w:rFonts w:ascii="Book Antiqua" w:hAnsi="Book Antiqua"/>
          <w:b/>
          <w:bCs/>
        </w:rPr>
        <w:t>Kumada H</w:t>
      </w:r>
      <w:r w:rsidRPr="004D2D9E">
        <w:rPr>
          <w:rFonts w:ascii="Book Antiqua" w:hAnsi="Book Antiqua"/>
        </w:rPr>
        <w:t xml:space="preserve">, Watanabe T, Suzuki F, Ikeda K, Sato K, Toyoda H, Atsukawa M, Ido A, Takaki A, Enomoto N, Kato K, Alves K, Burroughs M, Redman R, Pugatch D, Pilot-Matias TJ, Krishnan P, Oberoi RK, Xie W, Chayama K. Efficacy and safety of glecaprevir/pibrentasvir in HCV-infected Japanese patients with prior DAA experience, severe renal impairment, or genotype 3 infection. </w:t>
      </w:r>
      <w:r w:rsidRPr="004D2D9E">
        <w:rPr>
          <w:rFonts w:ascii="Book Antiqua" w:hAnsi="Book Antiqua"/>
          <w:i/>
          <w:iCs/>
        </w:rPr>
        <w:t>J Gastroenterol</w:t>
      </w:r>
      <w:r w:rsidRPr="004D2D9E">
        <w:rPr>
          <w:rFonts w:ascii="Book Antiqua" w:hAnsi="Book Antiqua"/>
        </w:rPr>
        <w:t xml:space="preserve"> 2018; </w:t>
      </w:r>
      <w:r w:rsidRPr="004D2D9E">
        <w:rPr>
          <w:rFonts w:ascii="Book Antiqua" w:hAnsi="Book Antiqua"/>
          <w:b/>
          <w:bCs/>
        </w:rPr>
        <w:t>53</w:t>
      </w:r>
      <w:r w:rsidRPr="004D2D9E">
        <w:rPr>
          <w:rFonts w:ascii="Book Antiqua" w:hAnsi="Book Antiqua"/>
        </w:rPr>
        <w:t>: 566-575 [PMID: 29052790 DOI: 10.1007/s00535-017-1396-0]</w:t>
      </w:r>
    </w:p>
    <w:p w14:paraId="20606628"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53 </w:t>
      </w:r>
      <w:r w:rsidRPr="004D2D9E">
        <w:rPr>
          <w:rFonts w:ascii="Book Antiqua" w:hAnsi="Book Antiqua"/>
          <w:b/>
          <w:bCs/>
        </w:rPr>
        <w:t>Gane E</w:t>
      </w:r>
      <w:r w:rsidRPr="004D2D9E">
        <w:rPr>
          <w:rFonts w:ascii="Book Antiqua" w:hAnsi="Book Antiqua"/>
        </w:rPr>
        <w:t xml:space="preserve">, Lawitz E, Pugatch D, Papatheodoridis G, Bräu N, Brown A, Pol S, Leroy V, Persico M, Moreno C, Colombo M, Yoshida EM, Nelson DR, Collins C, Lei Y, Kosloski M, Mensa FJ. Glecaprevir and Pibrentasvir in Patients with HCV and Severe Renal Impairment. </w:t>
      </w:r>
      <w:r w:rsidRPr="004D2D9E">
        <w:rPr>
          <w:rFonts w:ascii="Book Antiqua" w:hAnsi="Book Antiqua"/>
          <w:i/>
          <w:iCs/>
        </w:rPr>
        <w:t>N Engl J Med</w:t>
      </w:r>
      <w:r w:rsidRPr="004D2D9E">
        <w:rPr>
          <w:rFonts w:ascii="Book Antiqua" w:hAnsi="Book Antiqua"/>
        </w:rPr>
        <w:t xml:space="preserve"> 2017; </w:t>
      </w:r>
      <w:r w:rsidRPr="004D2D9E">
        <w:rPr>
          <w:rFonts w:ascii="Book Antiqua" w:hAnsi="Book Antiqua"/>
          <w:b/>
          <w:bCs/>
        </w:rPr>
        <w:t>377</w:t>
      </w:r>
      <w:r w:rsidRPr="004D2D9E">
        <w:rPr>
          <w:rFonts w:ascii="Book Antiqua" w:hAnsi="Book Antiqua"/>
        </w:rPr>
        <w:t>: 1448-1455 [PMID: 29020583 DOI: 10.1056/NEJMoa1704053]</w:t>
      </w:r>
    </w:p>
    <w:p w14:paraId="2D3BBEE2"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54 </w:t>
      </w:r>
      <w:r w:rsidRPr="004D2D9E">
        <w:rPr>
          <w:rFonts w:ascii="Book Antiqua" w:hAnsi="Book Antiqua"/>
          <w:b/>
          <w:bCs/>
        </w:rPr>
        <w:t>Reau N</w:t>
      </w:r>
      <w:r w:rsidRPr="004D2D9E">
        <w:rPr>
          <w:rFonts w:ascii="Book Antiqua" w:hAnsi="Book Antiqua"/>
        </w:rPr>
        <w:t xml:space="preserve">, Kwo PY, Rhee S, Brown RS Jr, Agarwal K, Angus P, Gane E, Kao JH, Mantry PS, Mutimer D, Reddy KR, Tran TT, Hu YB, Gulati A, Krishnan P, Dumas EO, Porcalla A, Shulman NS, Liu W, Samanta S, Trinh R, Forns X. Glecaprevir/Pibrentasvir Treatment in Liver or Kidney Transplant Patients With Hepatitis C Virus Infection. </w:t>
      </w:r>
      <w:r w:rsidRPr="004D2D9E">
        <w:rPr>
          <w:rFonts w:ascii="Book Antiqua" w:hAnsi="Book Antiqua"/>
          <w:i/>
          <w:iCs/>
        </w:rPr>
        <w:t>Hepatology</w:t>
      </w:r>
      <w:r w:rsidRPr="004D2D9E">
        <w:rPr>
          <w:rFonts w:ascii="Book Antiqua" w:hAnsi="Book Antiqua"/>
        </w:rPr>
        <w:t xml:space="preserve"> 2018; </w:t>
      </w:r>
      <w:r w:rsidRPr="004D2D9E">
        <w:rPr>
          <w:rFonts w:ascii="Book Antiqua" w:hAnsi="Book Antiqua"/>
          <w:b/>
          <w:bCs/>
        </w:rPr>
        <w:t>68</w:t>
      </w:r>
      <w:r w:rsidRPr="004D2D9E">
        <w:rPr>
          <w:rFonts w:ascii="Book Antiqua" w:hAnsi="Book Antiqua"/>
        </w:rPr>
        <w:t>: 1298-1307 [PMID: 29672891 DOI: 10.1002/hep.30046]</w:t>
      </w:r>
    </w:p>
    <w:p w14:paraId="6816C056"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55 </w:t>
      </w:r>
      <w:r w:rsidRPr="004D2D9E">
        <w:rPr>
          <w:rFonts w:ascii="Book Antiqua" w:hAnsi="Book Antiqua"/>
          <w:b/>
          <w:bCs/>
        </w:rPr>
        <w:t>Younossi ZM</w:t>
      </w:r>
      <w:r w:rsidRPr="004D2D9E">
        <w:rPr>
          <w:rFonts w:ascii="Book Antiqua" w:hAnsi="Book Antiqua"/>
        </w:rPr>
        <w:t xml:space="preserve">, Stepanova M, Sulkowski M, Wyles D, Kottilil S, Hunt S. Patient-reported outcomes in patients co-infected with hepatitis C virus and human immunodeficiency virus treated with sofosbuvir and velpatasvir: The ASTRAL-5 study. </w:t>
      </w:r>
      <w:r w:rsidRPr="004D2D9E">
        <w:rPr>
          <w:rFonts w:ascii="Book Antiqua" w:hAnsi="Book Antiqua"/>
          <w:i/>
          <w:iCs/>
        </w:rPr>
        <w:t>Liver Int</w:t>
      </w:r>
      <w:r w:rsidRPr="004D2D9E">
        <w:rPr>
          <w:rFonts w:ascii="Book Antiqua" w:hAnsi="Book Antiqua"/>
        </w:rPr>
        <w:t xml:space="preserve"> 2017; </w:t>
      </w:r>
      <w:r w:rsidRPr="004D2D9E">
        <w:rPr>
          <w:rFonts w:ascii="Book Antiqua" w:hAnsi="Book Antiqua"/>
          <w:b/>
          <w:bCs/>
        </w:rPr>
        <w:t>37</w:t>
      </w:r>
      <w:r w:rsidRPr="004D2D9E">
        <w:rPr>
          <w:rFonts w:ascii="Book Antiqua" w:hAnsi="Book Antiqua"/>
        </w:rPr>
        <w:t>: 1796-1804 [PMID: 28470938 DOI: 10.1111/liv.13462]</w:t>
      </w:r>
    </w:p>
    <w:p w14:paraId="4BDD9415"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56 </w:t>
      </w:r>
      <w:r w:rsidRPr="004D2D9E">
        <w:rPr>
          <w:rFonts w:ascii="Book Antiqua" w:hAnsi="Book Antiqua"/>
          <w:b/>
          <w:bCs/>
        </w:rPr>
        <w:t>Wyles D</w:t>
      </w:r>
      <w:r w:rsidRPr="004D2D9E">
        <w:rPr>
          <w:rFonts w:ascii="Book Antiqua" w:hAnsi="Book Antiqua"/>
        </w:rPr>
        <w:t xml:space="preserve">, Bräu N, Kottilil S, Daar ES, Ruane P, Workowski K, Luetkemeyer A, Adeyemi O, Kim AY, Doehle B, Huang KC, Mogalian E, Osinusi A, McNally J, Brainard DM, McHutchison JG, Naggie S, Sulkowski M; ASTRAL-5 Investigators. Sofosbuvir and Velpatasvir for the Treatment of Hepatitis C Virus in Patients Coinfected With Human Immunodeficiency Virus Type 1: An Open-Label, Phase 3 Study. </w:t>
      </w:r>
      <w:r w:rsidRPr="004D2D9E">
        <w:rPr>
          <w:rFonts w:ascii="Book Antiqua" w:hAnsi="Book Antiqua"/>
          <w:i/>
          <w:iCs/>
        </w:rPr>
        <w:t>Clin Infect Dis</w:t>
      </w:r>
      <w:r w:rsidRPr="004D2D9E">
        <w:rPr>
          <w:rFonts w:ascii="Book Antiqua" w:hAnsi="Book Antiqua"/>
        </w:rPr>
        <w:t xml:space="preserve"> 2017; </w:t>
      </w:r>
      <w:r w:rsidRPr="004D2D9E">
        <w:rPr>
          <w:rFonts w:ascii="Book Antiqua" w:hAnsi="Book Antiqua"/>
          <w:b/>
          <w:bCs/>
        </w:rPr>
        <w:t>65</w:t>
      </w:r>
      <w:r w:rsidRPr="004D2D9E">
        <w:rPr>
          <w:rFonts w:ascii="Book Antiqua" w:hAnsi="Book Antiqua"/>
        </w:rPr>
        <w:t>: 6-12 [PMID: 28369210 DOI: 10.1093/cid/cix260]</w:t>
      </w:r>
    </w:p>
    <w:p w14:paraId="0E86D89A" w14:textId="77777777" w:rsidR="004D2D9E" w:rsidRPr="004D2D9E" w:rsidRDefault="004D2D9E" w:rsidP="004D2D9E">
      <w:pPr>
        <w:spacing w:line="360" w:lineRule="auto"/>
        <w:jc w:val="both"/>
        <w:rPr>
          <w:rFonts w:ascii="Book Antiqua" w:hAnsi="Book Antiqua"/>
        </w:rPr>
      </w:pPr>
      <w:r w:rsidRPr="004D2D9E">
        <w:rPr>
          <w:rFonts w:ascii="Book Antiqua" w:hAnsi="Book Antiqua"/>
        </w:rPr>
        <w:lastRenderedPageBreak/>
        <w:t xml:space="preserve">57 </w:t>
      </w:r>
      <w:r w:rsidRPr="004D2D9E">
        <w:rPr>
          <w:rFonts w:ascii="Book Antiqua" w:hAnsi="Book Antiqua"/>
          <w:b/>
          <w:bCs/>
        </w:rPr>
        <w:t>Rockstroh JK</w:t>
      </w:r>
      <w:r w:rsidRPr="004D2D9E">
        <w:rPr>
          <w:rFonts w:ascii="Book Antiqua" w:hAnsi="Book Antiqua"/>
        </w:rPr>
        <w:t xml:space="preserve">, Lacombe K, Viani RM, Orkin C, Wyles D, Luetkemeyer AF, Soto-Malave R, Flisiak R, Bhagani S, Sherman KE, Shimonova T, Ruane P, Sasadeusz J, Slim J, Zhang Z, Samanta S, Ng TI, Gulati A, Kosloski MP, Shulman NS, Trinh R, Sulkowski M. Efficacy and Safety of Glecaprevir/Pibrentasvir in Patients Coinfected With Hepatitis C Virus and Human Immunodeficiency Virus Type 1: The EXPEDITION-2 Study. </w:t>
      </w:r>
      <w:r w:rsidRPr="004D2D9E">
        <w:rPr>
          <w:rFonts w:ascii="Book Antiqua" w:hAnsi="Book Antiqua"/>
          <w:i/>
          <w:iCs/>
        </w:rPr>
        <w:t>Clin Infect Dis</w:t>
      </w:r>
      <w:r w:rsidRPr="004D2D9E">
        <w:rPr>
          <w:rFonts w:ascii="Book Antiqua" w:hAnsi="Book Antiqua"/>
        </w:rPr>
        <w:t xml:space="preserve"> 2018; </w:t>
      </w:r>
      <w:r w:rsidRPr="004D2D9E">
        <w:rPr>
          <w:rFonts w:ascii="Book Antiqua" w:hAnsi="Book Antiqua"/>
          <w:b/>
          <w:bCs/>
        </w:rPr>
        <w:t>67</w:t>
      </w:r>
      <w:r w:rsidRPr="004D2D9E">
        <w:rPr>
          <w:rFonts w:ascii="Book Antiqua" w:hAnsi="Book Antiqua"/>
        </w:rPr>
        <w:t>: 1010-1017 [PMID: 29566246 DOI: 10.1093/cid/ciy220]</w:t>
      </w:r>
    </w:p>
    <w:p w14:paraId="66303FCB"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58 </w:t>
      </w:r>
      <w:r w:rsidRPr="004D2D9E">
        <w:rPr>
          <w:rFonts w:ascii="Book Antiqua" w:hAnsi="Book Antiqua"/>
          <w:b/>
          <w:bCs/>
        </w:rPr>
        <w:t>Llaneras J</w:t>
      </w:r>
      <w:r w:rsidRPr="004D2D9E">
        <w:rPr>
          <w:rFonts w:ascii="Book Antiqua" w:hAnsi="Book Antiqua"/>
        </w:rPr>
        <w:t xml:space="preserve">, Riveiro-Barciela M, Lens S, Diago M, Cachero A, García-Samaniego J, Conde I, Arencibia A, Arenas J, Gea F, Torras X, Luis Calleja J, Antonio Carrión J, Fernández I, María Morillas R, Rosales JM, Carmona I, Fernández-Rodríguez C, Hernández-Guerra M, Llerena S, Bernal V, Turnes J, González-Santiago JM, Montoliu S, Figueruela B, Badia E, Delgado M, Fernández-Bermejo M, Iñarrairaegui M, Pascasio JM, Esteban R, Mariño Z, Buti M. Effectiveness and safety of sofosbuvir/velpatasvir/voxilaprevir in patients with chronic hepatitis C previously treated with DAAs. </w:t>
      </w:r>
      <w:r w:rsidRPr="004D2D9E">
        <w:rPr>
          <w:rFonts w:ascii="Book Antiqua" w:hAnsi="Book Antiqua"/>
          <w:i/>
          <w:iCs/>
        </w:rPr>
        <w:t>J Hepatol</w:t>
      </w:r>
      <w:r w:rsidRPr="004D2D9E">
        <w:rPr>
          <w:rFonts w:ascii="Book Antiqua" w:hAnsi="Book Antiqua"/>
        </w:rPr>
        <w:t xml:space="preserve"> 2019; </w:t>
      </w:r>
      <w:r w:rsidRPr="004D2D9E">
        <w:rPr>
          <w:rFonts w:ascii="Book Antiqua" w:hAnsi="Book Antiqua"/>
          <w:b/>
          <w:bCs/>
        </w:rPr>
        <w:t>71</w:t>
      </w:r>
      <w:r w:rsidRPr="004D2D9E">
        <w:rPr>
          <w:rFonts w:ascii="Book Antiqua" w:hAnsi="Book Antiqua"/>
        </w:rPr>
        <w:t>: 666-672 [PMID: 31203153 DOI: 10.1016/j.jhep.2019.06.002]</w:t>
      </w:r>
    </w:p>
    <w:p w14:paraId="640C4342"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59 </w:t>
      </w:r>
      <w:r w:rsidRPr="004D2D9E">
        <w:rPr>
          <w:rFonts w:ascii="Book Antiqua" w:hAnsi="Book Antiqua"/>
          <w:b/>
          <w:bCs/>
        </w:rPr>
        <w:t>Wilson E</w:t>
      </w:r>
      <w:r w:rsidRPr="004D2D9E">
        <w:rPr>
          <w:rFonts w:ascii="Book Antiqua" w:hAnsi="Book Antiqua"/>
        </w:rPr>
        <w:t xml:space="preserve">, Covert E, Hoffmann J, Comstock E, Emmanuel B, Tang L, Husson J, Chua J, Price A, Mathur P, Rosenthal E, Kattakuzhy S, Masur H, Kottilil S. A pilot study of safety and efficacy of HCV retreatment with sofosbuvir/velpatasvir/voxilaprevir in patients with or without HIV (RESOLVE STUDY). </w:t>
      </w:r>
      <w:r w:rsidRPr="004D2D9E">
        <w:rPr>
          <w:rFonts w:ascii="Book Antiqua" w:hAnsi="Book Antiqua"/>
          <w:i/>
          <w:iCs/>
        </w:rPr>
        <w:t>J Hepatol</w:t>
      </w:r>
      <w:r w:rsidRPr="004D2D9E">
        <w:rPr>
          <w:rFonts w:ascii="Book Antiqua" w:hAnsi="Book Antiqua"/>
        </w:rPr>
        <w:t xml:space="preserve"> 2019; </w:t>
      </w:r>
      <w:r w:rsidRPr="004D2D9E">
        <w:rPr>
          <w:rFonts w:ascii="Book Antiqua" w:hAnsi="Book Antiqua"/>
          <w:b/>
          <w:bCs/>
        </w:rPr>
        <w:t>71</w:t>
      </w:r>
      <w:r w:rsidRPr="004D2D9E">
        <w:rPr>
          <w:rFonts w:ascii="Book Antiqua" w:hAnsi="Book Antiqua"/>
        </w:rPr>
        <w:t>: 498-504 [PMID: 31173815 DOI: 10.1016/j.jhep.2019.05.021]</w:t>
      </w:r>
    </w:p>
    <w:p w14:paraId="457D2620"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60 </w:t>
      </w:r>
      <w:r w:rsidRPr="004D2D9E">
        <w:rPr>
          <w:rFonts w:ascii="Book Antiqua" w:hAnsi="Book Antiqua"/>
          <w:b/>
          <w:bCs/>
        </w:rPr>
        <w:t>Lok AS</w:t>
      </w:r>
      <w:r w:rsidRPr="004D2D9E">
        <w:rPr>
          <w:rFonts w:ascii="Book Antiqua" w:hAnsi="Book Antiqua"/>
        </w:rPr>
        <w:t xml:space="preserve">, Sulkowski MS, Kort JJ, Willner I, Reddy KR, Shiffman ML, Hassan MA, Pearlman BL, Hinestrosa F, Jacobson IM, Morelli G, Peter JA, Vainorius M, Michael LC, Fried MW, Wang GP, Lu W, Larsen L, Nelson DR. Efficacy of Glecaprevir and Pibrentasvir in Patients With Genotype 1 Hepatitis C Virus Infection With Treatment Failure After NS5A Inhibitor Plus Sofosbuvir Therapy. </w:t>
      </w:r>
      <w:r w:rsidRPr="004D2D9E">
        <w:rPr>
          <w:rFonts w:ascii="Book Antiqua" w:hAnsi="Book Antiqua"/>
          <w:i/>
          <w:iCs/>
        </w:rPr>
        <w:t>Gastroenterology</w:t>
      </w:r>
      <w:r w:rsidRPr="004D2D9E">
        <w:rPr>
          <w:rFonts w:ascii="Book Antiqua" w:hAnsi="Book Antiqua"/>
        </w:rPr>
        <w:t xml:space="preserve"> 2019; </w:t>
      </w:r>
      <w:r w:rsidRPr="004D2D9E">
        <w:rPr>
          <w:rFonts w:ascii="Book Antiqua" w:hAnsi="Book Antiqua"/>
          <w:b/>
          <w:bCs/>
        </w:rPr>
        <w:t>157</w:t>
      </w:r>
      <w:r w:rsidRPr="004D2D9E">
        <w:rPr>
          <w:rFonts w:ascii="Book Antiqua" w:hAnsi="Book Antiqua"/>
        </w:rPr>
        <w:t>: 1506-1517.e1 [PMID: 31401140 DOI: 10.1053/j.gastro.2019.08.008]</w:t>
      </w:r>
    </w:p>
    <w:p w14:paraId="6D2C69B9"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61 </w:t>
      </w:r>
      <w:r w:rsidRPr="004D2D9E">
        <w:rPr>
          <w:rFonts w:ascii="Book Antiqua" w:hAnsi="Book Antiqua"/>
          <w:b/>
          <w:bCs/>
        </w:rPr>
        <w:t>Poordad F</w:t>
      </w:r>
      <w:r w:rsidRPr="004D2D9E">
        <w:rPr>
          <w:rFonts w:ascii="Book Antiqua" w:hAnsi="Book Antiqua"/>
        </w:rPr>
        <w:t xml:space="preserve">, Pol S, Asatryan A, Buti M, Shaw D, Hézode C, Felizarta F, Reindollar RW, Gordon SC, Pianko S, Fried MW, Bernstein DE, Gallant J, Lin CW, Lei Y, Ng TI, Krishnan P, Kopecky-Bromberg S, Kort J, Mensa FJ. Glecaprevir/Pibrentasvir in patients with </w:t>
      </w:r>
      <w:r w:rsidRPr="004D2D9E">
        <w:rPr>
          <w:rFonts w:ascii="Book Antiqua" w:hAnsi="Book Antiqua"/>
        </w:rPr>
        <w:lastRenderedPageBreak/>
        <w:t xml:space="preserve">hepatitis C virus genotype 1 or 4 and past direct-acting antiviral treatment failure. </w:t>
      </w:r>
      <w:r w:rsidRPr="004D2D9E">
        <w:rPr>
          <w:rFonts w:ascii="Book Antiqua" w:hAnsi="Book Antiqua"/>
          <w:i/>
          <w:iCs/>
        </w:rPr>
        <w:t>Hepatology</w:t>
      </w:r>
      <w:r w:rsidRPr="004D2D9E">
        <w:rPr>
          <w:rFonts w:ascii="Book Antiqua" w:hAnsi="Book Antiqua"/>
        </w:rPr>
        <w:t xml:space="preserve"> 2018; </w:t>
      </w:r>
      <w:r w:rsidRPr="004D2D9E">
        <w:rPr>
          <w:rFonts w:ascii="Book Antiqua" w:hAnsi="Book Antiqua"/>
          <w:b/>
          <w:bCs/>
        </w:rPr>
        <w:t>67</w:t>
      </w:r>
      <w:r w:rsidRPr="004D2D9E">
        <w:rPr>
          <w:rFonts w:ascii="Book Antiqua" w:hAnsi="Book Antiqua"/>
        </w:rPr>
        <w:t>: 1253-1260 [PMID: 29152781 DOI: 10.1002/hep.29671]</w:t>
      </w:r>
    </w:p>
    <w:p w14:paraId="5BE0BEB7"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62 </w:t>
      </w:r>
      <w:r w:rsidRPr="004D2D9E">
        <w:rPr>
          <w:rFonts w:ascii="Book Antiqua" w:hAnsi="Book Antiqua"/>
          <w:b/>
          <w:bCs/>
        </w:rPr>
        <w:t>Feld JJ</w:t>
      </w:r>
      <w:r w:rsidRPr="004D2D9E">
        <w:rPr>
          <w:rFonts w:ascii="Book Antiqua" w:hAnsi="Book Antiqua"/>
        </w:rPr>
        <w:t xml:space="preserve">, Cypel M, Kumar D, Dahari H, Pinto Ribeiro RV, Marks N, Kamkar N, Bahinskaya I, Onofrio FQ, Zahoor MA, Cerrochi O, Tinckam K, Kim SJ, Schiff J, Reichman TW, McDonald M, Alba C, Waddell TK, Sapisochin G, Selzner M, Keshavjee S, Janssen HLA, Hansen BE, Singer LG, Humar A. Short-course, direct-acting antivirals and ezetimibe to prevent HCV infection in recipients of organs from HCV-infected donors: a phase 3, single-centre, open-label study. </w:t>
      </w:r>
      <w:r w:rsidRPr="004D2D9E">
        <w:rPr>
          <w:rFonts w:ascii="Book Antiqua" w:hAnsi="Book Antiqua"/>
          <w:i/>
          <w:iCs/>
        </w:rPr>
        <w:t>Lancet Gastroenterol Hepatol</w:t>
      </w:r>
      <w:r w:rsidRPr="004D2D9E">
        <w:rPr>
          <w:rFonts w:ascii="Book Antiqua" w:hAnsi="Book Antiqua"/>
        </w:rPr>
        <w:t xml:space="preserve"> 2020; </w:t>
      </w:r>
      <w:r w:rsidRPr="004D2D9E">
        <w:rPr>
          <w:rFonts w:ascii="Book Antiqua" w:hAnsi="Book Antiqua"/>
          <w:b/>
          <w:bCs/>
        </w:rPr>
        <w:t>5</w:t>
      </w:r>
      <w:r w:rsidRPr="004D2D9E">
        <w:rPr>
          <w:rFonts w:ascii="Book Antiqua" w:hAnsi="Book Antiqua"/>
        </w:rPr>
        <w:t>: 649-657 [PMID: 32389183 DOI: 10.1016/S2468-1253(20)30081-9]</w:t>
      </w:r>
    </w:p>
    <w:p w14:paraId="58014A85"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63 </w:t>
      </w:r>
      <w:r w:rsidRPr="004D2D9E">
        <w:rPr>
          <w:rFonts w:ascii="Book Antiqua" w:hAnsi="Book Antiqua"/>
          <w:b/>
          <w:bCs/>
        </w:rPr>
        <w:t>Young K</w:t>
      </w:r>
      <w:r w:rsidRPr="004D2D9E">
        <w:rPr>
          <w:rFonts w:ascii="Book Antiqua" w:hAnsi="Book Antiqua"/>
        </w:rPr>
        <w:t xml:space="preserve">, Liu B, Bhuket T, Wong RJ. Lower Likelihood of Post-transplant Graft Failure, Death, and Retransplantation in the Era of Direct-Acting Antivirals. </w:t>
      </w:r>
      <w:r w:rsidRPr="004D2D9E">
        <w:rPr>
          <w:rFonts w:ascii="Book Antiqua" w:hAnsi="Book Antiqua"/>
          <w:i/>
          <w:iCs/>
        </w:rPr>
        <w:t>J Clin Exp Hepatol</w:t>
      </w:r>
      <w:r w:rsidRPr="004D2D9E">
        <w:rPr>
          <w:rFonts w:ascii="Book Antiqua" w:hAnsi="Book Antiqua"/>
        </w:rPr>
        <w:t xml:space="preserve"> 2020; </w:t>
      </w:r>
      <w:r w:rsidRPr="004D2D9E">
        <w:rPr>
          <w:rFonts w:ascii="Book Antiqua" w:hAnsi="Book Antiqua"/>
          <w:b/>
          <w:bCs/>
        </w:rPr>
        <w:t>10</w:t>
      </w:r>
      <w:r w:rsidRPr="004D2D9E">
        <w:rPr>
          <w:rFonts w:ascii="Book Antiqua" w:hAnsi="Book Antiqua"/>
        </w:rPr>
        <w:t>: 581-589 [PMID: 33311895 DOI: 10.1016/j.jceh.2020.02.003]</w:t>
      </w:r>
    </w:p>
    <w:p w14:paraId="4494BA91"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64 </w:t>
      </w:r>
      <w:r w:rsidRPr="004D2D9E">
        <w:rPr>
          <w:rFonts w:ascii="Book Antiqua" w:hAnsi="Book Antiqua"/>
          <w:b/>
          <w:bCs/>
        </w:rPr>
        <w:t>Arora SS</w:t>
      </w:r>
      <w:r w:rsidRPr="004D2D9E">
        <w:rPr>
          <w:rFonts w:ascii="Book Antiqua" w:hAnsi="Book Antiqua"/>
        </w:rPr>
        <w:t xml:space="preserve">, Axley P, Ahmed Z, Satapathy SK, Wong R, Kuo YF, Singal AK. Decreasing frequency and improved outcomes of hepatitis C-related liver transplantation in the era of direct-acting antivirals - a retrospective cohort study. </w:t>
      </w:r>
      <w:r w:rsidRPr="004D2D9E">
        <w:rPr>
          <w:rFonts w:ascii="Book Antiqua" w:hAnsi="Book Antiqua"/>
          <w:i/>
          <w:iCs/>
        </w:rPr>
        <w:t>Transpl Int</w:t>
      </w:r>
      <w:r w:rsidRPr="004D2D9E">
        <w:rPr>
          <w:rFonts w:ascii="Book Antiqua" w:hAnsi="Book Antiqua"/>
        </w:rPr>
        <w:t xml:space="preserve"> 2019; </w:t>
      </w:r>
      <w:r w:rsidRPr="004D2D9E">
        <w:rPr>
          <w:rFonts w:ascii="Book Antiqua" w:hAnsi="Book Antiqua"/>
          <w:b/>
          <w:bCs/>
        </w:rPr>
        <w:t>32</w:t>
      </w:r>
      <w:r w:rsidRPr="004D2D9E">
        <w:rPr>
          <w:rFonts w:ascii="Book Antiqua" w:hAnsi="Book Antiqua"/>
        </w:rPr>
        <w:t>: 854-864 [PMID: 30866110 DOI: 10.1111/tri.13424]</w:t>
      </w:r>
    </w:p>
    <w:p w14:paraId="18C615E2"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65 </w:t>
      </w:r>
      <w:r w:rsidRPr="004D2D9E">
        <w:rPr>
          <w:rFonts w:ascii="Book Antiqua" w:hAnsi="Book Antiqua"/>
          <w:b/>
          <w:bCs/>
        </w:rPr>
        <w:t>Choudhary NS</w:t>
      </w:r>
      <w:r w:rsidRPr="004D2D9E">
        <w:rPr>
          <w:rFonts w:ascii="Book Antiqua" w:hAnsi="Book Antiqua"/>
        </w:rPr>
        <w:t xml:space="preserve">, Saraf N, Saigal S, Rastogi A, Bhangui P, Thiagrajan S, Soin AS. Outcome of hepatitis C-related liver transplantation in direct-acting antiviral era. </w:t>
      </w:r>
      <w:r w:rsidRPr="004D2D9E">
        <w:rPr>
          <w:rFonts w:ascii="Book Antiqua" w:hAnsi="Book Antiqua"/>
          <w:i/>
          <w:iCs/>
        </w:rPr>
        <w:t>Indian J Gastroenterol</w:t>
      </w:r>
      <w:r w:rsidRPr="004D2D9E">
        <w:rPr>
          <w:rFonts w:ascii="Book Antiqua" w:hAnsi="Book Antiqua"/>
        </w:rPr>
        <w:t xml:space="preserve"> 2020; </w:t>
      </w:r>
      <w:r w:rsidRPr="004D2D9E">
        <w:rPr>
          <w:rFonts w:ascii="Book Antiqua" w:hAnsi="Book Antiqua"/>
          <w:b/>
          <w:bCs/>
        </w:rPr>
        <w:t>39</w:t>
      </w:r>
      <w:r w:rsidRPr="004D2D9E">
        <w:rPr>
          <w:rFonts w:ascii="Book Antiqua" w:hAnsi="Book Antiqua"/>
        </w:rPr>
        <w:t>: 539-543 [PMID: 33230754 DOI: 10.1007/s12664-020-01105-z]</w:t>
      </w:r>
    </w:p>
    <w:p w14:paraId="02424457"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66 </w:t>
      </w:r>
      <w:r w:rsidRPr="004D2D9E">
        <w:rPr>
          <w:rFonts w:ascii="Book Antiqua" w:hAnsi="Book Antiqua"/>
          <w:b/>
          <w:bCs/>
        </w:rPr>
        <w:t>Young K</w:t>
      </w:r>
      <w:r w:rsidRPr="004D2D9E">
        <w:rPr>
          <w:rFonts w:ascii="Book Antiqua" w:hAnsi="Book Antiqua"/>
        </w:rPr>
        <w:t xml:space="preserve">, Liu B, Bhuket T, Gish RG, Wong RJ. Improved liver transplant waitlist mortality and lower risk of disease progression among chronic hepatitis C patients awaiting liver transplantation after the introduction of direct-acting antiviral therapies in the United States. </w:t>
      </w:r>
      <w:r w:rsidRPr="004D2D9E">
        <w:rPr>
          <w:rFonts w:ascii="Book Antiqua" w:hAnsi="Book Antiqua"/>
          <w:i/>
          <w:iCs/>
        </w:rPr>
        <w:t>J Viral Hepat</w:t>
      </w:r>
      <w:r w:rsidRPr="004D2D9E">
        <w:rPr>
          <w:rFonts w:ascii="Book Antiqua" w:hAnsi="Book Antiqua"/>
        </w:rPr>
        <w:t xml:space="preserve"> 2019; </w:t>
      </w:r>
      <w:r w:rsidRPr="004D2D9E">
        <w:rPr>
          <w:rFonts w:ascii="Book Antiqua" w:hAnsi="Book Antiqua"/>
          <w:b/>
          <w:bCs/>
        </w:rPr>
        <w:t>26</w:t>
      </w:r>
      <w:r w:rsidRPr="004D2D9E">
        <w:rPr>
          <w:rFonts w:ascii="Book Antiqua" w:hAnsi="Book Antiqua"/>
        </w:rPr>
        <w:t>: 350-361 [PMID: 30412318 DOI: 10.1111/jvh.13039]</w:t>
      </w:r>
    </w:p>
    <w:p w14:paraId="43446ACA"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67 </w:t>
      </w:r>
      <w:r w:rsidRPr="004D2D9E">
        <w:rPr>
          <w:rFonts w:ascii="Book Antiqua" w:hAnsi="Book Antiqua"/>
          <w:b/>
          <w:bCs/>
        </w:rPr>
        <w:t>Bittermann T</w:t>
      </w:r>
      <w:r w:rsidRPr="004D2D9E">
        <w:rPr>
          <w:rFonts w:ascii="Book Antiqua" w:hAnsi="Book Antiqua"/>
        </w:rPr>
        <w:t xml:space="preserve">, Reddy KR. In the Era of Direct-Acting Antivirals, Liver Transplant Delisting Due to Clinical Improvement for Hepatitis C Remains Infrequent. </w:t>
      </w:r>
      <w:r w:rsidRPr="004D2D9E">
        <w:rPr>
          <w:rFonts w:ascii="Book Antiqua" w:hAnsi="Book Antiqua"/>
          <w:i/>
          <w:iCs/>
        </w:rPr>
        <w:t>Clin Gastroenterol Hepatol</w:t>
      </w:r>
      <w:r w:rsidRPr="004D2D9E">
        <w:rPr>
          <w:rFonts w:ascii="Book Antiqua" w:hAnsi="Book Antiqua"/>
        </w:rPr>
        <w:t xml:space="preserve"> 2020 [PMID: 32971230 DOI: 10.1016/j.cgh.2020.09.033]</w:t>
      </w:r>
    </w:p>
    <w:p w14:paraId="32C18F2B"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68 </w:t>
      </w:r>
      <w:r w:rsidRPr="004D2D9E">
        <w:rPr>
          <w:rFonts w:ascii="Book Antiqua" w:hAnsi="Book Antiqua"/>
          <w:b/>
          <w:bCs/>
        </w:rPr>
        <w:t>Gerlich WH</w:t>
      </w:r>
      <w:r w:rsidRPr="004D2D9E">
        <w:rPr>
          <w:rFonts w:ascii="Book Antiqua" w:hAnsi="Book Antiqua"/>
        </w:rPr>
        <w:t xml:space="preserve">. Prophylactic vaccination against hepatitis B: achievements, challenges and perspectives. </w:t>
      </w:r>
      <w:r w:rsidRPr="004D2D9E">
        <w:rPr>
          <w:rFonts w:ascii="Book Antiqua" w:hAnsi="Book Antiqua"/>
          <w:i/>
          <w:iCs/>
        </w:rPr>
        <w:t>Med Microbiol Immunol</w:t>
      </w:r>
      <w:r w:rsidRPr="004D2D9E">
        <w:rPr>
          <w:rFonts w:ascii="Book Antiqua" w:hAnsi="Book Antiqua"/>
        </w:rPr>
        <w:t xml:space="preserve"> 2015; </w:t>
      </w:r>
      <w:r w:rsidRPr="004D2D9E">
        <w:rPr>
          <w:rFonts w:ascii="Book Antiqua" w:hAnsi="Book Antiqua"/>
          <w:b/>
          <w:bCs/>
        </w:rPr>
        <w:t>204</w:t>
      </w:r>
      <w:r w:rsidRPr="004D2D9E">
        <w:rPr>
          <w:rFonts w:ascii="Book Antiqua" w:hAnsi="Book Antiqua"/>
        </w:rPr>
        <w:t>: 39-55 [PMID: 25523195 DOI: 10.1007/s00430-014-0373-y]</w:t>
      </w:r>
    </w:p>
    <w:p w14:paraId="469E2F8D" w14:textId="77777777" w:rsidR="004D2D9E" w:rsidRPr="004D2D9E" w:rsidRDefault="004D2D9E" w:rsidP="004D2D9E">
      <w:pPr>
        <w:spacing w:line="360" w:lineRule="auto"/>
        <w:jc w:val="both"/>
        <w:rPr>
          <w:rFonts w:ascii="Book Antiqua" w:hAnsi="Book Antiqua"/>
        </w:rPr>
      </w:pPr>
      <w:r w:rsidRPr="004D2D9E">
        <w:rPr>
          <w:rFonts w:ascii="Book Antiqua" w:hAnsi="Book Antiqua"/>
        </w:rPr>
        <w:lastRenderedPageBreak/>
        <w:t xml:space="preserve">69 </w:t>
      </w:r>
      <w:r w:rsidRPr="004D2D9E">
        <w:rPr>
          <w:rFonts w:ascii="Book Antiqua" w:hAnsi="Book Antiqua"/>
          <w:b/>
          <w:bCs/>
        </w:rPr>
        <w:t>Chen SM</w:t>
      </w:r>
      <w:r w:rsidRPr="004D2D9E">
        <w:rPr>
          <w:rFonts w:ascii="Book Antiqua" w:hAnsi="Book Antiqua"/>
        </w:rPr>
        <w:t xml:space="preserve">, Kung CM, Yang WJ, Wang HL. Efficacy of the nationwide hepatitis B infant vaccination program in Taiwan. </w:t>
      </w:r>
      <w:r w:rsidRPr="004D2D9E">
        <w:rPr>
          <w:rFonts w:ascii="Book Antiqua" w:hAnsi="Book Antiqua"/>
          <w:i/>
          <w:iCs/>
        </w:rPr>
        <w:t>J Clin Virol</w:t>
      </w:r>
      <w:r w:rsidRPr="004D2D9E">
        <w:rPr>
          <w:rFonts w:ascii="Book Antiqua" w:hAnsi="Book Antiqua"/>
        </w:rPr>
        <w:t xml:space="preserve"> 2011; </w:t>
      </w:r>
      <w:r w:rsidRPr="004D2D9E">
        <w:rPr>
          <w:rFonts w:ascii="Book Antiqua" w:hAnsi="Book Antiqua"/>
          <w:b/>
          <w:bCs/>
        </w:rPr>
        <w:t>52</w:t>
      </w:r>
      <w:r w:rsidRPr="004D2D9E">
        <w:rPr>
          <w:rFonts w:ascii="Book Antiqua" w:hAnsi="Book Antiqua"/>
        </w:rPr>
        <w:t>: 11-16 [PMID: 21767983 DOI: 10.1016/j.jcv.2011.06.012]</w:t>
      </w:r>
    </w:p>
    <w:p w14:paraId="3D930046"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70 </w:t>
      </w:r>
      <w:r w:rsidRPr="004D2D9E">
        <w:rPr>
          <w:rFonts w:ascii="Book Antiqua" w:hAnsi="Book Antiqua"/>
          <w:b/>
          <w:bCs/>
        </w:rPr>
        <w:t>Chang MH</w:t>
      </w:r>
      <w:r w:rsidRPr="004D2D9E">
        <w:rPr>
          <w:rFonts w:ascii="Book Antiqua" w:hAnsi="Book Antiqua"/>
        </w:rPr>
        <w:t xml:space="preserve">, You SL, Chen CJ, Liu CJ, Lee CM, Lin SM, Chu HC, Wu TC, Yang SS, Kuo HS, Chen DS; Taiwan Hepatoma Study Group. Decreased incidence of hepatocellular carcinoma in hepatitis B vaccinees: a 20-year follow-up study. </w:t>
      </w:r>
      <w:r w:rsidRPr="004D2D9E">
        <w:rPr>
          <w:rFonts w:ascii="Book Antiqua" w:hAnsi="Book Antiqua"/>
          <w:i/>
          <w:iCs/>
        </w:rPr>
        <w:t>J Natl Cancer Inst</w:t>
      </w:r>
      <w:r w:rsidRPr="004D2D9E">
        <w:rPr>
          <w:rFonts w:ascii="Book Antiqua" w:hAnsi="Book Antiqua"/>
        </w:rPr>
        <w:t xml:space="preserve"> 2009; </w:t>
      </w:r>
      <w:r w:rsidRPr="004D2D9E">
        <w:rPr>
          <w:rFonts w:ascii="Book Antiqua" w:hAnsi="Book Antiqua"/>
          <w:b/>
          <w:bCs/>
        </w:rPr>
        <w:t>101</w:t>
      </w:r>
      <w:r w:rsidRPr="004D2D9E">
        <w:rPr>
          <w:rFonts w:ascii="Book Antiqua" w:hAnsi="Book Antiqua"/>
        </w:rPr>
        <w:t>: 1348-1355 [PMID: 19759364 DOI: 10.1093/jnci/djp288]</w:t>
      </w:r>
    </w:p>
    <w:p w14:paraId="4B7E6548"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71 </w:t>
      </w:r>
      <w:r w:rsidRPr="004D2D9E">
        <w:rPr>
          <w:rFonts w:ascii="Book Antiqua" w:hAnsi="Book Antiqua"/>
          <w:b/>
          <w:bCs/>
        </w:rPr>
        <w:t>Park NH</w:t>
      </w:r>
      <w:r w:rsidRPr="004D2D9E">
        <w:rPr>
          <w:rFonts w:ascii="Book Antiqua" w:hAnsi="Book Antiqua"/>
        </w:rPr>
        <w:t xml:space="preserve">, Chung YH, Lee HS. Impacts of vaccination on hepatitis B viral infections in Korea over a 25-year period. </w:t>
      </w:r>
      <w:r w:rsidRPr="004D2D9E">
        <w:rPr>
          <w:rFonts w:ascii="Book Antiqua" w:hAnsi="Book Antiqua"/>
          <w:i/>
          <w:iCs/>
        </w:rPr>
        <w:t>Intervirology</w:t>
      </w:r>
      <w:r w:rsidRPr="004D2D9E">
        <w:rPr>
          <w:rFonts w:ascii="Book Antiqua" w:hAnsi="Book Antiqua"/>
        </w:rPr>
        <w:t xml:space="preserve"> 2010; </w:t>
      </w:r>
      <w:r w:rsidRPr="004D2D9E">
        <w:rPr>
          <w:rFonts w:ascii="Book Antiqua" w:hAnsi="Book Antiqua"/>
          <w:b/>
          <w:bCs/>
        </w:rPr>
        <w:t>53</w:t>
      </w:r>
      <w:r w:rsidRPr="004D2D9E">
        <w:rPr>
          <w:rFonts w:ascii="Book Antiqua" w:hAnsi="Book Antiqua"/>
        </w:rPr>
        <w:t>: 20-28 [PMID: 20068337 DOI: 10.1159/000252780]</w:t>
      </w:r>
    </w:p>
    <w:p w14:paraId="4B004B8E"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72 </w:t>
      </w:r>
      <w:r w:rsidRPr="004D2D9E">
        <w:rPr>
          <w:rFonts w:ascii="Book Antiqua" w:hAnsi="Book Antiqua"/>
          <w:b/>
          <w:bCs/>
        </w:rPr>
        <w:t>Whitford K</w:t>
      </w:r>
      <w:r w:rsidRPr="004D2D9E">
        <w:rPr>
          <w:rFonts w:ascii="Book Antiqua" w:hAnsi="Book Antiqua"/>
        </w:rPr>
        <w:t xml:space="preserve">, Liu B, Micallef J, Yin JK, Macartney K, Van Damme P, Kaldor JM. Long-term impact of infant immunization on hepatitis B prevalence: a systematic review and meta-analysis. </w:t>
      </w:r>
      <w:r w:rsidRPr="004D2D9E">
        <w:rPr>
          <w:rFonts w:ascii="Book Antiqua" w:hAnsi="Book Antiqua"/>
          <w:i/>
          <w:iCs/>
        </w:rPr>
        <w:t>Bull World Health Organ</w:t>
      </w:r>
      <w:r w:rsidRPr="004D2D9E">
        <w:rPr>
          <w:rFonts w:ascii="Book Antiqua" w:hAnsi="Book Antiqua"/>
        </w:rPr>
        <w:t xml:space="preserve"> 2018; </w:t>
      </w:r>
      <w:r w:rsidRPr="004D2D9E">
        <w:rPr>
          <w:rFonts w:ascii="Book Antiqua" w:hAnsi="Book Antiqua"/>
          <w:b/>
          <w:bCs/>
        </w:rPr>
        <w:t>96</w:t>
      </w:r>
      <w:r w:rsidRPr="004D2D9E">
        <w:rPr>
          <w:rFonts w:ascii="Book Antiqua" w:hAnsi="Book Antiqua"/>
        </w:rPr>
        <w:t>: 484-497 [PMID: 29962551 DOI: 10.2471/BLT.17.205153]</w:t>
      </w:r>
    </w:p>
    <w:p w14:paraId="655F5C9A"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73 </w:t>
      </w:r>
      <w:r w:rsidRPr="004D2D9E">
        <w:rPr>
          <w:rFonts w:ascii="Book Antiqua" w:hAnsi="Book Antiqua"/>
          <w:b/>
          <w:bCs/>
        </w:rPr>
        <w:t>Niederau C</w:t>
      </w:r>
      <w:r w:rsidRPr="004D2D9E">
        <w:rPr>
          <w:rFonts w:ascii="Book Antiqua" w:hAnsi="Book Antiqua"/>
        </w:rPr>
        <w:t xml:space="preserve">. Chronic hepatitis B in 2014: great therapeutic progress, large diagnostic deficit. </w:t>
      </w:r>
      <w:r w:rsidRPr="004D2D9E">
        <w:rPr>
          <w:rFonts w:ascii="Book Antiqua" w:hAnsi="Book Antiqua"/>
          <w:i/>
          <w:iCs/>
        </w:rPr>
        <w:t>World J Gastroenterol</w:t>
      </w:r>
      <w:r w:rsidRPr="004D2D9E">
        <w:rPr>
          <w:rFonts w:ascii="Book Antiqua" w:hAnsi="Book Antiqua"/>
        </w:rPr>
        <w:t xml:space="preserve"> 2014; </w:t>
      </w:r>
      <w:r w:rsidRPr="004D2D9E">
        <w:rPr>
          <w:rFonts w:ascii="Book Antiqua" w:hAnsi="Book Antiqua"/>
          <w:b/>
          <w:bCs/>
        </w:rPr>
        <w:t>20</w:t>
      </w:r>
      <w:r w:rsidRPr="004D2D9E">
        <w:rPr>
          <w:rFonts w:ascii="Book Antiqua" w:hAnsi="Book Antiqua"/>
        </w:rPr>
        <w:t>: 11595-11617 [PMID: 25206267 DOI: 10.3748/wjg.v20.i33.11595]</w:t>
      </w:r>
    </w:p>
    <w:p w14:paraId="16706DDE"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74 </w:t>
      </w:r>
      <w:r w:rsidRPr="004D2D9E">
        <w:rPr>
          <w:rFonts w:ascii="Book Antiqua" w:hAnsi="Book Antiqua"/>
          <w:b/>
          <w:bCs/>
        </w:rPr>
        <w:t>Scognamiglio P</w:t>
      </w:r>
      <w:r w:rsidRPr="004D2D9E">
        <w:rPr>
          <w:rFonts w:ascii="Book Antiqua" w:hAnsi="Book Antiqua"/>
        </w:rPr>
        <w:t xml:space="preserve">, Girardi E, Fusco M, Piselli P, Spena SR, Maione C, Pisanti FA, Serraino D; Collaborating Study Group. Lack of implementation of Hepatitis B Virus (HBV) vaccination policy in household contacts of HBV carriers in Italy. </w:t>
      </w:r>
      <w:r w:rsidRPr="004D2D9E">
        <w:rPr>
          <w:rFonts w:ascii="Book Antiqua" w:hAnsi="Book Antiqua"/>
          <w:i/>
          <w:iCs/>
        </w:rPr>
        <w:t>BMC Infect Dis</w:t>
      </w:r>
      <w:r w:rsidRPr="004D2D9E">
        <w:rPr>
          <w:rFonts w:ascii="Book Antiqua" w:hAnsi="Book Antiqua"/>
        </w:rPr>
        <w:t xml:space="preserve"> 2009; </w:t>
      </w:r>
      <w:r w:rsidRPr="004D2D9E">
        <w:rPr>
          <w:rFonts w:ascii="Book Antiqua" w:hAnsi="Book Antiqua"/>
          <w:b/>
          <w:bCs/>
        </w:rPr>
        <w:t>9</w:t>
      </w:r>
      <w:r w:rsidRPr="004D2D9E">
        <w:rPr>
          <w:rFonts w:ascii="Book Antiqua" w:hAnsi="Book Antiqua"/>
        </w:rPr>
        <w:t>: 86 [PMID: 19500412 DOI: 10.1186/1471-2334-9-86]</w:t>
      </w:r>
    </w:p>
    <w:p w14:paraId="7233A308"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75 </w:t>
      </w:r>
      <w:r w:rsidRPr="004D2D9E">
        <w:rPr>
          <w:rFonts w:ascii="Book Antiqua" w:hAnsi="Book Antiqua"/>
          <w:b/>
          <w:bCs/>
        </w:rPr>
        <w:t>Wallace J</w:t>
      </w:r>
      <w:r w:rsidRPr="004D2D9E">
        <w:rPr>
          <w:rFonts w:ascii="Book Antiqua" w:hAnsi="Book Antiqua"/>
        </w:rPr>
        <w:t xml:space="preserve">, Hajarizadeh B, Richmond J, McNally S. Challenges in managing patients in Australia with chronic hepatitis B: the General Practitioners' perspective. </w:t>
      </w:r>
      <w:r w:rsidRPr="004D2D9E">
        <w:rPr>
          <w:rFonts w:ascii="Book Antiqua" w:hAnsi="Book Antiqua"/>
          <w:i/>
          <w:iCs/>
        </w:rPr>
        <w:t>Aust N Z J Public Health</w:t>
      </w:r>
      <w:r w:rsidRPr="004D2D9E">
        <w:rPr>
          <w:rFonts w:ascii="Book Antiqua" w:hAnsi="Book Antiqua"/>
        </w:rPr>
        <w:t xml:space="preserve"> 2013; </w:t>
      </w:r>
      <w:r w:rsidRPr="004D2D9E">
        <w:rPr>
          <w:rFonts w:ascii="Book Antiqua" w:hAnsi="Book Antiqua"/>
          <w:b/>
          <w:bCs/>
        </w:rPr>
        <w:t>37</w:t>
      </w:r>
      <w:r w:rsidRPr="004D2D9E">
        <w:rPr>
          <w:rFonts w:ascii="Book Antiqua" w:hAnsi="Book Antiqua"/>
        </w:rPr>
        <w:t>: 405-410 [PMID: 24090321 DOI: 10.1111/1753-6405.12127]</w:t>
      </w:r>
    </w:p>
    <w:p w14:paraId="42024B63"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76 </w:t>
      </w:r>
      <w:r w:rsidRPr="004D2D9E">
        <w:rPr>
          <w:rFonts w:ascii="Book Antiqua" w:hAnsi="Book Antiqua"/>
          <w:b/>
          <w:bCs/>
        </w:rPr>
        <w:t>Sievert K</w:t>
      </w:r>
      <w:r w:rsidRPr="004D2D9E">
        <w:rPr>
          <w:rFonts w:ascii="Book Antiqua" w:hAnsi="Book Antiqua"/>
        </w:rPr>
        <w:t xml:space="preserve">, Liddle R, Tan A, Arachchi N, Valaydon Z, Allard N. Promoting hospital and primary care collaboration for timely and effective care for chronic hepatitis B in western Melbourne. </w:t>
      </w:r>
      <w:r w:rsidRPr="004D2D9E">
        <w:rPr>
          <w:rFonts w:ascii="Book Antiqua" w:hAnsi="Book Antiqua"/>
          <w:i/>
          <w:iCs/>
        </w:rPr>
        <w:t>Aust Health Rev</w:t>
      </w:r>
      <w:r w:rsidRPr="004D2D9E">
        <w:rPr>
          <w:rFonts w:ascii="Book Antiqua" w:hAnsi="Book Antiqua"/>
        </w:rPr>
        <w:t xml:space="preserve"> 2020; </w:t>
      </w:r>
      <w:r w:rsidRPr="004D2D9E">
        <w:rPr>
          <w:rFonts w:ascii="Book Antiqua" w:hAnsi="Book Antiqua"/>
          <w:b/>
          <w:bCs/>
        </w:rPr>
        <w:t>44</w:t>
      </w:r>
      <w:r w:rsidRPr="004D2D9E">
        <w:rPr>
          <w:rFonts w:ascii="Book Antiqua" w:hAnsi="Book Antiqua"/>
        </w:rPr>
        <w:t>: 521-526 [PMID: 32718420 DOI: 10.1071/AH19135]</w:t>
      </w:r>
    </w:p>
    <w:p w14:paraId="6D12FAF1"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77 </w:t>
      </w:r>
      <w:r w:rsidRPr="004D2D9E">
        <w:rPr>
          <w:rFonts w:ascii="Book Antiqua" w:hAnsi="Book Antiqua"/>
          <w:b/>
          <w:bCs/>
        </w:rPr>
        <w:t>Terrault NA</w:t>
      </w:r>
      <w:r w:rsidRPr="004D2D9E">
        <w:rPr>
          <w:rFonts w:ascii="Book Antiqua" w:hAnsi="Book Antiqua"/>
        </w:rPr>
        <w:t xml:space="preserve">, Lok ASF, McMahon BJ, Chang KM, Hwang JP, Jonas MM, Brown RS Jr, Bzowej NH, Wong JB. Update on prevention, diagnosis, and treatment of chronic </w:t>
      </w:r>
      <w:r w:rsidRPr="004D2D9E">
        <w:rPr>
          <w:rFonts w:ascii="Book Antiqua" w:hAnsi="Book Antiqua"/>
        </w:rPr>
        <w:lastRenderedPageBreak/>
        <w:t xml:space="preserve">hepatitis B: AASLD 2018 hepatitis B guidance. </w:t>
      </w:r>
      <w:r w:rsidRPr="004D2D9E">
        <w:rPr>
          <w:rFonts w:ascii="Book Antiqua" w:hAnsi="Book Antiqua"/>
          <w:i/>
          <w:iCs/>
        </w:rPr>
        <w:t>Hepatology</w:t>
      </w:r>
      <w:r w:rsidRPr="004D2D9E">
        <w:rPr>
          <w:rFonts w:ascii="Book Antiqua" w:hAnsi="Book Antiqua"/>
        </w:rPr>
        <w:t xml:space="preserve"> 2018; </w:t>
      </w:r>
      <w:r w:rsidRPr="004D2D9E">
        <w:rPr>
          <w:rFonts w:ascii="Book Antiqua" w:hAnsi="Book Antiqua"/>
          <w:b/>
          <w:bCs/>
        </w:rPr>
        <w:t>67</w:t>
      </w:r>
      <w:r w:rsidRPr="004D2D9E">
        <w:rPr>
          <w:rFonts w:ascii="Book Antiqua" w:hAnsi="Book Antiqua"/>
        </w:rPr>
        <w:t>: 1560-1599 [PMID: 29405329 DOI: 10.1002/hep.29800]</w:t>
      </w:r>
    </w:p>
    <w:p w14:paraId="0C31D18F"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78 </w:t>
      </w:r>
      <w:r w:rsidRPr="004D2D9E">
        <w:rPr>
          <w:rFonts w:ascii="Book Antiqua" w:hAnsi="Book Antiqua"/>
          <w:b/>
          <w:bCs/>
        </w:rPr>
        <w:t>European Association for the Study of the Liver. Electronic address: easloffice@easloffice.eu.</w:t>
      </w:r>
      <w:r w:rsidRPr="004D2D9E">
        <w:rPr>
          <w:rFonts w:ascii="Book Antiqua" w:hAnsi="Book Antiqua"/>
        </w:rPr>
        <w:t xml:space="preserve">; European Association for the Study of the Liver. EASL 2017 Clinical Practice Guidelines on the management of hepatitis B virus infection. </w:t>
      </w:r>
      <w:r w:rsidRPr="004D2D9E">
        <w:rPr>
          <w:rFonts w:ascii="Book Antiqua" w:hAnsi="Book Antiqua"/>
          <w:i/>
          <w:iCs/>
        </w:rPr>
        <w:t>J Hepatol</w:t>
      </w:r>
      <w:r w:rsidRPr="004D2D9E">
        <w:rPr>
          <w:rFonts w:ascii="Book Antiqua" w:hAnsi="Book Antiqua"/>
        </w:rPr>
        <w:t xml:space="preserve"> 2017; </w:t>
      </w:r>
      <w:r w:rsidRPr="004D2D9E">
        <w:rPr>
          <w:rFonts w:ascii="Book Antiqua" w:hAnsi="Book Antiqua"/>
          <w:b/>
          <w:bCs/>
        </w:rPr>
        <w:t>67</w:t>
      </w:r>
      <w:r w:rsidRPr="004D2D9E">
        <w:rPr>
          <w:rFonts w:ascii="Book Antiqua" w:hAnsi="Book Antiqua"/>
        </w:rPr>
        <w:t>: 370-398 [PMID: 28427875 DOI: 10.1016/j.jhep.2017.03.021]</w:t>
      </w:r>
    </w:p>
    <w:p w14:paraId="6E4124E7"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79 </w:t>
      </w:r>
      <w:r w:rsidRPr="004D2D9E">
        <w:rPr>
          <w:rFonts w:ascii="Book Antiqua" w:hAnsi="Book Antiqua"/>
          <w:b/>
          <w:bCs/>
        </w:rPr>
        <w:t>Yim HJ</w:t>
      </w:r>
      <w:r w:rsidRPr="004D2D9E">
        <w:rPr>
          <w:rFonts w:ascii="Book Antiqua" w:hAnsi="Book Antiqua"/>
        </w:rPr>
        <w:t xml:space="preserve">, Kim JH, Park JY, Yoon EL, Park H, Kwon JH, Sinn DH, Lee SH, Lee JH, Lee HW. Comparison of clinical practice guidelines for the management of chronic hepatitis B: When to start, when to change, and when to stop. </w:t>
      </w:r>
      <w:r w:rsidRPr="004D2D9E">
        <w:rPr>
          <w:rFonts w:ascii="Book Antiqua" w:hAnsi="Book Antiqua"/>
          <w:i/>
          <w:iCs/>
        </w:rPr>
        <w:t>Clin Mol Hepatol</w:t>
      </w:r>
      <w:r w:rsidRPr="004D2D9E">
        <w:rPr>
          <w:rFonts w:ascii="Book Antiqua" w:hAnsi="Book Antiqua"/>
        </w:rPr>
        <w:t xml:space="preserve"> 2020; </w:t>
      </w:r>
      <w:r w:rsidRPr="004D2D9E">
        <w:rPr>
          <w:rFonts w:ascii="Book Antiqua" w:hAnsi="Book Antiqua"/>
          <w:b/>
          <w:bCs/>
        </w:rPr>
        <w:t>26</w:t>
      </w:r>
      <w:r w:rsidRPr="004D2D9E">
        <w:rPr>
          <w:rFonts w:ascii="Book Antiqua" w:hAnsi="Book Antiqua"/>
        </w:rPr>
        <w:t>: 411-429 [PMID: 32854458 DOI: 10.3350/cmh.2020.0049]</w:t>
      </w:r>
    </w:p>
    <w:p w14:paraId="54319679"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80 </w:t>
      </w:r>
      <w:r w:rsidRPr="004D2D9E">
        <w:rPr>
          <w:rFonts w:ascii="Book Antiqua" w:hAnsi="Book Antiqua"/>
          <w:b/>
          <w:bCs/>
        </w:rPr>
        <w:t>Tenney DJ</w:t>
      </w:r>
      <w:r w:rsidRPr="004D2D9E">
        <w:rPr>
          <w:rFonts w:ascii="Book Antiqua" w:hAnsi="Book Antiqua"/>
        </w:rPr>
        <w:t xml:space="preserve">, Rose RE, Baldick CJ, Pokornowski KA, Eggers BJ, Fang J, Wichroski MJ, Xu D, Yang J, Wilber RB, Colonno RJ. Long-term monitoring shows hepatitis B virus resistance to entecavir in nucleoside-naïve patients is rare through 5 years of therapy. </w:t>
      </w:r>
      <w:r w:rsidRPr="004D2D9E">
        <w:rPr>
          <w:rFonts w:ascii="Book Antiqua" w:hAnsi="Book Antiqua"/>
          <w:i/>
          <w:iCs/>
        </w:rPr>
        <w:t>Hepatology</w:t>
      </w:r>
      <w:r w:rsidRPr="004D2D9E">
        <w:rPr>
          <w:rFonts w:ascii="Book Antiqua" w:hAnsi="Book Antiqua"/>
        </w:rPr>
        <w:t xml:space="preserve"> 2009; </w:t>
      </w:r>
      <w:r w:rsidRPr="004D2D9E">
        <w:rPr>
          <w:rFonts w:ascii="Book Antiqua" w:hAnsi="Book Antiqua"/>
          <w:b/>
          <w:bCs/>
        </w:rPr>
        <w:t>49</w:t>
      </w:r>
      <w:r w:rsidRPr="004D2D9E">
        <w:rPr>
          <w:rFonts w:ascii="Book Antiqua" w:hAnsi="Book Antiqua"/>
        </w:rPr>
        <w:t>: 1503-1514 [PMID: 19280622 DOI: 10.1002/hep.22841]</w:t>
      </w:r>
    </w:p>
    <w:p w14:paraId="0D6670CF"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81 </w:t>
      </w:r>
      <w:r w:rsidRPr="004D2D9E">
        <w:rPr>
          <w:rFonts w:ascii="Book Antiqua" w:hAnsi="Book Antiqua"/>
          <w:b/>
          <w:bCs/>
        </w:rPr>
        <w:t>Zhang Y</w:t>
      </w:r>
      <w:r w:rsidRPr="004D2D9E">
        <w:rPr>
          <w:rFonts w:ascii="Book Antiqua" w:hAnsi="Book Antiqua"/>
        </w:rPr>
        <w:t xml:space="preserve">, Xu W, Zhu X, Li X, Li J, Shu X, Lai J, Xie J, Xie C, Peng L. The 48-week safety and therapeutic effects of tenofovir alafenamide in hbv-related acute-on-chronic liver failure: A prospective cohort study. </w:t>
      </w:r>
      <w:r w:rsidRPr="004D2D9E">
        <w:rPr>
          <w:rFonts w:ascii="Book Antiqua" w:hAnsi="Book Antiqua"/>
          <w:i/>
          <w:iCs/>
        </w:rPr>
        <w:t>J Viral Hepat</w:t>
      </w:r>
      <w:r w:rsidRPr="004D2D9E">
        <w:rPr>
          <w:rFonts w:ascii="Book Antiqua" w:hAnsi="Book Antiqua"/>
        </w:rPr>
        <w:t xml:space="preserve"> 2021; </w:t>
      </w:r>
      <w:r w:rsidRPr="004D2D9E">
        <w:rPr>
          <w:rFonts w:ascii="Book Antiqua" w:hAnsi="Book Antiqua"/>
          <w:b/>
          <w:bCs/>
        </w:rPr>
        <w:t>28</w:t>
      </w:r>
      <w:r w:rsidRPr="004D2D9E">
        <w:rPr>
          <w:rFonts w:ascii="Book Antiqua" w:hAnsi="Book Antiqua"/>
        </w:rPr>
        <w:t>: 592-600 [PMID: 33423348 DOI: 10.1111/jvh.13468]</w:t>
      </w:r>
    </w:p>
    <w:p w14:paraId="2E02684D"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82 </w:t>
      </w:r>
      <w:r w:rsidRPr="004D2D9E">
        <w:rPr>
          <w:rFonts w:ascii="Book Antiqua" w:hAnsi="Book Antiqua"/>
          <w:b/>
          <w:bCs/>
        </w:rPr>
        <w:t>Kaneko S</w:t>
      </w:r>
      <w:r w:rsidRPr="004D2D9E">
        <w:rPr>
          <w:rFonts w:ascii="Book Antiqua" w:hAnsi="Book Antiqua"/>
        </w:rPr>
        <w:t xml:space="preserve">, Kurosaki M, Tamaki N, Itakura J, Hayashi T, Kirino S, Osawa L, Watakabe K, Okada M, Wang W, Shimizu T, Higuchi M, Takaura K, Yasui Y, Tsuchiya K, Nakanishi H, Takahashi Y, Watanabe M, Izumi N. Tenofovir alafenamide for hepatitis B virus infection including switching therapy from tenofovir disoproxil fumarate. </w:t>
      </w:r>
      <w:r w:rsidRPr="004D2D9E">
        <w:rPr>
          <w:rFonts w:ascii="Book Antiqua" w:hAnsi="Book Antiqua"/>
          <w:i/>
          <w:iCs/>
        </w:rPr>
        <w:t>J Gastroenterol Hepatol</w:t>
      </w:r>
      <w:r w:rsidRPr="004D2D9E">
        <w:rPr>
          <w:rFonts w:ascii="Book Antiqua" w:hAnsi="Book Antiqua"/>
        </w:rPr>
        <w:t xml:space="preserve"> 2019; </w:t>
      </w:r>
      <w:r w:rsidRPr="004D2D9E">
        <w:rPr>
          <w:rFonts w:ascii="Book Antiqua" w:hAnsi="Book Antiqua"/>
          <w:b/>
          <w:bCs/>
        </w:rPr>
        <w:t>34</w:t>
      </w:r>
      <w:r w:rsidRPr="004D2D9E">
        <w:rPr>
          <w:rFonts w:ascii="Book Antiqua" w:hAnsi="Book Antiqua"/>
        </w:rPr>
        <w:t>: 2004-2010 [PMID: 31017689 DOI: 10.1111/jgh.14686]</w:t>
      </w:r>
    </w:p>
    <w:p w14:paraId="2D68272B"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83 </w:t>
      </w:r>
      <w:r w:rsidRPr="004D2D9E">
        <w:rPr>
          <w:rFonts w:ascii="Book Antiqua" w:hAnsi="Book Antiqua"/>
          <w:b/>
          <w:bCs/>
        </w:rPr>
        <w:t>Seto WK</w:t>
      </w:r>
      <w:r w:rsidRPr="004D2D9E">
        <w:rPr>
          <w:rFonts w:ascii="Book Antiqua" w:hAnsi="Book Antiqua"/>
        </w:rPr>
        <w:t xml:space="preserve">, Asahina Y, Brown TT, Peng CY, Stanciu C, Abdurakhmanov D, Tabak F, Nguyen TT, Chuang WL, Inokuma T, Ikeda F, Santantonio TA, Habersetzer F, Ramji A, Lau AH, Suri V, Flaherty JF, Wang H, Gaggar A, Subramanian GM, Mukewar S, Brunetto MR, Fung S, Chan HL. Improved Bone Safety of Tenofovir Alafenamide Compared to Tenofovir Disoproxil Fumarate Over 2 Years in Patients With Chronic HBV Infection. </w:t>
      </w:r>
      <w:r w:rsidRPr="004D2D9E">
        <w:rPr>
          <w:rFonts w:ascii="Book Antiqua" w:hAnsi="Book Antiqua"/>
          <w:i/>
          <w:iCs/>
        </w:rPr>
        <w:t>Clin Gastroenterol Hepatol</w:t>
      </w:r>
      <w:r w:rsidRPr="004D2D9E">
        <w:rPr>
          <w:rFonts w:ascii="Book Antiqua" w:hAnsi="Book Antiqua"/>
        </w:rPr>
        <w:t xml:space="preserve"> 2018 [PMID: 29933096 DOI: 10.1016/j.cgh.2018.06.023]</w:t>
      </w:r>
    </w:p>
    <w:p w14:paraId="0FB36441" w14:textId="77777777" w:rsidR="004D2D9E" w:rsidRPr="004D2D9E" w:rsidRDefault="004D2D9E" w:rsidP="004D2D9E">
      <w:pPr>
        <w:spacing w:line="360" w:lineRule="auto"/>
        <w:jc w:val="both"/>
        <w:rPr>
          <w:rFonts w:ascii="Book Antiqua" w:hAnsi="Book Antiqua"/>
        </w:rPr>
      </w:pPr>
      <w:r w:rsidRPr="004D2D9E">
        <w:rPr>
          <w:rFonts w:ascii="Book Antiqua" w:hAnsi="Book Antiqua"/>
        </w:rPr>
        <w:lastRenderedPageBreak/>
        <w:t xml:space="preserve">84 </w:t>
      </w:r>
      <w:r w:rsidRPr="004D2D9E">
        <w:rPr>
          <w:rFonts w:ascii="Book Antiqua" w:hAnsi="Book Antiqua"/>
          <w:b/>
          <w:bCs/>
        </w:rPr>
        <w:t>Agarwal K</w:t>
      </w:r>
      <w:r w:rsidRPr="004D2D9E">
        <w:rPr>
          <w:rFonts w:ascii="Book Antiqua" w:hAnsi="Book Antiqua"/>
        </w:rPr>
        <w:t>, Brunetto M, Seto WK, Lim YS, Fung S, Marcellin P, Ahn SH, Izumi N, Chuang WL, Bae H, Sharma M, Janssen HLA, Pan CQ, Çelen MK, Furusyo N, Shalimar D, Yoon KT, Trinh H, Flaherty JF, Gaggar A, Lau AH, Cathcart AL, Lin L, Bhardwaj N, Suri V, Mani Subramanian G, Gane EJ, Buti M, Chan HLY; GS-US-320-0110; GS-US-320-0108 Investigators. 96</w:t>
      </w:r>
      <w:r w:rsidRPr="004D2D9E">
        <w:t> </w:t>
      </w:r>
      <w:r w:rsidRPr="004D2D9E">
        <w:rPr>
          <w:rFonts w:ascii="Book Antiqua" w:hAnsi="Book Antiqua"/>
        </w:rPr>
        <w:t xml:space="preserve">weeks treatment of tenofovir alafenamide vs. tenofovir disoproxil fumarate for hepatitis B virus infection. </w:t>
      </w:r>
      <w:r w:rsidRPr="004D2D9E">
        <w:rPr>
          <w:rFonts w:ascii="Book Antiqua" w:hAnsi="Book Antiqua"/>
          <w:i/>
          <w:iCs/>
        </w:rPr>
        <w:t>J Hepatol</w:t>
      </w:r>
      <w:r w:rsidRPr="004D2D9E">
        <w:rPr>
          <w:rFonts w:ascii="Book Antiqua" w:hAnsi="Book Antiqua"/>
        </w:rPr>
        <w:t xml:space="preserve"> 2018; </w:t>
      </w:r>
      <w:r w:rsidRPr="004D2D9E">
        <w:rPr>
          <w:rFonts w:ascii="Book Antiqua" w:hAnsi="Book Antiqua"/>
          <w:b/>
          <w:bCs/>
        </w:rPr>
        <w:t>68</w:t>
      </w:r>
      <w:r w:rsidRPr="004D2D9E">
        <w:rPr>
          <w:rFonts w:ascii="Book Antiqua" w:hAnsi="Book Antiqua"/>
        </w:rPr>
        <w:t>: 672-681 [PMID: 29756595 DOI: 10.1016/j.jhep.2017.11.039]</w:t>
      </w:r>
    </w:p>
    <w:p w14:paraId="7019DDF6"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85 </w:t>
      </w:r>
      <w:r w:rsidRPr="004D2D9E">
        <w:rPr>
          <w:rFonts w:ascii="Book Antiqua" w:hAnsi="Book Antiqua"/>
          <w:b/>
          <w:bCs/>
        </w:rPr>
        <w:t>Miquel M</w:t>
      </w:r>
      <w:r w:rsidRPr="004D2D9E">
        <w:rPr>
          <w:rFonts w:ascii="Book Antiqua" w:hAnsi="Book Antiqua"/>
        </w:rPr>
        <w:t xml:space="preserve">, Pardo A, Forné M, Martínez-Alpin G, Rodríguez-Castellano A, Casas M, Rosinach M, Roget M, Dalmau B, Temiño R, Quer JC, Sanchez-Delgado J, Ortiz J, Vergara M. Current trends in access to treatment for hepatitis B in immigrants vs non-immigrants. </w:t>
      </w:r>
      <w:r w:rsidRPr="004D2D9E">
        <w:rPr>
          <w:rFonts w:ascii="Book Antiqua" w:hAnsi="Book Antiqua"/>
          <w:i/>
          <w:iCs/>
        </w:rPr>
        <w:t>Gastroenterol Rep (Oxf)</w:t>
      </w:r>
      <w:r w:rsidRPr="004D2D9E">
        <w:rPr>
          <w:rFonts w:ascii="Book Antiqua" w:hAnsi="Book Antiqua"/>
        </w:rPr>
        <w:t xml:space="preserve"> 2020; </w:t>
      </w:r>
      <w:r w:rsidRPr="004D2D9E">
        <w:rPr>
          <w:rFonts w:ascii="Book Antiqua" w:hAnsi="Book Antiqua"/>
          <w:b/>
          <w:bCs/>
        </w:rPr>
        <w:t>8</w:t>
      </w:r>
      <w:r w:rsidRPr="004D2D9E">
        <w:rPr>
          <w:rFonts w:ascii="Book Antiqua" w:hAnsi="Book Antiqua"/>
        </w:rPr>
        <w:t>: 362-366 [PMID: 33163191 DOI: 10.1093/gastro/goaa010]</w:t>
      </w:r>
    </w:p>
    <w:p w14:paraId="2B652A18"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86 </w:t>
      </w:r>
      <w:r w:rsidRPr="004D2D9E">
        <w:rPr>
          <w:rFonts w:ascii="Book Antiqua" w:hAnsi="Book Antiqua"/>
          <w:b/>
          <w:bCs/>
        </w:rPr>
        <w:t>Voulgaris T</w:t>
      </w:r>
      <w:r w:rsidRPr="004D2D9E">
        <w:rPr>
          <w:rFonts w:ascii="Book Antiqua" w:hAnsi="Book Antiqua"/>
        </w:rPr>
        <w:t xml:space="preserve">, Vlachogiannakos J, Ioannidou P, Papageorgiou MV, Zampeli E, Karagiannakis D, Georgiou A, Papazoglou A, Karamanolis G, Papatheodoridis GV. Adherence to follow-up and treatment recommendations in Greek and immigrant patients with chronic hepatitis B in Greece. </w:t>
      </w:r>
      <w:r w:rsidRPr="004D2D9E">
        <w:rPr>
          <w:rFonts w:ascii="Book Antiqua" w:hAnsi="Book Antiqua"/>
          <w:i/>
          <w:iCs/>
        </w:rPr>
        <w:t>Eur J Gastroenterol Hepatol</w:t>
      </w:r>
      <w:r w:rsidRPr="004D2D9E">
        <w:rPr>
          <w:rFonts w:ascii="Book Antiqua" w:hAnsi="Book Antiqua"/>
        </w:rPr>
        <w:t xml:space="preserve"> 2017; </w:t>
      </w:r>
      <w:r w:rsidRPr="004D2D9E">
        <w:rPr>
          <w:rFonts w:ascii="Book Antiqua" w:hAnsi="Book Antiqua"/>
          <w:b/>
          <w:bCs/>
        </w:rPr>
        <w:t>29</w:t>
      </w:r>
      <w:r w:rsidRPr="004D2D9E">
        <w:rPr>
          <w:rFonts w:ascii="Book Antiqua" w:hAnsi="Book Antiqua"/>
        </w:rPr>
        <w:t>: 264-270 [PMID: 27922484 DOI: 10.1097/MEG.0000000000000788]</w:t>
      </w:r>
    </w:p>
    <w:p w14:paraId="630C9AC8"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87 </w:t>
      </w:r>
      <w:r w:rsidRPr="004D2D9E">
        <w:rPr>
          <w:rFonts w:ascii="Book Antiqua" w:hAnsi="Book Antiqua"/>
          <w:b/>
          <w:bCs/>
        </w:rPr>
        <w:t>Contini C</w:t>
      </w:r>
      <w:r w:rsidRPr="004D2D9E">
        <w:rPr>
          <w:rFonts w:ascii="Book Antiqua" w:hAnsi="Book Antiqua"/>
        </w:rPr>
        <w:t xml:space="preserve">, Badia L, Cultrera R, Grilli A, De Togni A. Epidemiological, clinical and laboratory features of chronic hepatitis B infection in a cohort of immigrant and Italian patients from Ferrara, Italy. </w:t>
      </w:r>
      <w:r w:rsidRPr="004D2D9E">
        <w:rPr>
          <w:rFonts w:ascii="Book Antiqua" w:hAnsi="Book Antiqua"/>
          <w:i/>
          <w:iCs/>
        </w:rPr>
        <w:t>Ann Hepatol</w:t>
      </w:r>
      <w:r w:rsidRPr="004D2D9E">
        <w:rPr>
          <w:rFonts w:ascii="Book Antiqua" w:hAnsi="Book Antiqua"/>
        </w:rPr>
        <w:t xml:space="preserve"> 2012; </w:t>
      </w:r>
      <w:r w:rsidRPr="004D2D9E">
        <w:rPr>
          <w:rFonts w:ascii="Book Antiqua" w:hAnsi="Book Antiqua"/>
          <w:b/>
          <w:bCs/>
        </w:rPr>
        <w:t>11</w:t>
      </w:r>
      <w:r w:rsidRPr="004D2D9E">
        <w:rPr>
          <w:rFonts w:ascii="Book Antiqua" w:hAnsi="Book Antiqua"/>
        </w:rPr>
        <w:t>: 862-869 [PMID: 23109449]</w:t>
      </w:r>
    </w:p>
    <w:p w14:paraId="759AD01B"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88 </w:t>
      </w:r>
      <w:r w:rsidRPr="004D2D9E">
        <w:rPr>
          <w:rFonts w:ascii="Book Antiqua" w:hAnsi="Book Antiqua"/>
          <w:b/>
          <w:bCs/>
        </w:rPr>
        <w:t>Alonso M</w:t>
      </w:r>
      <w:r w:rsidRPr="004D2D9E">
        <w:rPr>
          <w:rFonts w:ascii="Book Antiqua" w:hAnsi="Book Antiqua"/>
        </w:rPr>
        <w:t xml:space="preserve">, Gutzman A, Mazin R, Pinzon CE, Reveiz L, Ghidinelli M. Hepatitis C in key populations in Latin America and the Caribbean: systematic review and meta-analysis. </w:t>
      </w:r>
      <w:r w:rsidRPr="004D2D9E">
        <w:rPr>
          <w:rFonts w:ascii="Book Antiqua" w:hAnsi="Book Antiqua"/>
          <w:i/>
          <w:iCs/>
        </w:rPr>
        <w:t>Int J Public Health</w:t>
      </w:r>
      <w:r w:rsidRPr="004D2D9E">
        <w:rPr>
          <w:rFonts w:ascii="Book Antiqua" w:hAnsi="Book Antiqua"/>
        </w:rPr>
        <w:t xml:space="preserve"> 2015; </w:t>
      </w:r>
      <w:r w:rsidRPr="004D2D9E">
        <w:rPr>
          <w:rFonts w:ascii="Book Antiqua" w:hAnsi="Book Antiqua"/>
          <w:b/>
          <w:bCs/>
        </w:rPr>
        <w:t>60</w:t>
      </w:r>
      <w:r w:rsidRPr="004D2D9E">
        <w:rPr>
          <w:rFonts w:ascii="Book Antiqua" w:hAnsi="Book Antiqua"/>
        </w:rPr>
        <w:t>: 789-798 [PMID: 26298439 DOI: 10.1007/s00038-015-0708-5]</w:t>
      </w:r>
    </w:p>
    <w:p w14:paraId="4F2E99C3" w14:textId="37046DFE" w:rsidR="004D2D9E" w:rsidRPr="004D2D9E" w:rsidRDefault="004D2D9E" w:rsidP="004D2D9E">
      <w:pPr>
        <w:spacing w:line="360" w:lineRule="auto"/>
        <w:jc w:val="both"/>
        <w:rPr>
          <w:rFonts w:ascii="Book Antiqua" w:hAnsi="Book Antiqua"/>
        </w:rPr>
      </w:pPr>
      <w:r w:rsidRPr="004D2D9E">
        <w:rPr>
          <w:rFonts w:ascii="Book Antiqua" w:hAnsi="Book Antiqua"/>
        </w:rPr>
        <w:t xml:space="preserve">89 </w:t>
      </w:r>
      <w:r w:rsidRPr="004D2D9E">
        <w:rPr>
          <w:rFonts w:ascii="Book Antiqua" w:hAnsi="Book Antiqua"/>
          <w:b/>
          <w:bCs/>
        </w:rPr>
        <w:t>Godin A,</w:t>
      </w:r>
      <w:r w:rsidRPr="004D2D9E">
        <w:rPr>
          <w:rFonts w:ascii="Book Antiqua" w:hAnsi="Book Antiqua"/>
        </w:rPr>
        <w:t xml:space="preserve"> Kronfli N, Cox J, Alary M, Maheu-Giroux M. The role of prison-based interventions for hepatitis C virus (HCV) micro-elimination among people who inject drugs in Montréal, Canada. </w:t>
      </w:r>
      <w:r w:rsidRPr="00010634">
        <w:rPr>
          <w:rFonts w:ascii="Book Antiqua" w:hAnsi="Book Antiqua"/>
          <w:i/>
          <w:iCs/>
        </w:rPr>
        <w:t>Int J Drug Policy</w:t>
      </w:r>
      <w:r w:rsidRPr="004D2D9E">
        <w:rPr>
          <w:rFonts w:ascii="Book Antiqua" w:hAnsi="Book Antiqua"/>
        </w:rPr>
        <w:t xml:space="preserve"> 2020</w:t>
      </w:r>
      <w:r w:rsidR="00010634">
        <w:rPr>
          <w:rFonts w:ascii="Book Antiqua" w:hAnsi="Book Antiqua"/>
        </w:rPr>
        <w:t xml:space="preserve">; </w:t>
      </w:r>
      <w:r w:rsidRPr="004D2D9E">
        <w:rPr>
          <w:rFonts w:ascii="Book Antiqua" w:hAnsi="Book Antiqua"/>
        </w:rPr>
        <w:t>102738 [DOI: 10.1016/j.drugpo.2020.102738]</w:t>
      </w:r>
    </w:p>
    <w:p w14:paraId="49CDB4B7"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90 </w:t>
      </w:r>
      <w:r w:rsidRPr="004D2D9E">
        <w:rPr>
          <w:rFonts w:ascii="Book Antiqua" w:hAnsi="Book Antiqua"/>
          <w:b/>
          <w:bCs/>
        </w:rPr>
        <w:t>Gaspar R</w:t>
      </w:r>
      <w:r w:rsidRPr="004D2D9E">
        <w:rPr>
          <w:rFonts w:ascii="Book Antiqua" w:hAnsi="Book Antiqua"/>
        </w:rPr>
        <w:t>, Liberal R, Tavares J, Morgado R, Macedo G. HIPPOCRATES</w:t>
      </w:r>
      <w:r w:rsidRPr="004D2D9E">
        <w:rPr>
          <w:rFonts w:ascii="Book Antiqua" w:hAnsi="Book Antiqua"/>
          <w:vertAlign w:val="superscript"/>
        </w:rPr>
        <w:t>®</w:t>
      </w:r>
      <w:r w:rsidRPr="004D2D9E">
        <w:rPr>
          <w:rFonts w:ascii="Book Antiqua" w:hAnsi="Book Antiqua"/>
        </w:rPr>
        <w:t xml:space="preserve"> project: A proof of concept of a collaborative program for hepatitis C virus micro-elimination in a </w:t>
      </w:r>
      <w:r w:rsidRPr="004D2D9E">
        <w:rPr>
          <w:rFonts w:ascii="Book Antiqua" w:hAnsi="Book Antiqua"/>
        </w:rPr>
        <w:lastRenderedPageBreak/>
        <w:t xml:space="preserve">prison setting. </w:t>
      </w:r>
      <w:r w:rsidRPr="004D2D9E">
        <w:rPr>
          <w:rFonts w:ascii="Book Antiqua" w:hAnsi="Book Antiqua"/>
          <w:i/>
          <w:iCs/>
        </w:rPr>
        <w:t>World J Hepatol</w:t>
      </w:r>
      <w:r w:rsidRPr="004D2D9E">
        <w:rPr>
          <w:rFonts w:ascii="Book Antiqua" w:hAnsi="Book Antiqua"/>
        </w:rPr>
        <w:t xml:space="preserve"> 2020; </w:t>
      </w:r>
      <w:r w:rsidRPr="004D2D9E">
        <w:rPr>
          <w:rFonts w:ascii="Book Antiqua" w:hAnsi="Book Antiqua"/>
          <w:b/>
          <w:bCs/>
        </w:rPr>
        <w:t>12</w:t>
      </w:r>
      <w:r w:rsidRPr="004D2D9E">
        <w:rPr>
          <w:rFonts w:ascii="Book Antiqua" w:hAnsi="Book Antiqua"/>
        </w:rPr>
        <w:t>: 1314-1325 [PMID: 33442457 DOI: 10.4254/wjh.v12.i12.1314]</w:t>
      </w:r>
    </w:p>
    <w:p w14:paraId="739AB961"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91 </w:t>
      </w:r>
      <w:r w:rsidRPr="004D2D9E">
        <w:rPr>
          <w:rFonts w:ascii="Book Antiqua" w:hAnsi="Book Antiqua"/>
          <w:b/>
          <w:bCs/>
        </w:rPr>
        <w:t>Cotte L</w:t>
      </w:r>
      <w:r w:rsidRPr="004D2D9E">
        <w:rPr>
          <w:rFonts w:ascii="Book Antiqua" w:hAnsi="Book Antiqua"/>
        </w:rPr>
        <w:t xml:space="preserve">, Hocqueloux L, Lefebvre M, Pradat P, Bani-Sadr F, Huleux T, Poizot-Martin I, Pugliese P, Rey D, Cabié A; Dat’AIDS study group. Microelimination or not? The changing epidemiology of HIV-HCV coinfection in France 2012-2018. </w:t>
      </w:r>
      <w:r w:rsidRPr="004D2D9E">
        <w:rPr>
          <w:rFonts w:ascii="Book Antiqua" w:hAnsi="Book Antiqua"/>
          <w:i/>
          <w:iCs/>
        </w:rPr>
        <w:t>Clin Infect Dis</w:t>
      </w:r>
      <w:r w:rsidRPr="004D2D9E">
        <w:rPr>
          <w:rFonts w:ascii="Book Antiqua" w:hAnsi="Book Antiqua"/>
        </w:rPr>
        <w:t xml:space="preserve"> 2021 [PMID: 33400777 DOI: 10.1093/cid/ciaa1940]</w:t>
      </w:r>
    </w:p>
    <w:p w14:paraId="11C6A378"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92 </w:t>
      </w:r>
      <w:r w:rsidRPr="004D2D9E">
        <w:rPr>
          <w:rFonts w:ascii="Book Antiqua" w:hAnsi="Book Antiqua"/>
          <w:b/>
          <w:bCs/>
        </w:rPr>
        <w:t>Gonzalez-Serna A</w:t>
      </w:r>
      <w:r w:rsidRPr="004D2D9E">
        <w:rPr>
          <w:rFonts w:ascii="Book Antiqua" w:hAnsi="Book Antiqua"/>
        </w:rPr>
        <w:t xml:space="preserve">, Macias J, Palacios R, Gómez-Ayerbe C, Tellez F, Rivero-Juárez A, Fernandez M, Santos J, Real LM, Gonzalez-Domenech CM, Gomez-Mateos J, Pineda JA; HEPAVIR study group. Incidence of recently acquired hepatitis C virus infection among HIV-infected patients in southern Spain. </w:t>
      </w:r>
      <w:r w:rsidRPr="004D2D9E">
        <w:rPr>
          <w:rFonts w:ascii="Book Antiqua" w:hAnsi="Book Antiqua"/>
          <w:i/>
          <w:iCs/>
        </w:rPr>
        <w:t>HIV Med</w:t>
      </w:r>
      <w:r w:rsidRPr="004D2D9E">
        <w:rPr>
          <w:rFonts w:ascii="Book Antiqua" w:hAnsi="Book Antiqua"/>
        </w:rPr>
        <w:t xml:space="preserve"> 2021; </w:t>
      </w:r>
      <w:r w:rsidRPr="004D2D9E">
        <w:rPr>
          <w:rFonts w:ascii="Book Antiqua" w:hAnsi="Book Antiqua"/>
          <w:b/>
          <w:bCs/>
        </w:rPr>
        <w:t>22</w:t>
      </w:r>
      <w:r w:rsidRPr="004D2D9E">
        <w:rPr>
          <w:rFonts w:ascii="Book Antiqua" w:hAnsi="Book Antiqua"/>
        </w:rPr>
        <w:t>: 379-386 [PMID: 33369104 DOI: 10.1111/hiv.13039]</w:t>
      </w:r>
    </w:p>
    <w:p w14:paraId="0C79F55C"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93 </w:t>
      </w:r>
      <w:r w:rsidRPr="004D2D9E">
        <w:rPr>
          <w:rFonts w:ascii="Book Antiqua" w:hAnsi="Book Antiqua"/>
          <w:b/>
          <w:bCs/>
        </w:rPr>
        <w:t>Smit C</w:t>
      </w:r>
      <w:r w:rsidRPr="004D2D9E">
        <w:rPr>
          <w:rFonts w:ascii="Book Antiqua" w:hAnsi="Book Antiqua"/>
        </w:rPr>
        <w:t xml:space="preserve">, Boyd A, Rijnders BJA, van de Laar TJW, Leyten EM, Bierman WF, Brinkman K, Claassen MAA, den Hollander J, Boerekamps A, Newsum AM, Schinkel J, Prins M, Arends JE, Op de Coul ELM, van der Valk M, Reiss P; ATHENA observational cohort. HCV micro-elimination in individuals with HIV in the Netherlands 4 years after universal access to direct-acting antivirals: a retrospective cohort study. </w:t>
      </w:r>
      <w:r w:rsidRPr="004D2D9E">
        <w:rPr>
          <w:rFonts w:ascii="Book Antiqua" w:hAnsi="Book Antiqua"/>
          <w:i/>
          <w:iCs/>
        </w:rPr>
        <w:t>Lancet HIV</w:t>
      </w:r>
      <w:r w:rsidRPr="004D2D9E">
        <w:rPr>
          <w:rFonts w:ascii="Book Antiqua" w:hAnsi="Book Antiqua"/>
        </w:rPr>
        <w:t xml:space="preserve"> 2021; </w:t>
      </w:r>
      <w:r w:rsidRPr="004D2D9E">
        <w:rPr>
          <w:rFonts w:ascii="Book Antiqua" w:hAnsi="Book Antiqua"/>
          <w:b/>
          <w:bCs/>
        </w:rPr>
        <w:t>8</w:t>
      </w:r>
      <w:r w:rsidRPr="004D2D9E">
        <w:rPr>
          <w:rFonts w:ascii="Book Antiqua" w:hAnsi="Book Antiqua"/>
        </w:rPr>
        <w:t>: e96-e105 [PMID: 33357835 DOI: 10.1016/S2352-3018(20)30301-5]</w:t>
      </w:r>
    </w:p>
    <w:p w14:paraId="3DC677D4"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94 </w:t>
      </w:r>
      <w:r w:rsidRPr="004D2D9E">
        <w:rPr>
          <w:rFonts w:ascii="Book Antiqua" w:hAnsi="Book Antiqua"/>
          <w:b/>
          <w:bCs/>
        </w:rPr>
        <w:t>Koopsen J</w:t>
      </w:r>
      <w:r w:rsidRPr="004D2D9E">
        <w:rPr>
          <w:rFonts w:ascii="Book Antiqua" w:hAnsi="Book Antiqua"/>
        </w:rPr>
        <w:t xml:space="preserve">, Parker E, Han AX, van de Laar T, Russell C, Hoornenborg E, Prins M, van der Valk M, Schinkel J. HCV transmission among MSM in Amsterdam: external introductions may complicate micro-elimination efforts. </w:t>
      </w:r>
      <w:r w:rsidRPr="004D2D9E">
        <w:rPr>
          <w:rFonts w:ascii="Book Antiqua" w:hAnsi="Book Antiqua"/>
          <w:i/>
          <w:iCs/>
        </w:rPr>
        <w:t>Clin Infect Dis</w:t>
      </w:r>
      <w:r w:rsidRPr="004D2D9E">
        <w:rPr>
          <w:rFonts w:ascii="Book Antiqua" w:hAnsi="Book Antiqua"/>
        </w:rPr>
        <w:t xml:space="preserve"> 2020 [PMID: 33289036 DOI: 10.1093/cid/ciaa1830]</w:t>
      </w:r>
    </w:p>
    <w:p w14:paraId="01EFDCB5"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95 </w:t>
      </w:r>
      <w:r w:rsidRPr="004D2D9E">
        <w:rPr>
          <w:rFonts w:ascii="Book Antiqua" w:hAnsi="Book Antiqua"/>
          <w:b/>
          <w:bCs/>
        </w:rPr>
        <w:t>Stasi C</w:t>
      </w:r>
      <w:r w:rsidRPr="004D2D9E">
        <w:rPr>
          <w:rFonts w:ascii="Book Antiqua" w:hAnsi="Book Antiqua"/>
        </w:rPr>
        <w:t xml:space="preserve">, Silvestri C, Voller F. Update on Hepatitis C Epidemiology: Unaware and Untreated Infected Population Could Be the Key to Elimination. </w:t>
      </w:r>
      <w:r w:rsidRPr="004D2D9E">
        <w:rPr>
          <w:rFonts w:ascii="Book Antiqua" w:hAnsi="Book Antiqua"/>
          <w:i/>
          <w:iCs/>
        </w:rPr>
        <w:t>SN Compr Clin Med</w:t>
      </w:r>
      <w:r w:rsidRPr="004D2D9E">
        <w:rPr>
          <w:rFonts w:ascii="Book Antiqua" w:hAnsi="Book Antiqua"/>
        </w:rPr>
        <w:t xml:space="preserve"> 2020: 1-8 [PMID: 33103061 DOI: 10.1007/s42399-020-00588-3]</w:t>
      </w:r>
    </w:p>
    <w:p w14:paraId="69F2B350"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96 </w:t>
      </w:r>
      <w:r w:rsidRPr="004D2D9E">
        <w:rPr>
          <w:rFonts w:ascii="Book Antiqua" w:hAnsi="Book Antiqua"/>
          <w:b/>
          <w:bCs/>
        </w:rPr>
        <w:t>Mohsen W</w:t>
      </w:r>
      <w:r w:rsidRPr="004D2D9E">
        <w:rPr>
          <w:rFonts w:ascii="Book Antiqua" w:hAnsi="Book Antiqua"/>
        </w:rPr>
        <w:t xml:space="preserve">, Chan P, Whelan M, Glass A, Mouton M, Young E, Tran Q, Arora S, Davison S, Lama T, Cobrador C, Levy M. Hepatitis C treatment for difficult to access populations: can telementoring (as distinct from telemedicine) help? </w:t>
      </w:r>
      <w:r w:rsidRPr="004D2D9E">
        <w:rPr>
          <w:rFonts w:ascii="Book Antiqua" w:hAnsi="Book Antiqua"/>
          <w:i/>
          <w:iCs/>
        </w:rPr>
        <w:t>Intern Med J</w:t>
      </w:r>
      <w:r w:rsidRPr="004D2D9E">
        <w:rPr>
          <w:rFonts w:ascii="Book Antiqua" w:hAnsi="Book Antiqua"/>
        </w:rPr>
        <w:t xml:space="preserve"> 2019; </w:t>
      </w:r>
      <w:r w:rsidRPr="004D2D9E">
        <w:rPr>
          <w:rFonts w:ascii="Book Antiqua" w:hAnsi="Book Antiqua"/>
          <w:b/>
          <w:bCs/>
        </w:rPr>
        <w:t>49</w:t>
      </w:r>
      <w:r w:rsidRPr="004D2D9E">
        <w:rPr>
          <w:rFonts w:ascii="Book Antiqua" w:hAnsi="Book Antiqua"/>
        </w:rPr>
        <w:t>: 351-357 [PMID: 30091164 DOI: 10.1111/imj.14072]</w:t>
      </w:r>
    </w:p>
    <w:p w14:paraId="1ED600AC"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97 </w:t>
      </w:r>
      <w:r w:rsidRPr="004D2D9E">
        <w:rPr>
          <w:rFonts w:ascii="Book Antiqua" w:hAnsi="Book Antiqua"/>
          <w:b/>
          <w:bCs/>
        </w:rPr>
        <w:t>Morey S</w:t>
      </w:r>
      <w:r w:rsidRPr="004D2D9E">
        <w:rPr>
          <w:rFonts w:ascii="Book Antiqua" w:hAnsi="Book Antiqua"/>
        </w:rPr>
        <w:t xml:space="preserve">, Hamoodi A, Jones D, Young T, Thompson C, Dhuny J, Buchanan E, Miller C, Hewett M, Valappil M, Hunter E, McPherson S. Increased diagnosis and treatment of </w:t>
      </w:r>
      <w:r w:rsidRPr="004D2D9E">
        <w:rPr>
          <w:rFonts w:ascii="Book Antiqua" w:hAnsi="Book Antiqua"/>
        </w:rPr>
        <w:lastRenderedPageBreak/>
        <w:t xml:space="preserve">hepatitis C in prison by universal offer of testing and use of telemedicine. </w:t>
      </w:r>
      <w:r w:rsidRPr="004D2D9E">
        <w:rPr>
          <w:rFonts w:ascii="Book Antiqua" w:hAnsi="Book Antiqua"/>
          <w:i/>
          <w:iCs/>
        </w:rPr>
        <w:t>J Viral Hepat</w:t>
      </w:r>
      <w:r w:rsidRPr="004D2D9E">
        <w:rPr>
          <w:rFonts w:ascii="Book Antiqua" w:hAnsi="Book Antiqua"/>
        </w:rPr>
        <w:t xml:space="preserve"> 2019; </w:t>
      </w:r>
      <w:r w:rsidRPr="004D2D9E">
        <w:rPr>
          <w:rFonts w:ascii="Book Antiqua" w:hAnsi="Book Antiqua"/>
          <w:b/>
          <w:bCs/>
        </w:rPr>
        <w:t>26</w:t>
      </w:r>
      <w:r w:rsidRPr="004D2D9E">
        <w:rPr>
          <w:rFonts w:ascii="Book Antiqua" w:hAnsi="Book Antiqua"/>
        </w:rPr>
        <w:t>: 101-108 [PMID: 30315691 DOI: 10.1111/jvh.13017]</w:t>
      </w:r>
    </w:p>
    <w:p w14:paraId="12E49397"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98 </w:t>
      </w:r>
      <w:r w:rsidRPr="004D2D9E">
        <w:rPr>
          <w:rFonts w:ascii="Book Antiqua" w:hAnsi="Book Antiqua"/>
          <w:b/>
          <w:bCs/>
        </w:rPr>
        <w:t>Sterling RK</w:t>
      </w:r>
      <w:r w:rsidRPr="004D2D9E">
        <w:rPr>
          <w:rFonts w:ascii="Book Antiqua" w:hAnsi="Book Antiqua"/>
        </w:rPr>
        <w:t xml:space="preserve">, Cherian R, Lewis S, Genther K, Driscoll C, Martin K, Goode MB, Matherly S, Siddiqui MS, Luketic VA, Stravitz RT, Puri P, Lee H, Smith P, Patel V, Sanyal AJ. Treatment of HCV in the Department of Corrections in the Era of Oral Medications. </w:t>
      </w:r>
      <w:r w:rsidRPr="004D2D9E">
        <w:rPr>
          <w:rFonts w:ascii="Book Antiqua" w:hAnsi="Book Antiqua"/>
          <w:i/>
          <w:iCs/>
        </w:rPr>
        <w:t>J Correct Health Care</w:t>
      </w:r>
      <w:r w:rsidRPr="004D2D9E">
        <w:rPr>
          <w:rFonts w:ascii="Book Antiqua" w:hAnsi="Book Antiqua"/>
        </w:rPr>
        <w:t xml:space="preserve"> 2018; </w:t>
      </w:r>
      <w:r w:rsidRPr="004D2D9E">
        <w:rPr>
          <w:rFonts w:ascii="Book Antiqua" w:hAnsi="Book Antiqua"/>
          <w:b/>
          <w:bCs/>
        </w:rPr>
        <w:t>24</w:t>
      </w:r>
      <w:r w:rsidRPr="004D2D9E">
        <w:rPr>
          <w:rFonts w:ascii="Book Antiqua" w:hAnsi="Book Antiqua"/>
        </w:rPr>
        <w:t>: 127-136 [PMID: 29566611 DOI: 10.1177/1078345818762591]</w:t>
      </w:r>
    </w:p>
    <w:p w14:paraId="65FEB7CF" w14:textId="77777777" w:rsidR="004D2D9E" w:rsidRPr="00AB5EED" w:rsidRDefault="004D2D9E" w:rsidP="004D2D9E">
      <w:pPr>
        <w:spacing w:line="360" w:lineRule="auto"/>
        <w:jc w:val="both"/>
        <w:rPr>
          <w:rFonts w:ascii="Book Antiqua" w:hAnsi="Book Antiqua"/>
          <w:lang w:val="es-MX"/>
        </w:rPr>
      </w:pPr>
      <w:r w:rsidRPr="004D2D9E">
        <w:rPr>
          <w:rFonts w:ascii="Book Antiqua" w:hAnsi="Book Antiqua"/>
        </w:rPr>
        <w:t xml:space="preserve">99 </w:t>
      </w:r>
      <w:r w:rsidRPr="004D2D9E">
        <w:rPr>
          <w:rFonts w:ascii="Book Antiqua" w:hAnsi="Book Antiqua"/>
          <w:b/>
          <w:bCs/>
        </w:rPr>
        <w:t>Talal AH</w:t>
      </w:r>
      <w:r w:rsidRPr="004D2D9E">
        <w:rPr>
          <w:rFonts w:ascii="Book Antiqua" w:hAnsi="Book Antiqua"/>
        </w:rPr>
        <w:t xml:space="preserve">, Andrews P, Mcleod A, Chen Y, Sylvester C, Markatou M, Brown LS. Integrated, Co-located, Telemedicine-based Treatment Approaches for Hepatitis C Virus Management in Opioid Use Disorder Patients on Methadone. </w:t>
      </w:r>
      <w:r w:rsidRPr="00AB5EED">
        <w:rPr>
          <w:rFonts w:ascii="Book Antiqua" w:hAnsi="Book Antiqua"/>
          <w:i/>
          <w:iCs/>
          <w:lang w:val="es-MX"/>
        </w:rPr>
        <w:t>Clin Infect Dis</w:t>
      </w:r>
      <w:r w:rsidRPr="00AB5EED">
        <w:rPr>
          <w:rFonts w:ascii="Book Antiqua" w:hAnsi="Book Antiqua"/>
          <w:lang w:val="es-MX"/>
        </w:rPr>
        <w:t xml:space="preserve"> 2019; </w:t>
      </w:r>
      <w:r w:rsidRPr="00AB5EED">
        <w:rPr>
          <w:rFonts w:ascii="Book Antiqua" w:hAnsi="Book Antiqua"/>
          <w:b/>
          <w:bCs/>
          <w:lang w:val="es-MX"/>
        </w:rPr>
        <w:t>69</w:t>
      </w:r>
      <w:r w:rsidRPr="00AB5EED">
        <w:rPr>
          <w:rFonts w:ascii="Book Antiqua" w:hAnsi="Book Antiqua"/>
          <w:lang w:val="es-MX"/>
        </w:rPr>
        <w:t>: 323-331 [PMID: 30329042 DOI: 10.1093/cid/ciy899]</w:t>
      </w:r>
    </w:p>
    <w:p w14:paraId="77DE63A0" w14:textId="6836C348" w:rsidR="004D2D9E" w:rsidRPr="004D2D9E" w:rsidRDefault="004D2D9E" w:rsidP="004D2D9E">
      <w:pPr>
        <w:spacing w:line="360" w:lineRule="auto"/>
        <w:jc w:val="both"/>
        <w:rPr>
          <w:rFonts w:ascii="Book Antiqua" w:hAnsi="Book Antiqua"/>
        </w:rPr>
      </w:pPr>
      <w:r w:rsidRPr="00AB5EED">
        <w:rPr>
          <w:rFonts w:ascii="Book Antiqua" w:hAnsi="Book Antiqua"/>
          <w:lang w:val="es-MX"/>
        </w:rPr>
        <w:t xml:space="preserve">100 </w:t>
      </w:r>
      <w:r w:rsidRPr="00AB5EED">
        <w:rPr>
          <w:rFonts w:ascii="Book Antiqua" w:hAnsi="Book Antiqua"/>
          <w:b/>
          <w:bCs/>
          <w:lang w:val="es-MX"/>
        </w:rPr>
        <w:t>Perez Hernandez JL,</w:t>
      </w:r>
      <w:r w:rsidRPr="00AB5EED">
        <w:rPr>
          <w:rFonts w:ascii="Book Antiqua" w:hAnsi="Book Antiqua"/>
          <w:lang w:val="es-MX"/>
        </w:rPr>
        <w:t xml:space="preserve"> Lehmann Mendoza R, Luna Martinez J, Torres Roldan JF, Chaidez Rosales PA, Martinez Arredondo HA, Rebollar Gonzalez V, De la Cruz Silva L, Santana-Vargas D, Higuera de la Tijera MF ASC. </w:t>
      </w:r>
      <w:r w:rsidRPr="004D2D9E">
        <w:rPr>
          <w:rFonts w:ascii="Book Antiqua" w:hAnsi="Book Antiqua"/>
        </w:rPr>
        <w:t xml:space="preserve">Chronic Viral Hepatitis C Micro-Elimination Program Using Telemedicine. the Mexican Experience. </w:t>
      </w:r>
      <w:r w:rsidRPr="00720367">
        <w:rPr>
          <w:rFonts w:ascii="Book Antiqua" w:hAnsi="Book Antiqua"/>
          <w:i/>
          <w:iCs/>
        </w:rPr>
        <w:t>Rev Española Enfermedades Dig</w:t>
      </w:r>
      <w:r w:rsidRPr="004D2D9E">
        <w:rPr>
          <w:rFonts w:ascii="Book Antiqua" w:hAnsi="Book Antiqua"/>
        </w:rPr>
        <w:t xml:space="preserve"> 2020 [DOI: 10.17235/reed.2020.7425/2020]</w:t>
      </w:r>
    </w:p>
    <w:p w14:paraId="29A0F2C1"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101 </w:t>
      </w:r>
      <w:r w:rsidRPr="004D2D9E">
        <w:rPr>
          <w:rFonts w:ascii="Book Antiqua" w:hAnsi="Book Antiqua"/>
          <w:b/>
          <w:bCs/>
        </w:rPr>
        <w:t>Du P</w:t>
      </w:r>
      <w:r w:rsidRPr="004D2D9E">
        <w:rPr>
          <w:rFonts w:ascii="Book Antiqua" w:hAnsi="Book Antiqua"/>
        </w:rPr>
        <w:t xml:space="preserve">, Wang X, Kong L, Jung J. Can Telementoring Reduce Urban-Rural Disparities in Utilization of Direct-Acting Antiviral Agents? </w:t>
      </w:r>
      <w:r w:rsidRPr="004D2D9E">
        <w:rPr>
          <w:rFonts w:ascii="Book Antiqua" w:hAnsi="Book Antiqua"/>
          <w:i/>
          <w:iCs/>
        </w:rPr>
        <w:t>Telemed J E Health</w:t>
      </w:r>
      <w:r w:rsidRPr="004D2D9E">
        <w:rPr>
          <w:rFonts w:ascii="Book Antiqua" w:hAnsi="Book Antiqua"/>
        </w:rPr>
        <w:t xml:space="preserve"> 2021; </w:t>
      </w:r>
      <w:r w:rsidRPr="004D2D9E">
        <w:rPr>
          <w:rFonts w:ascii="Book Antiqua" w:hAnsi="Book Antiqua"/>
          <w:b/>
          <w:bCs/>
        </w:rPr>
        <w:t>27</w:t>
      </w:r>
      <w:r w:rsidRPr="004D2D9E">
        <w:rPr>
          <w:rFonts w:ascii="Book Antiqua" w:hAnsi="Book Antiqua"/>
        </w:rPr>
        <w:t>: 488-494 [PMID: 32882154 DOI: 10.1089/tmj.2020.0090]</w:t>
      </w:r>
    </w:p>
    <w:p w14:paraId="1E8D92E2" w14:textId="77777777" w:rsidR="004D2D9E" w:rsidRPr="00AB5EED" w:rsidRDefault="004D2D9E" w:rsidP="004D2D9E">
      <w:pPr>
        <w:spacing w:line="360" w:lineRule="auto"/>
        <w:jc w:val="both"/>
        <w:rPr>
          <w:rFonts w:ascii="Book Antiqua" w:hAnsi="Book Antiqua"/>
          <w:lang w:val="es-MX"/>
        </w:rPr>
      </w:pPr>
      <w:r w:rsidRPr="004D2D9E">
        <w:rPr>
          <w:rFonts w:ascii="Book Antiqua" w:hAnsi="Book Antiqua"/>
        </w:rPr>
        <w:t xml:space="preserve">102 </w:t>
      </w:r>
      <w:r w:rsidRPr="004D2D9E">
        <w:rPr>
          <w:rFonts w:ascii="Book Antiqua" w:hAnsi="Book Antiqua"/>
          <w:b/>
          <w:bCs/>
        </w:rPr>
        <w:t>Cuadrado A</w:t>
      </w:r>
      <w:r w:rsidRPr="004D2D9E">
        <w:rPr>
          <w:rFonts w:ascii="Book Antiqua" w:hAnsi="Book Antiqua"/>
        </w:rPr>
        <w:t xml:space="preserve">, Cobo C, Mateo M, Blasco AJ, Cabezas J, Llerena S, Fortea JI, Lázaro P, Crespo J. Telemedicine efficiently improves access to hepatitis C management to achieve HCV elimination in the penitentiary setting. </w:t>
      </w:r>
      <w:r w:rsidRPr="00AB5EED">
        <w:rPr>
          <w:rFonts w:ascii="Book Antiqua" w:hAnsi="Book Antiqua"/>
          <w:i/>
          <w:iCs/>
          <w:lang w:val="es-MX"/>
        </w:rPr>
        <w:t>Int J Drug Policy</w:t>
      </w:r>
      <w:r w:rsidRPr="00AB5EED">
        <w:rPr>
          <w:rFonts w:ascii="Book Antiqua" w:hAnsi="Book Antiqua"/>
          <w:lang w:val="es-MX"/>
        </w:rPr>
        <w:t xml:space="preserve"> 2021; </w:t>
      </w:r>
      <w:r w:rsidRPr="00AB5EED">
        <w:rPr>
          <w:rFonts w:ascii="Book Antiqua" w:hAnsi="Book Antiqua"/>
          <w:b/>
          <w:bCs/>
          <w:lang w:val="es-MX"/>
        </w:rPr>
        <w:t>88</w:t>
      </w:r>
      <w:r w:rsidRPr="00AB5EED">
        <w:rPr>
          <w:rFonts w:ascii="Book Antiqua" w:hAnsi="Book Antiqua"/>
          <w:lang w:val="es-MX"/>
        </w:rPr>
        <w:t>: 103031 [PMID: 33221615 DOI: 10.1016/j.drugpo.2020.103031]</w:t>
      </w:r>
    </w:p>
    <w:p w14:paraId="3848A77E" w14:textId="77777777" w:rsidR="004D2D9E" w:rsidRPr="004D2D9E" w:rsidRDefault="004D2D9E" w:rsidP="004D2D9E">
      <w:pPr>
        <w:spacing w:line="360" w:lineRule="auto"/>
        <w:jc w:val="both"/>
        <w:rPr>
          <w:rFonts w:ascii="Book Antiqua" w:hAnsi="Book Antiqua"/>
        </w:rPr>
      </w:pPr>
      <w:r w:rsidRPr="00AB5EED">
        <w:rPr>
          <w:rFonts w:ascii="Book Antiqua" w:hAnsi="Book Antiqua"/>
          <w:lang w:val="es-MX"/>
        </w:rPr>
        <w:t xml:space="preserve">103 </w:t>
      </w:r>
      <w:r w:rsidRPr="00AB5EED">
        <w:rPr>
          <w:rFonts w:ascii="Book Antiqua" w:hAnsi="Book Antiqua"/>
          <w:b/>
          <w:bCs/>
          <w:lang w:val="es-MX"/>
        </w:rPr>
        <w:t>Jiménez Galán G</w:t>
      </w:r>
      <w:r w:rsidRPr="00AB5EED">
        <w:rPr>
          <w:rFonts w:ascii="Book Antiqua" w:hAnsi="Book Antiqua"/>
          <w:lang w:val="es-MX"/>
        </w:rPr>
        <w:t xml:space="preserve">, Alia Alia C, Vegue González M, García Berriguete RMª, Fernández González F, Fernández Rodríguez CM, González Fernández M, Gutiérrez García ML, Losa JE, Velasco M, Moreno L, Hervás R, Delgado-Iribarren A, Palacios García-Cervigón G. The contribution of telemedicine to hepatitis C elimination in a correctional facility. </w:t>
      </w:r>
      <w:r w:rsidRPr="004D2D9E">
        <w:rPr>
          <w:rFonts w:ascii="Book Antiqua" w:hAnsi="Book Antiqua"/>
          <w:i/>
          <w:iCs/>
        </w:rPr>
        <w:t>Rev Esp Enferm Dig</w:t>
      </w:r>
      <w:r w:rsidRPr="004D2D9E">
        <w:rPr>
          <w:rFonts w:ascii="Book Antiqua" w:hAnsi="Book Antiqua"/>
        </w:rPr>
        <w:t xml:space="preserve"> 2019; </w:t>
      </w:r>
      <w:r w:rsidRPr="004D2D9E">
        <w:rPr>
          <w:rFonts w:ascii="Book Antiqua" w:hAnsi="Book Antiqua"/>
          <w:b/>
          <w:bCs/>
        </w:rPr>
        <w:t>111</w:t>
      </w:r>
      <w:r w:rsidRPr="004D2D9E">
        <w:rPr>
          <w:rFonts w:ascii="Book Antiqua" w:hAnsi="Book Antiqua"/>
        </w:rPr>
        <w:t>: 550-555 [PMID: 31215210 DOI: 10.17235/reed.2019.6152/2018]</w:t>
      </w:r>
    </w:p>
    <w:p w14:paraId="564E59E0"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104 </w:t>
      </w:r>
      <w:r w:rsidRPr="004D2D9E">
        <w:rPr>
          <w:rFonts w:ascii="Book Antiqua" w:hAnsi="Book Antiqua"/>
          <w:b/>
          <w:bCs/>
        </w:rPr>
        <w:t>Haridy J</w:t>
      </w:r>
      <w:r w:rsidRPr="004D2D9E">
        <w:rPr>
          <w:rFonts w:ascii="Book Antiqua" w:hAnsi="Book Antiqua"/>
        </w:rPr>
        <w:t xml:space="preserve">, Iyngkaran G, Nicoll A, Hebbard G, Tse E, Fazio T. eHealth Technologies for Screening, Diagnosis, and Management of Viral Hepatitis: A Systematic Review. </w:t>
      </w:r>
      <w:r w:rsidRPr="004D2D9E">
        <w:rPr>
          <w:rFonts w:ascii="Book Antiqua" w:hAnsi="Book Antiqua"/>
          <w:i/>
          <w:iCs/>
        </w:rPr>
        <w:t xml:space="preserve">Clin </w:t>
      </w:r>
      <w:r w:rsidRPr="004D2D9E">
        <w:rPr>
          <w:rFonts w:ascii="Book Antiqua" w:hAnsi="Book Antiqua"/>
          <w:i/>
          <w:iCs/>
        </w:rPr>
        <w:lastRenderedPageBreak/>
        <w:t>Gastroenterol Hepatol</w:t>
      </w:r>
      <w:r w:rsidRPr="004D2D9E">
        <w:rPr>
          <w:rFonts w:ascii="Book Antiqua" w:hAnsi="Book Antiqua"/>
        </w:rPr>
        <w:t xml:space="preserve"> 2021; </w:t>
      </w:r>
      <w:r w:rsidRPr="004D2D9E">
        <w:rPr>
          <w:rFonts w:ascii="Book Antiqua" w:hAnsi="Book Antiqua"/>
          <w:b/>
          <w:bCs/>
        </w:rPr>
        <w:t>19</w:t>
      </w:r>
      <w:r w:rsidRPr="004D2D9E">
        <w:rPr>
          <w:rFonts w:ascii="Book Antiqua" w:hAnsi="Book Antiqua"/>
        </w:rPr>
        <w:t>: 1139-1150.e30 [PMID: 32896632 DOI: 10.1016/j.cgh.2020.09.011]</w:t>
      </w:r>
    </w:p>
    <w:p w14:paraId="16DABCB2"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105 </w:t>
      </w:r>
      <w:r w:rsidRPr="004D2D9E">
        <w:rPr>
          <w:rFonts w:ascii="Book Antiqua" w:hAnsi="Book Antiqua"/>
          <w:b/>
          <w:bCs/>
        </w:rPr>
        <w:t>Pley CM</w:t>
      </w:r>
      <w:r w:rsidRPr="004D2D9E">
        <w:rPr>
          <w:rFonts w:ascii="Book Antiqua" w:hAnsi="Book Antiqua"/>
        </w:rPr>
        <w:t xml:space="preserve">, McNaughton AL, Matthews PC, Lourenço J. The global impact of the COVID-19 pandemic on the prevention, diagnosis and treatment of hepatitis B virus (HBV) infection. </w:t>
      </w:r>
      <w:r w:rsidRPr="004D2D9E">
        <w:rPr>
          <w:rFonts w:ascii="Book Antiqua" w:hAnsi="Book Antiqua"/>
          <w:i/>
          <w:iCs/>
        </w:rPr>
        <w:t>BMJ Glob Health</w:t>
      </w:r>
      <w:r w:rsidRPr="004D2D9E">
        <w:rPr>
          <w:rFonts w:ascii="Book Antiqua" w:hAnsi="Book Antiqua"/>
        </w:rPr>
        <w:t xml:space="preserve"> 2021; </w:t>
      </w:r>
      <w:r w:rsidRPr="004D2D9E">
        <w:rPr>
          <w:rFonts w:ascii="Book Antiqua" w:hAnsi="Book Antiqua"/>
          <w:b/>
          <w:bCs/>
        </w:rPr>
        <w:t>6</w:t>
      </w:r>
      <w:r w:rsidRPr="004D2D9E">
        <w:rPr>
          <w:rFonts w:ascii="Book Antiqua" w:hAnsi="Book Antiqua"/>
        </w:rPr>
        <w:t xml:space="preserve"> [PMID: 33402334 DOI: 10.1136/bmjgh-2020-004275]</w:t>
      </w:r>
    </w:p>
    <w:p w14:paraId="6085B5BB"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106 </w:t>
      </w:r>
      <w:r w:rsidRPr="004D2D9E">
        <w:rPr>
          <w:rFonts w:ascii="Book Antiqua" w:hAnsi="Book Antiqua"/>
          <w:b/>
          <w:bCs/>
        </w:rPr>
        <w:t>Karimi-Sari H</w:t>
      </w:r>
      <w:r w:rsidRPr="004D2D9E">
        <w:rPr>
          <w:rFonts w:ascii="Book Antiqua" w:hAnsi="Book Antiqua"/>
        </w:rPr>
        <w:t xml:space="preserve">, Rezaee-Zavareh MS. COVID-19 and viral hepatitis elimination programs: Are we stepping backward? </w:t>
      </w:r>
      <w:r w:rsidRPr="004D2D9E">
        <w:rPr>
          <w:rFonts w:ascii="Book Antiqua" w:hAnsi="Book Antiqua"/>
          <w:i/>
          <w:iCs/>
        </w:rPr>
        <w:t>Liver Int</w:t>
      </w:r>
      <w:r w:rsidRPr="004D2D9E">
        <w:rPr>
          <w:rFonts w:ascii="Book Antiqua" w:hAnsi="Book Antiqua"/>
        </w:rPr>
        <w:t xml:space="preserve"> 2020; </w:t>
      </w:r>
      <w:r w:rsidRPr="004D2D9E">
        <w:rPr>
          <w:rFonts w:ascii="Book Antiqua" w:hAnsi="Book Antiqua"/>
          <w:b/>
          <w:bCs/>
        </w:rPr>
        <w:t>40</w:t>
      </w:r>
      <w:r w:rsidRPr="004D2D9E">
        <w:rPr>
          <w:rFonts w:ascii="Book Antiqua" w:hAnsi="Book Antiqua"/>
        </w:rPr>
        <w:t>: 2042 [PMID: 32319207 DOI: 10.1111/liv.14486]</w:t>
      </w:r>
    </w:p>
    <w:p w14:paraId="0499A233"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107 </w:t>
      </w:r>
      <w:r w:rsidRPr="004D2D9E">
        <w:rPr>
          <w:rFonts w:ascii="Book Antiqua" w:hAnsi="Book Antiqua"/>
          <w:b/>
          <w:bCs/>
        </w:rPr>
        <w:t>Wingrove C</w:t>
      </w:r>
      <w:r w:rsidRPr="004D2D9E">
        <w:rPr>
          <w:rFonts w:ascii="Book Antiqua" w:hAnsi="Book Antiqua"/>
        </w:rPr>
        <w:t xml:space="preserve">, Ferrier L, James C, Wang S. The impact of COVID-19 on hepatitis elimination. </w:t>
      </w:r>
      <w:r w:rsidRPr="004D2D9E">
        <w:rPr>
          <w:rFonts w:ascii="Book Antiqua" w:hAnsi="Book Antiqua"/>
          <w:i/>
          <w:iCs/>
        </w:rPr>
        <w:t>Lancet Gastroenterol Hepatol</w:t>
      </w:r>
      <w:r w:rsidRPr="004D2D9E">
        <w:rPr>
          <w:rFonts w:ascii="Book Antiqua" w:hAnsi="Book Antiqua"/>
        </w:rPr>
        <w:t xml:space="preserve"> 2020; </w:t>
      </w:r>
      <w:r w:rsidRPr="004D2D9E">
        <w:rPr>
          <w:rFonts w:ascii="Book Antiqua" w:hAnsi="Book Antiqua"/>
          <w:b/>
          <w:bCs/>
        </w:rPr>
        <w:t>5</w:t>
      </w:r>
      <w:r w:rsidRPr="004D2D9E">
        <w:rPr>
          <w:rFonts w:ascii="Book Antiqua" w:hAnsi="Book Antiqua"/>
        </w:rPr>
        <w:t>: 792-794 [PMID: 32730783 DOI: 10.1016/S2468-1253(20)30238-7]</w:t>
      </w:r>
    </w:p>
    <w:p w14:paraId="14F03B26"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108 </w:t>
      </w:r>
      <w:r w:rsidRPr="004D2D9E">
        <w:rPr>
          <w:rFonts w:ascii="Book Antiqua" w:hAnsi="Book Antiqua"/>
          <w:b/>
          <w:bCs/>
        </w:rPr>
        <w:t>The Lancet Gastroenterology Hepatology</w:t>
      </w:r>
      <w:r w:rsidRPr="004D2D9E">
        <w:rPr>
          <w:rFonts w:ascii="Book Antiqua" w:hAnsi="Book Antiqua"/>
        </w:rPr>
        <w:t xml:space="preserve">. Eliminating viral hepatitis in the COVID-19 era: weighing challenge and opportunity. </w:t>
      </w:r>
      <w:r w:rsidRPr="004D2D9E">
        <w:rPr>
          <w:rFonts w:ascii="Book Antiqua" w:hAnsi="Book Antiqua"/>
          <w:i/>
          <w:iCs/>
        </w:rPr>
        <w:t>Lancet Gastroenterol Hepatol</w:t>
      </w:r>
      <w:r w:rsidRPr="004D2D9E">
        <w:rPr>
          <w:rFonts w:ascii="Book Antiqua" w:hAnsi="Book Antiqua"/>
        </w:rPr>
        <w:t xml:space="preserve"> 2020; </w:t>
      </w:r>
      <w:r w:rsidRPr="004D2D9E">
        <w:rPr>
          <w:rFonts w:ascii="Book Antiqua" w:hAnsi="Book Antiqua"/>
          <w:b/>
          <w:bCs/>
        </w:rPr>
        <w:t>5</w:t>
      </w:r>
      <w:r w:rsidRPr="004D2D9E">
        <w:rPr>
          <w:rFonts w:ascii="Book Antiqua" w:hAnsi="Book Antiqua"/>
        </w:rPr>
        <w:t>: 789 [PMID: 32730787 DOI: 10.1016/S2468-1253(20)30237-5]</w:t>
      </w:r>
    </w:p>
    <w:p w14:paraId="5F19D241"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109 </w:t>
      </w:r>
      <w:r w:rsidRPr="004D2D9E">
        <w:rPr>
          <w:rFonts w:ascii="Book Antiqua" w:hAnsi="Book Antiqua"/>
          <w:b/>
          <w:bCs/>
        </w:rPr>
        <w:t>Sperring H</w:t>
      </w:r>
      <w:r w:rsidRPr="004D2D9E">
        <w:rPr>
          <w:rFonts w:ascii="Book Antiqua" w:hAnsi="Book Antiqua"/>
        </w:rPr>
        <w:t xml:space="preserve">, Ruiz-Mercado G, Schechter-Perkins EM. Impact of the 2020 COVID-19 Pandemic on Ambulatory Hepatitis C Testing. </w:t>
      </w:r>
      <w:r w:rsidRPr="004D2D9E">
        <w:rPr>
          <w:rFonts w:ascii="Book Antiqua" w:hAnsi="Book Antiqua"/>
          <w:i/>
          <w:iCs/>
        </w:rPr>
        <w:t>J Prim Care Community Health</w:t>
      </w:r>
      <w:r w:rsidRPr="004D2D9E">
        <w:rPr>
          <w:rFonts w:ascii="Book Antiqua" w:hAnsi="Book Antiqua"/>
        </w:rPr>
        <w:t xml:space="preserve"> 2020; </w:t>
      </w:r>
      <w:r w:rsidRPr="004D2D9E">
        <w:rPr>
          <w:rFonts w:ascii="Book Antiqua" w:hAnsi="Book Antiqua"/>
          <w:b/>
          <w:bCs/>
        </w:rPr>
        <w:t>11</w:t>
      </w:r>
      <w:r w:rsidRPr="004D2D9E">
        <w:rPr>
          <w:rFonts w:ascii="Book Antiqua" w:hAnsi="Book Antiqua"/>
        </w:rPr>
        <w:t>: 2150132720969554 [PMID: 33225792 DOI: 10.1177/2150132720969554]</w:t>
      </w:r>
    </w:p>
    <w:p w14:paraId="7CA40351"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110 </w:t>
      </w:r>
      <w:r w:rsidRPr="004D2D9E">
        <w:rPr>
          <w:rFonts w:ascii="Book Antiqua" w:hAnsi="Book Antiqua"/>
          <w:b/>
          <w:bCs/>
        </w:rPr>
        <w:t>Blach S</w:t>
      </w:r>
      <w:r w:rsidRPr="004D2D9E">
        <w:rPr>
          <w:rFonts w:ascii="Book Antiqua" w:hAnsi="Book Antiqua"/>
        </w:rPr>
        <w:t xml:space="preserve">, Kondili LA, Aghemo A, Cai Z, Dugan E, Estes C, Gamkrelidze I, Ma S, Pawlotsky JM, Razavi-Shearer D, Razavi H, Waked I, Zeuzem S, Craxi A. Impact of COVID-19 on global HCV elimination efforts. </w:t>
      </w:r>
      <w:r w:rsidRPr="004D2D9E">
        <w:rPr>
          <w:rFonts w:ascii="Book Antiqua" w:hAnsi="Book Antiqua"/>
          <w:i/>
          <w:iCs/>
        </w:rPr>
        <w:t>J Hepatol</w:t>
      </w:r>
      <w:r w:rsidRPr="004D2D9E">
        <w:rPr>
          <w:rFonts w:ascii="Book Antiqua" w:hAnsi="Book Antiqua"/>
        </w:rPr>
        <w:t xml:space="preserve"> 2021; </w:t>
      </w:r>
      <w:r w:rsidRPr="004D2D9E">
        <w:rPr>
          <w:rFonts w:ascii="Book Antiqua" w:hAnsi="Book Antiqua"/>
          <w:b/>
          <w:bCs/>
        </w:rPr>
        <w:t>74</w:t>
      </w:r>
      <w:r w:rsidRPr="004D2D9E">
        <w:rPr>
          <w:rFonts w:ascii="Book Antiqua" w:hAnsi="Book Antiqua"/>
        </w:rPr>
        <w:t>: 31-36 [PMID: 32777322 DOI: 10.1016/j.jhep.2020.07.042]</w:t>
      </w:r>
    </w:p>
    <w:p w14:paraId="3B20365C"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111 </w:t>
      </w:r>
      <w:r w:rsidRPr="004D2D9E">
        <w:rPr>
          <w:rFonts w:ascii="Book Antiqua" w:hAnsi="Book Antiqua"/>
          <w:b/>
          <w:bCs/>
        </w:rPr>
        <w:t>Makhoul M</w:t>
      </w:r>
      <w:r w:rsidRPr="004D2D9E">
        <w:rPr>
          <w:rFonts w:ascii="Book Antiqua" w:hAnsi="Book Antiqua"/>
        </w:rPr>
        <w:t xml:space="preserve">, Ayoub HH, Chemaitelly H, Seedat S, Mumtaz GR, Al-Omari S, Abu-Raddad LJ. Epidemiological Impact of SARS-CoV-2 Vaccination: Mathematical Modeling Analyses. </w:t>
      </w:r>
      <w:r w:rsidRPr="004D2D9E">
        <w:rPr>
          <w:rFonts w:ascii="Book Antiqua" w:hAnsi="Book Antiqua"/>
          <w:i/>
          <w:iCs/>
        </w:rPr>
        <w:t>Vaccines (Basel)</w:t>
      </w:r>
      <w:r w:rsidRPr="004D2D9E">
        <w:rPr>
          <w:rFonts w:ascii="Book Antiqua" w:hAnsi="Book Antiqua"/>
        </w:rPr>
        <w:t xml:space="preserve"> 2020; </w:t>
      </w:r>
      <w:r w:rsidRPr="004D2D9E">
        <w:rPr>
          <w:rFonts w:ascii="Book Antiqua" w:hAnsi="Book Antiqua"/>
          <w:b/>
          <w:bCs/>
        </w:rPr>
        <w:t>8</w:t>
      </w:r>
      <w:r w:rsidRPr="004D2D9E">
        <w:rPr>
          <w:rFonts w:ascii="Book Antiqua" w:hAnsi="Book Antiqua"/>
        </w:rPr>
        <w:t xml:space="preserve"> [PMID: 33182403 DOI: 10.3390/vaccines8040668]</w:t>
      </w:r>
    </w:p>
    <w:p w14:paraId="5DD22BAE"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112 </w:t>
      </w:r>
      <w:r w:rsidRPr="004D2D9E">
        <w:rPr>
          <w:rFonts w:ascii="Book Antiqua" w:hAnsi="Book Antiqua"/>
          <w:b/>
          <w:bCs/>
        </w:rPr>
        <w:t>Feleszko W</w:t>
      </w:r>
      <w:r w:rsidRPr="004D2D9E">
        <w:rPr>
          <w:rFonts w:ascii="Book Antiqua" w:hAnsi="Book Antiqua"/>
        </w:rPr>
        <w:t xml:space="preserve">, Lewulis P, Czarnecki A, Waszkiewicz P. Flattening the Curve of COVID-19 Vaccine Rejection-An International Overview. </w:t>
      </w:r>
      <w:r w:rsidRPr="004D2D9E">
        <w:rPr>
          <w:rFonts w:ascii="Book Antiqua" w:hAnsi="Book Antiqua"/>
          <w:i/>
          <w:iCs/>
        </w:rPr>
        <w:t>Vaccines (Basel)</w:t>
      </w:r>
      <w:r w:rsidRPr="004D2D9E">
        <w:rPr>
          <w:rFonts w:ascii="Book Antiqua" w:hAnsi="Book Antiqua"/>
        </w:rPr>
        <w:t xml:space="preserve"> 2021; </w:t>
      </w:r>
      <w:r w:rsidRPr="004D2D9E">
        <w:rPr>
          <w:rFonts w:ascii="Book Antiqua" w:hAnsi="Book Antiqua"/>
          <w:b/>
          <w:bCs/>
        </w:rPr>
        <w:t>9</w:t>
      </w:r>
      <w:r w:rsidRPr="004D2D9E">
        <w:rPr>
          <w:rFonts w:ascii="Book Antiqua" w:hAnsi="Book Antiqua"/>
        </w:rPr>
        <w:t xml:space="preserve"> [PMID: 33451104 DOI: 10.3390/vaccines9010044]</w:t>
      </w:r>
    </w:p>
    <w:p w14:paraId="07FDDA27" w14:textId="77777777" w:rsidR="00000098" w:rsidRPr="004D2D9E" w:rsidRDefault="00000098" w:rsidP="004D2D9E">
      <w:pPr>
        <w:spacing w:line="360" w:lineRule="auto"/>
        <w:jc w:val="both"/>
        <w:rPr>
          <w:rFonts w:ascii="Book Antiqua" w:eastAsia="Book Antiqua" w:hAnsi="Book Antiqua" w:cs="Book Antiqua"/>
          <w:color w:val="000000"/>
        </w:rPr>
      </w:pPr>
    </w:p>
    <w:p w14:paraId="0452D5F2" w14:textId="5AD712EC" w:rsidR="00000098" w:rsidRPr="004D2D9E" w:rsidRDefault="00000098" w:rsidP="004D2D9E">
      <w:pPr>
        <w:spacing w:line="360" w:lineRule="auto"/>
        <w:jc w:val="both"/>
        <w:rPr>
          <w:rFonts w:ascii="Book Antiqua" w:hAnsi="Book Antiqua"/>
        </w:rPr>
        <w:sectPr w:rsidR="00000098" w:rsidRPr="004D2D9E">
          <w:pgSz w:w="12240" w:h="15840"/>
          <w:pgMar w:top="1440" w:right="1440" w:bottom="1440" w:left="1440" w:header="720" w:footer="720" w:gutter="0"/>
          <w:cols w:space="720"/>
        </w:sectPr>
      </w:pPr>
    </w:p>
    <w:p w14:paraId="78E661C1"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lastRenderedPageBreak/>
        <w:t>Footnotes</w:t>
      </w:r>
    </w:p>
    <w:p w14:paraId="394115D6"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bCs/>
          <w:color w:val="000000"/>
        </w:rPr>
        <w:t xml:space="preserve">Conflict-of-interest statement: </w:t>
      </w:r>
      <w:r w:rsidRPr="004D2D9E">
        <w:rPr>
          <w:rFonts w:ascii="Book Antiqua" w:eastAsia="Book Antiqua" w:hAnsi="Book Antiqua" w:cs="Book Antiqua"/>
          <w:color w:val="000000"/>
        </w:rPr>
        <w:t>Fátima Higuera-de-la-Tijera is speaker for Gilead Sciences Inc. Alfredo Servín-Caamaño and Luis Servín-Abad have not conflict of interests.</w:t>
      </w:r>
    </w:p>
    <w:p w14:paraId="10EF7BCD" w14:textId="77777777" w:rsidR="003C7086" w:rsidRPr="004D2D9E" w:rsidRDefault="003C7086" w:rsidP="004D2D9E">
      <w:pPr>
        <w:spacing w:line="360" w:lineRule="auto"/>
        <w:jc w:val="both"/>
        <w:rPr>
          <w:rFonts w:ascii="Book Antiqua" w:hAnsi="Book Antiqua"/>
        </w:rPr>
      </w:pPr>
    </w:p>
    <w:p w14:paraId="4E6D1EC5"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bCs/>
          <w:color w:val="000000"/>
        </w:rPr>
        <w:t xml:space="preserve">Open-Access: </w:t>
      </w:r>
      <w:r w:rsidRPr="004D2D9E">
        <w:rPr>
          <w:rFonts w:ascii="Book Antiqua" w:eastAsia="Book Antiqua" w:hAnsi="Book Antiqua" w:cs="Book Antiqua"/>
          <w:color w:val="000000"/>
        </w:rPr>
        <w:t>This article is an open-access article selected by an in-house editor and fully peer-reviewed by external reviewers. It is distributed by the Creative Commons Attribution-NonCommercial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42475A" w14:textId="77777777" w:rsidR="003C7086" w:rsidRPr="004D2D9E" w:rsidRDefault="003C7086" w:rsidP="004D2D9E">
      <w:pPr>
        <w:spacing w:line="360" w:lineRule="auto"/>
        <w:jc w:val="both"/>
        <w:rPr>
          <w:rFonts w:ascii="Book Antiqua" w:hAnsi="Book Antiqua"/>
        </w:rPr>
      </w:pPr>
    </w:p>
    <w:p w14:paraId="48B83517" w14:textId="79AB3B98" w:rsidR="003C7086" w:rsidRPr="004D2D9E" w:rsidRDefault="00CA77E2" w:rsidP="004D2D9E">
      <w:pPr>
        <w:spacing w:line="360" w:lineRule="auto"/>
        <w:jc w:val="both"/>
        <w:rPr>
          <w:rFonts w:ascii="Book Antiqua" w:eastAsia="Book Antiqua" w:hAnsi="Book Antiqua" w:cs="Book Antiqua"/>
          <w:color w:val="000000"/>
        </w:rPr>
      </w:pPr>
      <w:r w:rsidRPr="004D2D9E">
        <w:rPr>
          <w:rFonts w:ascii="Book Antiqua" w:eastAsia="Book Antiqua" w:hAnsi="Book Antiqua" w:cs="Book Antiqua"/>
          <w:b/>
          <w:color w:val="000000"/>
        </w:rPr>
        <w:t xml:space="preserve">Manuscript source: </w:t>
      </w:r>
      <w:r w:rsidRPr="004D2D9E">
        <w:rPr>
          <w:rFonts w:ascii="Book Antiqua" w:eastAsia="Book Antiqua" w:hAnsi="Book Antiqua" w:cs="Book Antiqua"/>
          <w:color w:val="000000"/>
        </w:rPr>
        <w:t xml:space="preserve">Invited </w:t>
      </w:r>
      <w:r w:rsidR="00000098" w:rsidRPr="004D2D9E">
        <w:rPr>
          <w:rFonts w:ascii="Book Antiqua" w:eastAsia="Book Antiqua" w:hAnsi="Book Antiqua" w:cs="Book Antiqua"/>
          <w:color w:val="000000"/>
        </w:rPr>
        <w:t>m</w:t>
      </w:r>
      <w:r w:rsidRPr="004D2D9E">
        <w:rPr>
          <w:rFonts w:ascii="Book Antiqua" w:eastAsia="Book Antiqua" w:hAnsi="Book Antiqua" w:cs="Book Antiqua"/>
          <w:color w:val="000000"/>
        </w:rPr>
        <w:t>anuscript</w:t>
      </w:r>
    </w:p>
    <w:p w14:paraId="391A3872" w14:textId="77777777" w:rsidR="00000098" w:rsidRPr="004D2D9E" w:rsidRDefault="00000098" w:rsidP="004D2D9E">
      <w:pPr>
        <w:spacing w:line="360" w:lineRule="auto"/>
        <w:jc w:val="both"/>
        <w:rPr>
          <w:rFonts w:ascii="Book Antiqua" w:hAnsi="Book Antiqua"/>
        </w:rPr>
      </w:pPr>
    </w:p>
    <w:p w14:paraId="5DD994B0" w14:textId="4951B0C6" w:rsidR="003C7086" w:rsidRPr="004D2D9E" w:rsidRDefault="00CA77E2" w:rsidP="004D2D9E">
      <w:pPr>
        <w:spacing w:line="360" w:lineRule="auto"/>
        <w:jc w:val="both"/>
        <w:rPr>
          <w:rFonts w:ascii="Book Antiqua" w:hAnsi="Book Antiqua"/>
          <w:lang w:val="es-MX"/>
        </w:rPr>
      </w:pPr>
      <w:r w:rsidRPr="004D2D9E">
        <w:rPr>
          <w:rFonts w:ascii="Book Antiqua" w:eastAsia="Book Antiqua" w:hAnsi="Book Antiqua" w:cs="Book Antiqua"/>
          <w:b/>
          <w:color w:val="000000"/>
          <w:lang w:val="es-MX"/>
        </w:rPr>
        <w:t xml:space="preserve">Corresponding Author's Membership in Professional Societies: </w:t>
      </w:r>
      <w:r w:rsidRPr="004D2D9E">
        <w:rPr>
          <w:rFonts w:ascii="Book Antiqua" w:eastAsia="Book Antiqua" w:hAnsi="Book Antiqua" w:cs="Book Antiqua"/>
          <w:color w:val="000000"/>
          <w:lang w:val="es-MX"/>
        </w:rPr>
        <w:t xml:space="preserve">Asociación Mexicana de Gastroenterología; </w:t>
      </w:r>
      <w:r w:rsidR="00377ED6">
        <w:rPr>
          <w:rFonts w:ascii="Book Antiqua" w:eastAsia="Book Antiqua" w:hAnsi="Book Antiqua" w:cs="Book Antiqua"/>
          <w:color w:val="000000"/>
          <w:lang w:val="es-MX"/>
        </w:rPr>
        <w:t xml:space="preserve">and </w:t>
      </w:r>
      <w:r w:rsidRPr="004D2D9E">
        <w:rPr>
          <w:rFonts w:ascii="Book Antiqua" w:eastAsia="Book Antiqua" w:hAnsi="Book Antiqua" w:cs="Book Antiqua"/>
          <w:color w:val="000000"/>
          <w:lang w:val="es-MX"/>
        </w:rPr>
        <w:t>Asociación Mexicana de Hepatología.</w:t>
      </w:r>
    </w:p>
    <w:p w14:paraId="7F29FBE6" w14:textId="77777777" w:rsidR="003C7086" w:rsidRPr="004D2D9E" w:rsidRDefault="003C7086" w:rsidP="004D2D9E">
      <w:pPr>
        <w:spacing w:line="360" w:lineRule="auto"/>
        <w:jc w:val="both"/>
        <w:rPr>
          <w:rFonts w:ascii="Book Antiqua" w:hAnsi="Book Antiqua"/>
          <w:lang w:val="es-MX"/>
        </w:rPr>
      </w:pPr>
    </w:p>
    <w:p w14:paraId="08B1B034"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t xml:space="preserve">Peer-review started: </w:t>
      </w:r>
      <w:r w:rsidRPr="004D2D9E">
        <w:rPr>
          <w:rFonts w:ascii="Book Antiqua" w:eastAsia="Book Antiqua" w:hAnsi="Book Antiqua" w:cs="Book Antiqua"/>
          <w:color w:val="000000"/>
        </w:rPr>
        <w:t>January 22, 2021</w:t>
      </w:r>
    </w:p>
    <w:p w14:paraId="23C161EE"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t xml:space="preserve">First decision: </w:t>
      </w:r>
      <w:r w:rsidRPr="004D2D9E">
        <w:rPr>
          <w:rFonts w:ascii="Book Antiqua" w:eastAsia="Book Antiqua" w:hAnsi="Book Antiqua" w:cs="Book Antiqua"/>
          <w:color w:val="000000"/>
        </w:rPr>
        <w:t>February 28, 2021</w:t>
      </w:r>
    </w:p>
    <w:p w14:paraId="4CD6B34A"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t xml:space="preserve">Article in press: </w:t>
      </w:r>
    </w:p>
    <w:p w14:paraId="63A8F0D4" w14:textId="77777777" w:rsidR="003C7086" w:rsidRPr="004D2D9E" w:rsidRDefault="003C7086" w:rsidP="004D2D9E">
      <w:pPr>
        <w:spacing w:line="360" w:lineRule="auto"/>
        <w:jc w:val="both"/>
        <w:rPr>
          <w:rFonts w:ascii="Book Antiqua" w:hAnsi="Book Antiqua"/>
        </w:rPr>
      </w:pPr>
    </w:p>
    <w:p w14:paraId="632BD1C6" w14:textId="653C4BBD"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t xml:space="preserve">Specialty type: </w:t>
      </w:r>
      <w:r w:rsidRPr="004D2D9E">
        <w:rPr>
          <w:rFonts w:ascii="Book Antiqua" w:eastAsia="Book Antiqua" w:hAnsi="Book Antiqua" w:cs="Book Antiqua"/>
          <w:color w:val="000000"/>
        </w:rPr>
        <w:t xml:space="preserve">Gastroenterology and </w:t>
      </w:r>
      <w:r w:rsidR="001D749C" w:rsidRPr="004D2D9E">
        <w:rPr>
          <w:rFonts w:ascii="Book Antiqua" w:eastAsia="Book Antiqua" w:hAnsi="Book Antiqua" w:cs="Book Antiqua"/>
          <w:color w:val="000000"/>
        </w:rPr>
        <w:t>h</w:t>
      </w:r>
      <w:r w:rsidRPr="004D2D9E">
        <w:rPr>
          <w:rFonts w:ascii="Book Antiqua" w:eastAsia="Book Antiqua" w:hAnsi="Book Antiqua" w:cs="Book Antiqua"/>
          <w:color w:val="000000"/>
        </w:rPr>
        <w:t>epatology</w:t>
      </w:r>
    </w:p>
    <w:p w14:paraId="231B9430"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t xml:space="preserve">Country/Territory of origin: </w:t>
      </w:r>
      <w:r w:rsidRPr="004D2D9E">
        <w:rPr>
          <w:rFonts w:ascii="Book Antiqua" w:eastAsia="Book Antiqua" w:hAnsi="Book Antiqua" w:cs="Book Antiqua"/>
          <w:color w:val="000000"/>
        </w:rPr>
        <w:t>Mexico</w:t>
      </w:r>
    </w:p>
    <w:p w14:paraId="7410C78E"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t>Peer-review report’s scientific quality classification</w:t>
      </w:r>
    </w:p>
    <w:p w14:paraId="42C495C9"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rPr>
        <w:t>Grade A (Excellent): 0</w:t>
      </w:r>
    </w:p>
    <w:p w14:paraId="0AB31BF6"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rPr>
        <w:t>Grade B (Very good): B, B</w:t>
      </w:r>
    </w:p>
    <w:p w14:paraId="14445AFA"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rPr>
        <w:t>Grade C (Good): 0</w:t>
      </w:r>
    </w:p>
    <w:p w14:paraId="1D62DB8D"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rPr>
        <w:t>Grade D (Fair): 0</w:t>
      </w:r>
    </w:p>
    <w:p w14:paraId="748D6292"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rPr>
        <w:t>Grade E (Poor): 0</w:t>
      </w:r>
    </w:p>
    <w:p w14:paraId="6F0B7DA3" w14:textId="77777777" w:rsidR="003C7086" w:rsidRPr="004D2D9E" w:rsidRDefault="003C7086" w:rsidP="004D2D9E">
      <w:pPr>
        <w:spacing w:line="360" w:lineRule="auto"/>
        <w:jc w:val="both"/>
        <w:rPr>
          <w:rFonts w:ascii="Book Antiqua" w:hAnsi="Book Antiqua"/>
        </w:rPr>
      </w:pPr>
    </w:p>
    <w:p w14:paraId="0D6C0FF0" w14:textId="33E99D4A" w:rsidR="001D749C" w:rsidRPr="004D2D9E" w:rsidRDefault="00CA77E2" w:rsidP="004D2D9E">
      <w:pPr>
        <w:spacing w:line="360" w:lineRule="auto"/>
        <w:jc w:val="both"/>
        <w:rPr>
          <w:rFonts w:ascii="Book Antiqua" w:eastAsia="Book Antiqua" w:hAnsi="Book Antiqua" w:cs="Book Antiqua"/>
          <w:b/>
          <w:color w:val="000000"/>
        </w:rPr>
      </w:pPr>
      <w:r w:rsidRPr="004D2D9E">
        <w:rPr>
          <w:rFonts w:ascii="Book Antiqua" w:eastAsia="Book Antiqua" w:hAnsi="Book Antiqua" w:cs="Book Antiqua"/>
          <w:b/>
          <w:color w:val="000000"/>
        </w:rPr>
        <w:lastRenderedPageBreak/>
        <w:t xml:space="preserve">P-Reviewer: </w:t>
      </w:r>
      <w:r w:rsidRPr="004D2D9E">
        <w:rPr>
          <w:rFonts w:ascii="Book Antiqua" w:eastAsia="Book Antiqua" w:hAnsi="Book Antiqua" w:cs="Book Antiqua"/>
          <w:color w:val="000000"/>
        </w:rPr>
        <w:t>Kumar R, Martin Mateos RM</w:t>
      </w:r>
      <w:r w:rsidRPr="004D2D9E">
        <w:rPr>
          <w:rFonts w:ascii="Book Antiqua" w:eastAsia="Book Antiqua" w:hAnsi="Book Antiqua" w:cs="Book Antiqua"/>
          <w:b/>
          <w:color w:val="000000"/>
        </w:rPr>
        <w:t xml:space="preserve"> S-Editor: </w:t>
      </w:r>
      <w:r w:rsidRPr="004D2D9E">
        <w:rPr>
          <w:rFonts w:ascii="Book Antiqua" w:eastAsia="Book Antiqua" w:hAnsi="Book Antiqua" w:cs="Book Antiqua"/>
          <w:color w:val="000000"/>
        </w:rPr>
        <w:t>Fan JR</w:t>
      </w:r>
      <w:r w:rsidRPr="004D2D9E">
        <w:rPr>
          <w:rFonts w:ascii="Book Antiqua" w:eastAsia="Book Antiqua" w:hAnsi="Book Antiqua" w:cs="Book Antiqua"/>
          <w:b/>
          <w:color w:val="000000"/>
        </w:rPr>
        <w:t xml:space="preserve"> L-Editor: </w:t>
      </w:r>
      <w:r w:rsidR="00862689">
        <w:rPr>
          <w:rFonts w:ascii="Book Antiqua" w:eastAsia="Book Antiqua" w:hAnsi="Book Antiqua" w:cs="Book Antiqua"/>
          <w:bCs/>
          <w:color w:val="000000"/>
        </w:rPr>
        <w:t>Filipodia</w:t>
      </w:r>
      <w:r w:rsidRPr="004D2D9E">
        <w:rPr>
          <w:rFonts w:ascii="Book Antiqua" w:eastAsia="Book Antiqua" w:hAnsi="Book Antiqua" w:cs="Book Antiqua"/>
          <w:b/>
          <w:color w:val="000000"/>
        </w:rPr>
        <w:t xml:space="preserve"> P-Editor: </w:t>
      </w:r>
    </w:p>
    <w:p w14:paraId="648C9A0F" w14:textId="77777777" w:rsidR="001D749C" w:rsidRPr="004D2D9E" w:rsidRDefault="001D749C" w:rsidP="004D2D9E">
      <w:pPr>
        <w:spacing w:line="360" w:lineRule="auto"/>
        <w:jc w:val="both"/>
        <w:rPr>
          <w:rFonts w:ascii="Book Antiqua" w:eastAsia="Book Antiqua" w:hAnsi="Book Antiqua" w:cs="Book Antiqua"/>
          <w:b/>
          <w:color w:val="000000"/>
        </w:rPr>
      </w:pPr>
      <w:r w:rsidRPr="004D2D9E">
        <w:rPr>
          <w:rFonts w:ascii="Book Antiqua" w:eastAsia="Book Antiqua" w:hAnsi="Book Antiqua" w:cs="Book Antiqua"/>
          <w:b/>
          <w:color w:val="000000"/>
        </w:rPr>
        <w:br w:type="page"/>
      </w:r>
    </w:p>
    <w:p w14:paraId="648A4C7E" w14:textId="65212588" w:rsidR="003A1820" w:rsidRPr="004D2D9E" w:rsidRDefault="003A1820" w:rsidP="004D2D9E">
      <w:pPr>
        <w:shd w:val="clear" w:color="auto" w:fill="FFFFFF"/>
        <w:spacing w:line="360" w:lineRule="auto"/>
        <w:jc w:val="both"/>
        <w:rPr>
          <w:rFonts w:ascii="Book Antiqua" w:eastAsia="Calibri" w:hAnsi="Book Antiqua" w:cs="Tahoma"/>
          <w:b/>
          <w:bCs/>
          <w:color w:val="212121"/>
          <w:shd w:val="clear" w:color="auto" w:fill="FFFFFF"/>
        </w:rPr>
      </w:pPr>
      <w:r w:rsidRPr="004D2D9E">
        <w:rPr>
          <w:rFonts w:ascii="Book Antiqua" w:eastAsia="Calibri" w:hAnsi="Book Antiqua" w:cs="Tahoma"/>
          <w:b/>
          <w:bCs/>
          <w:color w:val="212121"/>
          <w:shd w:val="clear" w:color="auto" w:fill="FFFFFF"/>
        </w:rPr>
        <w:lastRenderedPageBreak/>
        <w:t xml:space="preserve">Table 1 </w:t>
      </w:r>
      <w:r w:rsidR="009A0C68" w:rsidRPr="004D2D9E">
        <w:rPr>
          <w:rFonts w:ascii="Book Antiqua" w:eastAsia="Book Antiqua" w:hAnsi="Book Antiqua" w:cs="Book Antiqua"/>
          <w:b/>
          <w:bCs/>
          <w:color w:val="000000"/>
          <w:shd w:val="clear" w:color="auto" w:fill="FFFFFF"/>
        </w:rPr>
        <w:t>World Health Organization</w:t>
      </w:r>
      <w:r w:rsidRPr="004D2D9E">
        <w:rPr>
          <w:rFonts w:ascii="Book Antiqua" w:eastAsia="Calibri" w:hAnsi="Book Antiqua" w:cs="Tahoma"/>
          <w:b/>
          <w:bCs/>
          <w:color w:val="212121"/>
          <w:shd w:val="clear" w:color="auto" w:fill="FFFFFF"/>
        </w:rPr>
        <w:t>'s goals to achieve viral hepatitis elimination and strategies to make it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708"/>
        <w:gridCol w:w="2173"/>
        <w:gridCol w:w="3777"/>
      </w:tblGrid>
      <w:tr w:rsidR="00474007" w:rsidRPr="004D2D9E" w14:paraId="298EA17F" w14:textId="77777777" w:rsidTr="00C24976">
        <w:tc>
          <w:tcPr>
            <w:tcW w:w="910" w:type="pct"/>
            <w:tcBorders>
              <w:top w:val="single" w:sz="4" w:space="0" w:color="auto"/>
              <w:bottom w:val="single" w:sz="4" w:space="0" w:color="auto"/>
            </w:tcBorders>
            <w:shd w:val="clear" w:color="auto" w:fill="auto"/>
            <w:hideMark/>
          </w:tcPr>
          <w:p w14:paraId="4A093043" w14:textId="77777777" w:rsidR="003A1820" w:rsidRPr="004D2D9E" w:rsidRDefault="003A1820" w:rsidP="004D2D9E">
            <w:pPr>
              <w:spacing w:line="360" w:lineRule="auto"/>
              <w:jc w:val="both"/>
              <w:rPr>
                <w:rFonts w:ascii="Book Antiqua" w:eastAsia="Calibri" w:hAnsi="Book Antiqua" w:cs="Tahoma"/>
                <w:b/>
                <w:bCs/>
                <w:color w:val="212121"/>
                <w:shd w:val="clear" w:color="auto" w:fill="FFFFFF"/>
              </w:rPr>
            </w:pPr>
            <w:r w:rsidRPr="004D2D9E">
              <w:rPr>
                <w:rFonts w:ascii="Book Antiqua" w:eastAsia="Calibri" w:hAnsi="Book Antiqua" w:cs="Tahoma"/>
                <w:b/>
                <w:bCs/>
                <w:color w:val="212121"/>
                <w:shd w:val="clear" w:color="auto" w:fill="FFFFFF"/>
              </w:rPr>
              <w:t>Goal to 2030</w:t>
            </w:r>
          </w:p>
        </w:tc>
        <w:tc>
          <w:tcPr>
            <w:tcW w:w="755" w:type="pct"/>
            <w:tcBorders>
              <w:top w:val="single" w:sz="4" w:space="0" w:color="auto"/>
              <w:bottom w:val="single" w:sz="4" w:space="0" w:color="auto"/>
            </w:tcBorders>
            <w:shd w:val="clear" w:color="auto" w:fill="auto"/>
            <w:hideMark/>
          </w:tcPr>
          <w:p w14:paraId="5D8D4EA2" w14:textId="77777777" w:rsidR="003A1820" w:rsidRPr="004D2D9E" w:rsidRDefault="003A1820" w:rsidP="004D2D9E">
            <w:pPr>
              <w:spacing w:line="360" w:lineRule="auto"/>
              <w:jc w:val="both"/>
              <w:rPr>
                <w:rFonts w:ascii="Book Antiqua" w:eastAsia="Calibri" w:hAnsi="Book Antiqua" w:cs="Tahoma"/>
                <w:b/>
                <w:bCs/>
                <w:color w:val="212121"/>
                <w:shd w:val="clear" w:color="auto" w:fill="FFFFFF"/>
              </w:rPr>
            </w:pPr>
            <w:r w:rsidRPr="004D2D9E">
              <w:rPr>
                <w:rFonts w:ascii="Book Antiqua" w:eastAsia="Calibri" w:hAnsi="Book Antiqua" w:cs="Tahoma"/>
                <w:b/>
                <w:bCs/>
                <w:color w:val="212121"/>
                <w:shd w:val="clear" w:color="auto" w:fill="FFFFFF"/>
              </w:rPr>
              <w:t>Existing resources</w:t>
            </w:r>
          </w:p>
        </w:tc>
        <w:tc>
          <w:tcPr>
            <w:tcW w:w="1265" w:type="pct"/>
            <w:tcBorders>
              <w:top w:val="single" w:sz="4" w:space="0" w:color="auto"/>
              <w:bottom w:val="single" w:sz="4" w:space="0" w:color="auto"/>
            </w:tcBorders>
            <w:shd w:val="clear" w:color="auto" w:fill="auto"/>
            <w:hideMark/>
          </w:tcPr>
          <w:p w14:paraId="110E83F5" w14:textId="77777777" w:rsidR="003A1820" w:rsidRPr="004D2D9E" w:rsidRDefault="003A1820" w:rsidP="004D2D9E">
            <w:pPr>
              <w:spacing w:line="360" w:lineRule="auto"/>
              <w:jc w:val="both"/>
              <w:rPr>
                <w:rFonts w:ascii="Book Antiqua" w:eastAsia="Calibri" w:hAnsi="Book Antiqua" w:cs="Tahoma"/>
                <w:b/>
                <w:bCs/>
                <w:color w:val="212121"/>
                <w:shd w:val="clear" w:color="auto" w:fill="FFFFFF"/>
              </w:rPr>
            </w:pPr>
            <w:r w:rsidRPr="004D2D9E">
              <w:rPr>
                <w:rFonts w:ascii="Book Antiqua" w:eastAsia="Calibri" w:hAnsi="Book Antiqua" w:cs="Tahoma"/>
                <w:b/>
                <w:bCs/>
                <w:color w:val="212121"/>
                <w:shd w:val="clear" w:color="auto" w:fill="FFFFFF"/>
              </w:rPr>
              <w:t>Barriers</w:t>
            </w:r>
          </w:p>
        </w:tc>
        <w:tc>
          <w:tcPr>
            <w:tcW w:w="2070" w:type="pct"/>
            <w:tcBorders>
              <w:top w:val="single" w:sz="4" w:space="0" w:color="auto"/>
              <w:bottom w:val="single" w:sz="4" w:space="0" w:color="auto"/>
            </w:tcBorders>
            <w:shd w:val="clear" w:color="auto" w:fill="auto"/>
            <w:hideMark/>
          </w:tcPr>
          <w:p w14:paraId="74E8FF14" w14:textId="77777777" w:rsidR="003A1820" w:rsidRPr="004D2D9E" w:rsidRDefault="003A1820" w:rsidP="004D2D9E">
            <w:pPr>
              <w:spacing w:line="360" w:lineRule="auto"/>
              <w:jc w:val="both"/>
              <w:rPr>
                <w:rFonts w:ascii="Book Antiqua" w:eastAsia="Calibri" w:hAnsi="Book Antiqua" w:cs="Tahoma"/>
                <w:b/>
                <w:bCs/>
                <w:color w:val="212121"/>
                <w:shd w:val="clear" w:color="auto" w:fill="FFFFFF"/>
              </w:rPr>
            </w:pPr>
            <w:r w:rsidRPr="004D2D9E">
              <w:rPr>
                <w:rFonts w:ascii="Book Antiqua" w:eastAsia="Calibri" w:hAnsi="Book Antiqua" w:cs="Tahoma"/>
                <w:b/>
                <w:bCs/>
                <w:color w:val="212121"/>
                <w:shd w:val="clear" w:color="auto" w:fill="FFFFFF"/>
              </w:rPr>
              <w:t>Strategies that should be improved</w:t>
            </w:r>
          </w:p>
        </w:tc>
      </w:tr>
      <w:tr w:rsidR="003A1820" w:rsidRPr="004D2D9E" w14:paraId="3ABF1442" w14:textId="77777777" w:rsidTr="00C24976">
        <w:tc>
          <w:tcPr>
            <w:tcW w:w="5000" w:type="pct"/>
            <w:gridSpan w:val="4"/>
            <w:tcBorders>
              <w:top w:val="single" w:sz="4" w:space="0" w:color="auto"/>
            </w:tcBorders>
            <w:shd w:val="clear" w:color="auto" w:fill="auto"/>
            <w:hideMark/>
          </w:tcPr>
          <w:p w14:paraId="5FD64918" w14:textId="77777777" w:rsidR="003A1820" w:rsidRPr="004D2D9E" w:rsidRDefault="003A1820" w:rsidP="004D2D9E">
            <w:pPr>
              <w:spacing w:line="360" w:lineRule="auto"/>
              <w:jc w:val="both"/>
              <w:rPr>
                <w:rFonts w:ascii="Book Antiqua" w:eastAsia="Calibri" w:hAnsi="Book Antiqua" w:cs="Tahoma"/>
                <w:b/>
                <w:bCs/>
                <w:color w:val="212121"/>
                <w:shd w:val="clear" w:color="auto" w:fill="FFFFFF"/>
              </w:rPr>
            </w:pPr>
            <w:r w:rsidRPr="004D2D9E">
              <w:rPr>
                <w:rFonts w:ascii="Book Antiqua" w:eastAsia="Calibri" w:hAnsi="Book Antiqua" w:cs="Tahoma"/>
                <w:b/>
                <w:bCs/>
                <w:color w:val="212121"/>
                <w:shd w:val="clear" w:color="auto" w:fill="FFFFFF"/>
              </w:rPr>
              <w:t>Hepatitis C</w:t>
            </w:r>
          </w:p>
        </w:tc>
      </w:tr>
      <w:tr w:rsidR="00474007" w:rsidRPr="004D2D9E" w14:paraId="353A4A69" w14:textId="77777777" w:rsidTr="00C24976">
        <w:tc>
          <w:tcPr>
            <w:tcW w:w="910" w:type="pct"/>
            <w:shd w:val="clear" w:color="auto" w:fill="auto"/>
            <w:hideMark/>
          </w:tcPr>
          <w:p w14:paraId="4F78E917" w14:textId="77777777" w:rsidR="003A1820" w:rsidRPr="004D2D9E" w:rsidRDefault="003A1820" w:rsidP="004D2D9E">
            <w:pPr>
              <w:spacing w:line="360" w:lineRule="auto"/>
              <w:jc w:val="both"/>
              <w:rPr>
                <w:rFonts w:ascii="Book Antiqua" w:eastAsia="Calibri" w:hAnsi="Book Antiqua" w:cs="Tahoma"/>
                <w:b/>
                <w:bCs/>
                <w:color w:val="212121"/>
                <w:shd w:val="clear" w:color="auto" w:fill="FFFFFF"/>
              </w:rPr>
            </w:pPr>
            <w:r w:rsidRPr="004D2D9E">
              <w:rPr>
                <w:rFonts w:ascii="Book Antiqua" w:eastAsia="Calibri" w:hAnsi="Book Antiqua" w:cs="Tahoma"/>
              </w:rPr>
              <w:t>90% reduction of new viral hepatitis infections</w:t>
            </w:r>
          </w:p>
        </w:tc>
        <w:tc>
          <w:tcPr>
            <w:tcW w:w="755" w:type="pct"/>
            <w:shd w:val="clear" w:color="auto" w:fill="auto"/>
            <w:hideMark/>
          </w:tcPr>
          <w:p w14:paraId="6C92EB46" w14:textId="6F4632DB" w:rsidR="003A1820" w:rsidRPr="004D2D9E" w:rsidRDefault="003A1820" w:rsidP="004D2D9E">
            <w:pPr>
              <w:spacing w:line="360" w:lineRule="auto"/>
              <w:jc w:val="both"/>
              <w:rPr>
                <w:rFonts w:ascii="Book Antiqua" w:eastAsia="Calibri" w:hAnsi="Book Antiqua" w:cs="Tahoma"/>
                <w:bCs/>
                <w:color w:val="212121"/>
                <w:shd w:val="clear" w:color="auto" w:fill="FFFFFF"/>
              </w:rPr>
            </w:pPr>
            <w:r w:rsidRPr="004D2D9E">
              <w:rPr>
                <w:rFonts w:ascii="Book Antiqua" w:eastAsia="Calibri" w:hAnsi="Book Antiqua" w:cs="Tahoma"/>
                <w:bCs/>
                <w:color w:val="212121"/>
                <w:shd w:val="clear" w:color="auto" w:fill="FFFFFF"/>
              </w:rPr>
              <w:t xml:space="preserve">Harm reduction programs: </w:t>
            </w:r>
            <w:r w:rsidR="00506553" w:rsidRPr="004D2D9E">
              <w:rPr>
                <w:rFonts w:ascii="Book Antiqua" w:eastAsia="Calibri" w:hAnsi="Book Antiqua" w:cs="Tahoma"/>
                <w:bCs/>
                <w:color w:val="212121"/>
                <w:shd w:val="clear" w:color="auto" w:fill="FFFFFF"/>
              </w:rPr>
              <w:t>S</w:t>
            </w:r>
            <w:r w:rsidRPr="004D2D9E">
              <w:rPr>
                <w:rFonts w:ascii="Book Antiqua" w:eastAsia="Calibri" w:hAnsi="Book Antiqua" w:cs="Tahoma"/>
                <w:bCs/>
                <w:color w:val="212121"/>
                <w:shd w:val="clear" w:color="auto" w:fill="FFFFFF"/>
              </w:rPr>
              <w:t>afe-sex, safe-needles, and safe-syringes</w:t>
            </w:r>
          </w:p>
        </w:tc>
        <w:tc>
          <w:tcPr>
            <w:tcW w:w="1265" w:type="pct"/>
            <w:shd w:val="clear" w:color="auto" w:fill="auto"/>
            <w:hideMark/>
          </w:tcPr>
          <w:p w14:paraId="5B58C70D" w14:textId="431C24C8" w:rsidR="003A1820" w:rsidRPr="004D2D9E" w:rsidRDefault="003A1820" w:rsidP="004D2D9E">
            <w:pPr>
              <w:spacing w:line="360" w:lineRule="auto"/>
              <w:jc w:val="both"/>
              <w:rPr>
                <w:rFonts w:ascii="Book Antiqua" w:eastAsia="Calibri" w:hAnsi="Book Antiqua" w:cs="Tahoma"/>
                <w:bCs/>
                <w:color w:val="212121"/>
                <w:shd w:val="clear" w:color="auto" w:fill="FFFFFF"/>
              </w:rPr>
            </w:pPr>
            <w:r w:rsidRPr="004D2D9E">
              <w:rPr>
                <w:rFonts w:ascii="Book Antiqua" w:eastAsia="Calibri" w:hAnsi="Book Antiqua" w:cs="Tahoma"/>
                <w:bCs/>
                <w:color w:val="212121"/>
                <w:shd w:val="clear" w:color="auto" w:fill="FFFFFF"/>
              </w:rPr>
              <w:t>If well, programs exist in the real-life world are not always sufficiently implemented</w:t>
            </w:r>
          </w:p>
        </w:tc>
        <w:tc>
          <w:tcPr>
            <w:tcW w:w="2070" w:type="pct"/>
            <w:shd w:val="clear" w:color="auto" w:fill="auto"/>
          </w:tcPr>
          <w:p w14:paraId="6127216D" w14:textId="7319E2BB" w:rsidR="003A1820" w:rsidRPr="004D2D9E" w:rsidRDefault="003A1820" w:rsidP="004D2D9E">
            <w:pPr>
              <w:spacing w:line="360" w:lineRule="auto"/>
              <w:jc w:val="both"/>
              <w:rPr>
                <w:rFonts w:ascii="Book Antiqua" w:eastAsiaTheme="minorEastAsia" w:hAnsi="Book Antiqua" w:cs="Tahoma"/>
                <w:bCs/>
                <w:color w:val="212121"/>
                <w:shd w:val="clear" w:color="auto" w:fill="FFFFFF"/>
              </w:rPr>
            </w:pPr>
            <w:r w:rsidRPr="004D2D9E">
              <w:rPr>
                <w:rFonts w:ascii="Book Antiqua" w:eastAsia="Calibri" w:hAnsi="Book Antiqua" w:cs="Tahoma"/>
                <w:bCs/>
                <w:color w:val="212121"/>
                <w:shd w:val="clear" w:color="auto" w:fill="FFFFFF"/>
              </w:rPr>
              <w:t>Target high-risk population such as MSM, prison inmates, sexual workers, patients with HIV, IDU, immigrants, children born from an HCV+ mother</w:t>
            </w:r>
          </w:p>
        </w:tc>
      </w:tr>
      <w:tr w:rsidR="00474007" w:rsidRPr="004D2D9E" w14:paraId="1BEA93D6" w14:textId="77777777" w:rsidTr="00C24976">
        <w:tc>
          <w:tcPr>
            <w:tcW w:w="910" w:type="pct"/>
            <w:shd w:val="clear" w:color="auto" w:fill="auto"/>
            <w:hideMark/>
          </w:tcPr>
          <w:p w14:paraId="184562A2" w14:textId="28D12473" w:rsidR="003A1820" w:rsidRPr="004D2D9E" w:rsidRDefault="003A1820" w:rsidP="004D2D9E">
            <w:pPr>
              <w:spacing w:line="360" w:lineRule="auto"/>
              <w:jc w:val="both"/>
              <w:rPr>
                <w:rFonts w:ascii="Book Antiqua" w:eastAsia="Calibri" w:hAnsi="Book Antiqua" w:cs="Tahoma"/>
                <w:b/>
                <w:bCs/>
                <w:color w:val="212121"/>
                <w:shd w:val="clear" w:color="auto" w:fill="FFFFFF"/>
              </w:rPr>
            </w:pPr>
            <w:r w:rsidRPr="004D2D9E">
              <w:rPr>
                <w:rFonts w:ascii="Book Antiqua" w:eastAsia="Calibri" w:hAnsi="Book Antiqua" w:cs="Tahoma"/>
              </w:rPr>
              <w:t>To reach 90% of patients with viral hepatitis infections being diagnosed</w:t>
            </w:r>
          </w:p>
        </w:tc>
        <w:tc>
          <w:tcPr>
            <w:tcW w:w="755" w:type="pct"/>
            <w:shd w:val="clear" w:color="auto" w:fill="auto"/>
            <w:hideMark/>
          </w:tcPr>
          <w:p w14:paraId="38E59514" w14:textId="77777777" w:rsidR="003A1820" w:rsidRPr="004D2D9E" w:rsidRDefault="003A1820" w:rsidP="004D2D9E">
            <w:pPr>
              <w:spacing w:line="360" w:lineRule="auto"/>
              <w:jc w:val="both"/>
              <w:rPr>
                <w:rFonts w:ascii="Book Antiqua" w:eastAsia="Calibri" w:hAnsi="Book Antiqua" w:cs="Tahoma"/>
                <w:bCs/>
                <w:color w:val="212121"/>
                <w:shd w:val="clear" w:color="auto" w:fill="FFFFFF"/>
              </w:rPr>
            </w:pPr>
            <w:r w:rsidRPr="004D2D9E">
              <w:rPr>
                <w:rFonts w:ascii="Book Antiqua" w:eastAsia="Calibri" w:hAnsi="Book Antiqua" w:cs="Tahoma"/>
                <w:bCs/>
                <w:color w:val="212121"/>
                <w:shd w:val="clear" w:color="auto" w:fill="FFFFFF"/>
              </w:rPr>
              <w:t>Tests with high sensitivity</w:t>
            </w:r>
          </w:p>
        </w:tc>
        <w:tc>
          <w:tcPr>
            <w:tcW w:w="1265" w:type="pct"/>
            <w:shd w:val="clear" w:color="auto" w:fill="auto"/>
            <w:hideMark/>
          </w:tcPr>
          <w:p w14:paraId="5A94EAE5" w14:textId="2443E68B" w:rsidR="003A1820" w:rsidRPr="004D2D9E" w:rsidRDefault="003A1820" w:rsidP="004D2D9E">
            <w:pPr>
              <w:spacing w:line="360" w:lineRule="auto"/>
              <w:jc w:val="both"/>
              <w:rPr>
                <w:rFonts w:ascii="Book Antiqua" w:eastAsia="Calibri" w:hAnsi="Book Antiqua" w:cs="Tahoma"/>
                <w:bCs/>
                <w:color w:val="212121"/>
                <w:shd w:val="clear" w:color="auto" w:fill="FFFFFF"/>
              </w:rPr>
            </w:pPr>
            <w:r w:rsidRPr="004D2D9E">
              <w:rPr>
                <w:rFonts w:ascii="Book Antiqua" w:eastAsia="Calibri" w:hAnsi="Book Antiqua" w:cs="Tahoma"/>
                <w:bCs/>
                <w:color w:val="212121"/>
                <w:shd w:val="clear" w:color="auto" w:fill="FFFFFF"/>
              </w:rPr>
              <w:t>If well, detection campaigns exist, it is not enough to reach all people in a real-life setting</w:t>
            </w:r>
          </w:p>
        </w:tc>
        <w:tc>
          <w:tcPr>
            <w:tcW w:w="2070" w:type="pct"/>
            <w:shd w:val="clear" w:color="auto" w:fill="auto"/>
          </w:tcPr>
          <w:p w14:paraId="49389CF7" w14:textId="3759195A" w:rsidR="003A1820" w:rsidRPr="004D2D9E" w:rsidRDefault="003A1820" w:rsidP="004D2D9E">
            <w:pPr>
              <w:spacing w:line="360" w:lineRule="auto"/>
              <w:jc w:val="both"/>
              <w:rPr>
                <w:rFonts w:ascii="Book Antiqua" w:eastAsia="Calibri" w:hAnsi="Book Antiqua" w:cs="Tahoma"/>
                <w:bCs/>
                <w:color w:val="212121"/>
                <w:shd w:val="clear" w:color="auto" w:fill="FFFFFF"/>
              </w:rPr>
            </w:pPr>
            <w:r w:rsidRPr="004D2D9E">
              <w:rPr>
                <w:rFonts w:ascii="Book Antiqua" w:eastAsia="Calibri" w:hAnsi="Book Antiqua" w:cs="Tahoma"/>
                <w:bCs/>
                <w:color w:val="212121"/>
                <w:shd w:val="clear" w:color="auto" w:fill="FFFFFF"/>
              </w:rPr>
              <w:t>Once in life, universal screening for all adults.</w:t>
            </w:r>
            <w:r w:rsidR="00506553" w:rsidRPr="004D2D9E">
              <w:rPr>
                <w:rFonts w:ascii="Book Antiqua" w:eastAsiaTheme="minorEastAsia" w:hAnsi="Book Antiqua" w:cs="Tahoma"/>
                <w:bCs/>
                <w:color w:val="212121"/>
                <w:shd w:val="clear" w:color="auto" w:fill="FFFFFF"/>
              </w:rPr>
              <w:t xml:space="preserve"> </w:t>
            </w:r>
            <w:r w:rsidRPr="004D2D9E">
              <w:rPr>
                <w:rFonts w:ascii="Book Antiqua" w:eastAsia="Calibri" w:hAnsi="Book Antiqua" w:cs="Tahoma"/>
                <w:bCs/>
                <w:color w:val="212121"/>
                <w:shd w:val="clear" w:color="auto" w:fill="FFFFFF"/>
              </w:rPr>
              <w:t>Also target high-risk population such as immigrants, MSM, prison inmates, sexual workers, patients with HIV, IDU, children born from an HCV+ mother</w:t>
            </w:r>
          </w:p>
        </w:tc>
      </w:tr>
      <w:tr w:rsidR="00474007" w:rsidRPr="004D2D9E" w14:paraId="7293E4E3" w14:textId="77777777" w:rsidTr="00C24976">
        <w:tc>
          <w:tcPr>
            <w:tcW w:w="910" w:type="pct"/>
            <w:shd w:val="clear" w:color="auto" w:fill="auto"/>
            <w:hideMark/>
          </w:tcPr>
          <w:p w14:paraId="113645FF" w14:textId="77777777" w:rsidR="003A1820" w:rsidRPr="004D2D9E" w:rsidRDefault="003A1820" w:rsidP="004D2D9E">
            <w:pPr>
              <w:spacing w:line="360" w:lineRule="auto"/>
              <w:jc w:val="both"/>
              <w:rPr>
                <w:rFonts w:ascii="Book Antiqua" w:eastAsia="Calibri" w:hAnsi="Book Antiqua" w:cs="Tahoma"/>
              </w:rPr>
            </w:pPr>
            <w:r w:rsidRPr="004D2D9E">
              <w:rPr>
                <w:rFonts w:ascii="Book Antiqua" w:eastAsia="Calibri" w:hAnsi="Book Antiqua" w:cs="Tahoma"/>
              </w:rPr>
              <w:t>65% reduction in liver-related deaths</w:t>
            </w:r>
          </w:p>
        </w:tc>
        <w:tc>
          <w:tcPr>
            <w:tcW w:w="755" w:type="pct"/>
            <w:shd w:val="clear" w:color="auto" w:fill="auto"/>
            <w:hideMark/>
          </w:tcPr>
          <w:p w14:paraId="1C68E73C" w14:textId="7F3136F8" w:rsidR="003A1820" w:rsidRPr="004D2D9E" w:rsidRDefault="003A1820" w:rsidP="004D2D9E">
            <w:pPr>
              <w:spacing w:line="360" w:lineRule="auto"/>
              <w:jc w:val="both"/>
              <w:rPr>
                <w:rFonts w:ascii="Book Antiqua" w:eastAsia="Calibri" w:hAnsi="Book Antiqua" w:cs="Tahoma"/>
                <w:bCs/>
                <w:color w:val="212121"/>
                <w:shd w:val="clear" w:color="auto" w:fill="FFFFFF"/>
              </w:rPr>
            </w:pPr>
            <w:r w:rsidRPr="004D2D9E">
              <w:rPr>
                <w:rFonts w:ascii="Book Antiqua" w:eastAsia="Calibri" w:hAnsi="Book Antiqua" w:cs="Tahoma"/>
                <w:bCs/>
                <w:color w:val="212121"/>
                <w:shd w:val="clear" w:color="auto" w:fill="FFFFFF"/>
              </w:rPr>
              <w:t>DAAs</w:t>
            </w:r>
            <w:r w:rsidR="00506553" w:rsidRPr="004D2D9E">
              <w:rPr>
                <w:rFonts w:ascii="Book Antiqua" w:eastAsia="Calibri" w:hAnsi="Book Antiqua" w:cs="Tahoma"/>
                <w:bCs/>
                <w:color w:val="212121"/>
                <w:shd w:val="clear" w:color="auto" w:fill="FFFFFF"/>
              </w:rPr>
              <w:t xml:space="preserve">. </w:t>
            </w:r>
            <w:r w:rsidRPr="004D2D9E">
              <w:rPr>
                <w:rFonts w:ascii="Book Antiqua" w:eastAsia="Calibri" w:hAnsi="Book Antiqua" w:cs="Tahoma"/>
                <w:bCs/>
                <w:color w:val="212121"/>
                <w:shd w:val="clear" w:color="auto" w:fill="FFFFFF"/>
              </w:rPr>
              <w:t>Telemedicine and telementoring programs</w:t>
            </w:r>
          </w:p>
        </w:tc>
        <w:tc>
          <w:tcPr>
            <w:tcW w:w="1265" w:type="pct"/>
            <w:shd w:val="clear" w:color="auto" w:fill="auto"/>
            <w:hideMark/>
          </w:tcPr>
          <w:p w14:paraId="2475ECBE" w14:textId="3C590CF6" w:rsidR="003A1820" w:rsidRPr="004D2D9E" w:rsidRDefault="003A1820" w:rsidP="004D2D9E">
            <w:pPr>
              <w:spacing w:line="360" w:lineRule="auto"/>
              <w:jc w:val="both"/>
              <w:rPr>
                <w:rFonts w:ascii="Book Antiqua" w:eastAsia="Calibri" w:hAnsi="Book Antiqua" w:cs="Tahoma"/>
                <w:bCs/>
                <w:color w:val="212121"/>
                <w:shd w:val="clear" w:color="auto" w:fill="FFFFFF"/>
              </w:rPr>
            </w:pPr>
            <w:r w:rsidRPr="004D2D9E">
              <w:rPr>
                <w:rFonts w:ascii="Book Antiqua" w:eastAsia="Calibri" w:hAnsi="Book Antiqua" w:cs="Tahoma"/>
                <w:bCs/>
                <w:color w:val="212121"/>
                <w:shd w:val="clear" w:color="auto" w:fill="FFFFFF"/>
              </w:rPr>
              <w:t>Still, there is limited access to therapy</w:t>
            </w:r>
            <w:r w:rsidR="00506553" w:rsidRPr="004D2D9E">
              <w:rPr>
                <w:rFonts w:ascii="Book Antiqua" w:eastAsia="Calibri" w:hAnsi="Book Antiqua" w:cs="Tahoma"/>
                <w:bCs/>
                <w:color w:val="212121"/>
                <w:shd w:val="clear" w:color="auto" w:fill="FFFFFF"/>
              </w:rPr>
              <w:t>.</w:t>
            </w:r>
            <w:r w:rsidR="00506553" w:rsidRPr="004D2D9E">
              <w:rPr>
                <w:rFonts w:ascii="Book Antiqua" w:eastAsiaTheme="minorEastAsia" w:hAnsi="Book Antiqua" w:cs="Tahoma"/>
                <w:bCs/>
                <w:color w:val="212121"/>
                <w:shd w:val="clear" w:color="auto" w:fill="FFFFFF"/>
              </w:rPr>
              <w:t xml:space="preserve"> </w:t>
            </w:r>
            <w:r w:rsidRPr="004D2D9E">
              <w:rPr>
                <w:rFonts w:ascii="Book Antiqua" w:eastAsia="Calibri" w:hAnsi="Book Antiqua" w:cs="Tahoma"/>
                <w:bCs/>
                <w:color w:val="212121"/>
                <w:shd w:val="clear" w:color="auto" w:fill="FFFFFF"/>
              </w:rPr>
              <w:t>More restrained access in LMICs</w:t>
            </w:r>
            <w:r w:rsidR="006B707A" w:rsidRPr="004D2D9E">
              <w:rPr>
                <w:rFonts w:ascii="Book Antiqua" w:eastAsia="Calibri" w:hAnsi="Book Antiqua" w:cs="Tahoma"/>
                <w:bCs/>
                <w:color w:val="212121"/>
                <w:shd w:val="clear" w:color="auto" w:fill="FFFFFF"/>
              </w:rPr>
              <w:t>.</w:t>
            </w:r>
            <w:r w:rsidR="006B707A" w:rsidRPr="004D2D9E">
              <w:rPr>
                <w:rFonts w:ascii="Book Antiqua" w:eastAsiaTheme="minorEastAsia" w:hAnsi="Book Antiqua" w:cs="Tahoma"/>
                <w:bCs/>
                <w:color w:val="212121"/>
                <w:shd w:val="clear" w:color="auto" w:fill="FFFFFF"/>
              </w:rPr>
              <w:t xml:space="preserve"> </w:t>
            </w:r>
            <w:r w:rsidRPr="004D2D9E">
              <w:rPr>
                <w:rFonts w:ascii="Book Antiqua" w:eastAsia="Calibri" w:hAnsi="Book Antiqua" w:cs="Tahoma"/>
                <w:bCs/>
                <w:color w:val="212121"/>
                <w:shd w:val="clear" w:color="auto" w:fill="FFFFFF"/>
              </w:rPr>
              <w:t xml:space="preserve">Vulnerable groups with high prevalence and incidence of viral hepatitis have </w:t>
            </w:r>
            <w:r w:rsidRPr="004D2D9E">
              <w:rPr>
                <w:rFonts w:ascii="Book Antiqua" w:eastAsia="Calibri" w:hAnsi="Book Antiqua" w:cs="Tahoma"/>
                <w:bCs/>
                <w:color w:val="212121"/>
                <w:shd w:val="clear" w:color="auto" w:fill="FFFFFF"/>
              </w:rPr>
              <w:lastRenderedPageBreak/>
              <w:t>restricted access to therapy</w:t>
            </w:r>
          </w:p>
        </w:tc>
        <w:tc>
          <w:tcPr>
            <w:tcW w:w="2070" w:type="pct"/>
            <w:shd w:val="clear" w:color="auto" w:fill="auto"/>
          </w:tcPr>
          <w:p w14:paraId="167A72D4" w14:textId="325ABE26" w:rsidR="003A1820" w:rsidRPr="004D2D9E" w:rsidRDefault="003A1820" w:rsidP="004D2D9E">
            <w:pPr>
              <w:shd w:val="clear" w:color="auto" w:fill="F8F9FA"/>
              <w:spacing w:line="360" w:lineRule="auto"/>
              <w:jc w:val="both"/>
              <w:rPr>
                <w:rFonts w:ascii="Book Antiqua" w:eastAsia="Calibri" w:hAnsi="Book Antiqua" w:cs="Tahoma"/>
                <w:bCs/>
                <w:color w:val="212121"/>
                <w:shd w:val="clear" w:color="auto" w:fill="FFFFFF"/>
              </w:rPr>
            </w:pPr>
            <w:r w:rsidRPr="004D2D9E">
              <w:rPr>
                <w:rFonts w:ascii="Book Antiqua" w:hAnsi="Book Antiqua" w:cs="Tahoma"/>
                <w:color w:val="202124"/>
              </w:rPr>
              <w:lastRenderedPageBreak/>
              <w:t xml:space="preserve">Flexible policies that guarantee timely access to treatment to all who need it, including vulnerable groups such as immigrants, </w:t>
            </w:r>
            <w:r w:rsidRPr="004D2D9E">
              <w:rPr>
                <w:rFonts w:ascii="Book Antiqua" w:eastAsia="Calibri" w:hAnsi="Book Antiqua" w:cs="Tahoma"/>
                <w:bCs/>
                <w:color w:val="212121"/>
              </w:rPr>
              <w:t>prison inmates, sexual workers, patients with HIV, IDU, children born from an HCV+ mother when appropriate</w:t>
            </w:r>
            <w:r w:rsidR="00506553" w:rsidRPr="004D2D9E">
              <w:rPr>
                <w:rFonts w:ascii="Book Antiqua" w:eastAsiaTheme="minorEastAsia" w:hAnsi="Book Antiqua" w:cs="Tahoma"/>
                <w:bCs/>
                <w:color w:val="212121"/>
              </w:rPr>
              <w:t xml:space="preserve">. </w:t>
            </w:r>
            <w:r w:rsidRPr="004D2D9E">
              <w:rPr>
                <w:rFonts w:ascii="Book Antiqua" w:eastAsia="Calibri" w:hAnsi="Book Antiqua" w:cs="Tahoma"/>
                <w:bCs/>
                <w:color w:val="212121"/>
              </w:rPr>
              <w:t>Consider including those without healthcare insurance</w:t>
            </w:r>
            <w:r w:rsidRPr="004D2D9E">
              <w:rPr>
                <w:rFonts w:ascii="Book Antiqua" w:eastAsia="Calibri" w:hAnsi="Book Antiqua" w:cs="Tahoma"/>
                <w:bCs/>
                <w:color w:val="212121"/>
                <w:shd w:val="clear" w:color="auto" w:fill="FFFFFF"/>
              </w:rPr>
              <w:t xml:space="preserve"> to cover their medication.</w:t>
            </w:r>
            <w:r w:rsidR="00506553" w:rsidRPr="004D2D9E">
              <w:rPr>
                <w:rFonts w:ascii="Book Antiqua" w:eastAsiaTheme="minorEastAsia" w:hAnsi="Book Antiqua" w:cs="Tahoma"/>
                <w:bCs/>
                <w:color w:val="212121"/>
                <w:shd w:val="clear" w:color="auto" w:fill="FFFFFF"/>
              </w:rPr>
              <w:t xml:space="preserve"> </w:t>
            </w:r>
            <w:r w:rsidRPr="004D2D9E">
              <w:rPr>
                <w:rFonts w:ascii="Book Antiqua" w:eastAsia="Calibri" w:hAnsi="Book Antiqua" w:cs="Tahoma"/>
                <w:bCs/>
                <w:color w:val="212121"/>
                <w:shd w:val="clear" w:color="auto" w:fill="FFFFFF"/>
              </w:rPr>
              <w:t xml:space="preserve">Encourage </w:t>
            </w:r>
            <w:r w:rsidRPr="004D2D9E">
              <w:rPr>
                <w:rFonts w:ascii="Book Antiqua" w:eastAsia="Calibri" w:hAnsi="Book Antiqua" w:cs="Tahoma"/>
                <w:bCs/>
                <w:color w:val="212121"/>
                <w:shd w:val="clear" w:color="auto" w:fill="FFFFFF"/>
              </w:rPr>
              <w:lastRenderedPageBreak/>
              <w:t>telemedicine programs to access communities of difficult access</w:t>
            </w:r>
          </w:p>
        </w:tc>
      </w:tr>
      <w:tr w:rsidR="003A1820" w:rsidRPr="004D2D9E" w14:paraId="34F7A475" w14:textId="77777777" w:rsidTr="00C24976">
        <w:tc>
          <w:tcPr>
            <w:tcW w:w="5000" w:type="pct"/>
            <w:gridSpan w:val="4"/>
            <w:shd w:val="clear" w:color="auto" w:fill="auto"/>
            <w:hideMark/>
          </w:tcPr>
          <w:p w14:paraId="2EC0C94F" w14:textId="77777777" w:rsidR="003A1820" w:rsidRPr="004D2D9E" w:rsidRDefault="003A1820" w:rsidP="004D2D9E">
            <w:pPr>
              <w:spacing w:line="360" w:lineRule="auto"/>
              <w:jc w:val="both"/>
              <w:rPr>
                <w:rFonts w:ascii="Book Antiqua" w:eastAsia="Calibri" w:hAnsi="Book Antiqua" w:cs="Tahoma"/>
                <w:b/>
                <w:bCs/>
                <w:color w:val="212121"/>
                <w:shd w:val="clear" w:color="auto" w:fill="FFFFFF"/>
              </w:rPr>
            </w:pPr>
            <w:r w:rsidRPr="004D2D9E">
              <w:rPr>
                <w:rFonts w:ascii="Book Antiqua" w:eastAsia="Calibri" w:hAnsi="Book Antiqua" w:cs="Tahoma"/>
                <w:b/>
                <w:bCs/>
                <w:color w:val="212121"/>
                <w:shd w:val="clear" w:color="auto" w:fill="FFFFFF"/>
              </w:rPr>
              <w:lastRenderedPageBreak/>
              <w:t>Hepatitis B</w:t>
            </w:r>
          </w:p>
        </w:tc>
      </w:tr>
      <w:tr w:rsidR="00474007" w:rsidRPr="004D2D9E" w14:paraId="2851A543" w14:textId="77777777" w:rsidTr="00C24976">
        <w:tc>
          <w:tcPr>
            <w:tcW w:w="910" w:type="pct"/>
            <w:shd w:val="clear" w:color="auto" w:fill="auto"/>
            <w:hideMark/>
          </w:tcPr>
          <w:p w14:paraId="1B6CDE4B" w14:textId="77777777" w:rsidR="003A1820" w:rsidRPr="004D2D9E" w:rsidRDefault="003A1820" w:rsidP="004D2D9E">
            <w:pPr>
              <w:spacing w:line="360" w:lineRule="auto"/>
              <w:jc w:val="both"/>
              <w:rPr>
                <w:rFonts w:ascii="Book Antiqua" w:eastAsia="Calibri" w:hAnsi="Book Antiqua" w:cs="Tahoma"/>
                <w:b/>
                <w:bCs/>
                <w:color w:val="212121"/>
                <w:shd w:val="clear" w:color="auto" w:fill="FFFFFF"/>
              </w:rPr>
            </w:pPr>
            <w:r w:rsidRPr="004D2D9E">
              <w:rPr>
                <w:rFonts w:ascii="Book Antiqua" w:eastAsia="Calibri" w:hAnsi="Book Antiqua" w:cs="Tahoma"/>
              </w:rPr>
              <w:t>Prevention of new HBV infections through vaccination and blood safety</w:t>
            </w:r>
          </w:p>
        </w:tc>
        <w:tc>
          <w:tcPr>
            <w:tcW w:w="755" w:type="pct"/>
            <w:shd w:val="clear" w:color="auto" w:fill="auto"/>
            <w:hideMark/>
          </w:tcPr>
          <w:p w14:paraId="3A98A928" w14:textId="77777777" w:rsidR="003A1820" w:rsidRPr="004D2D9E" w:rsidRDefault="003A1820" w:rsidP="004D2D9E">
            <w:pPr>
              <w:spacing w:line="360" w:lineRule="auto"/>
              <w:jc w:val="both"/>
              <w:rPr>
                <w:rFonts w:ascii="Book Antiqua" w:eastAsia="Calibri" w:hAnsi="Book Antiqua" w:cs="Tahoma"/>
                <w:bCs/>
                <w:color w:val="212121"/>
                <w:shd w:val="clear" w:color="auto" w:fill="FFFFFF"/>
              </w:rPr>
            </w:pPr>
            <w:r w:rsidRPr="004D2D9E">
              <w:rPr>
                <w:rFonts w:ascii="Book Antiqua" w:eastAsia="Calibri" w:hAnsi="Book Antiqua" w:cs="Tahoma"/>
                <w:bCs/>
                <w:color w:val="212121"/>
                <w:shd w:val="clear" w:color="auto" w:fill="FFFFFF"/>
              </w:rPr>
              <w:t>Effective and safe vaccine</w:t>
            </w:r>
          </w:p>
        </w:tc>
        <w:tc>
          <w:tcPr>
            <w:tcW w:w="1265" w:type="pct"/>
            <w:shd w:val="clear" w:color="auto" w:fill="auto"/>
            <w:hideMark/>
          </w:tcPr>
          <w:p w14:paraId="0D9E2911" w14:textId="262E501F" w:rsidR="003A1820" w:rsidRPr="004D2D9E" w:rsidRDefault="003A1820" w:rsidP="004D2D9E">
            <w:pPr>
              <w:spacing w:line="360" w:lineRule="auto"/>
              <w:jc w:val="both"/>
              <w:rPr>
                <w:rFonts w:ascii="Book Antiqua" w:eastAsia="Calibri" w:hAnsi="Book Antiqua" w:cs="Tahoma"/>
                <w:b/>
                <w:bCs/>
                <w:color w:val="212121"/>
                <w:shd w:val="clear" w:color="auto" w:fill="FFFFFF"/>
              </w:rPr>
            </w:pPr>
            <w:r w:rsidRPr="004D2D9E">
              <w:rPr>
                <w:rFonts w:ascii="Book Antiqua" w:eastAsia="Calibri" w:hAnsi="Book Antiqua" w:cs="Tahoma"/>
                <w:bCs/>
                <w:color w:val="212121"/>
                <w:shd w:val="clear" w:color="auto" w:fill="FFFFFF"/>
              </w:rPr>
              <w:t>In the real-life worl</w:t>
            </w:r>
            <w:r w:rsidR="00A65517">
              <w:rPr>
                <w:rFonts w:ascii="Book Antiqua" w:eastAsia="Calibri" w:hAnsi="Book Antiqua" w:cs="Tahoma"/>
                <w:bCs/>
                <w:color w:val="212121"/>
                <w:shd w:val="clear" w:color="auto" w:fill="FFFFFF"/>
              </w:rPr>
              <w:t>d</w:t>
            </w:r>
            <w:r w:rsidRPr="004D2D9E">
              <w:rPr>
                <w:rFonts w:ascii="Book Antiqua" w:eastAsia="Calibri" w:hAnsi="Book Antiqua" w:cs="Tahoma"/>
                <w:bCs/>
                <w:color w:val="212121"/>
                <w:shd w:val="clear" w:color="auto" w:fill="FFFFFF"/>
              </w:rPr>
              <w:t xml:space="preserve"> they are not always available or schemes are applied incompletely</w:t>
            </w:r>
          </w:p>
        </w:tc>
        <w:tc>
          <w:tcPr>
            <w:tcW w:w="2070" w:type="pct"/>
            <w:shd w:val="clear" w:color="auto" w:fill="auto"/>
          </w:tcPr>
          <w:p w14:paraId="45BABF82" w14:textId="306E3FA0" w:rsidR="003A1820" w:rsidRPr="004D2D9E" w:rsidRDefault="003A1820" w:rsidP="004D2D9E">
            <w:pPr>
              <w:spacing w:line="360" w:lineRule="auto"/>
              <w:jc w:val="both"/>
              <w:rPr>
                <w:rFonts w:ascii="Book Antiqua" w:eastAsiaTheme="minorEastAsia" w:hAnsi="Book Antiqua" w:cs="Tahoma"/>
                <w:bCs/>
                <w:color w:val="212121"/>
                <w:shd w:val="clear" w:color="auto" w:fill="FFFFFF"/>
              </w:rPr>
            </w:pPr>
            <w:r w:rsidRPr="004D2D9E">
              <w:rPr>
                <w:rFonts w:ascii="Book Antiqua" w:eastAsia="Calibri" w:hAnsi="Book Antiqua" w:cs="Tahoma"/>
                <w:bCs/>
                <w:color w:val="212121"/>
                <w:shd w:val="clear" w:color="auto" w:fill="FFFFFF"/>
              </w:rPr>
              <w:t>Programs that effectively ensure universal and complete schemes of vaccination at birth for infants and later for those who did not receive the vaccination in childhood</w:t>
            </w:r>
            <w:r w:rsidR="00474007" w:rsidRPr="004D2D9E">
              <w:rPr>
                <w:rFonts w:ascii="Book Antiqua" w:eastAsia="Calibri" w:hAnsi="Book Antiqua" w:cs="Tahoma"/>
                <w:bCs/>
                <w:color w:val="212121"/>
                <w:shd w:val="clear" w:color="auto" w:fill="FFFFFF"/>
              </w:rPr>
              <w:t xml:space="preserve">. </w:t>
            </w:r>
            <w:r w:rsidRPr="004D2D9E">
              <w:rPr>
                <w:rFonts w:ascii="Book Antiqua" w:hAnsi="Book Antiqua" w:cs="Tahoma"/>
                <w:color w:val="202124"/>
              </w:rPr>
              <w:t>Coverage should be extended and also prioritized for vulnerable groups</w:t>
            </w:r>
          </w:p>
        </w:tc>
      </w:tr>
      <w:tr w:rsidR="00474007" w:rsidRPr="004D2D9E" w14:paraId="3DD3D402" w14:textId="77777777" w:rsidTr="00C24976">
        <w:tc>
          <w:tcPr>
            <w:tcW w:w="910" w:type="pct"/>
            <w:shd w:val="clear" w:color="auto" w:fill="auto"/>
            <w:hideMark/>
          </w:tcPr>
          <w:p w14:paraId="5F3DB64F" w14:textId="77777777" w:rsidR="003A1820" w:rsidRPr="004D2D9E" w:rsidRDefault="003A1820" w:rsidP="004D2D9E">
            <w:pPr>
              <w:spacing w:line="360" w:lineRule="auto"/>
              <w:jc w:val="both"/>
              <w:rPr>
                <w:rFonts w:ascii="Book Antiqua" w:eastAsia="Calibri" w:hAnsi="Book Antiqua" w:cs="Tahoma"/>
              </w:rPr>
            </w:pPr>
            <w:r w:rsidRPr="004D2D9E">
              <w:rPr>
                <w:rFonts w:ascii="Book Antiqua" w:eastAsia="Calibri" w:hAnsi="Book Antiqua" w:cs="Tahoma"/>
              </w:rPr>
              <w:t>Identification, linkage to care, and treatment of persons with chronic HBV</w:t>
            </w:r>
          </w:p>
        </w:tc>
        <w:tc>
          <w:tcPr>
            <w:tcW w:w="755" w:type="pct"/>
            <w:shd w:val="clear" w:color="auto" w:fill="auto"/>
            <w:hideMark/>
          </w:tcPr>
          <w:p w14:paraId="3DC3790A" w14:textId="34451762" w:rsidR="003A1820" w:rsidRPr="004D2D9E" w:rsidRDefault="003A1820" w:rsidP="004D2D9E">
            <w:pPr>
              <w:spacing w:line="360" w:lineRule="auto"/>
              <w:jc w:val="both"/>
              <w:rPr>
                <w:rFonts w:ascii="Book Antiqua" w:eastAsia="Calibri" w:hAnsi="Book Antiqua" w:cs="Tahoma"/>
                <w:bCs/>
                <w:color w:val="212121"/>
                <w:shd w:val="clear" w:color="auto" w:fill="FFFFFF"/>
              </w:rPr>
            </w:pPr>
            <w:r w:rsidRPr="004D2D9E">
              <w:rPr>
                <w:rFonts w:ascii="Book Antiqua" w:eastAsia="Calibri" w:hAnsi="Book Antiqua" w:cs="Tahoma"/>
                <w:bCs/>
                <w:color w:val="212121"/>
                <w:shd w:val="clear" w:color="auto" w:fill="FFFFFF"/>
              </w:rPr>
              <w:t>Serologic HBV panels</w:t>
            </w:r>
            <w:r w:rsidR="00474007" w:rsidRPr="004D2D9E">
              <w:rPr>
                <w:rFonts w:ascii="Book Antiqua" w:eastAsia="Calibri" w:hAnsi="Book Antiqua" w:cs="Tahoma"/>
                <w:bCs/>
                <w:color w:val="212121"/>
                <w:shd w:val="clear" w:color="auto" w:fill="FFFFFF"/>
              </w:rPr>
              <w:t xml:space="preserve">. </w:t>
            </w:r>
            <w:r w:rsidRPr="004D2D9E">
              <w:rPr>
                <w:rFonts w:ascii="Book Antiqua" w:eastAsia="Calibri" w:hAnsi="Book Antiqua" w:cs="Tahoma"/>
                <w:bCs/>
                <w:color w:val="212121"/>
                <w:shd w:val="clear" w:color="auto" w:fill="FFFFFF"/>
              </w:rPr>
              <w:t xml:space="preserve">Nucleos(t)ide analogs with a highly effective and high barrier to resistance </w:t>
            </w:r>
          </w:p>
          <w:p w14:paraId="0F0741F6" w14:textId="77777777" w:rsidR="003A1820" w:rsidRPr="004D2D9E" w:rsidRDefault="003A1820" w:rsidP="004D2D9E">
            <w:pPr>
              <w:spacing w:line="360" w:lineRule="auto"/>
              <w:jc w:val="both"/>
              <w:rPr>
                <w:rFonts w:ascii="Book Antiqua" w:eastAsia="Calibri" w:hAnsi="Book Antiqua" w:cs="Tahoma"/>
                <w:bCs/>
                <w:color w:val="212121"/>
                <w:shd w:val="clear" w:color="auto" w:fill="FFFFFF"/>
              </w:rPr>
            </w:pPr>
            <w:r w:rsidRPr="004D2D9E">
              <w:rPr>
                <w:rFonts w:ascii="Book Antiqua" w:eastAsia="Calibri" w:hAnsi="Book Antiqua" w:cs="Tahoma"/>
                <w:bCs/>
                <w:color w:val="212121"/>
                <w:shd w:val="clear" w:color="auto" w:fill="FFFFFF"/>
              </w:rPr>
              <w:t>Telemedicine and telementoring programs</w:t>
            </w:r>
          </w:p>
        </w:tc>
        <w:tc>
          <w:tcPr>
            <w:tcW w:w="1265" w:type="pct"/>
            <w:shd w:val="clear" w:color="auto" w:fill="auto"/>
          </w:tcPr>
          <w:p w14:paraId="66918FDC" w14:textId="59C4704E" w:rsidR="003A1820" w:rsidRPr="004D2D9E" w:rsidRDefault="003A1820" w:rsidP="004D2D9E">
            <w:pPr>
              <w:spacing w:line="360" w:lineRule="auto"/>
              <w:jc w:val="both"/>
              <w:rPr>
                <w:rFonts w:ascii="Book Antiqua" w:eastAsia="Calibri" w:hAnsi="Book Antiqua" w:cs="Tahoma"/>
                <w:bCs/>
                <w:color w:val="212121"/>
                <w:shd w:val="clear" w:color="auto" w:fill="FFFFFF"/>
              </w:rPr>
            </w:pPr>
            <w:r w:rsidRPr="004D2D9E">
              <w:rPr>
                <w:rFonts w:ascii="Book Antiqua" w:eastAsia="Calibri" w:hAnsi="Book Antiqua" w:cs="Tahoma"/>
                <w:bCs/>
                <w:color w:val="212121"/>
                <w:shd w:val="clear" w:color="auto" w:fill="FFFFFF"/>
              </w:rPr>
              <w:t>Serologic HBV panels for diagnosis sometimes are restricted to specialists.</w:t>
            </w:r>
            <w:r w:rsidR="00474007" w:rsidRPr="004D2D9E">
              <w:rPr>
                <w:rFonts w:ascii="Book Antiqua" w:eastAsiaTheme="minorEastAsia" w:hAnsi="Book Antiqua" w:cs="Tahoma"/>
                <w:bCs/>
                <w:color w:val="212121"/>
                <w:shd w:val="clear" w:color="auto" w:fill="FFFFFF"/>
              </w:rPr>
              <w:t xml:space="preserve"> </w:t>
            </w:r>
            <w:r w:rsidRPr="004D2D9E">
              <w:rPr>
                <w:rFonts w:ascii="Book Antiqua" w:eastAsia="Calibri" w:hAnsi="Book Antiqua" w:cs="Tahoma"/>
                <w:bCs/>
                <w:color w:val="212121"/>
                <w:shd w:val="clear" w:color="auto" w:fill="FFFFFF"/>
              </w:rPr>
              <w:t>Still, there is limited access to therapy, more restrained in LMICs. Vulnerable groups with high prevalence and incidence of viral hepatitis have restricted access to therapy</w:t>
            </w:r>
          </w:p>
        </w:tc>
        <w:tc>
          <w:tcPr>
            <w:tcW w:w="2070" w:type="pct"/>
            <w:shd w:val="clear" w:color="auto" w:fill="auto"/>
          </w:tcPr>
          <w:p w14:paraId="63869A21" w14:textId="054A4023" w:rsidR="003A1820" w:rsidRPr="004D2D9E" w:rsidRDefault="003A1820" w:rsidP="004D2D9E">
            <w:pPr>
              <w:shd w:val="clear" w:color="auto" w:fill="F8F9FA"/>
              <w:spacing w:line="360" w:lineRule="auto"/>
              <w:jc w:val="both"/>
              <w:rPr>
                <w:rFonts w:ascii="Book Antiqua" w:eastAsiaTheme="minorEastAsia" w:hAnsi="Book Antiqua" w:cs="Tahoma"/>
                <w:color w:val="202124"/>
              </w:rPr>
            </w:pPr>
            <w:r w:rsidRPr="004D2D9E">
              <w:rPr>
                <w:rFonts w:ascii="Book Antiqua" w:hAnsi="Book Antiqua" w:cs="Tahoma"/>
                <w:color w:val="202124"/>
              </w:rPr>
              <w:t>Basic diagnostic tests (HBsAg and anti-HBc) should be available at primary healthcare.</w:t>
            </w:r>
            <w:r w:rsidR="00474007" w:rsidRPr="004D2D9E">
              <w:rPr>
                <w:rFonts w:ascii="Book Antiqua" w:eastAsiaTheme="minorEastAsia" w:hAnsi="Book Antiqua" w:cs="Tahoma"/>
                <w:color w:val="202124"/>
              </w:rPr>
              <w:t xml:space="preserve"> </w:t>
            </w:r>
            <w:r w:rsidRPr="004D2D9E">
              <w:rPr>
                <w:rFonts w:ascii="Book Antiqua" w:hAnsi="Book Antiqua" w:cs="Tahoma"/>
                <w:color w:val="202124"/>
              </w:rPr>
              <w:t xml:space="preserve">More flexible policies that guarantee timely access to treatment to all who need it, including vulnerable groups such as immigrants, </w:t>
            </w:r>
            <w:r w:rsidRPr="004D2D9E">
              <w:rPr>
                <w:rFonts w:ascii="Book Antiqua" w:eastAsia="Calibri" w:hAnsi="Book Antiqua" w:cs="Tahoma"/>
                <w:bCs/>
                <w:color w:val="212121"/>
                <w:shd w:val="clear" w:color="auto" w:fill="FFFFFF"/>
              </w:rPr>
              <w:t>prison inmates, sexual workers, IDU, children born from an HCV+ mother when appropriate</w:t>
            </w:r>
            <w:r w:rsidR="00474007" w:rsidRPr="004D2D9E">
              <w:rPr>
                <w:rFonts w:ascii="Book Antiqua" w:eastAsiaTheme="minorEastAsia" w:hAnsi="Book Antiqua" w:cs="Tahoma"/>
                <w:color w:val="202124"/>
              </w:rPr>
              <w:t xml:space="preserve">. </w:t>
            </w:r>
            <w:r w:rsidRPr="004D2D9E">
              <w:rPr>
                <w:rFonts w:ascii="Book Antiqua" w:eastAsia="Calibri" w:hAnsi="Book Antiqua" w:cs="Tahoma"/>
                <w:bCs/>
                <w:color w:val="212121"/>
                <w:shd w:val="clear" w:color="auto" w:fill="FFFFFF"/>
              </w:rPr>
              <w:t>Consider including those without healthcare insurance to cover their medication.</w:t>
            </w:r>
            <w:r w:rsidR="00474007" w:rsidRPr="004D2D9E">
              <w:rPr>
                <w:rFonts w:ascii="Book Antiqua" w:eastAsiaTheme="minorEastAsia" w:hAnsi="Book Antiqua" w:cs="Tahoma"/>
                <w:color w:val="202124"/>
              </w:rPr>
              <w:t xml:space="preserve"> </w:t>
            </w:r>
            <w:r w:rsidRPr="004D2D9E">
              <w:rPr>
                <w:rFonts w:ascii="Book Antiqua" w:eastAsia="Calibri" w:hAnsi="Book Antiqua" w:cs="Tahoma"/>
                <w:bCs/>
                <w:color w:val="212121"/>
                <w:shd w:val="clear" w:color="auto" w:fill="FFFFFF"/>
              </w:rPr>
              <w:t>Encourage telemedicine programs to access communities of difficult access</w:t>
            </w:r>
          </w:p>
        </w:tc>
      </w:tr>
    </w:tbl>
    <w:p w14:paraId="5AC9B036" w14:textId="321E71C9" w:rsidR="003C7086" w:rsidRPr="004D2D9E" w:rsidRDefault="00474007" w:rsidP="004D2D9E">
      <w:pPr>
        <w:spacing w:line="360" w:lineRule="auto"/>
        <w:jc w:val="both"/>
        <w:rPr>
          <w:rFonts w:ascii="Book Antiqua" w:hAnsi="Book Antiqua"/>
        </w:rPr>
      </w:pPr>
      <w:r w:rsidRPr="004D2D9E">
        <w:rPr>
          <w:rFonts w:ascii="Book Antiqua" w:eastAsia="Calibri" w:hAnsi="Book Antiqua" w:cs="Tahoma"/>
          <w:bCs/>
          <w:color w:val="212121"/>
          <w:shd w:val="clear" w:color="auto" w:fill="FFFFFF"/>
        </w:rPr>
        <w:t>anti-HBc</w:t>
      </w:r>
      <w:r w:rsidR="006961C4" w:rsidRPr="004D2D9E">
        <w:rPr>
          <w:rFonts w:ascii="Book Antiqua" w:eastAsia="Calibri" w:hAnsi="Book Antiqua" w:cs="Tahoma"/>
          <w:bCs/>
          <w:color w:val="212121"/>
          <w:shd w:val="clear" w:color="auto" w:fill="FFFFFF"/>
        </w:rPr>
        <w:t>:</w:t>
      </w:r>
      <w:r w:rsidRPr="004D2D9E">
        <w:rPr>
          <w:rFonts w:ascii="Book Antiqua" w:eastAsia="Calibri" w:hAnsi="Book Antiqua" w:cs="Tahoma"/>
          <w:bCs/>
          <w:color w:val="212121"/>
          <w:shd w:val="clear" w:color="auto" w:fill="FFFFFF"/>
        </w:rPr>
        <w:t xml:space="preserve"> </w:t>
      </w:r>
      <w:r w:rsidR="006961C4" w:rsidRPr="004D2D9E">
        <w:rPr>
          <w:rFonts w:ascii="Book Antiqua" w:eastAsia="Calibri" w:hAnsi="Book Antiqua" w:cs="Tahoma"/>
          <w:bCs/>
          <w:color w:val="212121"/>
          <w:shd w:val="clear" w:color="auto" w:fill="FFFFFF"/>
        </w:rPr>
        <w:t>A</w:t>
      </w:r>
      <w:r w:rsidRPr="004D2D9E">
        <w:rPr>
          <w:rFonts w:ascii="Book Antiqua" w:eastAsia="Calibri" w:hAnsi="Book Antiqua" w:cs="Tahoma"/>
          <w:bCs/>
          <w:color w:val="212121"/>
          <w:shd w:val="clear" w:color="auto" w:fill="FFFFFF"/>
        </w:rPr>
        <w:t>ntibody against hepatitis B core antigen; DAAs</w:t>
      </w:r>
      <w:r w:rsidR="006961C4" w:rsidRPr="004D2D9E">
        <w:rPr>
          <w:rFonts w:ascii="Book Antiqua" w:eastAsia="Calibri" w:hAnsi="Book Antiqua" w:cs="Tahoma"/>
          <w:bCs/>
          <w:color w:val="212121"/>
          <w:shd w:val="clear" w:color="auto" w:fill="FFFFFF"/>
        </w:rPr>
        <w:t>:</w:t>
      </w:r>
      <w:r w:rsidRPr="004D2D9E">
        <w:rPr>
          <w:rFonts w:ascii="Book Antiqua" w:eastAsia="Calibri" w:hAnsi="Book Antiqua" w:cs="Tahoma"/>
          <w:bCs/>
          <w:color w:val="212121"/>
          <w:shd w:val="clear" w:color="auto" w:fill="FFFFFF"/>
        </w:rPr>
        <w:t xml:space="preserve"> </w:t>
      </w:r>
      <w:r w:rsidR="006961C4" w:rsidRPr="004D2D9E">
        <w:rPr>
          <w:rFonts w:ascii="Book Antiqua" w:eastAsia="Calibri" w:hAnsi="Book Antiqua" w:cs="Tahoma"/>
          <w:bCs/>
          <w:color w:val="212121"/>
          <w:shd w:val="clear" w:color="auto" w:fill="FFFFFF"/>
        </w:rPr>
        <w:t>D</w:t>
      </w:r>
      <w:r w:rsidRPr="004D2D9E">
        <w:rPr>
          <w:rFonts w:ascii="Book Antiqua" w:eastAsia="Calibri" w:hAnsi="Book Antiqua" w:cs="Tahoma"/>
          <w:bCs/>
          <w:color w:val="212121"/>
          <w:shd w:val="clear" w:color="auto" w:fill="FFFFFF"/>
        </w:rPr>
        <w:t>irect antiviral agents; HBsAg</w:t>
      </w:r>
      <w:r w:rsidR="006961C4" w:rsidRPr="004D2D9E">
        <w:rPr>
          <w:rFonts w:ascii="Book Antiqua" w:eastAsia="Calibri" w:hAnsi="Book Antiqua" w:cs="Tahoma"/>
          <w:bCs/>
          <w:color w:val="212121"/>
          <w:shd w:val="clear" w:color="auto" w:fill="FFFFFF"/>
        </w:rPr>
        <w:t>:</w:t>
      </w:r>
      <w:r w:rsidRPr="004D2D9E">
        <w:rPr>
          <w:rFonts w:ascii="Book Antiqua" w:eastAsia="Calibri" w:hAnsi="Book Antiqua" w:cs="Tahoma"/>
          <w:bCs/>
          <w:color w:val="212121"/>
          <w:shd w:val="clear" w:color="auto" w:fill="FFFFFF"/>
        </w:rPr>
        <w:t xml:space="preserve"> </w:t>
      </w:r>
      <w:r w:rsidR="006961C4" w:rsidRPr="004D2D9E">
        <w:rPr>
          <w:rFonts w:ascii="Book Antiqua" w:eastAsia="Calibri" w:hAnsi="Book Antiqua" w:cs="Tahoma"/>
          <w:bCs/>
          <w:color w:val="212121"/>
          <w:shd w:val="clear" w:color="auto" w:fill="FFFFFF"/>
        </w:rPr>
        <w:t>H</w:t>
      </w:r>
      <w:r w:rsidRPr="004D2D9E">
        <w:rPr>
          <w:rFonts w:ascii="Book Antiqua" w:eastAsia="Calibri" w:hAnsi="Book Antiqua" w:cs="Tahoma"/>
          <w:bCs/>
          <w:color w:val="212121"/>
          <w:shd w:val="clear" w:color="auto" w:fill="FFFFFF"/>
        </w:rPr>
        <w:t>epatitis B surface antigen; HBV</w:t>
      </w:r>
      <w:r w:rsidR="006961C4" w:rsidRPr="004D2D9E">
        <w:rPr>
          <w:rFonts w:ascii="Book Antiqua" w:eastAsia="Calibri" w:hAnsi="Book Antiqua" w:cs="Tahoma"/>
          <w:bCs/>
          <w:color w:val="212121"/>
          <w:shd w:val="clear" w:color="auto" w:fill="FFFFFF"/>
        </w:rPr>
        <w:t>:</w:t>
      </w:r>
      <w:r w:rsidRPr="004D2D9E">
        <w:rPr>
          <w:rFonts w:ascii="Book Antiqua" w:eastAsia="Calibri" w:hAnsi="Book Antiqua" w:cs="Tahoma"/>
          <w:bCs/>
          <w:color w:val="212121"/>
          <w:shd w:val="clear" w:color="auto" w:fill="FFFFFF"/>
        </w:rPr>
        <w:t xml:space="preserve"> </w:t>
      </w:r>
      <w:r w:rsidR="006961C4" w:rsidRPr="004D2D9E">
        <w:rPr>
          <w:rFonts w:ascii="Book Antiqua" w:eastAsia="Calibri" w:hAnsi="Book Antiqua" w:cs="Tahoma"/>
          <w:bCs/>
          <w:color w:val="212121"/>
          <w:shd w:val="clear" w:color="auto" w:fill="FFFFFF"/>
        </w:rPr>
        <w:t>H</w:t>
      </w:r>
      <w:r w:rsidRPr="004D2D9E">
        <w:rPr>
          <w:rFonts w:ascii="Book Antiqua" w:eastAsia="Calibri" w:hAnsi="Book Antiqua" w:cs="Tahoma"/>
          <w:bCs/>
          <w:color w:val="212121"/>
          <w:shd w:val="clear" w:color="auto" w:fill="FFFFFF"/>
        </w:rPr>
        <w:t>epatitis B virus; HCV+</w:t>
      </w:r>
      <w:r w:rsidR="006961C4" w:rsidRPr="004D2D9E">
        <w:rPr>
          <w:rFonts w:ascii="Book Antiqua" w:eastAsia="Calibri" w:hAnsi="Book Antiqua" w:cs="Tahoma"/>
          <w:bCs/>
          <w:color w:val="212121"/>
          <w:shd w:val="clear" w:color="auto" w:fill="FFFFFF"/>
        </w:rPr>
        <w:t>:</w:t>
      </w:r>
      <w:r w:rsidRPr="004D2D9E">
        <w:rPr>
          <w:rFonts w:ascii="Book Antiqua" w:eastAsia="Calibri" w:hAnsi="Book Antiqua" w:cs="Tahoma"/>
          <w:bCs/>
          <w:color w:val="212121"/>
          <w:shd w:val="clear" w:color="auto" w:fill="FFFFFF"/>
        </w:rPr>
        <w:t xml:space="preserve"> </w:t>
      </w:r>
      <w:r w:rsidR="006961C4" w:rsidRPr="004D2D9E">
        <w:rPr>
          <w:rFonts w:ascii="Book Antiqua" w:eastAsia="Calibri" w:hAnsi="Book Antiqua" w:cs="Tahoma"/>
          <w:bCs/>
          <w:color w:val="212121"/>
          <w:shd w:val="clear" w:color="auto" w:fill="FFFFFF"/>
        </w:rPr>
        <w:t>P</w:t>
      </w:r>
      <w:r w:rsidRPr="004D2D9E">
        <w:rPr>
          <w:rFonts w:ascii="Book Antiqua" w:eastAsia="Calibri" w:hAnsi="Book Antiqua" w:cs="Tahoma"/>
          <w:bCs/>
          <w:color w:val="212121"/>
          <w:shd w:val="clear" w:color="auto" w:fill="FFFFFF"/>
        </w:rPr>
        <w:t xml:space="preserve">ositive to hepatitis </w:t>
      </w:r>
      <w:r w:rsidRPr="004D2D9E">
        <w:rPr>
          <w:rFonts w:ascii="Book Antiqua" w:eastAsia="Calibri" w:hAnsi="Book Antiqua" w:cs="Tahoma"/>
          <w:bCs/>
          <w:color w:val="212121"/>
          <w:shd w:val="clear" w:color="auto" w:fill="FFFFFF"/>
        </w:rPr>
        <w:lastRenderedPageBreak/>
        <w:t>C virus; HIV</w:t>
      </w:r>
      <w:r w:rsidR="006961C4" w:rsidRPr="004D2D9E">
        <w:rPr>
          <w:rFonts w:ascii="Book Antiqua" w:eastAsia="Calibri" w:hAnsi="Book Antiqua" w:cs="Tahoma"/>
          <w:bCs/>
          <w:color w:val="212121"/>
          <w:shd w:val="clear" w:color="auto" w:fill="FFFFFF"/>
        </w:rPr>
        <w:t>:</w:t>
      </w:r>
      <w:r w:rsidRPr="004D2D9E">
        <w:rPr>
          <w:rFonts w:ascii="Book Antiqua" w:eastAsia="Calibri" w:hAnsi="Book Antiqua" w:cs="Tahoma"/>
          <w:bCs/>
          <w:color w:val="212121"/>
          <w:shd w:val="clear" w:color="auto" w:fill="FFFFFF"/>
        </w:rPr>
        <w:t xml:space="preserve"> </w:t>
      </w:r>
      <w:r w:rsidR="006961C4" w:rsidRPr="004D2D9E">
        <w:rPr>
          <w:rFonts w:ascii="Book Antiqua" w:eastAsia="Calibri" w:hAnsi="Book Antiqua" w:cs="Tahoma"/>
          <w:bCs/>
          <w:color w:val="212121"/>
          <w:shd w:val="clear" w:color="auto" w:fill="FFFFFF"/>
        </w:rPr>
        <w:t>H</w:t>
      </w:r>
      <w:r w:rsidRPr="004D2D9E">
        <w:rPr>
          <w:rFonts w:ascii="Book Antiqua" w:eastAsia="Calibri" w:hAnsi="Book Antiqua" w:cs="Tahoma"/>
          <w:bCs/>
          <w:color w:val="212121"/>
          <w:shd w:val="clear" w:color="auto" w:fill="FFFFFF"/>
        </w:rPr>
        <w:t>uman immunodeficiency virus; IDU</w:t>
      </w:r>
      <w:r w:rsidR="006961C4" w:rsidRPr="004D2D9E">
        <w:rPr>
          <w:rFonts w:ascii="Book Antiqua" w:eastAsia="Calibri" w:hAnsi="Book Antiqua" w:cs="Tahoma"/>
          <w:bCs/>
          <w:color w:val="212121"/>
          <w:shd w:val="clear" w:color="auto" w:fill="FFFFFF"/>
        </w:rPr>
        <w:t>:</w:t>
      </w:r>
      <w:r w:rsidRPr="004D2D9E">
        <w:rPr>
          <w:rFonts w:ascii="Book Antiqua" w:eastAsia="Calibri" w:hAnsi="Book Antiqua" w:cs="Tahoma"/>
          <w:bCs/>
          <w:color w:val="212121"/>
          <w:shd w:val="clear" w:color="auto" w:fill="FFFFFF"/>
        </w:rPr>
        <w:t xml:space="preserve"> </w:t>
      </w:r>
      <w:r w:rsidR="006961C4" w:rsidRPr="004D2D9E">
        <w:rPr>
          <w:rFonts w:ascii="Book Antiqua" w:eastAsia="Calibri" w:hAnsi="Book Antiqua" w:cs="Tahoma"/>
          <w:bCs/>
          <w:color w:val="212121"/>
          <w:shd w:val="clear" w:color="auto" w:fill="FFFFFF"/>
        </w:rPr>
        <w:t>I</w:t>
      </w:r>
      <w:r w:rsidRPr="004D2D9E">
        <w:rPr>
          <w:rFonts w:ascii="Book Antiqua" w:eastAsia="Calibri" w:hAnsi="Book Antiqua" w:cs="Tahoma"/>
          <w:bCs/>
          <w:color w:val="212121"/>
          <w:shd w:val="clear" w:color="auto" w:fill="FFFFFF"/>
        </w:rPr>
        <w:t>njecting drug users; LMICs</w:t>
      </w:r>
      <w:r w:rsidR="006961C4" w:rsidRPr="004D2D9E">
        <w:rPr>
          <w:rFonts w:ascii="Book Antiqua" w:eastAsia="Calibri" w:hAnsi="Book Antiqua" w:cs="Tahoma"/>
          <w:bCs/>
          <w:color w:val="212121"/>
          <w:shd w:val="clear" w:color="auto" w:fill="FFFFFF"/>
        </w:rPr>
        <w:t>:</w:t>
      </w:r>
      <w:r w:rsidRPr="004D2D9E">
        <w:rPr>
          <w:rFonts w:ascii="Book Antiqua" w:eastAsia="Calibri" w:hAnsi="Book Antiqua" w:cs="Tahoma"/>
          <w:bCs/>
          <w:color w:val="212121"/>
          <w:shd w:val="clear" w:color="auto" w:fill="FFFFFF"/>
        </w:rPr>
        <w:t xml:space="preserve"> </w:t>
      </w:r>
      <w:r w:rsidR="006961C4" w:rsidRPr="004D2D9E">
        <w:rPr>
          <w:rFonts w:ascii="Book Antiqua" w:eastAsia="Calibri" w:hAnsi="Book Antiqua" w:cs="Tahoma"/>
          <w:bCs/>
          <w:color w:val="212121"/>
          <w:shd w:val="clear" w:color="auto" w:fill="FFFFFF"/>
        </w:rPr>
        <w:t>L</w:t>
      </w:r>
      <w:r w:rsidRPr="004D2D9E">
        <w:rPr>
          <w:rFonts w:ascii="Book Antiqua" w:eastAsia="Calibri" w:hAnsi="Book Antiqua" w:cs="Tahoma"/>
          <w:bCs/>
          <w:color w:val="212121"/>
          <w:shd w:val="clear" w:color="auto" w:fill="FFFFFF"/>
        </w:rPr>
        <w:t>ow and middle-income countries; MSM</w:t>
      </w:r>
      <w:r w:rsidR="006961C4" w:rsidRPr="004D2D9E">
        <w:rPr>
          <w:rFonts w:ascii="Book Antiqua" w:eastAsia="Calibri" w:hAnsi="Book Antiqua" w:cs="Tahoma"/>
          <w:bCs/>
          <w:color w:val="212121"/>
          <w:shd w:val="clear" w:color="auto" w:fill="FFFFFF"/>
        </w:rPr>
        <w:t>:</w:t>
      </w:r>
      <w:r w:rsidRPr="004D2D9E">
        <w:rPr>
          <w:rFonts w:ascii="Book Antiqua" w:eastAsia="Calibri" w:hAnsi="Book Antiqua" w:cs="Tahoma"/>
          <w:bCs/>
          <w:color w:val="212121"/>
          <w:shd w:val="clear" w:color="auto" w:fill="FFFFFF"/>
        </w:rPr>
        <w:t xml:space="preserve"> </w:t>
      </w:r>
      <w:r w:rsidR="006961C4" w:rsidRPr="004D2D9E">
        <w:rPr>
          <w:rFonts w:ascii="Book Antiqua" w:eastAsia="Calibri" w:hAnsi="Book Antiqua" w:cs="Tahoma"/>
          <w:bCs/>
          <w:color w:val="212121"/>
          <w:shd w:val="clear" w:color="auto" w:fill="FFFFFF"/>
        </w:rPr>
        <w:t>M</w:t>
      </w:r>
      <w:r w:rsidRPr="004D2D9E">
        <w:rPr>
          <w:rFonts w:ascii="Book Antiqua" w:eastAsia="Calibri" w:hAnsi="Book Antiqua" w:cs="Tahoma"/>
          <w:bCs/>
          <w:color w:val="212121"/>
          <w:shd w:val="clear" w:color="auto" w:fill="FFFFFF"/>
        </w:rPr>
        <w:t>en who have sex with men.</w:t>
      </w:r>
    </w:p>
    <w:sectPr w:rsidR="003C7086" w:rsidRPr="004D2D9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733FD" w14:textId="77777777" w:rsidR="00DC4B74" w:rsidRDefault="00DC4B74" w:rsidP="0090577A">
      <w:r>
        <w:separator/>
      </w:r>
    </w:p>
  </w:endnote>
  <w:endnote w:type="continuationSeparator" w:id="0">
    <w:p w14:paraId="45F613DC" w14:textId="77777777" w:rsidR="00DC4B74" w:rsidRDefault="00DC4B74" w:rsidP="0090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6F415" w14:textId="040E3DCF" w:rsidR="0090577A" w:rsidRPr="00A24733" w:rsidRDefault="0090577A" w:rsidP="0090577A">
    <w:pPr>
      <w:pStyle w:val="Footer"/>
      <w:jc w:val="right"/>
      <w:rPr>
        <w:rFonts w:ascii="Book Antiqua" w:hAnsi="Book Antiqua"/>
        <w:sz w:val="24"/>
        <w:szCs w:val="24"/>
      </w:rPr>
    </w:pPr>
    <w:r w:rsidRPr="00A24733">
      <w:rPr>
        <w:rFonts w:ascii="Book Antiqua" w:hAnsi="Book Antiqua"/>
        <w:sz w:val="24"/>
        <w:szCs w:val="24"/>
        <w:lang w:val="zh-CN" w:eastAsia="zh-CN"/>
      </w:rPr>
      <w:t xml:space="preserve"> </w:t>
    </w:r>
    <w:r w:rsidR="00AA4EF4" w:rsidRPr="00A24733">
      <w:rPr>
        <w:rFonts w:ascii="Book Antiqua" w:hAnsi="Book Antiqua"/>
        <w:noProof/>
        <w:sz w:val="24"/>
        <w:szCs w:val="24"/>
        <w:lang w:val="zh-CN" w:eastAsia="zh-CN"/>
      </w:rPr>
      <w:t>21</w:t>
    </w:r>
    <w:r w:rsidRPr="00A24733">
      <w:rPr>
        <w:rFonts w:ascii="Book Antiqua" w:hAnsi="Book Antiqua"/>
        <w:sz w:val="24"/>
        <w:szCs w:val="24"/>
        <w:lang w:val="zh-CN" w:eastAsia="zh-CN"/>
      </w:rPr>
      <w:t xml:space="preserve"> / </w:t>
    </w:r>
    <w:r w:rsidR="00AA4EF4" w:rsidRPr="00A24733">
      <w:rPr>
        <w:rFonts w:ascii="Book Antiqua" w:hAnsi="Book Antiqua"/>
        <w:noProof/>
        <w:sz w:val="24"/>
        <w:szCs w:val="24"/>
        <w:lang w:val="zh-CN" w:eastAsia="zh-CN"/>
      </w:rPr>
      <w:t>3</w:t>
    </w:r>
    <w:r w:rsidR="00A24733">
      <w:rPr>
        <w:rFonts w:ascii="Book Antiqua" w:hAnsi="Book Antiqua"/>
        <w:noProof/>
        <w:sz w:val="24"/>
        <w:szCs w:val="24"/>
        <w:lang w:eastAsia="zh-CN"/>
      </w:rPr>
      <w:t>8</w:t>
    </w:r>
  </w:p>
  <w:p w14:paraId="325803E7" w14:textId="77777777" w:rsidR="0090577A" w:rsidRDefault="00905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BC751" w14:textId="77777777" w:rsidR="00DC4B74" w:rsidRDefault="00DC4B74" w:rsidP="0090577A">
      <w:r>
        <w:separator/>
      </w:r>
    </w:p>
  </w:footnote>
  <w:footnote w:type="continuationSeparator" w:id="0">
    <w:p w14:paraId="5F912227" w14:textId="77777777" w:rsidR="00DC4B74" w:rsidRDefault="00DC4B74" w:rsidP="00905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098"/>
    <w:rsid w:val="00010634"/>
    <w:rsid w:val="0002475D"/>
    <w:rsid w:val="00054D51"/>
    <w:rsid w:val="00056CA3"/>
    <w:rsid w:val="0007476C"/>
    <w:rsid w:val="000A3A30"/>
    <w:rsid w:val="000D11D0"/>
    <w:rsid w:val="000D626D"/>
    <w:rsid w:val="00102250"/>
    <w:rsid w:val="00115B2B"/>
    <w:rsid w:val="0013245B"/>
    <w:rsid w:val="00162362"/>
    <w:rsid w:val="00176A52"/>
    <w:rsid w:val="00182D93"/>
    <w:rsid w:val="001B3221"/>
    <w:rsid w:val="001B699F"/>
    <w:rsid w:val="001D749C"/>
    <w:rsid w:val="001E1B6B"/>
    <w:rsid w:val="00215511"/>
    <w:rsid w:val="00224C04"/>
    <w:rsid w:val="00233ED8"/>
    <w:rsid w:val="00235F39"/>
    <w:rsid w:val="00250DC3"/>
    <w:rsid w:val="002B46CE"/>
    <w:rsid w:val="002D0D1A"/>
    <w:rsid w:val="002E30B1"/>
    <w:rsid w:val="00346202"/>
    <w:rsid w:val="00357667"/>
    <w:rsid w:val="00370663"/>
    <w:rsid w:val="00375200"/>
    <w:rsid w:val="00375580"/>
    <w:rsid w:val="003777B9"/>
    <w:rsid w:val="00377ED6"/>
    <w:rsid w:val="00385690"/>
    <w:rsid w:val="00391C94"/>
    <w:rsid w:val="003A1820"/>
    <w:rsid w:val="003A58FB"/>
    <w:rsid w:val="003B7561"/>
    <w:rsid w:val="003C7086"/>
    <w:rsid w:val="003F472A"/>
    <w:rsid w:val="004338D6"/>
    <w:rsid w:val="00454245"/>
    <w:rsid w:val="00456359"/>
    <w:rsid w:val="00474007"/>
    <w:rsid w:val="00474EEF"/>
    <w:rsid w:val="00486A8F"/>
    <w:rsid w:val="00486C09"/>
    <w:rsid w:val="00494F3C"/>
    <w:rsid w:val="004A38AE"/>
    <w:rsid w:val="004B6F2D"/>
    <w:rsid w:val="004B7A6E"/>
    <w:rsid w:val="004C378C"/>
    <w:rsid w:val="004D2D9E"/>
    <w:rsid w:val="004F303F"/>
    <w:rsid w:val="004F7337"/>
    <w:rsid w:val="00506553"/>
    <w:rsid w:val="00507F1A"/>
    <w:rsid w:val="00515012"/>
    <w:rsid w:val="0054553F"/>
    <w:rsid w:val="00553699"/>
    <w:rsid w:val="005732C9"/>
    <w:rsid w:val="005748AE"/>
    <w:rsid w:val="0057608A"/>
    <w:rsid w:val="00581ABA"/>
    <w:rsid w:val="00596023"/>
    <w:rsid w:val="00631B98"/>
    <w:rsid w:val="0063340F"/>
    <w:rsid w:val="006836D7"/>
    <w:rsid w:val="00686319"/>
    <w:rsid w:val="006961C4"/>
    <w:rsid w:val="006B707A"/>
    <w:rsid w:val="006C33DA"/>
    <w:rsid w:val="00720367"/>
    <w:rsid w:val="00745F31"/>
    <w:rsid w:val="007738AE"/>
    <w:rsid w:val="0078673D"/>
    <w:rsid w:val="007A137A"/>
    <w:rsid w:val="007A21E4"/>
    <w:rsid w:val="007B3F85"/>
    <w:rsid w:val="007C0D6A"/>
    <w:rsid w:val="007C1DB7"/>
    <w:rsid w:val="007C4383"/>
    <w:rsid w:val="007E389F"/>
    <w:rsid w:val="00810B0D"/>
    <w:rsid w:val="008201BD"/>
    <w:rsid w:val="00860947"/>
    <w:rsid w:val="00862689"/>
    <w:rsid w:val="00880688"/>
    <w:rsid w:val="00881562"/>
    <w:rsid w:val="00883F59"/>
    <w:rsid w:val="008A4F70"/>
    <w:rsid w:val="008D257C"/>
    <w:rsid w:val="00903140"/>
    <w:rsid w:val="00903A32"/>
    <w:rsid w:val="0090577A"/>
    <w:rsid w:val="009A0C68"/>
    <w:rsid w:val="009C661A"/>
    <w:rsid w:val="009C76B5"/>
    <w:rsid w:val="009D6499"/>
    <w:rsid w:val="009E2B7D"/>
    <w:rsid w:val="009E4B85"/>
    <w:rsid w:val="009E724A"/>
    <w:rsid w:val="00A058DC"/>
    <w:rsid w:val="00A06603"/>
    <w:rsid w:val="00A24733"/>
    <w:rsid w:val="00A36ED7"/>
    <w:rsid w:val="00A51987"/>
    <w:rsid w:val="00A54E61"/>
    <w:rsid w:val="00A65212"/>
    <w:rsid w:val="00A65517"/>
    <w:rsid w:val="00A72813"/>
    <w:rsid w:val="00A73E30"/>
    <w:rsid w:val="00A77B3E"/>
    <w:rsid w:val="00AA4EF4"/>
    <w:rsid w:val="00AB5EED"/>
    <w:rsid w:val="00AC133B"/>
    <w:rsid w:val="00AD0483"/>
    <w:rsid w:val="00AD4895"/>
    <w:rsid w:val="00AF66DA"/>
    <w:rsid w:val="00B170A1"/>
    <w:rsid w:val="00B31DD5"/>
    <w:rsid w:val="00B32929"/>
    <w:rsid w:val="00B3663D"/>
    <w:rsid w:val="00B4487C"/>
    <w:rsid w:val="00B47A99"/>
    <w:rsid w:val="00B53D1C"/>
    <w:rsid w:val="00B906F2"/>
    <w:rsid w:val="00B96B46"/>
    <w:rsid w:val="00BF3522"/>
    <w:rsid w:val="00C15B26"/>
    <w:rsid w:val="00C24976"/>
    <w:rsid w:val="00C3065B"/>
    <w:rsid w:val="00C35C55"/>
    <w:rsid w:val="00C50010"/>
    <w:rsid w:val="00C747AC"/>
    <w:rsid w:val="00CA0BA0"/>
    <w:rsid w:val="00CA2A55"/>
    <w:rsid w:val="00CA5819"/>
    <w:rsid w:val="00CA77E2"/>
    <w:rsid w:val="00CE7BAF"/>
    <w:rsid w:val="00CF4467"/>
    <w:rsid w:val="00D12B1D"/>
    <w:rsid w:val="00D4261C"/>
    <w:rsid w:val="00D605F0"/>
    <w:rsid w:val="00D66D5E"/>
    <w:rsid w:val="00D7033F"/>
    <w:rsid w:val="00D730DD"/>
    <w:rsid w:val="00D75DA2"/>
    <w:rsid w:val="00DC4B74"/>
    <w:rsid w:val="00E06757"/>
    <w:rsid w:val="00E07246"/>
    <w:rsid w:val="00E30744"/>
    <w:rsid w:val="00E34EB0"/>
    <w:rsid w:val="00E6577E"/>
    <w:rsid w:val="00E707DD"/>
    <w:rsid w:val="00E74099"/>
    <w:rsid w:val="00E91A7B"/>
    <w:rsid w:val="00EC737A"/>
    <w:rsid w:val="00EC74D6"/>
    <w:rsid w:val="00ED6702"/>
    <w:rsid w:val="00ED6B43"/>
    <w:rsid w:val="00EF4139"/>
    <w:rsid w:val="00F22136"/>
    <w:rsid w:val="00F23F67"/>
    <w:rsid w:val="00F27F54"/>
    <w:rsid w:val="00F335E0"/>
    <w:rsid w:val="00F33B44"/>
    <w:rsid w:val="00F52E57"/>
    <w:rsid w:val="00F76E30"/>
    <w:rsid w:val="00F825DA"/>
    <w:rsid w:val="00F9102A"/>
    <w:rsid w:val="00F960B4"/>
    <w:rsid w:val="00FA14FB"/>
    <w:rsid w:val="00FC4974"/>
    <w:rsid w:val="00FF7B8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C640F"/>
  <w15:docId w15:val="{9D418415-1FF6-473B-955D-12925E39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1">
    <w:name w:val="Título 11"/>
    <w:basedOn w:val="Normal"/>
    <w:next w:val="Normal"/>
    <w:link w:val="Heading1Char"/>
    <w:uiPriority w:val="9"/>
    <w:qFormat/>
    <w:pPr>
      <w:keepNext/>
      <w:keepLines/>
      <w:spacing w:before="480"/>
    </w:pPr>
    <w:rPr>
      <w:rFonts w:asciiTheme="majorHAnsi" w:eastAsiaTheme="majorEastAsia" w:hAnsiTheme="majorHAnsi" w:cstheme="majorBidi"/>
      <w:b/>
      <w:bCs/>
      <w:color w:val="365F91" w:themeColor="accent1" w:themeShade="BF"/>
      <w:sz w:val="28"/>
      <w:szCs w:val="28"/>
    </w:rPr>
  </w:style>
  <w:style w:type="paragraph" w:customStyle="1" w:styleId="Ttulo21">
    <w:name w:val="Título 21"/>
    <w:basedOn w:val="Normal"/>
    <w:next w:val="Normal"/>
    <w:link w:val="Heading2Char"/>
    <w:uiPriority w:val="9"/>
    <w:semiHidden/>
    <w:unhideWhenUsed/>
    <w:qFormat/>
    <w:pPr>
      <w:keepNext/>
      <w:keepLines/>
      <w:spacing w:before="200"/>
    </w:pPr>
    <w:rPr>
      <w:rFonts w:asciiTheme="majorHAnsi" w:eastAsiaTheme="majorEastAsia" w:hAnsiTheme="majorHAnsi" w:cstheme="majorBidi"/>
      <w:b/>
      <w:bCs/>
      <w:color w:val="4F81BD" w:themeColor="accent1"/>
      <w:sz w:val="26"/>
      <w:szCs w:val="26"/>
    </w:rPr>
  </w:style>
  <w:style w:type="paragraph" w:customStyle="1" w:styleId="Ttulo31">
    <w:name w:val="Título 31"/>
    <w:basedOn w:val="Normal"/>
    <w:next w:val="Normal"/>
    <w:link w:val="Heading3Char"/>
    <w:uiPriority w:val="9"/>
    <w:semiHidden/>
    <w:unhideWhenUsed/>
    <w:qFormat/>
    <w:pPr>
      <w:keepNext/>
      <w:keepLines/>
      <w:spacing w:before="200"/>
    </w:pPr>
    <w:rPr>
      <w:rFonts w:asciiTheme="majorHAnsi" w:eastAsiaTheme="majorEastAsia" w:hAnsiTheme="majorHAnsi" w:cstheme="majorBidi"/>
      <w:b/>
      <w:bCs/>
      <w:color w:val="4F81BD" w:themeColor="accent1"/>
    </w:rPr>
  </w:style>
  <w:style w:type="paragraph" w:customStyle="1" w:styleId="Ttulo41">
    <w:name w:val="Título 41"/>
    <w:basedOn w:val="Normal"/>
    <w:next w:val="Normal"/>
    <w:link w:val="Heading4Char"/>
    <w:uiPriority w:val="9"/>
    <w:semiHidden/>
    <w:unhideWhenUsed/>
    <w:qFormat/>
    <w:pPr>
      <w:keepNext/>
      <w:keepLines/>
      <w:spacing w:before="200"/>
    </w:pPr>
    <w:rPr>
      <w:rFonts w:asciiTheme="majorHAnsi" w:eastAsiaTheme="majorEastAsia" w:hAnsiTheme="majorHAnsi" w:cstheme="majorBidi"/>
      <w:b/>
      <w:bCs/>
      <w:i/>
      <w:iCs/>
      <w:color w:val="4F81BD" w:themeColor="accent1"/>
    </w:rPr>
  </w:style>
  <w:style w:type="paragraph" w:customStyle="1" w:styleId="Ttulo51">
    <w:name w:val="Título 51"/>
    <w:basedOn w:val="Normal"/>
    <w:next w:val="Normal"/>
    <w:link w:val="Heading5Char"/>
    <w:uiPriority w:val="9"/>
    <w:semiHidden/>
    <w:unhideWhenUsed/>
    <w:qFormat/>
    <w:pPr>
      <w:keepNext/>
      <w:keepLines/>
      <w:spacing w:before="200"/>
    </w:pPr>
    <w:rPr>
      <w:rFonts w:asciiTheme="majorHAnsi" w:eastAsiaTheme="majorEastAsia" w:hAnsiTheme="majorHAnsi" w:cstheme="majorBidi"/>
      <w:color w:val="243F60" w:themeColor="accent1" w:themeShade="7F"/>
    </w:rPr>
  </w:style>
  <w:style w:type="paragraph" w:customStyle="1" w:styleId="Ttulo61">
    <w:name w:val="Título 61"/>
    <w:basedOn w:val="Normal"/>
    <w:next w:val="Normal"/>
    <w:link w:val="Heading6Char"/>
    <w:uiPriority w:val="9"/>
    <w:semiHidden/>
    <w:unhideWhenUsed/>
    <w:qFormat/>
    <w:pPr>
      <w:keepNext/>
      <w:keepLines/>
      <w:spacing w:before="200"/>
    </w:pPr>
    <w:rPr>
      <w:rFonts w:asciiTheme="majorHAnsi" w:eastAsiaTheme="majorEastAsia" w:hAnsiTheme="majorHAnsi" w:cstheme="majorBidi"/>
      <w:i/>
      <w:iCs/>
      <w:color w:val="243F60" w:themeColor="accent1" w:themeShade="7F"/>
    </w:rPr>
  </w:style>
  <w:style w:type="paragraph" w:customStyle="1" w:styleId="Ttulo71">
    <w:name w:val="Título 71"/>
    <w:basedOn w:val="Normal"/>
    <w:next w:val="Normal"/>
    <w:link w:val="Heading7Char"/>
    <w:uiPriority w:val="9"/>
    <w:semiHidden/>
    <w:unhideWhenUsed/>
    <w:qFormat/>
    <w:pPr>
      <w:keepNext/>
      <w:keepLines/>
      <w:spacing w:before="200"/>
    </w:pPr>
    <w:rPr>
      <w:rFonts w:asciiTheme="majorHAnsi" w:eastAsiaTheme="majorEastAsia" w:hAnsiTheme="majorHAnsi" w:cstheme="majorBidi"/>
      <w:i/>
      <w:iCs/>
      <w:color w:val="404040" w:themeColor="text1" w:themeTint="BF"/>
    </w:rPr>
  </w:style>
  <w:style w:type="paragraph" w:customStyle="1" w:styleId="Ttulo81">
    <w:name w:val="Título 81"/>
    <w:basedOn w:val="Normal"/>
    <w:next w:val="Normal"/>
    <w:link w:val="Heading8Char"/>
    <w:uiPriority w:val="9"/>
    <w:semiHidden/>
    <w:unhideWhenUsed/>
    <w:qFormat/>
    <w:pPr>
      <w:keepNext/>
      <w:keepLines/>
      <w:spacing w:before="200"/>
    </w:pPr>
    <w:rPr>
      <w:rFonts w:asciiTheme="majorHAnsi" w:eastAsiaTheme="majorEastAsia" w:hAnsiTheme="majorHAnsi" w:cstheme="majorBidi"/>
      <w:color w:val="404040" w:themeColor="text1" w:themeTint="BF"/>
      <w:sz w:val="20"/>
      <w:szCs w:val="20"/>
    </w:rPr>
  </w:style>
  <w:style w:type="paragraph" w:customStyle="1" w:styleId="Ttulo91">
    <w:name w:val="Título 91"/>
    <w:basedOn w:val="Normal"/>
    <w:next w:val="Normal"/>
    <w:link w:val="Heading9Char"/>
    <w:uiPriority w:val="9"/>
    <w:semiHidden/>
    <w:unhideWhenUsed/>
    <w:qFormat/>
    <w:pPr>
      <w:keepNext/>
      <w:keepLines/>
      <w:spacing w:before="200"/>
    </w:pPr>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style>
  <w:style w:type="character" w:customStyle="1" w:styleId="Heading1Char">
    <w:name w:val="Heading 1 Char"/>
    <w:basedOn w:val="DefaultParagraphFont"/>
    <w:link w:val="Ttulo1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Ttulo21"/>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Ttulo31"/>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Ttulo41"/>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Ttulo51"/>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Ttulo61"/>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Ttulo71"/>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Ttulo81"/>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Ttulo91"/>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customStyle="1" w:styleId="Textonotapie1">
    <w:name w:val="Texto nota pie1"/>
    <w:basedOn w:val="Normal"/>
    <w:link w:val="FootnoteTextChar"/>
    <w:uiPriority w:val="99"/>
    <w:semiHidden/>
    <w:unhideWhenUsed/>
    <w:rPr>
      <w:sz w:val="20"/>
      <w:szCs w:val="20"/>
    </w:rPr>
  </w:style>
  <w:style w:type="character" w:customStyle="1" w:styleId="FootnoteTextChar">
    <w:name w:val="Footnote Text Char"/>
    <w:basedOn w:val="DefaultParagraphFont"/>
    <w:link w:val="Textonotapie1"/>
    <w:uiPriority w:val="99"/>
    <w:semiHidden/>
    <w:rPr>
      <w:sz w:val="20"/>
      <w:szCs w:val="20"/>
    </w:rPr>
  </w:style>
  <w:style w:type="character" w:customStyle="1" w:styleId="Refdenotaalpie1">
    <w:name w:val="Ref. de nota al pie1"/>
    <w:basedOn w:val="DefaultParagraphFont"/>
    <w:uiPriority w:val="99"/>
    <w:semiHidden/>
    <w:unhideWhenUsed/>
    <w:rPr>
      <w:vertAlign w:val="superscript"/>
    </w:rPr>
  </w:style>
  <w:style w:type="paragraph" w:customStyle="1" w:styleId="Textonotaalfinal1">
    <w:name w:val="Texto nota al final1"/>
    <w:basedOn w:val="Normal"/>
    <w:link w:val="EndnoteTextChar"/>
    <w:uiPriority w:val="99"/>
    <w:semiHidden/>
    <w:unhideWhenUsed/>
    <w:rPr>
      <w:sz w:val="20"/>
      <w:szCs w:val="20"/>
    </w:rPr>
  </w:style>
  <w:style w:type="character" w:customStyle="1" w:styleId="EndnoteTextChar">
    <w:name w:val="Endnote Text Char"/>
    <w:basedOn w:val="DefaultParagraphFont"/>
    <w:link w:val="Textonotaalfinal1"/>
    <w:uiPriority w:val="99"/>
    <w:semiHidden/>
    <w:rPr>
      <w:sz w:val="20"/>
      <w:szCs w:val="20"/>
    </w:rPr>
  </w:style>
  <w:style w:type="character" w:customStyle="1" w:styleId="Refdenotaalfinal1">
    <w:name w:val="Ref. de nota al final1"/>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customStyle="1" w:styleId="Encabezado1">
    <w:name w:val="Encabezado1"/>
    <w:basedOn w:val="Normal"/>
    <w:link w:val="HeaderChar"/>
    <w:uiPriority w:val="99"/>
    <w:unhideWhenUsed/>
  </w:style>
  <w:style w:type="character" w:customStyle="1" w:styleId="HeaderChar">
    <w:name w:val="Header Char"/>
    <w:basedOn w:val="DefaultParagraphFont"/>
    <w:link w:val="Encabezado1"/>
    <w:uiPriority w:val="99"/>
  </w:style>
  <w:style w:type="paragraph" w:customStyle="1" w:styleId="Piedepgina1">
    <w:name w:val="Pie de página1"/>
    <w:basedOn w:val="Normal"/>
    <w:link w:val="FooterChar"/>
    <w:uiPriority w:val="99"/>
    <w:unhideWhenUsed/>
  </w:style>
  <w:style w:type="character" w:customStyle="1" w:styleId="FooterChar">
    <w:name w:val="Footer Char"/>
    <w:basedOn w:val="DefaultParagraphFont"/>
    <w:link w:val="Piedepgina1"/>
    <w:uiPriority w:val="99"/>
  </w:style>
  <w:style w:type="paragraph" w:styleId="Header">
    <w:name w:val="header"/>
    <w:basedOn w:val="Normal"/>
    <w:link w:val="HeaderChar1"/>
    <w:uiPriority w:val="99"/>
    <w:unhideWhenUsed/>
    <w:rsid w:val="0090577A"/>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rsid w:val="0090577A"/>
    <w:rPr>
      <w:sz w:val="18"/>
      <w:szCs w:val="18"/>
    </w:rPr>
  </w:style>
  <w:style w:type="paragraph" w:styleId="Footer">
    <w:name w:val="footer"/>
    <w:basedOn w:val="Normal"/>
    <w:link w:val="FooterChar1"/>
    <w:uiPriority w:val="99"/>
    <w:unhideWhenUsed/>
    <w:rsid w:val="0090577A"/>
    <w:pPr>
      <w:tabs>
        <w:tab w:val="center" w:pos="4153"/>
        <w:tab w:val="right" w:pos="8306"/>
      </w:tabs>
      <w:snapToGrid w:val="0"/>
    </w:pPr>
    <w:rPr>
      <w:sz w:val="18"/>
      <w:szCs w:val="18"/>
    </w:rPr>
  </w:style>
  <w:style w:type="character" w:customStyle="1" w:styleId="FooterChar1">
    <w:name w:val="Footer Char1"/>
    <w:basedOn w:val="DefaultParagraphFont"/>
    <w:link w:val="Footer"/>
    <w:uiPriority w:val="99"/>
    <w:rsid w:val="0090577A"/>
    <w:rPr>
      <w:sz w:val="18"/>
      <w:szCs w:val="18"/>
    </w:rPr>
  </w:style>
  <w:style w:type="paragraph" w:styleId="HTMLPreformatted">
    <w:name w:val="HTML Preformatted"/>
    <w:basedOn w:val="Normal"/>
    <w:link w:val="HTMLPreformattedChar"/>
    <w:uiPriority w:val="99"/>
    <w:semiHidden/>
    <w:unhideWhenUsed/>
    <w:rsid w:val="003A1820"/>
    <w:pPr>
      <w:spacing w:before="100" w:beforeAutospacing="1"/>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3A1820"/>
    <w:rPr>
      <w:rFonts w:ascii="Courier New" w:eastAsia="Times New Roman" w:hAnsi="Courier New" w:cs="Courier New"/>
      <w:lang w:eastAsia="zh-CN"/>
    </w:rPr>
  </w:style>
  <w:style w:type="table" w:styleId="TableGrid">
    <w:name w:val="Table Grid"/>
    <w:basedOn w:val="TableNormal"/>
    <w:uiPriority w:val="99"/>
    <w:rsid w:val="003A1820"/>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7527">
      <w:bodyDiv w:val="1"/>
      <w:marLeft w:val="0"/>
      <w:marRight w:val="0"/>
      <w:marTop w:val="0"/>
      <w:marBottom w:val="0"/>
      <w:divBdr>
        <w:top w:val="none" w:sz="0" w:space="0" w:color="auto"/>
        <w:left w:val="none" w:sz="0" w:space="0" w:color="auto"/>
        <w:bottom w:val="none" w:sz="0" w:space="0" w:color="auto"/>
        <w:right w:val="none" w:sz="0" w:space="0" w:color="auto"/>
      </w:divBdr>
    </w:div>
    <w:div w:id="471870010">
      <w:bodyDiv w:val="1"/>
      <w:marLeft w:val="0"/>
      <w:marRight w:val="0"/>
      <w:marTop w:val="0"/>
      <w:marBottom w:val="0"/>
      <w:divBdr>
        <w:top w:val="none" w:sz="0" w:space="0" w:color="auto"/>
        <w:left w:val="none" w:sz="0" w:space="0" w:color="auto"/>
        <w:bottom w:val="none" w:sz="0" w:space="0" w:color="auto"/>
        <w:right w:val="none" w:sz="0" w:space="0" w:color="auto"/>
      </w:divBdr>
    </w:div>
    <w:div w:id="521162135">
      <w:bodyDiv w:val="1"/>
      <w:marLeft w:val="0"/>
      <w:marRight w:val="0"/>
      <w:marTop w:val="0"/>
      <w:marBottom w:val="0"/>
      <w:divBdr>
        <w:top w:val="none" w:sz="0" w:space="0" w:color="auto"/>
        <w:left w:val="none" w:sz="0" w:space="0" w:color="auto"/>
        <w:bottom w:val="none" w:sz="0" w:space="0" w:color="auto"/>
        <w:right w:val="none" w:sz="0" w:space="0" w:color="auto"/>
      </w:divBdr>
    </w:div>
    <w:div w:id="732627356">
      <w:bodyDiv w:val="1"/>
      <w:marLeft w:val="0"/>
      <w:marRight w:val="0"/>
      <w:marTop w:val="0"/>
      <w:marBottom w:val="0"/>
      <w:divBdr>
        <w:top w:val="none" w:sz="0" w:space="0" w:color="auto"/>
        <w:left w:val="none" w:sz="0" w:space="0" w:color="auto"/>
        <w:bottom w:val="none" w:sz="0" w:space="0" w:color="auto"/>
        <w:right w:val="none" w:sz="0" w:space="0" w:color="auto"/>
      </w:divBdr>
    </w:div>
    <w:div w:id="1857767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10645</Words>
  <Characters>60679</Characters>
  <Application>Microsoft Office Word</Application>
  <DocSecurity>0</DocSecurity>
  <Lines>505</Lines>
  <Paragraphs>142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servin</dc:creator>
  <cp:lastModifiedBy>Donna Fox</cp:lastModifiedBy>
  <cp:revision>2</cp:revision>
  <dcterms:created xsi:type="dcterms:W3CDTF">2021-06-20T04:48:00Z</dcterms:created>
  <dcterms:modified xsi:type="dcterms:W3CDTF">2021-06-20T04:48:00Z</dcterms:modified>
</cp:coreProperties>
</file>