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5C4C" w14:textId="7A3ED8EB" w:rsidR="00A77B3E" w:rsidRPr="00FF63FF" w:rsidRDefault="00DA221C" w:rsidP="00466F9F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Name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Journal: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World</w:t>
      </w:r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Journal</w:t>
      </w:r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DF783FB" w14:textId="5814F81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Manuscript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NO: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63097</w:t>
      </w:r>
    </w:p>
    <w:p w14:paraId="4B8F331D" w14:textId="317F89E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Manuscript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Type: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MINIREVIEWS</w:t>
      </w:r>
    </w:p>
    <w:p w14:paraId="4FA8ADFC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5277D35" w14:textId="790BDAB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infection</w:t>
      </w:r>
    </w:p>
    <w:p w14:paraId="26FB19DF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A1C3BA9" w14:textId="7AAC2CD7" w:rsidR="00A77B3E" w:rsidRPr="00FF63FF" w:rsidRDefault="00451534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Zhan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aps/>
          <w:color w:val="000000"/>
        </w:rPr>
        <w:t>Q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al</w:t>
      </w:r>
      <w:r w:rsidRPr="00FF63FF">
        <w:rPr>
          <w:rFonts w:ascii="Book Antiqua" w:eastAsia="Book Antiqua" w:hAnsi="Book Antiqua" w:cs="Book Antiqua"/>
          <w:caps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aps/>
          <w:color w:val="000000"/>
        </w:rPr>
        <w:t>i</w:t>
      </w:r>
      <w:r w:rsidR="00DA221C" w:rsidRPr="00FF63FF">
        <w:rPr>
          <w:rFonts w:ascii="Book Antiqua" w:eastAsia="Book Antiqua" w:hAnsi="Book Antiqua" w:cs="Book Antiqua"/>
          <w:color w:val="000000"/>
        </w:rPr>
        <w:t>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</w:t>
      </w:r>
    </w:p>
    <w:p w14:paraId="782965F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73A5919" w14:textId="736BBCE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FF63FF">
        <w:rPr>
          <w:rFonts w:ascii="Book Antiqua" w:eastAsia="Book Antiqua" w:hAnsi="Book Antiqua" w:cs="Book Antiqua"/>
          <w:color w:val="000000"/>
        </w:rPr>
        <w:t>Q</w:t>
      </w:r>
      <w:r w:rsidR="00283ED9" w:rsidRPr="00FF63FF">
        <w:rPr>
          <w:rFonts w:ascii="Book Antiqua" w:eastAsia="Book Antiqua" w:hAnsi="Book Antiqua" w:cs="Book Antiqua"/>
          <w:color w:val="000000"/>
        </w:rPr>
        <w:t>iao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</w:t>
      </w:r>
      <w:r w:rsidR="00283ED9" w:rsidRPr="00FF63FF">
        <w:rPr>
          <w:rFonts w:ascii="Book Antiqua" w:eastAsia="Book Antiqua" w:hAnsi="Book Antiqua" w:cs="Book Antiqua"/>
          <w:color w:val="000000"/>
        </w:rPr>
        <w:t>han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Jing-Hang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Yan-Yan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Yu,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527BB" w:rsidRPr="00FF63FF">
        <w:rPr>
          <w:rFonts w:ascii="Book Antiqua" w:eastAsia="Book Antiqua" w:hAnsi="Book Antiqua" w:cs="Book Antiqua"/>
          <w:color w:val="000000"/>
        </w:rPr>
        <w:t>Emily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KK</w:t>
      </w:r>
      <w:r w:rsidR="009E3F3F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E3F3F" w:rsidRPr="00FF63FF">
        <w:rPr>
          <w:rFonts w:ascii="Book Antiqua" w:eastAsia="Book Antiqua" w:hAnsi="Book Antiqua" w:cs="Book Antiqua"/>
          <w:color w:val="000000"/>
        </w:rPr>
        <w:t>Felicianna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Hani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Nezami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Zeng</w:t>
      </w:r>
      <w:proofErr w:type="spellEnd"/>
    </w:p>
    <w:p w14:paraId="44790B4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2B315B5" w14:textId="52AA7FF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Q</w:t>
      </w:r>
      <w:r w:rsidR="00283ED9" w:rsidRPr="00FF63FF">
        <w:rPr>
          <w:rFonts w:ascii="Book Antiqua" w:eastAsia="Book Antiqua" w:hAnsi="Book Antiqua" w:cs="Book Antiqua"/>
          <w:b/>
          <w:bCs/>
          <w:color w:val="000000"/>
        </w:rPr>
        <w:t>iao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</w:t>
      </w:r>
      <w:r w:rsidR="00283ED9" w:rsidRPr="00FF63FF">
        <w:rPr>
          <w:rFonts w:ascii="Book Antiqua" w:eastAsia="Book Antiqua" w:hAnsi="Book Antiqua" w:cs="Book Antiqua"/>
          <w:b/>
          <w:bCs/>
          <w:color w:val="000000"/>
        </w:rPr>
        <w:t>han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Jing-Hang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Xu</w:t>
      </w:r>
      <w:proofErr w:type="spellEnd"/>
      <w:r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Yan-Yan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Zheng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Zeng</w:t>
      </w:r>
      <w:proofErr w:type="spellEnd"/>
      <w:r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Department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Diseases,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Peking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First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Hospital,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Beijing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100034,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</w:p>
    <w:p w14:paraId="5B54BC4F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CC910C4" w14:textId="2BAEFEA5" w:rsidR="00A77B3E" w:rsidRPr="00FF63FF" w:rsidRDefault="00F527BB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Emily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b/>
          <w:bCs/>
          <w:color w:val="000000"/>
        </w:rPr>
        <w:t>Lo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b/>
          <w:bCs/>
          <w:color w:val="000000"/>
        </w:rPr>
        <w:t>KK</w:t>
      </w:r>
      <w:r w:rsidR="009144CE"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144CE" w:rsidRPr="00FF63FF">
        <w:rPr>
          <w:rFonts w:ascii="Book Antiqua" w:eastAsia="Book Antiqua" w:hAnsi="Book Antiqua" w:cs="Book Antiqua"/>
          <w:b/>
          <w:bCs/>
          <w:color w:val="000000"/>
        </w:rPr>
        <w:t>Felicianna</w:t>
      </w:r>
      <w:proofErr w:type="spellEnd"/>
      <w:r w:rsidR="00DA221C"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b/>
          <w:bCs/>
          <w:color w:val="000000"/>
        </w:rPr>
        <w:t>Hani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="00E22C46" w:rsidRPr="00FF63FF">
        <w:rPr>
          <w:rFonts w:ascii="Book Antiqua" w:eastAsia="Book Antiqua" w:hAnsi="Book Antiqua" w:cs="Book Antiqua"/>
          <w:b/>
          <w:bCs/>
          <w:color w:val="000000"/>
        </w:rPr>
        <w:t>Nezami</w:t>
      </w:r>
      <w:proofErr w:type="spellEnd"/>
      <w:r w:rsidR="00E22C46"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School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Biological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Sciences,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University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Kong,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Kong,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China</w:t>
      </w:r>
    </w:p>
    <w:p w14:paraId="43A0910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1E92725" w14:textId="6C2FA63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Hani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Nezami</w:t>
      </w:r>
      <w:proofErr w:type="spellEnd"/>
      <w:r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Institute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Public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Nutrition,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School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Medicine,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Eastern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Finland,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Kuopio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76DCD" w:rsidRPr="00FF63FF">
        <w:rPr>
          <w:rFonts w:ascii="Book Antiqua" w:eastAsia="Book Antiqua" w:hAnsi="Book Antiqua" w:cs="Book Antiqua"/>
          <w:color w:val="000000"/>
        </w:rPr>
        <w:t>FI-70211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Finland</w:t>
      </w:r>
    </w:p>
    <w:p w14:paraId="688F693E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0C54F35" w14:textId="48A26D04" w:rsidR="00A77B3E" w:rsidRPr="009C7178" w:rsidRDefault="00DA221C" w:rsidP="00DF44F4">
      <w:pPr>
        <w:snapToGrid w:val="0"/>
        <w:spacing w:line="360" w:lineRule="auto"/>
        <w:jc w:val="both"/>
        <w:rPr>
          <w:rFonts w:ascii="Book Antiqua" w:eastAsiaTheme="minorEastAsia" w:hAnsi="Book Antiqua" w:cs="Book Antiqua"/>
          <w:b/>
          <w:bCs/>
          <w:color w:val="000000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0888" w:rsidRPr="00FF63FF">
        <w:rPr>
          <w:rFonts w:ascii="Book Antiqua" w:eastAsia="Book Antiqua" w:hAnsi="Book Antiqua" w:cs="Book Antiqua"/>
          <w:color w:val="000000"/>
        </w:rPr>
        <w:t>Zhan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C0888" w:rsidRPr="00FF63FF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C0888" w:rsidRPr="00FF63FF">
        <w:rPr>
          <w:rFonts w:ascii="Book Antiqua" w:eastAsia="Book Antiqua" w:hAnsi="Book Antiqua" w:cs="Book Antiqua"/>
          <w:color w:val="000000"/>
        </w:rPr>
        <w:t>J</w:t>
      </w:r>
      <w:r w:rsidRPr="00FF63FF">
        <w:rPr>
          <w:rFonts w:ascii="Book Antiqua" w:eastAsia="Book Antiqua" w:hAnsi="Book Antiqua" w:cs="Book Antiqua"/>
          <w:caps/>
          <w:color w:val="000000"/>
        </w:rPr>
        <w:t>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wrote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paper;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C0888" w:rsidRPr="00FF63FF">
        <w:rPr>
          <w:rFonts w:ascii="Book Antiqua" w:eastAsia="Book Antiqua" w:hAnsi="Book Antiqua" w:cs="Book Antiqua"/>
          <w:color w:val="000000"/>
        </w:rPr>
        <w:t>Yu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</w:t>
      </w:r>
      <w:r w:rsidR="009C0888" w:rsidRPr="00FF63FF">
        <w:rPr>
          <w:rFonts w:ascii="Book Antiqua" w:eastAsia="Book Antiqua" w:hAnsi="Book Antiqua" w:cs="Book Antiqua"/>
          <w:cap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1A0457">
        <w:rPr>
          <w:rFonts w:ascii="Book Antiqua" w:eastAsiaTheme="minorEastAsia" w:hAnsi="Book Antiqua" w:cs="Book Antiqua" w:hint="eastAsia"/>
          <w:color w:val="000000"/>
        </w:rPr>
        <w:t xml:space="preserve"> </w:t>
      </w:r>
      <w:proofErr w:type="spellStart"/>
      <w:r w:rsidR="001A0457" w:rsidRPr="001A0457">
        <w:rPr>
          <w:rFonts w:ascii="Book Antiqua" w:eastAsiaTheme="minorEastAsia" w:hAnsi="Book Antiqua" w:cs="Book Antiqua"/>
          <w:color w:val="000000"/>
        </w:rPr>
        <w:t>Felicianna</w:t>
      </w:r>
      <w:proofErr w:type="spellEnd"/>
      <w:r w:rsidR="00DF44F4">
        <w:rPr>
          <w:rFonts w:ascii="Book Antiqua" w:eastAsiaTheme="minorEastAsia" w:hAnsi="Book Antiqua" w:cs="Book Antiqua" w:hint="eastAsi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</w:t>
      </w:r>
      <w:r w:rsidR="00E22C46" w:rsidRPr="00FF63FF">
        <w:rPr>
          <w:rFonts w:ascii="Book Antiqua" w:eastAsia="Book Antiqua" w:hAnsi="Book Antiqua" w:cs="Book Antiqua"/>
          <w:color w:val="000000"/>
        </w:rPr>
        <w:t>llected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data;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="00E22C46" w:rsidRPr="00FF63FF">
        <w:rPr>
          <w:rFonts w:ascii="Book Antiqua" w:eastAsia="Book Antiqua" w:hAnsi="Book Antiqua" w:cs="Book Antiqua"/>
          <w:color w:val="000000"/>
        </w:rPr>
        <w:t>Nezami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22C46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87239" w:rsidRPr="00FF63FF">
        <w:rPr>
          <w:rFonts w:ascii="Book Antiqua" w:eastAsia="Book Antiqua" w:hAnsi="Book Antiqua" w:cs="Book Antiqua"/>
          <w:color w:val="000000"/>
        </w:rPr>
        <w:t>Zeng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paper.</w:t>
      </w:r>
      <w:r w:rsidR="009C7178">
        <w:rPr>
          <w:rFonts w:ascii="Book Antiqua" w:eastAsiaTheme="minorEastAsia" w:hAnsi="Book Antiqua" w:cs="Book Antiqua" w:hint="eastAsia"/>
          <w:color w:val="000000"/>
        </w:rPr>
        <w:t xml:space="preserve"> </w:t>
      </w:r>
      <w:r w:rsidR="009C7178" w:rsidRPr="009C7178">
        <w:rPr>
          <w:rFonts w:ascii="Book Antiqua" w:eastAsia="Book Antiqua" w:hAnsi="Book Antiqua" w:cs="Book Antiqua"/>
          <w:bCs/>
          <w:color w:val="000000"/>
        </w:rPr>
        <w:t xml:space="preserve">Zhan Q and </w:t>
      </w:r>
      <w:proofErr w:type="spellStart"/>
      <w:r w:rsidR="009C7178" w:rsidRPr="009C7178">
        <w:rPr>
          <w:rFonts w:ascii="Book Antiqua" w:eastAsia="Book Antiqua" w:hAnsi="Book Antiqua" w:cs="Book Antiqua"/>
          <w:bCs/>
          <w:color w:val="000000"/>
        </w:rPr>
        <w:t>Xu</w:t>
      </w:r>
      <w:proofErr w:type="spellEnd"/>
      <w:r w:rsidR="009C7178" w:rsidRPr="009C7178">
        <w:rPr>
          <w:rFonts w:ascii="Book Antiqua" w:eastAsia="Book Antiqua" w:hAnsi="Book Antiqua" w:cs="Book Antiqua"/>
          <w:bCs/>
          <w:color w:val="000000"/>
        </w:rPr>
        <w:t xml:space="preserve"> JH</w:t>
      </w:r>
      <w:r w:rsidR="009C71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7178" w:rsidRPr="004570BB">
        <w:rPr>
          <w:rFonts w:ascii="Book Antiqua" w:hAnsi="Book Antiqua"/>
        </w:rPr>
        <w:t>equally contributed to the manuscript.</w:t>
      </w:r>
    </w:p>
    <w:p w14:paraId="0C7C9360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22E8BAA" w14:textId="7EE463C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46F6B">
        <w:rPr>
          <w:rFonts w:ascii="Book Antiqua" w:eastAsiaTheme="minorEastAsia" w:hAnsi="Book Antiqua" w:cs="Book Antiqua" w:hint="eastAsi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Natural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Science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  <w:r w:rsidR="00B44D1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61972007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44D1E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30671855</w:t>
      </w:r>
      <w:r w:rsidR="00B44D1E" w:rsidRPr="00FF63FF">
        <w:rPr>
          <w:rFonts w:ascii="Book Antiqua" w:eastAsia="Book Antiqua" w:hAnsi="Book Antiqua" w:cs="Book Antiqua"/>
          <w:color w:val="000000"/>
        </w:rPr>
        <w:t>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Science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&amp;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Technology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Cooperation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Program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  <w:r w:rsidR="00B44D1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2014DFR31200</w:t>
      </w:r>
      <w:r w:rsidR="005D5488" w:rsidRPr="00FF63FF">
        <w:rPr>
          <w:rFonts w:ascii="Book Antiqua" w:eastAsia="Book Antiqua" w:hAnsi="Book Antiqua" w:cs="Book Antiqua"/>
          <w:color w:val="000000"/>
        </w:rPr>
        <w:t>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Ministry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Science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Technology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  <w:r w:rsidR="00AE7058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E7058"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E7058" w:rsidRPr="00FF63FF">
        <w:rPr>
          <w:rFonts w:ascii="Book Antiqua" w:eastAsia="Book Antiqua" w:hAnsi="Book Antiqua" w:cs="Book Antiqua"/>
          <w:color w:val="000000"/>
        </w:rPr>
        <w:t>2017ZX10202202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6EB0BEAA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8F6BA8" w14:textId="535FA920" w:rsidR="00A77B3E" w:rsidRPr="00532D44" w:rsidRDefault="00DA221C" w:rsidP="00DA221C">
      <w:pPr>
        <w:snapToGrid w:val="0"/>
        <w:spacing w:line="360" w:lineRule="auto"/>
        <w:jc w:val="both"/>
        <w:rPr>
          <w:rFonts w:ascii="Book Antiqua" w:eastAsiaTheme="minorEastAsia" w:hAnsi="Book Antiqua" w:hint="eastAsi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Zheng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Zeng</w:t>
      </w:r>
      <w:proofErr w:type="spellEnd"/>
      <w:r w:rsidRPr="00FF63FF">
        <w:rPr>
          <w:rFonts w:ascii="Book Antiqua" w:eastAsia="Book Antiqua" w:hAnsi="Book Antiqua" w:cs="Book Antiqua"/>
          <w:b/>
          <w:bCs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Department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Diseases,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Peking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First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Hospital,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olor w:val="000000"/>
        </w:rPr>
        <w:t>No.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olor w:val="000000"/>
        </w:rPr>
        <w:t>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29A2" w:rsidRPr="00FF63FF">
        <w:rPr>
          <w:rFonts w:ascii="Book Antiqua" w:eastAsia="Book Antiqua" w:hAnsi="Book Antiqua" w:cs="Book Antiqua"/>
          <w:color w:val="000000"/>
        </w:rPr>
        <w:t>Xishiku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aps/>
          <w:color w:val="000000"/>
        </w:rPr>
        <w:t>s</w:t>
      </w:r>
      <w:r w:rsidR="00A229A2" w:rsidRPr="00FF63FF">
        <w:rPr>
          <w:rFonts w:ascii="Book Antiqua" w:eastAsia="Book Antiqua" w:hAnsi="Book Antiqua" w:cs="Book Antiqua"/>
          <w:color w:val="000000"/>
        </w:rPr>
        <w:t>treet,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29A2" w:rsidRPr="00FF63FF">
        <w:rPr>
          <w:rFonts w:ascii="Book Antiqua" w:eastAsia="Book Antiqua" w:hAnsi="Book Antiqua" w:cs="Book Antiqua"/>
          <w:color w:val="000000"/>
        </w:rPr>
        <w:t>Xicheng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229A2" w:rsidRPr="00FF63FF">
        <w:rPr>
          <w:rFonts w:ascii="Book Antiqua" w:eastAsia="Book Antiqua" w:hAnsi="Book Antiqua" w:cs="Book Antiqua"/>
          <w:color w:val="000000"/>
        </w:rPr>
        <w:t>District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Beijing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100034,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E2F49" w:rsidRPr="00B811A2">
        <w:rPr>
          <w:rFonts w:ascii="Book Antiqua" w:eastAsia="Book Antiqua" w:hAnsi="Book Antiqua" w:cs="Book Antiqua"/>
        </w:rPr>
        <w:t>zeng@bjmu.edu.cn</w:t>
      </w:r>
      <w:bookmarkStart w:id="0" w:name="_GoBack"/>
      <w:bookmarkEnd w:id="0"/>
    </w:p>
    <w:p w14:paraId="5221D516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6F88AA6" w14:textId="3517F2F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January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</w:t>
      </w:r>
    </w:p>
    <w:p w14:paraId="37EC0475" w14:textId="2B4D595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March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</w:t>
      </w:r>
    </w:p>
    <w:p w14:paraId="7473C39C" w14:textId="0D51F13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2128" w:rsidRPr="00FF63FF">
        <w:rPr>
          <w:rFonts w:ascii="Book Antiqua" w:eastAsia="Book Antiqua" w:hAnsi="Book Antiqua" w:cs="Book Antiqua"/>
          <w:color w:val="000000"/>
        </w:rPr>
        <w:t>May 27, 2021</w:t>
      </w:r>
    </w:p>
    <w:p w14:paraId="18241FFA" w14:textId="55AE1C18" w:rsidR="00A77B3E" w:rsidRPr="00B811A2" w:rsidRDefault="00DA221C" w:rsidP="00DA221C">
      <w:pPr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811A2">
        <w:rPr>
          <w:rFonts w:ascii="Book Antiqua" w:eastAsiaTheme="minorEastAsia" w:hAnsi="Book Antiqua" w:cs="Book Antiqua" w:hint="eastAsia"/>
          <w:b/>
          <w:bCs/>
          <w:color w:val="000000"/>
        </w:rPr>
        <w:t xml:space="preserve"> </w:t>
      </w:r>
      <w:r w:rsidR="00B811A2" w:rsidRPr="00B811A2">
        <w:rPr>
          <w:rFonts w:ascii="Book Antiqua" w:eastAsiaTheme="minorEastAsia" w:hAnsi="Book Antiqua" w:cs="Book Antiqua"/>
          <w:bCs/>
          <w:color w:val="000000"/>
        </w:rPr>
        <w:t>July 7, 2021</w:t>
      </w:r>
    </w:p>
    <w:p w14:paraId="3CEB674D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  <w:sectPr w:rsidR="00A77B3E" w:rsidRPr="00FF63FF" w:rsidSect="00FD2B6D">
          <w:footerReference w:type="default" r:id="rId8"/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2DE6D8A1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11624C" w14:textId="392F44F3" w:rsidR="00A77B3E" w:rsidRPr="00FF63FF" w:rsidRDefault="00DA221C" w:rsidP="009A397F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(HBV)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public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F02C9" w:rsidRPr="00FF63FF">
        <w:rPr>
          <w:rFonts w:ascii="Book Antiqua" w:eastAsia="Book Antiqua" w:hAnsi="Book Antiqua" w:cs="Book Antiqua"/>
          <w:color w:val="000000"/>
        </w:rPr>
        <w:t xml:space="preserve">affects </w:t>
      </w:r>
      <w:r w:rsidRPr="00FF63FF">
        <w:rPr>
          <w:rFonts w:ascii="Book Antiqua" w:eastAsia="Book Antiqua" w:hAnsi="Book Antiqua" w:cs="Book Antiqua"/>
          <w:color w:val="000000"/>
        </w:rPr>
        <w:t>257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million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people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F02C9" w:rsidRPr="00FF63FF">
        <w:rPr>
          <w:rFonts w:ascii="Book Antiqua" w:eastAsia="Book Antiqua" w:hAnsi="Book Antiqua" w:cs="Book Antiqua"/>
          <w:color w:val="000000"/>
        </w:rPr>
        <w:t xml:space="preserve">worldwide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cirrhosis,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carcinoma.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clearance.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Immune repertoire sequencing (IRS) has been used to </w:t>
      </w:r>
      <w:r w:rsidR="001F02C9" w:rsidRPr="00FF63FF">
        <w:rPr>
          <w:rFonts w:ascii="Book Antiqua" w:eastAsia="Book Antiqua" w:hAnsi="Book Antiqua" w:cs="Book Antiqua"/>
          <w:color w:val="000000"/>
        </w:rPr>
        <w:t>investigate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behind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</w:t>
      </w:r>
      <w:r w:rsidR="00FA250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Pr="00FF63FF">
        <w:rPr>
          <w:rFonts w:ascii="Book Antiqua" w:eastAsia="Book Antiqua" w:hAnsi="Book Antiqua" w:cs="Book Antiqua"/>
          <w:color w:val="000000"/>
        </w:rPr>
        <w:t>evaluate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genetic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characteristics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individuals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summarizes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methodology,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application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="00FA250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vaccination.</w:t>
      </w:r>
    </w:p>
    <w:p w14:paraId="11F4ADDE" w14:textId="77777777" w:rsidR="00A77B3E" w:rsidRPr="00FF63FF" w:rsidRDefault="00A77B3E" w:rsidP="00DA233F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2BED039" w14:textId="53B76B3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Chronic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</w:t>
      </w:r>
      <w:r w:rsid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</w:p>
    <w:p w14:paraId="1D470BDA" w14:textId="77777777" w:rsidR="00A77B3E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99D4511" w14:textId="0ADCB5A6" w:rsidR="00744DD1" w:rsidRPr="00744DD1" w:rsidRDefault="00744DD1" w:rsidP="00744DD1">
      <w:pPr>
        <w:spacing w:line="360" w:lineRule="auto"/>
        <w:rPr>
          <w:rFonts w:ascii="Book Antiqua" w:eastAsiaTheme="minorEastAsi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</w:t>
      </w:r>
      <w:r>
        <w:rPr>
          <w:rFonts w:ascii="Book Antiqua" w:eastAsia="Book Antiqua" w:hAnsi="Book Antiqua" w:cs="Book Antiqua"/>
          <w:color w:val="000000"/>
        </w:rPr>
        <w:t>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4DD89FF8" w14:textId="77777777" w:rsidR="00744DD1" w:rsidRPr="00FF63FF" w:rsidRDefault="00744DD1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E9076F0" w14:textId="1C0FB551" w:rsidR="00744DD1" w:rsidRDefault="00744DD1" w:rsidP="00DA221C">
      <w:pPr>
        <w:snapToGrid w:val="0"/>
        <w:spacing w:line="360" w:lineRule="auto"/>
        <w:jc w:val="both"/>
        <w:rPr>
          <w:rFonts w:ascii="Book Antiqua" w:eastAsiaTheme="minorEastAsia" w:hAnsi="Book Antiqua" w:cs="Book Antiqua"/>
          <w:color w:val="000000"/>
        </w:rPr>
      </w:pPr>
      <w:r w:rsidRPr="003C3AA5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DA221C" w:rsidRPr="00FF63FF">
        <w:rPr>
          <w:rFonts w:ascii="Book Antiqua" w:eastAsia="Book Antiqua" w:hAnsi="Book Antiqua" w:cs="Book Antiqua"/>
          <w:color w:val="000000"/>
        </w:rPr>
        <w:t>Z</w:t>
      </w:r>
      <w:r w:rsidR="00283ED9" w:rsidRPr="00FF63FF">
        <w:rPr>
          <w:rFonts w:ascii="Book Antiqua" w:eastAsia="Book Antiqua" w:hAnsi="Book Antiqua" w:cs="Book Antiqua"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Yu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YY,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KK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E,</w:t>
      </w:r>
      <w:r w:rsidR="001A0457">
        <w:rPr>
          <w:rFonts w:ascii="Book Antiqua" w:eastAsiaTheme="minorEastAsia" w:hAnsi="Book Antiqua" w:cs="Book Antiqua" w:hint="eastAsia"/>
          <w:color w:val="000000"/>
        </w:rPr>
        <w:t xml:space="preserve"> </w:t>
      </w:r>
      <w:proofErr w:type="spellStart"/>
      <w:r w:rsidR="001A0457" w:rsidRPr="001A0457">
        <w:rPr>
          <w:rFonts w:ascii="Book Antiqua" w:eastAsiaTheme="minorEastAsia" w:hAnsi="Book Antiqua" w:cs="Book Antiqua"/>
          <w:color w:val="000000"/>
        </w:rPr>
        <w:t>Felicianna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Nezami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Zeng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Z.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2021;</w:t>
      </w:r>
      <w:r w:rsidR="00B811A2" w:rsidRPr="00B811A2">
        <w:rPr>
          <w:rFonts w:ascii="Book Antiqua" w:eastAsia="Book Antiqua" w:hAnsi="Book Antiqua" w:cs="Book Antiqua"/>
          <w:color w:val="000000"/>
        </w:rPr>
        <w:t xml:space="preserve"> 27(25): </w:t>
      </w:r>
      <w:r w:rsidR="008E12C1" w:rsidRPr="008E12C1">
        <w:rPr>
          <w:rFonts w:ascii="Book Antiqua" w:eastAsia="Book Antiqua" w:hAnsi="Book Antiqua" w:cs="Book Antiqua"/>
          <w:color w:val="000000"/>
        </w:rPr>
        <w:t>3790</w:t>
      </w:r>
      <w:r w:rsidR="00B811A2" w:rsidRPr="00B811A2">
        <w:rPr>
          <w:rFonts w:ascii="Book Antiqua" w:eastAsia="Book Antiqua" w:hAnsi="Book Antiqua" w:cs="Book Antiqua"/>
          <w:color w:val="000000"/>
        </w:rPr>
        <w:t>-</w:t>
      </w:r>
      <w:r w:rsidR="008E12C1" w:rsidRPr="008E12C1">
        <w:rPr>
          <w:rFonts w:ascii="Book Antiqua" w:eastAsia="Book Antiqua" w:hAnsi="Book Antiqua" w:cs="Book Antiqua"/>
          <w:color w:val="000000"/>
        </w:rPr>
        <w:t>3801</w:t>
      </w:r>
    </w:p>
    <w:p w14:paraId="68B690C7" w14:textId="272956E9" w:rsidR="00744DD1" w:rsidRDefault="00B811A2" w:rsidP="00DA221C">
      <w:pPr>
        <w:snapToGrid w:val="0"/>
        <w:spacing w:line="360" w:lineRule="auto"/>
        <w:jc w:val="both"/>
        <w:rPr>
          <w:rFonts w:ascii="Book Antiqua" w:eastAsiaTheme="minorEastAsia" w:hAnsi="Book Antiqua" w:cs="Book Antiqua"/>
          <w:color w:val="000000"/>
        </w:rPr>
      </w:pPr>
      <w:r w:rsidRPr="00744DD1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B811A2">
        <w:rPr>
          <w:rFonts w:ascii="Book Antiqua" w:eastAsia="Book Antiqua" w:hAnsi="Book Antiqua" w:cs="Book Antiqua"/>
          <w:color w:val="000000"/>
        </w:rPr>
        <w:t>https://www.wjgnet.com/1007-9327/full/v27/i25/</w:t>
      </w:r>
      <w:r w:rsidR="008E12C1" w:rsidRPr="008E12C1">
        <w:rPr>
          <w:rFonts w:ascii="Book Antiqua" w:eastAsia="Book Antiqua" w:hAnsi="Book Antiqua" w:cs="Book Antiqua"/>
          <w:color w:val="000000"/>
        </w:rPr>
        <w:t>3790</w:t>
      </w:r>
      <w:r w:rsidRPr="00B811A2">
        <w:rPr>
          <w:rFonts w:ascii="Book Antiqua" w:eastAsia="Book Antiqua" w:hAnsi="Book Antiqua" w:cs="Book Antiqua"/>
          <w:color w:val="000000"/>
        </w:rPr>
        <w:t>.htm</w:t>
      </w:r>
    </w:p>
    <w:p w14:paraId="499E6876" w14:textId="34770232" w:rsidR="00A77B3E" w:rsidRPr="00FF63FF" w:rsidRDefault="00B811A2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744DD1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B811A2">
        <w:rPr>
          <w:rFonts w:ascii="Book Antiqua" w:eastAsia="Book Antiqua" w:hAnsi="Book Antiqua" w:cs="Book Antiqua"/>
          <w:color w:val="000000"/>
        </w:rPr>
        <w:t>https://dx.doi.org/10.3748/wjg.v27.i25.</w:t>
      </w:r>
      <w:r w:rsidR="008E12C1" w:rsidRPr="008E12C1">
        <w:rPr>
          <w:rFonts w:ascii="Book Antiqua" w:eastAsia="Book Antiqua" w:hAnsi="Book Antiqua" w:cs="Book Antiqua"/>
          <w:color w:val="000000"/>
        </w:rPr>
        <w:t>3790</w:t>
      </w:r>
    </w:p>
    <w:p w14:paraId="5D1A4E88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543A52D" w14:textId="68734F66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250E" w:rsidRPr="00B328B8">
        <w:rPr>
          <w:rFonts w:ascii="Book Antiqua" w:eastAsia="Book Antiqua" w:hAnsi="Book Antiqua" w:cs="Book Antiqua"/>
          <w:color w:val="000000"/>
        </w:rPr>
        <w:t xml:space="preserve">A </w:t>
      </w:r>
      <w:r w:rsidR="00283ED9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83ED9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83ED9"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83ED9" w:rsidRPr="00FF63FF">
        <w:rPr>
          <w:rFonts w:ascii="Book Antiqua" w:eastAsia="Book Antiqua" w:hAnsi="Book Antiqua" w:cs="Book Antiqua"/>
          <w:color w:val="000000"/>
        </w:rPr>
        <w:t>(HBV)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depends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anti-HBV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A250E" w:rsidRPr="00FF63FF">
        <w:rPr>
          <w:rFonts w:ascii="Book Antiqua" w:eastAsia="Book Antiqua" w:hAnsi="Book Antiqua" w:cs="Book Antiqua"/>
          <w:color w:val="000000"/>
        </w:rPr>
        <w:t xml:space="preserve">method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A67C8" w:rsidRPr="00FF63FF">
        <w:rPr>
          <w:rFonts w:ascii="Book Antiqua" w:eastAsia="Book Antiqua" w:hAnsi="Book Antiqua" w:cs="Book Antiqua"/>
          <w:color w:val="000000"/>
        </w:rPr>
        <w:t>investigate all aspects of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However,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is</w:t>
      </w:r>
      <w:r w:rsidR="007D73AD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still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A67C8" w:rsidRPr="00FF63FF">
        <w:rPr>
          <w:rFonts w:ascii="Book Antiqua" w:eastAsia="Book Antiqua" w:hAnsi="Book Antiqua" w:cs="Book Antiqua"/>
          <w:color w:val="000000"/>
        </w:rPr>
        <w:t>not clear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insight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vaccination.</w:t>
      </w:r>
    </w:p>
    <w:p w14:paraId="4E0F7340" w14:textId="77777777" w:rsidR="00DA233F" w:rsidRPr="00FF63FF" w:rsidRDefault="00DA233F" w:rsidP="00DA221C">
      <w:pPr>
        <w:snapToGrid w:val="0"/>
        <w:spacing w:line="360" w:lineRule="auto"/>
        <w:jc w:val="both"/>
        <w:rPr>
          <w:rFonts w:ascii="Book Antiqua" w:hAnsi="Book Antiqua"/>
        </w:rPr>
        <w:sectPr w:rsidR="00DA233F" w:rsidRPr="00FF63FF" w:rsidSect="00FD2B6D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58482141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2309FC4" w14:textId="61250D51" w:rsidR="00A77B3E" w:rsidRPr="00FF63FF" w:rsidRDefault="00DA221C" w:rsidP="009A397F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(HBV)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hepatotropic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small,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enveloped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A67C8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Pr="00FF63FF">
        <w:rPr>
          <w:rFonts w:ascii="Book Antiqua" w:eastAsia="Book Antiqua" w:hAnsi="Book Antiqua" w:cs="Book Antiqua"/>
          <w:color w:val="000000"/>
        </w:rPr>
        <w:t>belongs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Hepadnaviridae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causes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7F2EDD" w:rsidRPr="00FF63FF">
        <w:rPr>
          <w:rFonts w:ascii="Book Antiqua" w:eastAsia="Book Antiqua" w:hAnsi="Book Antiqua" w:cs="Book Antiqua"/>
          <w:color w:val="000000"/>
        </w:rPr>
        <w:t>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The duration of infection is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7F2EDD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ranging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</w:t>
      </w:r>
      <w:r w:rsidR="00D154B9">
        <w:rPr>
          <w:rFonts w:ascii="Book Antiqua" w:eastAsia="Book Antiqua" w:hAnsi="Book Antiqua" w:cs="Book Antiqua" w:hint="eastAsia"/>
          <w:color w:val="000000"/>
        </w:rPr>
        <w:t>e</w:t>
      </w:r>
      <w:r w:rsidR="00D154B9">
        <w:rPr>
          <w:rFonts w:ascii="Book Antiqua" w:eastAsia="Book Antiqua" w:hAnsi="Book Antiqua" w:cs="Book Antiqua"/>
          <w:color w:val="000000"/>
        </w:rPr>
        <w:t>e</w:t>
      </w:r>
      <w:r w:rsidRPr="00FF63FF">
        <w:rPr>
          <w:rFonts w:ascii="Book Antiqua" w:eastAsia="Book Antiqua" w:hAnsi="Book Antiqua" w:cs="Book Antiqua"/>
          <w:color w:val="000000"/>
        </w:rPr>
        <w:t>k</w:t>
      </w:r>
      <w:r w:rsidR="00D154B9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</w:t>
      </w:r>
      <w:r w:rsidR="00D154B9">
        <w:rPr>
          <w:rFonts w:ascii="Book Antiqua" w:eastAsia="Book Antiqua" w:hAnsi="Book Antiqua" w:cs="Book Antiqua"/>
          <w:color w:val="000000"/>
        </w:rPr>
        <w:t>nths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(CHB)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infection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whose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against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and is </w:t>
      </w:r>
      <w:r w:rsidRPr="00FF63FF">
        <w:rPr>
          <w:rFonts w:ascii="Book Antiqua" w:eastAsia="Book Antiqua" w:hAnsi="Book Antiqua" w:cs="Book Antiqua"/>
          <w:color w:val="000000"/>
        </w:rPr>
        <w:t>characterize</w:t>
      </w:r>
      <w:r w:rsidR="007F2EDD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F2EDD" w:rsidRPr="00FF63FF">
        <w:rPr>
          <w:rFonts w:ascii="Book Antiqua" w:eastAsia="Book Antiqua" w:hAnsi="Book Antiqua" w:cs="Book Antiqua"/>
          <w:color w:val="000000"/>
        </w:rPr>
        <w:t>sero</w:t>
      </w:r>
      <w:r w:rsidRPr="00FF63FF">
        <w:rPr>
          <w:rFonts w:ascii="Book Antiqua" w:eastAsia="Book Antiqua" w:hAnsi="Book Antiqua" w:cs="Book Antiqua"/>
          <w:color w:val="000000"/>
        </w:rPr>
        <w:t>positiv</w:t>
      </w:r>
      <w:r w:rsidR="007F2EDD" w:rsidRPr="00FF63FF">
        <w:rPr>
          <w:rFonts w:ascii="Book Antiqua" w:eastAsia="Book Antiqua" w:hAnsi="Book Antiqua" w:cs="Book Antiqua"/>
          <w:color w:val="000000"/>
        </w:rPr>
        <w:t>ity</w:t>
      </w:r>
      <w:proofErr w:type="spellEnd"/>
      <w:r w:rsidR="007F2EDD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It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advanced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cirrhosis,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7F2EDD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(HCC).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cannot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completely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cured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currently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because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existence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covalently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closed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circular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cccDNA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the cell </w:t>
      </w:r>
      <w:r w:rsidRPr="00FF63FF">
        <w:rPr>
          <w:rFonts w:ascii="Book Antiqua" w:eastAsia="Book Antiqua" w:hAnsi="Book Antiqua" w:cs="Book Antiqua"/>
          <w:color w:val="000000"/>
        </w:rPr>
        <w:t>nucleus,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it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controlled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F63F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(</w:t>
      </w:r>
      <w:proofErr w:type="gramEnd"/>
      <w:r w:rsidRPr="00FF63FF">
        <w:rPr>
          <w:rFonts w:ascii="Book Antiqua" w:eastAsia="Book Antiqua" w:hAnsi="Book Antiqua" w:cs="Book Antiqua"/>
          <w:color w:val="000000"/>
        </w:rPr>
        <w:t>t)ide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analogs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(NUCs)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interferon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(IFN).</w:t>
      </w:r>
    </w:p>
    <w:p w14:paraId="7E6E0448" w14:textId="2C1F9131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against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key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cure,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>involves both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innate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7F2EDD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produce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IFN</w:t>
      </w:r>
      <w:r w:rsidR="007F2EDD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which </w:t>
      </w:r>
      <w:r w:rsidRPr="00FF63FF">
        <w:rPr>
          <w:rFonts w:ascii="Book Antiqua" w:eastAsia="Book Antiqua" w:hAnsi="Book Antiqua" w:cs="Book Antiqua"/>
          <w:color w:val="000000"/>
        </w:rPr>
        <w:t>inhibit</w:t>
      </w:r>
      <w:r w:rsidR="007F2EDD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packaging</w:t>
      </w:r>
      <w:r w:rsidR="007F2EDD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clearance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is accompanied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asymptomatic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flulike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symptoms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Dysfunction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exhaustion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7F2EDD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numbers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dysfunction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dendritic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F2EDD" w:rsidRPr="00FF63FF">
        <w:rPr>
          <w:rFonts w:ascii="Book Antiqua" w:eastAsia="Book Antiqua" w:hAnsi="Book Antiqua" w:cs="Book Antiqua"/>
          <w:color w:val="000000"/>
        </w:rPr>
        <w:t xml:space="preserve">cells </w:t>
      </w:r>
      <w:r w:rsidRPr="00FF63FF">
        <w:rPr>
          <w:rFonts w:ascii="Book Antiqua" w:eastAsia="Book Antiqua" w:hAnsi="Book Antiqua" w:cs="Book Antiqua"/>
          <w:color w:val="000000"/>
        </w:rPr>
        <w:t>(DCs)</w:t>
      </w:r>
      <w:r w:rsidR="009C7178" w:rsidRPr="00FF63FF">
        <w:rPr>
          <w:rFonts w:ascii="Book Antiqua" w:eastAsia="Book Antiqua" w:hAnsi="Book Antiqua" w:cs="Book Antiqua"/>
          <w:color w:val="000000"/>
        </w:rPr>
        <w:t xml:space="preserve">, </w:t>
      </w:r>
      <w:r w:rsidRPr="00FF63FF">
        <w:rPr>
          <w:rFonts w:ascii="Book Antiqua" w:eastAsia="Book Antiqua" w:hAnsi="Book Antiqua" w:cs="Book Antiqua"/>
          <w:color w:val="000000"/>
        </w:rPr>
        <w:t>nature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killer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(NK)</w:t>
      </w:r>
      <w:r w:rsidR="007F2EDD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NKT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are immune responses seen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 infection,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upregulated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including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programmed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death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(PD-1),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cytotoxic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T-lymphocyte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(CTLA-4),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mucin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domain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-3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(Tim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F63FF">
        <w:rPr>
          <w:rFonts w:ascii="Book Antiqua" w:eastAsia="Book Antiqua" w:hAnsi="Book Antiqua" w:cs="Book Antiqua"/>
          <w:color w:val="000000"/>
        </w:rPr>
        <w:t>)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[2-6]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Innate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are also </w:t>
      </w:r>
      <w:proofErr w:type="spellStart"/>
      <w:r w:rsidR="00813849" w:rsidRPr="00FF63FF">
        <w:rPr>
          <w:rFonts w:ascii="Book Antiqua" w:eastAsia="Book Antiqua" w:hAnsi="Book Antiqua" w:cs="Book Antiqua"/>
          <w:color w:val="000000"/>
        </w:rPr>
        <w:t>downregulated</w:t>
      </w:r>
      <w:proofErr w:type="spellEnd"/>
      <w:r w:rsidR="00813849" w:rsidRPr="00FF63FF">
        <w:rPr>
          <w:rFonts w:ascii="Book Antiqua" w:eastAsia="Book Antiqua" w:hAnsi="Book Antiqua" w:cs="Book Antiqua"/>
          <w:color w:val="000000"/>
        </w:rPr>
        <w:t xml:space="preserve"> during CHB infection, with </w:t>
      </w:r>
      <w:r w:rsidRPr="00FF63FF">
        <w:rPr>
          <w:rFonts w:ascii="Book Antiqua" w:eastAsia="Book Antiqua" w:hAnsi="Book Antiqua" w:cs="Book Antiqua"/>
          <w:color w:val="000000"/>
        </w:rPr>
        <w:t>dysfunction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Pr="00FF63FF">
        <w:rPr>
          <w:rFonts w:ascii="Book Antiqua" w:eastAsia="Book Antiqua" w:hAnsi="Book Antiqua" w:cs="Book Antiqua"/>
          <w:color w:val="000000"/>
        </w:rPr>
        <w:t>toll-like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(TLRs)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>contribute 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inducing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robust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IFN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suppressing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replication.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summarize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current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knowledge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of the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relevance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understanding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1).</w:t>
      </w:r>
    </w:p>
    <w:p w14:paraId="5DA73571" w14:textId="51C37467" w:rsidR="00A77B3E" w:rsidRPr="00FF63FF" w:rsidRDefault="0060181C" w:rsidP="00DA22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i</w:t>
      </w:r>
      <w:r w:rsidR="00DA221C" w:rsidRPr="00FF63FF">
        <w:rPr>
          <w:rFonts w:ascii="Book Antiqua" w:eastAsia="Book Antiqua" w:hAnsi="Book Antiqua" w:cs="Book Antiqua"/>
          <w:color w:val="000000"/>
        </w:rPr>
        <w:t>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>includes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813849" w:rsidRP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(TCR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813849" w:rsidRP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(BCR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of the </w:t>
      </w:r>
      <w:r w:rsidR="00DA221C"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system.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expressed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membrane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expressed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maintain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balance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recognize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amounts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types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αβT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γδT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according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lastRenderedPageBreak/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In </w:t>
      </w:r>
      <w:r w:rsidR="00DA221C" w:rsidRPr="00FF63FF">
        <w:rPr>
          <w:rFonts w:ascii="Book Antiqua" w:eastAsia="Book Antiqua" w:hAnsi="Book Antiqua" w:cs="Book Antiqua"/>
          <w:color w:val="000000"/>
        </w:rPr>
        <w:t>αβT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are </w:t>
      </w:r>
      <w:r w:rsidR="00DA221C" w:rsidRPr="00FF63FF">
        <w:rPr>
          <w:rFonts w:ascii="Book Antiqua" w:eastAsia="Book Antiqua" w:hAnsi="Book Antiqua" w:cs="Book Antiqua"/>
          <w:color w:val="000000"/>
        </w:rPr>
        <w:t>composed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alpha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813849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γδT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consist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gamma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delta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consists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complementar</w:t>
      </w:r>
      <w:r w:rsidR="00813849" w:rsidRPr="00FF63FF">
        <w:rPr>
          <w:rFonts w:ascii="Book Antiqua" w:eastAsia="Book Antiqua" w:hAnsi="Book Antiqua" w:cs="Book Antiqua"/>
          <w:color w:val="000000"/>
        </w:rPr>
        <w:t>ity-</w:t>
      </w:r>
      <w:r w:rsidR="00DA221C" w:rsidRPr="00FF63FF">
        <w:rPr>
          <w:rFonts w:ascii="Book Antiqua" w:eastAsia="Book Antiqua" w:hAnsi="Book Antiqua" w:cs="Book Antiqua"/>
          <w:color w:val="000000"/>
        </w:rPr>
        <w:t>determining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(CDRs)</w:t>
      </w:r>
      <w:r w:rsidR="008138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determine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specificity</w:t>
      </w:r>
      <w:r w:rsidR="008138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four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frame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(FRs).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random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selection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(V),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(D),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joining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(J)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813849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consists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13849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="00DA221C" w:rsidRPr="00FF63FF">
        <w:rPr>
          <w:rFonts w:ascii="Book Antiqua" w:eastAsia="Book Antiqua" w:hAnsi="Book Antiqua" w:cs="Book Antiqua"/>
          <w:color w:val="000000"/>
        </w:rPr>
        <w:t>vast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number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segments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</w:t>
      </w:r>
      <w:r w:rsidR="008A30B2" w:rsidRPr="00FF63FF">
        <w:rPr>
          <w:rFonts w:ascii="Book Antiqua" w:eastAsia="Book Antiqua" w:hAnsi="Book Antiqua" w:cs="Book Antiqua"/>
          <w:color w:val="000000"/>
        </w:rPr>
        <w:t>nts</w:t>
      </w:r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alpha/beta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delta/gamma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pairing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development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</w:rPr>
        <w:t>)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antibod</w:t>
      </w:r>
      <w:r w:rsidR="008A30B2" w:rsidRPr="00FF63FF">
        <w:rPr>
          <w:rFonts w:ascii="Book Antiqua" w:eastAsia="Book Antiqua" w:hAnsi="Book Antiqua" w:cs="Book Antiqua"/>
          <w:color w:val="000000"/>
        </w:rPr>
        <w:t>ies</w:t>
      </w:r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induces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Y-shaped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composed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large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8A30B2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immunoglobulin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locus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small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8A30B2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lambda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locus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(IGL)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kappa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locus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(IGK).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J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families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like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 those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8A30B2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light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encoded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only </w:t>
      </w:r>
      <w:r w:rsidR="00DA221C"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families.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stimulation,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V(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</w:rPr>
        <w:t>D)J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is </w:t>
      </w:r>
      <w:r w:rsidR="00DA221C" w:rsidRPr="00FF63FF">
        <w:rPr>
          <w:rFonts w:ascii="Book Antiqua" w:eastAsia="Book Antiqua" w:hAnsi="Book Antiqua" w:cs="Book Antiqua"/>
          <w:color w:val="000000"/>
        </w:rPr>
        <w:t>mediated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several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enzyme</w:t>
      </w:r>
      <w:r w:rsidR="008A30B2" w:rsidRP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recombination-activating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(RAG1/RAG2)</w:t>
      </w:r>
      <w:r w:rsidR="008A30B2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>R</w:t>
      </w:r>
      <w:r w:rsidR="00DA221C" w:rsidRPr="00FF63FF">
        <w:rPr>
          <w:rFonts w:ascii="Book Antiqua" w:eastAsia="Book Antiqua" w:hAnsi="Book Antiqua" w:cs="Book Antiqua"/>
          <w:color w:val="000000"/>
        </w:rPr>
        <w:t>andom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additions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deletions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V-D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D-J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(V-J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light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joining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contribute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Ig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post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8A30B2" w:rsidRP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stimulation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complicated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="00DA221C" w:rsidRPr="00FF63FF">
        <w:rPr>
          <w:rFonts w:ascii="Book Antiqua" w:eastAsia="Book Antiqua" w:hAnsi="Book Antiqua" w:cs="Book Antiqua"/>
          <w:color w:val="000000"/>
        </w:rPr>
        <w:t>includes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hypermutation</w:t>
      </w:r>
      <w:proofErr w:type="spellEnd"/>
      <w:r w:rsidR="008A30B2" w:rsidRPr="00FF63FF">
        <w:rPr>
          <w:rFonts w:ascii="Book Antiqua" w:eastAsia="Book Antiqua" w:hAnsi="Book Antiqua" w:cs="Book Antiqua"/>
          <w:color w:val="000000"/>
        </w:rPr>
        <w:t>, 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programmed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mutation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process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whereby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introduced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nucleotide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development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8A30B2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The response also includes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conversion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asymmetrical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segregation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replication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leads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nonreciprocal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strands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apparent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conversion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allele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another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8A30B2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Finally, </w:t>
      </w:r>
      <w:r w:rsidR="00DA221C" w:rsidRPr="00FF63FF">
        <w:rPr>
          <w:rFonts w:ascii="Book Antiqua" w:eastAsia="Book Antiqua" w:hAnsi="Book Antiqua" w:cs="Book Antiqua"/>
          <w:color w:val="000000"/>
        </w:rPr>
        <w:t>class-switch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recombination</w:t>
      </w:r>
      <w:r w:rsidR="008A30B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B-lymphocyte </w:t>
      </w:r>
      <w:r w:rsidR="00DA221C"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rearrangement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substitution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30B2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heavy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expressed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allows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a change of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effector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while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</w:t>
      </w:r>
      <w:r w:rsidR="00FF63FF">
        <w:rPr>
          <w:rFonts w:ascii="Book Antiqua" w:eastAsia="Book Antiqua" w:hAnsi="Book Antiqua" w:cs="Book Antiqua"/>
          <w:color w:val="000000"/>
        </w:rPr>
        <w:t>-</w:t>
      </w:r>
      <w:r w:rsidR="00DA221C" w:rsidRPr="00FF63FF">
        <w:rPr>
          <w:rFonts w:ascii="Book Antiqua" w:eastAsia="Book Antiqua" w:hAnsi="Book Antiqua" w:cs="Book Antiqua"/>
          <w:color w:val="000000"/>
        </w:rPr>
        <w:t>binding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specificity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</w:t>
      </w:r>
      <w:r w:rsidR="0024634A" w:rsidRPr="00B328B8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 the </w:t>
      </w:r>
      <w:r w:rsidR="00DA221C"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region)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remains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same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="0024634A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These three </w:t>
      </w:r>
      <w:r w:rsidR="00FF63FF" w:rsidRPr="00FF63FF">
        <w:rPr>
          <w:rFonts w:ascii="Book Antiqua" w:eastAsia="Book Antiqua" w:hAnsi="Book Antiqua" w:cs="Book Antiqua"/>
          <w:color w:val="000000"/>
        </w:rPr>
        <w:t>responses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resulting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differences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IgG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IgE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IgA,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IgD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IgM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</w:p>
    <w:p w14:paraId="72BA107B" w14:textId="7D6A9CC5" w:rsidR="00A77B3E" w:rsidRPr="00FF63FF" w:rsidRDefault="00DA221C" w:rsidP="00DA22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ability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recognize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central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immunity.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coreceptors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costimulatory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has </w:t>
      </w:r>
      <w:r w:rsidRPr="00FF63FF">
        <w:rPr>
          <w:rFonts w:ascii="Book Antiqua" w:eastAsia="Book Antiqua" w:hAnsi="Book Antiqua" w:cs="Book Antiqua"/>
          <w:color w:val="000000"/>
        </w:rPr>
        <w:t>not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exquisite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specificity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(Figure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24634A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consists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an </w:t>
      </w:r>
      <w:r w:rsidRPr="00FF63FF">
        <w:rPr>
          <w:rFonts w:ascii="Book Antiqua" w:eastAsia="Book Antiqua" w:hAnsi="Book Antiqua" w:cs="Book Antiqua"/>
          <w:color w:val="000000"/>
        </w:rPr>
        <w:t>antigen-binding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α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heterodimer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4634A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ε,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δ,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γ),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homodimer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ζ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tyrosine-based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4634A" w:rsidRPr="00FF63FF">
        <w:rPr>
          <w:rFonts w:ascii="Book Antiqua" w:eastAsia="Book Antiqua" w:hAnsi="Book Antiqua" w:cs="Book Antiqua"/>
          <w:color w:val="000000"/>
        </w:rPr>
        <w:t>immunoreceptor</w:t>
      </w:r>
      <w:proofErr w:type="spellEnd"/>
      <w:r w:rsidR="0024634A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motif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(ITAM)</w:t>
      </w:r>
      <w:r w:rsidR="0024634A" w:rsidRPr="00FF63FF">
        <w:rPr>
          <w:rFonts w:ascii="Book Antiqua" w:eastAsia="Book Antiqua" w:hAnsi="Book Antiqua" w:cs="Book Antiqua"/>
          <w:color w:val="000000"/>
        </w:rPr>
        <w:t>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ζ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 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phosphorylation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residues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ITAMs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enables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</w:t>
      </w:r>
      <w:r w:rsidR="00B65E3F" w:rsidRPr="00FF63FF">
        <w:rPr>
          <w:rFonts w:ascii="Book Antiqua" w:eastAsia="Book Antiqua" w:hAnsi="Book Antiqua" w:cs="Book Antiqua"/>
          <w:color w:val="000000"/>
        </w:rPr>
        <w:t>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cytosolic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kinase-zeta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7D73AD">
        <w:rPr>
          <w:rFonts w:ascii="Book Antiqua" w:eastAsia="Book Antiqua" w:hAnsi="Book Antiqua" w:cs="Book Antiqua"/>
          <w:color w:val="000000"/>
        </w:rPr>
        <w:t>TCR</w:t>
      </w:r>
      <w:r w:rsidR="00B65E3F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70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(ZAP-70),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followed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coreceptors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m</w:t>
      </w:r>
      <w:r w:rsidR="00DE78EF" w:rsidRPr="00DE78EF">
        <w:rPr>
          <w:rFonts w:ascii="Book Antiqua" w:eastAsia="Book Antiqua" w:hAnsi="Book Antiqua" w:cs="Book Antiqua"/>
          <w:color w:val="000000"/>
        </w:rPr>
        <w:t>ajor histocompatibility complex</w:t>
      </w:r>
      <w:r w:rsidR="00DE78EF">
        <w:rPr>
          <w:rFonts w:ascii="Book Antiqua" w:eastAsia="Book Antiqua" w:hAnsi="Book Antiqua" w:cs="Book Antiqua"/>
          <w:color w:val="000000"/>
        </w:rPr>
        <w:t xml:space="preserve"> (</w:t>
      </w:r>
      <w:r w:rsidRPr="00FF63FF">
        <w:rPr>
          <w:rFonts w:ascii="Book Antiqua" w:eastAsia="Book Antiqua" w:hAnsi="Book Antiqua" w:cs="Book Antiqua"/>
          <w:color w:val="000000"/>
        </w:rPr>
        <w:t>MHC</w:t>
      </w:r>
      <w:r w:rsidR="00DE78E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class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class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ZAP-70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eads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membrane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recruitment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phospholipase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C-γ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(PLC-γ),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initiates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that involve </w:t>
      </w:r>
      <w:r w:rsidRPr="00FF63FF">
        <w:rPr>
          <w:rFonts w:ascii="Book Antiqua" w:eastAsia="Book Antiqua" w:hAnsi="Book Antiqua" w:cs="Book Antiqua"/>
          <w:color w:val="000000"/>
        </w:rPr>
        <w:t>activation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nuclear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(NFAT),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nuclear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kappa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(NF-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κB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ctivator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5E3F" w:rsidRPr="00FF63FF">
        <w:rPr>
          <w:rFonts w:ascii="Book Antiqua" w:eastAsia="Book Antiqua" w:hAnsi="Book Antiqua" w:cs="Book Antiqua"/>
          <w:color w:val="000000"/>
        </w:rPr>
        <w:t>p</w:t>
      </w:r>
      <w:r w:rsidRPr="00FF63FF">
        <w:rPr>
          <w:rFonts w:ascii="Book Antiqua" w:eastAsia="Book Antiqua" w:hAnsi="Book Antiqua" w:cs="Book Antiqua"/>
          <w:color w:val="000000"/>
        </w:rPr>
        <w:t>rotein-1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(AP-1)</w:t>
      </w:r>
      <w:r w:rsidR="00157C49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Antigen detection thus </w:t>
      </w:r>
      <w:r w:rsidRPr="00FF63FF">
        <w:rPr>
          <w:rFonts w:ascii="Book Antiqua" w:eastAsia="Book Antiqua" w:hAnsi="Book Antiqua" w:cs="Book Antiqua"/>
          <w:color w:val="000000"/>
        </w:rPr>
        <w:t>results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differentiation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 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proliferation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that characterize the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response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>includes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cell-surface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invariant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proteins</w:t>
      </w:r>
      <w:r w:rsidR="00157C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Ig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α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Ig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β,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of which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single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ITAM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cytosolic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tails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enable</w:t>
      </w:r>
      <w:r w:rsidR="00157C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>initiation 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7D73AD">
        <w:rPr>
          <w:rFonts w:ascii="Book Antiqua" w:eastAsia="Book Antiqua" w:hAnsi="Book Antiqua" w:cs="Book Antiqua"/>
          <w:color w:val="000000"/>
        </w:rPr>
        <w:t xml:space="preserve">BCR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binds to an </w:t>
      </w:r>
      <w:r w:rsidRPr="00FF63FF">
        <w:rPr>
          <w:rFonts w:ascii="Book Antiqua" w:eastAsia="Book Antiqua" w:hAnsi="Book Antiqua" w:cs="Book Antiqua"/>
          <w:color w:val="000000"/>
        </w:rPr>
        <w:t>antigen.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logic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similar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E78EF">
        <w:rPr>
          <w:rFonts w:ascii="Book Antiqua" w:eastAsia="Book Antiqua" w:hAnsi="Book Antiqua" w:cs="Book Antiqua"/>
          <w:color w:val="000000"/>
        </w:rPr>
        <w:t>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components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157C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multivalent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cross-links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Src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-family,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Fyn,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Blk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Pr="00FF63FF">
        <w:rPr>
          <w:rFonts w:ascii="Book Antiqua" w:eastAsia="Book Antiqua" w:hAnsi="Book Antiqua" w:cs="Book Antiqua"/>
          <w:color w:val="000000"/>
        </w:rPr>
        <w:t>Lyn</w:t>
      </w:r>
      <w:r w:rsidR="00157C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phosphorylate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ITAM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residues,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creates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cytosolic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</w:t>
      </w:r>
      <w:r w:rsidR="00157C4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</w:t>
      </w:r>
      <w:r w:rsidR="00157C49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spleen</w:t>
      </w:r>
      <w:r w:rsidR="00157C49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Syk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Syk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phosphorylate</w:t>
      </w:r>
      <w:r w:rsidR="00157C49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enzyme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PLC-γ,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initiates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just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57C49" w:rsidRPr="00FF63FF">
        <w:rPr>
          <w:rFonts w:ascii="Book Antiqua" w:eastAsia="Book Antiqua" w:hAnsi="Book Antiqua" w:cs="Book Antiqua"/>
          <w:color w:val="000000"/>
        </w:rPr>
        <w:t>as occurs 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TCR</w:t>
      </w:r>
      <w:r w:rsidR="00157C49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19,20]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6717361E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840B6C" w14:textId="5C6E675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ANALYSIS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METHODOLOGY</w:t>
      </w:r>
    </w:p>
    <w:p w14:paraId="5687FA17" w14:textId="19E429D2" w:rsidR="00A77B3E" w:rsidRPr="00FF63FF" w:rsidRDefault="00157C49" w:rsidP="00B328B8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H</w:t>
      </w:r>
      <w:r w:rsidR="00DA221C" w:rsidRPr="00FF63FF">
        <w:rPr>
          <w:rFonts w:ascii="Book Antiqua" w:eastAsia="Book Antiqua" w:hAnsi="Book Antiqua" w:cs="Book Antiqua"/>
          <w:color w:val="000000"/>
        </w:rPr>
        <w:t>igh-throughput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(HTS)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increase</w:t>
      </w:r>
      <w:r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range,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complexity,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sensitivity,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accuracy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="00DA221C" w:rsidRPr="00FF63FF">
        <w:rPr>
          <w:rFonts w:ascii="Book Antiqua" w:eastAsia="Book Antiqua" w:hAnsi="Book Antiqua" w:cs="Book Antiqua"/>
          <w:color w:val="000000"/>
        </w:rPr>
        <w:t>great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increas</w:t>
      </w:r>
      <w:r w:rsidRPr="00FF63FF">
        <w:rPr>
          <w:rFonts w:ascii="Book Antiqua" w:eastAsia="Book Antiqua" w:hAnsi="Book Antiqua" w:cs="Book Antiqua"/>
          <w:color w:val="000000"/>
        </w:rPr>
        <w:t xml:space="preserve">e in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scale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operation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number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nucleotides,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number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copies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nucleotide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sequenced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DE148E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Investigation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has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 thus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become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effective</w:t>
      </w:r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convenient</w:t>
      </w:r>
      <w:r w:rsidR="00DE148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less costly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depth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amount of </w:t>
      </w:r>
      <w:r w:rsidR="00DA221C"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obtained from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disease-specific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clones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provide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investigators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great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identify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individualized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common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clonality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infection.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phases of </w:t>
      </w:r>
      <w:r w:rsidR="00DA221C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start</w:t>
      </w:r>
      <w:r w:rsidR="00DE148E" w:rsidRPr="00FF63FF">
        <w:rPr>
          <w:rFonts w:ascii="Book Antiqua" w:eastAsia="Book Antiqua" w:hAnsi="Book Antiqua" w:cs="Book Antiqua"/>
          <w:color w:val="000000"/>
        </w:rPr>
        <w:t>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isolation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tissue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collection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(Figure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2).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collecting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patient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samples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and/or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clot</w:t>
      </w:r>
      <w:r w:rsidR="00DE148E" w:rsidRPr="00FF63FF">
        <w:rPr>
          <w:rFonts w:ascii="Book Antiqua" w:eastAsia="Book Antiqua" w:hAnsi="Book Antiqua" w:cs="Book Antiqua"/>
          <w:color w:val="000000"/>
        </w:rPr>
        <w:t>s</w:t>
      </w:r>
      <w:r w:rsidR="00DA221C" w:rsidRPr="00FF63FF">
        <w:rPr>
          <w:rFonts w:ascii="Book Antiqua" w:eastAsia="Book Antiqua" w:hAnsi="Book Antiqua" w:cs="Book Antiqua"/>
          <w:color w:val="000000"/>
        </w:rPr>
        <w:t>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extracted</w:t>
      </w:r>
      <w:r w:rsidR="00DE148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purified</w:t>
      </w:r>
      <w:r w:rsidR="00DE148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="00DA221C" w:rsidRPr="00FF63FF">
        <w:rPr>
          <w:rFonts w:ascii="Book Antiqua" w:eastAsia="Book Antiqua" w:hAnsi="Book Antiqua" w:cs="Book Antiqua"/>
          <w:color w:val="000000"/>
        </w:rPr>
        <w:t>sequenc</w:t>
      </w:r>
      <w:r w:rsidR="00DE148E" w:rsidRPr="00FF63FF">
        <w:rPr>
          <w:rFonts w:ascii="Book Antiqua" w:eastAsia="Book Antiqua" w:hAnsi="Book Antiqua" w:cs="Book Antiqua"/>
          <w:color w:val="000000"/>
        </w:rPr>
        <w:t>ed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DNA,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suitable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calculating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proportion</w:t>
      </w:r>
      <w:r w:rsidR="00DE148E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studying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functional/phenotypic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evolution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TCR/BCR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clonotypes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Therefore,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is recommended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choose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148E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study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activation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</w:p>
    <w:p w14:paraId="399238B8" w14:textId="628FC1FA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It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preparation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as that </w:t>
      </w:r>
      <w:r w:rsidRPr="00FF63FF">
        <w:rPr>
          <w:rFonts w:ascii="Book Antiqua" w:eastAsia="Book Antiqua" w:hAnsi="Book Antiqua" w:cs="Book Antiqua"/>
          <w:color w:val="000000"/>
        </w:rPr>
        <w:t>affects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accuracy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data.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next-generation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(NGS</w:t>
      </w:r>
      <w:r w:rsidR="00C17AE6" w:rsidRPr="00FF63FF">
        <w:rPr>
          <w:rFonts w:ascii="Book Antiqua" w:eastAsia="Book Antiqua" w:hAnsi="Book Antiqua" w:cs="Book Antiqua"/>
          <w:color w:val="000000"/>
        </w:rPr>
        <w:t>)-</w:t>
      </w:r>
      <w:r w:rsidRPr="00FF63FF">
        <w:rPr>
          <w:rFonts w:ascii="Book Antiqua" w:eastAsia="Book Antiqua" w:hAnsi="Book Antiqua" w:cs="Book Antiqua"/>
          <w:color w:val="000000"/>
        </w:rPr>
        <w:t>based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F63FF" w:rsidRPr="00FF63FF">
        <w:rPr>
          <w:rFonts w:ascii="Book Antiqua" w:eastAsia="Book Antiqua" w:hAnsi="Book Antiqua" w:cs="Book Antiqua"/>
          <w:color w:val="000000"/>
        </w:rPr>
        <w:t>currently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applied</w:t>
      </w:r>
      <w:r w:rsidR="00650DA0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convenient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straightforward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approach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samples.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Because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V segment is </w:t>
      </w:r>
      <w:r w:rsidRPr="00FF63FF">
        <w:rPr>
          <w:rFonts w:ascii="Book Antiqua" w:eastAsia="Book Antiqua" w:hAnsi="Book Antiqua" w:cs="Book Antiqua"/>
          <w:color w:val="000000"/>
        </w:rPr>
        <w:t>highly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incorporates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95E30">
        <w:rPr>
          <w:rFonts w:ascii="Book Antiqua" w:eastAsia="Book Antiqua" w:hAnsi="Book Antiqua" w:cs="Book Antiqua"/>
          <w:color w:val="000000"/>
        </w:rPr>
        <w:t>[constant (</w:t>
      </w:r>
      <w:r w:rsidRPr="00C95E30">
        <w:rPr>
          <w:rFonts w:ascii="Book Antiqua" w:eastAsia="Book Antiqua" w:hAnsi="Book Antiqua" w:cs="Book Antiqua"/>
          <w:color w:val="000000"/>
        </w:rPr>
        <w:t>C</w:t>
      </w:r>
      <w:r w:rsidR="00C95E30">
        <w:rPr>
          <w:rFonts w:ascii="Book Antiqua" w:eastAsia="Book Antiqua" w:hAnsi="Book Antiqua" w:cs="Book Antiqua"/>
          <w:color w:val="000000"/>
        </w:rPr>
        <w:t>)</w:t>
      </w:r>
      <w:r w:rsidR="00DA233F" w:rsidRPr="00C95E30">
        <w:rPr>
          <w:rFonts w:ascii="Book Antiqua" w:eastAsia="Book Antiqua" w:hAnsi="Book Antiqua" w:cs="Book Antiqua"/>
          <w:color w:val="000000"/>
        </w:rPr>
        <w:t xml:space="preserve"> </w:t>
      </w:r>
      <w:r w:rsidRPr="00C95E30">
        <w:rPr>
          <w:rFonts w:ascii="Book Antiqua" w:eastAsia="Book Antiqua" w:hAnsi="Book Antiqua" w:cs="Book Antiqua"/>
          <w:color w:val="000000"/>
        </w:rPr>
        <w:t>gene</w:t>
      </w:r>
      <w:r w:rsidR="00DA233F" w:rsidRPr="00C95E30">
        <w:rPr>
          <w:rFonts w:ascii="Book Antiqua" w:eastAsia="Book Antiqua" w:hAnsi="Book Antiqua" w:cs="Book Antiqua"/>
          <w:color w:val="000000"/>
        </w:rPr>
        <w:t xml:space="preserve"> </w:t>
      </w:r>
      <w:r w:rsidRPr="00C95E30">
        <w:rPr>
          <w:rFonts w:ascii="Book Antiqua" w:eastAsia="Book Antiqua" w:hAnsi="Book Antiqua" w:cs="Book Antiqua"/>
          <w:color w:val="000000"/>
        </w:rPr>
        <w:t>for</w:t>
      </w:r>
      <w:r w:rsidR="00DA233F" w:rsidRPr="00C95E30">
        <w:rPr>
          <w:rFonts w:ascii="Book Antiqua" w:eastAsia="Book Antiqua" w:hAnsi="Book Antiqua" w:cs="Book Antiqua"/>
          <w:color w:val="000000"/>
        </w:rPr>
        <w:t xml:space="preserve"> </w:t>
      </w:r>
      <w:r w:rsidRPr="00C95E30">
        <w:rPr>
          <w:rFonts w:ascii="Book Antiqua" w:eastAsia="Book Antiqua" w:hAnsi="Book Antiqua" w:cs="Book Antiqua"/>
          <w:color w:val="000000"/>
        </w:rPr>
        <w:t>mRNA</w:t>
      </w:r>
      <w:r w:rsidR="00C95E30">
        <w:rPr>
          <w:rFonts w:ascii="Book Antiqua" w:eastAsia="Book Antiqua" w:hAnsi="Book Antiqua" w:cs="Book Antiqua"/>
          <w:color w:val="000000"/>
        </w:rPr>
        <w:t>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primers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TCR/BCR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50DA0" w:rsidRPr="00FF63FF">
        <w:rPr>
          <w:rFonts w:ascii="Book Antiqua" w:eastAsia="Book Antiqua" w:hAnsi="Book Antiqua" w:cs="Book Antiqua"/>
          <w:color w:val="000000"/>
        </w:rPr>
        <w:t>PCR with the 5’ RACE</w:t>
      </w:r>
      <w:r w:rsidR="00650DA0" w:rsidRPr="00FF63FF" w:rsidDel="00650DA0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method for r</w:t>
      </w:r>
      <w:r w:rsidRPr="00FF63FF">
        <w:rPr>
          <w:rFonts w:ascii="Book Antiqua" w:eastAsia="Book Antiqua" w:hAnsi="Book Antiqua" w:cs="Book Antiqua"/>
          <w:color w:val="000000"/>
        </w:rPr>
        <w:t>apid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cDNA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ends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,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</w:t>
      </w:r>
      <w:r w:rsidR="00650DA0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with </w:t>
      </w:r>
      <w:r w:rsidRPr="00FF63FF">
        <w:rPr>
          <w:rFonts w:ascii="Book Antiqua" w:eastAsia="Book Antiqua" w:hAnsi="Book Antiqua" w:cs="Book Antiqua"/>
          <w:color w:val="000000"/>
        </w:rPr>
        <w:t>mRNA</w:t>
      </w:r>
      <w:r w:rsidR="00650DA0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theoretically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avoid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bias.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reverse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transcribed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primer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targeting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known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3’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650DA0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5’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an </w:t>
      </w:r>
      <w:r w:rsidRPr="00FF63FF">
        <w:rPr>
          <w:rFonts w:ascii="Book Antiqua" w:eastAsia="Book Antiqua" w:hAnsi="Book Antiqua" w:cs="Book Antiqua"/>
          <w:color w:val="000000"/>
        </w:rPr>
        <w:t>unknown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synthetic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oligonucleotide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Other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methods </w:t>
      </w:r>
      <w:r w:rsidRPr="00FF63FF">
        <w:rPr>
          <w:rFonts w:ascii="Book Antiqua" w:eastAsia="Book Antiqua" w:hAnsi="Book Antiqua" w:cs="Book Antiqua"/>
          <w:color w:val="000000"/>
        </w:rPr>
        <w:t>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nchored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(AMP)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introduced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ligation-anchored-magnetically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captured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(TCR-LA-MC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introduced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Ruggiero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81B1B" w:rsidRPr="00FF63FF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 xml:space="preserve">designed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50DA0" w:rsidRPr="00FF63FF">
        <w:rPr>
          <w:rFonts w:ascii="Book Antiqua" w:eastAsia="Book Antiqua" w:hAnsi="Book Antiqua" w:cs="Book Antiqua"/>
          <w:color w:val="000000"/>
        </w:rPr>
        <w:t>avoid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sensitivity.</w:t>
      </w:r>
    </w:p>
    <w:p w14:paraId="3996C80E" w14:textId="7CAAC462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fourth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phase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74802">
        <w:rPr>
          <w:rFonts w:ascii="Book Antiqua" w:eastAsia="Book Antiqua" w:hAnsi="Book Antiqua" w:cs="Book Antiqua"/>
          <w:color w:val="000000"/>
        </w:rPr>
        <w:t>with</w:t>
      </w:r>
      <w:r w:rsidR="007B611C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HTS</w:t>
      </w:r>
      <w:r w:rsidR="006D4454" w:rsidRPr="00FF63FF">
        <w:rPr>
          <w:rFonts w:ascii="Book Antiqua" w:eastAsia="Book Antiqua" w:hAnsi="Book Antiqua" w:cs="Book Antiqua"/>
          <w:color w:val="000000"/>
        </w:rPr>
        <w:t>, 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has been used since </w:t>
      </w:r>
      <w:r w:rsidRPr="00FF63FF">
        <w:rPr>
          <w:rFonts w:ascii="Book Antiqua" w:eastAsia="Book Antiqua" w:hAnsi="Book Antiqua" w:cs="Book Antiqua"/>
          <w:color w:val="000000"/>
        </w:rPr>
        <w:t>2009.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widely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platforms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are the </w:t>
      </w:r>
      <w:r w:rsidRPr="00FF63FF">
        <w:rPr>
          <w:rFonts w:ascii="Book Antiqua" w:eastAsia="Book Antiqua" w:hAnsi="Book Antiqua" w:cs="Book Antiqua"/>
          <w:color w:val="000000"/>
        </w:rPr>
        <w:t>Roche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454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Illumina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Hi</w:t>
      </w:r>
      <w:r w:rsid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eq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platform.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C43E66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Roche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454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was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first </w:t>
      </w:r>
      <w:r w:rsidRPr="00FF63FF">
        <w:rPr>
          <w:rFonts w:ascii="Book Antiqua" w:eastAsia="Book Antiqua" w:hAnsi="Book Antiqua" w:cs="Book Antiqua"/>
          <w:color w:val="000000"/>
        </w:rPr>
        <w:t>HTS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platform</w:t>
      </w:r>
      <w:r w:rsidR="006D4454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It </w:t>
      </w:r>
      <w:r w:rsidRPr="00FF63FF">
        <w:rPr>
          <w:rFonts w:ascii="Book Antiqua" w:eastAsia="Book Antiqua" w:hAnsi="Book Antiqua" w:cs="Book Antiqua"/>
          <w:color w:val="000000"/>
        </w:rPr>
        <w:t>provides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an average </w:t>
      </w:r>
      <w:r w:rsidRPr="00FF63FF">
        <w:rPr>
          <w:rFonts w:ascii="Book Antiqua" w:eastAsia="Book Antiqua" w:hAnsi="Book Antiqua" w:cs="Book Antiqua"/>
          <w:color w:val="000000"/>
        </w:rPr>
        <w:t>500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bp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length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run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millions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repertoire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Illumina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Hi</w:t>
      </w:r>
      <w:r w:rsidR="00C43E66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eq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platform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shorter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length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read </w:t>
      </w:r>
      <w:r w:rsidRPr="00FF63FF">
        <w:rPr>
          <w:rFonts w:ascii="Book Antiqua" w:eastAsia="Book Antiqua" w:hAnsi="Book Antiqua" w:cs="Book Antiqua"/>
          <w:color w:val="000000"/>
        </w:rPr>
        <w:t>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lower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compared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6D4454" w:rsidRPr="00FF63FF">
        <w:rPr>
          <w:rFonts w:ascii="Book Antiqua" w:eastAsia="Book Antiqua" w:hAnsi="Book Antiqua" w:cs="Book Antiqua"/>
          <w:color w:val="000000"/>
        </w:rPr>
        <w:t xml:space="preserve">with the </w:t>
      </w:r>
      <w:r w:rsidRPr="00FF63FF">
        <w:rPr>
          <w:rFonts w:ascii="Book Antiqua" w:eastAsia="Book Antiqua" w:hAnsi="Book Antiqua" w:cs="Book Antiqua"/>
          <w:color w:val="000000"/>
        </w:rPr>
        <w:t>Roche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454,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demand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repertoire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20,29]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6885996D" w14:textId="3E3CE6CD" w:rsidR="00A77B3E" w:rsidRPr="00FF63FF" w:rsidRDefault="00DA221C" w:rsidP="00DA221C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fifth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phase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analyzing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 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with appropriate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bioinformatic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Many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computational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>are available 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analyze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including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IMGT/High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V-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QUEST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IgBLAST</w:t>
      </w:r>
      <w:proofErr w:type="spell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Decombinator</w:t>
      </w:r>
      <w:proofErr w:type="spell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pRESTO</w:t>
      </w:r>
      <w:proofErr w:type="spell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MiXCR</w:t>
      </w:r>
      <w:proofErr w:type="spell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bioinformatic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>can be used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VDJ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assignment,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annotation,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B611C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ength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identification,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insertion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deletion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mutation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spectrum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What’</w:t>
      </w:r>
      <w:r w:rsidR="00B74E66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nternational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D73AD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mmunogenetics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nformation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7D73AD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7D73AD" w:rsidRPr="007D73AD">
        <w:rPr>
          <w:rFonts w:ascii="Book Antiqua" w:eastAsia="Book Antiqua" w:hAnsi="Book Antiqua" w:cs="Book Antiqua"/>
          <w:color w:val="000000"/>
        </w:rPr>
        <w:t>ImMunoGeneTics</w:t>
      </w:r>
      <w:proofErr w:type="spellEnd"/>
      <w:r w:rsidR="007D73AD" w:rsidRPr="007D73AD">
        <w:rPr>
          <w:rFonts w:ascii="Book Antiqua" w:eastAsia="Book Antiqua" w:hAnsi="Book Antiqua" w:cs="Book Antiqua"/>
          <w:color w:val="000000"/>
        </w:rPr>
        <w:t xml:space="preserve"> database</w:t>
      </w:r>
      <w:r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</w:t>
      </w:r>
      <w:r w:rsidR="004B09D2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information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about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 BCR and 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Pr="00FF63FF">
        <w:rPr>
          <w:rFonts w:ascii="Book Antiqua" w:eastAsia="Book Antiqua" w:hAnsi="Book Antiqua" w:cs="Book Antiqua"/>
          <w:color w:val="000000"/>
        </w:rPr>
        <w:t>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genes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685BCA5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46EE425" w14:textId="7E6B5F9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CHARACTERISTICS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THE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INFECTION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PROGRESSION</w:t>
      </w:r>
    </w:p>
    <w:p w14:paraId="4D33262C" w14:textId="4426A71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B74E66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persist with an </w:t>
      </w:r>
      <w:r w:rsidRPr="00FF63FF">
        <w:rPr>
          <w:rFonts w:ascii="Book Antiqua" w:eastAsia="Book Antiqua" w:hAnsi="Book Antiqua" w:cs="Book Antiqua"/>
          <w:color w:val="000000"/>
        </w:rPr>
        <w:t>asymptomatic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carrier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status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or as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(CHB)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</w:t>
      </w:r>
      <w:r w:rsidR="00B74E66"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(CSHB),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cirrhosis,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HBV</w:t>
      </w:r>
      <w:r w:rsidRPr="00FF63FF">
        <w:rPr>
          <w:rFonts w:ascii="Book Antiqua" w:eastAsia="Book Antiqua" w:hAnsi="Book Antiqua" w:cs="Book Antiqua"/>
          <w:color w:val="000000"/>
        </w:rPr>
        <w:t>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(HBV-ACLF)</w:t>
      </w:r>
      <w:r w:rsidR="00B74E66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especially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characteristics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involve </w:t>
      </w:r>
      <w:r w:rsidRPr="00FF63FF">
        <w:rPr>
          <w:rFonts w:ascii="Book Antiqua" w:eastAsia="Book Antiqua" w:hAnsi="Book Antiqua" w:cs="Book Antiqua"/>
          <w:color w:val="000000"/>
        </w:rPr>
        <w:t>both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B74E66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B74E66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B74E66" w:rsidRPr="00FF63FF">
        <w:rPr>
          <w:rFonts w:ascii="Book Antiqua" w:eastAsia="Book Antiqua" w:hAnsi="Book Antiqua" w:cs="Book Antiqua"/>
          <w:color w:val="000000"/>
        </w:rPr>
        <w:t>ward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74E66" w:rsidRPr="00FF63FF">
        <w:rPr>
          <w:rFonts w:ascii="Book Antiqua" w:eastAsia="Book Antiqua" w:hAnsi="Book Antiqua" w:cs="Book Antiqua"/>
          <w:color w:val="000000"/>
        </w:rPr>
        <w:t xml:space="preserve">achieving a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cure</w:t>
      </w:r>
      <w:r w:rsidR="00B74E66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appears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depend</w:t>
      </w:r>
      <w:r w:rsidR="00872745">
        <w:rPr>
          <w:rFonts w:ascii="Book Antiqua" w:eastAsia="Book Antiqua" w:hAnsi="Book Antiqua" w:cs="Book Antiqua"/>
          <w:color w:val="000000"/>
        </w:rPr>
        <w:t>ent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 on </w:t>
      </w:r>
      <w:r w:rsidR="00B74E66" w:rsidRPr="00FF63FF">
        <w:rPr>
          <w:rFonts w:ascii="Book Antiqua" w:eastAsia="Book Antiqua" w:hAnsi="Book Antiqua" w:cs="Book Antiqua"/>
          <w:color w:val="000000"/>
        </w:rPr>
        <w:t>a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n </w:t>
      </w:r>
      <w:r w:rsidR="00FF63FF"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clear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virus.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Jiang </w:t>
      </w:r>
      <w:r w:rsidR="00E12BB9" w:rsidRPr="00FF63FF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E12BB9"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2BB9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12BB9" w:rsidRPr="00FF63FF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E12BB9" w:rsidRPr="00B328B8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analyzed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E12BB9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(TCRβ)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monozygotic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twins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control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by </w:t>
      </w:r>
      <w:r w:rsidR="00DE78EF">
        <w:rPr>
          <w:rFonts w:ascii="Book Antiqua" w:eastAsia="Book Antiqua" w:hAnsi="Book Antiqua" w:cs="Book Antiqua"/>
          <w:color w:val="000000"/>
        </w:rPr>
        <w:t>HTS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childhood</w:t>
      </w:r>
      <w:r w:rsidR="00E12BB9" w:rsidRPr="00FF63FF">
        <w:rPr>
          <w:rFonts w:ascii="Book Antiqua" w:eastAsia="Book Antiqua" w:hAnsi="Book Antiqua" w:cs="Book Antiqua"/>
          <w:color w:val="000000"/>
        </w:rPr>
        <w:t>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pairs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similarity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was found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average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segment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skewed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oligoclonal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clonotypes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Notably,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detailed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prognosis</w:t>
      </w:r>
      <w:r w:rsidR="00E12BB9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There was an increased abundance</w:t>
      </w:r>
      <w:r w:rsidR="00E12BB9" w:rsidRPr="00FF63FF" w:rsidDel="00E12BB9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of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immunodominant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clonotypes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E78EF">
        <w:rPr>
          <w:rFonts w:ascii="Book Antiqua" w:eastAsia="Book Antiqua" w:hAnsi="Book Antiqua" w:cs="Book Antiqua"/>
          <w:color w:val="000000"/>
        </w:rPr>
        <w:t>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PBMCs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four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p</w:t>
      </w:r>
      <w:r w:rsidRPr="00FF63FF">
        <w:rPr>
          <w:rFonts w:ascii="Book Antiqua" w:eastAsia="Book Antiqua" w:hAnsi="Book Antiqua" w:cs="Book Antiqua"/>
          <w:color w:val="000000"/>
        </w:rPr>
        <w:t>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demonstrated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TRBVβ12-4,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Vβ28,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Jβ2-1,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V7-2-01-J2-1,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V12-4-J1-1,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V28-1-J1-5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development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E12BB9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>N</w:t>
      </w:r>
      <w:r w:rsidRPr="00FF63FF">
        <w:rPr>
          <w:rFonts w:ascii="Book Antiqua" w:eastAsia="Book Antiqua" w:hAnsi="Book Antiqua" w:cs="Book Antiqua"/>
          <w:color w:val="000000"/>
        </w:rPr>
        <w:t>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observed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following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3E4C51CE" w14:textId="06886CC3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develop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50%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mortality</w:t>
      </w:r>
      <w:r w:rsidR="00E12BB9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and the rate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cells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38,39]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E78EF">
        <w:rPr>
          <w:rFonts w:ascii="Book Antiqua" w:eastAsia="Book Antiqua" w:hAnsi="Book Antiqua" w:cs="Book Antiqua"/>
          <w:color w:val="000000"/>
        </w:rPr>
        <w:t>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obtained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major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pathogenesis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CSHB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spectratype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predominant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expression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Vβ5,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Vβ7,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Vβ9,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Vβ12,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Vβ18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12BB9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addition,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JB1S1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JB2S7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present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frequency.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Furthermore,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conserved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amino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motifs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identified,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including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GSF,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involved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E12BB9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E12BB9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contrast,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PBMCs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possibly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>because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 w:rsidRPr="00DE78EF">
        <w:rPr>
          <w:rFonts w:ascii="Book Antiqua" w:eastAsia="Book Antiqua" w:hAnsi="Book Antiqua" w:cs="Book Antiqua"/>
          <w:color w:val="000000"/>
        </w:rPr>
        <w:t>human leukocyte antigen</w:t>
      </w:r>
      <w:r w:rsidR="00DE78EF">
        <w:rPr>
          <w:rFonts w:ascii="Book Antiqua" w:eastAsia="Book Antiqua" w:hAnsi="Book Antiqua" w:cs="Book Antiqua"/>
          <w:color w:val="000000"/>
        </w:rPr>
        <w:t xml:space="preserve"> (</w:t>
      </w:r>
      <w:r w:rsidRPr="00FF63FF">
        <w:rPr>
          <w:rFonts w:ascii="Book Antiqua" w:eastAsia="Book Antiqua" w:hAnsi="Book Antiqua" w:cs="Book Antiqua"/>
          <w:color w:val="000000"/>
        </w:rPr>
        <w:t>HLA</w:t>
      </w:r>
      <w:r w:rsidR="00DE78E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genotype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variants.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Interestingly,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</w:t>
      </w:r>
      <w:r w:rsidR="004B09D2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two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amino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conserved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AGEL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VYNEQ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BV7,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QDSVTTGAQ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 motifs,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expressed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 the “AGEL” </w:t>
      </w:r>
      <w:r w:rsidRPr="00FF63FF">
        <w:rPr>
          <w:rFonts w:ascii="Book Antiqua" w:eastAsia="Book Antiqua" w:hAnsi="Book Antiqua" w:cs="Book Antiqua"/>
          <w:color w:val="000000"/>
        </w:rPr>
        <w:t>TCRBV11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amino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short-term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8A6137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“VYNEQ” </w:t>
      </w:r>
      <w:r w:rsidRPr="00FF63FF">
        <w:rPr>
          <w:rFonts w:ascii="Book Antiqua" w:eastAsia="Book Antiqua" w:hAnsi="Book Antiqua" w:cs="Book Antiqua"/>
          <w:color w:val="000000"/>
        </w:rPr>
        <w:t>TCRBV11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sequence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6137" w:rsidRPr="00FF63FF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mmunostaining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biopsies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untreated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portal-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periportal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intralobular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frequencies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in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indicated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were </w:t>
      </w:r>
      <w:r w:rsidRPr="00FF63FF">
        <w:rPr>
          <w:rFonts w:ascii="Book Antiqua" w:eastAsia="Book Antiqua" w:hAnsi="Book Antiqua" w:cs="Book Antiqua"/>
          <w:color w:val="000000"/>
        </w:rPr>
        <w:t>also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>active in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micro-immune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environment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10EB344A" w14:textId="61B3409F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</w:t>
      </w:r>
      <w:r w:rsidR="00DA233F" w:rsidRPr="00FF63FF">
        <w:rPr>
          <w:rFonts w:ascii="Book Antiqua" w:eastAsia="Book Antiqua" w:hAnsi="Book Antiqua" w:cs="Book Antiqua"/>
          <w:color w:val="000000"/>
        </w:rPr>
        <w:t>BV</w:t>
      </w:r>
      <w:r w:rsidRPr="00FF63FF">
        <w:rPr>
          <w:rFonts w:ascii="Book Antiqua" w:eastAsia="Book Antiqua" w:hAnsi="Book Antiqua" w:cs="Book Antiqua"/>
          <w:color w:val="000000"/>
        </w:rPr>
        <w:t>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HBV-ACLF,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type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8A6137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It is </w:t>
      </w:r>
      <w:r w:rsidRPr="00FF63FF">
        <w:rPr>
          <w:rFonts w:ascii="Book Antiqua" w:eastAsia="Book Antiqua" w:hAnsi="Book Antiqua" w:cs="Book Antiqua"/>
          <w:color w:val="000000"/>
        </w:rPr>
        <w:t>characterized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rapid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deterioration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coagulopathy,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subsequent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multiple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organ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4B09D2">
        <w:rPr>
          <w:rFonts w:ascii="Book Antiqua" w:eastAsia="Book Antiqua" w:hAnsi="Book Antiqua" w:cs="Book Antiqua"/>
          <w:color w:val="000000"/>
        </w:rPr>
        <w:t xml:space="preserve"> 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28-</w:t>
      </w:r>
      <w:r w:rsidR="00E02530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mortality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Asia-Pacific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African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regions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studies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indicated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IL-17-producing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(Tc17)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8A6137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decrease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8A6137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an </w:t>
      </w:r>
      <w:r w:rsidRPr="00FF63FF">
        <w:rPr>
          <w:rFonts w:ascii="Book Antiqua" w:eastAsia="Book Antiqua" w:hAnsi="Book Antiqua" w:cs="Book Antiqua"/>
          <w:color w:val="000000"/>
        </w:rPr>
        <w:t>increase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in </w:t>
      </w:r>
      <w:r w:rsidRPr="00FF63FF">
        <w:rPr>
          <w:rFonts w:ascii="Book Antiqua" w:eastAsia="Book Antiqua" w:hAnsi="Book Antiqua" w:cs="Book Antiqua"/>
          <w:color w:val="000000"/>
        </w:rPr>
        <w:t>HBV-ACLF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[45-47]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Shen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E2F17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2F17" w:rsidRPr="00FF63FF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studied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E78EF">
        <w:rPr>
          <w:rFonts w:ascii="Book Antiqua" w:eastAsia="Book Antiqua" w:hAnsi="Book Antiqua" w:cs="Book Antiqua"/>
          <w:color w:val="000000"/>
        </w:rPr>
        <w:t>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demonstrated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60181C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positively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a </w:t>
      </w:r>
      <w:r w:rsidRPr="00FF63FF">
        <w:rPr>
          <w:rFonts w:ascii="Book Antiqua" w:eastAsia="Book Antiqua" w:hAnsi="Book Antiqua" w:cs="Book Antiqua"/>
          <w:color w:val="000000"/>
        </w:rPr>
        <w:t>reduction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odel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E</w:t>
      </w:r>
      <w:r w:rsidRPr="00FF63FF">
        <w:rPr>
          <w:rFonts w:ascii="Book Antiqua" w:eastAsia="Book Antiqua" w:hAnsi="Book Antiqua" w:cs="Book Antiqua"/>
          <w:color w:val="000000"/>
        </w:rPr>
        <w:t>nd-</w:t>
      </w:r>
      <w:r w:rsidR="00DE78E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tage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E78EF">
        <w:rPr>
          <w:rFonts w:ascii="Book Antiqua" w:eastAsia="Book Antiqua" w:hAnsi="Book Antiqua" w:cs="Book Antiqua"/>
          <w:color w:val="000000"/>
        </w:rPr>
        <w:t>D</w:t>
      </w:r>
      <w:r w:rsidRPr="00FF63FF">
        <w:rPr>
          <w:rFonts w:ascii="Book Antiqua" w:eastAsia="Book Antiqua" w:hAnsi="Book Antiqua" w:cs="Book Antiqua"/>
          <w:color w:val="000000"/>
        </w:rPr>
        <w:t>isease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score.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potential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marker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Pr="00FF63FF">
        <w:rPr>
          <w:rFonts w:ascii="Book Antiqua" w:eastAsia="Book Antiqua" w:hAnsi="Book Antiqua" w:cs="Book Antiqua"/>
          <w:color w:val="000000"/>
        </w:rPr>
        <w:t>disease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outcome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Yan </w:t>
      </w:r>
      <w:r w:rsidR="008A6137" w:rsidRPr="00FF63FF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8A6137" w:rsidRPr="00FF63FF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 analyzed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control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subjects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A6137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clonal expansion was more extensive in the </w:t>
      </w:r>
      <w:r w:rsidRPr="00FF63FF">
        <w:rPr>
          <w:rFonts w:ascii="Book Antiqua" w:eastAsia="Book Antiqua" w:hAnsi="Book Antiqua" w:cs="Book Antiqua"/>
          <w:color w:val="000000"/>
        </w:rPr>
        <w:t>ACLF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patients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distribution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ratio</w:t>
      </w:r>
      <w:r w:rsidR="003F62CA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Pr="00FF63FF">
        <w:rPr>
          <w:rFonts w:ascii="Book Antiqua" w:eastAsia="Book Antiqua" w:hAnsi="Book Antiqua" w:cs="Book Antiqua"/>
          <w:color w:val="000000"/>
        </w:rPr>
        <w:noBreakHyphen/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combinations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revealed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</w:t>
      </w:r>
      <w:r w:rsidR="003F62CA" w:rsidRPr="00FF63FF">
        <w:rPr>
          <w:rFonts w:ascii="Book Antiqua" w:eastAsia="Book Antiqua" w:hAnsi="Book Antiqua" w:cs="Book Antiqua"/>
          <w:color w:val="000000"/>
        </w:rPr>
        <w:t>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>with s</w:t>
      </w:r>
      <w:r w:rsidRPr="00FF63FF">
        <w:rPr>
          <w:rFonts w:ascii="Book Antiqua" w:eastAsia="Book Antiqua" w:hAnsi="Book Antiqua" w:cs="Book Antiqua"/>
          <w:color w:val="000000"/>
        </w:rPr>
        <w:t>ix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F62CA" w:rsidRPr="00FF63FF">
        <w:rPr>
          <w:rFonts w:ascii="Book Antiqua" w:eastAsia="Book Antiqua" w:hAnsi="Book Antiqua" w:cs="Book Antiqua"/>
          <w:color w:val="000000"/>
        </w:rPr>
        <w:t>upregulated</w:t>
      </w:r>
      <w:proofErr w:type="spellEnd"/>
      <w:r w:rsidR="003F62CA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F62CA" w:rsidRPr="00FF63FF">
        <w:rPr>
          <w:rFonts w:ascii="Book Antiqua" w:eastAsia="Book Antiqua" w:hAnsi="Book Antiqua" w:cs="Book Antiqua"/>
          <w:color w:val="000000"/>
        </w:rPr>
        <w:t>downregulated</w:t>
      </w:r>
      <w:proofErr w:type="spellEnd"/>
      <w:r w:rsidR="003F62CA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>in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ACLF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 patients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ACLF</w:t>
      </w:r>
      <w:r w:rsidRPr="00FF63FF">
        <w:rPr>
          <w:rFonts w:ascii="Book Antiqua" w:eastAsia="Book Antiqua" w:hAnsi="Book Antiqua" w:cs="Book Antiqua"/>
          <w:color w:val="000000"/>
        </w:rPr>
        <w:noBreakHyphen/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future therapeutic </w:t>
      </w:r>
      <w:r w:rsidRPr="00FF63FF">
        <w:rPr>
          <w:rFonts w:ascii="Book Antiqua" w:eastAsia="Book Antiqua" w:hAnsi="Book Antiqua" w:cs="Book Antiqua"/>
          <w:color w:val="000000"/>
        </w:rPr>
        <w:t>promise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Pr="00FF63FF">
        <w:rPr>
          <w:rFonts w:ascii="Book Antiqua" w:eastAsia="Book Antiqua" w:hAnsi="Book Antiqua" w:cs="Book Antiqua"/>
          <w:color w:val="000000"/>
        </w:rPr>
        <w:noBreakHyphen/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ACLF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2A41B64D" w14:textId="4694F891" w:rsidR="00A77B3E" w:rsidRPr="00FF63FF" w:rsidRDefault="00DA221C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cause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3F62CA" w:rsidRPr="00FF63FF">
        <w:rPr>
          <w:rFonts w:ascii="Book Antiqua" w:eastAsia="Book Antiqua" w:hAnsi="Book Antiqua" w:cs="Book Antiqua"/>
          <w:color w:val="000000"/>
        </w:rPr>
        <w:t>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estimated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>prevalence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44</w:t>
      </w:r>
      <w:r w:rsidR="001920E3" w:rsidRPr="00FF63FF">
        <w:rPr>
          <w:rFonts w:ascii="Book Antiqua" w:eastAsia="Book Antiqua" w:hAnsi="Book Antiqua" w:cs="Book Antiqua"/>
          <w:color w:val="000000"/>
        </w:rPr>
        <w:t>%</w:t>
      </w:r>
      <w:r w:rsidRPr="00FF63FF">
        <w:rPr>
          <w:rFonts w:ascii="Book Antiqua" w:eastAsia="Book Antiqua" w:hAnsi="Book Antiqua" w:cs="Book Antiqua"/>
          <w:color w:val="000000"/>
        </w:rPr>
        <w:t>-55%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worldwide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underlying </w:t>
      </w:r>
      <w:r w:rsidRPr="00FF63FF">
        <w:rPr>
          <w:rFonts w:ascii="Book Antiqua" w:eastAsia="Book Antiqua" w:hAnsi="Book Antiqua" w:cs="Book Antiqua"/>
          <w:color w:val="000000"/>
        </w:rPr>
        <w:t>HBV-related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other </w:t>
      </w:r>
      <w:r w:rsidRPr="00FF63FF">
        <w:rPr>
          <w:rFonts w:ascii="Book Antiqua" w:eastAsia="Book Antiqua" w:hAnsi="Book Antiqua" w:cs="Book Antiqua"/>
          <w:color w:val="000000"/>
        </w:rPr>
        <w:t>HBV-related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cancer</w:t>
      </w:r>
      <w:r w:rsidR="003F62CA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not </w:t>
      </w:r>
      <w:r w:rsidRPr="00FF63FF">
        <w:rPr>
          <w:rFonts w:ascii="Book Antiqua" w:eastAsia="Book Antiqua" w:hAnsi="Book Antiqua" w:cs="Book Antiqua"/>
          <w:color w:val="000000"/>
        </w:rPr>
        <w:t>clear</w:t>
      </w:r>
      <w:r w:rsidR="003F62CA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studies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62CA" w:rsidRPr="00FF63FF">
        <w:rPr>
          <w:rFonts w:ascii="Book Antiqua" w:eastAsia="Book Antiqua" w:hAnsi="Book Antiqua" w:cs="Book Antiqua"/>
          <w:color w:val="000000"/>
        </w:rPr>
        <w:t xml:space="preserve">have </w:t>
      </w:r>
      <w:r w:rsidRPr="00FF63FF">
        <w:rPr>
          <w:rFonts w:ascii="Book Antiqua" w:eastAsia="Book Antiqua" w:hAnsi="Book Antiqua" w:cs="Book Antiqua"/>
          <w:color w:val="000000"/>
        </w:rPr>
        <w:t>shown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promot</w:t>
      </w:r>
      <w:r w:rsidR="003F62CA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cycle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progression,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inactivat</w:t>
      </w:r>
      <w:r w:rsidR="003F62CA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negative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growth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regulators,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inhibit</w:t>
      </w:r>
      <w:r w:rsidR="000B0CDB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0B0CDB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p53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tumor</w:t>
      </w:r>
      <w:r w:rsidR="000B0CDB" w:rsidRPr="00FF63FF">
        <w:rPr>
          <w:rFonts w:ascii="Book Antiqua" w:eastAsia="Book Antiqua" w:hAnsi="Book Antiqua" w:cs="Book Antiqua"/>
          <w:color w:val="000000"/>
        </w:rPr>
        <w:t>-</w:t>
      </w:r>
      <w:r w:rsidRPr="00FF63FF">
        <w:rPr>
          <w:rFonts w:ascii="Book Antiqua" w:eastAsia="Book Antiqua" w:hAnsi="Book Antiqua" w:cs="Book Antiqua"/>
          <w:color w:val="000000"/>
        </w:rPr>
        <w:t>suppressor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gene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0B0CDB" w:rsidRPr="00FF63FF">
        <w:rPr>
          <w:rFonts w:ascii="Book Antiqua" w:eastAsia="Book Antiqua" w:hAnsi="Book Antiqua" w:cs="Book Antiqua"/>
          <w:color w:val="000000"/>
        </w:rPr>
        <w:t>The a</w:t>
      </w:r>
      <w:r w:rsidRPr="00FF63FF">
        <w:rPr>
          <w:rFonts w:ascii="Book Antiqua" w:eastAsia="Book Antiqua" w:hAnsi="Book Antiqua" w:cs="Book Antiqua"/>
          <w:color w:val="000000"/>
        </w:rPr>
        <w:t>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carcinogenesis.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>An investigation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intrahepatic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cholangiocarcinoma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mixed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cholangiocellular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carcinoma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 tumors and adjacent tissues 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&lt;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0.01).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expanded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ratio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samples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cancer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significantly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those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suggest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comparison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tissue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could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distinguish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cancer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patients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35FB8363" w14:textId="77777777" w:rsidR="00A77B3E" w:rsidRPr="00FF63FF" w:rsidRDefault="00A77B3E" w:rsidP="00DA221C">
      <w:pPr>
        <w:snapToGrid w:val="0"/>
        <w:spacing w:line="360" w:lineRule="auto"/>
        <w:ind w:firstLine="450"/>
        <w:jc w:val="both"/>
        <w:rPr>
          <w:rFonts w:ascii="Book Antiqua" w:hAnsi="Book Antiqua"/>
        </w:rPr>
      </w:pPr>
    </w:p>
    <w:p w14:paraId="0CEC3786" w14:textId="5251247F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ANALYSIS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5D1AB8E4" w14:textId="39EC954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Current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of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is </w:t>
      </w:r>
      <w:r w:rsidRPr="00FF63FF">
        <w:rPr>
          <w:rFonts w:ascii="Book Antiqua" w:eastAsia="Book Antiqua" w:hAnsi="Book Antiqua" w:cs="Book Antiqua"/>
          <w:color w:val="000000"/>
        </w:rPr>
        <w:t>limited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nucleos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(t)ide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analog</w:t>
      </w:r>
      <w:r w:rsidR="0060181C">
        <w:rPr>
          <w:rFonts w:ascii="Book Antiqua" w:eastAsia="Book Antiqua" w:hAnsi="Book Antiqua" w:cs="Book Antiqua"/>
          <w:color w:val="000000"/>
        </w:rPr>
        <w:t>s</w:t>
      </w:r>
      <w:r w:rsidR="00257605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(ETV),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tenofovir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disoproxil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fumarate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(TDF),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tenofovir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alafenamide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(TAF)</w:t>
      </w:r>
      <w:r w:rsidR="00257605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B328B8">
        <w:rPr>
          <w:rFonts w:ascii="Book Antiqua" w:eastAsia="Book Antiqua" w:hAnsi="Book Antiqua" w:cs="Book Antiqua"/>
          <w:color w:val="000000"/>
        </w:rPr>
        <w:t>and others</w:t>
      </w:r>
      <w:r w:rsidR="00257605" w:rsidRPr="00FF63FF">
        <w:rPr>
          <w:rFonts w:ascii="Book Antiqua" w:eastAsia="Book Antiqua" w:hAnsi="Book Antiqua" w:cs="Book Antiqua"/>
          <w:color w:val="000000"/>
        </w:rPr>
        <w:t>, which block DNA synthesis;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>and i</w:t>
      </w:r>
      <w:r w:rsidRPr="00FF63FF">
        <w:rPr>
          <w:rFonts w:ascii="Book Antiqua" w:eastAsia="Book Antiqua" w:hAnsi="Book Antiqua" w:cs="Book Antiqua"/>
          <w:color w:val="000000"/>
        </w:rPr>
        <w:t>nterferon-α</w:t>
      </w:r>
      <w:r w:rsidR="00257605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direct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suppress</w:t>
      </w:r>
      <w:r w:rsidR="00257605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inhibit</w:t>
      </w:r>
      <w:r w:rsidR="00257605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replication</w:t>
      </w:r>
      <w:r w:rsidR="00257605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It also </w:t>
      </w:r>
      <w:r w:rsidRPr="00FF63FF">
        <w:rPr>
          <w:rFonts w:ascii="Book Antiqua" w:eastAsia="Book Antiqua" w:hAnsi="Book Antiqua" w:cs="Book Antiqua"/>
          <w:color w:val="000000"/>
        </w:rPr>
        <w:t>activat</w:t>
      </w:r>
      <w:r w:rsidR="00257605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target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HBV-infected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cells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Studies that evaluated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 treatment 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differences in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effect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>that 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257605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E2F17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E2F17" w:rsidRPr="00FF63FF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reported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telbivudine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reduce</w:t>
      </w:r>
      <w:r w:rsidR="00257605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downregulate</w:t>
      </w:r>
      <w:r w:rsidR="008974AB" w:rsidRPr="00FF63FF">
        <w:rPr>
          <w:rFonts w:ascii="Book Antiqua" w:eastAsia="Book Antiqua" w:hAnsi="Book Antiqua" w:cs="Book Antiqua"/>
          <w:color w:val="000000"/>
        </w:rPr>
        <w:t>d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proportion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circulating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proportion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observed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TDF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treatment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1115A443" w14:textId="303214D8" w:rsidR="00A77B3E" w:rsidRPr="00FF63FF" w:rsidRDefault="00DA221C" w:rsidP="00B328B8">
      <w:pPr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including </w:t>
      </w:r>
      <w:r w:rsidRPr="00FF63FF">
        <w:rPr>
          <w:rFonts w:ascii="Book Antiqua" w:eastAsia="Book Antiqua" w:hAnsi="Book Antiqua" w:cs="Book Antiqua"/>
          <w:color w:val="000000"/>
        </w:rPr>
        <w:t>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without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were </w:t>
      </w:r>
      <w:r w:rsidRPr="00FF63FF">
        <w:rPr>
          <w:rFonts w:ascii="Book Antiqua" w:eastAsia="Book Antiqua" w:hAnsi="Book Antiqua" w:cs="Book Antiqua"/>
          <w:color w:val="000000"/>
        </w:rPr>
        <w:t>treated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TDF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96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beta-chain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(TCRBV)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group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(BV3,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BV12,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BV14,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BV20,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BV24)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prevalent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other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TCRBV</w:t>
      </w:r>
      <w:r w:rsidR="008974AB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</w:t>
      </w:r>
      <w:r w:rsidR="008974AB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i</w:t>
      </w:r>
      <w:r w:rsidR="008974AB" w:rsidRPr="00FF63FF">
        <w:rPr>
          <w:rFonts w:ascii="Book Antiqua" w:eastAsia="Book Antiqua" w:hAnsi="Book Antiqua" w:cs="Book Antiqua"/>
          <w:color w:val="000000"/>
        </w:rPr>
        <w:t>o</w:t>
      </w:r>
      <w:r w:rsidRPr="00FF63FF">
        <w:rPr>
          <w:rFonts w:ascii="Book Antiqua" w:eastAsia="Book Antiqua" w:hAnsi="Book Antiqua" w:cs="Book Antiqua"/>
          <w:color w:val="000000"/>
        </w:rPr>
        <w:t>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>group.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BV12,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BV15,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BV22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predominant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>the patient</w:t>
      </w:r>
      <w:r w:rsidRPr="00FF63FF">
        <w:rPr>
          <w:rFonts w:ascii="Book Antiqua" w:eastAsia="Book Antiqua" w:hAnsi="Book Antiqua" w:cs="Book Antiqua"/>
          <w:color w:val="000000"/>
        </w:rPr>
        <w:t>s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 who had not s</w:t>
      </w:r>
      <w:r w:rsidRPr="00FF63FF">
        <w:rPr>
          <w:rFonts w:ascii="Book Antiqua" w:eastAsia="Book Antiqua" w:hAnsi="Book Antiqua" w:cs="Book Antiqua"/>
          <w:color w:val="000000"/>
        </w:rPr>
        <w:t>eroconvert</w:t>
      </w:r>
      <w:r w:rsidR="008974AB" w:rsidRPr="00FF63FF">
        <w:rPr>
          <w:rFonts w:ascii="Book Antiqua" w:eastAsia="Book Antiqua" w:hAnsi="Book Antiqua" w:cs="Book Antiqua"/>
          <w:color w:val="000000"/>
        </w:rPr>
        <w:t>ed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addition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 to the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frequency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alanine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aminotransferase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(ALT)</w:t>
      </w:r>
      <w:r w:rsidR="008974AB" w:rsidRPr="00FF63FF">
        <w:rPr>
          <w:rFonts w:ascii="Book Antiqua" w:eastAsia="Book Antiqua" w:hAnsi="Book Antiqua" w:cs="Book Antiqua"/>
          <w:color w:val="000000"/>
        </w:rPr>
        <w:t xml:space="preserve"> level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Treg</w:t>
      </w:r>
      <w:proofErr w:type="spellEnd"/>
      <w:r w:rsidR="008974AB" w:rsidRPr="00FF63FF">
        <w:rPr>
          <w:rFonts w:ascii="Book Antiqua" w:eastAsia="Book Antiqua" w:hAnsi="Book Antiqua" w:cs="Book Antiqua"/>
          <w:color w:val="000000"/>
        </w:rPr>
        <w:t xml:space="preserve"> profile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TRBVs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may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potential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</w:t>
      </w:r>
      <w:r w:rsidR="00900B32" w:rsidRPr="00FF63FF">
        <w:rPr>
          <w:rFonts w:ascii="Book Antiqua" w:eastAsia="Book Antiqua" w:hAnsi="Book Antiqua" w:cs="Book Antiqua"/>
          <w:color w:val="000000"/>
        </w:rPr>
        <w:t>ors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in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[55,56]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>A r</w:t>
      </w:r>
      <w:r w:rsidRPr="00FF63FF">
        <w:rPr>
          <w:rFonts w:ascii="Book Antiqua" w:eastAsia="Book Antiqua" w:hAnsi="Book Antiqua" w:cs="Book Antiqua"/>
          <w:color w:val="000000"/>
        </w:rPr>
        <w:t>ecent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study by </w:t>
      </w:r>
      <w:proofErr w:type="spellStart"/>
      <w:r w:rsidR="00900B32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Lian</w:t>
      </w:r>
      <w:proofErr w:type="spellEnd"/>
      <w:r w:rsidR="00900B32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0B32" w:rsidRPr="00FF63FF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900B32" w:rsidRPr="00FF63FF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20 </w:t>
      </w: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undergoing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1-year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ETV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</w:t>
      </w:r>
      <w:r w:rsidR="00900B32" w:rsidRPr="00FF63FF">
        <w:rPr>
          <w:rFonts w:ascii="Book Antiqua" w:eastAsia="Book Antiqua" w:hAnsi="Book Antiqua" w:cs="Book Antiqua"/>
          <w:color w:val="000000"/>
        </w:rPr>
        <w:t>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the 10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900B32" w:rsidRPr="00FF63FF">
        <w:rPr>
          <w:rFonts w:ascii="Book Antiqua" w:eastAsia="Book Antiqua" w:hAnsi="Book Antiqua" w:cs="Book Antiqua"/>
          <w:color w:val="000000"/>
        </w:rPr>
        <w:t>-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seroconverted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</w:t>
      </w:r>
      <w:r w:rsidR="00900B32" w:rsidRPr="00FF63FF">
        <w:rPr>
          <w:rFonts w:ascii="Book Antiqua" w:eastAsia="Book Antiqua" w:hAnsi="Book Antiqua" w:cs="Book Antiqua"/>
          <w:color w:val="000000"/>
        </w:rPr>
        <w:t>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the 10 patients without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900B32" w:rsidRPr="00FF63FF">
        <w:rPr>
          <w:rFonts w:ascii="Book Antiqua" w:eastAsia="Book Antiqua" w:hAnsi="Book Antiqua" w:cs="Book Antiqua"/>
          <w:color w:val="000000"/>
        </w:rPr>
        <w:t>. T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number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unique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clonotypes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positively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FF63FF" w:rsidRPr="00FF63FF">
        <w:rPr>
          <w:rFonts w:ascii="Book Antiqua" w:eastAsia="Book Antiqua" w:hAnsi="Book Antiqua" w:cs="Book Antiqua"/>
          <w:color w:val="000000"/>
        </w:rPr>
        <w:t>seroconverted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900B32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indicate</w:t>
      </w:r>
      <w:r w:rsidR="00900B32"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60181C">
        <w:rPr>
          <w:rFonts w:ascii="Book Antiqua" w:eastAsia="Book Antiqua" w:hAnsi="Book Antiqua" w:cs="Book Antiqua"/>
          <w:color w:val="000000"/>
        </w:rPr>
        <w:t xml:space="preserve"> DNA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biomarker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treatment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specific to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00B32" w:rsidRPr="00FF63FF">
        <w:rPr>
          <w:rFonts w:ascii="Book Antiqua" w:eastAsia="Book Antiqua" w:hAnsi="Book Antiqua" w:cs="Book Antiqua"/>
          <w:color w:val="000000"/>
        </w:rPr>
        <w:t xml:space="preserve">shown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AB6471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2.</w:t>
      </w:r>
    </w:p>
    <w:p w14:paraId="064B5F9B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49F78CE" w14:textId="21A3E29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ANALYSIS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HBV</w:t>
      </w:r>
      <w:r w:rsidR="00DA233F"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VACCINATION</w:t>
      </w:r>
    </w:p>
    <w:p w14:paraId="0FF7FD3A" w14:textId="61EC1B9F" w:rsidR="00A77B3E" w:rsidRPr="00FF63FF" w:rsidRDefault="00900B32" w:rsidP="00B328B8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The i</w:t>
      </w:r>
      <w:r w:rsidR="00DA221C" w:rsidRPr="00FF63FF">
        <w:rPr>
          <w:rFonts w:ascii="Book Antiqua" w:eastAsia="Book Antiqua" w:hAnsi="Book Antiqua" w:cs="Book Antiqua"/>
          <w:color w:val="000000"/>
        </w:rPr>
        <w:t>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plays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consists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aluminum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hydroxide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adjuvant,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and/or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virus-like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particle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stimulate</w:t>
      </w:r>
      <w:r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T-helper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(Th2)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</w:t>
      </w:r>
      <w:r w:rsidR="00B6432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to </w:t>
      </w:r>
      <w:r w:rsidR="00DA221C" w:rsidRPr="00FF63FF">
        <w:rPr>
          <w:rFonts w:ascii="Book Antiqua" w:eastAsia="Book Antiqua" w:hAnsi="Book Antiqua" w:cs="Book Antiqua"/>
          <w:color w:val="000000"/>
        </w:rPr>
        <w:t>produce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IL-4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promote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production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antibod</w:t>
      </w:r>
      <w:r w:rsidR="00B6432F" w:rsidRPr="00FF63FF">
        <w:rPr>
          <w:rFonts w:ascii="Book Antiqua" w:eastAsia="Book Antiqua" w:hAnsi="Book Antiqua" w:cs="Book Antiqua"/>
          <w:color w:val="000000"/>
        </w:rPr>
        <w:t>ies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oligoclonal</w:t>
      </w:r>
      <w:proofErr w:type="spellEnd"/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involves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TCRBV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families</w:t>
      </w:r>
      <w:r w:rsidR="00B6432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has 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individual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59]</w:t>
      </w:r>
      <w:r w:rsidR="00DA221C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TCR-VA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-VB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individuals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detected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monoclonal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transcripts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exclusively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CD8+,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not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increased</w:t>
      </w:r>
      <w:r w:rsidR="00B6432F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decreased,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indicating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better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 An investigation of the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by </w:t>
      </w:r>
      <w:proofErr w:type="spellStart"/>
      <w:r w:rsidR="00B6432F" w:rsidRPr="00FF63FF">
        <w:rPr>
          <w:rFonts w:ascii="Book Antiqua" w:eastAsia="Book Antiqua" w:hAnsi="Book Antiqua" w:cs="Book Antiqua"/>
          <w:color w:val="000000"/>
        </w:rPr>
        <w:t>Galson</w:t>
      </w:r>
      <w:proofErr w:type="spellEnd"/>
      <w:r w:rsidR="00B6432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B6432F" w:rsidRPr="00FF63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6432F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6432F" w:rsidRPr="00FF63FF">
        <w:rPr>
          <w:rFonts w:ascii="Book Antiqua" w:eastAsia="Book Antiqua" w:hAnsi="Book Antiqua" w:cs="Book Antiqua"/>
          <w:color w:val="000000"/>
          <w:vertAlign w:val="superscript"/>
        </w:rPr>
        <w:t>62,63]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 found 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clusters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expanded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each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sequential </w:t>
      </w:r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doses.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Additionally,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many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clusters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appeared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largely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derive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previously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cross-reactive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had </w:t>
      </w:r>
      <w:r w:rsidR="00DA221C" w:rsidRPr="00FF63FF">
        <w:rPr>
          <w:rFonts w:ascii="Book Antiqua" w:eastAsia="Book Antiqua" w:hAnsi="Book Antiqua" w:cs="Book Antiqua"/>
          <w:color w:val="000000"/>
        </w:rPr>
        <w:t>low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affinity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antigen,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subsequent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doses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required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yield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higher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affinity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cells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62,63]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IgM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h</w:t>
      </w:r>
      <w:r w:rsidR="00DA221C" w:rsidRPr="00FF63FF">
        <w:rPr>
          <w:rFonts w:ascii="Book Antiqua" w:eastAsia="Book Antiqua" w:hAnsi="Book Antiqua" w:cs="Book Antiqua"/>
          <w:color w:val="000000"/>
        </w:rPr>
        <w:t>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c</w:t>
      </w:r>
      <w:r w:rsidR="00DA221C" w:rsidRPr="00FF63FF">
        <w:rPr>
          <w:rFonts w:ascii="Book Antiqua" w:eastAsia="Book Antiqua" w:hAnsi="Book Antiqua" w:cs="Book Antiqua"/>
          <w:color w:val="000000"/>
        </w:rPr>
        <w:t>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immunization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vaccine,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found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C27C3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1/6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IgM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average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Moreover,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mechanism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maturation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A221C"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A221C" w:rsidRPr="00FF63FF">
        <w:rPr>
          <w:rFonts w:ascii="Book Antiqua" w:eastAsia="Book Antiqua" w:hAnsi="Book Antiqua" w:cs="Book Antiqua"/>
          <w:color w:val="000000"/>
        </w:rPr>
        <w:t>IgG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A221C" w:rsidRPr="00FF63FF">
        <w:rPr>
          <w:rFonts w:ascii="Book Antiqua" w:eastAsia="Book Antiqua" w:hAnsi="Book Antiqua" w:cs="Book Antiqua"/>
          <w:color w:val="000000"/>
        </w:rPr>
        <w:t>affinity</w:t>
      </w:r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A221C" w:rsidRPr="00FF63FF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DA221C" w:rsidRPr="00FF63FF">
        <w:rPr>
          <w:rFonts w:ascii="Book Antiqua" w:eastAsia="Book Antiqua" w:hAnsi="Book Antiqua" w:cs="Book Antiqua"/>
          <w:color w:val="000000"/>
        </w:rPr>
        <w:t>.</w:t>
      </w:r>
    </w:p>
    <w:p w14:paraId="37BA4647" w14:textId="0ABE55EF" w:rsidR="00A77B3E" w:rsidRPr="00FF63FF" w:rsidRDefault="00DA221C" w:rsidP="00DA221C">
      <w:pPr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About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 xml:space="preserve">5%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B6432F" w:rsidRPr="00FF63FF">
        <w:rPr>
          <w:rFonts w:ascii="Book Antiqua" w:eastAsia="Book Antiqua" w:hAnsi="Book Antiqua" w:cs="Book Antiqua"/>
          <w:color w:val="000000"/>
        </w:rPr>
        <w:t>10%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</w:t>
      </w:r>
      <w:r w:rsidR="00B6432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produce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anti-hepatitis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anti-</w:t>
      </w:r>
      <w:proofErr w:type="spellStart"/>
      <w:r w:rsidR="00393C08"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393C08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93C08" w:rsidRPr="00FF63FF">
        <w:rPr>
          <w:rFonts w:ascii="Book Antiqua" w:eastAsia="Book Antiqua" w:hAnsi="Book Antiqua" w:cs="Book Antiqua"/>
          <w:color w:val="000000"/>
        </w:rPr>
        <w:lastRenderedPageBreak/>
        <w:t>vaccines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58,65]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In “</w:t>
      </w:r>
      <w:proofErr w:type="spellStart"/>
      <w:r w:rsidR="00393C08" w:rsidRPr="00FF63FF">
        <w:rPr>
          <w:rFonts w:ascii="Book Antiqua" w:eastAsia="Book Antiqua" w:hAnsi="Book Antiqua" w:cs="Book Antiqua"/>
          <w:color w:val="000000"/>
        </w:rPr>
        <w:t>nonresponders</w:t>
      </w:r>
      <w:proofErr w:type="spellEnd"/>
      <w:r w:rsidR="00393C08" w:rsidRPr="00FF63FF">
        <w:rPr>
          <w:rFonts w:ascii="Book Antiqua" w:eastAsia="Book Antiqua" w:hAnsi="Book Antiqua" w:cs="Book Antiqua"/>
          <w:color w:val="000000"/>
        </w:rPr>
        <w:t>,” 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that </w:t>
      </w:r>
      <w:r w:rsidRPr="00FF63FF">
        <w:rPr>
          <w:rFonts w:ascii="Book Antiqua" w:eastAsia="Book Antiqua" w:hAnsi="Book Antiqua" w:cs="Book Antiqua"/>
          <w:color w:val="000000"/>
        </w:rPr>
        <w:t>contribute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lack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humoral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393C08" w:rsidRPr="00FF63FF">
        <w:rPr>
          <w:rFonts w:ascii="Book Antiqua" w:eastAsia="Book Antiqua" w:hAnsi="Book Antiqua" w:cs="Book Antiqua"/>
          <w:color w:val="000000"/>
        </w:rPr>
        <w:t xml:space="preserve"> include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defect</w:t>
      </w:r>
      <w:r w:rsidR="00393C08" w:rsidRPr="00FF63FF">
        <w:rPr>
          <w:rFonts w:ascii="Book Antiqua" w:eastAsia="Book Antiqua" w:hAnsi="Book Antiqua" w:cs="Book Antiqua"/>
          <w:color w:val="000000"/>
        </w:rPr>
        <w:t>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Th1-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Th2-specific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dysfunction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antigen-presenting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immunologic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tolerance</w:t>
      </w:r>
      <w:r w:rsidR="00393C08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too few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[66-68]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tudy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could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perspective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overcome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obstacles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understanding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D</w:t>
      </w:r>
      <w:r w:rsidRPr="00FF63FF">
        <w:rPr>
          <w:rFonts w:ascii="Book Antiqua" w:eastAsia="Book Antiqua" w:hAnsi="Book Antiqua" w:cs="Book Antiqua"/>
          <w:color w:val="000000"/>
        </w:rPr>
        <w:t>ifference</w:t>
      </w:r>
      <w:r w:rsidR="00393C08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BV5S2-3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family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population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BV24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population,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expla</w:t>
      </w:r>
      <w:r w:rsidR="00393C08" w:rsidRPr="00FF63FF">
        <w:rPr>
          <w:rFonts w:ascii="Book Antiqua" w:eastAsia="Book Antiqua" w:hAnsi="Book Antiqua" w:cs="Book Antiqua"/>
          <w:color w:val="000000"/>
        </w:rPr>
        <w:t>i</w:t>
      </w:r>
      <w:r w:rsidRPr="00FF63FF">
        <w:rPr>
          <w:rFonts w:ascii="Book Antiqua" w:eastAsia="Book Antiqua" w:hAnsi="Book Antiqua" w:cs="Book Antiqua"/>
          <w:color w:val="000000"/>
        </w:rPr>
        <w:t>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the </w:t>
      </w:r>
      <w:r w:rsidRPr="00FF63FF">
        <w:rPr>
          <w:rFonts w:ascii="Book Antiqua" w:eastAsia="Book Antiqua" w:hAnsi="Book Antiqua" w:cs="Book Antiqua"/>
          <w:color w:val="000000"/>
        </w:rPr>
        <w:t>unresponsiveness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vaccine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F63FF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0026F214" w14:textId="77777777" w:rsidR="00A77B3E" w:rsidRPr="00FF63FF" w:rsidRDefault="00A77B3E" w:rsidP="005B55A2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121AC66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3DFBBAB" w14:textId="61FDD54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I</w:t>
      </w:r>
      <w:r w:rsidR="00DE78EF">
        <w:rPr>
          <w:rFonts w:ascii="Book Antiqua" w:eastAsia="Book Antiqua" w:hAnsi="Book Antiqua" w:cs="Book Antiqua"/>
          <w:color w:val="000000"/>
        </w:rPr>
        <w:t>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demonstrated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potential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advancing our understanding of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progression of 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393C08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</w:t>
      </w:r>
      <w:r w:rsidR="00393C08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O</w:t>
      </w:r>
      <w:r w:rsidR="00393C08" w:rsidRPr="00FF63FF">
        <w:rPr>
          <w:rFonts w:ascii="Book Antiqua" w:eastAsia="Book Antiqua" w:hAnsi="Book Antiqua" w:cs="Book Antiqua"/>
          <w:color w:val="000000"/>
        </w:rPr>
        <w:t>ngoing study 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field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>overcoming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93C08" w:rsidRPr="00FF63FF">
        <w:rPr>
          <w:rFonts w:ascii="Book Antiqua" w:eastAsia="Book Antiqua" w:hAnsi="Book Antiqua" w:cs="Book Antiqua"/>
          <w:color w:val="000000"/>
        </w:rPr>
        <w:t xml:space="preserve">technical </w:t>
      </w:r>
      <w:r w:rsidRPr="00FF63FF">
        <w:rPr>
          <w:rFonts w:ascii="Book Antiqua" w:eastAsia="Book Antiqua" w:hAnsi="Book Antiqua" w:cs="Book Antiqua"/>
          <w:color w:val="000000"/>
        </w:rPr>
        <w:t>problems,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increased sharing of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data</w:t>
      </w:r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the reporting of </w:t>
      </w:r>
      <w:r w:rsidRPr="00FF63FF">
        <w:rPr>
          <w:rFonts w:ascii="Book Antiqua" w:eastAsia="Book Antiqua" w:hAnsi="Book Antiqua" w:cs="Book Antiqua"/>
          <w:color w:val="000000"/>
        </w:rPr>
        <w:t>interesting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discoveries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increase</w:t>
      </w:r>
      <w:r w:rsidRPr="00FF63FF">
        <w:rPr>
          <w:rFonts w:ascii="Book Antiqua" w:eastAsia="Book Antiqua" w:hAnsi="Book Antiqua" w:cs="Book Antiqua"/>
          <w:color w:val="000000"/>
        </w:rPr>
        <w:t>.</w:t>
      </w:r>
    </w:p>
    <w:p w14:paraId="27BEAF7C" w14:textId="77777777" w:rsidR="00A77B3E" w:rsidRPr="00FF63FF" w:rsidRDefault="00A77B3E" w:rsidP="008F0D15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5EF54C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REFERENCES</w:t>
      </w:r>
    </w:p>
    <w:p w14:paraId="2AF548DD" w14:textId="6786B986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bookmarkStart w:id="1" w:name="OLE_LINK184"/>
      <w:r w:rsidRPr="00FF63FF">
        <w:rPr>
          <w:rFonts w:ascii="Book Antiqua" w:eastAsia="Book Antiqua" w:hAnsi="Book Antiqua" w:cs="Book Antiqua"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Tseng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F63FF">
        <w:rPr>
          <w:rFonts w:ascii="Book Antiqua" w:eastAsia="Book Antiqua" w:hAnsi="Book Antiqua" w:cs="Book Antiqua"/>
          <w:color w:val="000000"/>
        </w:rPr>
        <w:t>Immunopathogenesis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2017;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S765-S770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29156047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infdis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/jix356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EF9217A" w14:textId="3703E57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Revill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Chisari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Block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Dandri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Gehring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Kramvis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Lampertico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Janssen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HLA,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Levrero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Penicaud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Tavis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Thimme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Members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ICE-HBV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Groups;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ICE-HBV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Stakeholders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Group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Chairs;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ICE-HBV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Senior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Advisors,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Zoulim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global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scientific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strategy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545-558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30981686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10.1016/S2468-1253(19)30119-0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685FAF8" w14:textId="20FF290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Saeidi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Rosmawati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Enström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Batran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Vasuki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Chattopadhyay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Murugesan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Vignesh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Kamarulzaman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Rajarajeswaran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Ansari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Vadivelu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Ussher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Velu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Larsson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Shankar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Hyper-Expression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PD-1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Levels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Exhausted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Dysfunctional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Phenotypes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Circulating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CD161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++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iV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α7.2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Mucosal-Associated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Invariant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472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29616020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10.3389/fimmu.2018.00472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CF9D807" w14:textId="26325C8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Martinet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Dufeu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-Duchesne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Bruder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Costa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Larrat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Marlu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Leroy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Plumas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Aspord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Altered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plasmacytoid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dendritic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reduced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cytolytic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natural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killer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1586-1596.e8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22960656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10.1053/j.gastro.2012.08.046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7E17FE0" w14:textId="4C036E0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Bertoletti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Ferrari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S71-S83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27084039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10.1016/j.jhep.2016.01.026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0F38D9E" w14:textId="7105FF4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Schurich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Khanna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Lopes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Peppa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Micco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Nebbia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Kennedy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Geretti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Dusheiko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Maini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MK.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coinhibitory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cytotoxic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apoptosis-Prone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persistent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Hepatology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1494-1503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21360567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10.1002/hep.24249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0A8CA6B1" w14:textId="4B1A2FC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Suslov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Boldanova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Wieland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Heim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MH.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Interfere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Innate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1778-1790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29408639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10.1053/j.gastro.2018.01.034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0E381EE" w14:textId="1B89CA4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Iglesias-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Ussel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Ronai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Scharff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MD.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through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hypermutation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class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switch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Dev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1-11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14724175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10.1101/gad.1161904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2FC790D" w14:textId="28C4C595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Gruta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Kedzierska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Thomas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Doherty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implications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286-290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19524428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10.1016/j.coi.2009.05.004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ABCCFA5" w14:textId="0B69B7C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Germain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RN</w:t>
      </w:r>
      <w:r w:rsidRPr="00FF63F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development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CD4-CD8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0E7492" w:rsidRPr="00FF63FF">
        <w:rPr>
          <w:rFonts w:ascii="Book Antiqua" w:eastAsia="Book Antiqua" w:hAnsi="Book Antiqua" w:cs="Book Antiqua"/>
          <w:color w:val="000000"/>
        </w:rPr>
        <w:t>li</w:t>
      </w:r>
      <w:r w:rsidRPr="00FF63FF">
        <w:rPr>
          <w:rFonts w:ascii="Book Antiqua" w:eastAsia="Book Antiqua" w:hAnsi="Book Antiqua" w:cs="Book Antiqua"/>
          <w:color w:val="000000"/>
        </w:rPr>
        <w:t>neage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decision.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309-322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12033737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10.1038/nri798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876EAAB" w14:textId="1E56227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11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Castro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CD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Boughter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Broughton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Ramesh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recognition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γδ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298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134-152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33136294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10.1111/imr.12930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5159A62" w14:textId="6A52EA8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Birnbaum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Garcia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Diversity-oriented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approaches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interrogating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ligand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recognition,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250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82-101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23046124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10.1111/imr.12006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8D06989" w14:textId="79A0CE8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Gauss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GH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Lieber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constraints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V(</w:t>
      </w:r>
      <w:proofErr w:type="gramEnd"/>
      <w:r w:rsidRPr="00FF63FF">
        <w:rPr>
          <w:rFonts w:ascii="Book Antiqua" w:eastAsia="Book Antiqua" w:hAnsi="Book Antiqua" w:cs="Book Antiqua"/>
          <w:color w:val="000000"/>
        </w:rPr>
        <w:t>D)J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1996;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258-269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8524303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10.1128/mcb.16.1.258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0E6D6EA3" w14:textId="2D556502" w:rsidR="00A77B3E" w:rsidRPr="00FF63FF" w:rsidRDefault="00DA221C" w:rsidP="00BE558A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14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Nezlin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Combinatorial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events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Comb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Chem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Throughput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Screen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377-383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11472226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10.2174/1386207013330977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73A09BB" w14:textId="0B422DEB" w:rsidR="00A77B3E" w:rsidRPr="00FF63FF" w:rsidRDefault="00DA221C" w:rsidP="00A155C9">
      <w:pPr>
        <w:spacing w:line="360" w:lineRule="auto"/>
        <w:jc w:val="both"/>
      </w:pPr>
      <w:proofErr w:type="gramStart"/>
      <w:r w:rsidRPr="00946F6B">
        <w:rPr>
          <w:rFonts w:ascii="Book Antiqua" w:eastAsia="Book Antiqua" w:hAnsi="Book Antiqua" w:cs="Book Antiqua"/>
          <w:color w:val="000000"/>
        </w:rPr>
        <w:t>15</w:t>
      </w:r>
      <w:r w:rsidR="00DA233F" w:rsidRPr="00946F6B">
        <w:rPr>
          <w:rFonts w:ascii="Book Antiqua" w:eastAsia="Book Antiqua" w:hAnsi="Book Antiqua" w:cs="Book Antiqua"/>
          <w:color w:val="000000"/>
        </w:rPr>
        <w:t xml:space="preserve"> </w:t>
      </w:r>
      <w:r w:rsidR="002D07EE" w:rsidRPr="00946F6B">
        <w:rPr>
          <w:rFonts w:ascii="Book Antiqua" w:eastAsia="Book Antiqua" w:hAnsi="Book Antiqua" w:cs="Book Antiqua"/>
          <w:b/>
          <w:color w:val="000000"/>
        </w:rPr>
        <w:t>NCBI</w:t>
      </w:r>
      <w:r w:rsidR="002D07EE" w:rsidRPr="00946F6B">
        <w:rPr>
          <w:rFonts w:ascii="Book Antiqua" w:eastAsia="Book Antiqua" w:hAnsi="Book Antiqua" w:cs="Book Antiqua"/>
          <w:color w:val="000000"/>
        </w:rPr>
        <w:t>.</w:t>
      </w:r>
      <w:proofErr w:type="gramEnd"/>
      <w:r w:rsidR="00DA233F" w:rsidRPr="00946F6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558A" w:rsidRPr="00946F6B">
        <w:rPr>
          <w:rFonts w:ascii="Book Antiqua" w:eastAsia="Book Antiqua" w:hAnsi="Book Antiqua" w:cs="Book Antiqua"/>
          <w:bCs/>
          <w:color w:val="000000"/>
        </w:rPr>
        <w:t>MeSH</w:t>
      </w:r>
      <w:proofErr w:type="spellEnd"/>
      <w:r w:rsidR="00DA233F" w:rsidRPr="00946F6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E558A" w:rsidRPr="00946F6B">
        <w:rPr>
          <w:rFonts w:ascii="Book Antiqua" w:eastAsia="Book Antiqua" w:hAnsi="Book Antiqua" w:cs="Book Antiqua"/>
          <w:bCs/>
          <w:color w:val="000000"/>
        </w:rPr>
        <w:t>(Medical</w:t>
      </w:r>
      <w:r w:rsidR="00DA233F" w:rsidRPr="00946F6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E558A" w:rsidRPr="00946F6B">
        <w:rPr>
          <w:rFonts w:ascii="Book Antiqua" w:eastAsia="Book Antiqua" w:hAnsi="Book Antiqua" w:cs="Book Antiqua"/>
          <w:bCs/>
          <w:color w:val="000000"/>
        </w:rPr>
        <w:t>subject</w:t>
      </w:r>
      <w:r w:rsidR="00DA233F" w:rsidRPr="00946F6B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E558A" w:rsidRPr="00946F6B">
        <w:rPr>
          <w:rFonts w:ascii="Book Antiqua" w:eastAsia="Book Antiqua" w:hAnsi="Book Antiqua" w:cs="Book Antiqua"/>
          <w:bCs/>
          <w:color w:val="000000"/>
        </w:rPr>
        <w:t>headings).</w:t>
      </w:r>
      <w:r w:rsidR="00DA233F" w:rsidRPr="00946F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A233F" w:rsidRPr="00946F6B">
        <w:rPr>
          <w:rFonts w:ascii="Book Antiqua" w:eastAsia="Book Antiqua" w:hAnsi="Book Antiqua" w:cs="Book Antiqua"/>
          <w:color w:val="000000"/>
        </w:rPr>
        <w:t>[</w:t>
      </w:r>
      <w:proofErr w:type="gramStart"/>
      <w:r w:rsidR="00DA233F" w:rsidRPr="00946F6B">
        <w:rPr>
          <w:rFonts w:ascii="Book Antiqua" w:eastAsia="Book Antiqua" w:hAnsi="Book Antiqua" w:cs="Book Antiqua"/>
          <w:color w:val="000000"/>
        </w:rPr>
        <w:t>cited</w:t>
      </w:r>
      <w:proofErr w:type="gramEnd"/>
      <w:r w:rsidR="00DA233F" w:rsidRPr="00946F6B">
        <w:rPr>
          <w:rFonts w:ascii="Book Antiqua" w:eastAsia="Book Antiqua" w:hAnsi="Book Antiqua" w:cs="Book Antiqua"/>
          <w:color w:val="000000"/>
        </w:rPr>
        <w:t xml:space="preserve"> 10 January 2021].</w:t>
      </w:r>
      <w:r w:rsidR="00DA233F" w:rsidRPr="00946F6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E558A" w:rsidRPr="00946F6B">
        <w:rPr>
          <w:rFonts w:ascii="Book Antiqua" w:eastAsia="Book Antiqua" w:hAnsi="Book Antiqua" w:cs="Book Antiqua"/>
          <w:color w:val="000000"/>
        </w:rPr>
        <w:t>Available</w:t>
      </w:r>
      <w:r w:rsidR="00DA233F" w:rsidRPr="00946F6B">
        <w:rPr>
          <w:rFonts w:ascii="Book Antiqua" w:eastAsia="Book Antiqua" w:hAnsi="Book Antiqua" w:cs="Book Antiqua"/>
          <w:color w:val="000000"/>
        </w:rPr>
        <w:t xml:space="preserve"> </w:t>
      </w:r>
      <w:r w:rsidR="00BE558A" w:rsidRPr="00946F6B">
        <w:rPr>
          <w:rFonts w:ascii="Book Antiqua" w:eastAsia="Book Antiqua" w:hAnsi="Book Antiqua" w:cs="Book Antiqua"/>
          <w:color w:val="000000"/>
        </w:rPr>
        <w:t>from:</w:t>
      </w:r>
      <w:r w:rsidR="00DA233F" w:rsidRPr="00946F6B">
        <w:rPr>
          <w:rFonts w:ascii="Book Antiqua" w:eastAsia="Book Antiqua" w:hAnsi="Book Antiqua" w:cs="Book Antiqua"/>
          <w:color w:val="000000"/>
        </w:rPr>
        <w:t xml:space="preserve"> </w:t>
      </w:r>
      <w:r w:rsidRPr="00946F6B">
        <w:rPr>
          <w:rFonts w:ascii="Book Antiqua" w:eastAsia="Book Antiqua" w:hAnsi="Book Antiqua" w:cs="Book Antiqua"/>
          <w:color w:val="000000"/>
        </w:rPr>
        <w:t>https://www.ncbi.nlm.nih.gov/mesh/</w:t>
      </w:r>
    </w:p>
    <w:p w14:paraId="28940C59" w14:textId="580CFEA2" w:rsidR="00A77B3E" w:rsidRPr="00FF63FF" w:rsidRDefault="00DA221C" w:rsidP="00BE558A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16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Tonegawa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1983;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302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575-581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6300689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10.1038/302575a0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2AA7BC3" w14:textId="0F5CA9F6" w:rsidR="00A77B3E" w:rsidRPr="00FF63FF" w:rsidRDefault="00DA221C" w:rsidP="00BE558A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17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Samelson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FF63F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mediated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371-394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11861607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10.1146/annurev.immunol.20.092601.111357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15AC1FA" w14:textId="0178C7A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18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Alcover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Bartolo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Cell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103-125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29261409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10.1146/annurev-immunol-042617-053429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1D0815E" w14:textId="177A31D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19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Kurosaki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Functional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dissection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276-281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10781408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10.1016/s0952-7915(00)00087-x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6FFBC33" w14:textId="33B8238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20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Kwak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Akkaya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Pierce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context.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963-969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31285625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10.1038/s41590-019-0427-9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BE3F48D" w14:textId="448796A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21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History,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applications,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challenges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research.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Biol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Toxicol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441-457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29484527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10.1007/s10565-018-9426-0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0329A12A" w14:textId="54D3B15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22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Sanders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Schroeder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Babrzadeh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Gharizadeh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Myers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Hudson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Jr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Davis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interrelationships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Proc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Natl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27B53" w:rsidRPr="00FF63FF">
        <w:rPr>
          <w:rFonts w:ascii="Book Antiqua" w:eastAsia="Book Antiqua" w:hAnsi="Book Antiqua" w:cs="Book Antiqua"/>
          <w:i/>
          <w:iCs/>
          <w:color w:val="000000"/>
        </w:rPr>
        <w:t>US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1518-1523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20080641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10.1073/pnas.0913939107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F1876DC" w14:textId="1FA9A83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Barennes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Quiniou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Shugay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Egorov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Davydov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Chudakov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Uddin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Ismail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Oakes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Eugster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Kashofer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Rainer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Darko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Ransier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Douek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Klatzmann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Mariotti-Ferrandiz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Benchmarking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large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systematic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biases.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236-245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32895550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10.1038/s41587-020-0656-3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894D561" w14:textId="59993E9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Mamedov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IZ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Britanova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Zvyagin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Turchaninova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Bolotin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Putintseva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Lebedev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Chudakov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Preparing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unbiased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cDNA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libraries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profiling.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24391640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10.3389/fimmu.2013.00456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0CAB398" w14:textId="74C6DF1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Vázquez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Bernat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Corcoran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Hardt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Kaduk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Phad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Martin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Karlsson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Hedestam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High-Quality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Preparation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NGS-Based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Germline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Inference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660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31024532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10.3389/fimmu.2019.00660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B58A164" w14:textId="6F732EC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Zheng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Liebers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Zhelyazkova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Panditi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Lynch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Robinson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Shim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Chmielecki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Pao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Engelman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Iafrate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LP.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Anchored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PCR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targeted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next-generation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1479-1484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25384085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10.1038/nm.3729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23444A2" w14:textId="7A75701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Ruggiero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Nicolay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Fronza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Arens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Paruzynski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Nowrouzi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Ürenden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Lulay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Schneider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Goerdt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Glimm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Krammer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Schmidt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Kalle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High-resolution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8081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26324409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10.1038/ncomms9081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A39C363" w14:textId="58C0658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28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Weinstein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Jiang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3rd,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Fisher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Quake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High-throughput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zebrafish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807-810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19423829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10.1126/science.1170020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50959D9" w14:textId="43103BF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29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Freeman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Warren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Webb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Nelson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Holt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Profiling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beta-chain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massively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parallel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1817-1824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19541912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10.1101/gr.092924.109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2C8AC1A" w14:textId="44F7D04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Lefranc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Alamyar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Giudicelli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Duroux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Freeman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Corbin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Scheerlinck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Frohman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Cameron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PU,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Plebanski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Loveland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Burrows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Papenfuss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Gowans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IMGT/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HighV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QUEST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paradigm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IMGT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clonotype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immunoprofiling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2333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23995877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10.1038/ncomms3333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77F4C38" w14:textId="3018B44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Madden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Ostell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IgBLAST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immunoglobulin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domain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W34-W40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23671333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/gkt382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99BD3F6" w14:textId="77D487A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Heather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Ndifon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Shawe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-Taylor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Chain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Decombinator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fast,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efficient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assignment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finite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machine.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542-550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23303508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10.1093/bioinformatics/btt004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A1F797B" w14:textId="4C0A39C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Vander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Heiden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Yaari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Uduman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Stern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O'Connor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Hafler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Vigneault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Kleinstein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pRESTO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toolkit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processing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high-throughput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raw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1930-1932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24618469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10.1093/bioinformatics/btu138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48439DA" w14:textId="24E34A9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Bolotin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Poslavsky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Mitrophanov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Shugay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Mamedov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Putintseva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Chudakov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MiXCR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software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comprehensive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profiling.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380-381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25924071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10.1038/nmeth.3364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FAC35B0" w14:textId="552AA40C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Lefranc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Giudicelli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Duroux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Jabado-Michaloud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Folch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Aouinti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Carillon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Duvergey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Houles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Paysan-Lafosse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Hadi-Saljoqi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Sasorith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Lefranc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Kossida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IMGT®,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ImMunoGeneTics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information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system®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years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D413-D422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25378316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nar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/gku1056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C948472" w14:textId="4BC6464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Xiang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monozygotic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twins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concordant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discordant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497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153-159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29438710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10.1016/j.bbrc.2018.02.043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08A9C549" w14:textId="76789EA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Qu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High-Throughput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PBMCs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8594107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27818694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10.1155/2016/8594107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4023A03" w14:textId="4E2D41DF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Bektas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Idilman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Soykan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Soydan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Arat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Cinar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Coban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Tuzun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Bozkaya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Ormeci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Ozden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Adjuvant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therapeutic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plasma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exchange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assessments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clinical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laboratory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parameters.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517-521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18344887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10.1097/MCG.0b013e31815878ff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47883A6" w14:textId="19040C0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39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Xibing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Xiaojuan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Zhonghua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Juanhua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deteriorated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significance.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810-815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85"/>
      <w:r w:rsidRPr="00FF63FF">
        <w:rPr>
          <w:rFonts w:ascii="Book Antiqua" w:eastAsia="Book Antiqua" w:hAnsi="Book Antiqua" w:cs="Book Antiqua"/>
          <w:color w:val="000000"/>
        </w:rPr>
        <w:t>22224079</w:t>
      </w:r>
      <w:bookmarkEnd w:id="2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1E7285" w:rsidRPr="00FF63FF">
        <w:rPr>
          <w:rFonts w:ascii="Book Antiqua" w:eastAsia="Book Antiqua" w:hAnsi="Book Antiqua" w:cs="Book Antiqua"/>
          <w:color w:val="000000"/>
        </w:rPr>
        <w:t>10.5812/</w:t>
      </w:r>
      <w:r w:rsidR="00111D06" w:rsidRPr="00111D06">
        <w:rPr>
          <w:rFonts w:ascii="Book Antiqua" w:eastAsia="Book Antiqua" w:hAnsi="Book Antiqua" w:cs="Book Antiqua"/>
          <w:color w:val="000000"/>
        </w:rPr>
        <w:t>kowsar.1735143X.1756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E5F22D6" w14:textId="2DB9987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Xiong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Vβ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Obtained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e15900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24693310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10.5812/hepatmon.15900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2C85A09" w14:textId="09BEC09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Wei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Diao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Molecular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features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complementarity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determining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motif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population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subsets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22152113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10.1186/1479-5876-9-210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B32F37E" w14:textId="5B170CF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Giadans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Ríos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Ameigeiras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Pietrantonio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Lucatelli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Haddad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Mullen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Heinrich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Matteo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Flichman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Valva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Preciado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MV.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interplay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between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intrahepatic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population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antigens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damage.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Hepat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727-737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30739377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10.1111/jvh.13078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CB41C04" w14:textId="422B0C9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Sarin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Choudhury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terminology,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management.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131-149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26837712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10.1038/nrgastro.2015.219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4A38704" w14:textId="1BE9085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Choudhury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Mahtab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Hamid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Huei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Ghazinian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Chawla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Yuen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Devarbhavi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Shukla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Abbas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Sahu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Dokmeci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Lesmana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Xin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Duan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Jia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Sharma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Sarin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Ning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Complications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constitute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major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risk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mortality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multi-national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study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Asia-Pacific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695-705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31650510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10.1007/s12072-019-09992-x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07F7BD2" w14:textId="226DF96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GL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IL-17-producing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short-term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mortality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Risk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Manag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2127-2136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30464485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10.2147/TCRM.S184809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5BDF930" w14:textId="4D2A002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Peng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FF63FF">
        <w:rPr>
          <w:rFonts w:ascii="Book Antiqua" w:eastAsia="Book Antiqua" w:hAnsi="Book Antiqua" w:cs="Book Antiqua"/>
          <w:color w:val="000000"/>
        </w:rPr>
        <w:t>Gao</w:t>
      </w:r>
      <w:proofErr w:type="spellEnd"/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severe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136-145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25081223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10.1007/s10620-014-3297-x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40D6E5F" w14:textId="7856EF6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Shen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Che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CD4+CD25+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correlate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short-term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outcomes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137-146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24388581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10.1016/j.jmii.2013.11.001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24FF460" w14:textId="3472C076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Shen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changes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virus-related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47-56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31872330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10.1007/s12072-019-10008-x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05ED3C0" w14:textId="5FE5B90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49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Lai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reveals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novel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alterations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acute-on-chronic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failure.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243-255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30365073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10.3892/ijmm.2018.3946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0EE5487" w14:textId="606EF5D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Sagnelli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Macera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Russo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Coppola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Sagnelli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Epidemiological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etiological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carcinoma.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7-17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31347138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10.1007/s15010-019-01345-y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22D887A" w14:textId="7934803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51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Serag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HB</w:t>
      </w:r>
      <w:r w:rsidRPr="00FF63F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Hepatocellular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carcinoma.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365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1118-1127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21992124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10.1056/NEJMra1001683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7D96418" w14:textId="6171FEB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Guan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Zhou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Yuan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Identification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characteristic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expression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Oncoimmunology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e1021537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26405574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10.1080/2162402X.2015.1021537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9E1DA43" w14:textId="05A2286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Zhou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Telbivudine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decreases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proportion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CD4+CD25+CD127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0E7492" w:rsidRPr="00FF63FF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ow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parallel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inhibiting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2014;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2024-2030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24626572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10.3892/mmr.2014.2042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87F2B9B" w14:textId="6C8576A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TrehanPati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Kotillil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Hissar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Shrivastava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Khanam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Sukriti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Mishra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Sarin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Circulating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Tregs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correlate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load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HBV-treated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tenofovir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disoproxil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fumarate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509-520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21305387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10.1007/s10875-011-9509-7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71B8CF78" w14:textId="5D55347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Sheng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Xiao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frequency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skewed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beta-chain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patterns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CD4(</w:t>
      </w:r>
      <w:proofErr w:type="gramEnd"/>
      <w:r w:rsidRPr="00FF63FF">
        <w:rPr>
          <w:rFonts w:ascii="Book Antiqua" w:eastAsia="Book Antiqua" w:hAnsi="Book Antiqua" w:cs="Book Antiqua"/>
          <w:color w:val="000000"/>
        </w:rPr>
        <w:t>+)CD25(+)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regulatory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antiviral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678-687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26899927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10.1038/cmi.2015.100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9FC1997" w14:textId="1745344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Guo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Diao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Predictive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value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serum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patients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tenofovir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2017;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e6242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28272219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10.1097/MD.0000000000006242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76E9E62" w14:textId="3AF59DD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Lian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YF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XL,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YH.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Distinct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profiles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seroconversion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during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entecavir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treatment.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2672-2684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32564486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10.1111/</w:t>
      </w:r>
      <w:r w:rsidR="000E7492" w:rsidRPr="00FF63FF">
        <w:rPr>
          <w:rFonts w:ascii="Book Antiqua" w:eastAsia="Book Antiqua" w:hAnsi="Book Antiqua" w:cs="Book Antiqua"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iv.14566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9BED7FD" w14:textId="63027D72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58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Saco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TV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Strauss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Ledford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DK.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nonresponders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Possible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mechanisms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solutions.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Asthma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2018;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320-327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29567355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10.1016/j.anai.2018.03.017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970DC34" w14:textId="6F1CD9AA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59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Deulofeut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Robinson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utilized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HBsAg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1997;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54-61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9438196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10.1016/s0198-8859(97)00181-x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9BC81D2" w14:textId="461F0D1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Höhn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Neukirch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Freitag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Necker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Hitzler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Seliger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Maeurer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MJ.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Longitudinal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(TCR)-VA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-VB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CD8+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from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individuals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immunized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309-317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12165088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10.1046/j.1365-2249.2002.01841.x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6FCD2157" w14:textId="703D725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Miyasaka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Yoshida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Takikawa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Next-generation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diversity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Vaccin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Immunother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2019;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2738-2753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30945971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10.1080/21645515.2019.1600987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B84EE75" w14:textId="112820B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Galson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Trück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Fowler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Clutterbuck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Münz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Cerundolo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Reinhard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Most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Pollard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Lunter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Kelly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Following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Humans,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Enrichment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Vaccine-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Antibody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Sequences.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2015;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2070-2079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26844287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10.1016/j.ebiom.2015.11.034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5BCCF0E" w14:textId="2A68457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Galson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Trück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Clutterbuck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Fowler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Cerundolo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Pollard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Lunter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Kelly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B-cell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dynamics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sequential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evidence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cross-reactive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activation.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Genome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68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27312086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10.1186/s13073-016-0322-z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576009AD" w14:textId="44C7F185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Shi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Q,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X.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Characteristics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Peripheral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Blood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IgG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IgM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Heavy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Complementarity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Determining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after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Immunization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HBV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2017;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e0170479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28114326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10.1371/journal.pone.0170479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1A601787" w14:textId="302660DE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65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Kubba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Taylor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Graneek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Strobel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Non-responders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106-112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12889288]</w:t>
      </w:r>
    </w:p>
    <w:p w14:paraId="73735C2C" w14:textId="593CA59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Larsen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CE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Xu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Dubey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DP,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Uko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Yunis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EJ,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Alper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cytokine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tetanus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toxoid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responders,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nonresponders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subjects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naive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Vaccine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2000;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3021-3030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10825606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10.1016/s0264-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410x(</w:t>
      </w:r>
      <w:proofErr w:type="gramEnd"/>
      <w:r w:rsidRPr="00FF63FF">
        <w:rPr>
          <w:rFonts w:ascii="Book Antiqua" w:eastAsia="Book Antiqua" w:hAnsi="Book Antiqua" w:cs="Book Antiqua"/>
          <w:color w:val="000000"/>
        </w:rPr>
        <w:t>00)00084-0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2BA404CA" w14:textId="379AC1F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FF63FF">
        <w:rPr>
          <w:rFonts w:ascii="Book Antiqua" w:eastAsia="Book Antiqua" w:hAnsi="Book Antiqua" w:cs="Book Antiqua"/>
          <w:color w:val="000000"/>
        </w:rPr>
        <w:t>67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Kardar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Jeddi-Tehrani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Shokri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Diminished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cytokine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production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nonresponders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vaccine.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2002;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311-314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11940238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10.1046/j.1365-3083.2002.01057.x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E587626" w14:textId="5E28987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Shokrgozar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Shokri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Enumeration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antigen-specific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lymphocytes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non-responder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normal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individuals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surface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Immunology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2001;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75-79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11576223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10.1046/j.1365-2567.2001.01273.x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3EE20BEA" w14:textId="2AED7693" w:rsidR="00391FC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69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b/>
          <w:bCs/>
          <w:color w:val="000000"/>
        </w:rPr>
        <w:t>Soroosh</w:t>
      </w:r>
      <w:proofErr w:type="spellEnd"/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Shokri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Azizi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Jeddi-Tehrani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segment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usage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healthy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adult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responders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nonresponders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2003;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423-431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12753498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10.1046/j.1365-3083.2003.01256.x</w:t>
      </w:r>
      <w:r w:rsidR="00AB6471" w:rsidRPr="00FF63FF">
        <w:rPr>
          <w:rFonts w:ascii="Book Antiqua" w:eastAsia="Book Antiqua" w:hAnsi="Book Antiqua" w:cs="Book Antiqua"/>
          <w:color w:val="000000"/>
        </w:rPr>
        <w:t>]</w:t>
      </w:r>
    </w:p>
    <w:p w14:paraId="4A379687" w14:textId="2972F45B" w:rsidR="00391FCE" w:rsidRPr="00FF63FF" w:rsidRDefault="00391FCE" w:rsidP="00BD0E66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3FF">
        <w:rPr>
          <w:rFonts w:ascii="Book Antiqua" w:eastAsia="Book Antiqua" w:hAnsi="Book Antiqua" w:cs="Book Antiqua"/>
          <w:color w:val="000000"/>
        </w:rPr>
        <w:lastRenderedPageBreak/>
        <w:t>70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Chang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YH</w:t>
      </w:r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Kuan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Hsieh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Yang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Hsu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WB,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Tsai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SF,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Liu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HH.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Network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Signatures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IgG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Associated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Infection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Vaccination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i/>
          <w:color w:val="000000"/>
        </w:rPr>
        <w:t>Sci</w:t>
      </w:r>
      <w:proofErr w:type="spellEnd"/>
      <w:r w:rsidR="00DA233F" w:rsidRPr="00FF63F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i/>
          <w:color w:val="000000"/>
        </w:rPr>
        <w:t>Rep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2016;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6</w:t>
      </w:r>
      <w:r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26556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[PMID: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27222149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aps/>
          <w:color w:val="000000"/>
        </w:rPr>
        <w:t>doi:</w:t>
      </w:r>
      <w:r w:rsidR="00DA233F" w:rsidRPr="00FF63FF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BD0E66" w:rsidRPr="00FF63FF">
        <w:rPr>
          <w:rFonts w:ascii="Book Antiqua" w:eastAsia="Book Antiqua" w:hAnsi="Book Antiqua" w:cs="Book Antiqua"/>
          <w:color w:val="000000"/>
        </w:rPr>
        <w:t>10.1038/srep26556</w:t>
      </w:r>
      <w:r w:rsidRPr="00FF63FF">
        <w:rPr>
          <w:rFonts w:ascii="Book Antiqua" w:eastAsia="Book Antiqua" w:hAnsi="Book Antiqua" w:cs="Book Antiqua"/>
          <w:color w:val="000000"/>
        </w:rPr>
        <w:t>]</w:t>
      </w:r>
    </w:p>
    <w:bookmarkEnd w:id="1"/>
    <w:p w14:paraId="0FDFBC0E" w14:textId="51969BB9" w:rsidR="00391FCE" w:rsidRPr="00FF63FF" w:rsidRDefault="00391FCE" w:rsidP="00DA221C">
      <w:pPr>
        <w:snapToGrid w:val="0"/>
        <w:spacing w:line="360" w:lineRule="auto"/>
        <w:jc w:val="both"/>
        <w:rPr>
          <w:rFonts w:ascii="Book Antiqua" w:hAnsi="Book Antiqua"/>
        </w:rPr>
        <w:sectPr w:rsidR="00391FCE" w:rsidRPr="00FF63FF" w:rsidSect="00FD2B6D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153E150B" w14:textId="7777777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9BA0411" w14:textId="10C1A834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authors declare that they have </w:t>
      </w:r>
      <w:r w:rsidRPr="00FF63FF">
        <w:rPr>
          <w:rFonts w:ascii="Book Antiqua" w:eastAsia="Book Antiqua" w:hAnsi="Book Antiqua" w:cs="Book Antiqua"/>
          <w:color w:val="000000"/>
        </w:rPr>
        <w:t>no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competing </w:t>
      </w:r>
      <w:r w:rsidRPr="00FF63FF">
        <w:rPr>
          <w:rFonts w:ascii="Book Antiqua" w:eastAsia="Book Antiqua" w:hAnsi="Book Antiqua" w:cs="Book Antiqua"/>
          <w:color w:val="000000"/>
        </w:rPr>
        <w:t>interest</w:t>
      </w:r>
      <w:r w:rsidR="0041593E" w:rsidRPr="00FF63FF">
        <w:rPr>
          <w:rFonts w:ascii="Book Antiqua" w:eastAsia="Book Antiqua" w:hAnsi="Book Antiqua" w:cs="Book Antiqua"/>
          <w:color w:val="000000"/>
        </w:rPr>
        <w:t>s.</w:t>
      </w:r>
    </w:p>
    <w:p w14:paraId="403AB513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7417CE2" w14:textId="126303AB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article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open-access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article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that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was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selected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in-house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editor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fully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peer-reviewed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external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reviewers.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distributed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accordance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with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Creative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Commons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Attribution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(CC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BY-NC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4.0)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license,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permits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others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distribute,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remix,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adapt,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build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upon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non-commercially,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license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their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derivative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different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terms,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provided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original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work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properly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cited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non-commercial.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See: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660C1EC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8FC29B8" w14:textId="3B5D3DF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Manuscript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source: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Invited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F778D" w:rsidRPr="00FF63FF">
        <w:rPr>
          <w:rFonts w:ascii="Book Antiqua" w:eastAsia="Book Antiqua" w:hAnsi="Book Antiqua" w:cs="Book Antiqua"/>
          <w:color w:val="000000"/>
        </w:rPr>
        <w:t>m</w:t>
      </w:r>
      <w:r w:rsidRPr="00FF63FF">
        <w:rPr>
          <w:rFonts w:ascii="Book Antiqua" w:eastAsia="Book Antiqua" w:hAnsi="Book Antiqua" w:cs="Book Antiqua"/>
          <w:color w:val="000000"/>
        </w:rPr>
        <w:t>anuscript</w:t>
      </w:r>
    </w:p>
    <w:p w14:paraId="1CD9270D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1BBE1D5" w14:textId="74FD03B9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Peer-review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started: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January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25,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</w:t>
      </w:r>
    </w:p>
    <w:p w14:paraId="2FD3867D" w14:textId="4F162718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First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decision: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February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27,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2021</w:t>
      </w:r>
    </w:p>
    <w:p w14:paraId="60DB48A4" w14:textId="1940F2AC" w:rsidR="00A77B3E" w:rsidRPr="00B811A2" w:rsidRDefault="00DA221C" w:rsidP="00DA221C">
      <w:pPr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Article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press:</w:t>
      </w:r>
      <w:r w:rsidR="00B811A2">
        <w:rPr>
          <w:rFonts w:ascii="Book Antiqua" w:eastAsiaTheme="minorEastAsia" w:hAnsi="Book Antiqua" w:cs="Book Antiqua" w:hint="eastAsia"/>
          <w:b/>
          <w:color w:val="000000"/>
        </w:rPr>
        <w:t xml:space="preserve"> </w:t>
      </w:r>
      <w:r w:rsidR="00B811A2" w:rsidRPr="00B811A2">
        <w:rPr>
          <w:rFonts w:ascii="Book Antiqua" w:eastAsiaTheme="minorEastAsia" w:hAnsi="Book Antiqua" w:cs="Book Antiqua"/>
          <w:color w:val="000000"/>
        </w:rPr>
        <w:t>May 27, 2021</w:t>
      </w:r>
    </w:p>
    <w:p w14:paraId="577EB69C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306241" w14:textId="43A585A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Specialty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type: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Gastroenterology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6ADF" w:rsidRPr="00FF63FF">
        <w:rPr>
          <w:rFonts w:ascii="Book Antiqua" w:eastAsia="Book Antiqua" w:hAnsi="Book Antiqua" w:cs="Book Antiqua"/>
          <w:color w:val="000000"/>
        </w:rPr>
        <w:t>h</w:t>
      </w:r>
      <w:r w:rsidRPr="00FF63FF">
        <w:rPr>
          <w:rFonts w:ascii="Book Antiqua" w:eastAsia="Book Antiqua" w:hAnsi="Book Antiqua" w:cs="Book Antiqua"/>
          <w:color w:val="000000"/>
        </w:rPr>
        <w:t>epatology</w:t>
      </w:r>
      <w:proofErr w:type="spellEnd"/>
    </w:p>
    <w:p w14:paraId="62361A73" w14:textId="57429991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Country/Territory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origin: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China</w:t>
      </w:r>
    </w:p>
    <w:p w14:paraId="50A18884" w14:textId="25CD9150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t>Peer-review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report’s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scientific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quality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FFF0884" w14:textId="0A82E2AF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F63FF">
        <w:rPr>
          <w:rFonts w:ascii="Book Antiqua" w:eastAsia="Book Antiqua" w:hAnsi="Book Antiqua" w:cs="Book Antiqua"/>
          <w:color w:val="000000"/>
        </w:rPr>
        <w:t>A</w:t>
      </w:r>
      <w:proofErr w:type="gram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(Excellent):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0</w:t>
      </w:r>
    </w:p>
    <w:p w14:paraId="55F6A49E" w14:textId="77FD6166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(Very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good):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</w:p>
    <w:p w14:paraId="7216141E" w14:textId="1692DEE3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(Good):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</w:t>
      </w:r>
    </w:p>
    <w:p w14:paraId="540EB11E" w14:textId="23D0A637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(Fair):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0</w:t>
      </w:r>
    </w:p>
    <w:p w14:paraId="52ADAD3B" w14:textId="6B67A8DD" w:rsidR="00A77B3E" w:rsidRPr="00FF63FF" w:rsidRDefault="00DA221C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rFonts w:ascii="Book Antiqua" w:eastAsia="Book Antiqua" w:hAnsi="Book Antiqua" w:cs="Book Antiqua"/>
          <w:color w:val="000000"/>
        </w:rPr>
        <w:t>Grade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(Poor):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0</w:t>
      </w:r>
    </w:p>
    <w:p w14:paraId="6BDB8866" w14:textId="77777777" w:rsidR="00A77B3E" w:rsidRPr="00FF63FF" w:rsidRDefault="00A77B3E" w:rsidP="00DA221C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00C9455" w14:textId="1275248C" w:rsidR="00A77B3E" w:rsidRPr="00B811A2" w:rsidRDefault="00DA221C" w:rsidP="00DA221C">
      <w:pPr>
        <w:snapToGrid w:val="0"/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Manesis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EK,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6ADF" w:rsidRPr="00FF63FF">
        <w:rPr>
          <w:rFonts w:ascii="Book Antiqua" w:hAnsi="Book Antiqua"/>
          <w:color w:val="000000"/>
        </w:rPr>
        <w:t>Xie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376ADF" w:rsidRPr="00FF63FF">
        <w:rPr>
          <w:rFonts w:ascii="Book Antiqua" w:hAnsi="Book Antiqua"/>
          <w:color w:val="000000"/>
        </w:rPr>
        <w:t>Y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S-Editor: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Gong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ZM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L-Editor: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961B05" w:rsidRPr="00FF63FF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P-Editor:</w:t>
      </w:r>
      <w:r w:rsidR="00B811A2">
        <w:rPr>
          <w:rFonts w:ascii="Book Antiqua" w:eastAsiaTheme="minorEastAsia" w:hAnsi="Book Antiqua" w:cs="Book Antiqua" w:hint="eastAsia"/>
          <w:b/>
          <w:color w:val="000000"/>
        </w:rPr>
        <w:t xml:space="preserve"> </w:t>
      </w:r>
      <w:r w:rsidR="00B811A2" w:rsidRPr="00B811A2">
        <w:rPr>
          <w:rFonts w:ascii="Book Antiqua" w:eastAsiaTheme="minorEastAsia" w:hAnsi="Book Antiqua" w:cs="Book Antiqua"/>
          <w:color w:val="000000"/>
        </w:rPr>
        <w:t>Yuan YY</w:t>
      </w:r>
    </w:p>
    <w:p w14:paraId="319C6598" w14:textId="77777777" w:rsidR="007852E0" w:rsidRPr="00FF63FF" w:rsidRDefault="007852E0" w:rsidP="00DA221C">
      <w:pPr>
        <w:snapToGrid w:val="0"/>
        <w:spacing w:line="360" w:lineRule="auto"/>
        <w:jc w:val="both"/>
        <w:rPr>
          <w:rFonts w:ascii="Book Antiqua" w:hAnsi="Book Antiqua"/>
        </w:rPr>
        <w:sectPr w:rsidR="007852E0" w:rsidRPr="00FF63FF" w:rsidSect="00FD2B6D">
          <w:pgSz w:w="12240" w:h="15840"/>
          <w:pgMar w:top="1554" w:right="1554" w:bottom="1554" w:left="1554" w:header="720" w:footer="720" w:gutter="0"/>
          <w:cols w:space="720"/>
          <w:docGrid w:linePitch="360"/>
        </w:sectPr>
      </w:pPr>
    </w:p>
    <w:p w14:paraId="5DA374A4" w14:textId="6D1E6458" w:rsidR="00A77B3E" w:rsidRPr="00FF63FF" w:rsidRDefault="00DA221C" w:rsidP="00DA221C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F63F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A233F" w:rsidRPr="00FF63F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color w:val="000000"/>
        </w:rPr>
        <w:t>Legends</w:t>
      </w:r>
    </w:p>
    <w:p w14:paraId="138C326D" w14:textId="04C0A355" w:rsidR="00D926D2" w:rsidRPr="00FF63FF" w:rsidRDefault="001056C9" w:rsidP="00DA221C">
      <w:pPr>
        <w:snapToGrid w:val="0"/>
        <w:spacing w:line="360" w:lineRule="auto"/>
        <w:jc w:val="both"/>
        <w:rPr>
          <w:rFonts w:ascii="Book Antiqua" w:hAnsi="Book Antiqua"/>
        </w:rPr>
      </w:pPr>
      <w:r w:rsidRPr="00FF63FF">
        <w:rPr>
          <w:noProof/>
        </w:rPr>
        <w:drawing>
          <wp:inline distT="0" distB="0" distL="0" distR="0" wp14:anchorId="6D469BD0" wp14:editId="721B328D">
            <wp:extent cx="5273540" cy="4937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0275" cy="494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327E1" w14:textId="77777777" w:rsidR="00946F6B" w:rsidRDefault="00DA221C" w:rsidP="00DA22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7FE0" w:rsidRPr="00FF63FF">
        <w:rPr>
          <w:rFonts w:ascii="Book Antiqua" w:hAnsi="Book Antiqua"/>
          <w:b/>
          <w:bCs/>
          <w:color w:val="000000"/>
        </w:rPr>
        <w:t>T</w:t>
      </w:r>
      <w:r w:rsidR="0041593E" w:rsidRPr="00FF63FF">
        <w:rPr>
          <w:rFonts w:ascii="Book Antiqua" w:hAnsi="Book Antiqua"/>
          <w:b/>
          <w:bCs/>
          <w:color w:val="000000"/>
        </w:rPr>
        <w:t>-</w:t>
      </w:r>
      <w:r w:rsidR="009E7FE0" w:rsidRPr="00FF63FF">
        <w:rPr>
          <w:rFonts w:ascii="Book Antiqua" w:hAnsi="Book Antiqua"/>
          <w:b/>
          <w:bCs/>
          <w:color w:val="000000"/>
        </w:rPr>
        <w:t>cell</w:t>
      </w:r>
      <w:r w:rsidR="00DA233F" w:rsidRPr="00FF63FF">
        <w:rPr>
          <w:rFonts w:ascii="Book Antiqua" w:hAnsi="Book Antiqua"/>
          <w:b/>
          <w:bCs/>
          <w:color w:val="000000"/>
        </w:rPr>
        <w:t xml:space="preserve"> </w:t>
      </w:r>
      <w:r w:rsidR="009E7FE0" w:rsidRPr="00FF63FF">
        <w:rPr>
          <w:rFonts w:ascii="Book Antiqua" w:hAnsi="Book Antiqua"/>
          <w:b/>
          <w:bCs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7FE0" w:rsidRPr="00FF63FF">
        <w:rPr>
          <w:rFonts w:ascii="Book Antiqua" w:hAnsi="Book Antiqua"/>
          <w:b/>
          <w:bCs/>
          <w:color w:val="000000"/>
        </w:rPr>
        <w:t>B</w:t>
      </w:r>
      <w:r w:rsidR="0041593E" w:rsidRPr="00FF63FF">
        <w:rPr>
          <w:rFonts w:ascii="Book Antiqua" w:hAnsi="Book Antiqua"/>
          <w:b/>
          <w:bCs/>
          <w:color w:val="000000"/>
        </w:rPr>
        <w:t>-</w:t>
      </w:r>
      <w:r w:rsidR="009E7FE0" w:rsidRPr="00FF63FF">
        <w:rPr>
          <w:rFonts w:ascii="Book Antiqua" w:hAnsi="Book Antiqua"/>
          <w:b/>
          <w:bCs/>
          <w:color w:val="000000"/>
        </w:rPr>
        <w:t>cell</w:t>
      </w:r>
      <w:r w:rsidR="00DA233F" w:rsidRPr="00FF63FF">
        <w:rPr>
          <w:rFonts w:ascii="Book Antiqua" w:hAnsi="Book Antiqua"/>
          <w:b/>
          <w:bCs/>
          <w:color w:val="000000"/>
        </w:rPr>
        <w:t xml:space="preserve"> </w:t>
      </w:r>
      <w:r w:rsidR="009E7FE0" w:rsidRPr="00FF63FF">
        <w:rPr>
          <w:rFonts w:ascii="Book Antiqua" w:hAnsi="Book Antiqua"/>
          <w:b/>
          <w:bCs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structure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pathways.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8348F" w:rsidRPr="00FF63FF">
        <w:rPr>
          <w:rFonts w:ascii="Book Antiqua" w:eastAsia="Book Antiqua" w:hAnsi="Book Antiqua" w:cs="Book Antiqua"/>
          <w:color w:val="000000"/>
        </w:rPr>
        <w:t>T-cell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8348F"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8348F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D8348F" w:rsidRPr="00FF63FF">
        <w:rPr>
          <w:rFonts w:ascii="Book Antiqua" w:eastAsia="Book Antiqua" w:hAnsi="Book Antiqua" w:cs="Book Antiqua"/>
          <w:color w:val="000000"/>
        </w:rPr>
        <w:t>B-</w:t>
      </w:r>
      <w:r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receptor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complex</w:t>
      </w:r>
      <w:r w:rsidR="0041593E" w:rsidRPr="00FF63FF">
        <w:rPr>
          <w:rFonts w:ascii="Book Antiqua" w:eastAsia="Book Antiqua" w:hAnsi="Book Antiqua" w:cs="Book Antiqua"/>
          <w:color w:val="000000"/>
        </w:rPr>
        <w:t>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include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both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antigen-recognition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invariant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proteins.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Phosphorylation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ITAMs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ε,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γ,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δ,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ζ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chain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enables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them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bind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cytosolic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tyrosine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kinase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ZAP-70</w:t>
      </w:r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turn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recruits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PLC-γ.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PLC-γ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cleaves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PIP</w:t>
      </w:r>
      <w:r w:rsidRPr="00FF63FF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yield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IP</w:t>
      </w:r>
      <w:r w:rsidRPr="00FF63FF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IP</w:t>
      </w:r>
      <w:r w:rsidRPr="00FF63FF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DA233F" w:rsidRPr="00FF63FF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increases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intracellular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</w:t>
      </w:r>
      <w:r w:rsidRPr="00FF63FF">
        <w:rPr>
          <w:rFonts w:ascii="Book Antiqua" w:eastAsia="Book Antiqua" w:hAnsi="Book Antiqua" w:cs="Book Antiqua"/>
          <w:color w:val="000000"/>
          <w:vertAlign w:val="superscript"/>
        </w:rPr>
        <w:t>2+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concentration,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calcineurin</w:t>
      </w:r>
      <w:proofErr w:type="spellEnd"/>
      <w:r w:rsidR="0041593E" w:rsidRPr="00FF63FF">
        <w:rPr>
          <w:rFonts w:ascii="Book Antiqua" w:eastAsia="Book Antiqua" w:hAnsi="Book Antiqua" w:cs="Book Antiqua"/>
          <w:color w:val="000000"/>
        </w:rPr>
        <w:t xml:space="preserve">,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phosphatase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that </w:t>
      </w:r>
      <w:r w:rsidRPr="00FF63FF">
        <w:rPr>
          <w:rFonts w:ascii="Book Antiqua" w:eastAsia="Book Antiqua" w:hAnsi="Book Antiqua" w:cs="Book Antiqua"/>
          <w:color w:val="000000"/>
        </w:rPr>
        <w:t>then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</w:t>
      </w:r>
      <w:r w:rsidR="0041593E" w:rsidRPr="00FF63FF">
        <w:rPr>
          <w:rFonts w:ascii="Book Antiqua" w:eastAsia="Book Antiqua" w:hAnsi="Book Antiqua" w:cs="Book Antiqua"/>
          <w:color w:val="000000"/>
        </w:rPr>
        <w:t>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NFAT </w:t>
      </w:r>
      <w:r w:rsidRPr="00FF63FF">
        <w:rPr>
          <w:rFonts w:ascii="Book Antiqua" w:eastAsia="Book Antiqua" w:hAnsi="Book Antiqua" w:cs="Book Antiqua"/>
          <w:color w:val="000000"/>
        </w:rPr>
        <w:t>transcription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recruits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PKC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CARMA</w:t>
      </w:r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leads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recruits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RasGRP</w:t>
      </w:r>
      <w:proofErr w:type="spellEnd"/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AP-1.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These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three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important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signaling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pathways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activate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transcription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factors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nucleus,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including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NF-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κB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NFAT,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AP-1,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result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cell </w:t>
      </w:r>
      <w:r w:rsidRPr="00FF63FF">
        <w:rPr>
          <w:rFonts w:ascii="Book Antiqua" w:eastAsia="Book Antiqua" w:hAnsi="Book Antiqua" w:cs="Book Antiqua"/>
          <w:color w:val="000000"/>
        </w:rPr>
        <w:t>differentiation,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proliferation</w:t>
      </w:r>
      <w:r w:rsidR="0041593E" w:rsidRPr="00FF63FF">
        <w:rPr>
          <w:rFonts w:ascii="Book Antiqua" w:eastAsia="Book Antiqua" w:hAnsi="Book Antiqua" w:cs="Book Antiqua"/>
          <w:color w:val="000000"/>
        </w:rPr>
        <w:t>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response.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41593E" w:rsidRPr="00FF63FF">
        <w:rPr>
          <w:rFonts w:ascii="Book Antiqua" w:eastAsia="Book Antiqua" w:hAnsi="Book Antiqua" w:cs="Book Antiqua"/>
          <w:color w:val="000000"/>
        </w:rPr>
        <w:t>AP-1: Activator protein-1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CARMA: 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Caspase</w:t>
      </w:r>
      <w:proofErr w:type="spellEnd"/>
      <w:r w:rsidR="0041593E" w:rsidRPr="00FF63FF">
        <w:rPr>
          <w:rFonts w:ascii="Book Antiqua" w:eastAsia="Book Antiqua" w:hAnsi="Book Antiqua" w:cs="Book Antiqua"/>
          <w:color w:val="000000"/>
        </w:rPr>
        <w:t xml:space="preserve"> recruitment domain family, member 14 protein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DAG: 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Diacylglycerol</w:t>
      </w:r>
      <w:proofErr w:type="spellEnd"/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IP</w:t>
      </w:r>
      <w:r w:rsidR="0041593E" w:rsidRPr="00A170D0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: Inositol 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trisphosphate</w:t>
      </w:r>
      <w:proofErr w:type="spellEnd"/>
      <w:r w:rsidR="00F55F85" w:rsidRPr="00FF63FF">
        <w:rPr>
          <w:rFonts w:ascii="Book Antiqua" w:eastAsia="Book Antiqua" w:hAnsi="Book Antiqua" w:cs="Book Antiqua"/>
          <w:color w:val="000000"/>
        </w:rPr>
        <w:t xml:space="preserve">; 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ITAM: 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Immunoreceptor</w:t>
      </w:r>
      <w:proofErr w:type="spellEnd"/>
      <w:r w:rsidR="0041593E" w:rsidRPr="00FF63FF">
        <w:rPr>
          <w:rFonts w:ascii="Book Antiqua" w:eastAsia="Book Antiqua" w:hAnsi="Book Antiqua" w:cs="Book Antiqua"/>
          <w:color w:val="000000"/>
        </w:rPr>
        <w:t xml:space="preserve"> tyrosine-based activation motif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NFAT: Nuclear factor of activated T cells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NF-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κB</w:t>
      </w:r>
      <w:proofErr w:type="spellEnd"/>
      <w:r w:rsidR="0041593E" w:rsidRPr="00FF63FF">
        <w:rPr>
          <w:rFonts w:ascii="Book Antiqua" w:eastAsia="Book Antiqua" w:hAnsi="Book Antiqua" w:cs="Book Antiqua"/>
          <w:color w:val="000000"/>
        </w:rPr>
        <w:t>: Nuclear factor kappa B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PIP</w:t>
      </w:r>
      <w:r w:rsidR="0041593E" w:rsidRPr="00A170D0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: Phosphatidylinositol 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bisphosphate</w:t>
      </w:r>
      <w:proofErr w:type="spellEnd"/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PKC: Protein kinase C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PLC-γ: Phospholipase C-γ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RasGRP</w:t>
      </w:r>
      <w:proofErr w:type="spellEnd"/>
      <w:r w:rsidR="0041593E" w:rsidRPr="00FF63FF">
        <w:rPr>
          <w:rFonts w:ascii="Book Antiqua" w:eastAsia="Book Antiqua" w:hAnsi="Book Antiqua" w:cs="Book Antiqua"/>
          <w:color w:val="000000"/>
        </w:rPr>
        <w:t xml:space="preserve">: RAS 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guanyl</w:t>
      </w:r>
      <w:proofErr w:type="spellEnd"/>
      <w:r w:rsidR="0041593E" w:rsidRPr="00FF63FF">
        <w:rPr>
          <w:rFonts w:ascii="Book Antiqua" w:eastAsia="Book Antiqua" w:hAnsi="Book Antiqua" w:cs="Book Antiqua"/>
          <w:color w:val="000000"/>
        </w:rPr>
        <w:t xml:space="preserve"> releasing protein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593E" w:rsidRPr="00FF63FF">
        <w:rPr>
          <w:rFonts w:ascii="Book Antiqua" w:eastAsia="Book Antiqua" w:hAnsi="Book Antiqua" w:cs="Book Antiqua"/>
          <w:color w:val="000000"/>
        </w:rPr>
        <w:t>Syk</w:t>
      </w:r>
      <w:proofErr w:type="spellEnd"/>
      <w:r w:rsidR="0041593E" w:rsidRPr="00FF63FF">
        <w:rPr>
          <w:rFonts w:ascii="Book Antiqua" w:eastAsia="Book Antiqua" w:hAnsi="Book Antiqua" w:cs="Book Antiqua"/>
          <w:color w:val="000000"/>
        </w:rPr>
        <w:t>: Spleen</w:t>
      </w:r>
      <w:r w:rsidR="0060181C">
        <w:rPr>
          <w:rFonts w:ascii="Book Antiqua" w:eastAsia="Book Antiqua" w:hAnsi="Book Antiqua" w:cs="Book Antiqua"/>
          <w:color w:val="000000"/>
        </w:rPr>
        <w:t>-</w:t>
      </w:r>
      <w:r w:rsidR="0041593E" w:rsidRPr="00FF63FF">
        <w:rPr>
          <w:rFonts w:ascii="Book Antiqua" w:eastAsia="Book Antiqua" w:hAnsi="Book Antiqua" w:cs="Book Antiqua"/>
          <w:color w:val="000000"/>
        </w:rPr>
        <w:t>associated tyrosine kinase</w:t>
      </w:r>
      <w:r w:rsidR="00F55F85" w:rsidRPr="00FF63FF">
        <w:rPr>
          <w:rFonts w:ascii="Book Antiqua" w:eastAsia="Book Antiqua" w:hAnsi="Book Antiqua" w:cs="Book Antiqua"/>
          <w:color w:val="000000"/>
        </w:rPr>
        <w:t>;</w:t>
      </w:r>
      <w:r w:rsidR="0041593E" w:rsidRPr="00FF63FF">
        <w:rPr>
          <w:rFonts w:ascii="Book Antiqua" w:eastAsia="Book Antiqua" w:hAnsi="Book Antiqua" w:cs="Book Antiqua"/>
          <w:color w:val="000000"/>
        </w:rPr>
        <w:t xml:space="preserve"> ZAP-70: Zeta chain of T</w:t>
      </w:r>
      <w:r w:rsidR="0060181C">
        <w:rPr>
          <w:rFonts w:ascii="Book Antiqua" w:eastAsia="Book Antiqua" w:hAnsi="Book Antiqua" w:cs="Book Antiqua"/>
          <w:color w:val="000000"/>
        </w:rPr>
        <w:t>-</w:t>
      </w:r>
      <w:r w:rsidR="0041593E" w:rsidRPr="00FF63FF">
        <w:rPr>
          <w:rFonts w:ascii="Book Antiqua" w:eastAsia="Book Antiqua" w:hAnsi="Book Antiqua" w:cs="Book Antiqua"/>
          <w:color w:val="000000"/>
        </w:rPr>
        <w:t>cell receptor</w:t>
      </w:r>
      <w:r w:rsidR="0060181C">
        <w:rPr>
          <w:rFonts w:ascii="Book Antiqua" w:eastAsia="Book Antiqua" w:hAnsi="Book Antiqua" w:cs="Book Antiqua"/>
          <w:color w:val="000000"/>
        </w:rPr>
        <w:t>-</w:t>
      </w:r>
      <w:r w:rsidR="0041593E" w:rsidRPr="00FF63FF">
        <w:rPr>
          <w:rFonts w:ascii="Book Antiqua" w:eastAsia="Book Antiqua" w:hAnsi="Book Antiqua" w:cs="Book Antiqua"/>
          <w:color w:val="000000"/>
        </w:rPr>
        <w:t>associated protein kinase 70.</w:t>
      </w:r>
    </w:p>
    <w:p w14:paraId="42AD39AE" w14:textId="77777777" w:rsidR="00946F6B" w:rsidRDefault="00946F6B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1A0CAD8A" w14:textId="463D8F3F" w:rsidR="00D926D2" w:rsidRPr="00FF63FF" w:rsidRDefault="00DA221C" w:rsidP="00DA22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3FF">
        <w:rPr>
          <w:rFonts w:ascii="Book Antiqua" w:hAnsi="Book Antiqua"/>
        </w:rPr>
        <w:lastRenderedPageBreak/>
        <w:br w:type="page"/>
      </w:r>
      <w:r w:rsidR="001056C9" w:rsidRPr="00FF63FF">
        <w:rPr>
          <w:noProof/>
        </w:rPr>
        <w:lastRenderedPageBreak/>
        <w:drawing>
          <wp:inline distT="0" distB="0" distL="0" distR="0" wp14:anchorId="5867E9DA" wp14:editId="1B086C8B">
            <wp:extent cx="8084820" cy="45935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8482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A275A" w14:textId="0FBEFAAD" w:rsidR="00A77B3E" w:rsidRPr="00FF63FF" w:rsidRDefault="00DA221C" w:rsidP="00DA221C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F63F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Workflow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b/>
          <w:bCs/>
          <w:color w:val="000000"/>
        </w:rPr>
        <w:t>sequencing.</w:t>
      </w:r>
      <w:r w:rsidR="00DA233F" w:rsidRPr="00FF63F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mainly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five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sections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immune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repertoire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1</w:t>
      </w:r>
      <w:r w:rsidR="00D8348F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Cell/</w:t>
      </w:r>
      <w:r w:rsidR="009E7FE0" w:rsidRPr="00FF63FF">
        <w:rPr>
          <w:rFonts w:ascii="Book Antiqua" w:eastAsia="Book Antiqua" w:hAnsi="Book Antiqua" w:cs="Book Antiqua"/>
          <w:color w:val="000000"/>
        </w:rPr>
        <w:t>t</w:t>
      </w:r>
      <w:r w:rsidRPr="00FF63FF">
        <w:rPr>
          <w:rFonts w:ascii="Book Antiqua" w:eastAsia="Book Antiqua" w:hAnsi="Book Antiqua" w:cs="Book Antiqua"/>
          <w:color w:val="000000"/>
        </w:rPr>
        <w:t>issue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collection.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2</w:t>
      </w:r>
      <w:r w:rsidR="00D8348F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DNA/RNA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extraction.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figure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illustrates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recombination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transcription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T</w:t>
      </w:r>
      <w:r w:rsidR="00EF33CF" w:rsidRPr="00FF63FF">
        <w:rPr>
          <w:rFonts w:ascii="Book Antiqua" w:eastAsia="Book Antiqua" w:hAnsi="Book Antiqua" w:cs="Book Antiqua"/>
          <w:color w:val="000000"/>
        </w:rPr>
        <w:t>-</w:t>
      </w:r>
      <w:r w:rsidR="0089731D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(TCR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89731D" w:rsidRPr="00FF63FF">
        <w:rPr>
          <w:rFonts w:ascii="Book Antiqua" w:eastAsia="Book Antiqua" w:hAnsi="Book Antiqua" w:cs="Book Antiqua"/>
          <w:color w:val="000000"/>
        </w:rPr>
        <w:t>)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B</w:t>
      </w:r>
      <w:r w:rsidR="00EF33CF" w:rsidRPr="00FF63FF">
        <w:rPr>
          <w:rFonts w:ascii="Book Antiqua" w:eastAsia="Book Antiqua" w:hAnsi="Book Antiqua" w:cs="Book Antiqua"/>
          <w:color w:val="000000"/>
        </w:rPr>
        <w:t>-</w:t>
      </w:r>
      <w:r w:rsidR="0089731D" w:rsidRPr="00FF63FF">
        <w:rPr>
          <w:rFonts w:ascii="Book Antiqua" w:eastAsia="Book Antiqua" w:hAnsi="Book Antiqua" w:cs="Book Antiqua"/>
          <w:color w:val="000000"/>
        </w:rPr>
        <w:t>cell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receptors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9731D" w:rsidRPr="00FF63FF">
        <w:rPr>
          <w:rFonts w:ascii="Book Antiqua" w:eastAsia="Book Antiqua" w:hAnsi="Book Antiqua" w:cs="Book Antiqua"/>
          <w:color w:val="000000"/>
        </w:rPr>
        <w:t>(BCR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89731D" w:rsidRPr="00FF63FF">
        <w:rPr>
          <w:rFonts w:ascii="Book Antiqua" w:eastAsia="Book Antiqua" w:hAnsi="Book Antiqua" w:cs="Book Antiqua"/>
          <w:color w:val="000000"/>
        </w:rPr>
        <w:t>)</w:t>
      </w:r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and </w:t>
      </w:r>
      <w:r w:rsidRPr="00FF63FF">
        <w:rPr>
          <w:rFonts w:ascii="Book Antiqua" w:eastAsia="Book Antiqua" w:hAnsi="Book Antiqua" w:cs="Book Antiqua"/>
          <w:color w:val="000000"/>
        </w:rPr>
        <w:t>J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segments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of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undergo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somatic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rearrangement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gene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insertion/deletion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before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transcription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 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generate </w:t>
      </w:r>
      <w:r w:rsidRPr="00FF63FF">
        <w:rPr>
          <w:rFonts w:ascii="Book Antiqua" w:eastAsia="Book Antiqua" w:hAnsi="Book Antiqua" w:cs="Book Antiqua"/>
          <w:color w:val="000000"/>
        </w:rPr>
        <w:t>highly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variable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CDR3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regions,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which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are </w:t>
      </w:r>
      <w:r w:rsidRPr="00FF63FF">
        <w:rPr>
          <w:rFonts w:ascii="Book Antiqua" w:eastAsia="Book Antiqua" w:hAnsi="Book Antiqua" w:cs="Book Antiqua"/>
          <w:color w:val="000000"/>
        </w:rPr>
        <w:lastRenderedPageBreak/>
        <w:t>then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translat</w:t>
      </w:r>
      <w:r w:rsidR="00EF33CF" w:rsidRPr="00FF63FF">
        <w:rPr>
          <w:rFonts w:ascii="Book Antiqua" w:eastAsia="Book Antiqua" w:hAnsi="Book Antiqua" w:cs="Book Antiqua"/>
          <w:color w:val="000000"/>
        </w:rPr>
        <w:t>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as </w:t>
      </w:r>
      <w:r w:rsidRPr="00FF63FF">
        <w:rPr>
          <w:rFonts w:ascii="Book Antiqua" w:eastAsia="Book Antiqua" w:hAnsi="Book Antiqua" w:cs="Book Antiqua"/>
          <w:color w:val="000000"/>
        </w:rPr>
        <w:t>TCR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F63FF">
        <w:rPr>
          <w:rFonts w:ascii="Book Antiqua" w:eastAsia="Book Antiqua" w:hAnsi="Book Antiqua" w:cs="Book Antiqua"/>
          <w:color w:val="000000"/>
        </w:rPr>
        <w:t>immunoglobulin</w:t>
      </w:r>
      <w:r w:rsidR="00EF33CF" w:rsidRPr="00FF63FF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FF63FF">
        <w:rPr>
          <w:rFonts w:ascii="Book Antiqua" w:eastAsia="Book Antiqua" w:hAnsi="Book Antiqua" w:cs="Book Antiqua"/>
          <w:color w:val="000000"/>
        </w:rPr>
        <w:t>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3</w:t>
      </w:r>
      <w:r w:rsidR="00D8348F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constructi</w:t>
      </w:r>
      <w:r w:rsidR="00EF0C5A" w:rsidRPr="00FF63FF">
        <w:rPr>
          <w:rFonts w:ascii="Book Antiqua" w:eastAsia="Book Antiqua" w:hAnsi="Book Antiqua" w:cs="Book Antiqua"/>
          <w:color w:val="000000"/>
        </w:rPr>
        <w:t>on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 by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>n</w:t>
      </w:r>
      <w:r w:rsidR="00EF0C5A" w:rsidRPr="00FF63FF">
        <w:rPr>
          <w:rFonts w:ascii="Book Antiqua" w:eastAsia="Book Antiqua" w:hAnsi="Book Antiqua" w:cs="Book Antiqua"/>
          <w:color w:val="000000"/>
        </w:rPr>
        <w:t>ext</w:t>
      </w:r>
      <w:r w:rsidR="0060181C">
        <w:rPr>
          <w:rFonts w:ascii="Book Antiqua" w:eastAsia="Book Antiqua" w:hAnsi="Book Antiqua" w:cs="Book Antiqua"/>
          <w:color w:val="000000"/>
        </w:rPr>
        <w:t>-generation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0C5A" w:rsidRPr="00FF63FF">
        <w:rPr>
          <w:rFonts w:ascii="Book Antiqua" w:eastAsia="Book Antiqua" w:hAnsi="Book Antiqua" w:cs="Book Antiqua"/>
          <w:color w:val="000000"/>
        </w:rPr>
        <w:t>sequencing</w:t>
      </w:r>
      <w:r w:rsidR="00EF33C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methods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are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EF33CF" w:rsidRPr="00FF63FF">
        <w:rPr>
          <w:rFonts w:ascii="Book Antiqua" w:eastAsia="Book Antiqua" w:hAnsi="Book Antiqua" w:cs="Book Antiqua"/>
          <w:color w:val="000000"/>
        </w:rPr>
        <w:t>used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to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complete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the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library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preparation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and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amplification.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4</w:t>
      </w:r>
      <w:r w:rsidR="00BC1A95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sequencing.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5</w:t>
      </w:r>
      <w:r w:rsidR="00BC1A95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Data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analysis.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971E1C" w:rsidRPr="00FF63FF">
        <w:rPr>
          <w:rFonts w:ascii="Book Antiqua" w:hAnsi="Book Antiqua"/>
          <w:color w:val="000000"/>
        </w:rPr>
        <w:t>BCR: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="00971E1C" w:rsidRPr="00FF63FF">
        <w:rPr>
          <w:rFonts w:ascii="Book Antiqua" w:hAnsi="Book Antiqua"/>
          <w:color w:val="000000"/>
        </w:rPr>
        <w:t>B</w:t>
      </w:r>
      <w:r w:rsidR="00FF63FF">
        <w:rPr>
          <w:rFonts w:ascii="Book Antiqua" w:hAnsi="Book Antiqua"/>
          <w:color w:val="000000"/>
        </w:rPr>
        <w:t>-</w:t>
      </w:r>
      <w:r w:rsidR="00971E1C" w:rsidRPr="00FF63FF">
        <w:rPr>
          <w:rFonts w:ascii="Book Antiqua" w:hAnsi="Book Antiqua"/>
          <w:color w:val="000000"/>
        </w:rPr>
        <w:t>cell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="00971E1C" w:rsidRPr="00FF63FF">
        <w:rPr>
          <w:rFonts w:ascii="Book Antiqua" w:hAnsi="Book Antiqua"/>
          <w:color w:val="000000"/>
        </w:rPr>
        <w:t>receptor;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="00971E1C" w:rsidRPr="00FF63FF">
        <w:rPr>
          <w:rFonts w:ascii="Book Antiqua" w:hAnsi="Book Antiqua"/>
          <w:color w:val="000000"/>
        </w:rPr>
        <w:t>CDR3: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="00971E1C" w:rsidRPr="00FF63FF">
        <w:rPr>
          <w:rFonts w:ascii="Book Antiqua" w:hAnsi="Book Antiqua"/>
        </w:rPr>
        <w:t>Complementary</w:t>
      </w:r>
      <w:r w:rsidR="00DA233F" w:rsidRPr="00FF63FF">
        <w:rPr>
          <w:rFonts w:ascii="Book Antiqua" w:hAnsi="Book Antiqua"/>
        </w:rPr>
        <w:t xml:space="preserve"> </w:t>
      </w:r>
      <w:r w:rsidR="00971E1C" w:rsidRPr="00FF63FF">
        <w:rPr>
          <w:rFonts w:ascii="Book Antiqua" w:hAnsi="Book Antiqua"/>
        </w:rPr>
        <w:t>determining</w:t>
      </w:r>
      <w:r w:rsidR="00DA233F" w:rsidRPr="00FF63FF">
        <w:rPr>
          <w:rFonts w:ascii="Book Antiqua" w:hAnsi="Book Antiqua"/>
        </w:rPr>
        <w:t xml:space="preserve"> </w:t>
      </w:r>
      <w:r w:rsidR="00971E1C" w:rsidRPr="00FF63FF">
        <w:rPr>
          <w:rFonts w:ascii="Book Antiqua" w:hAnsi="Book Antiqua"/>
        </w:rPr>
        <w:t>region</w:t>
      </w:r>
      <w:r w:rsidR="00DA233F" w:rsidRPr="00FF63FF">
        <w:rPr>
          <w:rFonts w:ascii="Book Antiqua" w:hAnsi="Book Antiqua"/>
        </w:rPr>
        <w:t xml:space="preserve"> </w:t>
      </w:r>
      <w:r w:rsidR="00A02BAD" w:rsidRPr="00FF63FF">
        <w:rPr>
          <w:rFonts w:ascii="Book Antiqua" w:hAnsi="Book Antiqua"/>
        </w:rPr>
        <w:t>3</w:t>
      </w:r>
      <w:r w:rsidR="00EF33CF" w:rsidRPr="00FF63FF">
        <w:rPr>
          <w:rFonts w:ascii="Book Antiqua" w:hAnsi="Book Antiqua"/>
        </w:rPr>
        <w:t xml:space="preserve">; </w:t>
      </w:r>
      <w:r w:rsidR="00EF33CF" w:rsidRPr="00FF63FF">
        <w:rPr>
          <w:rFonts w:ascii="Book Antiqua" w:hAnsi="Book Antiqua"/>
          <w:color w:val="000000"/>
        </w:rPr>
        <w:t>TCR: T</w:t>
      </w:r>
      <w:r w:rsidR="0060181C">
        <w:rPr>
          <w:rFonts w:ascii="Book Antiqua" w:hAnsi="Book Antiqua"/>
          <w:color w:val="000000"/>
        </w:rPr>
        <w:t>-cell</w:t>
      </w:r>
      <w:r w:rsidR="00EF33CF" w:rsidRPr="00FF63FF">
        <w:rPr>
          <w:rFonts w:ascii="Book Antiqua" w:hAnsi="Book Antiqua"/>
          <w:color w:val="000000"/>
        </w:rPr>
        <w:t xml:space="preserve"> receptor</w:t>
      </w:r>
      <w:r w:rsidR="0071320F" w:rsidRPr="00FF63FF">
        <w:rPr>
          <w:rFonts w:ascii="Book Antiqua" w:hAnsi="Book Antiqua"/>
          <w:color w:val="000000"/>
        </w:rPr>
        <w:t>.</w:t>
      </w:r>
    </w:p>
    <w:p w14:paraId="1528CC94" w14:textId="044CDEA7" w:rsidR="00DA221C" w:rsidRPr="00FF63FF" w:rsidRDefault="00D926D2" w:rsidP="00DA221C">
      <w:pPr>
        <w:snapToGrid w:val="0"/>
        <w:spacing w:line="360" w:lineRule="auto"/>
        <w:rPr>
          <w:rFonts w:ascii="Book Antiqua" w:hAnsi="Book Antiqua"/>
          <w:b/>
          <w:bCs/>
        </w:rPr>
      </w:pPr>
      <w:r w:rsidRPr="00FF63FF">
        <w:rPr>
          <w:rFonts w:ascii="Book Antiqua" w:hAnsi="Book Antiqua"/>
        </w:rPr>
        <w:br w:type="page"/>
      </w:r>
      <w:r w:rsidR="00DA221C" w:rsidRPr="00FF63FF">
        <w:rPr>
          <w:rFonts w:ascii="Book Antiqua" w:hAnsi="Book Antiqua"/>
          <w:b/>
          <w:bCs/>
        </w:rPr>
        <w:lastRenderedPageBreak/>
        <w:t>Table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1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Immune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repertoire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EF33CF" w:rsidRPr="00FF63FF">
        <w:rPr>
          <w:rFonts w:ascii="Book Antiqua" w:hAnsi="Book Antiqua"/>
          <w:b/>
          <w:bCs/>
        </w:rPr>
        <w:t xml:space="preserve">investigation of </w:t>
      </w:r>
      <w:r w:rsidR="00DA221C" w:rsidRPr="00FF63FF">
        <w:rPr>
          <w:rFonts w:ascii="Book Antiqua" w:hAnsi="Book Antiqua"/>
          <w:b/>
          <w:bCs/>
        </w:rPr>
        <w:t>hepatitis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B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virus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="00DA221C" w:rsidRPr="00FF63FF">
        <w:rPr>
          <w:rFonts w:ascii="Book Antiqua" w:hAnsi="Book Antiqua"/>
          <w:b/>
          <w:bCs/>
        </w:rPr>
        <w:t>infection</w:t>
      </w:r>
    </w:p>
    <w:tbl>
      <w:tblPr>
        <w:tblW w:w="12724" w:type="dxa"/>
        <w:tblLayout w:type="fixed"/>
        <w:tblLook w:val="04A0" w:firstRow="1" w:lastRow="0" w:firstColumn="1" w:lastColumn="0" w:noHBand="0" w:noVBand="1"/>
      </w:tblPr>
      <w:tblGrid>
        <w:gridCol w:w="1285"/>
        <w:gridCol w:w="2509"/>
        <w:gridCol w:w="1701"/>
        <w:gridCol w:w="1276"/>
        <w:gridCol w:w="1695"/>
        <w:gridCol w:w="2274"/>
        <w:gridCol w:w="1984"/>
      </w:tblGrid>
      <w:tr w:rsidR="003D0664" w:rsidRPr="00FF63FF" w14:paraId="6CCD0BB1" w14:textId="77777777" w:rsidTr="001D775C">
        <w:trPr>
          <w:trHeight w:val="557"/>
        </w:trPr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CF60C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Number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8119D" w14:textId="59CD9FD0" w:rsidR="003D0664" w:rsidRPr="00FF63FF" w:rsidRDefault="00FC7187" w:rsidP="00D33A50">
            <w:pPr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Ref.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8730D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Patients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28A59" w14:textId="6709B953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Amounts</w:t>
            </w:r>
            <w:r w:rsidR="00DA233F" w:rsidRPr="00FF63F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b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b/>
                <w:color w:val="000000"/>
              </w:rPr>
              <w:t>samples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23CE5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6D862" w14:textId="548E6CF9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Sequencing</w:t>
            </w:r>
            <w:r w:rsidR="00DA233F" w:rsidRPr="00FF63FF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b/>
                <w:color w:val="000000"/>
              </w:rPr>
              <w:t>reads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81479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b/>
                <w:color w:val="000000"/>
              </w:rPr>
            </w:pPr>
            <w:r w:rsidRPr="00FF63FF">
              <w:rPr>
                <w:rFonts w:ascii="Book Antiqua" w:hAnsi="Book Antiqua"/>
                <w:b/>
                <w:color w:val="000000"/>
              </w:rPr>
              <w:t>Tools</w:t>
            </w:r>
          </w:p>
        </w:tc>
      </w:tr>
      <w:tr w:rsidR="003D0664" w:rsidRPr="00FF63FF" w14:paraId="0D029034" w14:textId="77777777" w:rsidTr="001D775C">
        <w:trPr>
          <w:trHeight w:val="83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68834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3F2F4" w14:textId="2B64E523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Deulofeut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[59]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1997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6019" w14:textId="0A70DF8E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volunteers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504F" w14:textId="77777777" w:rsidR="003D0664" w:rsidRPr="00FF63FF" w:rsidRDefault="003D0664" w:rsidP="00E5218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8CD81" w14:textId="5EB43CE4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</w:t>
            </w:r>
            <w:r w:rsidR="00DE78EF">
              <w:rPr>
                <w:rFonts w:ascii="Book Antiqua" w:hAnsi="Book Antiqua"/>
                <w:color w:val="000000"/>
              </w:rPr>
              <w:t>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r</w:t>
            </w:r>
            <w:r w:rsidRPr="00FF63FF">
              <w:rPr>
                <w:rFonts w:ascii="Book Antiqua" w:hAnsi="Book Antiqua"/>
                <w:color w:val="000000"/>
              </w:rPr>
              <w:t>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0896E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52A4F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PRISM</w:t>
            </w:r>
          </w:p>
        </w:tc>
      </w:tr>
      <w:tr w:rsidR="003D0664" w:rsidRPr="00FF63FF" w14:paraId="6CBA9AA7" w14:textId="77777777" w:rsidTr="001D775C">
        <w:trPr>
          <w:trHeight w:val="199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2C394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5D072" w14:textId="0517E5D2" w:rsidR="003D0664" w:rsidRPr="00FF63FF" w:rsidRDefault="003D0664" w:rsidP="008C4D2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Höhn</w:t>
            </w:r>
            <w:proofErr w:type="spellEnd"/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[60]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A6A6C" w14:textId="072EFF4E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individuals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immunized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with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recombinant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hepatitis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surface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antigen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963D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D764E" w14:textId="62A1A8CD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</w:t>
            </w:r>
            <w:r w:rsidR="0060181C">
              <w:rPr>
                <w:rFonts w:ascii="Book Antiqua" w:hAnsi="Book Antiqua"/>
                <w:color w:val="000000"/>
              </w:rPr>
              <w:t>CR</w:t>
            </w:r>
            <w:r w:rsidRPr="00FF63FF">
              <w:rPr>
                <w:rFonts w:ascii="Book Antiqua" w:hAnsi="Book Antiqua"/>
                <w:color w:val="000000"/>
              </w:rPr>
              <w:t>-VA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-VB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CD8+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cells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6781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792F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FITC/PE</w:t>
            </w:r>
          </w:p>
        </w:tc>
      </w:tr>
      <w:tr w:rsidR="003D0664" w:rsidRPr="00FF63FF" w14:paraId="38E29CD1" w14:textId="77777777" w:rsidTr="001D775C">
        <w:trPr>
          <w:trHeight w:val="149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BE41D" w14:textId="77777777" w:rsidR="003D0664" w:rsidRPr="00FF63FF" w:rsidRDefault="003D0664" w:rsidP="00107229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18A9" w14:textId="7F1A525B" w:rsidR="003D0664" w:rsidRPr="00FF63FF" w:rsidRDefault="003D0664" w:rsidP="00107229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Soroosh</w:t>
            </w:r>
            <w:proofErr w:type="spellEnd"/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[69]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C2FE" w14:textId="6ED5AB05" w:rsidR="003D0664" w:rsidRPr="00FF63FF" w:rsidRDefault="003D0664" w:rsidP="00107229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Nine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adult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responders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six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non</w:t>
            </w:r>
            <w:r w:rsidR="0060181C">
              <w:rPr>
                <w:rFonts w:ascii="Book Antiqua" w:hAnsi="Book Antiqua"/>
                <w:color w:val="000000"/>
              </w:rPr>
              <w:t>responders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5B93" w14:textId="77777777" w:rsidR="003D0664" w:rsidRPr="00FF63FF" w:rsidRDefault="003D0664" w:rsidP="00107229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BCCF4" w14:textId="355453DF" w:rsidR="003D0664" w:rsidRPr="00FF63FF" w:rsidRDefault="003D0664" w:rsidP="00107229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</w:t>
            </w:r>
            <w:r w:rsidR="00DE78EF">
              <w:rPr>
                <w:rFonts w:ascii="Book Antiqua" w:hAnsi="Book Antiqua"/>
                <w:color w:val="000000"/>
              </w:rPr>
              <w:t>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b</w:t>
            </w:r>
            <w:r w:rsidRPr="00FF63FF">
              <w:rPr>
                <w:rFonts w:ascii="Book Antiqua" w:hAnsi="Book Antiqua"/>
                <w:color w:val="000000"/>
              </w:rPr>
              <w:t>eta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c</w:t>
            </w:r>
            <w:r w:rsidRPr="00FF63FF">
              <w:rPr>
                <w:rFonts w:ascii="Book Antiqua" w:hAnsi="Book Antiqua"/>
                <w:color w:val="000000"/>
              </w:rPr>
              <w:t>hain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v</w:t>
            </w:r>
            <w:r w:rsidRPr="00FF63FF">
              <w:rPr>
                <w:rFonts w:ascii="Book Antiqua" w:hAnsi="Book Antiqua"/>
                <w:color w:val="000000"/>
              </w:rPr>
              <w:t>ariable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AF7D7A" w:rsidRPr="00FF63FF">
              <w:rPr>
                <w:rFonts w:ascii="Book Antiqua" w:hAnsi="Book Antiqua"/>
                <w:color w:val="000000"/>
              </w:rPr>
              <w:t>g</w:t>
            </w:r>
            <w:r w:rsidRPr="00FF63FF">
              <w:rPr>
                <w:rFonts w:ascii="Book Antiqua" w:hAnsi="Book Antiqua"/>
                <w:color w:val="000000"/>
              </w:rPr>
              <w:t>ene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691C" w14:textId="77777777" w:rsidR="003D0664" w:rsidRPr="00FF63FF" w:rsidRDefault="003D0664" w:rsidP="00107229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210D" w14:textId="54B8875B" w:rsidR="003D0664" w:rsidRPr="00FF63FF" w:rsidRDefault="003D0664" w:rsidP="00107229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FRAGMENT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MANAGER’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program</w:t>
            </w:r>
          </w:p>
        </w:tc>
      </w:tr>
      <w:tr w:rsidR="003D0664" w:rsidRPr="00FF63FF" w14:paraId="2907C618" w14:textId="77777777" w:rsidTr="001D775C">
        <w:trPr>
          <w:trHeight w:val="93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C9E7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83CC" w14:textId="799309B4" w:rsidR="003D0664" w:rsidRPr="00FF63FF" w:rsidRDefault="003D0664" w:rsidP="00490D56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Yang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[41]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923FE" w14:textId="5D12FEE7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Forty-two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with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CSHB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69CEA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EAE74" w14:textId="2608248B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CDR3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74BC4" w14:textId="77777777" w:rsidR="003D0664" w:rsidRPr="00E93217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bCs/>
                <w:color w:val="000000"/>
              </w:rPr>
            </w:pPr>
            <w:r w:rsidRPr="00E93217">
              <w:rPr>
                <w:rFonts w:ascii="Book Antiqua" w:hAnsi="Book Antiqua"/>
                <w:bCs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27DD0" w14:textId="54C52A3A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SPSS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16.0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</w:p>
        </w:tc>
      </w:tr>
      <w:tr w:rsidR="003D0664" w:rsidRPr="00FF63FF" w14:paraId="7B82CEF6" w14:textId="77777777" w:rsidTr="001D775C">
        <w:trPr>
          <w:trHeight w:val="175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4B94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B43D6" w14:textId="4A84C403" w:rsidR="003D0664" w:rsidRPr="00FF63FF" w:rsidRDefault="003D0664" w:rsidP="00F1553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Xiong</w:t>
            </w:r>
            <w:proofErr w:type="spellEnd"/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[44]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61EC3" w14:textId="09991B92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18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with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CSHB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8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controls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71D9F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1D20" w14:textId="341353AB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Vβ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2F97" w14:textId="77777777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7AF6" w14:textId="66C1DB57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DNAMAN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version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1.0</w:t>
            </w:r>
          </w:p>
        </w:tc>
      </w:tr>
      <w:tr w:rsidR="003D0664" w:rsidRPr="00FF63FF" w14:paraId="05E1E501" w14:textId="77777777" w:rsidTr="001D775C">
        <w:trPr>
          <w:trHeight w:val="93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BD75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328B8" w14:textId="58B4F691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Han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[52]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DCDF1" w14:textId="55CB782A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Liver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cancers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adults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2921C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160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C03E0" w14:textId="64C81AA8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CDR3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A210" w14:textId="12ABE9A4" w:rsidR="003D0664" w:rsidRPr="00FF63FF" w:rsidRDefault="0095189C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495708</w:t>
            </w:r>
            <w:r w:rsidR="003D0664" w:rsidRPr="00FF63FF">
              <w:rPr>
                <w:rFonts w:ascii="Book Antiqua" w:hAnsi="Book Antiqua"/>
                <w:color w:val="000000"/>
              </w:rPr>
              <w:t>702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EF2B0" w14:textId="77777777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BLAST</w:t>
            </w:r>
          </w:p>
        </w:tc>
      </w:tr>
      <w:tr w:rsidR="003D0664" w:rsidRPr="00FF63FF" w14:paraId="3D96A30A" w14:textId="77777777" w:rsidTr="001D775C">
        <w:trPr>
          <w:trHeight w:val="91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B0A3D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ACD1" w14:textId="243C904F" w:rsidR="003D0664" w:rsidRPr="00FF63FF" w:rsidRDefault="003D0664" w:rsidP="00F1553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Galson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[62]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67B8F" w14:textId="782FC9F9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Naïve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group: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iCs/>
                <w:color w:val="000000"/>
              </w:rPr>
              <w:t>n</w:t>
            </w:r>
            <w:r w:rsidR="00DA233F" w:rsidRPr="00E93217">
              <w:rPr>
                <w:rFonts w:ascii="Book Antiqua" w:hAnsi="Book Antiqua"/>
                <w:iCs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=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9;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vaccine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group: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iCs/>
                <w:color w:val="000000"/>
              </w:rPr>
              <w:t>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=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EE82D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108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EE45" w14:textId="7F226AB9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B</w:t>
            </w:r>
            <w:r w:rsidR="0060181C">
              <w:rPr>
                <w:rFonts w:ascii="Book Antiqua" w:hAnsi="Book Antiqua"/>
                <w:color w:val="000000"/>
              </w:rPr>
              <w:t>-</w:t>
            </w:r>
            <w:r w:rsidR="00CE2E5C" w:rsidRPr="00FF63FF">
              <w:rPr>
                <w:rFonts w:ascii="Book Antiqua" w:hAnsi="Book Antiqua"/>
                <w:color w:val="000000"/>
              </w:rPr>
              <w:t>c</w:t>
            </w:r>
            <w:r w:rsidRPr="00FF63FF">
              <w:rPr>
                <w:rFonts w:ascii="Book Antiqua" w:hAnsi="Book Antiqua"/>
                <w:color w:val="000000"/>
              </w:rPr>
              <w:t>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CE2E5C" w:rsidRPr="00FF63FF">
              <w:rPr>
                <w:rFonts w:ascii="Book Antiqua" w:hAnsi="Book Antiqua"/>
                <w:color w:val="000000"/>
              </w:rPr>
              <w:t>r</w:t>
            </w:r>
            <w:r w:rsidRPr="00FF63FF">
              <w:rPr>
                <w:rFonts w:ascii="Book Antiqua" w:hAnsi="Book Antiqua"/>
                <w:color w:val="000000"/>
              </w:rPr>
              <w:t>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CACC" w14:textId="6B4DC4D1" w:rsidR="003D0664" w:rsidRPr="00FF63FF" w:rsidRDefault="0095189C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365</w:t>
            </w:r>
            <w:r w:rsidR="003D0664" w:rsidRPr="00FF63FF">
              <w:rPr>
                <w:rFonts w:ascii="Book Antiqua" w:hAnsi="Book Antiqua"/>
                <w:color w:val="000000"/>
              </w:rPr>
              <w:t>863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2C629" w14:textId="77777777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R</w:t>
            </w:r>
          </w:p>
        </w:tc>
      </w:tr>
      <w:tr w:rsidR="003D0664" w:rsidRPr="00FF63FF" w14:paraId="292C4D47" w14:textId="77777777" w:rsidTr="001D775C">
        <w:trPr>
          <w:trHeight w:val="14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98455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69895" w14:textId="16399D00" w:rsidR="003D0664" w:rsidRPr="00FF63FF" w:rsidRDefault="003D0664" w:rsidP="00AF39C5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Qu</w:t>
            </w:r>
            <w:proofErr w:type="spellEnd"/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[37]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84E97" w14:textId="5A45D6DA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4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before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after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seroconversion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BD51E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A6B4" w14:textId="369D34D7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Vβ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3A2E" w14:textId="70FEEF39" w:rsidR="003D0664" w:rsidRPr="00FF63FF" w:rsidRDefault="0095189C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370210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to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685</w:t>
            </w:r>
            <w:r w:rsidR="003D0664" w:rsidRPr="00FF63FF">
              <w:rPr>
                <w:rFonts w:ascii="Book Antiqua" w:hAnsi="Book Antiqua"/>
                <w:color w:val="000000"/>
              </w:rPr>
              <w:t>596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FDB0B" w14:textId="2153D3B0" w:rsidR="003D0664" w:rsidRPr="00FF63FF" w:rsidRDefault="00726118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Homemade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Perl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script</w:t>
            </w:r>
          </w:p>
        </w:tc>
      </w:tr>
      <w:tr w:rsidR="003D0664" w:rsidRPr="00FF63FF" w14:paraId="64F18109" w14:textId="77777777" w:rsidTr="001D775C">
        <w:trPr>
          <w:trHeight w:val="121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D52BE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C1478" w14:textId="1D0E6031" w:rsidR="003D0664" w:rsidRPr="00FF63FF" w:rsidRDefault="003D0664" w:rsidP="00AF39C5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Yang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[55]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A2A71" w14:textId="59A784CF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12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no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B0BA4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96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A5D34" w14:textId="0DEA0C14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TCRBV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families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690CC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B429" w14:textId="104F00D2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SPSS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version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19.0</w:t>
            </w:r>
          </w:p>
        </w:tc>
      </w:tr>
      <w:tr w:rsidR="003D0664" w:rsidRPr="00FF63FF" w14:paraId="46038D38" w14:textId="77777777" w:rsidTr="001D775C">
        <w:trPr>
          <w:trHeight w:val="678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02A43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206B5" w14:textId="7300BD38" w:rsidR="003D0664" w:rsidRPr="00FF63FF" w:rsidRDefault="003D0664" w:rsidP="00AF39C5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Galson</w:t>
            </w:r>
            <w:proofErr w:type="spellEnd"/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[63]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83AB4" w14:textId="44E84A6E" w:rsidR="003D0664" w:rsidRPr="00FF63FF" w:rsidRDefault="00EF33CF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 xml:space="preserve">9 </w:t>
            </w:r>
            <w:r w:rsidR="003D0664"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subjects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0C2EA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63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25557" w14:textId="729207F0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B-cell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0A545" w14:textId="77777777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150E2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R</w:t>
            </w:r>
          </w:p>
        </w:tc>
      </w:tr>
      <w:tr w:rsidR="003D0664" w:rsidRPr="00FF63FF" w14:paraId="4415D96B" w14:textId="77777777" w:rsidTr="001D775C">
        <w:trPr>
          <w:trHeight w:val="177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D6833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3319C" w14:textId="569C2FE3" w:rsidR="003D0664" w:rsidRPr="00FF63FF" w:rsidRDefault="0093706A" w:rsidP="00E5218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Chang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iCs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iCs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[70]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319A5" w14:textId="511C47D2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4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pairs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positive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carrier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HBsAg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negative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non-carrier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siblings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B9EF8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E4346" w14:textId="1453E309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IgG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immune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8A3B" w14:textId="48BEEE31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2.2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million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BCF3" w14:textId="12F53B5D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PEAR,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Python,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Numpy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1920E3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SciPy</w:t>
            </w:r>
            <w:proofErr w:type="spellEnd"/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Ipython</w:t>
            </w:r>
            <w:proofErr w:type="spellEnd"/>
          </w:p>
        </w:tc>
      </w:tr>
      <w:tr w:rsidR="003D0664" w:rsidRPr="00FF63FF" w14:paraId="2AA72D92" w14:textId="77777777" w:rsidTr="001D775C">
        <w:trPr>
          <w:trHeight w:val="1136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AF8C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540E3" w14:textId="4372F950" w:rsidR="003D0664" w:rsidRPr="00FF63FF" w:rsidRDefault="003D0664" w:rsidP="00EC7559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Ma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[64]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12B0" w14:textId="3A053743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volunteers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DC0D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D123" w14:textId="110563C2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IgM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IgG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chain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CDR3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613A4" w14:textId="77777777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C51F1" w14:textId="1E7C4597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IMGT/High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</w:t>
            </w:r>
            <w:r w:rsidR="0060181C">
              <w:rPr>
                <w:rFonts w:ascii="Book Antiqua" w:hAnsi="Book Antiqua"/>
                <w:color w:val="000000"/>
              </w:rPr>
              <w:t>-</w:t>
            </w:r>
            <w:r w:rsidRPr="00FF63FF">
              <w:rPr>
                <w:rFonts w:ascii="Book Antiqua" w:hAnsi="Book Antiqua"/>
                <w:color w:val="000000"/>
              </w:rPr>
              <w:t>Quest</w:t>
            </w:r>
          </w:p>
        </w:tc>
      </w:tr>
      <w:tr w:rsidR="003D0664" w:rsidRPr="00FF63FF" w14:paraId="2EC258D3" w14:textId="77777777" w:rsidTr="001D775C">
        <w:trPr>
          <w:trHeight w:val="2234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C02DE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EDC5" w14:textId="3B170AB0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Jiang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[36]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605A" w14:textId="59EC23F4" w:rsidR="003D0664" w:rsidRPr="00FF63FF" w:rsidRDefault="00EF33CF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 xml:space="preserve">3 </w:t>
            </w:r>
            <w:r w:rsidR="003D0664" w:rsidRPr="00FF63FF">
              <w:rPr>
                <w:rFonts w:ascii="Book Antiqua" w:hAnsi="Book Antiqua"/>
                <w:color w:val="000000"/>
              </w:rPr>
              <w:t>pairs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healthy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identical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twins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 xml:space="preserve">7 </w:t>
            </w:r>
            <w:r w:rsidR="003D0664" w:rsidRPr="00FF63FF">
              <w:rPr>
                <w:rFonts w:ascii="Book Antiqua" w:hAnsi="Book Antiqua"/>
                <w:color w:val="000000"/>
              </w:rPr>
              <w:t>pairs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chronic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hepatitis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patients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948F7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117A1" w14:textId="532C40A6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CD8+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</w:t>
            </w:r>
            <w:r w:rsidR="0060181C">
              <w:rPr>
                <w:rFonts w:ascii="Book Antiqua" w:hAnsi="Book Antiqua"/>
                <w:color w:val="000000"/>
              </w:rPr>
              <w:t>-</w:t>
            </w:r>
            <w:r w:rsidRPr="00FF63FF">
              <w:rPr>
                <w:rFonts w:ascii="Book Antiqua" w:hAnsi="Book Antiqua"/>
                <w:color w:val="000000"/>
              </w:rPr>
              <w:t>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receptor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beta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(TCRβ)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chains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448B" w14:textId="0A09B925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50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million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66628" w14:textId="77777777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MIXCR</w:t>
            </w:r>
          </w:p>
        </w:tc>
      </w:tr>
      <w:tr w:rsidR="003D0664" w:rsidRPr="00FF63FF" w14:paraId="72477F44" w14:textId="77777777" w:rsidTr="001D775C">
        <w:trPr>
          <w:trHeight w:val="142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6519E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18BA" w14:textId="0603F69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Yan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[49]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F7B00" w14:textId="34DCF883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6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with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HBV-related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60181C">
              <w:rPr>
                <w:rFonts w:ascii="Book Antiqua" w:hAnsi="Book Antiqua"/>
                <w:color w:val="000000"/>
              </w:rPr>
              <w:t>ACLF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6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controls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8A43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B0F52" w14:textId="084A6F83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BCR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CDR3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region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7949B" w14:textId="5F5EB34E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aps/>
                <w:color w:val="000000"/>
              </w:rPr>
              <w:t>a</w:t>
            </w:r>
            <w:r w:rsidRPr="00FF63FF">
              <w:rPr>
                <w:rFonts w:ascii="Book Antiqua" w:hAnsi="Book Antiqua"/>
                <w:color w:val="000000"/>
              </w:rPr>
              <w:t>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average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number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12243</w:t>
            </w:r>
            <w:r w:rsidRPr="00FF63FF">
              <w:rPr>
                <w:rFonts w:ascii="Book Antiqua" w:hAnsi="Book Antiqua"/>
                <w:color w:val="000000"/>
              </w:rPr>
              <w:t>860.30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control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gr</w:t>
            </w:r>
            <w:r w:rsidR="0095189C" w:rsidRPr="00FF63FF">
              <w:rPr>
                <w:rFonts w:ascii="Book Antiqua" w:hAnsi="Book Antiqua"/>
                <w:color w:val="000000"/>
              </w:rPr>
              <w:t>oup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an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average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number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of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5189C" w:rsidRPr="00FF63FF">
              <w:rPr>
                <w:rFonts w:ascii="Book Antiqua" w:hAnsi="Book Antiqua"/>
                <w:color w:val="000000"/>
              </w:rPr>
              <w:t>12299</w:t>
            </w:r>
            <w:r w:rsidRPr="00FF63FF">
              <w:rPr>
                <w:rFonts w:ascii="Book Antiqua" w:hAnsi="Book Antiqua"/>
                <w:color w:val="000000"/>
              </w:rPr>
              <w:t>65.30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ACLF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group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CD3A7" w14:textId="40B82FD2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GraphPad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Prism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</w:p>
        </w:tc>
      </w:tr>
      <w:tr w:rsidR="003D0664" w:rsidRPr="00FF63FF" w14:paraId="6D99DDE5" w14:textId="77777777" w:rsidTr="001D775C">
        <w:trPr>
          <w:trHeight w:val="7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5840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87587" w14:textId="0F051315" w:rsidR="003D0664" w:rsidRPr="00FF63FF" w:rsidRDefault="003D0664" w:rsidP="00C349DF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Miyasaka</w:t>
            </w:r>
            <w:proofErr w:type="spellEnd"/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[61]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1938E" w14:textId="71B1F7F0" w:rsidR="003D0664" w:rsidRPr="00FF63FF" w:rsidRDefault="00EF33CF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 xml:space="preserve">5 </w:t>
            </w:r>
            <w:r w:rsidR="003D0664" w:rsidRPr="00FF63FF">
              <w:rPr>
                <w:rFonts w:ascii="Book Antiqua" w:hAnsi="Book Antiqua"/>
                <w:color w:val="000000"/>
              </w:rPr>
              <w:t>volunteers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6B4C8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242CA" w14:textId="1A707455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T-cell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B-cell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receptor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8E299" w14:textId="551ED387" w:rsidR="003D0664" w:rsidRPr="00FF63FF" w:rsidRDefault="0095189C" w:rsidP="009C7178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β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chain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was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153</w:t>
            </w:r>
            <w:r w:rsidR="003D0664" w:rsidRPr="00FF63FF">
              <w:rPr>
                <w:rFonts w:ascii="Book Antiqua" w:hAnsi="Book Antiqua"/>
                <w:color w:val="000000"/>
              </w:rPr>
              <w:t>151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before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vaccination,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180</w:t>
            </w:r>
            <w:r w:rsidR="003D0664" w:rsidRPr="00FF63FF">
              <w:rPr>
                <w:rFonts w:ascii="Book Antiqua" w:hAnsi="Book Antiqua"/>
                <w:color w:val="000000"/>
              </w:rPr>
              <w:t>093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after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second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lastRenderedPageBreak/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vaccination,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9C7178">
              <w:rPr>
                <w:rFonts w:ascii="Book Antiqua" w:hAnsi="Book Antiqua"/>
                <w:color w:val="000000"/>
              </w:rPr>
              <w:t>129</w:t>
            </w:r>
            <w:r w:rsidR="003D0664" w:rsidRPr="00FF63FF">
              <w:rPr>
                <w:rFonts w:ascii="Book Antiqua" w:hAnsi="Book Antiqua"/>
                <w:color w:val="000000"/>
              </w:rPr>
              <w:t>044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third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vaccination;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BCR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3D0664" w:rsidRPr="00FF63FF">
              <w:rPr>
                <w:rFonts w:ascii="Book Antiqua" w:hAnsi="Book Antiqua"/>
                <w:color w:val="000000"/>
              </w:rPr>
              <w:t>IgG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heavy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(H)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chain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repertoires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were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106</w:t>
            </w:r>
            <w:r w:rsidRPr="00FF63FF">
              <w:rPr>
                <w:rFonts w:ascii="Book Antiqua" w:hAnsi="Book Antiqua"/>
                <w:color w:val="000000"/>
              </w:rPr>
              <w:t>664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before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vaccination,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126</w:t>
            </w:r>
            <w:r w:rsidR="003D0664" w:rsidRPr="00FF63FF">
              <w:rPr>
                <w:rFonts w:ascii="Book Antiqua" w:hAnsi="Book Antiqua"/>
                <w:color w:val="000000"/>
              </w:rPr>
              <w:t>237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after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second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vaccination,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8040BE" w:rsidRPr="00FF63FF">
              <w:rPr>
                <w:rFonts w:ascii="Book Antiqua" w:hAnsi="Book Antiqua"/>
                <w:color w:val="000000"/>
              </w:rPr>
              <w:t>135</w:t>
            </w:r>
            <w:r w:rsidR="003D0664" w:rsidRPr="00FF63FF">
              <w:rPr>
                <w:rFonts w:ascii="Book Antiqua" w:hAnsi="Book Antiqua"/>
                <w:color w:val="000000"/>
              </w:rPr>
              <w:t>663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third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vaccination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9EFA7" w14:textId="46EDB1E8" w:rsidR="003D0664" w:rsidRPr="00FF63FF" w:rsidRDefault="003D0664" w:rsidP="00E93217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SPSS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package,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Easy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(EZR)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version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1.37,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  <w:color w:val="000000"/>
              </w:rPr>
              <w:t>GraphPad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software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lastRenderedPageBreak/>
              <w:t>package</w:t>
            </w:r>
          </w:p>
        </w:tc>
      </w:tr>
      <w:tr w:rsidR="003D0664" w:rsidRPr="00FF63FF" w14:paraId="523C4A21" w14:textId="77777777" w:rsidTr="001D775C">
        <w:trPr>
          <w:trHeight w:val="557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893C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7A422" w14:textId="77F58532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Shen</w:t>
            </w:r>
            <w:proofErr w:type="spellEnd"/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[48]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05DF5" w14:textId="2A84B77B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5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HBV-ACLF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13CEC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F70F" w14:textId="7D5501B0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TCR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4E5AD" w14:textId="24FB1851" w:rsidR="003D0664" w:rsidRPr="00FF63FF" w:rsidRDefault="0095189C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163259</w:t>
            </w:r>
            <w:r w:rsidR="003D0664" w:rsidRPr="00FF63FF">
              <w:rPr>
                <w:rFonts w:ascii="Book Antiqua" w:hAnsi="Book Antiqua"/>
                <w:color w:val="000000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BCE9F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MIXCR</w:t>
            </w:r>
          </w:p>
        </w:tc>
      </w:tr>
      <w:tr w:rsidR="003D0664" w:rsidRPr="00FF63FF" w14:paraId="060BED30" w14:textId="77777777" w:rsidTr="001D775C">
        <w:trPr>
          <w:trHeight w:val="993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F4A2BC" w14:textId="77777777" w:rsidR="003D0664" w:rsidRPr="00FF63FF" w:rsidRDefault="003D0664" w:rsidP="00D33A50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1402D4" w14:textId="668CC201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proofErr w:type="spellStart"/>
            <w:r w:rsidRPr="00FF63FF">
              <w:rPr>
                <w:rFonts w:ascii="Book Antiqua" w:hAnsi="Book Antiqua"/>
                <w:color w:val="000000"/>
              </w:rPr>
              <w:t>Lian</w:t>
            </w:r>
            <w:proofErr w:type="spellEnd"/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et</w:t>
            </w:r>
            <w:r w:rsidR="00DA233F" w:rsidRPr="00FF63FF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i/>
                <w:color w:val="000000"/>
              </w:rPr>
              <w:t>al</w:t>
            </w:r>
            <w:r w:rsidRPr="00FF63FF">
              <w:rPr>
                <w:rFonts w:ascii="Book Antiqua" w:hAnsi="Book Antiqua"/>
                <w:color w:val="000000"/>
                <w:vertAlign w:val="superscript"/>
              </w:rPr>
              <w:t>[57]</w:t>
            </w:r>
            <w:r w:rsidRPr="00FF63FF">
              <w:rPr>
                <w:rFonts w:ascii="Book Antiqua" w:hAnsi="Book Antiqua"/>
                <w:color w:val="000000"/>
              </w:rPr>
              <w:t>,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D54A8" w14:textId="43F5E3D2" w:rsidR="003D0664" w:rsidRPr="00FF63FF" w:rsidRDefault="00D511F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20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CHB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undergoing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1-y</w:t>
            </w:r>
            <w:r w:rsidR="003D0664" w:rsidRPr="00FF63FF">
              <w:rPr>
                <w:rFonts w:ascii="Book Antiqua" w:hAnsi="Book Antiqua"/>
                <w:color w:val="000000"/>
              </w:rPr>
              <w:t>r</w:t>
            </w:r>
            <w:r w:rsidR="004B09D2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ETV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treatment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(10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3D0664" w:rsidRPr="00FF63FF">
              <w:rPr>
                <w:rFonts w:ascii="Book Antiqua" w:hAnsi="Book Antiqua"/>
                <w:color w:val="000000"/>
              </w:rPr>
              <w:lastRenderedPageBreak/>
              <w:t>HBeAg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patients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and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10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no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3D0664" w:rsidRPr="00FF63FF">
              <w:rPr>
                <w:rFonts w:ascii="Book Antiqua" w:hAnsi="Book Antiqua"/>
                <w:color w:val="000000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SC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="003D0664" w:rsidRPr="00FF63FF">
              <w:rPr>
                <w:rFonts w:ascii="Book Antiqua" w:hAnsi="Book Antiqua"/>
                <w:color w:val="000000"/>
              </w:rPr>
              <w:t>patients)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5A278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lastRenderedPageBreak/>
              <w:t>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16D5F2" w14:textId="612460B4" w:rsidR="003D0664" w:rsidRPr="00FF63FF" w:rsidRDefault="003D0664" w:rsidP="00DA221C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T-cell</w:t>
            </w:r>
            <w:r w:rsidR="00DA233F" w:rsidRPr="00FF63FF">
              <w:rPr>
                <w:rFonts w:ascii="Book Antiqua" w:hAnsi="Book Antiqua"/>
                <w:color w:val="000000"/>
              </w:rPr>
              <w:t xml:space="preserve"> </w:t>
            </w:r>
            <w:r w:rsidRPr="00FF63FF">
              <w:rPr>
                <w:rFonts w:ascii="Book Antiqua" w:hAnsi="Book Antiqua"/>
                <w:color w:val="000000"/>
              </w:rPr>
              <w:t>repertoire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1A8498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DB9B2" w14:textId="77777777" w:rsidR="003D0664" w:rsidRPr="00FF63FF" w:rsidRDefault="003D0664" w:rsidP="00946F6B">
            <w:pPr>
              <w:snapToGrid w:val="0"/>
              <w:spacing w:line="360" w:lineRule="auto"/>
              <w:rPr>
                <w:rFonts w:ascii="Book Antiqua" w:hAnsi="Book Antiqua"/>
                <w:color w:val="000000"/>
              </w:rPr>
            </w:pPr>
            <w:r w:rsidRPr="00FF63FF">
              <w:rPr>
                <w:rFonts w:ascii="Book Antiqua" w:hAnsi="Book Antiqua"/>
                <w:color w:val="000000"/>
              </w:rPr>
              <w:t>MIXCR</w:t>
            </w:r>
          </w:p>
        </w:tc>
      </w:tr>
    </w:tbl>
    <w:p w14:paraId="30846734" w14:textId="77777777" w:rsidR="00946F6B" w:rsidRDefault="00EF33CF" w:rsidP="00DA221C">
      <w:pPr>
        <w:snapToGrid w:val="0"/>
        <w:spacing w:line="360" w:lineRule="auto"/>
        <w:rPr>
          <w:rFonts w:ascii="Book Antiqua" w:hAnsi="Book Antiqua"/>
          <w:color w:val="000000"/>
        </w:rPr>
      </w:pPr>
      <w:r w:rsidRPr="00FF63FF">
        <w:rPr>
          <w:rFonts w:ascii="Book Antiqua" w:hAnsi="Book Antiqua"/>
          <w:color w:val="000000"/>
        </w:rPr>
        <w:lastRenderedPageBreak/>
        <w:t>ACLF: Acute-on-chronic liver failure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BCR: B</w:t>
      </w:r>
      <w:r w:rsidR="0060181C">
        <w:rPr>
          <w:rFonts w:ascii="Book Antiqua" w:hAnsi="Book Antiqua"/>
          <w:color w:val="000000"/>
        </w:rPr>
        <w:t>-cell</w:t>
      </w:r>
      <w:r w:rsidRPr="00FF63FF">
        <w:rPr>
          <w:rFonts w:ascii="Book Antiqua" w:hAnsi="Book Antiqua"/>
          <w:color w:val="000000"/>
        </w:rPr>
        <w:t xml:space="preserve"> receptor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CDR3: </w:t>
      </w:r>
      <w:r w:rsidRPr="00FF63FF">
        <w:rPr>
          <w:rFonts w:ascii="Book Antiqua" w:hAnsi="Book Antiqua"/>
        </w:rPr>
        <w:t>Complementary determining region 3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CSHB: Chronic severe hepatitis B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ETV: </w:t>
      </w:r>
      <w:proofErr w:type="spellStart"/>
      <w:r w:rsidRPr="00FF63FF">
        <w:rPr>
          <w:rFonts w:ascii="Book Antiqua" w:hAnsi="Book Antiqua"/>
          <w:color w:val="000000"/>
        </w:rPr>
        <w:t>Entecavir</w:t>
      </w:r>
      <w:proofErr w:type="spellEnd"/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HBV: </w:t>
      </w:r>
      <w:r w:rsidRPr="00FF63FF">
        <w:rPr>
          <w:rFonts w:ascii="Book Antiqua" w:hAnsi="Book Antiqua"/>
          <w:caps/>
          <w:color w:val="000000"/>
        </w:rPr>
        <w:t>h</w:t>
      </w:r>
      <w:r w:rsidRPr="00FF63FF">
        <w:rPr>
          <w:rFonts w:ascii="Book Antiqua" w:hAnsi="Book Antiqua"/>
          <w:color w:val="000000"/>
        </w:rPr>
        <w:t>epatitis B virus</w:t>
      </w:r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</w:t>
      </w:r>
      <w:proofErr w:type="spellStart"/>
      <w:r w:rsidRPr="00FF63FF">
        <w:rPr>
          <w:rFonts w:ascii="Book Antiqua" w:hAnsi="Book Antiqua"/>
          <w:color w:val="000000"/>
        </w:rPr>
        <w:t>Ig</w:t>
      </w:r>
      <w:proofErr w:type="spellEnd"/>
      <w:r w:rsidRPr="00FF63FF">
        <w:rPr>
          <w:rFonts w:ascii="Book Antiqua" w:hAnsi="Book Antiqua"/>
          <w:color w:val="000000"/>
        </w:rPr>
        <w:t xml:space="preserve">: Immunoglobulin. SC: </w:t>
      </w:r>
      <w:proofErr w:type="spellStart"/>
      <w:r w:rsidRPr="00FF63FF">
        <w:rPr>
          <w:rFonts w:ascii="Book Antiqua" w:hAnsi="Book Antiqua"/>
          <w:color w:val="000000"/>
        </w:rPr>
        <w:t>Seroconversion</w:t>
      </w:r>
      <w:proofErr w:type="spellEnd"/>
      <w:r w:rsidRPr="00FF63FF" w:rsidDel="00EF33CF">
        <w:rPr>
          <w:rFonts w:ascii="Book Antiqua" w:hAnsi="Book Antiqua"/>
          <w:color w:val="000000"/>
        </w:rPr>
        <w:t>;</w:t>
      </w:r>
      <w:r w:rsidRPr="00FF63FF">
        <w:rPr>
          <w:rFonts w:ascii="Book Antiqua" w:hAnsi="Book Antiqua"/>
          <w:color w:val="000000"/>
        </w:rPr>
        <w:t xml:space="preserve"> TCR: T</w:t>
      </w:r>
      <w:r w:rsidR="0060181C">
        <w:rPr>
          <w:rFonts w:ascii="Book Antiqua" w:hAnsi="Book Antiqua"/>
          <w:color w:val="000000"/>
        </w:rPr>
        <w:t>-cell</w:t>
      </w:r>
      <w:r w:rsidRPr="00FF63FF">
        <w:rPr>
          <w:rFonts w:ascii="Book Antiqua" w:hAnsi="Book Antiqua"/>
          <w:color w:val="000000"/>
        </w:rPr>
        <w:t xml:space="preserve"> receptor.</w:t>
      </w:r>
    </w:p>
    <w:p w14:paraId="30A785A3" w14:textId="77777777" w:rsidR="00946F6B" w:rsidRDefault="00946F6B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br w:type="page"/>
      </w:r>
    </w:p>
    <w:p w14:paraId="670F9979" w14:textId="62780011" w:rsidR="00DA221C" w:rsidRPr="00FF63FF" w:rsidRDefault="00DA221C" w:rsidP="00DA221C">
      <w:pPr>
        <w:snapToGrid w:val="0"/>
        <w:spacing w:line="360" w:lineRule="auto"/>
        <w:rPr>
          <w:rFonts w:ascii="Book Antiqua" w:hAnsi="Book Antiqua"/>
          <w:b/>
          <w:bCs/>
        </w:rPr>
      </w:pPr>
      <w:r w:rsidRPr="00FF63FF">
        <w:rPr>
          <w:rFonts w:ascii="Book Antiqua" w:hAnsi="Book Antiqua"/>
          <w:b/>
          <w:bCs/>
        </w:rPr>
        <w:lastRenderedPageBreak/>
        <w:br w:type="page"/>
      </w:r>
      <w:r w:rsidRPr="00FF63FF">
        <w:rPr>
          <w:rFonts w:ascii="Book Antiqua" w:hAnsi="Book Antiqua"/>
          <w:b/>
          <w:bCs/>
        </w:rPr>
        <w:lastRenderedPageBreak/>
        <w:t>Table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Pr="00FF63FF">
        <w:rPr>
          <w:rFonts w:ascii="Book Antiqua" w:hAnsi="Book Antiqua"/>
          <w:b/>
          <w:bCs/>
        </w:rPr>
        <w:t>2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Pr="00FF63FF">
        <w:rPr>
          <w:rFonts w:ascii="Book Antiqua" w:hAnsi="Book Antiqua"/>
          <w:b/>
          <w:bCs/>
        </w:rPr>
        <w:t>Specific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Pr="00FF63FF">
        <w:rPr>
          <w:rFonts w:ascii="Book Antiqua" w:hAnsi="Book Antiqua"/>
          <w:b/>
          <w:bCs/>
        </w:rPr>
        <w:t>TRB</w:t>
      </w:r>
      <w:r w:rsidR="00DA233F" w:rsidRPr="00FF63FF">
        <w:rPr>
          <w:rFonts w:ascii="Book Antiqua" w:hAnsi="Book Antiqua"/>
          <w:b/>
          <w:bCs/>
        </w:rPr>
        <w:t xml:space="preserve"> </w:t>
      </w:r>
      <w:proofErr w:type="gramStart"/>
      <w:r w:rsidRPr="00FF63FF">
        <w:rPr>
          <w:rFonts w:ascii="Book Antiqua" w:hAnsi="Book Antiqua"/>
          <w:b/>
          <w:bCs/>
        </w:rPr>
        <w:t>family</w:t>
      </w:r>
      <w:proofErr w:type="gramEnd"/>
      <w:r w:rsidR="00DA233F" w:rsidRPr="00FF63FF">
        <w:rPr>
          <w:rFonts w:ascii="Book Antiqua" w:hAnsi="Book Antiqua"/>
          <w:b/>
          <w:bCs/>
        </w:rPr>
        <w:t xml:space="preserve"> </w:t>
      </w:r>
      <w:r w:rsidRPr="00FF63FF">
        <w:rPr>
          <w:rFonts w:ascii="Book Antiqua" w:hAnsi="Book Antiqua"/>
          <w:b/>
          <w:bCs/>
        </w:rPr>
        <w:t>and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Pr="00FF63FF">
        <w:rPr>
          <w:rFonts w:ascii="Book Antiqua" w:hAnsi="Book Antiqua"/>
          <w:b/>
          <w:bCs/>
        </w:rPr>
        <w:t>clinical</w:t>
      </w:r>
      <w:r w:rsidR="00DA233F" w:rsidRPr="00FF63FF">
        <w:rPr>
          <w:rFonts w:ascii="Book Antiqua" w:hAnsi="Book Antiqua"/>
          <w:b/>
          <w:bCs/>
        </w:rPr>
        <w:t xml:space="preserve"> </w:t>
      </w:r>
      <w:r w:rsidRPr="00FF63FF">
        <w:rPr>
          <w:rFonts w:ascii="Book Antiqua" w:hAnsi="Book Antiqua"/>
          <w:b/>
          <w:bCs/>
        </w:rPr>
        <w:t>significance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8826"/>
      </w:tblGrid>
      <w:tr w:rsidR="00DA221C" w:rsidRPr="00FF63FF" w14:paraId="40F08AFC" w14:textId="77777777" w:rsidTr="00133D70">
        <w:trPr>
          <w:trHeight w:val="455"/>
          <w:jc w:val="center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14:paraId="5C7FAEFE" w14:textId="0D2D0F58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F63FF">
              <w:rPr>
                <w:rFonts w:ascii="Book Antiqua" w:hAnsi="Book Antiqua"/>
                <w:b/>
                <w:bCs/>
              </w:rPr>
              <w:t>TRB</w:t>
            </w:r>
            <w:r w:rsidR="00DA233F" w:rsidRPr="00FF63FF">
              <w:rPr>
                <w:rFonts w:ascii="Book Antiqua" w:hAnsi="Book Antiqua"/>
                <w:b/>
                <w:bCs/>
              </w:rPr>
              <w:t xml:space="preserve"> </w:t>
            </w:r>
            <w:r w:rsidRPr="00FF63FF">
              <w:rPr>
                <w:rFonts w:ascii="Book Antiqua" w:hAnsi="Book Antiqua"/>
                <w:b/>
                <w:bCs/>
              </w:rPr>
              <w:t>family</w:t>
            </w:r>
          </w:p>
        </w:tc>
        <w:tc>
          <w:tcPr>
            <w:tcW w:w="8826" w:type="dxa"/>
            <w:tcBorders>
              <w:top w:val="single" w:sz="4" w:space="0" w:color="auto"/>
              <w:bottom w:val="single" w:sz="4" w:space="0" w:color="auto"/>
            </w:tcBorders>
          </w:tcPr>
          <w:p w14:paraId="29691FAA" w14:textId="17D38ECA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FF63FF">
              <w:rPr>
                <w:rFonts w:ascii="Book Antiqua" w:hAnsi="Book Antiqua"/>
                <w:b/>
                <w:bCs/>
              </w:rPr>
              <w:t>Clinical</w:t>
            </w:r>
            <w:r w:rsidR="00DA233F" w:rsidRPr="00FF63FF">
              <w:rPr>
                <w:rFonts w:ascii="Book Antiqua" w:hAnsi="Book Antiqua"/>
                <w:b/>
                <w:bCs/>
              </w:rPr>
              <w:t xml:space="preserve"> </w:t>
            </w:r>
            <w:r w:rsidRPr="00FF63FF">
              <w:rPr>
                <w:rFonts w:ascii="Book Antiqua" w:hAnsi="Book Antiqua"/>
                <w:b/>
                <w:bCs/>
              </w:rPr>
              <w:t>significance</w:t>
            </w:r>
          </w:p>
        </w:tc>
      </w:tr>
      <w:tr w:rsidR="00DA221C" w:rsidRPr="00FF63FF" w14:paraId="5D6E2528" w14:textId="77777777" w:rsidTr="00133D70">
        <w:trPr>
          <w:trHeight w:val="482"/>
          <w:jc w:val="center"/>
        </w:trPr>
        <w:tc>
          <w:tcPr>
            <w:tcW w:w="3744" w:type="dxa"/>
            <w:tcBorders>
              <w:top w:val="single" w:sz="4" w:space="0" w:color="auto"/>
            </w:tcBorders>
          </w:tcPr>
          <w:p w14:paraId="6710B14C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TRBVβ2</w:t>
            </w:r>
          </w:p>
        </w:tc>
        <w:tc>
          <w:tcPr>
            <w:tcW w:w="8826" w:type="dxa"/>
            <w:tcBorders>
              <w:top w:val="single" w:sz="4" w:space="0" w:color="auto"/>
            </w:tcBorders>
          </w:tcPr>
          <w:p w14:paraId="066EA2F4" w14:textId="76142676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Development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and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treatment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219AB540" w14:textId="77777777" w:rsidTr="00133D70">
        <w:trPr>
          <w:trHeight w:val="468"/>
          <w:jc w:val="center"/>
        </w:trPr>
        <w:tc>
          <w:tcPr>
            <w:tcW w:w="3744" w:type="dxa"/>
          </w:tcPr>
          <w:p w14:paraId="65946A69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TRBVβ3</w:t>
            </w:r>
          </w:p>
        </w:tc>
        <w:tc>
          <w:tcPr>
            <w:tcW w:w="8826" w:type="dxa"/>
          </w:tcPr>
          <w:p w14:paraId="09C33A28" w14:textId="73E0C3C4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F63FF">
              <w:rPr>
                <w:rFonts w:ascii="Book Antiqua" w:hAnsi="Book Antiqua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</w:rPr>
              <w:t>seroconversion</w:t>
            </w:r>
            <w:proofErr w:type="spellEnd"/>
          </w:p>
        </w:tc>
      </w:tr>
      <w:tr w:rsidR="00DA221C" w:rsidRPr="00FF63FF" w14:paraId="0340E7B3" w14:textId="77777777" w:rsidTr="00133D70">
        <w:trPr>
          <w:trHeight w:val="482"/>
          <w:jc w:val="center"/>
        </w:trPr>
        <w:tc>
          <w:tcPr>
            <w:tcW w:w="3744" w:type="dxa"/>
          </w:tcPr>
          <w:p w14:paraId="47280BE0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TRBVβ5</w:t>
            </w:r>
          </w:p>
        </w:tc>
        <w:tc>
          <w:tcPr>
            <w:tcW w:w="8826" w:type="dxa"/>
          </w:tcPr>
          <w:p w14:paraId="665C6FFB" w14:textId="4D24C4EF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Severity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69440503" w14:textId="77777777" w:rsidTr="00133D70">
        <w:trPr>
          <w:trHeight w:val="482"/>
          <w:jc w:val="center"/>
        </w:trPr>
        <w:tc>
          <w:tcPr>
            <w:tcW w:w="3744" w:type="dxa"/>
          </w:tcPr>
          <w:p w14:paraId="6C0566A3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TRBVβ7</w:t>
            </w:r>
          </w:p>
        </w:tc>
        <w:tc>
          <w:tcPr>
            <w:tcW w:w="8826" w:type="dxa"/>
          </w:tcPr>
          <w:p w14:paraId="263F664B" w14:textId="06A57403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Development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and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treatment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CHB,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="006848EF" w:rsidRPr="00FF63FF">
              <w:rPr>
                <w:rFonts w:ascii="Book Antiqua" w:hAnsi="Book Antiqua"/>
              </w:rPr>
              <w:t>s</w:t>
            </w:r>
            <w:r w:rsidRPr="00FF63FF">
              <w:rPr>
                <w:rFonts w:ascii="Book Antiqua" w:hAnsi="Book Antiqua"/>
              </w:rPr>
              <w:t>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37070E52" w14:textId="77777777" w:rsidTr="00133D70">
        <w:trPr>
          <w:trHeight w:val="482"/>
          <w:jc w:val="center"/>
        </w:trPr>
        <w:tc>
          <w:tcPr>
            <w:tcW w:w="3744" w:type="dxa"/>
          </w:tcPr>
          <w:p w14:paraId="71814603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TRBVβ9</w:t>
            </w:r>
          </w:p>
        </w:tc>
        <w:tc>
          <w:tcPr>
            <w:tcW w:w="8826" w:type="dxa"/>
          </w:tcPr>
          <w:p w14:paraId="0767DFF2" w14:textId="79543D3D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Severity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5AA5957D" w14:textId="77777777" w:rsidTr="00133D70">
        <w:trPr>
          <w:trHeight w:val="468"/>
          <w:jc w:val="center"/>
        </w:trPr>
        <w:tc>
          <w:tcPr>
            <w:tcW w:w="3744" w:type="dxa"/>
          </w:tcPr>
          <w:p w14:paraId="24BD3D9A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TRBVβ11</w:t>
            </w:r>
          </w:p>
        </w:tc>
        <w:tc>
          <w:tcPr>
            <w:tcW w:w="8826" w:type="dxa"/>
          </w:tcPr>
          <w:p w14:paraId="0AF1004F" w14:textId="62E6E530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F63FF">
              <w:rPr>
                <w:rFonts w:ascii="Book Antiqua" w:hAnsi="Book Antiqua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</w:rPr>
              <w:t>seroconversion</w:t>
            </w:r>
            <w:proofErr w:type="spellEnd"/>
            <w:r w:rsidRPr="00FF63FF">
              <w:rPr>
                <w:rFonts w:ascii="Book Antiqua" w:hAnsi="Book Antiqua"/>
              </w:rPr>
              <w:t>,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="006848EF" w:rsidRPr="00FF63FF">
              <w:rPr>
                <w:rFonts w:ascii="Book Antiqua" w:hAnsi="Book Antiqua"/>
              </w:rPr>
              <w:t>s</w:t>
            </w:r>
            <w:r w:rsidRPr="00FF63FF">
              <w:rPr>
                <w:rFonts w:ascii="Book Antiqua" w:hAnsi="Book Antiqua"/>
              </w:rPr>
              <w:t>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60766518" w14:textId="77777777" w:rsidTr="00133D70">
        <w:trPr>
          <w:trHeight w:val="196"/>
          <w:jc w:val="center"/>
        </w:trPr>
        <w:tc>
          <w:tcPr>
            <w:tcW w:w="3744" w:type="dxa"/>
          </w:tcPr>
          <w:p w14:paraId="1D64BE7E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TRBVβ12</w:t>
            </w:r>
          </w:p>
        </w:tc>
        <w:tc>
          <w:tcPr>
            <w:tcW w:w="8826" w:type="dxa"/>
          </w:tcPr>
          <w:p w14:paraId="3CECB8B2" w14:textId="6863F1BB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Development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and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treatment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CHB,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</w:rPr>
              <w:t>seroconversion</w:t>
            </w:r>
            <w:proofErr w:type="spellEnd"/>
            <w:r w:rsidRPr="00FF63FF">
              <w:rPr>
                <w:rFonts w:ascii="Book Antiqua" w:hAnsi="Book Antiqua"/>
              </w:rPr>
              <w:t>,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="006848EF" w:rsidRPr="00FF63FF">
              <w:rPr>
                <w:rFonts w:ascii="Book Antiqua" w:hAnsi="Book Antiqua"/>
              </w:rPr>
              <w:t>s</w:t>
            </w:r>
            <w:r w:rsidRPr="00FF63FF">
              <w:rPr>
                <w:rFonts w:ascii="Book Antiqua" w:hAnsi="Book Antiqua"/>
              </w:rPr>
              <w:t>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44E06DF7" w14:textId="77777777" w:rsidTr="00133D70">
        <w:trPr>
          <w:trHeight w:val="468"/>
          <w:jc w:val="center"/>
        </w:trPr>
        <w:tc>
          <w:tcPr>
            <w:tcW w:w="3744" w:type="dxa"/>
          </w:tcPr>
          <w:p w14:paraId="39114128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TRBVβ14</w:t>
            </w:r>
          </w:p>
        </w:tc>
        <w:tc>
          <w:tcPr>
            <w:tcW w:w="8826" w:type="dxa"/>
          </w:tcPr>
          <w:p w14:paraId="65FD6389" w14:textId="1AEF9DAB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F63FF">
              <w:rPr>
                <w:rFonts w:ascii="Book Antiqua" w:hAnsi="Book Antiqua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</w:rPr>
              <w:t>seroconversion</w:t>
            </w:r>
            <w:proofErr w:type="spellEnd"/>
          </w:p>
        </w:tc>
      </w:tr>
      <w:tr w:rsidR="00DA221C" w:rsidRPr="00FF63FF" w14:paraId="78522095" w14:textId="77777777" w:rsidTr="00133D70">
        <w:trPr>
          <w:trHeight w:val="482"/>
          <w:jc w:val="center"/>
        </w:trPr>
        <w:tc>
          <w:tcPr>
            <w:tcW w:w="3744" w:type="dxa"/>
          </w:tcPr>
          <w:p w14:paraId="70E7657C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TRBVβ18</w:t>
            </w:r>
          </w:p>
        </w:tc>
        <w:tc>
          <w:tcPr>
            <w:tcW w:w="8826" w:type="dxa"/>
          </w:tcPr>
          <w:p w14:paraId="782D2E32" w14:textId="15F7841A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Severity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  <w:tr w:rsidR="00DA221C" w:rsidRPr="00FF63FF" w14:paraId="01C245AC" w14:textId="77777777" w:rsidTr="00133D70">
        <w:trPr>
          <w:trHeight w:val="482"/>
          <w:jc w:val="center"/>
        </w:trPr>
        <w:tc>
          <w:tcPr>
            <w:tcW w:w="3744" w:type="dxa"/>
          </w:tcPr>
          <w:p w14:paraId="01B8EE0B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TRBVβ20</w:t>
            </w:r>
          </w:p>
        </w:tc>
        <w:tc>
          <w:tcPr>
            <w:tcW w:w="8826" w:type="dxa"/>
          </w:tcPr>
          <w:p w14:paraId="2E90BD7E" w14:textId="62C51B09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F63FF">
              <w:rPr>
                <w:rFonts w:ascii="Book Antiqua" w:hAnsi="Book Antiqua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</w:rPr>
              <w:t>seroconversion</w:t>
            </w:r>
            <w:proofErr w:type="spellEnd"/>
          </w:p>
        </w:tc>
      </w:tr>
      <w:tr w:rsidR="00DA221C" w:rsidRPr="00FF63FF" w14:paraId="734E8A5C" w14:textId="77777777" w:rsidTr="00133D70">
        <w:trPr>
          <w:trHeight w:val="482"/>
          <w:jc w:val="center"/>
        </w:trPr>
        <w:tc>
          <w:tcPr>
            <w:tcW w:w="3744" w:type="dxa"/>
          </w:tcPr>
          <w:p w14:paraId="14F79920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TRBVβ24</w:t>
            </w:r>
          </w:p>
        </w:tc>
        <w:tc>
          <w:tcPr>
            <w:tcW w:w="8826" w:type="dxa"/>
          </w:tcPr>
          <w:p w14:paraId="79BA1898" w14:textId="4628880B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FF63FF">
              <w:rPr>
                <w:rFonts w:ascii="Book Antiqua" w:hAnsi="Book Antiqua"/>
              </w:rPr>
              <w:t>HBeAg</w:t>
            </w:r>
            <w:proofErr w:type="spellEnd"/>
            <w:r w:rsidR="00DA233F" w:rsidRPr="00FF63FF">
              <w:rPr>
                <w:rFonts w:ascii="Book Antiqua" w:hAnsi="Book Antiqua"/>
              </w:rPr>
              <w:t xml:space="preserve"> </w:t>
            </w:r>
            <w:proofErr w:type="spellStart"/>
            <w:r w:rsidRPr="00FF63FF">
              <w:rPr>
                <w:rFonts w:ascii="Book Antiqua" w:hAnsi="Book Antiqua"/>
              </w:rPr>
              <w:t>seroconversion</w:t>
            </w:r>
            <w:proofErr w:type="spellEnd"/>
          </w:p>
        </w:tc>
      </w:tr>
      <w:tr w:rsidR="00DA221C" w:rsidRPr="00FF63FF" w14:paraId="50152013" w14:textId="77777777" w:rsidTr="00133D70">
        <w:trPr>
          <w:trHeight w:val="482"/>
          <w:jc w:val="center"/>
        </w:trPr>
        <w:tc>
          <w:tcPr>
            <w:tcW w:w="3744" w:type="dxa"/>
            <w:tcBorders>
              <w:bottom w:val="single" w:sz="4" w:space="0" w:color="auto"/>
            </w:tcBorders>
          </w:tcPr>
          <w:p w14:paraId="271ED11A" w14:textId="77777777" w:rsidR="00DA221C" w:rsidRPr="00FF63FF" w:rsidRDefault="00DA221C" w:rsidP="00DA221C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TRBVβ28</w:t>
            </w:r>
          </w:p>
        </w:tc>
        <w:tc>
          <w:tcPr>
            <w:tcW w:w="8826" w:type="dxa"/>
            <w:tcBorders>
              <w:bottom w:val="single" w:sz="4" w:space="0" w:color="auto"/>
            </w:tcBorders>
          </w:tcPr>
          <w:p w14:paraId="644898A7" w14:textId="7E3F421D" w:rsidR="00DA221C" w:rsidRPr="00FF63FF" w:rsidRDefault="00DA221C" w:rsidP="00DC42CA">
            <w:pPr>
              <w:snapToGrid w:val="0"/>
              <w:spacing w:line="360" w:lineRule="auto"/>
              <w:rPr>
                <w:rFonts w:ascii="Book Antiqua" w:hAnsi="Book Antiqua"/>
              </w:rPr>
            </w:pPr>
            <w:r w:rsidRPr="00FF63FF">
              <w:rPr>
                <w:rFonts w:ascii="Book Antiqua" w:hAnsi="Book Antiqua"/>
              </w:rPr>
              <w:t>Development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and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treatment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of</w:t>
            </w:r>
            <w:r w:rsidR="00DA233F" w:rsidRPr="00FF63FF">
              <w:rPr>
                <w:rFonts w:ascii="Book Antiqua" w:hAnsi="Book Antiqua"/>
              </w:rPr>
              <w:t xml:space="preserve"> </w:t>
            </w:r>
            <w:r w:rsidRPr="00FF63FF">
              <w:rPr>
                <w:rFonts w:ascii="Book Antiqua" w:hAnsi="Book Antiqua"/>
              </w:rPr>
              <w:t>CHB</w:t>
            </w:r>
          </w:p>
        </w:tc>
      </w:tr>
    </w:tbl>
    <w:p w14:paraId="76649099" w14:textId="6B0D312F" w:rsidR="00744DD1" w:rsidRDefault="00C61B1B" w:rsidP="00DA233F">
      <w:pPr>
        <w:snapToGrid w:val="0"/>
        <w:spacing w:line="360" w:lineRule="auto"/>
        <w:rPr>
          <w:rFonts w:ascii="Book Antiqua" w:eastAsia="Book Antiqua" w:hAnsi="Book Antiqua" w:cs="Book Antiqua"/>
          <w:color w:val="000000"/>
        </w:rPr>
      </w:pPr>
      <w:r w:rsidRPr="00FF63FF">
        <w:rPr>
          <w:rFonts w:ascii="Book Antiqua" w:eastAsia="Book Antiqua" w:hAnsi="Book Antiqua" w:cs="Book Antiqua"/>
          <w:color w:val="000000"/>
        </w:rPr>
        <w:t>CHB</w:t>
      </w:r>
      <w:r w:rsidR="00DA221C" w:rsidRPr="00FF63FF">
        <w:rPr>
          <w:rFonts w:ascii="Book Antiqua" w:hAnsi="Book Antiqua"/>
        </w:rPr>
        <w:t>:</w:t>
      </w:r>
      <w:r w:rsidR="00DA233F" w:rsidRPr="00FF63FF">
        <w:rPr>
          <w:rFonts w:ascii="Book Antiqua" w:hAnsi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Chronic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Pr="00FF63FF">
        <w:rPr>
          <w:rFonts w:ascii="Book Antiqua" w:eastAsia="Book Antiqua" w:hAnsi="Book Antiqua" w:cs="Book Antiqua"/>
          <w:color w:val="000000"/>
        </w:rPr>
        <w:t>B</w:t>
      </w:r>
      <w:r w:rsidR="00851B8A" w:rsidRPr="00FF63FF">
        <w:rPr>
          <w:rFonts w:ascii="Book Antiqua" w:hAnsi="Book Antiqua"/>
          <w:color w:val="000000"/>
        </w:rPr>
        <w:t>;</w:t>
      </w:r>
      <w:r w:rsidR="00DA233F" w:rsidRPr="00FF63FF">
        <w:rPr>
          <w:rFonts w:ascii="Book Antiqua" w:hAnsi="Book Antiqua"/>
          <w:color w:val="000000"/>
        </w:rPr>
        <w:t xml:space="preserve"> </w:t>
      </w:r>
      <w:proofErr w:type="spellStart"/>
      <w:r w:rsidR="00851B8A" w:rsidRPr="00FF63FF">
        <w:rPr>
          <w:rFonts w:ascii="Book Antiqua" w:eastAsia="Book Antiqua" w:hAnsi="Book Antiqua" w:cs="Book Antiqua"/>
          <w:color w:val="000000"/>
        </w:rPr>
        <w:t>HBeAg</w:t>
      </w:r>
      <w:proofErr w:type="spellEnd"/>
      <w:r w:rsidR="00851B8A" w:rsidRPr="00FF63FF">
        <w:rPr>
          <w:rFonts w:ascii="Book Antiqua" w:eastAsia="Book Antiqua" w:hAnsi="Book Antiqua" w:cs="Book Antiqua"/>
          <w:color w:val="000000"/>
        </w:rPr>
        <w:t>: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51B8A" w:rsidRPr="00FF63FF">
        <w:rPr>
          <w:rFonts w:ascii="Book Antiqua" w:eastAsia="Book Antiqua" w:hAnsi="Book Antiqua" w:cs="Book Antiqua"/>
          <w:color w:val="000000"/>
        </w:rPr>
        <w:t>Hepatitis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51B8A" w:rsidRPr="00FF63FF">
        <w:rPr>
          <w:rFonts w:ascii="Book Antiqua" w:eastAsia="Book Antiqua" w:hAnsi="Book Antiqua" w:cs="Book Antiqua"/>
          <w:color w:val="000000"/>
        </w:rPr>
        <w:t>B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51B8A" w:rsidRPr="00FF63FF">
        <w:rPr>
          <w:rFonts w:ascii="Book Antiqua" w:eastAsia="Book Antiqua" w:hAnsi="Book Antiqua" w:cs="Book Antiqua"/>
          <w:color w:val="000000"/>
        </w:rPr>
        <w:t>e</w:t>
      </w:r>
      <w:r w:rsidR="00DA233F" w:rsidRPr="00FF63FF">
        <w:rPr>
          <w:rFonts w:ascii="Book Antiqua" w:eastAsia="Book Antiqua" w:hAnsi="Book Antiqua" w:cs="Book Antiqua"/>
          <w:color w:val="000000"/>
        </w:rPr>
        <w:t xml:space="preserve"> </w:t>
      </w:r>
      <w:r w:rsidR="00851B8A" w:rsidRPr="00FF63FF">
        <w:rPr>
          <w:rFonts w:ascii="Book Antiqua" w:eastAsia="Book Antiqua" w:hAnsi="Book Antiqua" w:cs="Book Antiqua"/>
          <w:color w:val="000000"/>
        </w:rPr>
        <w:t>antigen.</w:t>
      </w:r>
    </w:p>
    <w:p w14:paraId="7424CF35" w14:textId="77777777" w:rsidR="00744DD1" w:rsidRDefault="00744DD1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44850355" w14:textId="77777777" w:rsidR="00744DD1" w:rsidRDefault="00744DD1" w:rsidP="00744DD1">
      <w:pPr>
        <w:jc w:val="center"/>
        <w:rPr>
          <w:rFonts w:ascii="Book Antiqua" w:hAnsi="Book Antiqua"/>
        </w:rPr>
      </w:pPr>
    </w:p>
    <w:p w14:paraId="3DDDBBBB" w14:textId="77777777" w:rsidR="00744DD1" w:rsidRDefault="00744DD1" w:rsidP="00744DD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7B9174D" wp14:editId="22BFBC5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7C554" w14:textId="77777777" w:rsidR="00744DD1" w:rsidRDefault="00744DD1" w:rsidP="00744DD1">
      <w:pPr>
        <w:jc w:val="center"/>
        <w:rPr>
          <w:rFonts w:ascii="Book Antiqua" w:hAnsi="Book Antiqua"/>
        </w:rPr>
      </w:pPr>
    </w:p>
    <w:p w14:paraId="53DA23E5" w14:textId="77777777" w:rsidR="00744DD1" w:rsidRPr="00763D22" w:rsidRDefault="00744DD1" w:rsidP="00744DD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29FF61C" w14:textId="77777777" w:rsidR="00744DD1" w:rsidRPr="00763D22" w:rsidRDefault="00744DD1" w:rsidP="00744DD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DB17BEA" w14:textId="77777777" w:rsidR="00744DD1" w:rsidRPr="00763D22" w:rsidRDefault="00744DD1" w:rsidP="00744DD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CEBC7DB" w14:textId="77777777" w:rsidR="00744DD1" w:rsidRPr="00763D22" w:rsidRDefault="00744DD1" w:rsidP="00744DD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C5EDC2D" w14:textId="77777777" w:rsidR="00744DD1" w:rsidRPr="00763D22" w:rsidRDefault="00744DD1" w:rsidP="00744DD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E3165FD" w14:textId="77777777" w:rsidR="00744DD1" w:rsidRPr="00763D22" w:rsidRDefault="00744DD1" w:rsidP="00744DD1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8228B3A" w14:textId="77777777" w:rsidR="00744DD1" w:rsidRDefault="00744DD1" w:rsidP="00744DD1">
      <w:pPr>
        <w:jc w:val="center"/>
        <w:rPr>
          <w:rFonts w:ascii="Book Antiqua" w:hAnsi="Book Antiqua"/>
        </w:rPr>
      </w:pPr>
    </w:p>
    <w:p w14:paraId="3003EA12" w14:textId="77777777" w:rsidR="00744DD1" w:rsidRDefault="00744DD1" w:rsidP="00744DD1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0A92781" wp14:editId="645D47C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926D" w14:textId="77777777" w:rsidR="00744DD1" w:rsidRDefault="00744DD1" w:rsidP="00744DD1">
      <w:pPr>
        <w:jc w:val="center"/>
        <w:rPr>
          <w:rFonts w:ascii="Book Antiqua" w:hAnsi="Book Antiqua"/>
        </w:rPr>
      </w:pPr>
    </w:p>
    <w:p w14:paraId="4DDE1B94" w14:textId="77777777" w:rsidR="00744DD1" w:rsidRDefault="00744DD1" w:rsidP="00744DD1">
      <w:pPr>
        <w:jc w:val="center"/>
        <w:rPr>
          <w:rFonts w:ascii="Book Antiqua" w:hAnsi="Book Antiqua"/>
        </w:rPr>
      </w:pPr>
    </w:p>
    <w:p w14:paraId="5CD4E36A" w14:textId="77777777" w:rsidR="00744DD1" w:rsidRDefault="00744DD1" w:rsidP="00744DD1">
      <w:pPr>
        <w:jc w:val="center"/>
        <w:rPr>
          <w:rFonts w:ascii="Book Antiqua" w:hAnsi="Book Antiqua"/>
        </w:rPr>
      </w:pPr>
    </w:p>
    <w:p w14:paraId="6E2553DD" w14:textId="77777777" w:rsidR="00744DD1" w:rsidRPr="00763D22" w:rsidRDefault="00744DD1" w:rsidP="00744DD1">
      <w:pPr>
        <w:jc w:val="right"/>
        <w:rPr>
          <w:rFonts w:ascii="Book Antiqua" w:hAnsi="Book Antiqua"/>
          <w:color w:val="000000" w:themeColor="text1"/>
        </w:rPr>
      </w:pPr>
    </w:p>
    <w:p w14:paraId="55FD21F9" w14:textId="69981EF8" w:rsidR="00D926D2" w:rsidRPr="00744DD1" w:rsidRDefault="00744DD1" w:rsidP="00744DD1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sectPr w:rsidR="00D926D2" w:rsidRPr="00744DD1" w:rsidSect="00FD2B6D">
      <w:pgSz w:w="15840" w:h="12240" w:orient="landscape"/>
      <w:pgMar w:top="1554" w:right="1554" w:bottom="1554" w:left="15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46315" w14:textId="77777777" w:rsidR="00F92F1E" w:rsidRDefault="00F92F1E" w:rsidP="00451534">
      <w:r>
        <w:separator/>
      </w:r>
    </w:p>
  </w:endnote>
  <w:endnote w:type="continuationSeparator" w:id="0">
    <w:p w14:paraId="309BFCB6" w14:textId="77777777" w:rsidR="00F92F1E" w:rsidRDefault="00F92F1E" w:rsidP="0045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0234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67D3314" w14:textId="42386CBA" w:rsidR="001A300A" w:rsidRDefault="001A300A" w:rsidP="001A300A">
            <w:pPr>
              <w:pStyle w:val="a5"/>
              <w:jc w:val="right"/>
            </w:pPr>
            <w:r w:rsidRPr="001A300A">
              <w:rPr>
                <w:sz w:val="21"/>
                <w:szCs w:val="21"/>
                <w:lang w:val="zh-CN" w:eastAsia="zh-CN"/>
              </w:rPr>
              <w:t xml:space="preserve"> </w:t>
            </w:r>
            <w:r w:rsidRPr="001A300A">
              <w:rPr>
                <w:b/>
                <w:bCs/>
                <w:sz w:val="21"/>
                <w:szCs w:val="21"/>
              </w:rPr>
              <w:fldChar w:fldCharType="begin"/>
            </w:r>
            <w:r w:rsidRPr="001A300A">
              <w:rPr>
                <w:b/>
                <w:bCs/>
                <w:sz w:val="21"/>
                <w:szCs w:val="21"/>
              </w:rPr>
              <w:instrText>PAGE</w:instrText>
            </w:r>
            <w:r w:rsidRPr="001A300A">
              <w:rPr>
                <w:b/>
                <w:bCs/>
                <w:sz w:val="21"/>
                <w:szCs w:val="21"/>
              </w:rPr>
              <w:fldChar w:fldCharType="separate"/>
            </w:r>
            <w:r w:rsidR="00532D44">
              <w:rPr>
                <w:b/>
                <w:bCs/>
                <w:noProof/>
                <w:sz w:val="21"/>
                <w:szCs w:val="21"/>
              </w:rPr>
              <w:t>2</w:t>
            </w:r>
            <w:r w:rsidRPr="001A300A">
              <w:rPr>
                <w:b/>
                <w:bCs/>
                <w:sz w:val="21"/>
                <w:szCs w:val="21"/>
              </w:rPr>
              <w:fldChar w:fldCharType="end"/>
            </w:r>
            <w:r w:rsidRPr="001A300A">
              <w:rPr>
                <w:sz w:val="21"/>
                <w:szCs w:val="21"/>
                <w:lang w:val="zh-CN" w:eastAsia="zh-CN"/>
              </w:rPr>
              <w:t xml:space="preserve"> / </w:t>
            </w:r>
            <w:r w:rsidRPr="001A300A">
              <w:rPr>
                <w:b/>
                <w:bCs/>
                <w:sz w:val="21"/>
                <w:szCs w:val="21"/>
              </w:rPr>
              <w:fldChar w:fldCharType="begin"/>
            </w:r>
            <w:r w:rsidRPr="001A300A">
              <w:rPr>
                <w:b/>
                <w:bCs/>
                <w:sz w:val="21"/>
                <w:szCs w:val="21"/>
              </w:rPr>
              <w:instrText>NUMPAGES</w:instrText>
            </w:r>
            <w:r w:rsidRPr="001A300A">
              <w:rPr>
                <w:b/>
                <w:bCs/>
                <w:sz w:val="21"/>
                <w:szCs w:val="21"/>
              </w:rPr>
              <w:fldChar w:fldCharType="separate"/>
            </w:r>
            <w:r w:rsidR="00532D44">
              <w:rPr>
                <w:b/>
                <w:bCs/>
                <w:noProof/>
                <w:sz w:val="21"/>
                <w:szCs w:val="21"/>
              </w:rPr>
              <w:t>40</w:t>
            </w:r>
            <w:r w:rsidRPr="001A300A">
              <w:rPr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12B6FB66" w14:textId="77777777" w:rsidR="001A300A" w:rsidRDefault="001A3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0F0AE" w14:textId="77777777" w:rsidR="00F92F1E" w:rsidRDefault="00F92F1E" w:rsidP="00451534">
      <w:r>
        <w:separator/>
      </w:r>
    </w:p>
  </w:footnote>
  <w:footnote w:type="continuationSeparator" w:id="0">
    <w:p w14:paraId="69FCAFE8" w14:textId="77777777" w:rsidR="00F92F1E" w:rsidRDefault="00F92F1E" w:rsidP="00451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45A04"/>
    <w:rsid w:val="000874BC"/>
    <w:rsid w:val="000A23E2"/>
    <w:rsid w:val="000B0CDB"/>
    <w:rsid w:val="000C0351"/>
    <w:rsid w:val="000E3417"/>
    <w:rsid w:val="000E4E10"/>
    <w:rsid w:val="000E7492"/>
    <w:rsid w:val="000F155C"/>
    <w:rsid w:val="000F203B"/>
    <w:rsid w:val="001056C9"/>
    <w:rsid w:val="00105EDC"/>
    <w:rsid w:val="00106DAF"/>
    <w:rsid w:val="00107229"/>
    <w:rsid w:val="00111D06"/>
    <w:rsid w:val="00133D70"/>
    <w:rsid w:val="00157C49"/>
    <w:rsid w:val="00161206"/>
    <w:rsid w:val="0016509B"/>
    <w:rsid w:val="0017311E"/>
    <w:rsid w:val="00186881"/>
    <w:rsid w:val="001920E3"/>
    <w:rsid w:val="00194C5B"/>
    <w:rsid w:val="001A0457"/>
    <w:rsid w:val="001A0736"/>
    <w:rsid w:val="001A300A"/>
    <w:rsid w:val="001A5613"/>
    <w:rsid w:val="001B2E9B"/>
    <w:rsid w:val="001D0D53"/>
    <w:rsid w:val="001D775C"/>
    <w:rsid w:val="001E7285"/>
    <w:rsid w:val="001F02C9"/>
    <w:rsid w:val="001F0A5C"/>
    <w:rsid w:val="00215704"/>
    <w:rsid w:val="00217D13"/>
    <w:rsid w:val="00220A52"/>
    <w:rsid w:val="0024634A"/>
    <w:rsid w:val="00257605"/>
    <w:rsid w:val="00283ED9"/>
    <w:rsid w:val="00287239"/>
    <w:rsid w:val="00297BF1"/>
    <w:rsid w:val="002A1D08"/>
    <w:rsid w:val="002B6267"/>
    <w:rsid w:val="002C6F14"/>
    <w:rsid w:val="002D07EE"/>
    <w:rsid w:val="002F78E0"/>
    <w:rsid w:val="00316A16"/>
    <w:rsid w:val="003503AA"/>
    <w:rsid w:val="003746E1"/>
    <w:rsid w:val="00376ADF"/>
    <w:rsid w:val="003865BC"/>
    <w:rsid w:val="00391FCE"/>
    <w:rsid w:val="00393C08"/>
    <w:rsid w:val="00393DD2"/>
    <w:rsid w:val="003A08D8"/>
    <w:rsid w:val="003C08FF"/>
    <w:rsid w:val="003C27C3"/>
    <w:rsid w:val="003D0664"/>
    <w:rsid w:val="003F62CA"/>
    <w:rsid w:val="003F778D"/>
    <w:rsid w:val="00407E82"/>
    <w:rsid w:val="00411DD5"/>
    <w:rsid w:val="0041593E"/>
    <w:rsid w:val="00443415"/>
    <w:rsid w:val="00451534"/>
    <w:rsid w:val="004570BB"/>
    <w:rsid w:val="00462C29"/>
    <w:rsid w:val="00463D71"/>
    <w:rsid w:val="00466F9F"/>
    <w:rsid w:val="00467205"/>
    <w:rsid w:val="004719E1"/>
    <w:rsid w:val="00490D56"/>
    <w:rsid w:val="004B09D2"/>
    <w:rsid w:val="0052462B"/>
    <w:rsid w:val="005251A0"/>
    <w:rsid w:val="00532D44"/>
    <w:rsid w:val="005343D0"/>
    <w:rsid w:val="00542690"/>
    <w:rsid w:val="00591195"/>
    <w:rsid w:val="005B55A2"/>
    <w:rsid w:val="005D5488"/>
    <w:rsid w:val="005E0C20"/>
    <w:rsid w:val="005E1E4B"/>
    <w:rsid w:val="005F5BA8"/>
    <w:rsid w:val="0060181C"/>
    <w:rsid w:val="00612128"/>
    <w:rsid w:val="00612D21"/>
    <w:rsid w:val="006140C3"/>
    <w:rsid w:val="00642C84"/>
    <w:rsid w:val="00646075"/>
    <w:rsid w:val="00650DA0"/>
    <w:rsid w:val="006848EF"/>
    <w:rsid w:val="006A5D8F"/>
    <w:rsid w:val="006B599F"/>
    <w:rsid w:val="006C761F"/>
    <w:rsid w:val="006D4454"/>
    <w:rsid w:val="006F01E7"/>
    <w:rsid w:val="0071320F"/>
    <w:rsid w:val="00726118"/>
    <w:rsid w:val="007314B4"/>
    <w:rsid w:val="007400A0"/>
    <w:rsid w:val="00744DD1"/>
    <w:rsid w:val="00781B1B"/>
    <w:rsid w:val="007852E0"/>
    <w:rsid w:val="00795121"/>
    <w:rsid w:val="007A1878"/>
    <w:rsid w:val="007A18C9"/>
    <w:rsid w:val="007A42E1"/>
    <w:rsid w:val="007B49DE"/>
    <w:rsid w:val="007B611C"/>
    <w:rsid w:val="007C078E"/>
    <w:rsid w:val="007D474E"/>
    <w:rsid w:val="007D73AD"/>
    <w:rsid w:val="007F2EDD"/>
    <w:rsid w:val="007F6F2F"/>
    <w:rsid w:val="008040BE"/>
    <w:rsid w:val="00813849"/>
    <w:rsid w:val="008168BE"/>
    <w:rsid w:val="00851B8A"/>
    <w:rsid w:val="00865553"/>
    <w:rsid w:val="00872139"/>
    <w:rsid w:val="00872745"/>
    <w:rsid w:val="00880276"/>
    <w:rsid w:val="0089731D"/>
    <w:rsid w:val="008974AB"/>
    <w:rsid w:val="008A30B2"/>
    <w:rsid w:val="008A47E7"/>
    <w:rsid w:val="008A6137"/>
    <w:rsid w:val="008B3C87"/>
    <w:rsid w:val="008B3CB5"/>
    <w:rsid w:val="008C0AFF"/>
    <w:rsid w:val="008C4D2C"/>
    <w:rsid w:val="008E12C1"/>
    <w:rsid w:val="008F0D15"/>
    <w:rsid w:val="00900B32"/>
    <w:rsid w:val="009144CE"/>
    <w:rsid w:val="0092435F"/>
    <w:rsid w:val="00927959"/>
    <w:rsid w:val="009344BB"/>
    <w:rsid w:val="0093706A"/>
    <w:rsid w:val="00946F6B"/>
    <w:rsid w:val="0095189C"/>
    <w:rsid w:val="00961B05"/>
    <w:rsid w:val="00971E1C"/>
    <w:rsid w:val="00973F6F"/>
    <w:rsid w:val="0099212A"/>
    <w:rsid w:val="009A397F"/>
    <w:rsid w:val="009C0888"/>
    <w:rsid w:val="009C7178"/>
    <w:rsid w:val="009E2F17"/>
    <w:rsid w:val="009E3F3F"/>
    <w:rsid w:val="009E7FE0"/>
    <w:rsid w:val="00A02BAD"/>
    <w:rsid w:val="00A113EC"/>
    <w:rsid w:val="00A155C9"/>
    <w:rsid w:val="00A170D0"/>
    <w:rsid w:val="00A229A2"/>
    <w:rsid w:val="00A5189E"/>
    <w:rsid w:val="00A61748"/>
    <w:rsid w:val="00A671D6"/>
    <w:rsid w:val="00A7235F"/>
    <w:rsid w:val="00A74802"/>
    <w:rsid w:val="00A77B3E"/>
    <w:rsid w:val="00AB6471"/>
    <w:rsid w:val="00AC5A06"/>
    <w:rsid w:val="00AE225D"/>
    <w:rsid w:val="00AE7058"/>
    <w:rsid w:val="00AF28C8"/>
    <w:rsid w:val="00AF39C5"/>
    <w:rsid w:val="00AF69E2"/>
    <w:rsid w:val="00AF7D7A"/>
    <w:rsid w:val="00B11EC9"/>
    <w:rsid w:val="00B25C58"/>
    <w:rsid w:val="00B27B53"/>
    <w:rsid w:val="00B328B8"/>
    <w:rsid w:val="00B44D1E"/>
    <w:rsid w:val="00B6032B"/>
    <w:rsid w:val="00B6432F"/>
    <w:rsid w:val="00B65E3F"/>
    <w:rsid w:val="00B74E66"/>
    <w:rsid w:val="00B772BD"/>
    <w:rsid w:val="00B811A2"/>
    <w:rsid w:val="00B91D5A"/>
    <w:rsid w:val="00BA4B46"/>
    <w:rsid w:val="00BC1A95"/>
    <w:rsid w:val="00BC60FA"/>
    <w:rsid w:val="00BD0E66"/>
    <w:rsid w:val="00BE1D7F"/>
    <w:rsid w:val="00BE558A"/>
    <w:rsid w:val="00C13DD8"/>
    <w:rsid w:val="00C15DC9"/>
    <w:rsid w:val="00C17AE6"/>
    <w:rsid w:val="00C2602A"/>
    <w:rsid w:val="00C349DF"/>
    <w:rsid w:val="00C4220D"/>
    <w:rsid w:val="00C43E66"/>
    <w:rsid w:val="00C577C4"/>
    <w:rsid w:val="00C61B1B"/>
    <w:rsid w:val="00C76DCD"/>
    <w:rsid w:val="00C90E24"/>
    <w:rsid w:val="00C94264"/>
    <w:rsid w:val="00C95E30"/>
    <w:rsid w:val="00CA2A55"/>
    <w:rsid w:val="00CA67C8"/>
    <w:rsid w:val="00CD6106"/>
    <w:rsid w:val="00CE2E5C"/>
    <w:rsid w:val="00CE3ABC"/>
    <w:rsid w:val="00CF2D9E"/>
    <w:rsid w:val="00CF513C"/>
    <w:rsid w:val="00D132AC"/>
    <w:rsid w:val="00D154B9"/>
    <w:rsid w:val="00D22ED9"/>
    <w:rsid w:val="00D33A50"/>
    <w:rsid w:val="00D511F4"/>
    <w:rsid w:val="00D72914"/>
    <w:rsid w:val="00D80D94"/>
    <w:rsid w:val="00D8348F"/>
    <w:rsid w:val="00D83F8A"/>
    <w:rsid w:val="00D926D2"/>
    <w:rsid w:val="00DA221C"/>
    <w:rsid w:val="00DA233F"/>
    <w:rsid w:val="00DA4194"/>
    <w:rsid w:val="00DC42CA"/>
    <w:rsid w:val="00DC6402"/>
    <w:rsid w:val="00DD03D3"/>
    <w:rsid w:val="00DE148E"/>
    <w:rsid w:val="00DE78EF"/>
    <w:rsid w:val="00DF44F4"/>
    <w:rsid w:val="00E02530"/>
    <w:rsid w:val="00E12BB9"/>
    <w:rsid w:val="00E13422"/>
    <w:rsid w:val="00E22481"/>
    <w:rsid w:val="00E22C46"/>
    <w:rsid w:val="00E30D04"/>
    <w:rsid w:val="00E315E6"/>
    <w:rsid w:val="00E5218C"/>
    <w:rsid w:val="00E927BE"/>
    <w:rsid w:val="00E93217"/>
    <w:rsid w:val="00E959C0"/>
    <w:rsid w:val="00EC7559"/>
    <w:rsid w:val="00ED196C"/>
    <w:rsid w:val="00ED58B0"/>
    <w:rsid w:val="00ED6C89"/>
    <w:rsid w:val="00EE1097"/>
    <w:rsid w:val="00EE795C"/>
    <w:rsid w:val="00EF0C5A"/>
    <w:rsid w:val="00EF33CF"/>
    <w:rsid w:val="00F03594"/>
    <w:rsid w:val="00F1553B"/>
    <w:rsid w:val="00F34016"/>
    <w:rsid w:val="00F527BB"/>
    <w:rsid w:val="00F55F85"/>
    <w:rsid w:val="00F916A3"/>
    <w:rsid w:val="00F92F1E"/>
    <w:rsid w:val="00F93505"/>
    <w:rsid w:val="00F94801"/>
    <w:rsid w:val="00FA250E"/>
    <w:rsid w:val="00FC7187"/>
    <w:rsid w:val="00FC795A"/>
    <w:rsid w:val="00FD033E"/>
    <w:rsid w:val="00FD2B6D"/>
    <w:rsid w:val="00FE2F49"/>
    <w:rsid w:val="00FE68D1"/>
    <w:rsid w:val="00FF0BA7"/>
    <w:rsid w:val="00FF4C5C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C7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A"/>
    <w:rPr>
      <w:rFonts w:ascii="宋体" w:eastAsia="宋体" w:hAnsi="宋体" w:cs="宋体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1C"/>
    <w:rPr>
      <w:rFonts w:asciiTheme="minorHAnsi" w:hAnsiTheme="minorHAnsi" w:cstheme="minorBidi"/>
      <w:kern w:val="2"/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451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Char">
    <w:name w:val="页眉 Char"/>
    <w:basedOn w:val="a0"/>
    <w:link w:val="a4"/>
    <w:rsid w:val="004515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534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rsid w:val="00451534"/>
    <w:rPr>
      <w:sz w:val="18"/>
      <w:szCs w:val="18"/>
    </w:rPr>
  </w:style>
  <w:style w:type="character" w:styleId="a6">
    <w:name w:val="annotation reference"/>
    <w:basedOn w:val="a0"/>
    <w:semiHidden/>
    <w:unhideWhenUsed/>
    <w:rsid w:val="00215704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215704"/>
    <w:rPr>
      <w:rFonts w:ascii="Times New Roman" w:eastAsiaTheme="minorEastAsia" w:hAnsi="Times New Roman" w:cs="Times New Roman"/>
      <w:lang w:eastAsia="en-US"/>
    </w:rPr>
  </w:style>
  <w:style w:type="character" w:customStyle="1" w:styleId="Char1">
    <w:name w:val="批注文字 Char"/>
    <w:basedOn w:val="a0"/>
    <w:link w:val="a7"/>
    <w:semiHidden/>
    <w:rsid w:val="00215704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215704"/>
    <w:rPr>
      <w:b/>
      <w:bCs/>
    </w:rPr>
  </w:style>
  <w:style w:type="character" w:customStyle="1" w:styleId="Char2">
    <w:name w:val="批注主题 Char"/>
    <w:basedOn w:val="Char1"/>
    <w:link w:val="a8"/>
    <w:semiHidden/>
    <w:rsid w:val="00215704"/>
    <w:rPr>
      <w:b/>
      <w:bCs/>
      <w:sz w:val="24"/>
      <w:szCs w:val="24"/>
    </w:rPr>
  </w:style>
  <w:style w:type="paragraph" w:styleId="a9">
    <w:name w:val="Balloon Text"/>
    <w:basedOn w:val="a"/>
    <w:link w:val="Char3"/>
    <w:rsid w:val="00215704"/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Char3">
    <w:name w:val="批注框文本 Char"/>
    <w:basedOn w:val="a0"/>
    <w:link w:val="a9"/>
    <w:rsid w:val="00215704"/>
    <w:rPr>
      <w:sz w:val="18"/>
      <w:szCs w:val="18"/>
    </w:rPr>
  </w:style>
  <w:style w:type="character" w:customStyle="1" w:styleId="apple-converted-space">
    <w:name w:val="apple-converted-space"/>
    <w:basedOn w:val="a0"/>
    <w:rsid w:val="00BE558A"/>
  </w:style>
  <w:style w:type="character" w:styleId="aa">
    <w:name w:val="Hyperlink"/>
    <w:basedOn w:val="a0"/>
    <w:unhideWhenUsed/>
    <w:rsid w:val="008655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F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A"/>
    <w:rPr>
      <w:rFonts w:ascii="宋体" w:eastAsia="宋体" w:hAnsi="宋体" w:cs="宋体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21C"/>
    <w:rPr>
      <w:rFonts w:asciiTheme="minorHAnsi" w:hAnsiTheme="minorHAnsi" w:cstheme="minorBidi"/>
      <w:kern w:val="2"/>
      <w:sz w:val="21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451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Char">
    <w:name w:val="页眉 Char"/>
    <w:basedOn w:val="a0"/>
    <w:link w:val="a4"/>
    <w:rsid w:val="004515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534"/>
    <w:pPr>
      <w:tabs>
        <w:tab w:val="center" w:pos="4153"/>
        <w:tab w:val="right" w:pos="8306"/>
      </w:tabs>
      <w:snapToGrid w:val="0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Char0">
    <w:name w:val="页脚 Char"/>
    <w:basedOn w:val="a0"/>
    <w:link w:val="a5"/>
    <w:uiPriority w:val="99"/>
    <w:rsid w:val="00451534"/>
    <w:rPr>
      <w:sz w:val="18"/>
      <w:szCs w:val="18"/>
    </w:rPr>
  </w:style>
  <w:style w:type="character" w:styleId="a6">
    <w:name w:val="annotation reference"/>
    <w:basedOn w:val="a0"/>
    <w:semiHidden/>
    <w:unhideWhenUsed/>
    <w:rsid w:val="00215704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215704"/>
    <w:rPr>
      <w:rFonts w:ascii="Times New Roman" w:eastAsiaTheme="minorEastAsia" w:hAnsi="Times New Roman" w:cs="Times New Roman"/>
      <w:lang w:eastAsia="en-US"/>
    </w:rPr>
  </w:style>
  <w:style w:type="character" w:customStyle="1" w:styleId="Char1">
    <w:name w:val="批注文字 Char"/>
    <w:basedOn w:val="a0"/>
    <w:link w:val="a7"/>
    <w:semiHidden/>
    <w:rsid w:val="00215704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215704"/>
    <w:rPr>
      <w:b/>
      <w:bCs/>
    </w:rPr>
  </w:style>
  <w:style w:type="character" w:customStyle="1" w:styleId="Char2">
    <w:name w:val="批注主题 Char"/>
    <w:basedOn w:val="Char1"/>
    <w:link w:val="a8"/>
    <w:semiHidden/>
    <w:rsid w:val="00215704"/>
    <w:rPr>
      <w:b/>
      <w:bCs/>
      <w:sz w:val="24"/>
      <w:szCs w:val="24"/>
    </w:rPr>
  </w:style>
  <w:style w:type="paragraph" w:styleId="a9">
    <w:name w:val="Balloon Text"/>
    <w:basedOn w:val="a"/>
    <w:link w:val="Char3"/>
    <w:rsid w:val="00215704"/>
    <w:rPr>
      <w:rFonts w:ascii="Times New Roman" w:eastAsiaTheme="minorEastAsia" w:hAnsi="Times New Roman" w:cs="Times New Roman"/>
      <w:sz w:val="18"/>
      <w:szCs w:val="18"/>
      <w:lang w:eastAsia="en-US"/>
    </w:rPr>
  </w:style>
  <w:style w:type="character" w:customStyle="1" w:styleId="Char3">
    <w:name w:val="批注框文本 Char"/>
    <w:basedOn w:val="a0"/>
    <w:link w:val="a9"/>
    <w:rsid w:val="00215704"/>
    <w:rPr>
      <w:sz w:val="18"/>
      <w:szCs w:val="18"/>
    </w:rPr>
  </w:style>
  <w:style w:type="character" w:customStyle="1" w:styleId="apple-converted-space">
    <w:name w:val="apple-converted-space"/>
    <w:basedOn w:val="a0"/>
    <w:rsid w:val="00BE558A"/>
  </w:style>
  <w:style w:type="character" w:styleId="aa">
    <w:name w:val="Hyperlink"/>
    <w:basedOn w:val="a0"/>
    <w:unhideWhenUsed/>
    <w:rsid w:val="008655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74D9A-4E37-4B65-AA64-3744ECEC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40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22</cp:revision>
  <dcterms:created xsi:type="dcterms:W3CDTF">2021-06-03T22:41:00Z</dcterms:created>
  <dcterms:modified xsi:type="dcterms:W3CDTF">2021-07-05T09:31:00Z</dcterms:modified>
</cp:coreProperties>
</file>