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239E3" w14:textId="77777777" w:rsidR="00A77B3E" w:rsidRPr="0037251D" w:rsidRDefault="008404AF">
      <w:pPr>
        <w:spacing w:line="360" w:lineRule="auto"/>
        <w:jc w:val="both"/>
      </w:pPr>
      <w:r w:rsidRPr="0037251D">
        <w:rPr>
          <w:rFonts w:ascii="Book Antiqua" w:eastAsia="Book Antiqua" w:hAnsi="Book Antiqua" w:cs="Book Antiqua"/>
          <w:b/>
          <w:color w:val="000000"/>
        </w:rPr>
        <w:t xml:space="preserve">Name of Journal: </w:t>
      </w:r>
      <w:r w:rsidRPr="0037251D">
        <w:rPr>
          <w:rFonts w:ascii="Book Antiqua" w:eastAsia="Book Antiqua" w:hAnsi="Book Antiqua" w:cs="Book Antiqua"/>
          <w:i/>
          <w:color w:val="000000"/>
        </w:rPr>
        <w:t>World Journal of Gastroenterology</w:t>
      </w:r>
    </w:p>
    <w:p w14:paraId="7F938A29" w14:textId="77777777" w:rsidR="00A77B3E" w:rsidRPr="0037251D" w:rsidRDefault="008404AF">
      <w:pPr>
        <w:spacing w:line="360" w:lineRule="auto"/>
        <w:jc w:val="both"/>
      </w:pPr>
      <w:r w:rsidRPr="0037251D">
        <w:rPr>
          <w:rFonts w:ascii="Book Antiqua" w:eastAsia="Book Antiqua" w:hAnsi="Book Antiqua" w:cs="Book Antiqua"/>
          <w:b/>
          <w:color w:val="000000"/>
        </w:rPr>
        <w:t xml:space="preserve">Manuscript NO: </w:t>
      </w:r>
      <w:r w:rsidRPr="0037251D">
        <w:rPr>
          <w:rFonts w:ascii="Book Antiqua" w:eastAsia="Book Antiqua" w:hAnsi="Book Antiqua" w:cs="Book Antiqua"/>
          <w:color w:val="000000"/>
        </w:rPr>
        <w:t>63107</w:t>
      </w:r>
    </w:p>
    <w:p w14:paraId="5A2838C9" w14:textId="77777777" w:rsidR="00A77B3E" w:rsidRPr="0037251D" w:rsidRDefault="008404AF">
      <w:pPr>
        <w:spacing w:line="360" w:lineRule="auto"/>
        <w:jc w:val="both"/>
      </w:pPr>
      <w:r w:rsidRPr="0037251D">
        <w:rPr>
          <w:rFonts w:ascii="Book Antiqua" w:eastAsia="Book Antiqua" w:hAnsi="Book Antiqua" w:cs="Book Antiqua"/>
          <w:b/>
          <w:color w:val="000000"/>
        </w:rPr>
        <w:t xml:space="preserve">Manuscript Type: </w:t>
      </w:r>
      <w:r w:rsidRPr="0037251D">
        <w:rPr>
          <w:rFonts w:ascii="Book Antiqua" w:eastAsia="Book Antiqua" w:hAnsi="Book Antiqua" w:cs="Book Antiqua"/>
          <w:color w:val="000000"/>
        </w:rPr>
        <w:t>MINIREVIEWS</w:t>
      </w:r>
    </w:p>
    <w:p w14:paraId="54175474" w14:textId="77777777" w:rsidR="00A77B3E" w:rsidRPr="0037251D" w:rsidRDefault="00A77B3E">
      <w:pPr>
        <w:spacing w:line="360" w:lineRule="auto"/>
        <w:jc w:val="both"/>
      </w:pPr>
    </w:p>
    <w:p w14:paraId="1E0FD363" w14:textId="77777777" w:rsidR="00A77B3E" w:rsidRPr="0037251D" w:rsidRDefault="008404AF">
      <w:pPr>
        <w:spacing w:line="360" w:lineRule="auto"/>
        <w:jc w:val="both"/>
      </w:pPr>
      <w:r w:rsidRPr="0037251D">
        <w:rPr>
          <w:rFonts w:ascii="Book Antiqua" w:eastAsia="Book Antiqua" w:hAnsi="Book Antiqua" w:cs="Book Antiqua"/>
          <w:b/>
          <w:bCs/>
          <w:color w:val="000000"/>
        </w:rPr>
        <w:t>Burden of venous thromboembolism in patients with pancreatic cancer</w:t>
      </w:r>
    </w:p>
    <w:p w14:paraId="602D505C" w14:textId="77777777" w:rsidR="00A77B3E" w:rsidRPr="0037251D" w:rsidRDefault="00A77B3E">
      <w:pPr>
        <w:spacing w:line="360" w:lineRule="auto"/>
        <w:jc w:val="both"/>
      </w:pPr>
    </w:p>
    <w:p w14:paraId="4570B9A1" w14:textId="731688BA" w:rsidR="00A77B3E" w:rsidRPr="0037251D" w:rsidRDefault="001C0DD7">
      <w:pPr>
        <w:spacing w:line="360" w:lineRule="auto"/>
        <w:jc w:val="both"/>
      </w:pPr>
      <w:r w:rsidRPr="0037251D">
        <w:rPr>
          <w:rFonts w:ascii="Book Antiqua" w:eastAsia="Book Antiqua" w:hAnsi="Book Antiqua" w:cs="Book Antiqua"/>
          <w:color w:val="000000"/>
        </w:rPr>
        <w:t xml:space="preserve">Frere C. </w:t>
      </w:r>
      <w:r w:rsidR="008404AF" w:rsidRPr="0037251D">
        <w:rPr>
          <w:rFonts w:ascii="Book Antiqua" w:eastAsia="Book Antiqua" w:hAnsi="Book Antiqua" w:cs="Book Antiqua"/>
          <w:color w:val="000000"/>
        </w:rPr>
        <w:t>Venous thromboembolism and pancreatic cancer</w:t>
      </w:r>
    </w:p>
    <w:p w14:paraId="108E3806" w14:textId="77777777" w:rsidR="00A77B3E" w:rsidRPr="0037251D" w:rsidRDefault="00A77B3E">
      <w:pPr>
        <w:spacing w:line="360" w:lineRule="auto"/>
        <w:jc w:val="both"/>
      </w:pPr>
    </w:p>
    <w:p w14:paraId="3B07EC30" w14:textId="77777777" w:rsidR="00A77B3E" w:rsidRPr="0037251D" w:rsidRDefault="008404AF">
      <w:pPr>
        <w:spacing w:line="360" w:lineRule="auto"/>
        <w:jc w:val="both"/>
      </w:pPr>
      <w:r w:rsidRPr="0037251D">
        <w:rPr>
          <w:rFonts w:ascii="Book Antiqua" w:eastAsia="Book Antiqua" w:hAnsi="Book Antiqua" w:cs="Book Antiqua"/>
          <w:color w:val="000000"/>
        </w:rPr>
        <w:t>Corinne Frere</w:t>
      </w:r>
    </w:p>
    <w:p w14:paraId="39FCB525" w14:textId="77777777" w:rsidR="00A77B3E" w:rsidRPr="0037251D" w:rsidRDefault="00A77B3E">
      <w:pPr>
        <w:spacing w:line="360" w:lineRule="auto"/>
        <w:jc w:val="both"/>
      </w:pPr>
    </w:p>
    <w:p w14:paraId="2EBE1FC3" w14:textId="3EEC91EC" w:rsidR="00A77B3E" w:rsidRPr="0037251D" w:rsidRDefault="008404AF">
      <w:pPr>
        <w:spacing w:line="360" w:lineRule="auto"/>
        <w:jc w:val="both"/>
      </w:pPr>
      <w:r w:rsidRPr="0037251D">
        <w:rPr>
          <w:rFonts w:ascii="Book Antiqua" w:eastAsia="Book Antiqua" w:hAnsi="Book Antiqua" w:cs="Book Antiqua"/>
          <w:b/>
          <w:bCs/>
          <w:color w:val="000000"/>
        </w:rPr>
        <w:t xml:space="preserve">Corinne Frere, </w:t>
      </w:r>
      <w:r w:rsidRPr="0037251D">
        <w:rPr>
          <w:rFonts w:ascii="Book Antiqua" w:eastAsia="Book Antiqua" w:hAnsi="Book Antiqua" w:cs="Book Antiqua"/>
          <w:color w:val="000000"/>
        </w:rPr>
        <w:t>Department of Haematology, Pitié-Salpêtrière Hospital, Assistance Publique Hôpitaux de Paris, Paris F-75013, France</w:t>
      </w:r>
    </w:p>
    <w:p w14:paraId="4ED55514" w14:textId="77777777" w:rsidR="00A77B3E" w:rsidRPr="0037251D" w:rsidRDefault="00A77B3E">
      <w:pPr>
        <w:spacing w:line="360" w:lineRule="auto"/>
        <w:jc w:val="both"/>
      </w:pPr>
    </w:p>
    <w:p w14:paraId="692DC6EA" w14:textId="14A6DE82" w:rsidR="00A77B3E" w:rsidRPr="0037251D" w:rsidRDefault="008404AF">
      <w:pPr>
        <w:spacing w:line="360" w:lineRule="auto"/>
        <w:jc w:val="both"/>
      </w:pPr>
      <w:r w:rsidRPr="0037251D">
        <w:rPr>
          <w:rFonts w:ascii="Book Antiqua" w:eastAsia="Book Antiqua" w:hAnsi="Book Antiqua" w:cs="Book Antiqua"/>
          <w:b/>
          <w:bCs/>
          <w:color w:val="000000"/>
        </w:rPr>
        <w:t xml:space="preserve">Corinne Frere, </w:t>
      </w:r>
      <w:r w:rsidRPr="0037251D">
        <w:rPr>
          <w:rFonts w:ascii="Book Antiqua" w:eastAsia="Book Antiqua" w:hAnsi="Book Antiqua" w:cs="Book Antiqua"/>
          <w:color w:val="000000"/>
        </w:rPr>
        <w:t>INSERM UMRS_1166, Institute of Cardiometabolism And Nutrition, GRC 27 GRECO, Sorbonne Université, Paris F-75013, France</w:t>
      </w:r>
    </w:p>
    <w:p w14:paraId="1C34F95E" w14:textId="77777777" w:rsidR="00A77B3E" w:rsidRPr="0037251D" w:rsidRDefault="00A77B3E">
      <w:pPr>
        <w:spacing w:line="360" w:lineRule="auto"/>
        <w:jc w:val="both"/>
      </w:pPr>
    </w:p>
    <w:p w14:paraId="374F5661" w14:textId="77777777" w:rsidR="00A77B3E" w:rsidRPr="0037251D" w:rsidRDefault="008404AF">
      <w:pPr>
        <w:spacing w:line="360" w:lineRule="auto"/>
        <w:jc w:val="both"/>
      </w:pPr>
      <w:r w:rsidRPr="0037251D">
        <w:rPr>
          <w:rFonts w:ascii="Book Antiqua" w:eastAsia="Book Antiqua" w:hAnsi="Book Antiqua" w:cs="Book Antiqua"/>
          <w:b/>
          <w:bCs/>
          <w:color w:val="000000"/>
        </w:rPr>
        <w:t xml:space="preserve">Corinne Frere, </w:t>
      </w:r>
      <w:r w:rsidRPr="0037251D">
        <w:rPr>
          <w:rFonts w:ascii="Book Antiqua" w:eastAsia="Book Antiqua" w:hAnsi="Book Antiqua" w:cs="Book Antiqua"/>
          <w:color w:val="000000"/>
        </w:rPr>
        <w:t>Groupe Francophone Thrombose et Cancer, Saint-Louis Hospital, Paris F-75010, France</w:t>
      </w:r>
    </w:p>
    <w:p w14:paraId="79B188CC" w14:textId="77777777" w:rsidR="00A77B3E" w:rsidRPr="0037251D" w:rsidRDefault="00A77B3E">
      <w:pPr>
        <w:spacing w:line="360" w:lineRule="auto"/>
        <w:jc w:val="both"/>
      </w:pPr>
    </w:p>
    <w:p w14:paraId="2AD9F7D7" w14:textId="325A8ED4" w:rsidR="00A77B3E" w:rsidRPr="0037251D" w:rsidRDefault="008404AF">
      <w:pPr>
        <w:spacing w:line="360" w:lineRule="auto"/>
        <w:jc w:val="both"/>
      </w:pPr>
      <w:r w:rsidRPr="0037251D">
        <w:rPr>
          <w:rFonts w:ascii="Book Antiqua" w:eastAsia="Book Antiqua" w:hAnsi="Book Antiqua" w:cs="Book Antiqua"/>
          <w:b/>
          <w:bCs/>
          <w:color w:val="000000"/>
          <w:szCs w:val="22"/>
        </w:rPr>
        <w:t xml:space="preserve">Author contributions: </w:t>
      </w:r>
      <w:r w:rsidRPr="0037251D">
        <w:rPr>
          <w:rStyle w:val="orcid-id-https"/>
          <w:rFonts w:ascii="Book Antiqua" w:eastAsia="Book Antiqua" w:hAnsi="Book Antiqua" w:cs="Book Antiqua"/>
          <w:color w:val="000000"/>
        </w:rPr>
        <w:t xml:space="preserve">Frere </w:t>
      </w:r>
      <w:r w:rsidR="001C0DD7" w:rsidRPr="0037251D">
        <w:rPr>
          <w:rStyle w:val="orcid-id-https"/>
          <w:rFonts w:ascii="Book Antiqua" w:eastAsia="Book Antiqua" w:hAnsi="Book Antiqua" w:cs="Book Antiqua"/>
          <w:color w:val="000000"/>
        </w:rPr>
        <w:t xml:space="preserve">C </w:t>
      </w:r>
      <w:r w:rsidRPr="0037251D">
        <w:rPr>
          <w:rFonts w:ascii="Book Antiqua" w:eastAsia="Book Antiqua" w:hAnsi="Book Antiqua" w:cs="Book Antiqua"/>
          <w:color w:val="000000"/>
        </w:rPr>
        <w:t>performed the literature review and drafted the manuscript.</w:t>
      </w:r>
    </w:p>
    <w:p w14:paraId="0705C528" w14:textId="77777777" w:rsidR="00A77B3E" w:rsidRPr="0037251D" w:rsidRDefault="00A77B3E">
      <w:pPr>
        <w:spacing w:line="360" w:lineRule="auto"/>
        <w:jc w:val="both"/>
      </w:pPr>
    </w:p>
    <w:p w14:paraId="03693F0A" w14:textId="5D62E4E6" w:rsidR="00A77B3E" w:rsidRPr="0037251D" w:rsidRDefault="008404AF">
      <w:pPr>
        <w:spacing w:line="360" w:lineRule="auto"/>
        <w:jc w:val="both"/>
      </w:pPr>
      <w:r w:rsidRPr="0037251D">
        <w:rPr>
          <w:rFonts w:ascii="Book Antiqua" w:eastAsia="Book Antiqua" w:hAnsi="Book Antiqua" w:cs="Book Antiqua"/>
          <w:b/>
          <w:bCs/>
          <w:color w:val="000000"/>
        </w:rPr>
        <w:t xml:space="preserve">Corresponding author: Corinne Frere, MD, PhD, Assistant Professor, </w:t>
      </w:r>
      <w:r w:rsidRPr="0037251D">
        <w:rPr>
          <w:rFonts w:ascii="Book Antiqua" w:eastAsia="Book Antiqua" w:hAnsi="Book Antiqua" w:cs="Book Antiqua"/>
          <w:color w:val="000000"/>
        </w:rPr>
        <w:t>Department of Haematology, Pitié-Salpêtrière Hospital, Assistance Publique Hôpitaux de Paris, 47-83, boulevard de l'Hôpital, Paris F-75013, France. corinne.frere@aphp.fr</w:t>
      </w:r>
    </w:p>
    <w:p w14:paraId="77A41C40" w14:textId="77777777" w:rsidR="00A77B3E" w:rsidRPr="0037251D" w:rsidRDefault="00A77B3E">
      <w:pPr>
        <w:spacing w:line="360" w:lineRule="auto"/>
        <w:jc w:val="both"/>
      </w:pPr>
    </w:p>
    <w:p w14:paraId="6DDCB73D" w14:textId="77777777" w:rsidR="00A77B3E" w:rsidRPr="0037251D" w:rsidRDefault="008404AF">
      <w:pPr>
        <w:spacing w:line="360" w:lineRule="auto"/>
        <w:jc w:val="both"/>
      </w:pPr>
      <w:r w:rsidRPr="0037251D">
        <w:rPr>
          <w:rFonts w:ascii="Book Antiqua" w:eastAsia="Book Antiqua" w:hAnsi="Book Antiqua" w:cs="Book Antiqua"/>
          <w:b/>
          <w:bCs/>
          <w:color w:val="000000"/>
        </w:rPr>
        <w:t xml:space="preserve">Received: </w:t>
      </w:r>
      <w:r w:rsidRPr="0037251D">
        <w:rPr>
          <w:rFonts w:ascii="Book Antiqua" w:eastAsia="Book Antiqua" w:hAnsi="Book Antiqua" w:cs="Book Antiqua"/>
          <w:color w:val="000000"/>
        </w:rPr>
        <w:t>January 24, 2021</w:t>
      </w:r>
    </w:p>
    <w:p w14:paraId="476E7FE4" w14:textId="77777777" w:rsidR="00A77B3E" w:rsidRPr="0037251D" w:rsidRDefault="008404AF">
      <w:pPr>
        <w:spacing w:line="360" w:lineRule="auto"/>
        <w:jc w:val="both"/>
      </w:pPr>
      <w:r w:rsidRPr="0037251D">
        <w:rPr>
          <w:rFonts w:ascii="Book Antiqua" w:eastAsia="Book Antiqua" w:hAnsi="Book Antiqua" w:cs="Book Antiqua"/>
          <w:b/>
          <w:bCs/>
          <w:color w:val="000000"/>
        </w:rPr>
        <w:t xml:space="preserve">Revised: </w:t>
      </w:r>
      <w:r w:rsidRPr="0037251D">
        <w:rPr>
          <w:rFonts w:ascii="Book Antiqua" w:eastAsia="Book Antiqua" w:hAnsi="Book Antiqua" w:cs="Book Antiqua"/>
          <w:color w:val="000000"/>
        </w:rPr>
        <w:t>February 28, 2021</w:t>
      </w:r>
    </w:p>
    <w:p w14:paraId="752D3AD9" w14:textId="214D6CFE" w:rsidR="00A77B3E" w:rsidRPr="0037251D" w:rsidRDefault="008404AF">
      <w:pPr>
        <w:spacing w:line="360" w:lineRule="auto"/>
        <w:jc w:val="both"/>
      </w:pPr>
      <w:r w:rsidRPr="0037251D">
        <w:rPr>
          <w:rFonts w:ascii="Book Antiqua" w:eastAsia="Book Antiqua" w:hAnsi="Book Antiqua" w:cs="Book Antiqua"/>
          <w:b/>
          <w:bCs/>
          <w:color w:val="000000"/>
        </w:rPr>
        <w:t xml:space="preserve">Accepted: </w:t>
      </w:r>
      <w:r w:rsidR="0033094D" w:rsidRPr="0037251D">
        <w:rPr>
          <w:rFonts w:ascii="Book Antiqua" w:eastAsia="Book Antiqua" w:hAnsi="Book Antiqua" w:cs="Book Antiqua"/>
          <w:bCs/>
          <w:color w:val="000000"/>
        </w:rPr>
        <w:t>April 22, 2021</w:t>
      </w:r>
    </w:p>
    <w:p w14:paraId="63377BAF" w14:textId="45F2F376" w:rsidR="00A77B3E" w:rsidRPr="0037251D" w:rsidRDefault="008404AF">
      <w:pPr>
        <w:spacing w:line="360" w:lineRule="auto"/>
        <w:jc w:val="both"/>
        <w:rPr>
          <w:lang w:eastAsia="zh-CN"/>
        </w:rPr>
      </w:pPr>
      <w:r w:rsidRPr="0037251D">
        <w:rPr>
          <w:rFonts w:ascii="Book Antiqua" w:eastAsia="Book Antiqua" w:hAnsi="Book Antiqua" w:cs="Book Antiqua"/>
          <w:b/>
          <w:bCs/>
          <w:color w:val="000000"/>
        </w:rPr>
        <w:t xml:space="preserve">Published online: </w:t>
      </w:r>
      <w:r w:rsidR="00DA4D49" w:rsidRPr="0037251D">
        <w:rPr>
          <w:rFonts w:ascii="Book Antiqua" w:hAnsi="Book Antiqua" w:cs="Book Antiqua" w:hint="eastAsia"/>
          <w:bCs/>
          <w:color w:val="000000"/>
          <w:lang w:eastAsia="zh-CN"/>
        </w:rPr>
        <w:t>May 21, 2021</w:t>
      </w:r>
    </w:p>
    <w:p w14:paraId="6290D54B" w14:textId="77777777" w:rsidR="00A77B3E" w:rsidRPr="0037251D" w:rsidRDefault="00A77B3E">
      <w:pPr>
        <w:spacing w:line="360" w:lineRule="auto"/>
        <w:jc w:val="both"/>
        <w:sectPr w:rsidR="00A77B3E" w:rsidRPr="0037251D">
          <w:footerReference w:type="default" r:id="rId7"/>
          <w:pgSz w:w="12240" w:h="15840"/>
          <w:pgMar w:top="1440" w:right="1440" w:bottom="1440" w:left="1440" w:header="720" w:footer="720" w:gutter="0"/>
          <w:cols w:space="720"/>
          <w:docGrid w:linePitch="360"/>
        </w:sectPr>
      </w:pPr>
    </w:p>
    <w:p w14:paraId="69538D96" w14:textId="77777777" w:rsidR="00A77B3E" w:rsidRPr="0037251D" w:rsidRDefault="008404AF">
      <w:pPr>
        <w:spacing w:line="360" w:lineRule="auto"/>
        <w:jc w:val="both"/>
      </w:pPr>
      <w:r w:rsidRPr="0037251D">
        <w:rPr>
          <w:rFonts w:ascii="Book Antiqua" w:eastAsia="Book Antiqua" w:hAnsi="Book Antiqua" w:cs="Book Antiqua"/>
          <w:b/>
          <w:color w:val="000000"/>
        </w:rPr>
        <w:lastRenderedPageBreak/>
        <w:t>Abstract</w:t>
      </w:r>
    </w:p>
    <w:p w14:paraId="456BB08C" w14:textId="77777777" w:rsidR="00A77B3E" w:rsidRPr="0037251D" w:rsidRDefault="008404AF">
      <w:pPr>
        <w:spacing w:line="360" w:lineRule="auto"/>
        <w:jc w:val="both"/>
      </w:pPr>
      <w:r w:rsidRPr="0037251D">
        <w:rPr>
          <w:rFonts w:ascii="Book Antiqua" w:eastAsia="Book Antiqua" w:hAnsi="Book Antiqua" w:cs="Book Antiqua"/>
          <w:color w:val="000000"/>
        </w:rPr>
        <w:t>Pancreatic cancer (PC) is a devastating</w:t>
      </w:r>
      <w:r w:rsidRPr="0037251D">
        <w:rPr>
          <w:rFonts w:ascii="Book Antiqua" w:eastAsia="Book Antiqua" w:hAnsi="Book Antiqua" w:cs="Book Antiqua"/>
          <w:b/>
          <w:bCs/>
          <w:color w:val="000000"/>
        </w:rPr>
        <w:t xml:space="preserve"> </w:t>
      </w:r>
      <w:r w:rsidRPr="0037251D">
        <w:rPr>
          <w:rFonts w:ascii="Book Antiqua" w:eastAsia="Book Antiqua" w:hAnsi="Book Antiqua" w:cs="Book Antiqua"/>
          <w:color w:val="000000"/>
        </w:rPr>
        <w:t>malignancy with fewer than 10% of patients being alive at 5 years after diagnosis. Venous thromboembolism (VTE) occurs in approximatively 20% of patients with PC, resulting in increased morbidity, mortality and significant health care costs. The management of VTE is particularly challenging in these frail patients. Adequate selection of the most appropriate anticoagulant for each individual patient according to the current international guidelines is warranted for overcoming treatment challenges. The International Initiative on Thrombosis and Cancer multi-language web-based mobile application (downloadable for free at www.itaccme.com) has been developed to help clinicians in decision making in the most complex situations. In this narrative review, we will discuss the contemporary epidemiology and burden of VTE in PC patients, the performances and limitations of current risk assessment models to predict the risk of VTE, as well as evidence from recent clinical trials for the primary prophylaxis and treatment of cancer-associated VTE that support up-dated clinical practice guidelines.</w:t>
      </w:r>
    </w:p>
    <w:p w14:paraId="4F60CAC4" w14:textId="77777777" w:rsidR="00A77B3E" w:rsidRPr="0037251D" w:rsidRDefault="00A77B3E">
      <w:pPr>
        <w:spacing w:line="360" w:lineRule="auto"/>
        <w:jc w:val="both"/>
      </w:pPr>
    </w:p>
    <w:p w14:paraId="4F4FAE39" w14:textId="77777777" w:rsidR="00A77B3E" w:rsidRPr="0037251D" w:rsidRDefault="008404AF">
      <w:pPr>
        <w:spacing w:line="360" w:lineRule="auto"/>
        <w:jc w:val="both"/>
      </w:pPr>
      <w:r w:rsidRPr="0037251D">
        <w:rPr>
          <w:rFonts w:ascii="Book Antiqua" w:eastAsia="Book Antiqua" w:hAnsi="Book Antiqua" w:cs="Book Antiqua"/>
          <w:b/>
          <w:bCs/>
          <w:color w:val="000000"/>
        </w:rPr>
        <w:t xml:space="preserve">Key Words: </w:t>
      </w:r>
      <w:r w:rsidRPr="0037251D">
        <w:rPr>
          <w:rFonts w:ascii="Book Antiqua" w:eastAsia="Book Antiqua" w:hAnsi="Book Antiqua" w:cs="Book Antiqua"/>
          <w:color w:val="000000"/>
        </w:rPr>
        <w:t>Pancreatic cancer; Venous thromboembolism; Low-molecular weight heparin; Direct oral anticoagulant; Multi-language mobile application; Risk-assessment models; Thromboprophylaxis</w:t>
      </w:r>
    </w:p>
    <w:p w14:paraId="3EDBA590" w14:textId="77777777" w:rsidR="00A77B3E" w:rsidRDefault="00A77B3E">
      <w:pPr>
        <w:spacing w:line="360" w:lineRule="auto"/>
        <w:jc w:val="both"/>
        <w:rPr>
          <w:lang w:eastAsia="zh-CN"/>
        </w:rPr>
      </w:pPr>
    </w:p>
    <w:p w14:paraId="01D510FA" w14:textId="77777777" w:rsidR="00B04F06" w:rsidRPr="00026CB8" w:rsidRDefault="00B04F06" w:rsidP="00B04F0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48E77C6" w14:textId="77777777" w:rsidR="00B04F06" w:rsidRPr="0037251D" w:rsidRDefault="00B04F06">
      <w:pPr>
        <w:spacing w:line="360" w:lineRule="auto"/>
        <w:jc w:val="both"/>
        <w:rPr>
          <w:lang w:eastAsia="zh-CN"/>
        </w:rPr>
      </w:pPr>
    </w:p>
    <w:p w14:paraId="3EEC9BF1" w14:textId="34D9CCB2" w:rsidR="00A74004" w:rsidRDefault="00A74004">
      <w:pPr>
        <w:spacing w:line="360" w:lineRule="auto"/>
        <w:jc w:val="both"/>
        <w:rPr>
          <w:rFonts w:ascii="Book Antiqua" w:hAnsi="Book Antiqua" w:cs="Book Antiqua"/>
          <w:color w:val="000000"/>
          <w:lang w:eastAsia="zh-CN"/>
        </w:rPr>
      </w:pPr>
      <w:r w:rsidRPr="00A74004">
        <w:rPr>
          <w:rFonts w:ascii="Book Antiqua" w:hAnsi="Book Antiqua" w:cs="Book Antiqua" w:hint="eastAsia"/>
          <w:b/>
          <w:color w:val="000000"/>
          <w:lang w:eastAsia="zh-CN"/>
        </w:rPr>
        <w:t xml:space="preserve">Citation: </w:t>
      </w:r>
      <w:r w:rsidR="008404AF" w:rsidRPr="0037251D">
        <w:rPr>
          <w:rFonts w:ascii="Book Antiqua" w:eastAsia="Book Antiqua" w:hAnsi="Book Antiqua" w:cs="Book Antiqua"/>
          <w:color w:val="000000"/>
        </w:rPr>
        <w:t xml:space="preserve">Frere C. Burden of venous thromboembolism in patients with pancreatic cancer. </w:t>
      </w:r>
      <w:r w:rsidR="008404AF" w:rsidRPr="0037251D">
        <w:rPr>
          <w:rFonts w:ascii="Book Antiqua" w:eastAsia="Book Antiqua" w:hAnsi="Book Antiqua" w:cs="Book Antiqua"/>
          <w:i/>
          <w:iCs/>
          <w:color w:val="000000"/>
        </w:rPr>
        <w:t>World J Gastroenterol</w:t>
      </w:r>
      <w:r w:rsidR="008404AF" w:rsidRPr="0037251D">
        <w:rPr>
          <w:rFonts w:ascii="Book Antiqua" w:eastAsia="Book Antiqua" w:hAnsi="Book Antiqua" w:cs="Book Antiqua"/>
          <w:color w:val="000000"/>
        </w:rPr>
        <w:t xml:space="preserve"> 2021; </w:t>
      </w:r>
      <w:r w:rsidR="0076114C" w:rsidRPr="0037251D">
        <w:rPr>
          <w:rFonts w:ascii="Book Antiqua" w:eastAsia="Book Antiqua" w:hAnsi="Book Antiqua" w:cs="Book Antiqua"/>
          <w:color w:val="000000"/>
        </w:rPr>
        <w:t xml:space="preserve">27(19): </w:t>
      </w:r>
      <w:r>
        <w:rPr>
          <w:rFonts w:ascii="Book Antiqua" w:hAnsi="Book Antiqua" w:hint="eastAsia"/>
        </w:rPr>
        <w:t>2325</w:t>
      </w:r>
      <w:r>
        <w:rPr>
          <w:rFonts w:ascii="Book Antiqua" w:hAnsi="Book Antiqua" w:hint="eastAsia"/>
          <w:lang w:eastAsia="zh-CN"/>
        </w:rPr>
        <w:t>-</w:t>
      </w:r>
      <w:r>
        <w:rPr>
          <w:rFonts w:ascii="Book Antiqua" w:hAnsi="Book Antiqua" w:hint="eastAsia"/>
        </w:rPr>
        <w:t>234</w:t>
      </w:r>
      <w:r w:rsidR="00D959CD">
        <w:rPr>
          <w:rFonts w:ascii="Book Antiqua" w:hAnsi="Book Antiqua" w:hint="eastAsia"/>
          <w:lang w:eastAsia="zh-CN"/>
        </w:rPr>
        <w:t>0</w:t>
      </w:r>
      <w:bookmarkStart w:id="0" w:name="_GoBack"/>
      <w:bookmarkEnd w:id="0"/>
      <w:r w:rsidR="0076114C" w:rsidRPr="0037251D">
        <w:rPr>
          <w:rFonts w:ascii="Book Antiqua" w:eastAsia="Book Antiqua" w:hAnsi="Book Antiqua" w:cs="Book Antiqua"/>
          <w:color w:val="000000"/>
        </w:rPr>
        <w:t xml:space="preserve">  </w:t>
      </w:r>
    </w:p>
    <w:p w14:paraId="79C1B325" w14:textId="77777777" w:rsidR="00A74004" w:rsidRDefault="0076114C">
      <w:pPr>
        <w:spacing w:line="360" w:lineRule="auto"/>
        <w:jc w:val="both"/>
        <w:rPr>
          <w:rFonts w:ascii="Book Antiqua" w:hAnsi="Book Antiqua" w:cs="Book Antiqua"/>
          <w:color w:val="000000"/>
          <w:lang w:eastAsia="zh-CN"/>
        </w:rPr>
      </w:pPr>
      <w:r w:rsidRPr="00A74004">
        <w:rPr>
          <w:rFonts w:ascii="Book Antiqua" w:eastAsia="Book Antiqua" w:hAnsi="Book Antiqua" w:cs="Book Antiqua"/>
          <w:b/>
          <w:color w:val="000000"/>
        </w:rPr>
        <w:t xml:space="preserve">URL: </w:t>
      </w:r>
      <w:r w:rsidRPr="0037251D">
        <w:rPr>
          <w:rFonts w:ascii="Book Antiqua" w:eastAsia="Book Antiqua" w:hAnsi="Book Antiqua" w:cs="Book Antiqua"/>
          <w:color w:val="000000"/>
        </w:rPr>
        <w:t>https://www.wjgnet.com/1007-9327/full/v27/i19/</w:t>
      </w:r>
      <w:r w:rsidR="00A74004">
        <w:rPr>
          <w:rFonts w:ascii="Book Antiqua" w:hAnsi="Book Antiqua" w:cs="Book Antiqua" w:hint="eastAsia"/>
          <w:color w:val="000000"/>
          <w:lang w:eastAsia="zh-CN"/>
        </w:rPr>
        <w:t>2325</w:t>
      </w:r>
      <w:r w:rsidRPr="0037251D">
        <w:rPr>
          <w:rFonts w:ascii="Book Antiqua" w:eastAsia="Book Antiqua" w:hAnsi="Book Antiqua" w:cs="Book Antiqua"/>
          <w:color w:val="000000"/>
        </w:rPr>
        <w:t xml:space="preserve">.htm  </w:t>
      </w:r>
    </w:p>
    <w:p w14:paraId="0B6B4B86" w14:textId="17029AF7" w:rsidR="00A77B3E" w:rsidRPr="00A74004" w:rsidRDefault="0076114C">
      <w:pPr>
        <w:spacing w:line="360" w:lineRule="auto"/>
        <w:jc w:val="both"/>
        <w:rPr>
          <w:lang w:eastAsia="zh-CN"/>
        </w:rPr>
      </w:pPr>
      <w:r w:rsidRPr="00A74004">
        <w:rPr>
          <w:rFonts w:ascii="Book Antiqua" w:eastAsia="Book Antiqua" w:hAnsi="Book Antiqua" w:cs="Book Antiqua"/>
          <w:b/>
          <w:color w:val="000000"/>
        </w:rPr>
        <w:t xml:space="preserve">DOI: </w:t>
      </w:r>
      <w:r w:rsidRPr="0037251D">
        <w:rPr>
          <w:rFonts w:ascii="Book Antiqua" w:eastAsia="Book Antiqua" w:hAnsi="Book Antiqua" w:cs="Book Antiqua"/>
          <w:color w:val="000000"/>
        </w:rPr>
        <w:t>https://dx.doi.org/10.3748/wjg.v27.i19.</w:t>
      </w:r>
      <w:r w:rsidR="00A74004">
        <w:rPr>
          <w:rFonts w:ascii="Book Antiqua" w:hAnsi="Book Antiqua" w:cs="Book Antiqua" w:hint="eastAsia"/>
          <w:color w:val="000000"/>
          <w:lang w:eastAsia="zh-CN"/>
        </w:rPr>
        <w:t>2325</w:t>
      </w:r>
    </w:p>
    <w:p w14:paraId="2E3D0EB9" w14:textId="77777777" w:rsidR="00A77B3E" w:rsidRPr="0037251D" w:rsidRDefault="00A77B3E">
      <w:pPr>
        <w:spacing w:line="360" w:lineRule="auto"/>
        <w:jc w:val="both"/>
      </w:pPr>
    </w:p>
    <w:p w14:paraId="776AAE23" w14:textId="5C8D0958" w:rsidR="001C0DD7" w:rsidRPr="0037251D" w:rsidRDefault="008404AF">
      <w:pPr>
        <w:spacing w:line="360" w:lineRule="auto"/>
        <w:jc w:val="both"/>
        <w:rPr>
          <w:rFonts w:ascii="Book Antiqua" w:eastAsia="Book Antiqua" w:hAnsi="Book Antiqua" w:cs="Book Antiqua"/>
          <w:color w:val="000000"/>
        </w:rPr>
      </w:pPr>
      <w:r w:rsidRPr="0037251D">
        <w:rPr>
          <w:rFonts w:ascii="Book Antiqua" w:eastAsia="Book Antiqua" w:hAnsi="Book Antiqua" w:cs="Book Antiqua"/>
          <w:b/>
          <w:bCs/>
          <w:color w:val="000000"/>
        </w:rPr>
        <w:lastRenderedPageBreak/>
        <w:t xml:space="preserve">Core Tip: </w:t>
      </w:r>
      <w:r w:rsidRPr="0037251D">
        <w:rPr>
          <w:rFonts w:ascii="Book Antiqua" w:eastAsia="Book Antiqua" w:hAnsi="Book Antiqua" w:cs="Book Antiqua"/>
          <w:color w:val="000000"/>
        </w:rPr>
        <w:t>Venous thromboembolism (VTE) is a common but potentially life-threatening complication in patients with Pancreatic cancer (PC). There is an urgent need to raise awareness on this underrecognized issue. This review discusses the incidence and risk factors of VTE in PC patients, and the results from recent clinical trials for the primary prophylaxis and treatment of VTE in cancer patients supporting the most recent clinical practice guidelines.</w:t>
      </w:r>
    </w:p>
    <w:p w14:paraId="7E094402" w14:textId="533862C8" w:rsidR="00A77B3E" w:rsidRPr="0037251D" w:rsidRDefault="001C0DD7">
      <w:pPr>
        <w:spacing w:line="360" w:lineRule="auto"/>
        <w:jc w:val="both"/>
      </w:pPr>
      <w:r w:rsidRPr="0037251D">
        <w:rPr>
          <w:rFonts w:ascii="Book Antiqua" w:eastAsia="Book Antiqua" w:hAnsi="Book Antiqua" w:cs="Book Antiqua"/>
          <w:color w:val="000000"/>
        </w:rPr>
        <w:br w:type="page"/>
      </w:r>
      <w:r w:rsidR="008404AF" w:rsidRPr="0037251D">
        <w:rPr>
          <w:rFonts w:ascii="Book Antiqua" w:eastAsia="Book Antiqua" w:hAnsi="Book Antiqua" w:cs="Book Antiqua"/>
          <w:b/>
          <w:caps/>
          <w:color w:val="000000"/>
          <w:u w:val="single"/>
        </w:rPr>
        <w:lastRenderedPageBreak/>
        <w:t>INTRODUCTION</w:t>
      </w:r>
    </w:p>
    <w:p w14:paraId="4482F65D" w14:textId="60B2D78C" w:rsidR="00A77B3E" w:rsidRPr="0037251D" w:rsidRDefault="008404AF">
      <w:pPr>
        <w:spacing w:line="360" w:lineRule="auto"/>
        <w:jc w:val="both"/>
      </w:pPr>
      <w:r w:rsidRPr="0037251D">
        <w:rPr>
          <w:rFonts w:ascii="Book Antiqua" w:eastAsia="Book Antiqua" w:hAnsi="Book Antiqua" w:cs="Book Antiqua"/>
          <w:color w:val="000000"/>
        </w:rPr>
        <w:t>Pancreatic cancer (</w:t>
      </w:r>
      <w:bookmarkStart w:id="1" w:name="_Hlk69813777"/>
      <w:r w:rsidRPr="0037251D">
        <w:rPr>
          <w:rFonts w:ascii="Book Antiqua" w:eastAsia="Book Antiqua" w:hAnsi="Book Antiqua" w:cs="Book Antiqua"/>
          <w:color w:val="000000"/>
        </w:rPr>
        <w:t>PC</w:t>
      </w:r>
      <w:bookmarkEnd w:id="1"/>
      <w:r w:rsidRPr="0037251D">
        <w:rPr>
          <w:rFonts w:ascii="Book Antiqua" w:eastAsia="Book Antiqua" w:hAnsi="Book Antiqua" w:cs="Book Antiqua"/>
          <w:color w:val="000000"/>
        </w:rPr>
        <w:t>) is a devastating disease with fewer than 10% of patients being alive at 5 years</w:t>
      </w:r>
      <w:r w:rsidRPr="0037251D">
        <w:rPr>
          <w:rFonts w:ascii="Book Antiqua" w:eastAsia="Book Antiqua" w:hAnsi="Book Antiqua" w:cs="Book Antiqua"/>
          <w:color w:val="000000"/>
          <w:szCs w:val="30"/>
          <w:vertAlign w:val="superscript"/>
        </w:rPr>
        <w:t>[1]</w:t>
      </w:r>
      <w:r w:rsidRPr="0037251D">
        <w:rPr>
          <w:rFonts w:ascii="Book Antiqua" w:eastAsia="Book Antiqua" w:hAnsi="Book Antiqua" w:cs="Book Antiqua"/>
          <w:color w:val="000000"/>
        </w:rPr>
        <w:t>. Its prevalence continues to increase worldwide</w:t>
      </w:r>
      <w:r w:rsidRPr="0037251D">
        <w:rPr>
          <w:rFonts w:ascii="Book Antiqua" w:eastAsia="Book Antiqua" w:hAnsi="Book Antiqua" w:cs="Book Antiqua"/>
          <w:color w:val="000000"/>
          <w:vertAlign w:val="superscript"/>
        </w:rPr>
        <w:t>[2]</w:t>
      </w:r>
      <w:r w:rsidRPr="0037251D">
        <w:rPr>
          <w:rFonts w:ascii="Book Antiqua" w:eastAsia="Book Antiqua" w:hAnsi="Book Antiqua" w:cs="Book Antiqua"/>
          <w:color w:val="000000"/>
        </w:rPr>
        <w:t>. In most cases, there is no effective treatment. Given its dismal prognosis</w:t>
      </w:r>
      <w:r w:rsidRPr="0037251D">
        <w:rPr>
          <w:rFonts w:ascii="Book Antiqua" w:eastAsia="Book Antiqua" w:hAnsi="Book Antiqua" w:cs="Book Antiqua"/>
          <w:color w:val="000000"/>
          <w:vertAlign w:val="superscript"/>
        </w:rPr>
        <w:t>[3]</w:t>
      </w:r>
      <w:r w:rsidRPr="0037251D">
        <w:rPr>
          <w:rFonts w:ascii="Book Antiqua" w:eastAsia="Book Antiqua" w:hAnsi="Book Antiqua" w:cs="Book Antiqua"/>
          <w:color w:val="000000"/>
        </w:rPr>
        <w:t>, there is an urgent need to improve patient quality of life by integrating best supportive car</w:t>
      </w:r>
      <w:r w:rsidR="00A359DF" w:rsidRPr="0037251D">
        <w:rPr>
          <w:rFonts w:ascii="Book Antiqua" w:eastAsia="Book Antiqua" w:hAnsi="Book Antiqua" w:cs="Book Antiqua"/>
          <w:color w:val="000000"/>
        </w:rPr>
        <w:t>e</w:t>
      </w:r>
      <w:r w:rsidRPr="0037251D">
        <w:rPr>
          <w:rFonts w:ascii="Book Antiqua" w:eastAsia="Book Antiqua" w:hAnsi="Book Antiqua" w:cs="Book Antiqua"/>
          <w:color w:val="000000"/>
          <w:szCs w:val="30"/>
          <w:vertAlign w:val="superscript"/>
        </w:rPr>
        <w:t>[4,5]</w:t>
      </w:r>
      <w:r w:rsidRPr="0037251D">
        <w:rPr>
          <w:rFonts w:ascii="Book Antiqua" w:eastAsia="Book Antiqua" w:hAnsi="Book Antiqua" w:cs="Book Antiqua"/>
          <w:color w:val="000000"/>
        </w:rPr>
        <w:t>.</w:t>
      </w:r>
    </w:p>
    <w:p w14:paraId="6F322E84" w14:textId="67A09AB2" w:rsidR="00A77B3E" w:rsidRPr="0037251D" w:rsidRDefault="008404AF" w:rsidP="00172A9A">
      <w:pPr>
        <w:spacing w:line="360" w:lineRule="auto"/>
        <w:ind w:firstLineChars="100" w:firstLine="240"/>
        <w:jc w:val="both"/>
      </w:pPr>
      <w:r w:rsidRPr="0037251D">
        <w:rPr>
          <w:rFonts w:ascii="Book Antiqua" w:eastAsia="Book Antiqua" w:hAnsi="Book Antiqua" w:cs="Book Antiqua"/>
          <w:color w:val="000000"/>
        </w:rPr>
        <w:t>Venous thromboembolism (</w:t>
      </w:r>
      <w:bookmarkStart w:id="2" w:name="_Hlk69813817"/>
      <w:r w:rsidRPr="0037251D">
        <w:rPr>
          <w:rFonts w:ascii="Book Antiqua" w:eastAsia="Book Antiqua" w:hAnsi="Book Antiqua" w:cs="Book Antiqua"/>
          <w:color w:val="000000"/>
        </w:rPr>
        <w:t>VTE</w:t>
      </w:r>
      <w:bookmarkEnd w:id="2"/>
      <w:r w:rsidRPr="0037251D">
        <w:rPr>
          <w:rFonts w:ascii="Book Antiqua" w:eastAsia="Book Antiqua" w:hAnsi="Book Antiqua" w:cs="Book Antiqua"/>
          <w:color w:val="000000"/>
        </w:rPr>
        <w:t>) is a frequent but still underrecognized complication in PC patients</w:t>
      </w:r>
      <w:r w:rsidRPr="0037251D">
        <w:rPr>
          <w:rFonts w:ascii="Book Antiqua" w:eastAsia="Book Antiqua" w:hAnsi="Book Antiqua" w:cs="Book Antiqua"/>
          <w:color w:val="000000"/>
          <w:szCs w:val="30"/>
          <w:vertAlign w:val="superscript"/>
        </w:rPr>
        <w:t>[6]</w:t>
      </w:r>
      <w:r w:rsidRPr="0037251D">
        <w:rPr>
          <w:rFonts w:ascii="Book Antiqua" w:eastAsia="Book Antiqua" w:hAnsi="Book Antiqua" w:cs="Book Antiqua"/>
          <w:color w:val="000000"/>
        </w:rPr>
        <w:t>. According to a recent large population-based cohort study</w:t>
      </w:r>
      <w:r w:rsidRPr="0037251D">
        <w:rPr>
          <w:rFonts w:ascii="Book Antiqua" w:eastAsia="Book Antiqua" w:hAnsi="Book Antiqua" w:cs="Book Antiqua"/>
          <w:color w:val="000000"/>
          <w:szCs w:val="30"/>
          <w:vertAlign w:val="superscript"/>
        </w:rPr>
        <w:t>[7]</w:t>
      </w:r>
      <w:r w:rsidRPr="0037251D">
        <w:rPr>
          <w:rFonts w:ascii="Book Antiqua" w:eastAsia="Book Antiqua" w:hAnsi="Book Antiqua" w:cs="Book Antiqua"/>
          <w:color w:val="000000"/>
        </w:rPr>
        <w:t>, the incidence of PC-associated VTE has doubled from 1997 to 2017, due to increase in PC prevalence, improved survival, advanced age of PC patients, and better detection of incidental VTE with the routine use of computed tomography scans. Primary thromboprophylaxis is a supportive care with a well-documented clinical benefit, which remains unfortunately underused nowadays. Since 2013, the International Initiative on Thrombosis and Cancer (ITAC), a multidisciplinary group of experts from across the globe committed to improve the management of patients with cancer-associated thrombosis through dissemination of educational initiatives to health professionals, strives to raise awareness on this important issue</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w:t>
      </w:r>
    </w:p>
    <w:p w14:paraId="732F6AE5" w14:textId="5E062A0C" w:rsidR="00A77B3E" w:rsidRPr="0037251D" w:rsidRDefault="008404AF" w:rsidP="00172A9A">
      <w:pPr>
        <w:spacing w:line="360" w:lineRule="auto"/>
        <w:ind w:firstLineChars="100" w:firstLine="240"/>
        <w:jc w:val="both"/>
      </w:pPr>
      <w:r w:rsidRPr="0037251D">
        <w:rPr>
          <w:rFonts w:ascii="Book Antiqua" w:eastAsia="Book Antiqua" w:hAnsi="Book Antiqua" w:cs="Book Antiqua"/>
          <w:color w:val="000000"/>
        </w:rPr>
        <w:t>Anticoagulation therapy is the mainstay of the VTE prevention and treatment, but its management is particularly challenging for the treating physicians in these patients who already suffer from multiple co</w:t>
      </w:r>
      <w:r w:rsidR="00172A9A" w:rsidRPr="0037251D">
        <w:rPr>
          <w:rFonts w:ascii="Book Antiqua" w:eastAsia="Book Antiqua" w:hAnsi="Book Antiqua" w:cs="Book Antiqua"/>
          <w:color w:val="000000"/>
        </w:rPr>
        <w:t>-</w:t>
      </w:r>
      <w:r w:rsidRPr="0037251D">
        <w:rPr>
          <w:rFonts w:ascii="Book Antiqua" w:eastAsia="Book Antiqua" w:hAnsi="Book Antiqua" w:cs="Book Antiqua"/>
          <w:color w:val="000000"/>
        </w:rPr>
        <w:t>morbidities such as renal failure, hepatic failure, thrombocytopenia, and who undergo complex cancer treatment protocols</w:t>
      </w:r>
      <w:r w:rsidR="00571EC8" w:rsidRPr="0037251D">
        <w:rPr>
          <w:rFonts w:ascii="Book Antiqua" w:eastAsia="Book Antiqua" w:hAnsi="Book Antiqua" w:cs="Book Antiqua"/>
          <w:color w:val="000000"/>
          <w:szCs w:val="30"/>
          <w:vertAlign w:val="superscript"/>
        </w:rPr>
        <w:t>[9</w:t>
      </w:r>
      <w:r w:rsidR="000B5AAD" w:rsidRPr="0037251D">
        <w:rPr>
          <w:rFonts w:ascii="Book Antiqua" w:eastAsia="Book Antiqua" w:hAnsi="Book Antiqua" w:cs="Book Antiqua"/>
          <w:color w:val="000000"/>
          <w:szCs w:val="30"/>
          <w:vertAlign w:val="superscript"/>
        </w:rPr>
        <w:t>,</w:t>
      </w:r>
      <w:r w:rsidR="00571EC8" w:rsidRPr="0037251D">
        <w:rPr>
          <w:rFonts w:ascii="Book Antiqua" w:eastAsia="Book Antiqua" w:hAnsi="Book Antiqua" w:cs="Book Antiqua"/>
          <w:color w:val="000000"/>
          <w:szCs w:val="30"/>
          <w:vertAlign w:val="superscript"/>
        </w:rPr>
        <w:t>10]</w:t>
      </w:r>
      <w:r w:rsidRPr="0037251D">
        <w:rPr>
          <w:rFonts w:ascii="Book Antiqua" w:eastAsia="Book Antiqua" w:hAnsi="Book Antiqua" w:cs="Book Antiqua"/>
          <w:color w:val="000000"/>
        </w:rPr>
        <w:t>.</w:t>
      </w:r>
    </w:p>
    <w:p w14:paraId="7D24D796" w14:textId="1B0A5B33" w:rsidR="00A77B3E" w:rsidRPr="0037251D" w:rsidRDefault="008404AF" w:rsidP="00172A9A">
      <w:pPr>
        <w:spacing w:line="360" w:lineRule="auto"/>
        <w:ind w:firstLineChars="100" w:firstLine="240"/>
        <w:jc w:val="both"/>
      </w:pPr>
      <w:r w:rsidRPr="0037251D">
        <w:rPr>
          <w:rFonts w:ascii="Book Antiqua" w:eastAsia="Book Antiqua" w:hAnsi="Book Antiqua" w:cs="Book Antiqua"/>
          <w:color w:val="000000"/>
        </w:rPr>
        <w:t>Herein, we discuss the most recent data on the incidence and risk factors of VTE in PC patients, as well as evidence from recent clinical trials of low-molecular-weight heparin (LMWH) and direct oral anticoagulants (DOAC) for the primary prophylaxis and treatment of cancer-associated VTE that support current clinical practices guidelines (CPGs)</w:t>
      </w:r>
      <w:r w:rsidRPr="0037251D">
        <w:rPr>
          <w:rFonts w:ascii="Book Antiqua" w:eastAsia="Book Antiqua" w:hAnsi="Book Antiqua" w:cs="Book Antiqua"/>
          <w:color w:val="000000"/>
          <w:szCs w:val="30"/>
          <w:vertAlign w:val="superscript"/>
        </w:rPr>
        <w:t>[8,11,12]</w:t>
      </w:r>
      <w:r w:rsidRPr="0037251D">
        <w:rPr>
          <w:rFonts w:ascii="Book Antiqua" w:eastAsia="Book Antiqua" w:hAnsi="Book Antiqua" w:cs="Book Antiqua"/>
          <w:color w:val="000000"/>
        </w:rPr>
        <w:t>.</w:t>
      </w:r>
    </w:p>
    <w:p w14:paraId="096F9433" w14:textId="77777777" w:rsidR="00A77B3E" w:rsidRPr="0037251D" w:rsidRDefault="00A77B3E">
      <w:pPr>
        <w:spacing w:line="360" w:lineRule="auto"/>
        <w:jc w:val="both"/>
      </w:pPr>
    </w:p>
    <w:p w14:paraId="18952200" w14:textId="77596D5E" w:rsidR="00A77B3E" w:rsidRPr="0037251D" w:rsidRDefault="008404AF">
      <w:pPr>
        <w:spacing w:line="360" w:lineRule="auto"/>
        <w:jc w:val="both"/>
      </w:pPr>
      <w:r w:rsidRPr="0037251D">
        <w:rPr>
          <w:rFonts w:ascii="Book Antiqua" w:eastAsia="Book Antiqua" w:hAnsi="Book Antiqua" w:cs="Book Antiqua"/>
          <w:b/>
          <w:bCs/>
          <w:caps/>
          <w:color w:val="000000"/>
          <w:u w:val="single"/>
        </w:rPr>
        <w:t xml:space="preserve">EPIDEMIOLOGY OF </w:t>
      </w:r>
      <w:r w:rsidR="001C0DD7" w:rsidRPr="0037251D">
        <w:rPr>
          <w:rFonts w:ascii="Book Antiqua" w:eastAsia="Book Antiqua" w:hAnsi="Book Antiqua" w:cs="Book Antiqua"/>
          <w:b/>
          <w:bCs/>
          <w:caps/>
          <w:color w:val="000000"/>
          <w:u w:val="single"/>
        </w:rPr>
        <w:t>VTE</w:t>
      </w:r>
      <w:r w:rsidRPr="0037251D">
        <w:rPr>
          <w:rFonts w:ascii="Book Antiqua" w:eastAsia="Book Antiqua" w:hAnsi="Book Antiqua" w:cs="Book Antiqua"/>
          <w:b/>
          <w:bCs/>
          <w:caps/>
          <w:color w:val="000000"/>
          <w:u w:val="single"/>
        </w:rPr>
        <w:t xml:space="preserve"> IN </w:t>
      </w:r>
      <w:r w:rsidR="001C0DD7" w:rsidRPr="0037251D">
        <w:rPr>
          <w:rFonts w:ascii="Book Antiqua" w:eastAsia="Book Antiqua" w:hAnsi="Book Antiqua" w:cs="Book Antiqua"/>
          <w:b/>
          <w:bCs/>
          <w:caps/>
          <w:color w:val="000000"/>
          <w:u w:val="single"/>
        </w:rPr>
        <w:t>PC</w:t>
      </w:r>
      <w:r w:rsidRPr="0037251D">
        <w:rPr>
          <w:rFonts w:ascii="Book Antiqua" w:eastAsia="Book Antiqua" w:hAnsi="Book Antiqua" w:cs="Book Antiqua"/>
          <w:b/>
          <w:bCs/>
          <w:caps/>
          <w:color w:val="000000"/>
          <w:u w:val="single"/>
        </w:rPr>
        <w:t xml:space="preserve"> AND IMPACT ON SURVIVAL</w:t>
      </w:r>
    </w:p>
    <w:p w14:paraId="2C4619B1" w14:textId="2A7288F0" w:rsidR="00A77B3E" w:rsidRPr="0037251D" w:rsidRDefault="008404AF">
      <w:pPr>
        <w:spacing w:line="360" w:lineRule="auto"/>
        <w:jc w:val="both"/>
      </w:pPr>
      <w:r w:rsidRPr="0037251D">
        <w:rPr>
          <w:rStyle w:val="Policepardfaut2"/>
          <w:rFonts w:ascii="Book Antiqua" w:eastAsia="Book Antiqua" w:hAnsi="Book Antiqua" w:cs="Book Antiqua"/>
          <w:color w:val="000000"/>
        </w:rPr>
        <w:t>Cancer has been demonstrated to be an independent major risk factor for VTE</w:t>
      </w:r>
      <w:r w:rsidRPr="0037251D">
        <w:rPr>
          <w:rFonts w:ascii="Book Antiqua" w:eastAsia="Book Antiqua" w:hAnsi="Book Antiqua" w:cs="Book Antiqua"/>
          <w:color w:val="000000"/>
          <w:vertAlign w:val="superscript"/>
        </w:rPr>
        <w:t>[13]</w:t>
      </w:r>
      <w:r w:rsidRPr="0037251D">
        <w:rPr>
          <w:rStyle w:val="Policepardfaut2"/>
          <w:rFonts w:ascii="Book Antiqua" w:eastAsia="Book Antiqua" w:hAnsi="Book Antiqua" w:cs="Book Antiqua"/>
          <w:color w:val="000000"/>
        </w:rPr>
        <w:t xml:space="preserve">. </w:t>
      </w:r>
      <w:r w:rsidRPr="0037251D">
        <w:rPr>
          <w:rFonts w:ascii="Book Antiqua" w:eastAsia="Book Antiqua" w:hAnsi="Book Antiqua" w:cs="Book Antiqua"/>
          <w:color w:val="000000"/>
        </w:rPr>
        <w:t xml:space="preserve">The extent of this risk mainly depends on cancer type and disease stage. Among all cancer </w:t>
      </w:r>
      <w:r w:rsidRPr="0037251D">
        <w:rPr>
          <w:rFonts w:ascii="Book Antiqua" w:eastAsia="Book Antiqua" w:hAnsi="Book Antiqua" w:cs="Book Antiqua"/>
          <w:color w:val="000000"/>
        </w:rPr>
        <w:lastRenderedPageBreak/>
        <w:t>types, PC carries the highest risk for VTE</w:t>
      </w:r>
      <w:r w:rsidRPr="0037251D">
        <w:rPr>
          <w:rFonts w:ascii="Book Antiqua" w:eastAsia="Book Antiqua" w:hAnsi="Book Antiqua" w:cs="Book Antiqua"/>
          <w:color w:val="000000"/>
          <w:szCs w:val="30"/>
          <w:vertAlign w:val="superscript"/>
        </w:rPr>
        <w:t>[7,14]</w:t>
      </w:r>
      <w:r w:rsidRPr="0037251D">
        <w:rPr>
          <w:rFonts w:ascii="Book Antiqua" w:eastAsia="Book Antiqua" w:hAnsi="Book Antiqua" w:cs="Book Antiqua"/>
          <w:color w:val="000000"/>
        </w:rPr>
        <w:t>. In retrospective cohorts of PC patients, the reported incidence of VTE varies broadly from 5% to 57%</w:t>
      </w:r>
      <w:r w:rsidRPr="0037251D">
        <w:rPr>
          <w:rFonts w:ascii="Book Antiqua" w:eastAsia="Book Antiqua" w:hAnsi="Book Antiqua" w:cs="Book Antiqua"/>
          <w:color w:val="000000"/>
          <w:szCs w:val="30"/>
          <w:vertAlign w:val="superscript"/>
        </w:rPr>
        <w:t>[15</w:t>
      </w:r>
      <w:r w:rsidR="00172A9A" w:rsidRPr="0037251D">
        <w:rPr>
          <w:rFonts w:ascii="Book Antiqua" w:eastAsia="Book Antiqua" w:hAnsi="Book Antiqua" w:cs="Book Antiqua"/>
          <w:color w:val="000000"/>
          <w:szCs w:val="30"/>
          <w:vertAlign w:val="superscript"/>
        </w:rPr>
        <w:t>-</w:t>
      </w:r>
      <w:r w:rsidRPr="0037251D">
        <w:rPr>
          <w:rFonts w:ascii="Book Antiqua" w:eastAsia="Book Antiqua" w:hAnsi="Book Antiqua" w:cs="Book Antiqua"/>
          <w:color w:val="000000"/>
          <w:szCs w:val="30"/>
          <w:vertAlign w:val="superscript"/>
        </w:rPr>
        <w:t>33]</w:t>
      </w:r>
      <w:r w:rsidRPr="0037251D">
        <w:rPr>
          <w:rFonts w:ascii="Book Antiqua" w:eastAsia="Book Antiqua" w:hAnsi="Book Antiqua" w:cs="Book Antiqua"/>
          <w:color w:val="000000"/>
        </w:rPr>
        <w:t>, depending on the study population, the duration of follow-up, the definition of VTE and the methods used for diagnosing VTE.</w:t>
      </w:r>
    </w:p>
    <w:p w14:paraId="18545DEA" w14:textId="44841DAE" w:rsidR="00A77B3E" w:rsidRPr="0037251D" w:rsidRDefault="008404AF" w:rsidP="00172A9A">
      <w:pPr>
        <w:spacing w:line="360" w:lineRule="auto"/>
        <w:ind w:firstLineChars="100" w:firstLine="240"/>
        <w:jc w:val="both"/>
      </w:pPr>
      <w:r w:rsidRPr="0037251D">
        <w:rPr>
          <w:rFonts w:ascii="Book Antiqua" w:eastAsia="Book Antiqua" w:hAnsi="Book Antiqua" w:cs="Book Antiqua"/>
          <w:color w:val="000000"/>
        </w:rPr>
        <w:t>Due to their large sample sizes, multicenter prospective design, and systematic follow</w:t>
      </w:r>
      <w:r w:rsidR="00172A9A" w:rsidRPr="0037251D">
        <w:rPr>
          <w:rFonts w:ascii="Book Antiqua" w:eastAsia="Book Antiqua" w:hAnsi="Book Antiqua" w:cs="Book Antiqua"/>
          <w:color w:val="000000"/>
        </w:rPr>
        <w:t>-</w:t>
      </w:r>
      <w:r w:rsidRPr="0037251D">
        <w:rPr>
          <w:rFonts w:ascii="Book Antiqua" w:eastAsia="Book Antiqua" w:hAnsi="Book Antiqua" w:cs="Book Antiqua"/>
          <w:color w:val="000000"/>
        </w:rPr>
        <w:t>up, phase 3 randomized control trials (RCTs) conducted in PC patients are expected to provide reliable data on the true incidence of VTE. However, a recent systematic review and meta</w:t>
      </w:r>
      <w:r w:rsidR="00172A9A" w:rsidRPr="0037251D">
        <w:rPr>
          <w:rFonts w:ascii="Book Antiqua" w:eastAsia="Book Antiqua" w:hAnsi="Book Antiqua" w:cs="Book Antiqua"/>
          <w:color w:val="000000"/>
        </w:rPr>
        <w:t>-</w:t>
      </w:r>
      <w:r w:rsidRPr="0037251D">
        <w:rPr>
          <w:rFonts w:ascii="Book Antiqua" w:eastAsia="Book Antiqua" w:hAnsi="Book Antiqua" w:cs="Book Antiqua"/>
          <w:color w:val="000000"/>
        </w:rPr>
        <w:t>analysis of chemotherapeutic and thromboprophylaxis RCTs conducted in PC patients highlighted that VTE events were underreported in chemotherapeutic RCTs</w:t>
      </w:r>
      <w:r w:rsidRPr="0037251D">
        <w:rPr>
          <w:rFonts w:ascii="Book Antiqua" w:eastAsia="Book Antiqua" w:hAnsi="Book Antiqua" w:cs="Book Antiqua"/>
          <w:color w:val="000000"/>
          <w:szCs w:val="30"/>
          <w:vertAlign w:val="superscript"/>
        </w:rPr>
        <w:t>[6]</w:t>
      </w:r>
      <w:r w:rsidRPr="0037251D">
        <w:rPr>
          <w:rFonts w:ascii="Book Antiqua" w:eastAsia="Book Antiqua" w:hAnsi="Book Antiqua" w:cs="Book Antiqua"/>
          <w:color w:val="000000"/>
        </w:rPr>
        <w:t>. The pooled rate of VTE in chemotherapy studies (</w:t>
      </w:r>
      <w:r w:rsidRPr="0037251D">
        <w:rPr>
          <w:rFonts w:ascii="Book Antiqua" w:eastAsia="Book Antiqua" w:hAnsi="Book Antiqua" w:cs="Book Antiqua"/>
          <w:i/>
          <w:iCs/>
          <w:color w:val="000000"/>
        </w:rPr>
        <w:t>n</w:t>
      </w:r>
      <w:r w:rsidRPr="0037251D">
        <w:rPr>
          <w:rFonts w:ascii="Book Antiqua" w:eastAsia="Book Antiqua" w:hAnsi="Book Antiqua" w:cs="Book Antiqua"/>
          <w:color w:val="000000"/>
        </w:rPr>
        <w:t xml:space="preserve"> = 13, 5694 patients) was 5.9% </w:t>
      </w:r>
      <w:r w:rsidR="00172A9A"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95% confidence interval </w:t>
      </w:r>
      <w:r w:rsidR="00172A9A" w:rsidRPr="0037251D">
        <w:rPr>
          <w:rFonts w:ascii="Book Antiqua" w:eastAsia="Book Antiqua" w:hAnsi="Book Antiqua" w:cs="Book Antiqua"/>
          <w:color w:val="000000"/>
        </w:rPr>
        <w:t>(</w:t>
      </w:r>
      <w:r w:rsidRPr="0037251D">
        <w:rPr>
          <w:rFonts w:ascii="Book Antiqua" w:eastAsia="Book Antiqua" w:hAnsi="Book Antiqua" w:cs="Book Antiqua"/>
          <w:color w:val="000000"/>
        </w:rPr>
        <w:t>CI</w:t>
      </w:r>
      <w:r w:rsidR="00172A9A"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3.9</w:t>
      </w:r>
      <w:r w:rsidR="00172A9A"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9.0; </w:t>
      </w:r>
      <w:r w:rsidRPr="0037251D">
        <w:rPr>
          <w:rFonts w:ascii="Book Antiqua" w:eastAsia="Book Antiqua" w:hAnsi="Book Antiqua" w:cs="Book Antiqua"/>
          <w:i/>
          <w:iCs/>
          <w:color w:val="000000"/>
        </w:rPr>
        <w:t>I²</w:t>
      </w:r>
      <w:r w:rsidR="00172A9A"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w:t>
      </w:r>
      <w:r w:rsidR="00172A9A"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94%</w:t>
      </w:r>
      <w:r w:rsidR="00172A9A"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and significantly lower than the corresponding 16.5% (95%CI</w:t>
      </w:r>
      <w:r w:rsidR="00172A9A"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11.7</w:t>
      </w:r>
      <w:r w:rsidR="00172A9A"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23.3; </w:t>
      </w:r>
      <w:r w:rsidR="00172A9A" w:rsidRPr="0037251D">
        <w:rPr>
          <w:rFonts w:ascii="Book Antiqua" w:eastAsia="Book Antiqua" w:hAnsi="Book Antiqua" w:cs="Book Antiqua"/>
          <w:i/>
          <w:iCs/>
          <w:color w:val="000000"/>
        </w:rPr>
        <w:t>P</w:t>
      </w:r>
      <w:r w:rsidR="00172A9A"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&lt; 0.001) reported in thromboprophylaxis studies (</w:t>
      </w:r>
      <w:r w:rsidRPr="0037251D">
        <w:rPr>
          <w:rFonts w:ascii="Book Antiqua" w:eastAsia="Book Antiqua" w:hAnsi="Book Antiqua" w:cs="Book Antiqua"/>
          <w:i/>
          <w:iCs/>
          <w:color w:val="000000"/>
        </w:rPr>
        <w:t>n</w:t>
      </w:r>
      <w:r w:rsidRPr="0037251D">
        <w:rPr>
          <w:rFonts w:ascii="Book Antiqua" w:eastAsia="Book Antiqua" w:hAnsi="Book Antiqua" w:cs="Book Antiqua"/>
          <w:color w:val="000000"/>
        </w:rPr>
        <w:t xml:space="preserve"> = 9, 631 patients, </w:t>
      </w:r>
      <w:r w:rsidRPr="0037251D">
        <w:rPr>
          <w:rFonts w:ascii="Book Antiqua" w:eastAsia="Book Antiqua" w:hAnsi="Book Antiqua" w:cs="Book Antiqua"/>
          <w:i/>
          <w:iCs/>
          <w:color w:val="000000"/>
        </w:rPr>
        <w:t>I²</w:t>
      </w:r>
      <w:r w:rsidR="00172A9A"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w:t>
      </w:r>
      <w:r w:rsidR="00172A9A"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69%). Importantly, 30 eligible chemotherapy RCTs (</w:t>
      </w:r>
      <w:r w:rsidRPr="0037251D">
        <w:rPr>
          <w:rFonts w:ascii="Book Antiqua" w:eastAsia="Book Antiqua" w:hAnsi="Book Antiqua" w:cs="Book Antiqua"/>
          <w:i/>
          <w:iCs/>
          <w:color w:val="000000"/>
        </w:rPr>
        <w:t>n</w:t>
      </w:r>
      <w:r w:rsidRPr="0037251D">
        <w:rPr>
          <w:rFonts w:ascii="Book Antiqua" w:eastAsia="Book Antiqua" w:hAnsi="Book Antiqua" w:cs="Book Antiqua"/>
          <w:color w:val="000000"/>
        </w:rPr>
        <w:t xml:space="preserve"> = 9000 patients) were excluded from this meta-analysis because they did not report VTE as adverse events</w:t>
      </w:r>
      <w:r w:rsidRPr="0037251D">
        <w:rPr>
          <w:rFonts w:ascii="Book Antiqua" w:eastAsia="Book Antiqua" w:hAnsi="Book Antiqua" w:cs="Book Antiqua"/>
          <w:color w:val="000000"/>
          <w:szCs w:val="30"/>
          <w:vertAlign w:val="superscript"/>
        </w:rPr>
        <w:t>[6]</w:t>
      </w:r>
      <w:r w:rsidRPr="0037251D">
        <w:rPr>
          <w:rFonts w:ascii="Book Antiqua" w:eastAsia="Book Antiqua" w:hAnsi="Book Antiqua" w:cs="Book Antiqua"/>
          <w:color w:val="000000"/>
        </w:rPr>
        <w:t>, which reveals quite clearly a lack of awareness on the burden of VTE among oncologists.</w:t>
      </w:r>
    </w:p>
    <w:p w14:paraId="77A39FD7" w14:textId="1B736A37" w:rsidR="00A77B3E" w:rsidRPr="0037251D" w:rsidRDefault="008404AF" w:rsidP="00172A9A">
      <w:pPr>
        <w:spacing w:line="360" w:lineRule="auto"/>
        <w:ind w:firstLineChars="100" w:firstLine="240"/>
        <w:jc w:val="both"/>
      </w:pPr>
      <w:r w:rsidRPr="0037251D">
        <w:rPr>
          <w:rFonts w:ascii="Book Antiqua" w:eastAsia="Book Antiqua" w:hAnsi="Book Antiqua" w:cs="Book Antiqua"/>
          <w:color w:val="000000"/>
        </w:rPr>
        <w:t>The incidence and risk factors for VTE was recently assessed in a large prospective multicenter cohort of patients with newly diagnosed PC</w:t>
      </w:r>
      <w:r w:rsidRPr="0037251D">
        <w:rPr>
          <w:rFonts w:ascii="Book Antiqua" w:eastAsia="Book Antiqua" w:hAnsi="Book Antiqua" w:cs="Book Antiqua"/>
          <w:color w:val="000000"/>
          <w:szCs w:val="30"/>
          <w:vertAlign w:val="superscript"/>
        </w:rPr>
        <w:t>[34]</w:t>
      </w:r>
      <w:r w:rsidRPr="0037251D">
        <w:rPr>
          <w:rFonts w:ascii="Book Antiqua" w:eastAsia="Book Antiqua" w:hAnsi="Book Antiqua" w:cs="Book Antiqua"/>
          <w:color w:val="000000"/>
        </w:rPr>
        <w:t>, providing real-life contemporary estimates. In this study, 152 out of 731 (20.79%) patients developed a VTE event, with a median time from PC diagnosis to VTE of 4 mo. In competing-risk analysis, the cumulative rates of VTE were approximatively 13% and 20% at 6 mo and 1 year, respectively</w:t>
      </w:r>
      <w:r w:rsidRPr="0037251D">
        <w:rPr>
          <w:rFonts w:ascii="Book Antiqua" w:eastAsia="Book Antiqua" w:hAnsi="Book Antiqua" w:cs="Book Antiqua"/>
          <w:color w:val="000000"/>
          <w:szCs w:val="30"/>
          <w:vertAlign w:val="superscript"/>
        </w:rPr>
        <w:t>[34]</w:t>
      </w:r>
      <w:r w:rsidRPr="0037251D">
        <w:rPr>
          <w:rFonts w:ascii="Book Antiqua" w:eastAsia="Book Antiqua" w:hAnsi="Book Antiqua" w:cs="Book Antiqua"/>
          <w:color w:val="000000"/>
        </w:rPr>
        <w:t>.</w:t>
      </w:r>
    </w:p>
    <w:p w14:paraId="5B37E008" w14:textId="71F08F83" w:rsidR="00A77B3E" w:rsidRPr="0037251D" w:rsidRDefault="008404AF" w:rsidP="00172A9A">
      <w:pPr>
        <w:spacing w:line="360" w:lineRule="auto"/>
        <w:ind w:firstLineChars="100" w:firstLine="240"/>
        <w:jc w:val="both"/>
      </w:pPr>
      <w:r w:rsidRPr="0037251D">
        <w:rPr>
          <w:rFonts w:ascii="Book Antiqua" w:eastAsia="Book Antiqua" w:hAnsi="Book Antiqua" w:cs="Book Antiqua"/>
          <w:color w:val="000000"/>
        </w:rPr>
        <w:t>The most common VTE events occurring in PC patients are deep vein thrombosis (DVT) and pulmonary embolism (PE)</w:t>
      </w:r>
      <w:r w:rsidRPr="0037251D">
        <w:rPr>
          <w:rFonts w:ascii="Book Antiqua" w:eastAsia="Book Antiqua" w:hAnsi="Book Antiqua" w:cs="Book Antiqua"/>
          <w:color w:val="000000"/>
          <w:szCs w:val="30"/>
          <w:vertAlign w:val="superscript"/>
        </w:rPr>
        <w:t>[35]</w:t>
      </w:r>
      <w:r w:rsidRPr="0037251D">
        <w:rPr>
          <w:rFonts w:ascii="Book Antiqua" w:eastAsia="Book Antiqua" w:hAnsi="Book Antiqua" w:cs="Book Antiqua"/>
          <w:color w:val="000000"/>
        </w:rPr>
        <w:t>, but incidental PE and incidental visceral vein thrombosis (VVT) are increasingly diagnosed, accounting now for approximatively 50% of all reported VTE events</w:t>
      </w:r>
      <w:r w:rsidRPr="0037251D">
        <w:rPr>
          <w:rFonts w:ascii="Book Antiqua" w:eastAsia="Book Antiqua" w:hAnsi="Book Antiqua" w:cs="Book Antiqua"/>
          <w:color w:val="000000"/>
          <w:vertAlign w:val="superscript"/>
        </w:rPr>
        <w:t>[23,30,34,36]</w:t>
      </w:r>
      <w:r w:rsidRPr="0037251D">
        <w:rPr>
          <w:rFonts w:ascii="Book Antiqua" w:eastAsia="Book Antiqua" w:hAnsi="Book Antiqua" w:cs="Book Antiqua"/>
          <w:color w:val="000000"/>
        </w:rPr>
        <w:t>. In the BACAP-VTE study</w:t>
      </w:r>
      <w:r w:rsidRPr="0037251D">
        <w:rPr>
          <w:rFonts w:ascii="Book Antiqua" w:eastAsia="Book Antiqua" w:hAnsi="Book Antiqua" w:cs="Book Antiqua"/>
          <w:color w:val="000000"/>
          <w:szCs w:val="30"/>
          <w:vertAlign w:val="superscript"/>
        </w:rPr>
        <w:t>[34]</w:t>
      </w:r>
      <w:r w:rsidRPr="0037251D">
        <w:rPr>
          <w:rFonts w:ascii="Book Antiqua" w:eastAsia="Book Antiqua" w:hAnsi="Book Antiqua" w:cs="Book Antiqua"/>
          <w:color w:val="000000"/>
        </w:rPr>
        <w:t>, DVT, PE, VVT, and combined events were observed in 26%, 17%, 30% and 21% of patients, respectively. Overall, 46% of VTE events were symptomatic and 54% of them were asymptomatic</w:t>
      </w:r>
      <w:r w:rsidRPr="0037251D">
        <w:rPr>
          <w:rFonts w:ascii="Book Antiqua" w:eastAsia="Book Antiqua" w:hAnsi="Book Antiqua" w:cs="Book Antiqua"/>
          <w:color w:val="000000"/>
          <w:szCs w:val="30"/>
          <w:vertAlign w:val="superscript"/>
        </w:rPr>
        <w:t>[34]</w:t>
      </w:r>
      <w:r w:rsidRPr="0037251D">
        <w:rPr>
          <w:rFonts w:ascii="Book Antiqua" w:eastAsia="Book Antiqua" w:hAnsi="Book Antiqua" w:cs="Book Antiqua"/>
          <w:color w:val="000000"/>
        </w:rPr>
        <w:t>.</w:t>
      </w:r>
    </w:p>
    <w:p w14:paraId="099A8686" w14:textId="4BDF0811"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lastRenderedPageBreak/>
        <w:t>Early retrospective studies reported no association between VTE and overall survival (OS) in PC patients</w:t>
      </w:r>
      <w:r w:rsidRPr="0037251D">
        <w:rPr>
          <w:rFonts w:ascii="Book Antiqua" w:eastAsia="Book Antiqua" w:hAnsi="Book Antiqua" w:cs="Book Antiqua"/>
          <w:color w:val="000000"/>
          <w:szCs w:val="30"/>
          <w:vertAlign w:val="superscript"/>
        </w:rPr>
        <w:t>[21,27]</w:t>
      </w:r>
      <w:r w:rsidRPr="0037251D">
        <w:rPr>
          <w:rFonts w:ascii="Book Antiqua" w:eastAsia="Book Antiqua" w:hAnsi="Book Antiqua" w:cs="Book Antiqua"/>
          <w:color w:val="000000"/>
        </w:rPr>
        <w:t>. However, all patients included in these studies had metastatic disease with a short life expectancy. By contrast, later studies reported that the onset of VTE was associated with a poorer prognosis. In a retrospective cohort of 227 patients with unresectable PC, VTE during the course of chemotherapy was associated with a 2.5-fold decrease in progression-free survival (PFS) and a 1.6-fold risk decrease in OS</w:t>
      </w:r>
      <w:r w:rsidRPr="0037251D">
        <w:rPr>
          <w:rFonts w:ascii="Book Antiqua" w:eastAsia="Book Antiqua" w:hAnsi="Book Antiqua" w:cs="Book Antiqua"/>
          <w:color w:val="000000"/>
          <w:szCs w:val="30"/>
          <w:vertAlign w:val="superscript"/>
        </w:rPr>
        <w:t>[17]</w:t>
      </w:r>
      <w:r w:rsidRPr="0037251D">
        <w:rPr>
          <w:rFonts w:ascii="Book Antiqua" w:eastAsia="Book Antiqua" w:hAnsi="Book Antiqua" w:cs="Book Antiqua"/>
          <w:color w:val="000000"/>
        </w:rPr>
        <w:t>. Similarly, in a small cohort of 135 PC patients, the onset of VTE was significantly associated with increased mortality</w:t>
      </w:r>
      <w:r w:rsidRPr="0037251D">
        <w:rPr>
          <w:rFonts w:ascii="Book Antiqua" w:eastAsia="Book Antiqua" w:hAnsi="Book Antiqua" w:cs="Book Antiqua"/>
          <w:color w:val="000000"/>
          <w:szCs w:val="30"/>
          <w:vertAlign w:val="superscript"/>
        </w:rPr>
        <w:t>[23]</w:t>
      </w:r>
      <w:r w:rsidRPr="0037251D">
        <w:rPr>
          <w:rFonts w:ascii="Book Antiqua" w:eastAsia="Book Antiqua" w:hAnsi="Book Antiqua" w:cs="Book Antiqua"/>
          <w:color w:val="000000"/>
        </w:rPr>
        <w:t xml:space="preserve">. Importantly, survival was significantly improved in patients with VTE receiving anticoagulant therapy compared to those who did not receive anticoagulant therapy </w:t>
      </w:r>
      <w:r w:rsidR="00A963F8" w:rsidRPr="0037251D">
        <w:rPr>
          <w:rFonts w:ascii="Book Antiqua" w:eastAsia="Book Antiqua" w:hAnsi="Book Antiqua" w:cs="Book Antiqua"/>
          <w:color w:val="000000"/>
        </w:rPr>
        <w:t>[</w:t>
      </w:r>
      <w:bookmarkStart w:id="3" w:name="_Hlk62042000"/>
      <w:r w:rsidR="00A963F8" w:rsidRPr="0037251D">
        <w:rPr>
          <w:rFonts w:ascii="Book Antiqua" w:eastAsia="Book Antiqua" w:hAnsi="Book Antiqua" w:cs="Book Antiqua"/>
          <w:color w:val="000000"/>
        </w:rPr>
        <w:t>hazard ratio</w:t>
      </w:r>
      <w:bookmarkEnd w:id="3"/>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(HR</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0.30, 95%CI</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0.12</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0.74, </w:t>
      </w:r>
      <w:r w:rsidRPr="0037251D">
        <w:rPr>
          <w:rFonts w:ascii="Book Antiqua" w:eastAsia="Book Antiqua" w:hAnsi="Book Antiqua" w:cs="Book Antiqua"/>
          <w:i/>
          <w:iCs/>
          <w:color w:val="000000"/>
        </w:rPr>
        <w:t>P</w:t>
      </w:r>
      <w:r w:rsidRPr="0037251D">
        <w:rPr>
          <w:rFonts w:ascii="Book Antiqua" w:eastAsia="Book Antiqua" w:hAnsi="Book Antiqua" w:cs="Book Antiqua"/>
          <w:color w:val="000000"/>
        </w:rPr>
        <w:t xml:space="preserve"> = 0.009</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szCs w:val="30"/>
          <w:vertAlign w:val="superscript"/>
        </w:rPr>
        <w:t>[23]</w:t>
      </w:r>
      <w:r w:rsidRPr="0037251D">
        <w:rPr>
          <w:rFonts w:ascii="Book Antiqua" w:eastAsia="Book Antiqua" w:hAnsi="Book Antiqua" w:cs="Book Antiqua"/>
          <w:color w:val="000000"/>
        </w:rPr>
        <w:t>. Retrospective studies focusing on incidental VTE in PC patients also reported an association between VVT and mortality</w:t>
      </w:r>
      <w:r w:rsidRPr="0037251D">
        <w:rPr>
          <w:rFonts w:ascii="Book Antiqua" w:eastAsia="Book Antiqua" w:hAnsi="Book Antiqua" w:cs="Book Antiqua"/>
          <w:color w:val="000000"/>
          <w:szCs w:val="30"/>
          <w:vertAlign w:val="superscript"/>
        </w:rPr>
        <w:t>[36,37]</w:t>
      </w:r>
      <w:r w:rsidRPr="0037251D">
        <w:rPr>
          <w:rFonts w:ascii="Book Antiqua" w:eastAsia="Book Antiqua" w:hAnsi="Book Antiqua" w:cs="Book Antiqua"/>
          <w:color w:val="000000"/>
        </w:rPr>
        <w:t>. Similarly, in a prospective cohort of 731 newly diagnosed PC, patients who developed asymptomatic or symptomatic VTE during follow-up had significantly shorter PFS (HR 1.74; 95%CI</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1.19</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2.54; </w:t>
      </w:r>
      <w:r w:rsidRPr="0037251D">
        <w:rPr>
          <w:rFonts w:ascii="Book Antiqua" w:eastAsia="Book Antiqua" w:hAnsi="Book Antiqua" w:cs="Book Antiqua"/>
          <w:i/>
          <w:iCs/>
          <w:color w:val="000000"/>
        </w:rPr>
        <w:t>P</w:t>
      </w:r>
      <w:r w:rsidRPr="0037251D">
        <w:rPr>
          <w:rFonts w:ascii="Book Antiqua" w:eastAsia="Book Antiqua" w:hAnsi="Book Antiqua" w:cs="Book Antiqua"/>
          <w:color w:val="000000"/>
        </w:rPr>
        <w:t xml:space="preserve"> = 0.004) and OS (HR 2.02; 95%CI</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1.57</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2.60; </w:t>
      </w:r>
      <w:r w:rsidR="00A963F8" w:rsidRPr="0037251D">
        <w:rPr>
          <w:rFonts w:ascii="Book Antiqua" w:eastAsia="Book Antiqua" w:hAnsi="Book Antiqua" w:cs="Book Antiqua"/>
          <w:i/>
          <w:iCs/>
          <w:color w:val="000000"/>
        </w:rPr>
        <w:t>P</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&lt;</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0.001) compared to those who did not developed VTE</w:t>
      </w:r>
      <w:r w:rsidRPr="0037251D">
        <w:rPr>
          <w:rFonts w:ascii="Book Antiqua" w:eastAsia="Book Antiqua" w:hAnsi="Book Antiqua" w:cs="Book Antiqua"/>
          <w:color w:val="000000"/>
          <w:szCs w:val="30"/>
          <w:vertAlign w:val="superscript"/>
        </w:rPr>
        <w:t>[34]</w:t>
      </w:r>
      <w:r w:rsidRPr="0037251D">
        <w:rPr>
          <w:rFonts w:ascii="Book Antiqua" w:eastAsia="Book Antiqua" w:hAnsi="Book Antiqua" w:cs="Book Antiqua"/>
          <w:color w:val="000000"/>
        </w:rPr>
        <w:t>.</w:t>
      </w:r>
    </w:p>
    <w:p w14:paraId="08278093" w14:textId="77777777" w:rsidR="00A77B3E" w:rsidRPr="0037251D" w:rsidRDefault="00A77B3E">
      <w:pPr>
        <w:spacing w:line="360" w:lineRule="auto"/>
        <w:jc w:val="both"/>
      </w:pPr>
    </w:p>
    <w:p w14:paraId="6E7C3C39" w14:textId="5FA1E14F" w:rsidR="00A77B3E" w:rsidRPr="0037251D" w:rsidRDefault="008404AF">
      <w:pPr>
        <w:spacing w:line="360" w:lineRule="auto"/>
        <w:jc w:val="both"/>
      </w:pPr>
      <w:r w:rsidRPr="0037251D">
        <w:rPr>
          <w:rFonts w:ascii="Book Antiqua" w:eastAsia="Book Antiqua" w:hAnsi="Book Antiqua" w:cs="Book Antiqua"/>
          <w:b/>
          <w:bCs/>
          <w:caps/>
          <w:color w:val="000000"/>
          <w:u w:val="single"/>
        </w:rPr>
        <w:t xml:space="preserve">RISK FACTORS FOR </w:t>
      </w:r>
      <w:r w:rsidR="001C0DD7" w:rsidRPr="0037251D">
        <w:rPr>
          <w:rFonts w:ascii="Book Antiqua" w:eastAsia="Book Antiqua" w:hAnsi="Book Antiqua" w:cs="Book Antiqua"/>
          <w:b/>
          <w:bCs/>
          <w:caps/>
          <w:color w:val="000000"/>
          <w:u w:val="single"/>
        </w:rPr>
        <w:t>VTE</w:t>
      </w:r>
      <w:r w:rsidRPr="0037251D">
        <w:rPr>
          <w:rFonts w:ascii="Book Antiqua" w:eastAsia="Book Antiqua" w:hAnsi="Book Antiqua" w:cs="Book Antiqua"/>
          <w:b/>
          <w:bCs/>
          <w:caps/>
          <w:color w:val="000000"/>
          <w:u w:val="single"/>
        </w:rPr>
        <w:t xml:space="preserve"> AND RISK STRATIFICATION IN </w:t>
      </w:r>
      <w:r w:rsidR="001C0DD7" w:rsidRPr="0037251D">
        <w:rPr>
          <w:rFonts w:ascii="Book Antiqua" w:eastAsia="Book Antiqua" w:hAnsi="Book Antiqua" w:cs="Book Antiqua"/>
          <w:b/>
          <w:bCs/>
          <w:caps/>
          <w:color w:val="000000"/>
          <w:u w:val="single"/>
        </w:rPr>
        <w:t>PC</w:t>
      </w:r>
      <w:r w:rsidRPr="0037251D">
        <w:rPr>
          <w:rFonts w:ascii="Book Antiqua" w:eastAsia="Book Antiqua" w:hAnsi="Book Antiqua" w:cs="Book Antiqua"/>
          <w:b/>
          <w:bCs/>
          <w:caps/>
          <w:color w:val="000000"/>
          <w:u w:val="single"/>
        </w:rPr>
        <w:t xml:space="preserve"> PATIENTS</w:t>
      </w:r>
    </w:p>
    <w:p w14:paraId="2F1F5915" w14:textId="77777777" w:rsidR="00A77B3E" w:rsidRPr="0037251D" w:rsidRDefault="008404AF">
      <w:pPr>
        <w:spacing w:line="360" w:lineRule="auto"/>
        <w:jc w:val="both"/>
      </w:pPr>
      <w:r w:rsidRPr="0037251D">
        <w:rPr>
          <w:rFonts w:ascii="Book Antiqua" w:eastAsia="Book Antiqua" w:hAnsi="Book Antiqua" w:cs="Book Antiqua"/>
          <w:color w:val="000000"/>
        </w:rPr>
        <w:t>Several studies have demonstrated that the most important risk factor for VTE in PC patients is the presence of a metastatic disease</w:t>
      </w:r>
      <w:r w:rsidRPr="0037251D">
        <w:rPr>
          <w:rFonts w:ascii="Book Antiqua" w:eastAsia="Book Antiqua" w:hAnsi="Book Antiqua" w:cs="Book Antiqua"/>
          <w:color w:val="000000"/>
          <w:szCs w:val="30"/>
          <w:vertAlign w:val="superscript"/>
        </w:rPr>
        <w:t>[16,18,27,31,34,38,39]</w:t>
      </w:r>
      <w:r w:rsidRPr="0037251D">
        <w:rPr>
          <w:rFonts w:ascii="Book Antiqua" w:eastAsia="Book Antiqua" w:hAnsi="Book Antiqua" w:cs="Book Antiqua"/>
          <w:color w:val="000000"/>
        </w:rPr>
        <w:t>. In a recent retrospective cohort of 165 PC patients, metastatic disease was associated with a 4.8-fold increase in the risk for VTE; 41 out of 51 patients who developed VTE had metastasis at diagnosis</w:t>
      </w:r>
      <w:r w:rsidRPr="0037251D">
        <w:rPr>
          <w:rFonts w:ascii="Book Antiqua" w:eastAsia="Book Antiqua" w:hAnsi="Book Antiqua" w:cs="Book Antiqua"/>
          <w:color w:val="000000"/>
          <w:vertAlign w:val="superscript"/>
        </w:rPr>
        <w:t>[39]</w:t>
      </w:r>
      <w:r w:rsidRPr="0037251D">
        <w:rPr>
          <w:rFonts w:ascii="Book Antiqua" w:eastAsia="Book Antiqua" w:hAnsi="Book Antiqua" w:cs="Book Antiqua"/>
          <w:color w:val="000000"/>
        </w:rPr>
        <w:t>. Similarly, in the BACAP-VTE study</w:t>
      </w:r>
      <w:r w:rsidRPr="0037251D">
        <w:rPr>
          <w:rFonts w:ascii="Book Antiqua" w:eastAsia="Book Antiqua" w:hAnsi="Book Antiqua" w:cs="Book Antiqua"/>
          <w:color w:val="000000"/>
          <w:szCs w:val="30"/>
          <w:vertAlign w:val="superscript"/>
        </w:rPr>
        <w:t>[34]</w:t>
      </w:r>
      <w:r w:rsidRPr="0037251D">
        <w:rPr>
          <w:rFonts w:ascii="Book Antiqua" w:eastAsia="Book Antiqua" w:hAnsi="Book Antiqua" w:cs="Book Antiqua"/>
          <w:color w:val="000000"/>
        </w:rPr>
        <w:t>, metastatic tumors were associated with a 2.5-fold increased risk for VTE compared to non-metastatic tumors.</w:t>
      </w:r>
    </w:p>
    <w:p w14:paraId="60A95690" w14:textId="604D6D3D"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t xml:space="preserve">Major abdominal surgery is also an important risk factor for VTE in PC patients. In an early observational study of 1915 patients with exocrine </w:t>
      </w:r>
      <w:r w:rsidR="001C0DD7" w:rsidRPr="0037251D">
        <w:rPr>
          <w:rFonts w:ascii="Book Antiqua" w:eastAsia="Book Antiqua" w:hAnsi="Book Antiqua" w:cs="Book Antiqua"/>
          <w:color w:val="000000"/>
        </w:rPr>
        <w:t>PC</w:t>
      </w:r>
      <w:r w:rsidRPr="0037251D">
        <w:rPr>
          <w:rFonts w:ascii="Book Antiqua" w:eastAsia="Book Antiqua" w:hAnsi="Book Antiqua" w:cs="Book Antiqua"/>
          <w:color w:val="000000"/>
        </w:rPr>
        <w:t>, 127 out of 383 (33.1%) patients requiring pancreatic surgery developed postsurgical VTE</w:t>
      </w:r>
      <w:r w:rsidRPr="0037251D">
        <w:rPr>
          <w:rFonts w:ascii="Book Antiqua" w:eastAsia="Book Antiqua" w:hAnsi="Book Antiqua" w:cs="Book Antiqua"/>
          <w:color w:val="000000"/>
          <w:vertAlign w:val="superscript"/>
        </w:rPr>
        <w:t>[22]</w:t>
      </w:r>
      <w:r w:rsidRPr="0037251D">
        <w:rPr>
          <w:rFonts w:ascii="Book Antiqua" w:eastAsia="Book Antiqua" w:hAnsi="Book Antiqua" w:cs="Book Antiqua"/>
          <w:color w:val="000000"/>
        </w:rPr>
        <w:t>. Similarly, 31 out of 209 (14.8%) patients requiring pancreatic surgery developed postsurgical VTE in a large retrospective study of 1,115 conducted in East Asian population</w:t>
      </w:r>
      <w:r w:rsidRPr="0037251D">
        <w:rPr>
          <w:rFonts w:ascii="Book Antiqua" w:eastAsia="Book Antiqua" w:hAnsi="Book Antiqua" w:cs="Book Antiqua"/>
          <w:color w:val="000000"/>
          <w:vertAlign w:val="superscript"/>
        </w:rPr>
        <w:t>[27]</w:t>
      </w:r>
      <w:r w:rsidRPr="0037251D">
        <w:rPr>
          <w:rFonts w:ascii="Book Antiqua" w:eastAsia="Book Antiqua" w:hAnsi="Book Antiqua" w:cs="Book Antiqua"/>
          <w:color w:val="000000"/>
        </w:rPr>
        <w:t>.</w:t>
      </w:r>
    </w:p>
    <w:p w14:paraId="5B6ACDA5" w14:textId="175B7EA6"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lastRenderedPageBreak/>
        <w:t>Chemotherapy increases the risk of VTE in cancer patients</w:t>
      </w:r>
      <w:r w:rsidRPr="0037251D">
        <w:rPr>
          <w:rFonts w:ascii="Book Antiqua" w:eastAsia="Book Antiqua" w:hAnsi="Book Antiqua" w:cs="Book Antiqua"/>
          <w:color w:val="000000"/>
          <w:szCs w:val="30"/>
          <w:vertAlign w:val="superscript"/>
        </w:rPr>
        <w:t>[40]</w:t>
      </w:r>
      <w:r w:rsidRPr="0037251D">
        <w:rPr>
          <w:rFonts w:ascii="Book Antiqua" w:eastAsia="Book Antiqua" w:hAnsi="Book Antiqua" w:cs="Book Antiqua"/>
          <w:color w:val="000000"/>
        </w:rPr>
        <w:t xml:space="preserve">. Nevertheless, as recently highlighted by Chiasakul </w:t>
      </w:r>
      <w:r w:rsidRPr="0037251D">
        <w:rPr>
          <w:rFonts w:ascii="Book Antiqua" w:eastAsia="Book Antiqua" w:hAnsi="Book Antiqua" w:cs="Book Antiqua"/>
          <w:i/>
          <w:iCs/>
          <w:color w:val="000000"/>
        </w:rPr>
        <w:t>et al</w:t>
      </w:r>
      <w:r w:rsidRPr="0037251D">
        <w:rPr>
          <w:rFonts w:ascii="Book Antiqua" w:eastAsia="Book Antiqua" w:hAnsi="Book Antiqua" w:cs="Book Antiqua"/>
          <w:color w:val="000000"/>
          <w:szCs w:val="30"/>
          <w:vertAlign w:val="superscript"/>
        </w:rPr>
        <w:t>[6]</w:t>
      </w:r>
      <w:r w:rsidRPr="0037251D">
        <w:rPr>
          <w:rStyle w:val="st"/>
          <w:rFonts w:ascii="Book Antiqua" w:eastAsia="Book Antiqua" w:hAnsi="Book Antiqua" w:cs="Book Antiqua"/>
          <w:color w:val="000000"/>
        </w:rPr>
        <w:t xml:space="preserve">, </w:t>
      </w:r>
      <w:r w:rsidRPr="0037251D">
        <w:rPr>
          <w:rFonts w:ascii="Book Antiqua" w:eastAsia="Book Antiqua" w:hAnsi="Book Antiqua" w:cs="Book Antiqua"/>
          <w:color w:val="000000"/>
        </w:rPr>
        <w:t xml:space="preserve">the rates of VTE were underreported in PC chemotherapy </w:t>
      </w:r>
      <w:r w:rsidRPr="0037251D">
        <w:rPr>
          <w:rStyle w:val="st"/>
          <w:rFonts w:ascii="Book Antiqua" w:eastAsia="Book Antiqua" w:hAnsi="Book Antiqua" w:cs="Book Antiqua"/>
          <w:color w:val="000000"/>
        </w:rPr>
        <w:t>RCTs and</w:t>
      </w:r>
      <w:r w:rsidRPr="0037251D">
        <w:rPr>
          <w:rFonts w:ascii="Book Antiqua" w:eastAsia="Book Antiqua" w:hAnsi="Book Antiqua" w:cs="Book Antiqua"/>
          <w:color w:val="000000"/>
        </w:rPr>
        <w:t xml:space="preserve"> </w:t>
      </w:r>
      <w:r w:rsidRPr="0037251D">
        <w:rPr>
          <w:rStyle w:val="st"/>
          <w:rFonts w:ascii="Book Antiqua" w:eastAsia="Book Antiqua" w:hAnsi="Book Antiqua" w:cs="Book Antiqua"/>
          <w:color w:val="000000"/>
        </w:rPr>
        <w:t>d</w:t>
      </w:r>
      <w:r w:rsidRPr="0037251D">
        <w:rPr>
          <w:rFonts w:ascii="Book Antiqua" w:eastAsia="Book Antiqua" w:hAnsi="Book Antiqua" w:cs="Book Antiqua"/>
          <w:color w:val="000000"/>
        </w:rPr>
        <w:t>ata on the respective risk of various chemotherapy regimens remain scarce. In recent retrospective or prospective cohorts of PC patients, the rate of VTE did not differ between those receiving gemcitabine-based chemotherapy and those receiving FOLFIRINOX</w:t>
      </w:r>
      <w:r w:rsidRPr="0037251D">
        <w:rPr>
          <w:rFonts w:ascii="Book Antiqua" w:eastAsia="Book Antiqua" w:hAnsi="Book Antiqua" w:cs="Book Antiqua"/>
          <w:color w:val="000000"/>
          <w:szCs w:val="30"/>
          <w:vertAlign w:val="superscript"/>
        </w:rPr>
        <w:t>[30</w:t>
      </w:r>
      <w:r w:rsidR="00A963F8" w:rsidRPr="0037251D">
        <w:rPr>
          <w:rFonts w:ascii="Book Antiqua" w:eastAsia="Book Antiqua" w:hAnsi="Book Antiqua" w:cs="Book Antiqua"/>
          <w:color w:val="000000"/>
          <w:szCs w:val="30"/>
          <w:vertAlign w:val="superscript"/>
        </w:rPr>
        <w:t>,</w:t>
      </w:r>
      <w:r w:rsidRPr="0037251D">
        <w:rPr>
          <w:rFonts w:ascii="Book Antiqua" w:eastAsia="Book Antiqua" w:hAnsi="Book Antiqua" w:cs="Book Antiqua"/>
          <w:color w:val="000000"/>
          <w:szCs w:val="30"/>
          <w:vertAlign w:val="superscript"/>
        </w:rPr>
        <w:t>34]</w:t>
      </w:r>
      <w:r w:rsidRPr="0037251D">
        <w:rPr>
          <w:rFonts w:ascii="Book Antiqua" w:eastAsia="Book Antiqua" w:hAnsi="Book Antiqua" w:cs="Book Antiqua"/>
          <w:color w:val="000000"/>
        </w:rPr>
        <w:t>. In the subgroup of 273 PC patients included in the CASSINI trial</w:t>
      </w:r>
      <w:r w:rsidRPr="0037251D">
        <w:rPr>
          <w:rFonts w:ascii="Book Antiqua" w:eastAsia="Book Antiqua" w:hAnsi="Book Antiqua" w:cs="Book Antiqua"/>
          <w:color w:val="000000"/>
          <w:szCs w:val="30"/>
          <w:vertAlign w:val="superscript"/>
        </w:rPr>
        <w:t>[41]</w:t>
      </w:r>
      <w:r w:rsidRPr="0037251D">
        <w:rPr>
          <w:rFonts w:ascii="Book Antiqua" w:eastAsia="Book Antiqua" w:hAnsi="Book Antiqua" w:cs="Book Antiqua"/>
          <w:color w:val="000000"/>
        </w:rPr>
        <w:t xml:space="preserve">, the rates of VTE did not differ between patients treated with </w:t>
      </w:r>
      <w:r w:rsidR="00A963F8" w:rsidRPr="0037251D">
        <w:rPr>
          <w:rFonts w:ascii="Book Antiqua" w:eastAsia="Book Antiqua" w:hAnsi="Book Antiqua" w:cs="Book Antiqua"/>
          <w:color w:val="000000"/>
        </w:rPr>
        <w:t>5-fluorouracil-</w:t>
      </w:r>
      <w:r w:rsidRPr="0037251D">
        <w:rPr>
          <w:rFonts w:ascii="Book Antiqua" w:eastAsia="Book Antiqua" w:hAnsi="Book Antiqua" w:cs="Book Antiqua"/>
          <w:color w:val="000000"/>
        </w:rPr>
        <w:t>based regimen</w:t>
      </w:r>
      <w:r w:rsidRPr="0037251D">
        <w:rPr>
          <w:rFonts w:ascii="Book Antiqua" w:eastAsia="Book Antiqua" w:hAnsi="Book Antiqua" w:cs="Book Antiqua"/>
          <w:i/>
          <w:iCs/>
          <w:color w:val="000000"/>
        </w:rPr>
        <w:t xml:space="preserve"> vs</w:t>
      </w:r>
      <w:r w:rsidRPr="0037251D">
        <w:rPr>
          <w:rFonts w:ascii="Book Antiqua" w:eastAsia="Book Antiqua" w:hAnsi="Book Antiqua" w:cs="Book Antiqua"/>
          <w:color w:val="000000"/>
        </w:rPr>
        <w:t xml:space="preserve"> gemcitabine-based regimen.</w:t>
      </w:r>
    </w:p>
    <w:p w14:paraId="2B600C08" w14:textId="77777777"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t>Systematic screening of VTE is not recommended in daily clinical practice. However, all PC patients should receive verbal and written information on the risk factors for VTE, as well as on the signs and symptoms of VTE to promote self-diagnosis and reporting of VTE symptoms.</w:t>
      </w:r>
    </w:p>
    <w:p w14:paraId="1EBA67A0" w14:textId="1C4FD3FC"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t xml:space="preserve">Over the past ten years, many efforts have been made to develop </w:t>
      </w:r>
      <w:r w:rsidR="00A963F8" w:rsidRPr="0037251D">
        <w:rPr>
          <w:rFonts w:ascii="Book Antiqua" w:eastAsia="Book Antiqua" w:hAnsi="Book Antiqua" w:cs="Book Antiqua"/>
          <w:color w:val="000000"/>
        </w:rPr>
        <w:t>risk assessment mode</w:t>
      </w:r>
      <w:r w:rsidRPr="0037251D">
        <w:rPr>
          <w:rFonts w:ascii="Book Antiqua" w:eastAsia="Book Antiqua" w:hAnsi="Book Antiqua" w:cs="Book Antiqua"/>
          <w:color w:val="000000"/>
        </w:rPr>
        <w:t>ls (RAM) aiming to select cancer patients at highest risk for VTE, and therefore expected to have the best benefit from thromboprophylaxis. However, none of these RAM was designed to specifically assess this risk in PC patients.</w:t>
      </w:r>
    </w:p>
    <w:p w14:paraId="70261AFF" w14:textId="42781DDF"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t>The Caprini score is the most widely RAM to assess the risk of VTE in patients undergoing surgery. It has been validated in several types of cancers</w:t>
      </w:r>
      <w:r w:rsidRPr="0037251D">
        <w:rPr>
          <w:rFonts w:ascii="Book Antiqua" w:eastAsia="Book Antiqua" w:hAnsi="Book Antiqua" w:cs="Book Antiqua"/>
          <w:color w:val="000000"/>
          <w:vertAlign w:val="superscript"/>
        </w:rPr>
        <w:t>[42]</w:t>
      </w:r>
      <w:r w:rsidRPr="0037251D">
        <w:rPr>
          <w:rFonts w:ascii="Book Antiqua" w:eastAsia="Book Antiqua" w:hAnsi="Book Antiqua" w:cs="Book Antiqua"/>
          <w:color w:val="000000"/>
        </w:rPr>
        <w:t>. However, this model was unable to identify</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patients at highest risk for VTE in a retrospective cohort of 426 PC patients undergoing preoperative treatment followed by surgical resection</w:t>
      </w:r>
      <w:r w:rsidRPr="0037251D">
        <w:rPr>
          <w:rFonts w:ascii="Book Antiqua" w:eastAsia="Book Antiqua" w:hAnsi="Book Antiqua" w:cs="Book Antiqua"/>
          <w:color w:val="000000"/>
          <w:vertAlign w:val="superscript"/>
        </w:rPr>
        <w:t>[43]</w:t>
      </w:r>
      <w:r w:rsidRPr="0037251D">
        <w:rPr>
          <w:rFonts w:ascii="Book Antiqua" w:eastAsia="Book Antiqua" w:hAnsi="Book Antiqua" w:cs="Book Antiqua"/>
          <w:color w:val="000000"/>
        </w:rPr>
        <w:t>.</w:t>
      </w:r>
    </w:p>
    <w:p w14:paraId="00E6997C" w14:textId="4EF4D673"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t>Furthermore, the Khorana score</w:t>
      </w:r>
      <w:r w:rsidRPr="0037251D">
        <w:rPr>
          <w:rFonts w:ascii="Book Antiqua" w:eastAsia="Book Antiqua" w:hAnsi="Book Antiqua" w:cs="Book Antiqua"/>
          <w:color w:val="000000"/>
          <w:szCs w:val="30"/>
          <w:vertAlign w:val="superscript"/>
        </w:rPr>
        <w:t>[44]</w:t>
      </w:r>
      <w:r w:rsidRPr="0037251D">
        <w:rPr>
          <w:rFonts w:ascii="Book Antiqua" w:eastAsia="Book Antiqua" w:hAnsi="Book Antiqua" w:cs="Book Antiqua"/>
          <w:color w:val="000000"/>
        </w:rPr>
        <w:t xml:space="preserve"> is the most widely used RAM to assess the risk of VTE in ambulatory cancer patients. It was developed ten years ago</w:t>
      </w:r>
      <w:r w:rsidRPr="0037251D">
        <w:rPr>
          <w:rFonts w:ascii="Book Antiqua" w:eastAsia="Book Antiqua" w:hAnsi="Book Antiqua" w:cs="Book Antiqua"/>
          <w:color w:val="000000"/>
          <w:szCs w:val="30"/>
          <w:vertAlign w:val="superscript"/>
        </w:rPr>
        <w:t>[44]</w:t>
      </w:r>
      <w:r w:rsidRPr="0037251D">
        <w:rPr>
          <w:rFonts w:ascii="Book Antiqua" w:eastAsia="Book Antiqua" w:hAnsi="Book Antiqua" w:cs="Book Antiqua"/>
          <w:color w:val="000000"/>
        </w:rPr>
        <w:t>. It assigns 1 to 2 points to 5 simple clinical and laboratory variables (primary tumor site, platelet count ≥</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 xml:space="preserve">350 </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10</w:t>
      </w:r>
      <w:r w:rsidRPr="0037251D">
        <w:rPr>
          <w:rFonts w:ascii="Book Antiqua" w:eastAsia="Book Antiqua" w:hAnsi="Book Antiqua" w:cs="Book Antiqua"/>
          <w:color w:val="000000"/>
          <w:szCs w:val="30"/>
          <w:vertAlign w:val="superscript"/>
        </w:rPr>
        <w:t>9</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L, hemoglobin concentration ≤ 10 g</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dL or use of erythropoiesis-stimulating agents, leukocyte count ≥</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 xml:space="preserve">11 </w:t>
      </w:r>
      <w:r w:rsidR="00A963F8" w:rsidRPr="0037251D">
        <w:rPr>
          <w:rFonts w:ascii="Book Antiqua" w:eastAsia="Book Antiqua" w:hAnsi="Book Antiqua" w:cs="Book Antiqua"/>
          <w:color w:val="000000"/>
        </w:rPr>
        <w:t>× 10</w:t>
      </w:r>
      <w:r w:rsidR="00A963F8" w:rsidRPr="0037251D">
        <w:rPr>
          <w:rFonts w:ascii="Book Antiqua" w:eastAsia="Book Antiqua" w:hAnsi="Book Antiqua" w:cs="Book Antiqua"/>
          <w:color w:val="000000"/>
          <w:szCs w:val="30"/>
          <w:vertAlign w:val="superscript"/>
        </w:rPr>
        <w:t>9</w:t>
      </w:r>
      <w:r w:rsidR="00A963F8" w:rsidRPr="0037251D">
        <w:rPr>
          <w:rFonts w:ascii="Book Antiqua" w:eastAsia="Book Antiqua" w:hAnsi="Book Antiqua" w:cs="Book Antiqua"/>
          <w:color w:val="000000"/>
        </w:rPr>
        <w:t>/L</w:t>
      </w:r>
      <w:r w:rsidRPr="0037251D">
        <w:rPr>
          <w:rFonts w:ascii="Book Antiqua" w:eastAsia="Book Antiqua" w:hAnsi="Book Antiqua" w:cs="Book Antiqua"/>
          <w:color w:val="000000"/>
        </w:rPr>
        <w:t xml:space="preserve">, </w:t>
      </w:r>
      <w:r w:rsidR="00A963F8" w:rsidRPr="0037251D">
        <w:rPr>
          <w:rFonts w:ascii="Book Antiqua" w:eastAsia="Book Antiqua" w:hAnsi="Book Antiqua" w:cs="Book Antiqua"/>
          <w:color w:val="000000"/>
        </w:rPr>
        <w:t>body mass index (</w:t>
      </w:r>
      <w:r w:rsidRPr="0037251D">
        <w:rPr>
          <w:rFonts w:ascii="Book Antiqua" w:eastAsia="Book Antiqua" w:hAnsi="Book Antiqua" w:cs="Book Antiqua"/>
          <w:color w:val="000000"/>
        </w:rPr>
        <w:t>BMI</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 35 kg/m</w:t>
      </w:r>
      <w:r w:rsidRPr="0037251D">
        <w:rPr>
          <w:rFonts w:ascii="Book Antiqua" w:eastAsia="Book Antiqua" w:hAnsi="Book Antiqua" w:cs="Book Antiqua"/>
          <w:color w:val="000000"/>
          <w:szCs w:val="30"/>
          <w:vertAlign w:val="superscript"/>
        </w:rPr>
        <w:t>2</w:t>
      </w:r>
      <w:r w:rsidRPr="0037251D">
        <w:rPr>
          <w:rFonts w:ascii="Book Antiqua" w:eastAsia="Book Antiqua" w:hAnsi="Book Antiqua" w:cs="Book Antiqua"/>
          <w:color w:val="000000"/>
        </w:rPr>
        <w:t>. Patients are classified as being at “low-risk” (Khorana score</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0), “intermediate-risk” (Khorana score</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1-2), or “high-risk”</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(Khorana score ≥</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 xml:space="preserve">3). All PC patients are classified as being at intermediate- or high-risk. Unfortunately, this model did not discriminate between these two risk categories, neither in retrospective studies of PC patients undergoing </w:t>
      </w:r>
      <w:r w:rsidRPr="0037251D">
        <w:rPr>
          <w:rFonts w:ascii="Book Antiqua" w:eastAsia="Book Antiqua" w:hAnsi="Book Antiqua" w:cs="Book Antiqua"/>
          <w:color w:val="000000"/>
        </w:rPr>
        <w:lastRenderedPageBreak/>
        <w:t>chemotherapy</w:t>
      </w:r>
      <w:r w:rsidRPr="0037251D">
        <w:rPr>
          <w:rFonts w:ascii="Book Antiqua" w:eastAsia="Book Antiqua" w:hAnsi="Book Antiqua" w:cs="Book Antiqua"/>
          <w:color w:val="000000"/>
          <w:vertAlign w:val="superscript"/>
        </w:rPr>
        <w:t>[25,28</w:t>
      </w:r>
      <w:r w:rsidR="00A963F8" w:rsidRPr="0037251D">
        <w:rPr>
          <w:rFonts w:ascii="Book Antiqua" w:eastAsia="Book Antiqua" w:hAnsi="Book Antiqua" w:cs="Book Antiqua"/>
          <w:color w:val="000000"/>
          <w:vertAlign w:val="superscript"/>
        </w:rPr>
        <w:t>-</w:t>
      </w:r>
      <w:r w:rsidRPr="0037251D">
        <w:rPr>
          <w:rFonts w:ascii="Book Antiqua" w:eastAsia="Book Antiqua" w:hAnsi="Book Antiqua" w:cs="Book Antiqua"/>
          <w:color w:val="000000"/>
          <w:vertAlign w:val="superscript"/>
        </w:rPr>
        <w:t>30,32,39,45]</w:t>
      </w:r>
      <w:r w:rsidRPr="0037251D">
        <w:rPr>
          <w:rFonts w:ascii="Book Antiqua" w:eastAsia="Book Antiqua" w:hAnsi="Book Antiqua" w:cs="Book Antiqua"/>
          <w:color w:val="000000"/>
        </w:rPr>
        <w:t>, nor in the large prospective BACAP-VTE study</w:t>
      </w:r>
      <w:r w:rsidRPr="0037251D">
        <w:rPr>
          <w:rFonts w:ascii="Book Antiqua" w:eastAsia="Book Antiqua" w:hAnsi="Book Antiqua" w:cs="Book Antiqua"/>
          <w:color w:val="000000"/>
          <w:szCs w:val="30"/>
          <w:vertAlign w:val="superscript"/>
        </w:rPr>
        <w:t>[34]</w:t>
      </w:r>
      <w:r w:rsidRPr="0037251D">
        <w:rPr>
          <w:rFonts w:ascii="Book Antiqua" w:eastAsia="Book Antiqua" w:hAnsi="Book Antiqua" w:cs="Book Antiqua"/>
          <w:color w:val="000000"/>
        </w:rPr>
        <w:t>, nor in the subgroup of 273 PC patients included in the recent CASSINI trial</w:t>
      </w:r>
      <w:r w:rsidRPr="0037251D">
        <w:rPr>
          <w:rFonts w:ascii="Book Antiqua" w:eastAsia="Book Antiqua" w:hAnsi="Book Antiqua" w:cs="Book Antiqua"/>
          <w:color w:val="000000"/>
          <w:szCs w:val="30"/>
          <w:vertAlign w:val="superscript"/>
        </w:rPr>
        <w:t>[41]</w:t>
      </w:r>
      <w:r w:rsidRPr="0037251D">
        <w:rPr>
          <w:rFonts w:ascii="Book Antiqua" w:eastAsia="Book Antiqua" w:hAnsi="Book Antiqua" w:cs="Book Antiqua"/>
          <w:color w:val="000000"/>
        </w:rPr>
        <w:t xml:space="preserve"> (Table 1), questioning its relevance in this specific population.</w:t>
      </w:r>
    </w:p>
    <w:p w14:paraId="299ACC71" w14:textId="0C50A87E"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t>Several modifications to this RAM by the addition of other variables to the model have been proposed. The PROTECHT score</w:t>
      </w:r>
      <w:r w:rsidRPr="0037251D">
        <w:rPr>
          <w:rFonts w:ascii="Book Antiqua" w:eastAsia="Book Antiqua" w:hAnsi="Book Antiqua" w:cs="Book Antiqua"/>
          <w:color w:val="000000"/>
          <w:szCs w:val="30"/>
          <w:vertAlign w:val="superscript"/>
        </w:rPr>
        <w:t>[46]</w:t>
      </w:r>
      <w:r w:rsidRPr="0037251D">
        <w:rPr>
          <w:rFonts w:ascii="Book Antiqua" w:eastAsia="Book Antiqua" w:hAnsi="Book Antiqua" w:cs="Book Antiqua"/>
          <w:color w:val="000000"/>
        </w:rPr>
        <w:t>, which includes treatment with cisplatin or carboplatin-based chemotherapy or gemcitabine was found to perform better than the Khorana score in a retrospective analysis of the PROTECHT study, decreasing the number needed to treat (NTT) from 50 to 17. However, this score has not been externally validated in PC patients. More recently, the ONKOTEV score</w:t>
      </w:r>
      <w:r w:rsidRPr="0037251D">
        <w:rPr>
          <w:rFonts w:ascii="Book Antiqua" w:eastAsia="Book Antiqua" w:hAnsi="Book Antiqua" w:cs="Book Antiqua"/>
          <w:color w:val="000000"/>
          <w:szCs w:val="30"/>
          <w:vertAlign w:val="superscript"/>
        </w:rPr>
        <w:t>[47]</w:t>
      </w:r>
      <w:r w:rsidRPr="0037251D">
        <w:rPr>
          <w:rFonts w:ascii="Book Antiqua" w:eastAsia="Book Antiqua" w:hAnsi="Book Antiqua" w:cs="Book Antiqua"/>
          <w:color w:val="000000"/>
        </w:rPr>
        <w:t xml:space="preserve"> was developed in a prospective cohort of 843 various cancers patients in Italy and Germany, including 253 patient with gastroenteric cancer. The ONKOTEV score assigns one point to four variables, namely: a Khorana score &gt;</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2, a history of previous VTE, a metastatic disease, and a compression of vascular structures by the tumor. The ONKOTEV score demonstrated a significantly higher predictive power compared to the Khorana score in the original development cohort and was recently externally validated in a retrospective single-center cohort of 165 PC patients treated in Portugal with promising results</w:t>
      </w:r>
      <w:r w:rsidRPr="0037251D">
        <w:rPr>
          <w:rFonts w:ascii="Book Antiqua" w:eastAsia="Book Antiqua" w:hAnsi="Book Antiqua" w:cs="Book Antiqua"/>
          <w:color w:val="000000"/>
          <w:szCs w:val="30"/>
          <w:vertAlign w:val="superscript"/>
        </w:rPr>
        <w:t>[39]</w:t>
      </w:r>
      <w:r w:rsidRPr="0037251D">
        <w:rPr>
          <w:rFonts w:ascii="Book Antiqua" w:eastAsia="Book Antiqua" w:hAnsi="Book Antiqua" w:cs="Book Antiqua"/>
          <w:color w:val="000000"/>
        </w:rPr>
        <w:t>. Ninety-two (55.8%) patients had a metastatic disease at diagnosis and 109 (66.1%) received systemic chemotherapy. At inclusion, 18.2% of patients had an ONKOTEV score of 0, 38.2% of patients had an ONKOTEV score of 1, 33.3% of patients had an ONKOTEV score of 2, and 10.3% of patients had an ONKOTEV score &gt;</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2. During a median observation period of 6.3 mo, 51 out 165 (30.9%) PC patients developed VTE. The cumulative incidence of VTE was 82.4% in patients with an ONKOTEV &gt;</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2 compared to 3.3% in those with an ONKOTEV score of 0</w:t>
      </w:r>
      <w:r w:rsidRPr="0037251D">
        <w:rPr>
          <w:rFonts w:ascii="Book Antiqua" w:eastAsia="Book Antiqua" w:hAnsi="Book Antiqua" w:cs="Book Antiqua"/>
          <w:color w:val="000000"/>
          <w:szCs w:val="30"/>
          <w:vertAlign w:val="superscript"/>
        </w:rPr>
        <w:t>[39]</w:t>
      </w:r>
      <w:r w:rsidRPr="0037251D">
        <w:rPr>
          <w:rFonts w:ascii="Book Antiqua" w:eastAsia="Book Antiqua" w:hAnsi="Book Antiqua" w:cs="Book Antiqua"/>
          <w:color w:val="000000"/>
        </w:rPr>
        <w:t>. These results suggest that the ONKOTEV score could be of help to better stratify PC patients having the highest risk for VTE but deserve further confirmation in prospective cohorts of ambulatory PC patients.</w:t>
      </w:r>
    </w:p>
    <w:p w14:paraId="32A1CCD7" w14:textId="68C3F371"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t xml:space="preserve">Integration of relevant biomarkers into current RAMs might improve their ability to predict VTE. Faille </w:t>
      </w:r>
      <w:r w:rsidRPr="0037251D">
        <w:rPr>
          <w:rFonts w:ascii="Book Antiqua" w:eastAsia="Book Antiqua" w:hAnsi="Book Antiqua" w:cs="Book Antiqua"/>
          <w:i/>
          <w:iCs/>
          <w:color w:val="000000"/>
        </w:rPr>
        <w:t>et al</w:t>
      </w:r>
      <w:r w:rsidR="00A963F8" w:rsidRPr="0037251D">
        <w:rPr>
          <w:rFonts w:ascii="Book Antiqua" w:eastAsia="Book Antiqua" w:hAnsi="Book Antiqua" w:cs="Book Antiqua"/>
          <w:color w:val="000000"/>
          <w:szCs w:val="30"/>
          <w:vertAlign w:val="superscript"/>
        </w:rPr>
        <w:t>[38]</w:t>
      </w:r>
      <w:r w:rsidRPr="0037251D">
        <w:rPr>
          <w:rFonts w:ascii="Book Antiqua" w:eastAsia="Book Antiqua" w:hAnsi="Book Antiqua" w:cs="Book Antiqua"/>
          <w:color w:val="000000"/>
        </w:rPr>
        <w:t xml:space="preserve"> recently assessed the diagnosis performances of several biomarkers to predict VTE in a prospective cohort of 50 PC patients, including Factor </w:t>
      </w:r>
      <w:r w:rsidRPr="0037251D">
        <w:rPr>
          <w:rFonts w:ascii="Book Antiqua" w:eastAsia="Book Antiqua" w:hAnsi="Book Antiqua" w:cs="Book Antiqua"/>
          <w:color w:val="000000"/>
        </w:rPr>
        <w:lastRenderedPageBreak/>
        <w:t>VIII, D-dimers, von Willebrand factor, free tissue factor pathway inhibitor, micro-vesicle-tissue factor (MV-TF) activity and CA 19.9. In multivariate analysis, baseline D-dimers ≥ 2.16 μg/mL (HR 4.9; 95%CI</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1.0</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23.1), baseline MV-TF activity 2.37 pg/mL (HR 10.5; 95%CI</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1.5-72.4), and baseline CA 19.9 ≥ 2153 U/mL (HR 9.5; 95%CI</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1.5</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60.2) were significant</w:t>
      </w:r>
      <w:r w:rsidR="00557FDB" w:rsidRPr="0037251D">
        <w:rPr>
          <w:rFonts w:ascii="Book Antiqua" w:eastAsia="Book Antiqua" w:hAnsi="Book Antiqua" w:cs="Book Antiqua"/>
          <w:color w:val="000000"/>
        </w:rPr>
        <w:t>ly</w:t>
      </w:r>
      <w:r w:rsidRPr="0037251D">
        <w:rPr>
          <w:rFonts w:ascii="Book Antiqua" w:eastAsia="Book Antiqua" w:hAnsi="Book Antiqua" w:cs="Book Antiqua"/>
          <w:color w:val="000000"/>
        </w:rPr>
        <w:t xml:space="preserve"> associated with VTE after adjustment for age and sex, with the best sensitivity and specificity in predicting VTE obtained for CA 19-9</w:t>
      </w:r>
      <w:r w:rsidRPr="0037251D">
        <w:rPr>
          <w:rFonts w:ascii="Book Antiqua" w:eastAsia="Book Antiqua" w:hAnsi="Book Antiqua" w:cs="Book Antiqua"/>
          <w:color w:val="000000"/>
          <w:szCs w:val="30"/>
          <w:vertAlign w:val="superscript"/>
        </w:rPr>
        <w:t>[38]</w:t>
      </w:r>
      <w:r w:rsidRPr="0037251D">
        <w:rPr>
          <w:rFonts w:ascii="Book Antiqua" w:eastAsia="Book Antiqua" w:hAnsi="Book Antiqua" w:cs="Book Antiqua"/>
          <w:color w:val="000000"/>
        </w:rPr>
        <w:t>. However, these associations were no more significant after adjustment for the presence of metastasis, suggesting once again that the presence of a metastatic disease is the most important risk factor for VTE in PC patients.</w:t>
      </w:r>
    </w:p>
    <w:p w14:paraId="043C2585" w14:textId="62F0E01F"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t>The clinical-genetic Thrombo inCode-Oncology (TiC-Onco) score</w:t>
      </w:r>
      <w:r w:rsidR="00A963F8"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was developed in a prospective cohort of 391 ambulatory patients with various cancers initiating systemic chemotherapy, including 72 (18.5%) patients with PC</w:t>
      </w:r>
      <w:r w:rsidRPr="0037251D">
        <w:rPr>
          <w:rFonts w:ascii="Book Antiqua" w:eastAsia="Book Antiqua" w:hAnsi="Book Antiqua" w:cs="Book Antiqua"/>
          <w:color w:val="000000"/>
          <w:vertAlign w:val="superscript"/>
        </w:rPr>
        <w:t>[48]</w:t>
      </w:r>
      <w:r w:rsidRPr="0037251D">
        <w:rPr>
          <w:rFonts w:ascii="Book Antiqua" w:eastAsia="Book Antiqua" w:hAnsi="Book Antiqua" w:cs="Book Antiqua"/>
          <w:color w:val="000000"/>
        </w:rPr>
        <w:t>. Seventy-one out of 391 (18%) patients developed VTE within 6 mo. The prespecified variable selection process selected both clinical variables (tumor site, family history of VTE, BMI ≥ 25 kg/m</w:t>
      </w:r>
      <w:r w:rsidRPr="0037251D">
        <w:rPr>
          <w:rFonts w:ascii="Book Antiqua" w:eastAsia="Book Antiqua" w:hAnsi="Book Antiqua" w:cs="Book Antiqua"/>
          <w:color w:val="000000"/>
          <w:szCs w:val="30"/>
          <w:vertAlign w:val="superscript"/>
        </w:rPr>
        <w:t>2</w:t>
      </w:r>
      <w:r w:rsidRPr="0037251D">
        <w:rPr>
          <w:rFonts w:ascii="Book Antiqua" w:eastAsia="Book Antiqua" w:hAnsi="Book Antiqua" w:cs="Book Antiqua"/>
          <w:color w:val="000000"/>
        </w:rPr>
        <w:t xml:space="preserve">) and genetic variables (germline polymorphisms in the </w:t>
      </w:r>
      <w:r w:rsidRPr="0037251D">
        <w:rPr>
          <w:rFonts w:ascii="Book Antiqua" w:eastAsia="Book Antiqua" w:hAnsi="Book Antiqua" w:cs="Book Antiqua"/>
          <w:i/>
          <w:iCs/>
          <w:color w:val="000000"/>
        </w:rPr>
        <w:t>F5</w:t>
      </w:r>
      <w:r w:rsidRPr="0037251D">
        <w:rPr>
          <w:rFonts w:ascii="Book Antiqua" w:eastAsia="Book Antiqua" w:hAnsi="Book Antiqua" w:cs="Book Antiqua"/>
          <w:color w:val="000000"/>
        </w:rPr>
        <w:t xml:space="preserve">, </w:t>
      </w:r>
      <w:r w:rsidRPr="0037251D">
        <w:rPr>
          <w:rFonts w:ascii="Book Antiqua" w:eastAsia="Book Antiqua" w:hAnsi="Book Antiqua" w:cs="Book Antiqua"/>
          <w:i/>
          <w:iCs/>
          <w:color w:val="000000"/>
        </w:rPr>
        <w:t>F13</w:t>
      </w:r>
      <w:r w:rsidRPr="0037251D">
        <w:rPr>
          <w:rFonts w:ascii="Book Antiqua" w:eastAsia="Book Antiqua" w:hAnsi="Book Antiqua" w:cs="Book Antiqua"/>
          <w:color w:val="000000"/>
        </w:rPr>
        <w:t xml:space="preserve"> and </w:t>
      </w:r>
      <w:r w:rsidRPr="0037251D">
        <w:rPr>
          <w:rFonts w:ascii="Book Antiqua" w:eastAsia="Book Antiqua" w:hAnsi="Book Antiqua" w:cs="Book Antiqua"/>
          <w:i/>
          <w:iCs/>
          <w:color w:val="000000"/>
        </w:rPr>
        <w:t>SERPINA10</w:t>
      </w:r>
      <w:r w:rsidRPr="0037251D">
        <w:rPr>
          <w:rFonts w:ascii="Book Antiqua" w:eastAsia="Book Antiqua" w:hAnsi="Book Antiqua" w:cs="Book Antiqua"/>
          <w:color w:val="000000"/>
        </w:rPr>
        <w:t xml:space="preserve"> genes) for inclusion in the score. In the derivation cohort, the TiC-Onco score performed better than the Khorana score in predicting VTE at 6 mo (sensitivity 49</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22%, specificity 81</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82%, positive predictive value 37</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22%, and negative predictive value 88</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82%)</w:t>
      </w:r>
      <w:r w:rsidRPr="0037251D">
        <w:rPr>
          <w:rFonts w:ascii="Book Antiqua" w:eastAsia="Book Antiqua" w:hAnsi="Book Antiqua" w:cs="Book Antiqua"/>
          <w:color w:val="000000"/>
          <w:vertAlign w:val="superscript"/>
        </w:rPr>
        <w:t>[48]</w:t>
      </w:r>
      <w:r w:rsidRPr="0037251D">
        <w:rPr>
          <w:rFonts w:ascii="Book Antiqua" w:eastAsia="Book Antiqua" w:hAnsi="Book Antiqua" w:cs="Book Antiqua"/>
          <w:color w:val="000000"/>
        </w:rPr>
        <w:t>. Importantly, patients suffering from PC had higher rates of VTE (40%) than patients with other type of cancers (18%), suggesting that PC has a major impact on the accuracy of the TiC-Onco score. However, this model has not yet been externally validated in a cohort of PC patients.</w:t>
      </w:r>
    </w:p>
    <w:p w14:paraId="12780D23" w14:textId="1915BEEB"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t>The CATS/MICA score</w:t>
      </w:r>
      <w:r w:rsidRPr="0037251D">
        <w:rPr>
          <w:rFonts w:ascii="Book Antiqua" w:eastAsia="Book Antiqua" w:hAnsi="Book Antiqua" w:cs="Book Antiqua"/>
          <w:color w:val="000000"/>
          <w:vertAlign w:val="superscript"/>
        </w:rPr>
        <w:t>[49]</w:t>
      </w:r>
      <w:r w:rsidRPr="0037251D">
        <w:rPr>
          <w:rFonts w:ascii="Book Antiqua" w:eastAsia="Book Antiqua" w:hAnsi="Book Antiqua" w:cs="Book Antiqua"/>
          <w:color w:val="000000"/>
        </w:rPr>
        <w:t xml:space="preserve"> includes two variables, namely: tumour-site risk category (very high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high and high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low or intermediate) and continuous D-dimer levels. It was developed in the prospective Vienna Cancer and Thrombosis Study (CATS) cohort of 1423 ambulatory cancer patients undergoing chemotherapy, including 118 (8%) patients with PC</w:t>
      </w:r>
      <w:r w:rsidRPr="0037251D">
        <w:rPr>
          <w:rFonts w:ascii="Book Antiqua" w:eastAsia="Book Antiqua" w:hAnsi="Book Antiqua" w:cs="Book Antiqua"/>
          <w:color w:val="000000"/>
          <w:vertAlign w:val="superscript"/>
        </w:rPr>
        <w:t>[49]</w:t>
      </w:r>
      <w:r w:rsidRPr="0037251D">
        <w:rPr>
          <w:rFonts w:ascii="Book Antiqua" w:eastAsia="Book Antiqua" w:hAnsi="Book Antiqua" w:cs="Book Antiqua"/>
          <w:color w:val="000000"/>
        </w:rPr>
        <w:t>. During a median follow-up of 6 mo, 80 out of 1423 patients (6%) developed VTE. In the CATS cohort, the C-index of the model was 0.66 (95%CI</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0.63</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0.67) compared to 0.61 (95%CI</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0.51-0.70) for the Khorana score</w:t>
      </w:r>
      <w:r w:rsidRPr="0037251D">
        <w:rPr>
          <w:rFonts w:ascii="Book Antiqua" w:eastAsia="Book Antiqua" w:hAnsi="Book Antiqua" w:cs="Book Antiqua"/>
          <w:color w:val="000000"/>
          <w:vertAlign w:val="superscript"/>
        </w:rPr>
        <w:t>[49]</w:t>
      </w:r>
      <w:r w:rsidRPr="0037251D">
        <w:rPr>
          <w:rFonts w:ascii="Book Antiqua" w:eastAsia="Book Antiqua" w:hAnsi="Book Antiqua" w:cs="Book Antiqua"/>
          <w:color w:val="000000"/>
        </w:rPr>
        <w:t xml:space="preserve">. The score was then </w:t>
      </w:r>
      <w:r w:rsidRPr="0037251D">
        <w:rPr>
          <w:rFonts w:ascii="Book Antiqua" w:eastAsia="Book Antiqua" w:hAnsi="Book Antiqua" w:cs="Book Antiqua"/>
          <w:color w:val="000000"/>
        </w:rPr>
        <w:lastRenderedPageBreak/>
        <w:t>validated in the prospective Multinational Cohort Study to Identify Cancer Patients at High Risk of Venous Thromboembolism (MICA) cohort (</w:t>
      </w:r>
      <w:r w:rsidRPr="0037251D">
        <w:rPr>
          <w:rFonts w:ascii="Book Antiqua" w:eastAsia="Book Antiqua" w:hAnsi="Book Antiqua" w:cs="Book Antiqua"/>
          <w:i/>
          <w:iCs/>
          <w:color w:val="000000"/>
        </w:rPr>
        <w:t>n</w:t>
      </w:r>
      <w:r w:rsidRPr="0037251D">
        <w:rPr>
          <w:rFonts w:ascii="Book Antiqua" w:eastAsia="Book Antiqua" w:hAnsi="Book Antiqua" w:cs="Book Antiqua"/>
          <w:color w:val="000000"/>
        </w:rPr>
        <w:t xml:space="preserve"> = 832), including 116 (14%) patients with PC</w:t>
      </w:r>
      <w:r w:rsidRPr="0037251D">
        <w:rPr>
          <w:rFonts w:ascii="Book Antiqua" w:eastAsia="Book Antiqua" w:hAnsi="Book Antiqua" w:cs="Book Antiqua"/>
          <w:color w:val="000000"/>
          <w:vertAlign w:val="superscript"/>
        </w:rPr>
        <w:t>[49]</w:t>
      </w:r>
      <w:r w:rsidRPr="0037251D">
        <w:rPr>
          <w:rFonts w:ascii="Book Antiqua" w:eastAsia="Book Antiqua" w:hAnsi="Book Antiqua" w:cs="Book Antiqua"/>
          <w:color w:val="000000"/>
        </w:rPr>
        <w:t>. Using this RAM, all PC patients are classified at intermediate or high risk of VTE. Of note, the CATS/MICA score has not yet been externally validated in a cohort of PC patients.</w:t>
      </w:r>
    </w:p>
    <w:p w14:paraId="229CC12F" w14:textId="2C1673EF" w:rsidR="00A77B3E" w:rsidRPr="0037251D" w:rsidRDefault="008404AF" w:rsidP="00A963F8">
      <w:pPr>
        <w:spacing w:line="360" w:lineRule="auto"/>
        <w:ind w:firstLineChars="100" w:firstLine="240"/>
        <w:jc w:val="both"/>
      </w:pPr>
      <w:r w:rsidRPr="0037251D">
        <w:rPr>
          <w:rFonts w:ascii="Book Antiqua" w:eastAsia="Book Antiqua" w:hAnsi="Book Antiqua" w:cs="Book Antiqua"/>
          <w:color w:val="000000"/>
        </w:rPr>
        <w:t>Finally, machine learning methods are increasingly used for the development of prediction models. Two recent studies conducted in various cancer patients</w:t>
      </w:r>
      <w:r w:rsidRPr="0037251D">
        <w:rPr>
          <w:rFonts w:ascii="Book Antiqua" w:eastAsia="Book Antiqua" w:hAnsi="Book Antiqua" w:cs="Book Antiqua"/>
          <w:color w:val="000000"/>
          <w:vertAlign w:val="superscript"/>
        </w:rPr>
        <w:t>[50]</w:t>
      </w:r>
      <w:r w:rsidRPr="0037251D">
        <w:rPr>
          <w:rFonts w:ascii="Book Antiqua" w:eastAsia="Book Antiqua" w:hAnsi="Book Antiqua" w:cs="Book Antiqua"/>
          <w:color w:val="000000"/>
        </w:rPr>
        <w:t xml:space="preserve"> or in ovarian cancer patients</w:t>
      </w:r>
      <w:r w:rsidRPr="0037251D">
        <w:rPr>
          <w:rFonts w:ascii="Book Antiqua" w:eastAsia="Book Antiqua" w:hAnsi="Book Antiqua" w:cs="Book Antiqua"/>
          <w:color w:val="000000"/>
          <w:vertAlign w:val="superscript"/>
        </w:rPr>
        <w:t>[51]</w:t>
      </w:r>
      <w:r w:rsidRPr="0037251D">
        <w:rPr>
          <w:rFonts w:ascii="Book Antiqua" w:eastAsia="Book Antiqua" w:hAnsi="Book Antiqua" w:cs="Book Antiqua"/>
          <w:color w:val="000000"/>
        </w:rPr>
        <w:t xml:space="preserve"> have demonstrated that such models could improve the prediction of VTE compared to conventional methods.</w:t>
      </w:r>
    </w:p>
    <w:p w14:paraId="72ABF283" w14:textId="77777777" w:rsidR="00A77B3E" w:rsidRPr="0037251D" w:rsidRDefault="00A77B3E">
      <w:pPr>
        <w:spacing w:line="360" w:lineRule="auto"/>
        <w:jc w:val="both"/>
      </w:pPr>
    </w:p>
    <w:p w14:paraId="49838A42" w14:textId="03630807" w:rsidR="00A77B3E" w:rsidRPr="0037251D" w:rsidRDefault="008404AF">
      <w:pPr>
        <w:spacing w:line="360" w:lineRule="auto"/>
        <w:jc w:val="both"/>
      </w:pPr>
      <w:r w:rsidRPr="0037251D">
        <w:rPr>
          <w:rFonts w:ascii="Book Antiqua" w:eastAsia="Book Antiqua" w:hAnsi="Book Antiqua" w:cs="Book Antiqua"/>
          <w:b/>
          <w:bCs/>
          <w:caps/>
          <w:color w:val="000000"/>
          <w:u w:val="single"/>
        </w:rPr>
        <w:t xml:space="preserve">WHEN SHOULD WE CONSIDER PRIMARY PROPHYLAXIS IN </w:t>
      </w:r>
      <w:r w:rsidR="001C0DD7" w:rsidRPr="0037251D">
        <w:rPr>
          <w:rFonts w:ascii="Book Antiqua" w:eastAsia="Book Antiqua" w:hAnsi="Book Antiqua" w:cs="Book Antiqua"/>
          <w:b/>
          <w:bCs/>
          <w:caps/>
          <w:color w:val="000000"/>
          <w:u w:val="single"/>
        </w:rPr>
        <w:t>PC</w:t>
      </w:r>
      <w:r w:rsidRPr="0037251D">
        <w:rPr>
          <w:rFonts w:ascii="Book Antiqua" w:eastAsia="Book Antiqua" w:hAnsi="Book Antiqua" w:cs="Book Antiqua"/>
          <w:b/>
          <w:bCs/>
          <w:caps/>
          <w:color w:val="000000"/>
          <w:u w:val="single"/>
        </w:rPr>
        <w:t xml:space="preserve"> PATIENTS?</w:t>
      </w:r>
    </w:p>
    <w:p w14:paraId="565BCF2E" w14:textId="7E2598C7" w:rsidR="00A77B3E" w:rsidRPr="0037251D" w:rsidRDefault="008404AF">
      <w:pPr>
        <w:spacing w:line="360" w:lineRule="auto"/>
        <w:jc w:val="both"/>
      </w:pPr>
      <w:r w:rsidRPr="0037251D">
        <w:rPr>
          <w:rFonts w:ascii="Book Antiqua" w:eastAsia="Book Antiqua" w:hAnsi="Book Antiqua" w:cs="Book Antiqua"/>
          <w:b/>
          <w:bCs/>
          <w:i/>
          <w:iCs/>
          <w:color w:val="000000"/>
        </w:rPr>
        <w:t>Surgical PC patients</w:t>
      </w:r>
    </w:p>
    <w:p w14:paraId="1B28034F" w14:textId="774449E2" w:rsidR="00A77B3E" w:rsidRPr="0037251D" w:rsidRDefault="008404AF">
      <w:pPr>
        <w:spacing w:line="360" w:lineRule="auto"/>
        <w:jc w:val="both"/>
        <w:rPr>
          <w:rFonts w:ascii="Book Antiqua" w:eastAsia="Book Antiqua" w:hAnsi="Book Antiqua" w:cs="Book Antiqua"/>
          <w:color w:val="000000"/>
        </w:rPr>
      </w:pPr>
      <w:r w:rsidRPr="0037251D">
        <w:rPr>
          <w:rFonts w:ascii="Book Antiqua" w:eastAsia="Book Antiqua" w:hAnsi="Book Antiqua" w:cs="Book Antiqua"/>
          <w:color w:val="000000"/>
        </w:rPr>
        <w:t>Prolonged thromboprophylaxis following major abdominal surgery has been shown to decrease the rate of VTE by approximately 50%</w:t>
      </w:r>
      <w:r w:rsidRPr="0037251D">
        <w:rPr>
          <w:rFonts w:ascii="Book Antiqua" w:eastAsia="Book Antiqua" w:hAnsi="Book Antiqua" w:cs="Book Antiqua"/>
          <w:color w:val="000000"/>
          <w:szCs w:val="30"/>
          <w:vertAlign w:val="superscript"/>
        </w:rPr>
        <w:t>[52]</w:t>
      </w:r>
      <w:r w:rsidRPr="0037251D">
        <w:rPr>
          <w:rFonts w:ascii="Book Antiqua" w:eastAsia="Book Antiqua" w:hAnsi="Book Antiqua" w:cs="Book Antiqua"/>
          <w:color w:val="000000"/>
        </w:rPr>
        <w:t>. Accordingly, all current CPGs recommend using thromboprophylaxis in surgical PC patients</w:t>
      </w:r>
      <w:r w:rsidRPr="0037251D">
        <w:rPr>
          <w:rFonts w:ascii="Book Antiqua" w:eastAsia="Book Antiqua" w:hAnsi="Book Antiqua" w:cs="Book Antiqua"/>
          <w:color w:val="000000"/>
          <w:vertAlign w:val="superscript"/>
        </w:rPr>
        <w:t>[8,11]</w:t>
      </w:r>
      <w:r w:rsidRPr="0037251D">
        <w:rPr>
          <w:rFonts w:ascii="Book Antiqua" w:eastAsia="Book Antiqua" w:hAnsi="Book Antiqua" w:cs="Book Antiqua"/>
          <w:color w:val="000000"/>
        </w:rPr>
        <w:t xml:space="preserve">. In those undergoing laparotomy or laparoscopic surgery without contraindications to LMWH, the highest LMWH prophylactic dose should be used for an extended duration of 4 wk </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Grade 1A</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 xml:space="preserve">. External compression devices alone should be used only in patients with contraindications to anticoagulants </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Grade 2B</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 xml:space="preserve">. Inferior vena cava filters should not be used systematically in this setting </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rPr>
        <w:t>Grade 1A</w:t>
      </w:r>
      <w:r w:rsidR="00A963F8" w:rsidRPr="0037251D">
        <w:rPr>
          <w:rFonts w:ascii="Book Antiqua" w:eastAsia="Book Antiqua" w:hAnsi="Book Antiqua" w:cs="Book Antiqua"/>
          <w:color w:val="000000"/>
        </w:rPr>
        <w:t>)</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 The risks of VTE should be balanced by the competing risk of bleeding. Numerous factors such as advanced or metastatic disease, older age, anemia, thrombocytopenia, renal impairment, liver dysfunction, and concomitant anticancer therapies may potentiate the overall bleeding risk and should be taken into account. The careful evaluation of each individual profile is warranted for overcoming management challenges.</w:t>
      </w:r>
    </w:p>
    <w:p w14:paraId="11D35718" w14:textId="77777777" w:rsidR="0040107B" w:rsidRPr="0037251D" w:rsidRDefault="0040107B">
      <w:pPr>
        <w:spacing w:line="360" w:lineRule="auto"/>
        <w:jc w:val="both"/>
      </w:pPr>
    </w:p>
    <w:p w14:paraId="6913C13E" w14:textId="73C0EE16" w:rsidR="00A77B3E" w:rsidRPr="0037251D" w:rsidRDefault="008404AF">
      <w:pPr>
        <w:spacing w:line="360" w:lineRule="auto"/>
        <w:jc w:val="both"/>
      </w:pPr>
      <w:r w:rsidRPr="0037251D">
        <w:rPr>
          <w:rFonts w:ascii="Book Antiqua" w:eastAsia="Book Antiqua" w:hAnsi="Book Antiqua" w:cs="Book Antiqua"/>
          <w:b/>
          <w:bCs/>
          <w:i/>
          <w:iCs/>
          <w:color w:val="000000"/>
        </w:rPr>
        <w:t>Hospitalized PC patients</w:t>
      </w:r>
    </w:p>
    <w:p w14:paraId="35E955AB" w14:textId="57C6461F" w:rsidR="00A77B3E" w:rsidRPr="0037251D" w:rsidRDefault="008404AF">
      <w:pPr>
        <w:spacing w:line="360" w:lineRule="auto"/>
        <w:jc w:val="both"/>
        <w:rPr>
          <w:rFonts w:ascii="Book Antiqua" w:eastAsia="Book Antiqua" w:hAnsi="Book Antiqua" w:cs="Book Antiqua"/>
          <w:color w:val="000000"/>
        </w:rPr>
      </w:pPr>
      <w:r w:rsidRPr="0037251D">
        <w:rPr>
          <w:rFonts w:ascii="Book Antiqua" w:eastAsia="Book Antiqua" w:hAnsi="Book Antiqua" w:cs="Book Antiqua"/>
          <w:color w:val="000000"/>
        </w:rPr>
        <w:t xml:space="preserve">Acute medical illness and bed rest constitute transient factors increasing the risk of VTE in hospitalized cancer patients. Although there is no large RCT specifically </w:t>
      </w:r>
      <w:r w:rsidRPr="0037251D">
        <w:rPr>
          <w:rFonts w:ascii="Book Antiqua" w:eastAsia="Book Antiqua" w:hAnsi="Book Antiqua" w:cs="Book Antiqua"/>
          <w:color w:val="000000"/>
        </w:rPr>
        <w:lastRenderedPageBreak/>
        <w:t>demonstrating the benefit of thromboprophylaxis in cancer inpatients, RCTs conducted in non-cancer inpatients have demonstrated that LMWH improves survival and reduces VTE in general medical patients hospitalized with acute medical conditions, and recommendations for cancer patients have been extrapolated from these RCTs. The ITAC CPGs</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 xml:space="preserve"> recommend using LMWH at prophylactic doses or unfractionated heparin (UFH) or Fondaparinux in PC inpatients without contraindications to anticoagulants </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rPr>
        <w:t>Grade 1B</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 xml:space="preserve">. Due to the lack of data on the efficacy and safety of DOAC in this setting, they should not be used </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rPr>
        <w:t>Best clinical practice</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w:t>
      </w:r>
    </w:p>
    <w:p w14:paraId="6C7CF8CA" w14:textId="77777777" w:rsidR="0040107B" w:rsidRPr="0037251D" w:rsidRDefault="0040107B">
      <w:pPr>
        <w:spacing w:line="360" w:lineRule="auto"/>
        <w:jc w:val="both"/>
      </w:pPr>
    </w:p>
    <w:p w14:paraId="53885B69" w14:textId="77777777" w:rsidR="00A77B3E" w:rsidRPr="0037251D" w:rsidRDefault="008404AF">
      <w:pPr>
        <w:spacing w:line="360" w:lineRule="auto"/>
        <w:jc w:val="both"/>
      </w:pPr>
      <w:r w:rsidRPr="0037251D">
        <w:rPr>
          <w:rFonts w:ascii="Book Antiqua" w:eastAsia="Book Antiqua" w:hAnsi="Book Antiqua" w:cs="Book Antiqua"/>
          <w:b/>
          <w:bCs/>
          <w:i/>
          <w:iCs/>
          <w:color w:val="000000"/>
        </w:rPr>
        <w:t>Ambulatory PC patients</w:t>
      </w:r>
    </w:p>
    <w:p w14:paraId="3127A044" w14:textId="11613BF2" w:rsidR="00A77B3E" w:rsidRPr="0037251D" w:rsidRDefault="008404AF">
      <w:pPr>
        <w:spacing w:line="360" w:lineRule="auto"/>
        <w:jc w:val="both"/>
      </w:pPr>
      <w:r w:rsidRPr="0037251D">
        <w:rPr>
          <w:rFonts w:ascii="Book Antiqua" w:eastAsia="Book Antiqua" w:hAnsi="Book Antiqua" w:cs="Book Antiqua"/>
          <w:color w:val="000000"/>
        </w:rPr>
        <w:t>Most cancer patients develop VTE in the outpatient setting</w:t>
      </w:r>
      <w:r w:rsidRPr="0037251D">
        <w:rPr>
          <w:rFonts w:ascii="Book Antiqua" w:eastAsia="Book Antiqua" w:hAnsi="Book Antiqua" w:cs="Book Antiqua"/>
          <w:color w:val="000000"/>
          <w:vertAlign w:val="superscript"/>
        </w:rPr>
        <w:t>[53]</w:t>
      </w:r>
      <w:r w:rsidRPr="0037251D">
        <w:rPr>
          <w:rFonts w:ascii="Book Antiqua" w:eastAsia="Book Antiqua" w:hAnsi="Book Antiqua" w:cs="Book Antiqua"/>
          <w:color w:val="000000"/>
        </w:rPr>
        <w:t>. The net clinical benefit of primary thromboprophylaxis in advanced PC patients has been firmly established in two pivotal RCTs</w:t>
      </w:r>
      <w:r w:rsidRPr="0037251D">
        <w:rPr>
          <w:rFonts w:ascii="Book Antiqua" w:eastAsia="Book Antiqua" w:hAnsi="Book Antiqua" w:cs="Book Antiqua"/>
          <w:color w:val="000000"/>
          <w:vertAlign w:val="superscript"/>
        </w:rPr>
        <w:t>[54,55]</w:t>
      </w:r>
      <w:r w:rsidRPr="0037251D">
        <w:rPr>
          <w:rFonts w:ascii="Book Antiqua" w:eastAsia="Book Antiqua" w:hAnsi="Book Antiqua" w:cs="Book Antiqua"/>
          <w:color w:val="000000"/>
        </w:rPr>
        <w:t xml:space="preserve"> which specifically addressed the efficacy and safety of LMWH in this setting</w:t>
      </w:r>
      <w:r w:rsidRPr="0037251D">
        <w:rPr>
          <w:rFonts w:ascii="Book Antiqua" w:eastAsia="Book Antiqua" w:hAnsi="Book Antiqua" w:cs="Book Antiqua"/>
          <w:b/>
          <w:bCs/>
          <w:color w:val="000000"/>
        </w:rPr>
        <w:t xml:space="preserve"> </w:t>
      </w:r>
      <w:r w:rsidRPr="0037251D">
        <w:rPr>
          <w:rFonts w:ascii="Book Antiqua" w:eastAsia="Book Antiqua" w:hAnsi="Book Antiqua" w:cs="Book Antiqua"/>
          <w:color w:val="000000"/>
        </w:rPr>
        <w:t>(Table 2). Based on the results of these two trials, the ITAC CPGs recommend using primary thromboprophylaxis with LMWH in ambulatory advanced PC patients receiving chemotherapy with a Grade 1B evidence level since 2013</w:t>
      </w:r>
      <w:r w:rsidRPr="0037251D">
        <w:rPr>
          <w:rFonts w:ascii="Book Antiqua" w:eastAsia="Book Antiqua" w:hAnsi="Book Antiqua" w:cs="Book Antiqua"/>
          <w:color w:val="000000"/>
          <w:vertAlign w:val="superscript"/>
        </w:rPr>
        <w:t>[8,56,57]</w:t>
      </w:r>
      <w:r w:rsidRPr="0037251D">
        <w:rPr>
          <w:rFonts w:ascii="Book Antiqua" w:eastAsia="Book Antiqua" w:hAnsi="Book Antiqua" w:cs="Book Antiqua"/>
          <w:color w:val="000000"/>
        </w:rPr>
        <w:t>.</w:t>
      </w:r>
    </w:p>
    <w:p w14:paraId="583C115D" w14:textId="746A5231" w:rsidR="00A77B3E" w:rsidRPr="0037251D" w:rsidRDefault="008404AF" w:rsidP="0040107B">
      <w:pPr>
        <w:spacing w:line="360" w:lineRule="auto"/>
        <w:ind w:firstLineChars="100" w:firstLine="240"/>
        <w:jc w:val="both"/>
      </w:pPr>
      <w:r w:rsidRPr="0037251D">
        <w:rPr>
          <w:rFonts w:ascii="Book Antiqua" w:eastAsia="Book Antiqua" w:hAnsi="Book Antiqua" w:cs="Book Antiqua"/>
          <w:color w:val="000000"/>
        </w:rPr>
        <w:t>The FRAGEM trial randomized 123 advanced PC patients to receive gemcitabine plus weight-adjusted therapeutic doses of dalteparin for 12 wk or gemcitabine alone</w:t>
      </w:r>
      <w:r w:rsidRPr="0037251D">
        <w:rPr>
          <w:rFonts w:ascii="Book Antiqua" w:eastAsia="Book Antiqua" w:hAnsi="Book Antiqua" w:cs="Book Antiqua"/>
          <w:color w:val="000000"/>
          <w:szCs w:val="30"/>
          <w:vertAlign w:val="superscript"/>
        </w:rPr>
        <w:t>[54]</w:t>
      </w:r>
      <w:r w:rsidRPr="0037251D">
        <w:rPr>
          <w:rFonts w:ascii="Book Antiqua" w:eastAsia="Book Antiqua" w:hAnsi="Book Antiqua" w:cs="Book Antiqua"/>
          <w:color w:val="000000"/>
        </w:rPr>
        <w:t xml:space="preserve">. The coprimary endpoints were the rate of symptomatic or incidentally diagnosed VTE events during the 12-wk anticoagulation period and the rate of symptomatic or incidentally diagnosed VTE events during the overall follow-up period. The rate of VTE was significantly lower in the dalteparin arm (3.4%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23% in the control arm, risk ratio 0.145, 95%CI</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0.035-0.612, </w:t>
      </w:r>
      <w:r w:rsidRPr="0037251D">
        <w:rPr>
          <w:rFonts w:ascii="Book Antiqua" w:eastAsia="Book Antiqua" w:hAnsi="Book Antiqua" w:cs="Book Antiqua"/>
          <w:i/>
          <w:iCs/>
          <w:color w:val="000000"/>
        </w:rPr>
        <w:t>P</w:t>
      </w:r>
      <w:r w:rsidRPr="0037251D">
        <w:rPr>
          <w:rFonts w:ascii="Book Antiqua" w:eastAsia="Book Antiqua" w:hAnsi="Book Antiqua" w:cs="Book Antiqua"/>
          <w:color w:val="000000"/>
        </w:rPr>
        <w:t xml:space="preserve"> = 0.002), resulting in a NNT of 6 patients to prevent 1 VTE event. No VTE-related deaths occurred in the dalteparin arm compared to 5 (8.3%) VTE-related deaths in the control arm. The rates of major bleeding did not differ between the 2 arms and were lower than 3%, with only 2 patients experiencing a major bleeding requiring anticoagulation discontinuation. Of note, patients in the dalteparin arm experienced more minor bleeding such as skin bruising or epistaxis (9%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3% in the gemcitabine alone arm)</w:t>
      </w:r>
      <w:r w:rsidRPr="0037251D">
        <w:rPr>
          <w:rFonts w:ascii="Book Antiqua" w:eastAsia="Book Antiqua" w:hAnsi="Book Antiqua" w:cs="Book Antiqua"/>
          <w:color w:val="000000"/>
          <w:szCs w:val="30"/>
          <w:vertAlign w:val="superscript"/>
        </w:rPr>
        <w:t>[54]</w:t>
      </w:r>
      <w:r w:rsidRPr="0037251D">
        <w:rPr>
          <w:rFonts w:ascii="Book Antiqua" w:eastAsia="Book Antiqua" w:hAnsi="Book Antiqua" w:cs="Book Antiqua"/>
          <w:color w:val="000000"/>
        </w:rPr>
        <w:t>. There was no difference in P</w:t>
      </w:r>
      <w:r w:rsidR="0040107B" w:rsidRPr="0037251D">
        <w:rPr>
          <w:rFonts w:ascii="Book Antiqua" w:eastAsia="Book Antiqua" w:hAnsi="Book Antiqua" w:cs="Book Antiqua"/>
          <w:color w:val="000000"/>
        </w:rPr>
        <w:t>F</w:t>
      </w:r>
      <w:r w:rsidRPr="0037251D">
        <w:rPr>
          <w:rFonts w:ascii="Book Antiqua" w:eastAsia="Book Antiqua" w:hAnsi="Book Antiqua" w:cs="Book Antiqua"/>
          <w:color w:val="000000"/>
        </w:rPr>
        <w:t>S or OS between the two arms.</w:t>
      </w:r>
    </w:p>
    <w:p w14:paraId="137313A0" w14:textId="524859AC" w:rsidR="00A77B3E" w:rsidRPr="0037251D" w:rsidRDefault="008404AF" w:rsidP="0040107B">
      <w:pPr>
        <w:spacing w:line="360" w:lineRule="auto"/>
        <w:ind w:firstLineChars="100" w:firstLine="240"/>
        <w:jc w:val="both"/>
      </w:pPr>
      <w:r w:rsidRPr="0037251D">
        <w:rPr>
          <w:rFonts w:ascii="Book Antiqua" w:eastAsia="Book Antiqua" w:hAnsi="Book Antiqua" w:cs="Book Antiqua"/>
          <w:color w:val="000000"/>
        </w:rPr>
        <w:lastRenderedPageBreak/>
        <w:t>The PROSPECT-CONKO 004 trial randomized 312 advanced PC patients to receive supra-prophylactic doses of enoxaparin</w:t>
      </w:r>
      <w:r w:rsidR="0040107B"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during the first 3 mo of chemotherapy or chemotherapy alone</w:t>
      </w:r>
      <w:r w:rsidRPr="0037251D">
        <w:rPr>
          <w:rFonts w:ascii="Book Antiqua" w:eastAsia="Book Antiqua" w:hAnsi="Book Antiqua" w:cs="Book Antiqua"/>
          <w:color w:val="000000"/>
          <w:szCs w:val="30"/>
          <w:vertAlign w:val="superscript"/>
        </w:rPr>
        <w:t>[55]</w:t>
      </w:r>
      <w:r w:rsidRPr="0037251D">
        <w:rPr>
          <w:rFonts w:ascii="Book Antiqua" w:eastAsia="Book Antiqua" w:hAnsi="Book Antiqua" w:cs="Book Antiqua"/>
          <w:color w:val="000000"/>
        </w:rPr>
        <w:t>. Unlike in FRAGEM, incidental VTE events were excluded from the analysis. The cumulative incidence rate of symptomatic VTE within the first 3 mo was 1.3% in the enoxaparin arm compared to 10.2% in the control arm (HR 0.12, 95%CI</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0.03-0.52), resulting in a NNT of 11 patients to prevent 1 VTE event.</w:t>
      </w:r>
      <w:r w:rsidR="0040107B"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The rates of major bleeding events were similar in both arms. PFS and OS did not differ between the 2 arms</w:t>
      </w:r>
      <w:r w:rsidRPr="0037251D">
        <w:rPr>
          <w:rFonts w:ascii="Book Antiqua" w:eastAsia="Book Antiqua" w:hAnsi="Book Antiqua" w:cs="Book Antiqua"/>
          <w:color w:val="000000"/>
          <w:szCs w:val="30"/>
          <w:vertAlign w:val="superscript"/>
        </w:rPr>
        <w:t>[55]</w:t>
      </w:r>
      <w:r w:rsidRPr="0037251D">
        <w:rPr>
          <w:rFonts w:ascii="Book Antiqua" w:eastAsia="Book Antiqua" w:hAnsi="Book Antiqua" w:cs="Book Antiqua"/>
          <w:color w:val="000000"/>
        </w:rPr>
        <w:t>.</w:t>
      </w:r>
    </w:p>
    <w:p w14:paraId="40C497BF" w14:textId="59566D6D" w:rsidR="00A77B3E" w:rsidRPr="0037251D" w:rsidRDefault="008404AF" w:rsidP="0040107B">
      <w:pPr>
        <w:spacing w:line="360" w:lineRule="auto"/>
        <w:ind w:firstLineChars="100" w:firstLine="240"/>
        <w:jc w:val="both"/>
      </w:pPr>
      <w:r w:rsidRPr="0037251D">
        <w:rPr>
          <w:rFonts w:ascii="Book Antiqua" w:eastAsia="Book Antiqua" w:hAnsi="Book Antiqua" w:cs="Book Antiqua"/>
          <w:color w:val="000000"/>
        </w:rPr>
        <w:t>Two additional phase III double-blinded placebo-controlled trials (the PROTECHT</w:t>
      </w:r>
      <w:r w:rsidRPr="0037251D">
        <w:rPr>
          <w:rFonts w:ascii="Book Antiqua" w:eastAsia="Book Antiqua" w:hAnsi="Book Antiqua" w:cs="Book Antiqua"/>
          <w:color w:val="000000"/>
          <w:szCs w:val="30"/>
          <w:vertAlign w:val="superscript"/>
        </w:rPr>
        <w:t>[58]</w:t>
      </w:r>
      <w:r w:rsidRPr="0037251D">
        <w:rPr>
          <w:rFonts w:ascii="Book Antiqua" w:eastAsia="Book Antiqua" w:hAnsi="Book Antiqua" w:cs="Book Antiqua"/>
          <w:color w:val="000000"/>
        </w:rPr>
        <w:t xml:space="preserve"> and the SAVE-ONCO studies</w:t>
      </w:r>
      <w:r w:rsidRPr="0037251D">
        <w:rPr>
          <w:rFonts w:ascii="Book Antiqua" w:eastAsia="Book Antiqua" w:hAnsi="Book Antiqua" w:cs="Book Antiqua"/>
          <w:color w:val="000000"/>
          <w:szCs w:val="30"/>
          <w:vertAlign w:val="superscript"/>
        </w:rPr>
        <w:t>[59]</w:t>
      </w:r>
      <w:r w:rsidRPr="0037251D">
        <w:rPr>
          <w:rFonts w:ascii="Book Antiqua" w:eastAsia="Book Antiqua" w:hAnsi="Book Antiqua" w:cs="Book Antiqua"/>
          <w:color w:val="000000"/>
        </w:rPr>
        <w:t>) evaluated the efficacy and safety of primary thromboprophylaxis with prophylactic doses of other LMWH in ambulatory cancer patients receiving chemotherapy. In the PROTECHT study (</w:t>
      </w:r>
      <w:r w:rsidRPr="0037251D">
        <w:rPr>
          <w:rFonts w:ascii="Book Antiqua" w:eastAsia="Book Antiqua" w:hAnsi="Book Antiqua" w:cs="Book Antiqua"/>
          <w:i/>
          <w:iCs/>
          <w:color w:val="000000"/>
        </w:rPr>
        <w:t>n</w:t>
      </w:r>
      <w:r w:rsidRPr="0037251D">
        <w:rPr>
          <w:rFonts w:ascii="Book Antiqua" w:eastAsia="Book Antiqua" w:hAnsi="Book Antiqua" w:cs="Book Antiqua"/>
          <w:color w:val="000000"/>
        </w:rPr>
        <w:t xml:space="preserve"> = 1150)</w:t>
      </w:r>
      <w:r w:rsidRPr="0037251D">
        <w:rPr>
          <w:rFonts w:ascii="Book Antiqua" w:eastAsia="Book Antiqua" w:hAnsi="Book Antiqua" w:cs="Book Antiqua"/>
          <w:color w:val="000000"/>
          <w:szCs w:val="30"/>
          <w:vertAlign w:val="superscript"/>
        </w:rPr>
        <w:t>[58]</w:t>
      </w:r>
      <w:r w:rsidRPr="0037251D">
        <w:rPr>
          <w:rFonts w:ascii="Book Antiqua" w:eastAsia="Book Antiqua" w:hAnsi="Book Antiqua" w:cs="Book Antiqua"/>
          <w:color w:val="000000"/>
        </w:rPr>
        <w:t>, while nadroparin reduced the rate of VTE from 3.9% to 2.0% (</w:t>
      </w:r>
      <w:r w:rsidRPr="0037251D">
        <w:rPr>
          <w:rFonts w:ascii="Book Antiqua" w:eastAsia="Book Antiqua" w:hAnsi="Book Antiqua" w:cs="Book Antiqua"/>
          <w:i/>
          <w:iCs/>
          <w:color w:val="000000"/>
        </w:rPr>
        <w:t>P</w:t>
      </w:r>
      <w:r w:rsidRPr="0037251D">
        <w:rPr>
          <w:rFonts w:ascii="Book Antiqua" w:eastAsia="Book Antiqua" w:hAnsi="Book Antiqua" w:cs="Book Antiqua"/>
          <w:color w:val="000000"/>
        </w:rPr>
        <w:t xml:space="preserve"> = 0.02) without difference in major bleeding in the overall population, the rates of VTE did not differ between the two arms in the subgroup of 53 PC patients (</w:t>
      </w:r>
      <w:r w:rsidRPr="0037251D">
        <w:rPr>
          <w:rFonts w:ascii="Book Antiqua" w:eastAsia="Book Antiqua" w:hAnsi="Book Antiqua" w:cs="Book Antiqua"/>
          <w:i/>
          <w:iCs/>
          <w:color w:val="000000"/>
        </w:rPr>
        <w:t>P</w:t>
      </w:r>
      <w:r w:rsidRPr="0037251D">
        <w:rPr>
          <w:rFonts w:ascii="Book Antiqua" w:eastAsia="Book Antiqua" w:hAnsi="Book Antiqua" w:cs="Book Antiqua"/>
          <w:color w:val="000000"/>
        </w:rPr>
        <w:t xml:space="preserve"> = 0.755). In the SAVE-ONCO study (</w:t>
      </w:r>
      <w:r w:rsidRPr="0037251D">
        <w:rPr>
          <w:rFonts w:ascii="Book Antiqua" w:eastAsia="Book Antiqua" w:hAnsi="Book Antiqua" w:cs="Book Antiqua"/>
          <w:i/>
          <w:iCs/>
          <w:color w:val="000000"/>
        </w:rPr>
        <w:t>n</w:t>
      </w:r>
      <w:r w:rsidRPr="0037251D">
        <w:rPr>
          <w:rFonts w:ascii="Book Antiqua" w:eastAsia="Book Antiqua" w:hAnsi="Book Antiqua" w:cs="Book Antiqua"/>
          <w:color w:val="000000"/>
        </w:rPr>
        <w:t xml:space="preserve"> = 3221)</w:t>
      </w:r>
      <w:r w:rsidRPr="0037251D">
        <w:rPr>
          <w:rFonts w:ascii="Book Antiqua" w:eastAsia="Book Antiqua" w:hAnsi="Book Antiqua" w:cs="Book Antiqua"/>
          <w:color w:val="000000"/>
          <w:szCs w:val="30"/>
          <w:vertAlign w:val="superscript"/>
        </w:rPr>
        <w:t>[59]</w:t>
      </w:r>
      <w:r w:rsidR="0040107B" w:rsidRPr="0037251D">
        <w:rPr>
          <w:rFonts w:ascii="Book Antiqua" w:eastAsia="Book Antiqua" w:hAnsi="Book Antiqua" w:cs="Book Antiqua"/>
          <w:color w:val="000000"/>
          <w:szCs w:val="30"/>
        </w:rPr>
        <w:t xml:space="preserve"> </w:t>
      </w:r>
      <w:r w:rsidRPr="0037251D">
        <w:rPr>
          <w:rFonts w:ascii="Book Antiqua" w:eastAsia="Book Antiqua" w:hAnsi="Book Antiqua" w:cs="Book Antiqua"/>
          <w:color w:val="000000"/>
        </w:rPr>
        <w:t>the rate of VTE was 1.2% in the semuloparin arm compared to 3.4% in the placebo arm</w:t>
      </w:r>
      <w:r w:rsidR="0040107B"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(HR 0.36, 95%CI</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0.21-0.60; </w:t>
      </w:r>
      <w:r w:rsidR="0040107B" w:rsidRPr="0037251D">
        <w:rPr>
          <w:rFonts w:ascii="Book Antiqua" w:eastAsia="Book Antiqua" w:hAnsi="Book Antiqua" w:cs="Book Antiqua"/>
          <w:i/>
          <w:iCs/>
          <w:color w:val="000000"/>
        </w:rPr>
        <w:t xml:space="preserve">P </w:t>
      </w:r>
      <w:r w:rsidRPr="0037251D">
        <w:rPr>
          <w:rFonts w:ascii="Book Antiqua" w:eastAsia="Book Antiqua" w:hAnsi="Book Antiqua" w:cs="Book Antiqua"/>
          <w:color w:val="000000"/>
        </w:rPr>
        <w:t>&lt;</w:t>
      </w:r>
      <w:r w:rsidR="0040107B" w:rsidRPr="0037251D">
        <w:rPr>
          <w:rFonts w:ascii="Book Antiqua" w:eastAsia="Book Antiqua" w:hAnsi="Book Antiqua" w:cs="Book Antiqua"/>
          <w:color w:val="000000"/>
        </w:rPr>
        <w:t xml:space="preserve"> 0</w:t>
      </w:r>
      <w:r w:rsidRPr="0037251D">
        <w:rPr>
          <w:rFonts w:ascii="Book Antiqua" w:eastAsia="Book Antiqua" w:hAnsi="Book Antiqua" w:cs="Book Antiqua"/>
          <w:color w:val="000000"/>
        </w:rPr>
        <w:t>.001) in the overall population, without difference in major bleeding (HR 1.05, 95%CI</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0.55-1.99). The absolute VTE risk reduction with semuloparin appeared to be much higher in the subgroup of 254 PC patients. The magnitude of the VTE risk reduction was similar to that obtained with therapeutic doses of dalteparin in the FRAGEM study</w:t>
      </w:r>
      <w:r w:rsidRPr="0037251D">
        <w:rPr>
          <w:rFonts w:ascii="Book Antiqua" w:eastAsia="Book Antiqua" w:hAnsi="Book Antiqua" w:cs="Book Antiqua"/>
          <w:color w:val="000000"/>
          <w:szCs w:val="30"/>
          <w:vertAlign w:val="superscript"/>
        </w:rPr>
        <w:t>[54]</w:t>
      </w:r>
      <w:r w:rsidR="0040107B" w:rsidRPr="0037251D">
        <w:rPr>
          <w:rFonts w:ascii="Book Antiqua" w:eastAsia="Book Antiqua" w:hAnsi="Book Antiqua" w:cs="Book Antiqua"/>
          <w:color w:val="000000"/>
          <w:szCs w:val="30"/>
        </w:rPr>
        <w:t xml:space="preserve"> </w:t>
      </w:r>
      <w:r w:rsidRPr="0037251D">
        <w:rPr>
          <w:rFonts w:ascii="Book Antiqua" w:eastAsia="Book Antiqua" w:hAnsi="Book Antiqua" w:cs="Book Antiqua"/>
          <w:color w:val="000000"/>
        </w:rPr>
        <w:t>or with supra-prophylactic doses of enoxaparin in the PROSPECT-CONKO 004 study</w:t>
      </w:r>
      <w:r w:rsidRPr="0037251D">
        <w:rPr>
          <w:rFonts w:ascii="Book Antiqua" w:eastAsia="Book Antiqua" w:hAnsi="Book Antiqua" w:cs="Book Antiqua"/>
          <w:color w:val="000000"/>
          <w:szCs w:val="30"/>
          <w:vertAlign w:val="superscript"/>
        </w:rPr>
        <w:t>[55]</w:t>
      </w:r>
      <w:r w:rsidRPr="0037251D">
        <w:rPr>
          <w:rFonts w:ascii="Book Antiqua" w:eastAsia="Book Antiqua" w:hAnsi="Book Antiqua" w:cs="Book Antiqua"/>
          <w:color w:val="000000"/>
        </w:rPr>
        <w:t>.</w:t>
      </w:r>
    </w:p>
    <w:p w14:paraId="50FE642F" w14:textId="11E78310" w:rsidR="00A77B3E" w:rsidRPr="0037251D" w:rsidRDefault="008404AF" w:rsidP="0040107B">
      <w:pPr>
        <w:spacing w:line="360" w:lineRule="auto"/>
        <w:ind w:firstLineChars="100" w:firstLine="240"/>
        <w:jc w:val="both"/>
      </w:pPr>
      <w:r w:rsidRPr="0037251D">
        <w:rPr>
          <w:rFonts w:ascii="Book Antiqua" w:eastAsia="Book Antiqua" w:hAnsi="Book Antiqua" w:cs="Book Antiqua"/>
          <w:color w:val="000000"/>
        </w:rPr>
        <w:t>More recently, two randomized placebo-controlled trials assessed the efficacy and safety of primary thromboprophylaxis with prophylactic doses of DOACs (apixaban 2.5 mg twice daily for up to 6 mo in the AVERT trial</w:t>
      </w:r>
      <w:r w:rsidRPr="0037251D">
        <w:rPr>
          <w:rFonts w:ascii="Book Antiqua" w:eastAsia="Book Antiqua" w:hAnsi="Book Antiqua" w:cs="Book Antiqua"/>
          <w:color w:val="000000"/>
          <w:szCs w:val="30"/>
          <w:vertAlign w:val="superscript"/>
        </w:rPr>
        <w:t>[60]</w:t>
      </w:r>
      <w:r w:rsidRPr="0037251D">
        <w:rPr>
          <w:rFonts w:ascii="Book Antiqua" w:eastAsia="Book Antiqua" w:hAnsi="Book Antiqua" w:cs="Book Antiqua"/>
          <w:color w:val="000000"/>
        </w:rPr>
        <w:t>; rivaroxaban 10 mg once daily for up to 6 mo in the CASSINI trial</w:t>
      </w:r>
      <w:r w:rsidRPr="0037251D">
        <w:rPr>
          <w:rFonts w:ascii="Book Antiqua" w:eastAsia="Book Antiqua" w:hAnsi="Book Antiqua" w:cs="Book Antiqua"/>
          <w:color w:val="000000"/>
          <w:szCs w:val="30"/>
          <w:vertAlign w:val="superscript"/>
        </w:rPr>
        <w:t>[61]</w:t>
      </w:r>
      <w:r w:rsidRPr="0037251D">
        <w:rPr>
          <w:rFonts w:ascii="Book Antiqua" w:eastAsia="Book Antiqua" w:hAnsi="Book Antiqua" w:cs="Book Antiqua"/>
          <w:color w:val="000000"/>
        </w:rPr>
        <w:t>) in cancer patients with a Khorana score ≥</w:t>
      </w:r>
      <w:r w:rsidR="0040107B"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2 undergoing chemotherapy. Results from a subgroup of PC patients were reported only for the CASSINI trial</w:t>
      </w:r>
      <w:r w:rsidRPr="0037251D">
        <w:rPr>
          <w:rFonts w:ascii="Book Antiqua" w:eastAsia="Book Antiqua" w:hAnsi="Book Antiqua" w:cs="Book Antiqua"/>
          <w:color w:val="000000"/>
          <w:szCs w:val="30"/>
          <w:vertAlign w:val="superscript"/>
        </w:rPr>
        <w:t>[41]</w:t>
      </w:r>
      <w:r w:rsidRPr="0037251D">
        <w:rPr>
          <w:rFonts w:ascii="Book Antiqua" w:eastAsia="Book Antiqua" w:hAnsi="Book Antiqua" w:cs="Book Antiqua"/>
          <w:color w:val="000000"/>
        </w:rPr>
        <w:t xml:space="preserve">. Among the 273 PC patients included in this prespecified subgroup analysis, 214 (78%) had a locally advanced or metastatic PC and 271 (99.3%) </w:t>
      </w:r>
      <w:r w:rsidRPr="0037251D">
        <w:rPr>
          <w:rFonts w:ascii="Book Antiqua" w:eastAsia="Book Antiqua" w:hAnsi="Book Antiqua" w:cs="Book Antiqua"/>
          <w:color w:val="000000"/>
        </w:rPr>
        <w:lastRenderedPageBreak/>
        <w:t xml:space="preserve">were receiving cytotoxic chemotherapy (fluorouracil-based in 47.6% of cases and gemcitabine-based in 44.7% of cases). Rivaroxaban did not significantly reduce the rates of the primary efficacy endpoint of symptomatic DVT, asymptomatic proximal DVT, any PE and VTE-related death within the 6 mo observation period (absolute difference of 3.4%, </w:t>
      </w:r>
      <w:r w:rsidR="0040107B" w:rsidRPr="0037251D">
        <w:rPr>
          <w:rFonts w:ascii="Book Antiqua" w:eastAsia="Book Antiqua" w:hAnsi="Book Antiqua" w:cs="Book Antiqua"/>
          <w:i/>
          <w:iCs/>
          <w:color w:val="000000"/>
        </w:rPr>
        <w:t>P</w:t>
      </w:r>
      <w:r w:rsidR="0040107B"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w:t>
      </w:r>
      <w:r w:rsidR="0040107B" w:rsidRPr="0037251D">
        <w:rPr>
          <w:rFonts w:ascii="Book Antiqua" w:eastAsia="Book Antiqua" w:hAnsi="Book Antiqua" w:cs="Book Antiqua"/>
          <w:color w:val="000000"/>
        </w:rPr>
        <w:t xml:space="preserve"> </w:t>
      </w:r>
      <w:r w:rsidR="00343E5A" w:rsidRPr="0037251D">
        <w:rPr>
          <w:rFonts w:ascii="Book Antiqua" w:eastAsia="宋体" w:hAnsi="Book Antiqua"/>
        </w:rPr>
        <w:t>n</w:t>
      </w:r>
      <w:r w:rsidR="00343E5A" w:rsidRPr="0037251D">
        <w:rPr>
          <w:rFonts w:ascii="Book Antiqua" w:eastAsia="宋体" w:hAnsi="Book Antiqua" w:hint="eastAsia"/>
        </w:rPr>
        <w:t>ot significant</w:t>
      </w:r>
      <w:r w:rsidRPr="0037251D">
        <w:rPr>
          <w:rFonts w:ascii="Book Antiqua" w:eastAsia="Book Antiqua" w:hAnsi="Book Antiqua" w:cs="Book Antiqua"/>
          <w:color w:val="000000"/>
        </w:rPr>
        <w:t>). However, most of VTE events occurred after discontinuation of rivaroxaban (61.5%) compared to placebo (22.2%). During the intervention period, rivaroxaban significantly reduced the rates of the primary efficacy endpoint from 10.1% to 3.7% (absolute difference of 6.4%, HR 0.35, 95%CI</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0.13-0.97, </w:t>
      </w:r>
      <w:r w:rsidRPr="0037251D">
        <w:rPr>
          <w:rFonts w:ascii="Book Antiqua" w:eastAsia="Book Antiqua" w:hAnsi="Book Antiqua" w:cs="Book Antiqua"/>
          <w:i/>
          <w:iCs/>
          <w:color w:val="000000"/>
        </w:rPr>
        <w:t>P</w:t>
      </w:r>
      <w:r w:rsidRPr="0037251D">
        <w:rPr>
          <w:rFonts w:ascii="Book Antiqua" w:eastAsia="Book Antiqua" w:hAnsi="Book Antiqua" w:cs="Book Antiqua"/>
          <w:color w:val="000000"/>
        </w:rPr>
        <w:t xml:space="preserve"> = 0.034), resulting in a NTT of 16 patients to prevent 1 event. Importantly, 2 out of 5 events in the rivaroxaban arm and 5 out of 14 events in the placebo arm were asymptomatic lower-extremity proximal DVT diagnosed by ultrasound screening during the follow-up, leading to overestimate the rates of VTE in both arms. The rates of major bleeding and all-cause mortality did not differ between the two arms</w:t>
      </w:r>
      <w:r w:rsidRPr="0037251D">
        <w:rPr>
          <w:rFonts w:ascii="Book Antiqua" w:eastAsia="Book Antiqua" w:hAnsi="Book Antiqua" w:cs="Book Antiqua"/>
          <w:color w:val="000000"/>
          <w:szCs w:val="30"/>
          <w:vertAlign w:val="superscript"/>
        </w:rPr>
        <w:t>[41]</w:t>
      </w:r>
      <w:r w:rsidRPr="0037251D">
        <w:rPr>
          <w:rFonts w:ascii="Book Antiqua" w:eastAsia="Book Antiqua" w:hAnsi="Book Antiqua" w:cs="Book Antiqua"/>
          <w:color w:val="000000"/>
        </w:rPr>
        <w:t>.</w:t>
      </w:r>
    </w:p>
    <w:p w14:paraId="4A564B32" w14:textId="797A5213" w:rsidR="00A77B3E" w:rsidRPr="0037251D" w:rsidRDefault="008404AF" w:rsidP="0040107B">
      <w:pPr>
        <w:spacing w:line="360" w:lineRule="auto"/>
        <w:ind w:firstLineChars="100" w:firstLine="240"/>
        <w:jc w:val="both"/>
      </w:pPr>
      <w:r w:rsidRPr="0037251D">
        <w:rPr>
          <w:rFonts w:ascii="Book Antiqua" w:eastAsia="Book Antiqua" w:hAnsi="Book Antiqua" w:cs="Book Antiqua"/>
          <w:color w:val="000000"/>
        </w:rPr>
        <w:t>Recently, a systematic review and meta-analysis aggregated the data from the 1003 PC patients enrolled in the 5 above-mentioned RCTs</w:t>
      </w:r>
      <w:r w:rsidRPr="0037251D">
        <w:rPr>
          <w:rFonts w:ascii="Book Antiqua" w:eastAsia="Book Antiqua" w:hAnsi="Book Antiqua" w:cs="Book Antiqua"/>
          <w:color w:val="000000"/>
          <w:szCs w:val="30"/>
          <w:vertAlign w:val="superscript"/>
        </w:rPr>
        <w:t>[62]</w:t>
      </w:r>
      <w:r w:rsidRPr="0037251D">
        <w:rPr>
          <w:rFonts w:ascii="Book Antiqua" w:eastAsia="Book Antiqua" w:hAnsi="Book Antiqua" w:cs="Book Antiqua"/>
          <w:color w:val="000000"/>
        </w:rPr>
        <w:t xml:space="preserve">. Primary thromboprophylaxis was estimated to significantly reduce the risk of symptomatic VTE by </w:t>
      </w:r>
      <w:r w:rsidR="0040107B" w:rsidRPr="0037251D">
        <w:rPr>
          <w:rFonts w:ascii="Book Antiqua" w:eastAsia="Book Antiqua" w:hAnsi="Book Antiqua" w:cs="Book Antiqua"/>
          <w:color w:val="000000"/>
        </w:rPr>
        <w:t xml:space="preserve">approximately </w:t>
      </w:r>
      <w:r w:rsidRPr="0037251D">
        <w:rPr>
          <w:rFonts w:ascii="Book Antiqua" w:eastAsia="Book Antiqua" w:hAnsi="Book Antiqua" w:cs="Book Antiqua"/>
          <w:color w:val="000000"/>
        </w:rPr>
        <w:t>69%, resulting in a NTT of 11.9 to prevent one VTE event, without increase in the risk of major bleeding. Sensitivity analyzes showed that primary prophylaxis with LMWH or DOAC, and prophylactic doses or supra-prophylactic doses of anticoagulants reduced the risk of VTE with the same magnitude.</w:t>
      </w:r>
    </w:p>
    <w:p w14:paraId="6B8F9B1F" w14:textId="48D2EEDB" w:rsidR="00A77B3E" w:rsidRPr="0037251D" w:rsidRDefault="008404AF" w:rsidP="0040107B">
      <w:pPr>
        <w:spacing w:line="360" w:lineRule="auto"/>
        <w:ind w:firstLineChars="100" w:firstLine="240"/>
        <w:jc w:val="both"/>
      </w:pPr>
      <w:r w:rsidRPr="0037251D">
        <w:rPr>
          <w:rFonts w:ascii="Book Antiqua" w:eastAsia="Book Antiqua" w:hAnsi="Book Antiqua" w:cs="Book Antiqua"/>
          <w:color w:val="000000"/>
        </w:rPr>
        <w:t>In light of the results from the AVERT and CASSINI trials, the ITAC</w:t>
      </w:r>
      <w:r w:rsidRPr="0037251D">
        <w:rPr>
          <w:rFonts w:ascii="Book Antiqua" w:eastAsia="Book Antiqua" w:hAnsi="Book Antiqua" w:cs="Book Antiqua"/>
          <w:color w:val="000000"/>
          <w:vertAlign w:val="superscript"/>
        </w:rPr>
        <w:t>[8]</w:t>
      </w:r>
      <w:r w:rsidR="0040107B"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and ASCO</w:t>
      </w:r>
      <w:r w:rsidRPr="0037251D">
        <w:rPr>
          <w:rFonts w:ascii="Book Antiqua" w:eastAsia="Book Antiqua" w:hAnsi="Book Antiqua" w:cs="Book Antiqua"/>
          <w:color w:val="000000"/>
          <w:szCs w:val="30"/>
          <w:vertAlign w:val="superscript"/>
        </w:rPr>
        <w:t>[11]</w:t>
      </w:r>
      <w:r w:rsidRPr="0037251D">
        <w:rPr>
          <w:rFonts w:ascii="Book Antiqua" w:eastAsia="Book Antiqua" w:hAnsi="Book Antiqua" w:cs="Book Antiqua"/>
          <w:color w:val="000000"/>
        </w:rPr>
        <w:t xml:space="preserve"> CPGs now recommend thromboprophylaxis with apixaban or rivaroxaban in cancer outpatients undergoing chemotherapy having a Khorana score ≥</w:t>
      </w:r>
      <w:r w:rsidR="0040107B"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 xml:space="preserve">2, no bleeding risk and no drug-drug interactions </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rPr>
        <w:t>Grade 1B</w:t>
      </w:r>
      <w:r w:rsidR="0040107B" w:rsidRPr="0037251D">
        <w:rPr>
          <w:rFonts w:ascii="Book Antiqua" w:eastAsia="Book Antiqua" w:hAnsi="Book Antiqua" w:cs="Book Antiqua"/>
          <w:color w:val="000000"/>
        </w:rPr>
        <w:t>)</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 Since the Khorana score assigns +</w:t>
      </w:r>
      <w:r w:rsidR="0040107B"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2 points for PC, thromboprophylaxis with DOAC or LMWH may be now offered in all ambulatory PC patients. Decisions to initiate thromboprophylaxis should be made based on a multidisciplinary patient-centered approach, after close discussion with the patient.</w:t>
      </w:r>
    </w:p>
    <w:p w14:paraId="7F3EEBEB" w14:textId="77777777" w:rsidR="00A77B3E" w:rsidRPr="0037251D" w:rsidRDefault="008404AF" w:rsidP="0040107B">
      <w:pPr>
        <w:spacing w:line="360" w:lineRule="auto"/>
        <w:ind w:firstLineChars="100" w:firstLine="240"/>
        <w:jc w:val="both"/>
      </w:pPr>
      <w:r w:rsidRPr="0037251D">
        <w:rPr>
          <w:rFonts w:ascii="Book Antiqua" w:eastAsia="Book Antiqua" w:hAnsi="Book Antiqua" w:cs="Book Antiqua"/>
          <w:color w:val="000000"/>
        </w:rPr>
        <w:lastRenderedPageBreak/>
        <w:t>Nevertheless, primary thromboprophylaxis has not been yet widely adopted in PC outpatients, mainly due to fear of bleeding in otherwise frail subjects and inherent costs for such therapy.</w:t>
      </w:r>
    </w:p>
    <w:p w14:paraId="2BED99B9" w14:textId="77777777" w:rsidR="00A77B3E" w:rsidRPr="0037251D" w:rsidRDefault="00A77B3E">
      <w:pPr>
        <w:spacing w:line="360" w:lineRule="auto"/>
        <w:jc w:val="both"/>
      </w:pPr>
    </w:p>
    <w:p w14:paraId="552F11B7" w14:textId="4D1DD626" w:rsidR="00A77B3E" w:rsidRPr="0037251D" w:rsidRDefault="008404AF">
      <w:pPr>
        <w:spacing w:line="360" w:lineRule="auto"/>
        <w:jc w:val="both"/>
      </w:pPr>
      <w:r w:rsidRPr="0037251D">
        <w:rPr>
          <w:rFonts w:ascii="Book Antiqua" w:eastAsia="Book Antiqua" w:hAnsi="Book Antiqua" w:cs="Book Antiqua"/>
          <w:b/>
          <w:bCs/>
          <w:caps/>
          <w:color w:val="000000"/>
          <w:u w:val="single"/>
        </w:rPr>
        <w:t xml:space="preserve">HOW TO TREAT VTE IN </w:t>
      </w:r>
      <w:r w:rsidR="001C0DD7" w:rsidRPr="0037251D">
        <w:rPr>
          <w:rFonts w:ascii="Book Antiqua" w:eastAsia="Book Antiqua" w:hAnsi="Book Antiqua" w:cs="Book Antiqua"/>
          <w:b/>
          <w:bCs/>
          <w:caps/>
          <w:color w:val="000000"/>
          <w:u w:val="single"/>
        </w:rPr>
        <w:t>PC</w:t>
      </w:r>
      <w:r w:rsidRPr="0037251D">
        <w:rPr>
          <w:rFonts w:ascii="Book Antiqua" w:eastAsia="Book Antiqua" w:hAnsi="Book Antiqua" w:cs="Book Antiqua"/>
          <w:b/>
          <w:bCs/>
          <w:caps/>
          <w:color w:val="000000"/>
          <w:u w:val="single"/>
        </w:rPr>
        <w:t xml:space="preserve"> PATIENTS?</w:t>
      </w:r>
    </w:p>
    <w:p w14:paraId="09C78C93" w14:textId="0E30A6E2" w:rsidR="00A77B3E" w:rsidRPr="0037251D" w:rsidRDefault="008404AF">
      <w:pPr>
        <w:spacing w:line="360" w:lineRule="auto"/>
        <w:jc w:val="both"/>
      </w:pPr>
      <w:r w:rsidRPr="0037251D">
        <w:rPr>
          <w:rFonts w:ascii="Book Antiqua" w:eastAsia="Book Antiqua" w:hAnsi="Book Antiqua" w:cs="Book Antiqua"/>
          <w:b/>
          <w:bCs/>
          <w:i/>
          <w:iCs/>
          <w:color w:val="000000"/>
        </w:rPr>
        <w:t>A step-based adapted approach</w:t>
      </w:r>
    </w:p>
    <w:p w14:paraId="476896E1" w14:textId="2DE00EBF" w:rsidR="00A77B3E" w:rsidRPr="0037251D" w:rsidRDefault="008404AF">
      <w:pPr>
        <w:spacing w:line="360" w:lineRule="auto"/>
        <w:jc w:val="both"/>
      </w:pPr>
      <w:r w:rsidRPr="0037251D">
        <w:rPr>
          <w:rFonts w:ascii="Book Antiqua" w:eastAsia="Book Antiqua" w:hAnsi="Book Antiqua" w:cs="Book Antiqua"/>
          <w:color w:val="000000"/>
        </w:rPr>
        <w:t>For many years, monotherapy with LMWH has been the standard of care to treat cancer-associated VTE, based on the results of 5</w:t>
      </w:r>
      <w:r w:rsidRPr="0037251D">
        <w:rPr>
          <w:rStyle w:val="st"/>
          <w:rFonts w:ascii="Book Antiqua" w:eastAsia="Book Antiqua" w:hAnsi="Book Antiqua" w:cs="Book Antiqua"/>
          <w:color w:val="000000"/>
        </w:rPr>
        <w:t xml:space="preserve"> landmark RCTs comparing LMWH to vitamin K antagonists</w:t>
      </w:r>
      <w:r w:rsidRPr="0037251D">
        <w:rPr>
          <w:rFonts w:ascii="Book Antiqua" w:eastAsia="Book Antiqua" w:hAnsi="Book Antiqua" w:cs="Book Antiqua"/>
          <w:color w:val="000000"/>
          <w:szCs w:val="30"/>
          <w:vertAlign w:val="superscript"/>
        </w:rPr>
        <w:t>[63</w:t>
      </w:r>
      <w:r w:rsidR="00806CFD" w:rsidRPr="0037251D">
        <w:rPr>
          <w:rFonts w:ascii="Book Antiqua" w:eastAsia="Book Antiqua" w:hAnsi="Book Antiqua" w:cs="Book Antiqua"/>
          <w:color w:val="000000"/>
          <w:szCs w:val="30"/>
          <w:vertAlign w:val="superscript"/>
        </w:rPr>
        <w:t>-</w:t>
      </w:r>
      <w:r w:rsidRPr="0037251D">
        <w:rPr>
          <w:rFonts w:ascii="Book Antiqua" w:eastAsia="Book Antiqua" w:hAnsi="Book Antiqua" w:cs="Book Antiqua"/>
          <w:color w:val="000000"/>
          <w:szCs w:val="30"/>
          <w:vertAlign w:val="superscript"/>
        </w:rPr>
        <w:t>67]</w:t>
      </w:r>
      <w:r w:rsidRPr="0037251D">
        <w:rPr>
          <w:rFonts w:ascii="Book Antiqua" w:eastAsia="Book Antiqua" w:hAnsi="Book Antiqua" w:cs="Book Antiqua"/>
          <w:color w:val="000000"/>
        </w:rPr>
        <w:t>. However, positive results from 4 recent RCTs comparing DOAC to LMWH monotherapy for the treatment of cancer-associated thrombosis</w:t>
      </w:r>
      <w:r w:rsidRPr="0037251D">
        <w:rPr>
          <w:rFonts w:ascii="Book Antiqua" w:eastAsia="Book Antiqua" w:hAnsi="Book Antiqua" w:cs="Book Antiqua"/>
          <w:color w:val="000000"/>
          <w:szCs w:val="30"/>
          <w:vertAlign w:val="superscript"/>
        </w:rPr>
        <w:t>[68</w:t>
      </w:r>
      <w:r w:rsidR="00806CFD" w:rsidRPr="0037251D">
        <w:rPr>
          <w:rFonts w:ascii="Book Antiqua" w:eastAsia="Book Antiqua" w:hAnsi="Book Antiqua" w:cs="Book Antiqua"/>
          <w:color w:val="000000"/>
          <w:szCs w:val="30"/>
          <w:vertAlign w:val="superscript"/>
        </w:rPr>
        <w:t>-</w:t>
      </w:r>
      <w:r w:rsidRPr="0037251D">
        <w:rPr>
          <w:rFonts w:ascii="Book Antiqua" w:eastAsia="Book Antiqua" w:hAnsi="Book Antiqua" w:cs="Book Antiqua"/>
          <w:color w:val="000000"/>
          <w:szCs w:val="30"/>
          <w:vertAlign w:val="superscript"/>
        </w:rPr>
        <w:t>71]</w:t>
      </w:r>
      <w:r w:rsidRPr="0037251D">
        <w:rPr>
          <w:rFonts w:ascii="Book Antiqua" w:eastAsia="Book Antiqua" w:hAnsi="Book Antiqua" w:cs="Book Antiqua"/>
          <w:color w:val="000000"/>
        </w:rPr>
        <w:t xml:space="preserve"> (Table 3) prompted current updated CPGs to include DOACs as a new first-line option in selected patients, but not all</w:t>
      </w:r>
      <w:r w:rsidRPr="0037251D">
        <w:rPr>
          <w:rFonts w:ascii="Book Antiqua" w:eastAsia="Book Antiqua" w:hAnsi="Book Antiqua" w:cs="Book Antiqua"/>
          <w:color w:val="000000"/>
          <w:vertAlign w:val="superscript"/>
        </w:rPr>
        <w:t>[8,11]</w:t>
      </w:r>
      <w:r w:rsidRPr="0037251D">
        <w:rPr>
          <w:rFonts w:ascii="Book Antiqua" w:eastAsia="Book Antiqua" w:hAnsi="Book Antiqua" w:cs="Book Antiqua"/>
          <w:color w:val="000000"/>
        </w:rPr>
        <w:t>.</w:t>
      </w:r>
    </w:p>
    <w:p w14:paraId="1271076A" w14:textId="73FF71D8" w:rsidR="00A77B3E" w:rsidRPr="0037251D" w:rsidRDefault="008404AF" w:rsidP="00806CFD">
      <w:pPr>
        <w:spacing w:line="360" w:lineRule="auto"/>
        <w:ind w:firstLineChars="100" w:firstLine="240"/>
        <w:jc w:val="both"/>
      </w:pPr>
      <w:r w:rsidRPr="0037251D">
        <w:rPr>
          <w:rFonts w:ascii="Book Antiqua" w:eastAsia="Book Antiqua" w:hAnsi="Book Antiqua" w:cs="Book Antiqua"/>
          <w:color w:val="000000"/>
        </w:rPr>
        <w:t>The ability to now use oral-only anticoagulation strategies, precluding the need for long-term daily injection and dose adjustment, may seem appealing but adds to the complexity of decision making. Appropriate selection of anticoagulants appears more than ever as a critical element of high-quality care for cancer patients with VTE, and numerous factors must be taken into consideration when choosing one anticoagulant rather than the other</w:t>
      </w:r>
      <w:r w:rsidRPr="0037251D">
        <w:rPr>
          <w:rFonts w:ascii="Book Antiqua" w:eastAsia="Book Antiqua" w:hAnsi="Book Antiqua" w:cs="Book Antiqua"/>
          <w:color w:val="000000"/>
          <w:szCs w:val="30"/>
          <w:vertAlign w:val="superscript"/>
        </w:rPr>
        <w:t>[72]</w:t>
      </w:r>
      <w:r w:rsidRPr="0037251D">
        <w:rPr>
          <w:rFonts w:ascii="Book Antiqua" w:eastAsia="Book Antiqua" w:hAnsi="Book Antiqua" w:cs="Book Antiqua"/>
          <w:color w:val="000000"/>
        </w:rPr>
        <w:t>. A personalized approach is warranted.</w:t>
      </w:r>
    </w:p>
    <w:p w14:paraId="15362089" w14:textId="4543C5D2" w:rsidR="00A77B3E" w:rsidRPr="0037251D" w:rsidRDefault="008404AF" w:rsidP="00806CFD">
      <w:pPr>
        <w:spacing w:line="360" w:lineRule="auto"/>
        <w:ind w:firstLineChars="100" w:firstLine="240"/>
        <w:jc w:val="both"/>
      </w:pPr>
      <w:r w:rsidRPr="0037251D">
        <w:rPr>
          <w:rFonts w:ascii="Book Antiqua" w:eastAsia="Book Antiqua" w:hAnsi="Book Antiqua" w:cs="Book Antiqua"/>
          <w:color w:val="000000"/>
        </w:rPr>
        <w:t>The ITAC CPGs recommend using LMWH for the initial and long-term treatment of established VTE when creatinine clearance is ≥</w:t>
      </w:r>
      <w:r w:rsidR="00806CFD"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 xml:space="preserve">30 mL per min </w:t>
      </w:r>
      <w:r w:rsidR="00806CFD" w:rsidRPr="0037251D">
        <w:rPr>
          <w:rFonts w:ascii="Book Antiqua" w:eastAsia="Book Antiqua" w:hAnsi="Book Antiqua" w:cs="Book Antiqua"/>
          <w:color w:val="000000"/>
        </w:rPr>
        <w:t>(G</w:t>
      </w:r>
      <w:r w:rsidRPr="0037251D">
        <w:rPr>
          <w:rFonts w:ascii="Book Antiqua" w:eastAsia="Book Antiqua" w:hAnsi="Book Antiqua" w:cs="Book Antiqua"/>
          <w:color w:val="000000"/>
        </w:rPr>
        <w:t>rade 1B</w:t>
      </w:r>
      <w:r w:rsidR="00806CFD" w:rsidRPr="0037251D">
        <w:rPr>
          <w:rFonts w:ascii="Book Antiqua" w:eastAsia="Book Antiqua" w:hAnsi="Book Antiqua" w:cs="Book Antiqua"/>
          <w:color w:val="000000"/>
        </w:rPr>
        <w:t>)</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 For patients without risk of gastrointestinal or genitourinary bleeding, rivaroxaban (in the first 10 d) or edoxaban (started after at least 5 d</w:t>
      </w:r>
      <w:r w:rsidR="00806CFD"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 xml:space="preserve">of parenteral anticoagulation) can also be used </w:t>
      </w:r>
      <w:r w:rsidR="00806CFD" w:rsidRPr="0037251D">
        <w:rPr>
          <w:rFonts w:ascii="Book Antiqua" w:eastAsia="Book Antiqua" w:hAnsi="Book Antiqua" w:cs="Book Antiqua"/>
          <w:color w:val="000000"/>
        </w:rPr>
        <w:t>(G</w:t>
      </w:r>
      <w:r w:rsidRPr="0037251D">
        <w:rPr>
          <w:rFonts w:ascii="Book Antiqua" w:eastAsia="Book Antiqua" w:hAnsi="Book Antiqua" w:cs="Book Antiqua"/>
          <w:color w:val="000000"/>
        </w:rPr>
        <w:t>rade 1B</w:t>
      </w:r>
      <w:r w:rsidR="00806CFD" w:rsidRPr="0037251D">
        <w:rPr>
          <w:rFonts w:ascii="Book Antiqua" w:eastAsia="Book Antiqua" w:hAnsi="Book Antiqua" w:cs="Book Antiqua"/>
          <w:color w:val="000000"/>
        </w:rPr>
        <w:t>)</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 xml:space="preserve">. UFH provides an alternative option when LMWH or DOACs are contraindicated, or not available </w:t>
      </w:r>
      <w:r w:rsidR="00806CFD" w:rsidRPr="0037251D">
        <w:rPr>
          <w:rFonts w:ascii="Book Antiqua" w:eastAsia="Book Antiqua" w:hAnsi="Book Antiqua" w:cs="Book Antiqua"/>
          <w:color w:val="000000"/>
        </w:rPr>
        <w:t>(G</w:t>
      </w:r>
      <w:r w:rsidRPr="0037251D">
        <w:rPr>
          <w:rFonts w:ascii="Book Antiqua" w:eastAsia="Book Antiqua" w:hAnsi="Book Antiqua" w:cs="Book Antiqua"/>
          <w:color w:val="000000"/>
        </w:rPr>
        <w:t>rade 2C</w:t>
      </w:r>
      <w:r w:rsidR="00806CFD" w:rsidRPr="0037251D">
        <w:rPr>
          <w:rFonts w:ascii="Book Antiqua" w:eastAsia="Book Antiqua" w:hAnsi="Book Antiqua" w:cs="Book Antiqua"/>
          <w:color w:val="000000"/>
        </w:rPr>
        <w:t>)</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 xml:space="preserve">. Anticoagulation should be continued for at least 6 mo </w:t>
      </w:r>
      <w:r w:rsidR="00806CFD" w:rsidRPr="0037251D">
        <w:rPr>
          <w:rFonts w:ascii="Book Antiqua" w:eastAsia="Book Antiqua" w:hAnsi="Book Antiqua" w:cs="Book Antiqua"/>
          <w:color w:val="000000"/>
        </w:rPr>
        <w:t>(G</w:t>
      </w:r>
      <w:r w:rsidRPr="0037251D">
        <w:rPr>
          <w:rFonts w:ascii="Book Antiqua" w:eastAsia="Book Antiqua" w:hAnsi="Book Antiqua" w:cs="Book Antiqua"/>
          <w:color w:val="000000"/>
        </w:rPr>
        <w:t>rade 1A</w:t>
      </w:r>
      <w:r w:rsidR="00806CFD" w:rsidRPr="0037251D">
        <w:rPr>
          <w:rFonts w:ascii="Book Antiqua" w:eastAsia="Book Antiqua" w:hAnsi="Book Antiqua" w:cs="Book Antiqua"/>
          <w:color w:val="000000"/>
        </w:rPr>
        <w:t>)</w:t>
      </w:r>
      <w:r w:rsidRPr="0037251D">
        <w:rPr>
          <w:rFonts w:ascii="Book Antiqua" w:eastAsia="Book Antiqua" w:hAnsi="Book Antiqua" w:cs="Book Antiqua"/>
          <w:color w:val="000000"/>
        </w:rPr>
        <w:t xml:space="preserve"> or indefinitely while cancer is active or treated</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w:t>
      </w:r>
    </w:p>
    <w:p w14:paraId="588AF5FE" w14:textId="77777777" w:rsidR="00A77B3E" w:rsidRPr="0037251D" w:rsidRDefault="008404AF" w:rsidP="00806CFD">
      <w:pPr>
        <w:spacing w:line="360" w:lineRule="auto"/>
        <w:ind w:firstLineChars="100" w:firstLine="240"/>
        <w:jc w:val="both"/>
      </w:pPr>
      <w:r w:rsidRPr="0037251D">
        <w:rPr>
          <w:rFonts w:ascii="Book Antiqua" w:eastAsia="Book Antiqua" w:hAnsi="Book Antiqua" w:cs="Book Antiqua"/>
          <w:color w:val="000000"/>
        </w:rPr>
        <w:t>LMWH are the preferred option in patients with VVT due their short half-life and possible dose reduction in case of esophageal varices.</w:t>
      </w:r>
    </w:p>
    <w:p w14:paraId="660C0363" w14:textId="3CA4FE17" w:rsidR="00A77B3E" w:rsidRPr="0037251D" w:rsidRDefault="008404AF" w:rsidP="00806CFD">
      <w:pPr>
        <w:spacing w:line="360" w:lineRule="auto"/>
        <w:ind w:firstLineChars="100" w:firstLine="240"/>
        <w:jc w:val="both"/>
      </w:pPr>
      <w:r w:rsidRPr="0037251D">
        <w:rPr>
          <w:rFonts w:ascii="Book Antiqua" w:eastAsia="Book Antiqua" w:hAnsi="Book Antiqua" w:cs="Book Antiqua"/>
          <w:color w:val="000000"/>
        </w:rPr>
        <w:t xml:space="preserve">Briefly, DOAC are a reasonable option in ambulatory PC patients with DVT or PE with an intact upper gastrointestinal tract, without nausea or vomiting, with a low risk </w:t>
      </w:r>
      <w:r w:rsidRPr="0037251D">
        <w:rPr>
          <w:rFonts w:ascii="Book Antiqua" w:eastAsia="Book Antiqua" w:hAnsi="Book Antiqua" w:cs="Book Antiqua"/>
          <w:color w:val="000000"/>
        </w:rPr>
        <w:lastRenderedPageBreak/>
        <w:t>of bleeding, with a platelet count &gt; 50000/mm</w:t>
      </w:r>
      <w:r w:rsidRPr="0037251D">
        <w:rPr>
          <w:rFonts w:ascii="Book Antiqua" w:eastAsia="Book Antiqua" w:hAnsi="Book Antiqua" w:cs="Book Antiqua"/>
          <w:color w:val="000000"/>
          <w:szCs w:val="30"/>
          <w:vertAlign w:val="superscript"/>
        </w:rPr>
        <w:t>3</w:t>
      </w:r>
      <w:r w:rsidRPr="0037251D">
        <w:rPr>
          <w:rFonts w:ascii="Book Antiqua" w:eastAsia="Book Antiqua" w:hAnsi="Book Antiqua" w:cs="Book Antiqua"/>
          <w:color w:val="000000"/>
        </w:rPr>
        <w:t>, with a creatinine clearance &gt;</w:t>
      </w:r>
      <w:r w:rsidR="00806CFD"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30 mL/min, with</w:t>
      </w:r>
      <w:r w:rsidR="0079521A" w:rsidRPr="0037251D">
        <w:rPr>
          <w:rFonts w:ascii="Book Antiqua" w:eastAsia="Book Antiqua" w:hAnsi="Book Antiqua" w:cs="Book Antiqua"/>
          <w:color w:val="000000"/>
        </w:rPr>
        <w:t>out</w:t>
      </w:r>
      <w:r w:rsidRPr="0037251D">
        <w:rPr>
          <w:rFonts w:ascii="Book Antiqua" w:eastAsia="Book Antiqua" w:hAnsi="Book Antiqua" w:cs="Book Antiqua"/>
          <w:color w:val="000000"/>
        </w:rPr>
        <w:t xml:space="preserve"> severe hepatic impairment and for whom no surgical intervention is planned. They should not be used in patients with creatinine clearance &lt;</w:t>
      </w:r>
      <w:r w:rsidR="00806CFD"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30 mL/min, luminal gastrointestinal lesion, platelet count &lt;</w:t>
      </w:r>
      <w:r w:rsidR="00806CFD"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50000/mm</w:t>
      </w:r>
      <w:r w:rsidRPr="0037251D">
        <w:rPr>
          <w:rFonts w:ascii="Book Antiqua" w:eastAsia="Book Antiqua" w:hAnsi="Book Antiqua" w:cs="Book Antiqua"/>
          <w:color w:val="000000"/>
          <w:szCs w:val="30"/>
          <w:vertAlign w:val="superscript"/>
        </w:rPr>
        <w:t>3</w:t>
      </w:r>
      <w:r w:rsidRPr="0037251D">
        <w:rPr>
          <w:rFonts w:ascii="Book Antiqua" w:eastAsia="Book Antiqua" w:hAnsi="Book Antiqua" w:cs="Book Antiqua"/>
          <w:color w:val="000000"/>
        </w:rPr>
        <w:t>, high bleeding risk, recent or planned surgery, or potential drug-drug interactions</w:t>
      </w:r>
      <w:r w:rsidRPr="0037251D">
        <w:rPr>
          <w:rFonts w:ascii="Book Antiqua" w:eastAsia="Book Antiqua" w:hAnsi="Book Antiqua" w:cs="Book Antiqua"/>
          <w:color w:val="000000"/>
          <w:vertAlign w:val="superscript"/>
        </w:rPr>
        <w:t>[73,74]</w:t>
      </w:r>
      <w:r w:rsidRPr="0037251D">
        <w:rPr>
          <w:rFonts w:ascii="Book Antiqua" w:eastAsia="Book Antiqua" w:hAnsi="Book Antiqua" w:cs="Book Antiqua"/>
          <w:color w:val="000000"/>
        </w:rPr>
        <w:t>.</w:t>
      </w:r>
    </w:p>
    <w:p w14:paraId="75EADF4D" w14:textId="6F2BD5EA" w:rsidR="00A77B3E" w:rsidRPr="0037251D" w:rsidRDefault="008404AF" w:rsidP="00806CFD">
      <w:pPr>
        <w:spacing w:line="360" w:lineRule="auto"/>
        <w:ind w:firstLineChars="100" w:firstLine="240"/>
        <w:jc w:val="both"/>
      </w:pPr>
      <w:r w:rsidRPr="0037251D">
        <w:rPr>
          <w:rFonts w:ascii="Book Antiqua" w:eastAsia="Book Antiqua" w:hAnsi="Book Antiqua" w:cs="Book Antiqua"/>
          <w:color w:val="000000"/>
        </w:rPr>
        <w:t>A step-based adapted approach (Figure 1), incorporating tumor type, careful examination of bleeding risk, potential drug–drug interactions, and patient preferences, has been proposed by several authors</w:t>
      </w:r>
      <w:r w:rsidRPr="0037251D">
        <w:rPr>
          <w:rFonts w:ascii="Book Antiqua" w:eastAsia="Book Antiqua" w:hAnsi="Book Antiqua" w:cs="Book Antiqua"/>
          <w:color w:val="000000"/>
          <w:vertAlign w:val="superscript"/>
        </w:rPr>
        <w:t>[73,74]</w:t>
      </w:r>
      <w:r w:rsidRPr="0037251D">
        <w:rPr>
          <w:rFonts w:ascii="Book Antiqua" w:eastAsia="Book Antiqua" w:hAnsi="Book Antiqua" w:cs="Book Antiqua"/>
          <w:color w:val="000000"/>
        </w:rPr>
        <w:t>.</w:t>
      </w:r>
      <w:r w:rsidR="00806CFD" w:rsidRPr="0037251D">
        <w:rPr>
          <w:rFonts w:ascii="Book Antiqua" w:eastAsia="Book Antiqua" w:hAnsi="Book Antiqua" w:cs="Book Antiqua"/>
          <w:color w:val="000000"/>
          <w:szCs w:val="30"/>
        </w:rPr>
        <w:t xml:space="preserve"> </w:t>
      </w:r>
      <w:r w:rsidRPr="0037251D">
        <w:rPr>
          <w:rFonts w:ascii="Book Antiqua" w:eastAsia="Book Antiqua" w:hAnsi="Book Antiqua" w:cs="Book Antiqua"/>
          <w:color w:val="000000"/>
        </w:rPr>
        <w:t>The multi-language web-based mobile application developed by the ITAC (downloadable for free at www.itaccme.com) based on such decision-tree algorithms is paramount to help clinicians in decision making</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w:t>
      </w:r>
    </w:p>
    <w:p w14:paraId="4E859438" w14:textId="77777777" w:rsidR="00A77B3E" w:rsidRPr="0037251D" w:rsidRDefault="008404AF" w:rsidP="00806CFD">
      <w:pPr>
        <w:spacing w:line="360" w:lineRule="auto"/>
        <w:ind w:firstLineChars="100" w:firstLine="240"/>
        <w:jc w:val="both"/>
      </w:pPr>
      <w:r w:rsidRPr="0037251D">
        <w:rPr>
          <w:rFonts w:ascii="Book Antiqua" w:eastAsia="Book Antiqua" w:hAnsi="Book Antiqua" w:cs="Book Antiqua"/>
          <w:color w:val="000000"/>
        </w:rPr>
        <w:t>Patients should be actively involved in treatment decisions and those treated with anticoagulants should be educated on the rationale for their treatment, the potential treatment safety concerns, and the risk of drug-drug interactions to ensure optimal adherence and treatment outcomes.</w:t>
      </w:r>
    </w:p>
    <w:p w14:paraId="7593FCEF" w14:textId="1EAA7106" w:rsidR="00A77B3E" w:rsidRPr="0037251D" w:rsidRDefault="008404AF" w:rsidP="00806CFD">
      <w:pPr>
        <w:spacing w:line="360" w:lineRule="auto"/>
        <w:ind w:firstLineChars="100" w:firstLine="240"/>
        <w:jc w:val="both"/>
      </w:pPr>
      <w:r w:rsidRPr="0037251D">
        <w:rPr>
          <w:rFonts w:ascii="Book Antiqua" w:eastAsia="Book Antiqua" w:hAnsi="Book Antiqua" w:cs="Book Antiqua"/>
          <w:color w:val="000000"/>
        </w:rPr>
        <w:t xml:space="preserve">Incidental VTE is associated with high </w:t>
      </w:r>
      <w:r w:rsidRPr="0037251D">
        <w:rPr>
          <w:rStyle w:val="highlight"/>
          <w:rFonts w:ascii="Book Antiqua" w:eastAsia="Book Antiqua" w:hAnsi="Book Antiqua" w:cs="Book Antiqua"/>
          <w:color w:val="000000"/>
        </w:rPr>
        <w:t>risks of recurrent VTE</w:t>
      </w:r>
      <w:r w:rsidRPr="0037251D">
        <w:rPr>
          <w:rFonts w:ascii="Book Antiqua" w:eastAsia="Book Antiqua" w:hAnsi="Book Antiqua" w:cs="Book Antiqua"/>
          <w:color w:val="000000"/>
        </w:rPr>
        <w:t xml:space="preserve"> and VTE-related</w:t>
      </w:r>
      <w:r w:rsidR="00806CFD" w:rsidRPr="0037251D">
        <w:rPr>
          <w:rFonts w:ascii="Book Antiqua" w:eastAsia="Book Antiqua" w:hAnsi="Book Antiqua" w:cs="Book Antiqua"/>
          <w:color w:val="000000"/>
        </w:rPr>
        <w:t xml:space="preserve"> </w:t>
      </w:r>
      <w:r w:rsidRPr="0037251D">
        <w:rPr>
          <w:rFonts w:ascii="Book Antiqua" w:eastAsia="Book Antiqua" w:hAnsi="Book Antiqua" w:cs="Book Antiqua"/>
          <w:color w:val="000000"/>
        </w:rPr>
        <w:t>mortality</w:t>
      </w:r>
      <w:r w:rsidRPr="0037251D">
        <w:rPr>
          <w:rFonts w:ascii="Book Antiqua" w:eastAsia="Book Antiqua" w:hAnsi="Book Antiqua" w:cs="Book Antiqua"/>
          <w:color w:val="000000"/>
          <w:szCs w:val="30"/>
          <w:vertAlign w:val="superscript"/>
        </w:rPr>
        <w:t>[75</w:t>
      </w:r>
      <w:r w:rsidR="00806CFD" w:rsidRPr="0037251D">
        <w:rPr>
          <w:rFonts w:ascii="Book Antiqua" w:eastAsia="Book Antiqua" w:hAnsi="Book Antiqua" w:cs="Book Antiqua"/>
          <w:color w:val="000000"/>
          <w:szCs w:val="30"/>
          <w:vertAlign w:val="superscript"/>
        </w:rPr>
        <w:t>-</w:t>
      </w:r>
      <w:r w:rsidRPr="0037251D">
        <w:rPr>
          <w:rFonts w:ascii="Book Antiqua" w:eastAsia="Book Antiqua" w:hAnsi="Book Antiqua" w:cs="Book Antiqua"/>
          <w:color w:val="000000"/>
          <w:szCs w:val="30"/>
          <w:vertAlign w:val="superscript"/>
        </w:rPr>
        <w:t>77]</w:t>
      </w:r>
      <w:r w:rsidRPr="0037251D">
        <w:rPr>
          <w:rFonts w:ascii="Book Antiqua" w:eastAsia="Book Antiqua" w:hAnsi="Book Antiqua" w:cs="Book Antiqua"/>
          <w:color w:val="000000"/>
        </w:rPr>
        <w:t xml:space="preserve"> and should be treated as symptomatic VTE</w:t>
      </w:r>
      <w:r w:rsidRPr="0037251D">
        <w:rPr>
          <w:rFonts w:ascii="Book Antiqua" w:eastAsia="Book Antiqua" w:hAnsi="Book Antiqua" w:cs="Book Antiqua"/>
          <w:color w:val="000000"/>
          <w:szCs w:val="30"/>
          <w:vertAlign w:val="superscript"/>
        </w:rPr>
        <w:t>[8]</w:t>
      </w:r>
      <w:r w:rsidRPr="0037251D">
        <w:rPr>
          <w:rFonts w:ascii="Book Antiqua" w:eastAsia="Book Antiqua" w:hAnsi="Book Antiqua" w:cs="Book Antiqua"/>
          <w:color w:val="000000"/>
        </w:rPr>
        <w:t>.</w:t>
      </w:r>
    </w:p>
    <w:p w14:paraId="495B5FCC" w14:textId="77777777" w:rsidR="00A77B3E" w:rsidRPr="0037251D" w:rsidRDefault="00A77B3E">
      <w:pPr>
        <w:spacing w:line="360" w:lineRule="auto"/>
        <w:jc w:val="both"/>
      </w:pPr>
    </w:p>
    <w:p w14:paraId="5177026E" w14:textId="77777777" w:rsidR="00A77B3E" w:rsidRPr="0037251D" w:rsidRDefault="008404AF">
      <w:pPr>
        <w:spacing w:line="360" w:lineRule="auto"/>
        <w:jc w:val="both"/>
      </w:pPr>
      <w:r w:rsidRPr="0037251D">
        <w:rPr>
          <w:rFonts w:ascii="Book Antiqua" w:eastAsia="Book Antiqua" w:hAnsi="Book Antiqua" w:cs="Book Antiqua"/>
          <w:b/>
          <w:caps/>
          <w:color w:val="000000"/>
          <w:u w:val="single"/>
        </w:rPr>
        <w:t>CONCLUSION</w:t>
      </w:r>
    </w:p>
    <w:p w14:paraId="5DA51053" w14:textId="0BBEB56B" w:rsidR="00A77B3E" w:rsidRPr="0037251D" w:rsidRDefault="008404AF">
      <w:pPr>
        <w:spacing w:line="360" w:lineRule="auto"/>
        <w:jc w:val="both"/>
      </w:pPr>
      <w:r w:rsidRPr="0037251D">
        <w:rPr>
          <w:rFonts w:ascii="Book Antiqua" w:eastAsia="Book Antiqua" w:hAnsi="Book Antiqua" w:cs="Book Antiqua"/>
          <w:color w:val="000000"/>
        </w:rPr>
        <w:t>VTE is a common and potentially life-threatening complication in PC patients. Strict adherence to current evidence-based guidelines and dedicated patient education programs are warranted to optimize both the primary thromboprophylaxis and the treatment of VTE in PC patients. Clinical innovative tools, such as the multi-language web-based mobile application developed by the ITAC (downloadable for free at www.itaccme.com) will be paramount to assist clinicians in rigorously implementing updated CPGs and further decrease the burden of VTE in PC patients.</w:t>
      </w:r>
    </w:p>
    <w:p w14:paraId="20701C3E" w14:textId="77777777" w:rsidR="00A77B3E" w:rsidRPr="0037251D" w:rsidRDefault="00A77B3E">
      <w:pPr>
        <w:spacing w:line="360" w:lineRule="auto"/>
        <w:jc w:val="both"/>
      </w:pPr>
    </w:p>
    <w:p w14:paraId="07F83312" w14:textId="77777777" w:rsidR="00A77B3E" w:rsidRPr="0037251D" w:rsidRDefault="008404AF">
      <w:pPr>
        <w:spacing w:line="360" w:lineRule="auto"/>
        <w:jc w:val="both"/>
      </w:pPr>
      <w:r w:rsidRPr="0037251D">
        <w:rPr>
          <w:rFonts w:ascii="Book Antiqua" w:eastAsia="Book Antiqua" w:hAnsi="Book Antiqua" w:cs="Book Antiqua"/>
          <w:b/>
          <w:color w:val="000000"/>
        </w:rPr>
        <w:t>REFERENCES</w:t>
      </w:r>
    </w:p>
    <w:p w14:paraId="57CBE406" w14:textId="77777777" w:rsidR="00A77B3E" w:rsidRPr="0037251D" w:rsidRDefault="008404AF">
      <w:pPr>
        <w:spacing w:line="360" w:lineRule="auto"/>
        <w:jc w:val="both"/>
      </w:pPr>
      <w:r w:rsidRPr="0037251D">
        <w:rPr>
          <w:rFonts w:ascii="Book Antiqua" w:eastAsia="Book Antiqua" w:hAnsi="Book Antiqua" w:cs="Book Antiqua"/>
          <w:color w:val="000000"/>
        </w:rPr>
        <w:t xml:space="preserve">1 </w:t>
      </w:r>
      <w:r w:rsidRPr="0037251D">
        <w:rPr>
          <w:rFonts w:ascii="Book Antiqua" w:eastAsia="Book Antiqua" w:hAnsi="Book Antiqua" w:cs="Book Antiqua"/>
          <w:b/>
          <w:bCs/>
          <w:color w:val="000000"/>
        </w:rPr>
        <w:t>Siegel RL</w:t>
      </w:r>
      <w:r w:rsidRPr="0037251D">
        <w:rPr>
          <w:rFonts w:ascii="Book Antiqua" w:eastAsia="Book Antiqua" w:hAnsi="Book Antiqua" w:cs="Book Antiqua"/>
          <w:color w:val="000000"/>
        </w:rPr>
        <w:t xml:space="preserve">, Miller KD, Jemal A. Cancer statistics, 2018. </w:t>
      </w:r>
      <w:r w:rsidRPr="0037251D">
        <w:rPr>
          <w:rFonts w:ascii="Book Antiqua" w:eastAsia="Book Antiqua" w:hAnsi="Book Antiqua" w:cs="Book Antiqua"/>
          <w:i/>
          <w:iCs/>
          <w:color w:val="000000"/>
        </w:rPr>
        <w:t>CA Cancer J Clin</w:t>
      </w:r>
      <w:r w:rsidRPr="0037251D">
        <w:rPr>
          <w:rFonts w:ascii="Book Antiqua" w:eastAsia="Book Antiqua" w:hAnsi="Book Antiqua" w:cs="Book Antiqua"/>
          <w:color w:val="000000"/>
        </w:rPr>
        <w:t xml:space="preserve"> 2018; </w:t>
      </w:r>
      <w:r w:rsidRPr="0037251D">
        <w:rPr>
          <w:rFonts w:ascii="Book Antiqua" w:eastAsia="Book Antiqua" w:hAnsi="Book Antiqua" w:cs="Book Antiqua"/>
          <w:b/>
          <w:bCs/>
          <w:color w:val="000000"/>
        </w:rPr>
        <w:t>68</w:t>
      </w:r>
      <w:r w:rsidRPr="0037251D">
        <w:rPr>
          <w:rFonts w:ascii="Book Antiqua" w:eastAsia="Book Antiqua" w:hAnsi="Book Antiqua" w:cs="Book Antiqua"/>
          <w:color w:val="000000"/>
        </w:rPr>
        <w:t>: 7-30 [PMID: 29313949 DOI: 10.3322/caac.21442]</w:t>
      </w:r>
    </w:p>
    <w:p w14:paraId="43F793A5" w14:textId="77777777" w:rsidR="00A77B3E" w:rsidRPr="0037251D" w:rsidRDefault="008404AF">
      <w:pPr>
        <w:spacing w:line="360" w:lineRule="auto"/>
        <w:jc w:val="both"/>
      </w:pPr>
      <w:r w:rsidRPr="0037251D">
        <w:rPr>
          <w:rFonts w:ascii="Book Antiqua" w:eastAsia="Book Antiqua" w:hAnsi="Book Antiqua" w:cs="Book Antiqua"/>
          <w:color w:val="000000"/>
        </w:rPr>
        <w:lastRenderedPageBreak/>
        <w:t xml:space="preserve">2 </w:t>
      </w:r>
      <w:r w:rsidRPr="0037251D">
        <w:rPr>
          <w:rFonts w:ascii="Book Antiqua" w:eastAsia="Book Antiqua" w:hAnsi="Book Antiqua" w:cs="Book Antiqua"/>
          <w:b/>
          <w:bCs/>
          <w:color w:val="000000"/>
        </w:rPr>
        <w:t>Rahib L</w:t>
      </w:r>
      <w:r w:rsidRPr="0037251D">
        <w:rPr>
          <w:rFonts w:ascii="Book Antiqua" w:eastAsia="Book Antiqua" w:hAnsi="Book Antiqua" w:cs="Book Antiqua"/>
          <w:color w:val="000000"/>
        </w:rPr>
        <w:t xml:space="preserve">, Smith BD, Aizenberg R, Rosenzweig AB, Fleshman JM, Matrisian LM. Projecting cancer incidence and deaths to 2030: the unexpected burden of thyroid, liver, and pancreas cancers in the United States. </w:t>
      </w:r>
      <w:r w:rsidRPr="0037251D">
        <w:rPr>
          <w:rFonts w:ascii="Book Antiqua" w:eastAsia="Book Antiqua" w:hAnsi="Book Antiqua" w:cs="Book Antiqua"/>
          <w:i/>
          <w:iCs/>
          <w:color w:val="000000"/>
        </w:rPr>
        <w:t>Cancer Res</w:t>
      </w:r>
      <w:r w:rsidRPr="0037251D">
        <w:rPr>
          <w:rFonts w:ascii="Book Antiqua" w:eastAsia="Book Antiqua" w:hAnsi="Book Antiqua" w:cs="Book Antiqua"/>
          <w:color w:val="000000"/>
        </w:rPr>
        <w:t xml:space="preserve"> 2014; </w:t>
      </w:r>
      <w:r w:rsidRPr="0037251D">
        <w:rPr>
          <w:rFonts w:ascii="Book Antiqua" w:eastAsia="Book Antiqua" w:hAnsi="Book Antiqua" w:cs="Book Antiqua"/>
          <w:b/>
          <w:bCs/>
          <w:color w:val="000000"/>
        </w:rPr>
        <w:t>74</w:t>
      </w:r>
      <w:r w:rsidRPr="0037251D">
        <w:rPr>
          <w:rFonts w:ascii="Book Antiqua" w:eastAsia="Book Antiqua" w:hAnsi="Book Antiqua" w:cs="Book Antiqua"/>
          <w:color w:val="000000"/>
        </w:rPr>
        <w:t>: 2913-2921 [PMID: 24840647 DOI: 10.1158/0008-5472.CAN-14-0155]</w:t>
      </w:r>
    </w:p>
    <w:p w14:paraId="0BE7F623" w14:textId="77777777" w:rsidR="00A77B3E" w:rsidRPr="0037251D" w:rsidRDefault="008404AF">
      <w:pPr>
        <w:spacing w:line="360" w:lineRule="auto"/>
        <w:jc w:val="both"/>
      </w:pPr>
      <w:r w:rsidRPr="0037251D">
        <w:rPr>
          <w:rFonts w:ascii="Book Antiqua" w:eastAsia="Book Antiqua" w:hAnsi="Book Antiqua" w:cs="Book Antiqua"/>
          <w:color w:val="000000"/>
        </w:rPr>
        <w:t xml:space="preserve">3 </w:t>
      </w:r>
      <w:r w:rsidRPr="0037251D">
        <w:rPr>
          <w:rFonts w:ascii="Book Antiqua" w:eastAsia="Book Antiqua" w:hAnsi="Book Antiqua" w:cs="Book Antiqua"/>
          <w:b/>
          <w:bCs/>
          <w:color w:val="000000"/>
        </w:rPr>
        <w:t>Lambert A</w:t>
      </w:r>
      <w:r w:rsidRPr="0037251D">
        <w:rPr>
          <w:rFonts w:ascii="Book Antiqua" w:eastAsia="Book Antiqua" w:hAnsi="Book Antiqua" w:cs="Book Antiqua"/>
          <w:color w:val="000000"/>
        </w:rPr>
        <w:t xml:space="preserve">, Schwarz L, Borbath I, Henry A, Van Laethem JL, Malka D, Ducreux M, Conroy T. An update on treatment options for pancreatic adenocarcinoma. </w:t>
      </w:r>
      <w:r w:rsidRPr="0037251D">
        <w:rPr>
          <w:rFonts w:ascii="Book Antiqua" w:eastAsia="Book Antiqua" w:hAnsi="Book Antiqua" w:cs="Book Antiqua"/>
          <w:i/>
          <w:iCs/>
          <w:color w:val="000000"/>
        </w:rPr>
        <w:t>Ther Adv Med Oncol</w:t>
      </w:r>
      <w:r w:rsidRPr="0037251D">
        <w:rPr>
          <w:rFonts w:ascii="Book Antiqua" w:eastAsia="Book Antiqua" w:hAnsi="Book Antiqua" w:cs="Book Antiqua"/>
          <w:color w:val="000000"/>
        </w:rPr>
        <w:t xml:space="preserve"> 2019; </w:t>
      </w:r>
      <w:r w:rsidRPr="0037251D">
        <w:rPr>
          <w:rFonts w:ascii="Book Antiqua" w:eastAsia="Book Antiqua" w:hAnsi="Book Antiqua" w:cs="Book Antiqua"/>
          <w:b/>
          <w:bCs/>
          <w:color w:val="000000"/>
        </w:rPr>
        <w:t>11</w:t>
      </w:r>
      <w:r w:rsidRPr="0037251D">
        <w:rPr>
          <w:rFonts w:ascii="Book Antiqua" w:eastAsia="Book Antiqua" w:hAnsi="Book Antiqua" w:cs="Book Antiqua"/>
          <w:color w:val="000000"/>
        </w:rPr>
        <w:t>: 1758835919875568 [PMID: 31598142 DOI: 10.1177/1758835919875568]</w:t>
      </w:r>
    </w:p>
    <w:p w14:paraId="5CDA6458" w14:textId="77777777" w:rsidR="00A77B3E" w:rsidRPr="0037251D" w:rsidRDefault="008404AF">
      <w:pPr>
        <w:spacing w:line="360" w:lineRule="auto"/>
        <w:jc w:val="both"/>
      </w:pPr>
      <w:r w:rsidRPr="0037251D">
        <w:rPr>
          <w:rFonts w:ascii="Book Antiqua" w:eastAsia="Book Antiqua" w:hAnsi="Book Antiqua" w:cs="Book Antiqua"/>
          <w:color w:val="000000"/>
        </w:rPr>
        <w:t xml:space="preserve">4 </w:t>
      </w:r>
      <w:r w:rsidRPr="0037251D">
        <w:rPr>
          <w:rFonts w:ascii="Book Antiqua" w:eastAsia="Book Antiqua" w:hAnsi="Book Antiqua" w:cs="Book Antiqua"/>
          <w:b/>
          <w:bCs/>
          <w:color w:val="000000"/>
        </w:rPr>
        <w:t>Moffat GT</w:t>
      </w:r>
      <w:r w:rsidRPr="0037251D">
        <w:rPr>
          <w:rFonts w:ascii="Book Antiqua" w:eastAsia="Book Antiqua" w:hAnsi="Book Antiqua" w:cs="Book Antiqua"/>
          <w:color w:val="000000"/>
        </w:rPr>
        <w:t xml:space="preserve">, Epstein AS, O'Reilly EM. Pancreatic cancer-A disease in need: Optimizing and integrating supportive care. </w:t>
      </w:r>
      <w:r w:rsidRPr="0037251D">
        <w:rPr>
          <w:rFonts w:ascii="Book Antiqua" w:eastAsia="Book Antiqua" w:hAnsi="Book Antiqua" w:cs="Book Antiqua"/>
          <w:i/>
          <w:iCs/>
          <w:color w:val="000000"/>
        </w:rPr>
        <w:t>Cancer</w:t>
      </w:r>
      <w:r w:rsidRPr="0037251D">
        <w:rPr>
          <w:rFonts w:ascii="Book Antiqua" w:eastAsia="Book Antiqua" w:hAnsi="Book Antiqua" w:cs="Book Antiqua"/>
          <w:color w:val="000000"/>
        </w:rPr>
        <w:t xml:space="preserve"> 2019; </w:t>
      </w:r>
      <w:r w:rsidRPr="0037251D">
        <w:rPr>
          <w:rFonts w:ascii="Book Antiqua" w:eastAsia="Book Antiqua" w:hAnsi="Book Antiqua" w:cs="Book Antiqua"/>
          <w:b/>
          <w:bCs/>
          <w:color w:val="000000"/>
        </w:rPr>
        <w:t>125</w:t>
      </w:r>
      <w:r w:rsidRPr="0037251D">
        <w:rPr>
          <w:rFonts w:ascii="Book Antiqua" w:eastAsia="Book Antiqua" w:hAnsi="Book Antiqua" w:cs="Book Antiqua"/>
          <w:color w:val="000000"/>
        </w:rPr>
        <w:t>: 3927-3935 [PMID: 31381149 DOI: 10.1002/cncr.32423]</w:t>
      </w:r>
    </w:p>
    <w:p w14:paraId="414876AF" w14:textId="77777777" w:rsidR="00A77B3E" w:rsidRPr="0037251D" w:rsidRDefault="008404AF">
      <w:pPr>
        <w:spacing w:line="360" w:lineRule="auto"/>
        <w:jc w:val="both"/>
      </w:pPr>
      <w:r w:rsidRPr="0037251D">
        <w:rPr>
          <w:rFonts w:ascii="Book Antiqua" w:eastAsia="Book Antiqua" w:hAnsi="Book Antiqua" w:cs="Book Antiqua"/>
          <w:color w:val="000000"/>
        </w:rPr>
        <w:t xml:space="preserve">5 </w:t>
      </w:r>
      <w:r w:rsidRPr="0037251D">
        <w:rPr>
          <w:rFonts w:ascii="Book Antiqua" w:eastAsia="Book Antiqua" w:hAnsi="Book Antiqua" w:cs="Book Antiqua"/>
          <w:b/>
          <w:bCs/>
          <w:color w:val="000000"/>
        </w:rPr>
        <w:t>Farge D</w:t>
      </w:r>
      <w:r w:rsidRPr="0037251D">
        <w:rPr>
          <w:rFonts w:ascii="Book Antiqua" w:eastAsia="Book Antiqua" w:hAnsi="Book Antiqua" w:cs="Book Antiqua"/>
          <w:color w:val="000000"/>
        </w:rPr>
        <w:t xml:space="preserve">, Bournet B, Conroy T, Vicaut E, Rak J, Zogoulous G, Barkun J, Ouaissi M, Buscail L, Frere C. Primary Thromboprophylaxis in Pancreatic Cancer Patients: Why Clinical Practice Guidelines Should Be Implemented. </w:t>
      </w:r>
      <w:r w:rsidRPr="0037251D">
        <w:rPr>
          <w:rFonts w:ascii="Book Antiqua" w:eastAsia="Book Antiqua" w:hAnsi="Book Antiqua" w:cs="Book Antiqua"/>
          <w:i/>
          <w:iCs/>
          <w:color w:val="000000"/>
        </w:rPr>
        <w:t>Cancers (Basel)</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12</w:t>
      </w:r>
      <w:r w:rsidRPr="0037251D">
        <w:rPr>
          <w:rFonts w:ascii="Book Antiqua" w:eastAsia="Book Antiqua" w:hAnsi="Book Antiqua" w:cs="Book Antiqua"/>
          <w:color w:val="000000"/>
        </w:rPr>
        <w:t xml:space="preserve"> [PMID: 32155940 DOI: 10.3390/cancers12030618]</w:t>
      </w:r>
    </w:p>
    <w:p w14:paraId="13FDF4F0" w14:textId="77777777" w:rsidR="00A77B3E" w:rsidRPr="0037251D" w:rsidRDefault="008404AF">
      <w:pPr>
        <w:spacing w:line="360" w:lineRule="auto"/>
        <w:jc w:val="both"/>
      </w:pPr>
      <w:r w:rsidRPr="0037251D">
        <w:rPr>
          <w:rFonts w:ascii="Book Antiqua" w:eastAsia="Book Antiqua" w:hAnsi="Book Antiqua" w:cs="Book Antiqua"/>
          <w:color w:val="000000"/>
        </w:rPr>
        <w:t xml:space="preserve">6 </w:t>
      </w:r>
      <w:r w:rsidRPr="0037251D">
        <w:rPr>
          <w:rFonts w:ascii="Book Antiqua" w:eastAsia="Book Antiqua" w:hAnsi="Book Antiqua" w:cs="Book Antiqua"/>
          <w:b/>
          <w:bCs/>
          <w:color w:val="000000"/>
        </w:rPr>
        <w:t>Chiasakul T</w:t>
      </w:r>
      <w:r w:rsidRPr="0037251D">
        <w:rPr>
          <w:rFonts w:ascii="Book Antiqua" w:eastAsia="Book Antiqua" w:hAnsi="Book Antiqua" w:cs="Book Antiqua"/>
          <w:color w:val="000000"/>
        </w:rPr>
        <w:t xml:space="preserve">, Patell R, Maraveyas A, Carrier M, Zwicker JI. Discordant reporting of VTE in pancreatic cancer: A systematic review and meta-analysis of thromboprophylaxis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chemotherapeutic trials. </w:t>
      </w:r>
      <w:r w:rsidRPr="0037251D">
        <w:rPr>
          <w:rFonts w:ascii="Book Antiqua" w:eastAsia="Book Antiqua" w:hAnsi="Book Antiqua" w:cs="Book Antiqua"/>
          <w:i/>
          <w:iCs/>
          <w:color w:val="000000"/>
        </w:rPr>
        <w:t>J Thromb Haemost</w:t>
      </w:r>
      <w:r w:rsidRPr="0037251D">
        <w:rPr>
          <w:rFonts w:ascii="Book Antiqua" w:eastAsia="Book Antiqua" w:hAnsi="Book Antiqua" w:cs="Book Antiqua"/>
          <w:color w:val="000000"/>
        </w:rPr>
        <w:t xml:space="preserve"> 2021; </w:t>
      </w:r>
      <w:r w:rsidRPr="0037251D">
        <w:rPr>
          <w:rFonts w:ascii="Book Antiqua" w:eastAsia="Book Antiqua" w:hAnsi="Book Antiqua" w:cs="Book Antiqua"/>
          <w:b/>
          <w:bCs/>
          <w:color w:val="000000"/>
        </w:rPr>
        <w:t>19</w:t>
      </w:r>
      <w:r w:rsidRPr="0037251D">
        <w:rPr>
          <w:rFonts w:ascii="Book Antiqua" w:eastAsia="Book Antiqua" w:hAnsi="Book Antiqua" w:cs="Book Antiqua"/>
          <w:color w:val="000000"/>
        </w:rPr>
        <w:t>: 489-501 [PMID: 33174368 DOI: 10.1111/jth.15175]</w:t>
      </w:r>
    </w:p>
    <w:p w14:paraId="10AA5B1B" w14:textId="77777777" w:rsidR="00A77B3E" w:rsidRPr="0037251D" w:rsidRDefault="008404AF">
      <w:pPr>
        <w:spacing w:line="360" w:lineRule="auto"/>
        <w:jc w:val="both"/>
      </w:pPr>
      <w:r w:rsidRPr="0037251D">
        <w:rPr>
          <w:rFonts w:ascii="Book Antiqua" w:eastAsia="Book Antiqua" w:hAnsi="Book Antiqua" w:cs="Book Antiqua"/>
          <w:color w:val="000000"/>
        </w:rPr>
        <w:t xml:space="preserve">7 </w:t>
      </w:r>
      <w:r w:rsidRPr="0037251D">
        <w:rPr>
          <w:rFonts w:ascii="Book Antiqua" w:eastAsia="Book Antiqua" w:hAnsi="Book Antiqua" w:cs="Book Antiqua"/>
          <w:b/>
          <w:bCs/>
          <w:color w:val="000000"/>
        </w:rPr>
        <w:t>Mulder FI</w:t>
      </w:r>
      <w:r w:rsidRPr="0037251D">
        <w:rPr>
          <w:rFonts w:ascii="Book Antiqua" w:eastAsia="Book Antiqua" w:hAnsi="Book Antiqua" w:cs="Book Antiqua"/>
          <w:color w:val="000000"/>
        </w:rPr>
        <w:t xml:space="preserve">, Horváth-Puhó E, van Es N, van Laarhoven HWM, Pedersen L, Moik F, Ay C, Büller HR, Sørensen HT. Venous thromboembolism in cancer patients: a population-based cohort study. </w:t>
      </w:r>
      <w:r w:rsidRPr="0037251D">
        <w:rPr>
          <w:rFonts w:ascii="Book Antiqua" w:eastAsia="Book Antiqua" w:hAnsi="Book Antiqua" w:cs="Book Antiqua"/>
          <w:i/>
          <w:iCs/>
          <w:color w:val="000000"/>
        </w:rPr>
        <w:t>Blood</w:t>
      </w:r>
      <w:r w:rsidRPr="0037251D">
        <w:rPr>
          <w:rFonts w:ascii="Book Antiqua" w:eastAsia="Book Antiqua" w:hAnsi="Book Antiqua" w:cs="Book Antiqua"/>
          <w:color w:val="000000"/>
        </w:rPr>
        <w:t xml:space="preserve"> 2021; </w:t>
      </w:r>
      <w:r w:rsidRPr="0037251D">
        <w:rPr>
          <w:rFonts w:ascii="Book Antiqua" w:eastAsia="Book Antiqua" w:hAnsi="Book Antiqua" w:cs="Book Antiqua"/>
          <w:b/>
          <w:bCs/>
          <w:color w:val="000000"/>
        </w:rPr>
        <w:t>137</w:t>
      </w:r>
      <w:r w:rsidRPr="0037251D">
        <w:rPr>
          <w:rFonts w:ascii="Book Antiqua" w:eastAsia="Book Antiqua" w:hAnsi="Book Antiqua" w:cs="Book Antiqua"/>
          <w:color w:val="000000"/>
        </w:rPr>
        <w:t>: 1959-1969 [PMID: 33171494 DOI: 10.1182/blood.2020007338]</w:t>
      </w:r>
    </w:p>
    <w:p w14:paraId="7275CBF5" w14:textId="77777777" w:rsidR="00A77B3E" w:rsidRPr="0037251D" w:rsidRDefault="008404AF">
      <w:pPr>
        <w:spacing w:line="360" w:lineRule="auto"/>
        <w:jc w:val="both"/>
      </w:pPr>
      <w:r w:rsidRPr="0037251D">
        <w:rPr>
          <w:rFonts w:ascii="Book Antiqua" w:eastAsia="Book Antiqua" w:hAnsi="Book Antiqua" w:cs="Book Antiqua"/>
          <w:color w:val="000000"/>
        </w:rPr>
        <w:t xml:space="preserve">8 </w:t>
      </w:r>
      <w:r w:rsidRPr="0037251D">
        <w:rPr>
          <w:rFonts w:ascii="Book Antiqua" w:eastAsia="Book Antiqua" w:hAnsi="Book Antiqua" w:cs="Book Antiqua"/>
          <w:b/>
          <w:bCs/>
          <w:color w:val="000000"/>
        </w:rPr>
        <w:t>Farge D</w:t>
      </w:r>
      <w:r w:rsidRPr="0037251D">
        <w:rPr>
          <w:rFonts w:ascii="Book Antiqua" w:eastAsia="Book Antiqua" w:hAnsi="Book Antiqua" w:cs="Book Antiqua"/>
          <w:color w:val="000000"/>
        </w:rPr>
        <w:t xml:space="preserve">, Frere C, Connors JM, Ay C, Khorana AA, Munoz A, Brenner B, Kakkar A, Rafii H, Solymoss S, Brilhante D, Monreal M, Bounameaux H, Pabinger I, Douketis J; International Initiative on Thrombosis and Cancer (ITAC) advisory panel. 2019 international clinical practice guidelines for the treatment and prophylaxis of venous thromboembolism in patients with cancer. </w:t>
      </w:r>
      <w:r w:rsidRPr="0037251D">
        <w:rPr>
          <w:rFonts w:ascii="Book Antiqua" w:eastAsia="Book Antiqua" w:hAnsi="Book Antiqua" w:cs="Book Antiqua"/>
          <w:i/>
          <w:iCs/>
          <w:color w:val="000000"/>
        </w:rPr>
        <w:t>Lancet Oncol</w:t>
      </w:r>
      <w:r w:rsidRPr="0037251D">
        <w:rPr>
          <w:rFonts w:ascii="Book Antiqua" w:eastAsia="Book Antiqua" w:hAnsi="Book Antiqua" w:cs="Book Antiqua"/>
          <w:color w:val="000000"/>
        </w:rPr>
        <w:t xml:space="preserve"> 2019; </w:t>
      </w:r>
      <w:r w:rsidRPr="0037251D">
        <w:rPr>
          <w:rFonts w:ascii="Book Antiqua" w:eastAsia="Book Antiqua" w:hAnsi="Book Antiqua" w:cs="Book Antiqua"/>
          <w:b/>
          <w:bCs/>
          <w:color w:val="000000"/>
        </w:rPr>
        <w:t>20</w:t>
      </w:r>
      <w:r w:rsidRPr="0037251D">
        <w:rPr>
          <w:rFonts w:ascii="Book Antiqua" w:eastAsia="Book Antiqua" w:hAnsi="Book Antiqua" w:cs="Book Antiqua"/>
          <w:color w:val="000000"/>
        </w:rPr>
        <w:t>: e566-e581 [PMID: 31492632 DOI: 10.1016/S1470-2045(19)30336-5]</w:t>
      </w:r>
    </w:p>
    <w:p w14:paraId="2C1E7C34" w14:textId="77777777" w:rsidR="00A77B3E" w:rsidRPr="0037251D" w:rsidRDefault="008404AF">
      <w:pPr>
        <w:spacing w:line="360" w:lineRule="auto"/>
        <w:jc w:val="both"/>
      </w:pPr>
      <w:r w:rsidRPr="0037251D">
        <w:rPr>
          <w:rFonts w:ascii="Book Antiqua" w:eastAsia="Book Antiqua" w:hAnsi="Book Antiqua" w:cs="Book Antiqua"/>
          <w:color w:val="000000"/>
        </w:rPr>
        <w:lastRenderedPageBreak/>
        <w:t xml:space="preserve">9 </w:t>
      </w:r>
      <w:r w:rsidRPr="0037251D">
        <w:rPr>
          <w:rFonts w:ascii="Book Antiqua" w:eastAsia="Book Antiqua" w:hAnsi="Book Antiqua" w:cs="Book Antiqua"/>
          <w:b/>
          <w:bCs/>
          <w:color w:val="000000"/>
        </w:rPr>
        <w:t>Prandoni P</w:t>
      </w:r>
      <w:r w:rsidRPr="0037251D">
        <w:rPr>
          <w:rFonts w:ascii="Book Antiqua" w:eastAsia="Book Antiqua" w:hAnsi="Book Antiqua" w:cs="Book Antiqua"/>
          <w:color w:val="000000"/>
        </w:rPr>
        <w:t xml:space="preserve">, Lensing AW, Piccioli A, Bernardi E, Simioni P, Girolami B, Marchiori A, Sabbion P, Prins MH, Noventa F, Girolami A. Recurrent venous thromboembolism and bleeding complications during anticoagulant treatment in patients with cancer and venous thrombosis. </w:t>
      </w:r>
      <w:r w:rsidRPr="0037251D">
        <w:rPr>
          <w:rFonts w:ascii="Book Antiqua" w:eastAsia="Book Antiqua" w:hAnsi="Book Antiqua" w:cs="Book Antiqua"/>
          <w:i/>
          <w:iCs/>
          <w:color w:val="000000"/>
        </w:rPr>
        <w:t>Blood</w:t>
      </w:r>
      <w:r w:rsidRPr="0037251D">
        <w:rPr>
          <w:rFonts w:ascii="Book Antiqua" w:eastAsia="Book Antiqua" w:hAnsi="Book Antiqua" w:cs="Book Antiqua"/>
          <w:color w:val="000000"/>
        </w:rPr>
        <w:t xml:space="preserve"> 2002; </w:t>
      </w:r>
      <w:r w:rsidRPr="0037251D">
        <w:rPr>
          <w:rFonts w:ascii="Book Antiqua" w:eastAsia="Book Antiqua" w:hAnsi="Book Antiqua" w:cs="Book Antiqua"/>
          <w:b/>
          <w:bCs/>
          <w:color w:val="000000"/>
        </w:rPr>
        <w:t>100</w:t>
      </w:r>
      <w:r w:rsidRPr="0037251D">
        <w:rPr>
          <w:rFonts w:ascii="Book Antiqua" w:eastAsia="Book Antiqua" w:hAnsi="Book Antiqua" w:cs="Book Antiqua"/>
          <w:color w:val="000000"/>
        </w:rPr>
        <w:t>: 3484-3488 [PMID: 12393647 DOI: 10.1182/blood-2002-01-0108]</w:t>
      </w:r>
    </w:p>
    <w:p w14:paraId="288F96A8" w14:textId="77777777" w:rsidR="00A77B3E" w:rsidRPr="0037251D" w:rsidRDefault="008404AF">
      <w:pPr>
        <w:spacing w:line="360" w:lineRule="auto"/>
        <w:jc w:val="both"/>
      </w:pPr>
      <w:r w:rsidRPr="0037251D">
        <w:rPr>
          <w:rFonts w:ascii="Book Antiqua" w:eastAsia="Book Antiqua" w:hAnsi="Book Antiqua" w:cs="Book Antiqua"/>
          <w:color w:val="000000"/>
        </w:rPr>
        <w:t xml:space="preserve">10 </w:t>
      </w:r>
      <w:r w:rsidRPr="0037251D">
        <w:rPr>
          <w:rFonts w:ascii="Book Antiqua" w:eastAsia="Book Antiqua" w:hAnsi="Book Antiqua" w:cs="Book Antiqua"/>
          <w:b/>
          <w:bCs/>
          <w:color w:val="000000"/>
        </w:rPr>
        <w:t>Abdulla A</w:t>
      </w:r>
      <w:r w:rsidRPr="0037251D">
        <w:rPr>
          <w:rFonts w:ascii="Book Antiqua" w:eastAsia="Book Antiqua" w:hAnsi="Book Antiqua" w:cs="Book Antiqua"/>
          <w:color w:val="000000"/>
        </w:rPr>
        <w:t xml:space="preserve">, Davis WM, Ratnaweera N, Szefer E, Ballantyne Scott B, Lee AYY. A Meta-Analysis of Case Fatality Rates of Recurrent Venous Thromboembolism and Major Bleeding in Patients with Cancer. </w:t>
      </w:r>
      <w:r w:rsidRPr="0037251D">
        <w:rPr>
          <w:rFonts w:ascii="Book Antiqua" w:eastAsia="Book Antiqua" w:hAnsi="Book Antiqua" w:cs="Book Antiqua"/>
          <w:i/>
          <w:iCs/>
          <w:color w:val="000000"/>
        </w:rPr>
        <w:t>Thromb Haemost</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120</w:t>
      </w:r>
      <w:r w:rsidRPr="0037251D">
        <w:rPr>
          <w:rFonts w:ascii="Book Antiqua" w:eastAsia="Book Antiqua" w:hAnsi="Book Antiqua" w:cs="Book Antiqua"/>
          <w:color w:val="000000"/>
        </w:rPr>
        <w:t>: 702-713 [PMID: 32289865 DOI: 10.1055/s-0040-1708481]</w:t>
      </w:r>
    </w:p>
    <w:p w14:paraId="2793749D" w14:textId="77777777" w:rsidR="00A77B3E" w:rsidRPr="0037251D" w:rsidRDefault="008404AF">
      <w:pPr>
        <w:spacing w:line="360" w:lineRule="auto"/>
        <w:jc w:val="both"/>
      </w:pPr>
      <w:r w:rsidRPr="0037251D">
        <w:rPr>
          <w:rFonts w:ascii="Book Antiqua" w:eastAsia="Book Antiqua" w:hAnsi="Book Antiqua" w:cs="Book Antiqua"/>
          <w:color w:val="000000"/>
        </w:rPr>
        <w:t xml:space="preserve">11 </w:t>
      </w:r>
      <w:r w:rsidRPr="0037251D">
        <w:rPr>
          <w:rFonts w:ascii="Book Antiqua" w:eastAsia="Book Antiqua" w:hAnsi="Book Antiqua" w:cs="Book Antiqua"/>
          <w:b/>
          <w:bCs/>
          <w:color w:val="000000"/>
        </w:rPr>
        <w:t>Key NS</w:t>
      </w:r>
      <w:r w:rsidRPr="0037251D">
        <w:rPr>
          <w:rFonts w:ascii="Book Antiqua" w:eastAsia="Book Antiqua" w:hAnsi="Book Antiqua" w:cs="Book Antiqua"/>
          <w:color w:val="000000"/>
        </w:rPr>
        <w:t xml:space="preserve">, Khorana AA, Kuderer NM, Bohlke K, Lee AYY, Arcelus JI, Wong SL, Balaban EP, Flowers CR, Francis CW, Gates LE, Kakkar AK, Levine MN, Liebman HA, Tempero MA, Lyman GH, Falanga A. Venous Thromboembolism Prophylaxis and Treatment in Patients With Cancer: ASCO Clinical Practice Guideline Update. </w:t>
      </w:r>
      <w:r w:rsidRPr="0037251D">
        <w:rPr>
          <w:rFonts w:ascii="Book Antiqua" w:eastAsia="Book Antiqua" w:hAnsi="Book Antiqua" w:cs="Book Antiqua"/>
          <w:i/>
          <w:iCs/>
          <w:color w:val="000000"/>
        </w:rPr>
        <w:t>J Clin Oncol</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38</w:t>
      </w:r>
      <w:r w:rsidRPr="0037251D">
        <w:rPr>
          <w:rFonts w:ascii="Book Antiqua" w:eastAsia="Book Antiqua" w:hAnsi="Book Antiqua" w:cs="Book Antiqua"/>
          <w:color w:val="000000"/>
        </w:rPr>
        <w:t>: 496-520 [PMID: 31381464 DOI: 10.1200/JCO.19.01461]</w:t>
      </w:r>
    </w:p>
    <w:p w14:paraId="5EED6CBF" w14:textId="2B69A869" w:rsidR="00A77B3E" w:rsidRPr="0037251D" w:rsidRDefault="008404AF">
      <w:pPr>
        <w:spacing w:line="360" w:lineRule="auto"/>
        <w:jc w:val="both"/>
      </w:pPr>
      <w:r w:rsidRPr="0037251D">
        <w:rPr>
          <w:rFonts w:ascii="Book Antiqua" w:eastAsia="Book Antiqua" w:hAnsi="Book Antiqua" w:cs="Book Antiqua"/>
          <w:color w:val="000000"/>
        </w:rPr>
        <w:t xml:space="preserve">12 </w:t>
      </w:r>
      <w:bookmarkStart w:id="4" w:name="_Hlk69813646"/>
      <w:r w:rsidRPr="0037251D">
        <w:rPr>
          <w:rFonts w:ascii="Book Antiqua" w:eastAsia="Book Antiqua" w:hAnsi="Book Antiqua" w:cs="Book Antiqua"/>
          <w:b/>
          <w:bCs/>
          <w:color w:val="000000"/>
        </w:rPr>
        <w:t>National Comprehensive Cancer Network</w:t>
      </w:r>
      <w:bookmarkEnd w:id="4"/>
      <w:r w:rsidRPr="0037251D">
        <w:rPr>
          <w:rFonts w:ascii="Book Antiqua" w:eastAsia="Book Antiqua" w:hAnsi="Book Antiqua" w:cs="Book Antiqua"/>
          <w:color w:val="000000"/>
        </w:rPr>
        <w:t xml:space="preserve">. NCCN guideline on cancer‐associated venous thromboembolic disease. Version 1. 2020. </w:t>
      </w:r>
      <w:r w:rsidR="00796C40" w:rsidRPr="0037251D">
        <w:rPr>
          <w:rFonts w:ascii="Book Antiqua" w:eastAsia="Book Antiqua" w:hAnsi="Book Antiqua" w:cs="Book Antiqua"/>
          <w:color w:val="000000"/>
        </w:rPr>
        <w:t xml:space="preserve">[cited 3 January 2021]. In: National Comprehensive Cancer Network [Internet]. </w:t>
      </w:r>
      <w:r w:rsidRPr="0037251D">
        <w:rPr>
          <w:rFonts w:ascii="Book Antiqua" w:eastAsia="Book Antiqua" w:hAnsi="Book Antiqua" w:cs="Book Antiqua"/>
          <w:color w:val="000000"/>
        </w:rPr>
        <w:t xml:space="preserve">Available </w:t>
      </w:r>
      <w:r w:rsidR="00796C40" w:rsidRPr="0037251D">
        <w:rPr>
          <w:rFonts w:ascii="Book Antiqua" w:eastAsia="Book Antiqua" w:hAnsi="Book Antiqua" w:cs="Book Antiqua"/>
          <w:color w:val="000000"/>
        </w:rPr>
        <w:t>from:</w:t>
      </w:r>
      <w:r w:rsidRPr="0037251D">
        <w:rPr>
          <w:rFonts w:ascii="Book Antiqua" w:eastAsia="Book Antiqua" w:hAnsi="Book Antiqua" w:cs="Book Antiqua"/>
          <w:color w:val="000000"/>
        </w:rPr>
        <w:t xml:space="preserve"> https://www.nccn.org/professionals/physician_gls/pdf/vte.pdf</w:t>
      </w:r>
    </w:p>
    <w:p w14:paraId="5571C0B0" w14:textId="79668FFD" w:rsidR="00A77B3E" w:rsidRPr="0037251D" w:rsidRDefault="008404AF">
      <w:pPr>
        <w:spacing w:line="360" w:lineRule="auto"/>
        <w:jc w:val="both"/>
      </w:pPr>
      <w:r w:rsidRPr="0037251D">
        <w:rPr>
          <w:rFonts w:ascii="Book Antiqua" w:eastAsia="Book Antiqua" w:hAnsi="Book Antiqua" w:cs="Book Antiqua"/>
          <w:color w:val="000000"/>
        </w:rPr>
        <w:t xml:space="preserve">13 </w:t>
      </w:r>
      <w:r w:rsidRPr="0037251D">
        <w:rPr>
          <w:rFonts w:ascii="Book Antiqua" w:eastAsia="Book Antiqua" w:hAnsi="Book Antiqua" w:cs="Book Antiqua"/>
          <w:b/>
          <w:bCs/>
          <w:color w:val="000000"/>
        </w:rPr>
        <w:t>Levitan N</w:t>
      </w:r>
      <w:r w:rsidRPr="0037251D">
        <w:rPr>
          <w:rFonts w:ascii="Book Antiqua" w:eastAsia="Book Antiqua" w:hAnsi="Book Antiqua" w:cs="Book Antiqua"/>
          <w:color w:val="000000"/>
        </w:rPr>
        <w:t xml:space="preserve">, Dowlati A, Remick SC, Tahsildar HI, Sivinski LD, Beyth R, Rimm AA. Rates of initial and recurrent thromboembolic disease among patients with malignancy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those without malignancy. Risk analysis using Medicare claims data. </w:t>
      </w:r>
      <w:r w:rsidRPr="0037251D">
        <w:rPr>
          <w:rFonts w:ascii="Book Antiqua" w:eastAsia="Book Antiqua" w:hAnsi="Book Antiqua" w:cs="Book Antiqua"/>
          <w:i/>
          <w:iCs/>
          <w:color w:val="000000"/>
        </w:rPr>
        <w:t>Medicine (Baltimore)</w:t>
      </w:r>
      <w:r w:rsidRPr="0037251D">
        <w:rPr>
          <w:rFonts w:ascii="Book Antiqua" w:eastAsia="Book Antiqua" w:hAnsi="Book Antiqua" w:cs="Book Antiqua"/>
          <w:color w:val="000000"/>
        </w:rPr>
        <w:t xml:space="preserve"> 1999; </w:t>
      </w:r>
      <w:r w:rsidRPr="0037251D">
        <w:rPr>
          <w:rFonts w:ascii="Book Antiqua" w:eastAsia="Book Antiqua" w:hAnsi="Book Antiqua" w:cs="Book Antiqua"/>
          <w:b/>
          <w:bCs/>
          <w:color w:val="000000"/>
        </w:rPr>
        <w:t>78</w:t>
      </w:r>
      <w:r w:rsidRPr="0037251D">
        <w:rPr>
          <w:rFonts w:ascii="Book Antiqua" w:eastAsia="Book Antiqua" w:hAnsi="Book Antiqua" w:cs="Book Antiqua"/>
          <w:color w:val="000000"/>
        </w:rPr>
        <w:t>: 285</w:t>
      </w:r>
      <w:r w:rsidR="00796C40" w:rsidRPr="0037251D">
        <w:rPr>
          <w:rFonts w:ascii="Book Antiqua" w:eastAsia="Book Antiqua" w:hAnsi="Book Antiqua" w:cs="Book Antiqua"/>
          <w:color w:val="000000"/>
        </w:rPr>
        <w:t>-</w:t>
      </w:r>
      <w:r w:rsidRPr="0037251D">
        <w:rPr>
          <w:rFonts w:ascii="Book Antiqua" w:eastAsia="Book Antiqua" w:hAnsi="Book Antiqua" w:cs="Book Antiqua"/>
          <w:color w:val="000000"/>
        </w:rPr>
        <w:t>291</w:t>
      </w:r>
    </w:p>
    <w:p w14:paraId="07FA0FF6" w14:textId="77777777" w:rsidR="00A77B3E" w:rsidRPr="0037251D" w:rsidRDefault="008404AF">
      <w:pPr>
        <w:spacing w:line="360" w:lineRule="auto"/>
        <w:jc w:val="both"/>
      </w:pPr>
      <w:r w:rsidRPr="0037251D">
        <w:rPr>
          <w:rFonts w:ascii="Book Antiqua" w:eastAsia="Book Antiqua" w:hAnsi="Book Antiqua" w:cs="Book Antiqua"/>
          <w:color w:val="000000"/>
        </w:rPr>
        <w:t xml:space="preserve">14 </w:t>
      </w:r>
      <w:r w:rsidRPr="0037251D">
        <w:rPr>
          <w:rFonts w:ascii="Book Antiqua" w:eastAsia="Book Antiqua" w:hAnsi="Book Antiqua" w:cs="Book Antiqua"/>
          <w:b/>
          <w:bCs/>
          <w:color w:val="000000"/>
        </w:rPr>
        <w:t>Horsted F</w:t>
      </w:r>
      <w:r w:rsidRPr="0037251D">
        <w:rPr>
          <w:rFonts w:ascii="Book Antiqua" w:eastAsia="Book Antiqua" w:hAnsi="Book Antiqua" w:cs="Book Antiqua"/>
          <w:color w:val="000000"/>
        </w:rPr>
        <w:t xml:space="preserve">, West J, Grainge MJ. Risk of venous thromboembolism in patients with cancer: a systematic review and meta-analysis. </w:t>
      </w:r>
      <w:r w:rsidRPr="0037251D">
        <w:rPr>
          <w:rFonts w:ascii="Book Antiqua" w:eastAsia="Book Antiqua" w:hAnsi="Book Antiqua" w:cs="Book Antiqua"/>
          <w:i/>
          <w:iCs/>
          <w:color w:val="000000"/>
        </w:rPr>
        <w:t>PLoS Med</w:t>
      </w:r>
      <w:r w:rsidRPr="0037251D">
        <w:rPr>
          <w:rFonts w:ascii="Book Antiqua" w:eastAsia="Book Antiqua" w:hAnsi="Book Antiqua" w:cs="Book Antiqua"/>
          <w:color w:val="000000"/>
        </w:rPr>
        <w:t xml:space="preserve"> 2012; </w:t>
      </w:r>
      <w:r w:rsidRPr="0037251D">
        <w:rPr>
          <w:rFonts w:ascii="Book Antiqua" w:eastAsia="Book Antiqua" w:hAnsi="Book Antiqua" w:cs="Book Antiqua"/>
          <w:b/>
          <w:bCs/>
          <w:color w:val="000000"/>
        </w:rPr>
        <w:t>9</w:t>
      </w:r>
      <w:r w:rsidRPr="0037251D">
        <w:rPr>
          <w:rFonts w:ascii="Book Antiqua" w:eastAsia="Book Antiqua" w:hAnsi="Book Antiqua" w:cs="Book Antiqua"/>
          <w:color w:val="000000"/>
        </w:rPr>
        <w:t>: e1001275 [PMID: 22859911 DOI: 10.1371/journal.pmed.1001275]</w:t>
      </w:r>
    </w:p>
    <w:p w14:paraId="1F42F2B0" w14:textId="45C72EE3" w:rsidR="00A77B3E" w:rsidRPr="0037251D" w:rsidRDefault="008404AF">
      <w:pPr>
        <w:spacing w:line="360" w:lineRule="auto"/>
        <w:jc w:val="both"/>
      </w:pPr>
      <w:r w:rsidRPr="0037251D">
        <w:rPr>
          <w:rFonts w:ascii="Book Antiqua" w:eastAsia="Book Antiqua" w:hAnsi="Book Antiqua" w:cs="Book Antiqua"/>
          <w:color w:val="000000"/>
        </w:rPr>
        <w:t xml:space="preserve">15 </w:t>
      </w:r>
      <w:r w:rsidRPr="0037251D">
        <w:rPr>
          <w:rFonts w:ascii="Book Antiqua" w:eastAsia="Book Antiqua" w:hAnsi="Book Antiqua" w:cs="Book Antiqua"/>
          <w:b/>
          <w:bCs/>
          <w:color w:val="000000"/>
        </w:rPr>
        <w:t>Sproul EE</w:t>
      </w:r>
      <w:r w:rsidRPr="0037251D">
        <w:rPr>
          <w:rFonts w:ascii="Book Antiqua" w:eastAsia="Book Antiqua" w:hAnsi="Book Antiqua" w:cs="Book Antiqua"/>
          <w:color w:val="000000"/>
        </w:rPr>
        <w:t xml:space="preserve">. Carcinoma and Venous Thrombosis: The Frequency of Association of Carcinoma in the Body or Tail of the Pancreas with Multiple Venous Thrombosis. </w:t>
      </w:r>
      <w:r w:rsidRPr="0037251D">
        <w:rPr>
          <w:rFonts w:ascii="Book Antiqua" w:eastAsia="Book Antiqua" w:hAnsi="Book Antiqua" w:cs="Book Antiqua"/>
          <w:i/>
          <w:iCs/>
          <w:color w:val="000000"/>
        </w:rPr>
        <w:t>Am J Cancer</w:t>
      </w:r>
      <w:r w:rsidRPr="0037251D">
        <w:rPr>
          <w:rFonts w:ascii="Book Antiqua" w:eastAsia="Book Antiqua" w:hAnsi="Book Antiqua" w:cs="Book Antiqua"/>
          <w:color w:val="000000"/>
        </w:rPr>
        <w:t xml:space="preserve"> 1938; </w:t>
      </w:r>
      <w:r w:rsidRPr="0037251D">
        <w:rPr>
          <w:rFonts w:ascii="Book Antiqua" w:eastAsia="Book Antiqua" w:hAnsi="Book Antiqua" w:cs="Book Antiqua"/>
          <w:b/>
          <w:bCs/>
          <w:color w:val="000000"/>
        </w:rPr>
        <w:t>34</w:t>
      </w:r>
      <w:r w:rsidRPr="0037251D">
        <w:rPr>
          <w:rFonts w:ascii="Book Antiqua" w:eastAsia="Book Antiqua" w:hAnsi="Book Antiqua" w:cs="Book Antiqua"/>
          <w:color w:val="000000"/>
        </w:rPr>
        <w:t>: 566</w:t>
      </w:r>
      <w:r w:rsidR="00796C40" w:rsidRPr="0037251D">
        <w:rPr>
          <w:rFonts w:ascii="Book Antiqua" w:eastAsia="Book Antiqua" w:hAnsi="Book Antiqua" w:cs="Book Antiqua"/>
          <w:color w:val="000000"/>
        </w:rPr>
        <w:t>-</w:t>
      </w:r>
      <w:r w:rsidRPr="0037251D">
        <w:rPr>
          <w:rFonts w:ascii="Book Antiqua" w:eastAsia="Book Antiqua" w:hAnsi="Book Antiqua" w:cs="Book Antiqua"/>
          <w:color w:val="000000"/>
        </w:rPr>
        <w:t>585</w:t>
      </w:r>
    </w:p>
    <w:p w14:paraId="666504C1" w14:textId="77777777" w:rsidR="00A77B3E" w:rsidRPr="0037251D" w:rsidRDefault="008404AF">
      <w:pPr>
        <w:spacing w:line="360" w:lineRule="auto"/>
        <w:jc w:val="both"/>
      </w:pPr>
      <w:r w:rsidRPr="0037251D">
        <w:rPr>
          <w:rFonts w:ascii="Book Antiqua" w:eastAsia="Book Antiqua" w:hAnsi="Book Antiqua" w:cs="Book Antiqua"/>
          <w:color w:val="000000"/>
        </w:rPr>
        <w:lastRenderedPageBreak/>
        <w:t xml:space="preserve">16 </w:t>
      </w:r>
      <w:r w:rsidRPr="0037251D">
        <w:rPr>
          <w:rFonts w:ascii="Book Antiqua" w:eastAsia="Book Antiqua" w:hAnsi="Book Antiqua" w:cs="Book Antiqua"/>
          <w:b/>
          <w:bCs/>
          <w:color w:val="000000"/>
        </w:rPr>
        <w:t>Blom JW</w:t>
      </w:r>
      <w:r w:rsidRPr="0037251D">
        <w:rPr>
          <w:rFonts w:ascii="Book Antiqua" w:eastAsia="Book Antiqua" w:hAnsi="Book Antiqua" w:cs="Book Antiqua"/>
          <w:color w:val="000000"/>
        </w:rPr>
        <w:t xml:space="preserve">, Osanto S, Rosendaal FR. High risk of venous thrombosis in patients with pancreatic cancer: a cohort study of 202 patients. </w:t>
      </w:r>
      <w:r w:rsidRPr="0037251D">
        <w:rPr>
          <w:rFonts w:ascii="Book Antiqua" w:eastAsia="Book Antiqua" w:hAnsi="Book Antiqua" w:cs="Book Antiqua"/>
          <w:i/>
          <w:iCs/>
          <w:color w:val="000000"/>
        </w:rPr>
        <w:t>Eur J Cancer</w:t>
      </w:r>
      <w:r w:rsidRPr="0037251D">
        <w:rPr>
          <w:rFonts w:ascii="Book Antiqua" w:eastAsia="Book Antiqua" w:hAnsi="Book Antiqua" w:cs="Book Antiqua"/>
          <w:color w:val="000000"/>
        </w:rPr>
        <w:t xml:space="preserve"> 2006; </w:t>
      </w:r>
      <w:r w:rsidRPr="0037251D">
        <w:rPr>
          <w:rFonts w:ascii="Book Antiqua" w:eastAsia="Book Antiqua" w:hAnsi="Book Antiqua" w:cs="Book Antiqua"/>
          <w:b/>
          <w:bCs/>
          <w:color w:val="000000"/>
        </w:rPr>
        <w:t>42</w:t>
      </w:r>
      <w:r w:rsidRPr="0037251D">
        <w:rPr>
          <w:rFonts w:ascii="Book Antiqua" w:eastAsia="Book Antiqua" w:hAnsi="Book Antiqua" w:cs="Book Antiqua"/>
          <w:color w:val="000000"/>
        </w:rPr>
        <w:t>: 410-414 [PMID: 16321518 DOI: 10.1016/j.ejca.2005.09.013]</w:t>
      </w:r>
    </w:p>
    <w:p w14:paraId="4C745081" w14:textId="77777777" w:rsidR="00A77B3E" w:rsidRPr="0037251D" w:rsidRDefault="008404AF">
      <w:pPr>
        <w:spacing w:line="360" w:lineRule="auto"/>
        <w:jc w:val="both"/>
      </w:pPr>
      <w:r w:rsidRPr="0037251D">
        <w:rPr>
          <w:rFonts w:ascii="Book Antiqua" w:eastAsia="Book Antiqua" w:hAnsi="Book Antiqua" w:cs="Book Antiqua"/>
          <w:color w:val="000000"/>
        </w:rPr>
        <w:t xml:space="preserve">17 </w:t>
      </w:r>
      <w:r w:rsidRPr="0037251D">
        <w:rPr>
          <w:rFonts w:ascii="Book Antiqua" w:eastAsia="Book Antiqua" w:hAnsi="Book Antiqua" w:cs="Book Antiqua"/>
          <w:b/>
          <w:bCs/>
          <w:color w:val="000000"/>
        </w:rPr>
        <w:t>Mandalà M</w:t>
      </w:r>
      <w:r w:rsidRPr="0037251D">
        <w:rPr>
          <w:rFonts w:ascii="Book Antiqua" w:eastAsia="Book Antiqua" w:hAnsi="Book Antiqua" w:cs="Book Antiqua"/>
          <w:color w:val="000000"/>
        </w:rPr>
        <w:t xml:space="preserve">, Reni M, Cascinu S, Barni S, Floriani I, Cereda S, Berardi R, Mosconi S, Torri V, Labianca R. Venous thromboembolism predicts poor prognosis in irresectable pancreatic cancer patients. </w:t>
      </w:r>
      <w:r w:rsidRPr="0037251D">
        <w:rPr>
          <w:rFonts w:ascii="Book Antiqua" w:eastAsia="Book Antiqua" w:hAnsi="Book Antiqua" w:cs="Book Antiqua"/>
          <w:i/>
          <w:iCs/>
          <w:color w:val="000000"/>
        </w:rPr>
        <w:t>Ann Oncol</w:t>
      </w:r>
      <w:r w:rsidRPr="0037251D">
        <w:rPr>
          <w:rFonts w:ascii="Book Antiqua" w:eastAsia="Book Antiqua" w:hAnsi="Book Antiqua" w:cs="Book Antiqua"/>
          <w:color w:val="000000"/>
        </w:rPr>
        <w:t xml:space="preserve"> 2007; </w:t>
      </w:r>
      <w:r w:rsidRPr="0037251D">
        <w:rPr>
          <w:rFonts w:ascii="Book Antiqua" w:eastAsia="Book Antiqua" w:hAnsi="Book Antiqua" w:cs="Book Antiqua"/>
          <w:b/>
          <w:bCs/>
          <w:color w:val="000000"/>
        </w:rPr>
        <w:t>18</w:t>
      </w:r>
      <w:r w:rsidRPr="0037251D">
        <w:rPr>
          <w:rFonts w:ascii="Book Antiqua" w:eastAsia="Book Antiqua" w:hAnsi="Book Antiqua" w:cs="Book Antiqua"/>
          <w:color w:val="000000"/>
        </w:rPr>
        <w:t>: 1660-1665 [PMID: 17660490 DOI: 10.1093/annonc/mdm</w:t>
      </w:r>
      <w:r w:rsidRPr="0037251D">
        <w:rPr>
          <w:rFonts w:ascii="Book Antiqua" w:eastAsia="Book Antiqua" w:hAnsi="Book Antiqua" w:cs="Book Antiqua"/>
          <w:color w:val="000000"/>
          <w:szCs w:val="30"/>
          <w:vertAlign w:val="superscript"/>
        </w:rPr>
        <w:t>2</w:t>
      </w:r>
      <w:r w:rsidRPr="0037251D">
        <w:rPr>
          <w:rFonts w:ascii="Book Antiqua" w:eastAsia="Book Antiqua" w:hAnsi="Book Antiqua" w:cs="Book Antiqua"/>
          <w:color w:val="000000"/>
        </w:rPr>
        <w:t>84]</w:t>
      </w:r>
    </w:p>
    <w:p w14:paraId="25415063" w14:textId="77777777" w:rsidR="00A77B3E" w:rsidRPr="0037251D" w:rsidRDefault="008404AF">
      <w:pPr>
        <w:spacing w:line="360" w:lineRule="auto"/>
        <w:jc w:val="both"/>
      </w:pPr>
      <w:r w:rsidRPr="0037251D">
        <w:rPr>
          <w:rFonts w:ascii="Book Antiqua" w:eastAsia="Book Antiqua" w:hAnsi="Book Antiqua" w:cs="Book Antiqua"/>
          <w:color w:val="000000"/>
        </w:rPr>
        <w:t xml:space="preserve">18 </w:t>
      </w:r>
      <w:r w:rsidRPr="0037251D">
        <w:rPr>
          <w:rFonts w:ascii="Book Antiqua" w:eastAsia="Book Antiqua" w:hAnsi="Book Antiqua" w:cs="Book Antiqua"/>
          <w:b/>
          <w:bCs/>
          <w:color w:val="000000"/>
        </w:rPr>
        <w:t>Mitry E</w:t>
      </w:r>
      <w:r w:rsidRPr="0037251D">
        <w:rPr>
          <w:rFonts w:ascii="Book Antiqua" w:eastAsia="Book Antiqua" w:hAnsi="Book Antiqua" w:cs="Book Antiqua"/>
          <w:color w:val="000000"/>
        </w:rPr>
        <w:t xml:space="preserve">, Taleb-Fayad R, Deschamps A, Mansencal N, Lepère C, Declety G, Lièvre A, Vaillant JN, Lesur G, Cramer E, Dubourg O, Rougier P. Risk of venous thrombosis in patients with pancreatic adenocarcinoma. </w:t>
      </w:r>
      <w:r w:rsidRPr="0037251D">
        <w:rPr>
          <w:rFonts w:ascii="Book Antiqua" w:eastAsia="Book Antiqua" w:hAnsi="Book Antiqua" w:cs="Book Antiqua"/>
          <w:i/>
          <w:iCs/>
          <w:color w:val="000000"/>
        </w:rPr>
        <w:t>Gastroenterol Clin Biol</w:t>
      </w:r>
      <w:r w:rsidRPr="0037251D">
        <w:rPr>
          <w:rFonts w:ascii="Book Antiqua" w:eastAsia="Book Antiqua" w:hAnsi="Book Antiqua" w:cs="Book Antiqua"/>
          <w:color w:val="000000"/>
        </w:rPr>
        <w:t xml:space="preserve"> 2007; </w:t>
      </w:r>
      <w:r w:rsidRPr="0037251D">
        <w:rPr>
          <w:rFonts w:ascii="Book Antiqua" w:eastAsia="Book Antiqua" w:hAnsi="Book Antiqua" w:cs="Book Antiqua"/>
          <w:b/>
          <w:bCs/>
          <w:color w:val="000000"/>
        </w:rPr>
        <w:t>31</w:t>
      </w:r>
      <w:r w:rsidRPr="0037251D">
        <w:rPr>
          <w:rFonts w:ascii="Book Antiqua" w:eastAsia="Book Antiqua" w:hAnsi="Book Antiqua" w:cs="Book Antiqua"/>
          <w:color w:val="000000"/>
        </w:rPr>
        <w:t>: 1139-1142 [PMID: 18176374 DOI: 10.1016/s0399-8320(07)78352-5]</w:t>
      </w:r>
    </w:p>
    <w:p w14:paraId="55B5B28A" w14:textId="77777777" w:rsidR="00A77B3E" w:rsidRPr="0037251D" w:rsidRDefault="008404AF">
      <w:pPr>
        <w:spacing w:line="360" w:lineRule="auto"/>
        <w:jc w:val="both"/>
      </w:pPr>
      <w:r w:rsidRPr="0037251D">
        <w:rPr>
          <w:rFonts w:ascii="Book Antiqua" w:eastAsia="Book Antiqua" w:hAnsi="Book Antiqua" w:cs="Book Antiqua"/>
          <w:color w:val="000000"/>
        </w:rPr>
        <w:t xml:space="preserve">19 </w:t>
      </w:r>
      <w:r w:rsidRPr="0037251D">
        <w:rPr>
          <w:rFonts w:ascii="Book Antiqua" w:eastAsia="Book Antiqua" w:hAnsi="Book Antiqua" w:cs="Book Antiqua"/>
          <w:b/>
          <w:bCs/>
          <w:color w:val="000000"/>
        </w:rPr>
        <w:t>Oh SY</w:t>
      </w:r>
      <w:r w:rsidRPr="0037251D">
        <w:rPr>
          <w:rFonts w:ascii="Book Antiqua" w:eastAsia="Book Antiqua" w:hAnsi="Book Antiqua" w:cs="Book Antiqua"/>
          <w:color w:val="000000"/>
        </w:rPr>
        <w:t xml:space="preserve">, Kim JH, Lee KW, Bang SM, Hwang JH, Oh D, Lee JS. Venous thromboembolism in patients with pancreatic adenocarcinoma: lower incidence in Asian ethnicity. </w:t>
      </w:r>
      <w:r w:rsidRPr="0037251D">
        <w:rPr>
          <w:rFonts w:ascii="Book Antiqua" w:eastAsia="Book Antiqua" w:hAnsi="Book Antiqua" w:cs="Book Antiqua"/>
          <w:i/>
          <w:iCs/>
          <w:color w:val="000000"/>
        </w:rPr>
        <w:t>Thromb Res</w:t>
      </w:r>
      <w:r w:rsidRPr="0037251D">
        <w:rPr>
          <w:rFonts w:ascii="Book Antiqua" w:eastAsia="Book Antiqua" w:hAnsi="Book Antiqua" w:cs="Book Antiqua"/>
          <w:color w:val="000000"/>
        </w:rPr>
        <w:t xml:space="preserve"> 2008; </w:t>
      </w:r>
      <w:r w:rsidRPr="0037251D">
        <w:rPr>
          <w:rFonts w:ascii="Book Antiqua" w:eastAsia="Book Antiqua" w:hAnsi="Book Antiqua" w:cs="Book Antiqua"/>
          <w:b/>
          <w:bCs/>
          <w:color w:val="000000"/>
        </w:rPr>
        <w:t>122</w:t>
      </w:r>
      <w:r w:rsidRPr="0037251D">
        <w:rPr>
          <w:rFonts w:ascii="Book Antiqua" w:eastAsia="Book Antiqua" w:hAnsi="Book Antiqua" w:cs="Book Antiqua"/>
          <w:color w:val="000000"/>
        </w:rPr>
        <w:t>: 485-490 [PMID: 18234292 DOI: 10.1016/j.thromres.2007.12.015]</w:t>
      </w:r>
    </w:p>
    <w:p w14:paraId="368F4A66" w14:textId="77777777" w:rsidR="00A77B3E" w:rsidRPr="0037251D" w:rsidRDefault="008404AF">
      <w:pPr>
        <w:spacing w:line="360" w:lineRule="auto"/>
        <w:jc w:val="both"/>
      </w:pPr>
      <w:r w:rsidRPr="0037251D">
        <w:rPr>
          <w:rFonts w:ascii="Book Antiqua" w:eastAsia="Book Antiqua" w:hAnsi="Book Antiqua" w:cs="Book Antiqua"/>
          <w:color w:val="000000"/>
        </w:rPr>
        <w:t xml:space="preserve">20 </w:t>
      </w:r>
      <w:r w:rsidRPr="0037251D">
        <w:rPr>
          <w:rFonts w:ascii="Book Antiqua" w:eastAsia="Book Antiqua" w:hAnsi="Book Antiqua" w:cs="Book Antiqua"/>
          <w:b/>
          <w:bCs/>
          <w:color w:val="000000"/>
        </w:rPr>
        <w:t>Poruk KE</w:t>
      </w:r>
      <w:r w:rsidRPr="0037251D">
        <w:rPr>
          <w:rFonts w:ascii="Book Antiqua" w:eastAsia="Book Antiqua" w:hAnsi="Book Antiqua" w:cs="Book Antiqua"/>
          <w:color w:val="000000"/>
        </w:rPr>
        <w:t xml:space="preserve">, Firpo MA, Huerter LM, Scaife CL, Emerson LL, Boucher KM, Jones KA, Mulvihill SJ. Serum platelet factor 4 is an independent predictor of survival and venous thromboembolism in patients with pancreatic adenocarcinoma. </w:t>
      </w:r>
      <w:r w:rsidRPr="0037251D">
        <w:rPr>
          <w:rFonts w:ascii="Book Antiqua" w:eastAsia="Book Antiqua" w:hAnsi="Book Antiqua" w:cs="Book Antiqua"/>
          <w:i/>
          <w:iCs/>
          <w:color w:val="000000"/>
        </w:rPr>
        <w:t>Cancer Epidemiol Biomarkers Prev</w:t>
      </w:r>
      <w:r w:rsidRPr="0037251D">
        <w:rPr>
          <w:rFonts w:ascii="Book Antiqua" w:eastAsia="Book Antiqua" w:hAnsi="Book Antiqua" w:cs="Book Antiqua"/>
          <w:color w:val="000000"/>
        </w:rPr>
        <w:t xml:space="preserve"> 2010; </w:t>
      </w:r>
      <w:r w:rsidRPr="0037251D">
        <w:rPr>
          <w:rFonts w:ascii="Book Antiqua" w:eastAsia="Book Antiqua" w:hAnsi="Book Antiqua" w:cs="Book Antiqua"/>
          <w:b/>
          <w:bCs/>
          <w:color w:val="000000"/>
        </w:rPr>
        <w:t>19</w:t>
      </w:r>
      <w:r w:rsidRPr="0037251D">
        <w:rPr>
          <w:rFonts w:ascii="Book Antiqua" w:eastAsia="Book Antiqua" w:hAnsi="Book Antiqua" w:cs="Book Antiqua"/>
          <w:color w:val="000000"/>
        </w:rPr>
        <w:t>: 2605-2610 [PMID: 20729288 DOI: 10.1158/1055-9965.EPI-10-0178]</w:t>
      </w:r>
    </w:p>
    <w:p w14:paraId="322604F8" w14:textId="77777777" w:rsidR="00A77B3E" w:rsidRPr="0037251D" w:rsidRDefault="008404AF">
      <w:pPr>
        <w:spacing w:line="360" w:lineRule="auto"/>
        <w:jc w:val="both"/>
      </w:pPr>
      <w:r w:rsidRPr="0037251D">
        <w:rPr>
          <w:rFonts w:ascii="Book Antiqua" w:eastAsia="Book Antiqua" w:hAnsi="Book Antiqua" w:cs="Book Antiqua"/>
          <w:color w:val="000000"/>
        </w:rPr>
        <w:t xml:space="preserve">21 </w:t>
      </w:r>
      <w:r w:rsidRPr="0037251D">
        <w:rPr>
          <w:rFonts w:ascii="Book Antiqua" w:eastAsia="Book Antiqua" w:hAnsi="Book Antiqua" w:cs="Book Antiqua"/>
          <w:b/>
          <w:bCs/>
          <w:color w:val="000000"/>
        </w:rPr>
        <w:t>Shaib W</w:t>
      </w:r>
      <w:r w:rsidRPr="0037251D">
        <w:rPr>
          <w:rFonts w:ascii="Book Antiqua" w:eastAsia="Book Antiqua" w:hAnsi="Book Antiqua" w:cs="Book Antiqua"/>
          <w:color w:val="000000"/>
        </w:rPr>
        <w:t xml:space="preserve">, Deng Y, Zilterman D, Lundberg B, Saif MW. Assessing risk and mortality of venous thromboembolism in pancreatic cancer patients. </w:t>
      </w:r>
      <w:r w:rsidRPr="0037251D">
        <w:rPr>
          <w:rFonts w:ascii="Book Antiqua" w:eastAsia="Book Antiqua" w:hAnsi="Book Antiqua" w:cs="Book Antiqua"/>
          <w:i/>
          <w:iCs/>
          <w:color w:val="000000"/>
        </w:rPr>
        <w:t>Anticancer Res</w:t>
      </w:r>
      <w:r w:rsidRPr="0037251D">
        <w:rPr>
          <w:rFonts w:ascii="Book Antiqua" w:eastAsia="Book Antiqua" w:hAnsi="Book Antiqua" w:cs="Book Antiqua"/>
          <w:color w:val="000000"/>
        </w:rPr>
        <w:t xml:space="preserve"> 2010; </w:t>
      </w:r>
      <w:r w:rsidRPr="0037251D">
        <w:rPr>
          <w:rFonts w:ascii="Book Antiqua" w:eastAsia="Book Antiqua" w:hAnsi="Book Antiqua" w:cs="Book Antiqua"/>
          <w:b/>
          <w:bCs/>
          <w:color w:val="000000"/>
        </w:rPr>
        <w:t>30</w:t>
      </w:r>
      <w:r w:rsidRPr="0037251D">
        <w:rPr>
          <w:rFonts w:ascii="Book Antiqua" w:eastAsia="Book Antiqua" w:hAnsi="Book Antiqua" w:cs="Book Antiqua"/>
          <w:color w:val="000000"/>
        </w:rPr>
        <w:t>: 4261-4264 [PMID: 21036750]</w:t>
      </w:r>
    </w:p>
    <w:p w14:paraId="779976BB" w14:textId="77777777" w:rsidR="00A77B3E" w:rsidRPr="0037251D" w:rsidRDefault="008404AF">
      <w:pPr>
        <w:spacing w:line="360" w:lineRule="auto"/>
        <w:jc w:val="both"/>
      </w:pPr>
      <w:r w:rsidRPr="0037251D">
        <w:rPr>
          <w:rFonts w:ascii="Book Antiqua" w:eastAsia="Book Antiqua" w:hAnsi="Book Antiqua" w:cs="Book Antiqua"/>
          <w:color w:val="000000"/>
        </w:rPr>
        <w:t xml:space="preserve">22 </w:t>
      </w:r>
      <w:r w:rsidRPr="0037251D">
        <w:rPr>
          <w:rFonts w:ascii="Book Antiqua" w:eastAsia="Book Antiqua" w:hAnsi="Book Antiqua" w:cs="Book Antiqua"/>
          <w:b/>
          <w:bCs/>
          <w:color w:val="000000"/>
        </w:rPr>
        <w:t>Epstein AS</w:t>
      </w:r>
      <w:r w:rsidRPr="0037251D">
        <w:rPr>
          <w:rFonts w:ascii="Book Antiqua" w:eastAsia="Book Antiqua" w:hAnsi="Book Antiqua" w:cs="Book Antiqua"/>
          <w:color w:val="000000"/>
        </w:rPr>
        <w:t xml:space="preserve">, Soff GA, Capanu M, Crosbie C, Shah MA, Kelsen DP, Denton B, Gardos S, O'Reilly EM. Analysis of incidence and clinical outcomes in patients with thromboembolic events and invasive exocrine pancreatic cancer. </w:t>
      </w:r>
      <w:r w:rsidRPr="0037251D">
        <w:rPr>
          <w:rFonts w:ascii="Book Antiqua" w:eastAsia="Book Antiqua" w:hAnsi="Book Antiqua" w:cs="Book Antiqua"/>
          <w:i/>
          <w:iCs/>
          <w:color w:val="000000"/>
        </w:rPr>
        <w:t>Cancer</w:t>
      </w:r>
      <w:r w:rsidRPr="0037251D">
        <w:rPr>
          <w:rFonts w:ascii="Book Antiqua" w:eastAsia="Book Antiqua" w:hAnsi="Book Antiqua" w:cs="Book Antiqua"/>
          <w:color w:val="000000"/>
        </w:rPr>
        <w:t xml:space="preserve"> 2012; </w:t>
      </w:r>
      <w:r w:rsidRPr="0037251D">
        <w:rPr>
          <w:rFonts w:ascii="Book Antiqua" w:eastAsia="Book Antiqua" w:hAnsi="Book Antiqua" w:cs="Book Antiqua"/>
          <w:b/>
          <w:bCs/>
          <w:color w:val="000000"/>
        </w:rPr>
        <w:t>118</w:t>
      </w:r>
      <w:r w:rsidRPr="0037251D">
        <w:rPr>
          <w:rFonts w:ascii="Book Antiqua" w:eastAsia="Book Antiqua" w:hAnsi="Book Antiqua" w:cs="Book Antiqua"/>
          <w:color w:val="000000"/>
        </w:rPr>
        <w:t>: 3053-3061 [PMID: 21989534 DOI: 10.1002/cncr.26600]</w:t>
      </w:r>
    </w:p>
    <w:p w14:paraId="556CDF90" w14:textId="77777777" w:rsidR="00A77B3E" w:rsidRPr="0037251D" w:rsidRDefault="008404AF">
      <w:pPr>
        <w:spacing w:line="360" w:lineRule="auto"/>
        <w:jc w:val="both"/>
      </w:pPr>
      <w:r w:rsidRPr="0037251D">
        <w:rPr>
          <w:rFonts w:ascii="Book Antiqua" w:eastAsia="Book Antiqua" w:hAnsi="Book Antiqua" w:cs="Book Antiqua"/>
          <w:color w:val="000000"/>
        </w:rPr>
        <w:lastRenderedPageBreak/>
        <w:t xml:space="preserve">23 </w:t>
      </w:r>
      <w:r w:rsidRPr="0037251D">
        <w:rPr>
          <w:rFonts w:ascii="Book Antiqua" w:eastAsia="Book Antiqua" w:hAnsi="Book Antiqua" w:cs="Book Antiqua"/>
          <w:b/>
          <w:bCs/>
          <w:color w:val="000000"/>
        </w:rPr>
        <w:t>Menapace LA</w:t>
      </w:r>
      <w:r w:rsidRPr="0037251D">
        <w:rPr>
          <w:rFonts w:ascii="Book Antiqua" w:eastAsia="Book Antiqua" w:hAnsi="Book Antiqua" w:cs="Book Antiqua"/>
          <w:color w:val="000000"/>
        </w:rPr>
        <w:t xml:space="preserve">, Peterson DR, Berry A, Sousou T, Khorana AA. Symptomatic and incidental thromboembolism are both associated with mortality in pancreatic cancer. </w:t>
      </w:r>
      <w:r w:rsidRPr="0037251D">
        <w:rPr>
          <w:rFonts w:ascii="Book Antiqua" w:eastAsia="Book Antiqua" w:hAnsi="Book Antiqua" w:cs="Book Antiqua"/>
          <w:i/>
          <w:iCs/>
          <w:color w:val="000000"/>
        </w:rPr>
        <w:t>Thromb Haemost</w:t>
      </w:r>
      <w:r w:rsidRPr="0037251D">
        <w:rPr>
          <w:rFonts w:ascii="Book Antiqua" w:eastAsia="Book Antiqua" w:hAnsi="Book Antiqua" w:cs="Book Antiqua"/>
          <w:color w:val="000000"/>
        </w:rPr>
        <w:t xml:space="preserve"> 2011; </w:t>
      </w:r>
      <w:r w:rsidRPr="0037251D">
        <w:rPr>
          <w:rFonts w:ascii="Book Antiqua" w:eastAsia="Book Antiqua" w:hAnsi="Book Antiqua" w:cs="Book Antiqua"/>
          <w:b/>
          <w:bCs/>
          <w:color w:val="000000"/>
        </w:rPr>
        <w:t>106</w:t>
      </w:r>
      <w:r w:rsidRPr="0037251D">
        <w:rPr>
          <w:rFonts w:ascii="Book Antiqua" w:eastAsia="Book Antiqua" w:hAnsi="Book Antiqua" w:cs="Book Antiqua"/>
          <w:color w:val="000000"/>
        </w:rPr>
        <w:t>: 371-378 [PMID: 21713322 DOI: 10.1160/TH10-12-0789]</w:t>
      </w:r>
    </w:p>
    <w:p w14:paraId="4CC98C6D" w14:textId="77777777" w:rsidR="00A77B3E" w:rsidRPr="0037251D" w:rsidRDefault="008404AF">
      <w:pPr>
        <w:spacing w:line="360" w:lineRule="auto"/>
        <w:jc w:val="both"/>
      </w:pPr>
      <w:r w:rsidRPr="0037251D">
        <w:rPr>
          <w:rFonts w:ascii="Book Antiqua" w:eastAsia="Book Antiqua" w:hAnsi="Book Antiqua" w:cs="Book Antiqua"/>
          <w:color w:val="000000"/>
        </w:rPr>
        <w:t xml:space="preserve">24 </w:t>
      </w:r>
      <w:r w:rsidRPr="0037251D">
        <w:rPr>
          <w:rFonts w:ascii="Book Antiqua" w:eastAsia="Book Antiqua" w:hAnsi="Book Antiqua" w:cs="Book Antiqua"/>
          <w:b/>
          <w:bCs/>
          <w:color w:val="000000"/>
        </w:rPr>
        <w:t>Afsar CU</w:t>
      </w:r>
      <w:r w:rsidRPr="0037251D">
        <w:rPr>
          <w:rFonts w:ascii="Book Antiqua" w:eastAsia="Book Antiqua" w:hAnsi="Book Antiqua" w:cs="Book Antiqua"/>
          <w:color w:val="000000"/>
        </w:rPr>
        <w:t xml:space="preserve">, Gunaldi M, Kum P, Sahin B, Erkisi M, Kara IO, Paydas S, Duman BB, Ercolak V, Karaca F, Uyeturk U, Guner SI. Pancreatic carcinoma, thrombosis and mean platelet volume: single center experience from the southeast region of Turkey. </w:t>
      </w:r>
      <w:r w:rsidRPr="0037251D">
        <w:rPr>
          <w:rFonts w:ascii="Book Antiqua" w:eastAsia="Book Antiqua" w:hAnsi="Book Antiqua" w:cs="Book Antiqua"/>
          <w:i/>
          <w:iCs/>
          <w:color w:val="000000"/>
        </w:rPr>
        <w:t>Asian Pac J Cancer Prev</w:t>
      </w:r>
      <w:r w:rsidRPr="0037251D">
        <w:rPr>
          <w:rFonts w:ascii="Book Antiqua" w:eastAsia="Book Antiqua" w:hAnsi="Book Antiqua" w:cs="Book Antiqua"/>
          <w:color w:val="000000"/>
        </w:rPr>
        <w:t xml:space="preserve"> 2014; </w:t>
      </w:r>
      <w:r w:rsidRPr="0037251D">
        <w:rPr>
          <w:rFonts w:ascii="Book Antiqua" w:eastAsia="Book Antiqua" w:hAnsi="Book Antiqua" w:cs="Book Antiqua"/>
          <w:b/>
          <w:bCs/>
          <w:color w:val="000000"/>
        </w:rPr>
        <w:t>15</w:t>
      </w:r>
      <w:r w:rsidRPr="0037251D">
        <w:rPr>
          <w:rFonts w:ascii="Book Antiqua" w:eastAsia="Book Antiqua" w:hAnsi="Book Antiqua" w:cs="Book Antiqua"/>
          <w:color w:val="000000"/>
        </w:rPr>
        <w:t>: 9143-9146 [PMID: 25422192 DOI: 10.7314/apjcp.2014.15.21.9143]</w:t>
      </w:r>
    </w:p>
    <w:p w14:paraId="6B1D07C3" w14:textId="77777777" w:rsidR="00A77B3E" w:rsidRPr="0037251D" w:rsidRDefault="008404AF">
      <w:pPr>
        <w:spacing w:line="360" w:lineRule="auto"/>
        <w:jc w:val="both"/>
      </w:pPr>
      <w:r w:rsidRPr="0037251D">
        <w:rPr>
          <w:rFonts w:ascii="Book Antiqua" w:eastAsia="Book Antiqua" w:hAnsi="Book Antiqua" w:cs="Book Antiqua"/>
          <w:color w:val="000000"/>
        </w:rPr>
        <w:t xml:space="preserve">25 </w:t>
      </w:r>
      <w:r w:rsidRPr="0037251D">
        <w:rPr>
          <w:rFonts w:ascii="Book Antiqua" w:eastAsia="Book Antiqua" w:hAnsi="Book Antiqua" w:cs="Book Antiqua"/>
          <w:b/>
          <w:bCs/>
          <w:color w:val="000000"/>
        </w:rPr>
        <w:t>Muñoz Martín AJ</w:t>
      </w:r>
      <w:r w:rsidRPr="0037251D">
        <w:rPr>
          <w:rFonts w:ascii="Book Antiqua" w:eastAsia="Book Antiqua" w:hAnsi="Book Antiqua" w:cs="Book Antiqua"/>
          <w:color w:val="000000"/>
        </w:rPr>
        <w:t xml:space="preserve">, García Alfonso P, Rupérez Blanco AB, Pérez Ramírez S, Blanco Codesido M, Martín Jiménez M. Incidence of venous thromboembolism (VTE) in ambulatory pancreatic cancer patients receiving chemotherapy and analysis of Khorana's predictive model. </w:t>
      </w:r>
      <w:r w:rsidRPr="0037251D">
        <w:rPr>
          <w:rFonts w:ascii="Book Antiqua" w:eastAsia="Book Antiqua" w:hAnsi="Book Antiqua" w:cs="Book Antiqua"/>
          <w:i/>
          <w:iCs/>
          <w:color w:val="000000"/>
        </w:rPr>
        <w:t>Clin Transl Oncol</w:t>
      </w:r>
      <w:r w:rsidRPr="0037251D">
        <w:rPr>
          <w:rFonts w:ascii="Book Antiqua" w:eastAsia="Book Antiqua" w:hAnsi="Book Antiqua" w:cs="Book Antiqua"/>
          <w:color w:val="000000"/>
        </w:rPr>
        <w:t xml:space="preserve"> 2014; </w:t>
      </w:r>
      <w:r w:rsidRPr="0037251D">
        <w:rPr>
          <w:rFonts w:ascii="Book Antiqua" w:eastAsia="Book Antiqua" w:hAnsi="Book Antiqua" w:cs="Book Antiqua"/>
          <w:b/>
          <w:bCs/>
          <w:color w:val="000000"/>
        </w:rPr>
        <w:t>16</w:t>
      </w:r>
      <w:r w:rsidRPr="0037251D">
        <w:rPr>
          <w:rFonts w:ascii="Book Antiqua" w:eastAsia="Book Antiqua" w:hAnsi="Book Antiqua" w:cs="Book Antiqua"/>
          <w:color w:val="000000"/>
        </w:rPr>
        <w:t>: 927-930 [PMID: 24643701 DOI: 10.1007/s12094-014-1165-y]</w:t>
      </w:r>
    </w:p>
    <w:p w14:paraId="53BFBFB2" w14:textId="77777777" w:rsidR="00A77B3E" w:rsidRPr="0037251D" w:rsidRDefault="008404AF">
      <w:pPr>
        <w:spacing w:line="360" w:lineRule="auto"/>
        <w:jc w:val="both"/>
      </w:pPr>
      <w:r w:rsidRPr="0037251D">
        <w:rPr>
          <w:rFonts w:ascii="Book Antiqua" w:eastAsia="Book Antiqua" w:hAnsi="Book Antiqua" w:cs="Book Antiqua"/>
          <w:color w:val="000000"/>
        </w:rPr>
        <w:t xml:space="preserve">26 </w:t>
      </w:r>
      <w:r w:rsidRPr="0037251D">
        <w:rPr>
          <w:rFonts w:ascii="Book Antiqua" w:eastAsia="Book Antiqua" w:hAnsi="Book Antiqua" w:cs="Book Antiqua"/>
          <w:b/>
          <w:bCs/>
          <w:color w:val="000000"/>
        </w:rPr>
        <w:t>Krepline AN</w:t>
      </w:r>
      <w:r w:rsidRPr="0037251D">
        <w:rPr>
          <w:rFonts w:ascii="Book Antiqua" w:eastAsia="Book Antiqua" w:hAnsi="Book Antiqua" w:cs="Book Antiqua"/>
          <w:color w:val="000000"/>
        </w:rPr>
        <w:t xml:space="preserve">, Christians KK, George B, Ritch PS, Erickson BA, Tolat P, Evans DB, Tsai S. Venous thromboembolism prophylaxis during neoadjuvant therapy for resectable and borderline resectable pancreatic cancer-Is it indicated? </w:t>
      </w:r>
      <w:r w:rsidRPr="0037251D">
        <w:rPr>
          <w:rFonts w:ascii="Book Antiqua" w:eastAsia="Book Antiqua" w:hAnsi="Book Antiqua" w:cs="Book Antiqua"/>
          <w:i/>
          <w:iCs/>
          <w:color w:val="000000"/>
        </w:rPr>
        <w:t>J Surg Oncol</w:t>
      </w:r>
      <w:r w:rsidRPr="0037251D">
        <w:rPr>
          <w:rFonts w:ascii="Book Antiqua" w:eastAsia="Book Antiqua" w:hAnsi="Book Antiqua" w:cs="Book Antiqua"/>
          <w:color w:val="000000"/>
        </w:rPr>
        <w:t xml:space="preserve"> 2016; </w:t>
      </w:r>
      <w:r w:rsidRPr="0037251D">
        <w:rPr>
          <w:rFonts w:ascii="Book Antiqua" w:eastAsia="Book Antiqua" w:hAnsi="Book Antiqua" w:cs="Book Antiqua"/>
          <w:b/>
          <w:bCs/>
          <w:color w:val="000000"/>
        </w:rPr>
        <w:t>114</w:t>
      </w:r>
      <w:r w:rsidRPr="0037251D">
        <w:rPr>
          <w:rFonts w:ascii="Book Antiqua" w:eastAsia="Book Antiqua" w:hAnsi="Book Antiqua" w:cs="Book Antiqua"/>
          <w:color w:val="000000"/>
        </w:rPr>
        <w:t>: 581-586 [PMID: 27760280 DOI: 10.1002/jso.24361]</w:t>
      </w:r>
    </w:p>
    <w:p w14:paraId="7E29F33E" w14:textId="77777777" w:rsidR="00A77B3E" w:rsidRPr="0037251D" w:rsidRDefault="008404AF">
      <w:pPr>
        <w:spacing w:line="360" w:lineRule="auto"/>
        <w:jc w:val="both"/>
      </w:pPr>
      <w:r w:rsidRPr="0037251D">
        <w:rPr>
          <w:rFonts w:ascii="Book Antiqua" w:eastAsia="Book Antiqua" w:hAnsi="Book Antiqua" w:cs="Book Antiqua"/>
          <w:color w:val="000000"/>
        </w:rPr>
        <w:t xml:space="preserve">27 </w:t>
      </w:r>
      <w:r w:rsidRPr="0037251D">
        <w:rPr>
          <w:rFonts w:ascii="Book Antiqua" w:eastAsia="Book Antiqua" w:hAnsi="Book Antiqua" w:cs="Book Antiqua"/>
          <w:b/>
          <w:bCs/>
          <w:color w:val="000000"/>
        </w:rPr>
        <w:t>Lee JC</w:t>
      </w:r>
      <w:r w:rsidRPr="0037251D">
        <w:rPr>
          <w:rFonts w:ascii="Book Antiqua" w:eastAsia="Book Antiqua" w:hAnsi="Book Antiqua" w:cs="Book Antiqua"/>
          <w:color w:val="000000"/>
        </w:rPr>
        <w:t xml:space="preserve">, Ro YS, Cho J, Park Y, Lee JH, Hwang JH, Choi HJ, Lee S. Characteristics of Venous Thromboembolism in Pancreatic Adenocarcinoma in East Asian Ethnics: A Large Population-Based Observational Study. </w:t>
      </w:r>
      <w:r w:rsidRPr="0037251D">
        <w:rPr>
          <w:rFonts w:ascii="Book Antiqua" w:eastAsia="Book Antiqua" w:hAnsi="Book Antiqua" w:cs="Book Antiqua"/>
          <w:i/>
          <w:iCs/>
          <w:color w:val="000000"/>
        </w:rPr>
        <w:t>Medicine (Baltimore)</w:t>
      </w:r>
      <w:r w:rsidRPr="0037251D">
        <w:rPr>
          <w:rFonts w:ascii="Book Antiqua" w:eastAsia="Book Antiqua" w:hAnsi="Book Antiqua" w:cs="Book Antiqua"/>
          <w:color w:val="000000"/>
        </w:rPr>
        <w:t xml:space="preserve"> 2016; </w:t>
      </w:r>
      <w:r w:rsidRPr="0037251D">
        <w:rPr>
          <w:rFonts w:ascii="Book Antiqua" w:eastAsia="Book Antiqua" w:hAnsi="Book Antiqua" w:cs="Book Antiqua"/>
          <w:b/>
          <w:bCs/>
          <w:color w:val="000000"/>
        </w:rPr>
        <w:t>95</w:t>
      </w:r>
      <w:r w:rsidRPr="0037251D">
        <w:rPr>
          <w:rFonts w:ascii="Book Antiqua" w:eastAsia="Book Antiqua" w:hAnsi="Book Antiqua" w:cs="Book Antiqua"/>
          <w:color w:val="000000"/>
        </w:rPr>
        <w:t>: e3472 [PMID: 27124043 DOI: 10.1097/MD.0000000000003472]</w:t>
      </w:r>
    </w:p>
    <w:p w14:paraId="2A657AB9" w14:textId="77777777" w:rsidR="00A77B3E" w:rsidRPr="0037251D" w:rsidRDefault="008404AF">
      <w:pPr>
        <w:spacing w:line="360" w:lineRule="auto"/>
        <w:jc w:val="both"/>
      </w:pPr>
      <w:r w:rsidRPr="0037251D">
        <w:rPr>
          <w:rFonts w:ascii="Book Antiqua" w:eastAsia="Book Antiqua" w:hAnsi="Book Antiqua" w:cs="Book Antiqua"/>
          <w:color w:val="000000"/>
        </w:rPr>
        <w:t xml:space="preserve">28 </w:t>
      </w:r>
      <w:r w:rsidRPr="0037251D">
        <w:rPr>
          <w:rFonts w:ascii="Book Antiqua" w:eastAsia="Book Antiqua" w:hAnsi="Book Antiqua" w:cs="Book Antiqua"/>
          <w:b/>
          <w:bCs/>
          <w:color w:val="000000"/>
        </w:rPr>
        <w:t>Kruger S</w:t>
      </w:r>
      <w:r w:rsidRPr="0037251D">
        <w:rPr>
          <w:rFonts w:ascii="Book Antiqua" w:eastAsia="Book Antiqua" w:hAnsi="Book Antiqua" w:cs="Book Antiqua"/>
          <w:color w:val="000000"/>
        </w:rPr>
        <w:t xml:space="preserve">, Haas M, Burkl C, Goehring P, Kleespies A, Roeder F, Gallmeier E, Ormanns S, Westphalen CB, Heinemann V, Rank A, Boeck S. Incidence, outcome and risk stratification tools for venous thromboembolism in advanced pancreatic cancer - A retrospective cohort study. </w:t>
      </w:r>
      <w:r w:rsidRPr="0037251D">
        <w:rPr>
          <w:rFonts w:ascii="Book Antiqua" w:eastAsia="Book Antiqua" w:hAnsi="Book Antiqua" w:cs="Book Antiqua"/>
          <w:i/>
          <w:iCs/>
          <w:color w:val="000000"/>
        </w:rPr>
        <w:t>Thromb Res</w:t>
      </w:r>
      <w:r w:rsidRPr="0037251D">
        <w:rPr>
          <w:rFonts w:ascii="Book Antiqua" w:eastAsia="Book Antiqua" w:hAnsi="Book Antiqua" w:cs="Book Antiqua"/>
          <w:color w:val="000000"/>
        </w:rPr>
        <w:t xml:space="preserve"> 2017; </w:t>
      </w:r>
      <w:r w:rsidRPr="0037251D">
        <w:rPr>
          <w:rFonts w:ascii="Book Antiqua" w:eastAsia="Book Antiqua" w:hAnsi="Book Antiqua" w:cs="Book Antiqua"/>
          <w:b/>
          <w:bCs/>
          <w:color w:val="000000"/>
        </w:rPr>
        <w:t>157</w:t>
      </w:r>
      <w:r w:rsidRPr="0037251D">
        <w:rPr>
          <w:rFonts w:ascii="Book Antiqua" w:eastAsia="Book Antiqua" w:hAnsi="Book Antiqua" w:cs="Book Antiqua"/>
          <w:color w:val="000000"/>
        </w:rPr>
        <w:t>: 9-15 [PMID: 28675831 DOI: 10.1016/j.thromres.2017.06.021]</w:t>
      </w:r>
    </w:p>
    <w:p w14:paraId="1221E5F3" w14:textId="77777777" w:rsidR="00A77B3E" w:rsidRPr="0037251D" w:rsidRDefault="008404AF">
      <w:pPr>
        <w:spacing w:line="360" w:lineRule="auto"/>
        <w:jc w:val="both"/>
      </w:pPr>
      <w:r w:rsidRPr="0037251D">
        <w:rPr>
          <w:rFonts w:ascii="Book Antiqua" w:eastAsia="Book Antiqua" w:hAnsi="Book Antiqua" w:cs="Book Antiqua"/>
          <w:color w:val="000000"/>
        </w:rPr>
        <w:t xml:space="preserve">29 </w:t>
      </w:r>
      <w:r w:rsidRPr="0037251D">
        <w:rPr>
          <w:rFonts w:ascii="Book Antiqua" w:eastAsia="Book Antiqua" w:hAnsi="Book Antiqua" w:cs="Book Antiqua"/>
          <w:b/>
          <w:bCs/>
          <w:color w:val="000000"/>
        </w:rPr>
        <w:t>van Es N</w:t>
      </w:r>
      <w:r w:rsidRPr="0037251D">
        <w:rPr>
          <w:rFonts w:ascii="Book Antiqua" w:eastAsia="Book Antiqua" w:hAnsi="Book Antiqua" w:cs="Book Antiqua"/>
          <w:color w:val="000000"/>
        </w:rPr>
        <w:t xml:space="preserve">, Franke VF, Middeldorp S, Wilmink JW, Büller HR. The Khorana score for the prediction of venous thromboembolism in patients with pancreatic cancer. </w:t>
      </w:r>
      <w:r w:rsidRPr="0037251D">
        <w:rPr>
          <w:rFonts w:ascii="Book Antiqua" w:eastAsia="Book Antiqua" w:hAnsi="Book Antiqua" w:cs="Book Antiqua"/>
          <w:i/>
          <w:iCs/>
          <w:color w:val="000000"/>
        </w:rPr>
        <w:t>Thromb Res</w:t>
      </w:r>
      <w:r w:rsidRPr="0037251D">
        <w:rPr>
          <w:rFonts w:ascii="Book Antiqua" w:eastAsia="Book Antiqua" w:hAnsi="Book Antiqua" w:cs="Book Antiqua"/>
          <w:color w:val="000000"/>
        </w:rPr>
        <w:t xml:space="preserve"> 2017; </w:t>
      </w:r>
      <w:r w:rsidRPr="0037251D">
        <w:rPr>
          <w:rFonts w:ascii="Book Antiqua" w:eastAsia="Book Antiqua" w:hAnsi="Book Antiqua" w:cs="Book Antiqua"/>
          <w:b/>
          <w:bCs/>
          <w:color w:val="000000"/>
        </w:rPr>
        <w:t>150</w:t>
      </w:r>
      <w:r w:rsidRPr="0037251D">
        <w:rPr>
          <w:rFonts w:ascii="Book Antiqua" w:eastAsia="Book Antiqua" w:hAnsi="Book Antiqua" w:cs="Book Antiqua"/>
          <w:color w:val="000000"/>
        </w:rPr>
        <w:t>: 30-32 [PMID: 28002757 DOI: 10.1016/j.thromres.2016.12.013]</w:t>
      </w:r>
    </w:p>
    <w:p w14:paraId="397F4D7B" w14:textId="77777777" w:rsidR="00A77B3E" w:rsidRPr="0037251D" w:rsidRDefault="008404AF">
      <w:pPr>
        <w:spacing w:line="360" w:lineRule="auto"/>
        <w:jc w:val="both"/>
      </w:pPr>
      <w:r w:rsidRPr="0037251D">
        <w:rPr>
          <w:rFonts w:ascii="Book Antiqua" w:eastAsia="Book Antiqua" w:hAnsi="Book Antiqua" w:cs="Book Antiqua"/>
          <w:color w:val="000000"/>
        </w:rPr>
        <w:lastRenderedPageBreak/>
        <w:t xml:space="preserve">30 </w:t>
      </w:r>
      <w:r w:rsidRPr="0037251D">
        <w:rPr>
          <w:rFonts w:ascii="Book Antiqua" w:eastAsia="Book Antiqua" w:hAnsi="Book Antiqua" w:cs="Book Antiqua"/>
          <w:b/>
          <w:bCs/>
          <w:color w:val="000000"/>
        </w:rPr>
        <w:t>Berger AK</w:t>
      </w:r>
      <w:r w:rsidRPr="0037251D">
        <w:rPr>
          <w:rFonts w:ascii="Book Antiqua" w:eastAsia="Book Antiqua" w:hAnsi="Book Antiqua" w:cs="Book Antiqua"/>
          <w:color w:val="000000"/>
        </w:rPr>
        <w:t xml:space="preserve">, Singh HM, Werft W, Muckenhuber A, Sprick MR, Trumpp A, Weichert W, Jäger D, Springfeld C. High prevalence of incidental and symptomatic venous thromboembolic events in patients with advanced pancreatic cancer under palliative chemotherapy: A retrospective cohort study. </w:t>
      </w:r>
      <w:r w:rsidRPr="0037251D">
        <w:rPr>
          <w:rFonts w:ascii="Book Antiqua" w:eastAsia="Book Antiqua" w:hAnsi="Book Antiqua" w:cs="Book Antiqua"/>
          <w:i/>
          <w:iCs/>
          <w:color w:val="000000"/>
        </w:rPr>
        <w:t>Pancreatology</w:t>
      </w:r>
      <w:r w:rsidRPr="0037251D">
        <w:rPr>
          <w:rFonts w:ascii="Book Antiqua" w:eastAsia="Book Antiqua" w:hAnsi="Book Antiqua" w:cs="Book Antiqua"/>
          <w:color w:val="000000"/>
        </w:rPr>
        <w:t xml:space="preserve"> 2017; </w:t>
      </w:r>
      <w:r w:rsidRPr="0037251D">
        <w:rPr>
          <w:rFonts w:ascii="Book Antiqua" w:eastAsia="Book Antiqua" w:hAnsi="Book Antiqua" w:cs="Book Antiqua"/>
          <w:b/>
          <w:bCs/>
          <w:color w:val="000000"/>
        </w:rPr>
        <w:t>17</w:t>
      </w:r>
      <w:r w:rsidRPr="0037251D">
        <w:rPr>
          <w:rFonts w:ascii="Book Antiqua" w:eastAsia="Book Antiqua" w:hAnsi="Book Antiqua" w:cs="Book Antiqua"/>
          <w:color w:val="000000"/>
        </w:rPr>
        <w:t>: 629-634 [PMID: 28462862 DOI: 10.1016/j.pan.2017.04.012]</w:t>
      </w:r>
    </w:p>
    <w:p w14:paraId="63CC35FB" w14:textId="77777777" w:rsidR="00A77B3E" w:rsidRPr="0037251D" w:rsidRDefault="008404AF">
      <w:pPr>
        <w:spacing w:line="360" w:lineRule="auto"/>
        <w:jc w:val="both"/>
      </w:pPr>
      <w:r w:rsidRPr="0037251D">
        <w:rPr>
          <w:rFonts w:ascii="Book Antiqua" w:eastAsia="Book Antiqua" w:hAnsi="Book Antiqua" w:cs="Book Antiqua"/>
          <w:color w:val="000000"/>
        </w:rPr>
        <w:t xml:space="preserve">31 </w:t>
      </w:r>
      <w:r w:rsidRPr="0037251D">
        <w:rPr>
          <w:rFonts w:ascii="Book Antiqua" w:eastAsia="Book Antiqua" w:hAnsi="Book Antiqua" w:cs="Book Antiqua"/>
          <w:b/>
          <w:bCs/>
          <w:color w:val="000000"/>
        </w:rPr>
        <w:t>Chen JS</w:t>
      </w:r>
      <w:r w:rsidRPr="0037251D">
        <w:rPr>
          <w:rFonts w:ascii="Book Antiqua" w:eastAsia="Book Antiqua" w:hAnsi="Book Antiqua" w:cs="Book Antiqua"/>
          <w:color w:val="000000"/>
        </w:rPr>
        <w:t xml:space="preserve">, Hung CY, Chang H, Liu CT, Chen YY, Lu CH, Chang PH, Hung YS, Chou WC. Venous Thromboembolism in Asian Patients with Pancreatic Cancer Following Palliative Chemotherapy: Low Incidence but a Negative Prognosticator for Those with Early Onset. </w:t>
      </w:r>
      <w:r w:rsidRPr="0037251D">
        <w:rPr>
          <w:rFonts w:ascii="Book Antiqua" w:eastAsia="Book Antiqua" w:hAnsi="Book Antiqua" w:cs="Book Antiqua"/>
          <w:i/>
          <w:iCs/>
          <w:color w:val="000000"/>
        </w:rPr>
        <w:t>Cancers (Basel)</w:t>
      </w:r>
      <w:r w:rsidRPr="0037251D">
        <w:rPr>
          <w:rFonts w:ascii="Book Antiqua" w:eastAsia="Book Antiqua" w:hAnsi="Book Antiqua" w:cs="Book Antiqua"/>
          <w:color w:val="000000"/>
        </w:rPr>
        <w:t xml:space="preserve"> 2018; </w:t>
      </w:r>
      <w:r w:rsidRPr="0037251D">
        <w:rPr>
          <w:rFonts w:ascii="Book Antiqua" w:eastAsia="Book Antiqua" w:hAnsi="Book Antiqua" w:cs="Book Antiqua"/>
          <w:b/>
          <w:bCs/>
          <w:color w:val="000000"/>
        </w:rPr>
        <w:t>10</w:t>
      </w:r>
      <w:r w:rsidRPr="0037251D">
        <w:rPr>
          <w:rFonts w:ascii="Book Antiqua" w:eastAsia="Book Antiqua" w:hAnsi="Book Antiqua" w:cs="Book Antiqua"/>
          <w:color w:val="000000"/>
        </w:rPr>
        <w:t xml:space="preserve"> [PMID: 30544670 DOI: 10.3390/cancers10120501]</w:t>
      </w:r>
    </w:p>
    <w:p w14:paraId="2C3FD745" w14:textId="77777777" w:rsidR="00A77B3E" w:rsidRPr="0037251D" w:rsidRDefault="008404AF">
      <w:pPr>
        <w:spacing w:line="360" w:lineRule="auto"/>
        <w:jc w:val="both"/>
      </w:pPr>
      <w:r w:rsidRPr="0037251D">
        <w:rPr>
          <w:rFonts w:ascii="Book Antiqua" w:eastAsia="Book Antiqua" w:hAnsi="Book Antiqua" w:cs="Book Antiqua"/>
          <w:color w:val="000000"/>
        </w:rPr>
        <w:t xml:space="preserve">32 </w:t>
      </w:r>
      <w:r w:rsidRPr="0037251D">
        <w:rPr>
          <w:rFonts w:ascii="Book Antiqua" w:eastAsia="Book Antiqua" w:hAnsi="Book Antiqua" w:cs="Book Antiqua"/>
          <w:b/>
          <w:bCs/>
          <w:color w:val="000000"/>
        </w:rPr>
        <w:t>Kim JS</w:t>
      </w:r>
      <w:r w:rsidRPr="0037251D">
        <w:rPr>
          <w:rFonts w:ascii="Book Antiqua" w:eastAsia="Book Antiqua" w:hAnsi="Book Antiqua" w:cs="Book Antiqua"/>
          <w:color w:val="000000"/>
        </w:rPr>
        <w:t xml:space="preserve">, Kang EJ, Kim DS, Choi YJ, Lee SY, Kim HJ, Seo HY, Kim JS. Early venous thromboembolism at the beginning of palliative chemotherapy is a poor prognostic factor in patients with metastatic pancreatic cancer: a retrospective study. </w:t>
      </w:r>
      <w:r w:rsidRPr="0037251D">
        <w:rPr>
          <w:rFonts w:ascii="Book Antiqua" w:eastAsia="Book Antiqua" w:hAnsi="Book Antiqua" w:cs="Book Antiqua"/>
          <w:i/>
          <w:iCs/>
          <w:color w:val="000000"/>
        </w:rPr>
        <w:t>BMC Cancer</w:t>
      </w:r>
      <w:r w:rsidRPr="0037251D">
        <w:rPr>
          <w:rFonts w:ascii="Book Antiqua" w:eastAsia="Book Antiqua" w:hAnsi="Book Antiqua" w:cs="Book Antiqua"/>
          <w:color w:val="000000"/>
        </w:rPr>
        <w:t xml:space="preserve"> 2018; </w:t>
      </w:r>
      <w:r w:rsidRPr="0037251D">
        <w:rPr>
          <w:rFonts w:ascii="Book Antiqua" w:eastAsia="Book Antiqua" w:hAnsi="Book Antiqua" w:cs="Book Antiqua"/>
          <w:b/>
          <w:bCs/>
          <w:color w:val="000000"/>
        </w:rPr>
        <w:t>18</w:t>
      </w:r>
      <w:r w:rsidRPr="0037251D">
        <w:rPr>
          <w:rFonts w:ascii="Book Antiqua" w:eastAsia="Book Antiqua" w:hAnsi="Book Antiqua" w:cs="Book Antiqua"/>
          <w:color w:val="000000"/>
        </w:rPr>
        <w:t>: 1260 [PMID: 30558603 DOI: 10.1186/s12885-018-5154-3]</w:t>
      </w:r>
    </w:p>
    <w:p w14:paraId="283239ED" w14:textId="77777777" w:rsidR="00A77B3E" w:rsidRPr="0037251D" w:rsidRDefault="008404AF">
      <w:pPr>
        <w:spacing w:line="360" w:lineRule="auto"/>
        <w:jc w:val="both"/>
      </w:pPr>
      <w:r w:rsidRPr="0037251D">
        <w:rPr>
          <w:rFonts w:ascii="Book Antiqua" w:eastAsia="Book Antiqua" w:hAnsi="Book Antiqua" w:cs="Book Antiqua"/>
          <w:color w:val="000000"/>
        </w:rPr>
        <w:t xml:space="preserve">33 </w:t>
      </w:r>
      <w:r w:rsidRPr="0037251D">
        <w:rPr>
          <w:rFonts w:ascii="Book Antiqua" w:eastAsia="Book Antiqua" w:hAnsi="Book Antiqua" w:cs="Book Antiqua"/>
          <w:b/>
          <w:bCs/>
          <w:color w:val="000000"/>
        </w:rPr>
        <w:t>Ouaissi M</w:t>
      </w:r>
      <w:r w:rsidRPr="0037251D">
        <w:rPr>
          <w:rFonts w:ascii="Book Antiqua" w:eastAsia="Book Antiqua" w:hAnsi="Book Antiqua" w:cs="Book Antiqua"/>
          <w:color w:val="000000"/>
        </w:rPr>
        <w:t xml:space="preserve">, Frasconi C, Mege D, Panicot-Dubois L, Boiron L, Dahan L, Debourdeau P, Dubois C, Farge D, Sielezneff I. Impact of venous thromboembolism on the natural history of pancreatic adenocarcinoma. </w:t>
      </w:r>
      <w:r w:rsidRPr="0037251D">
        <w:rPr>
          <w:rFonts w:ascii="Book Antiqua" w:eastAsia="Book Antiqua" w:hAnsi="Book Antiqua" w:cs="Book Antiqua"/>
          <w:i/>
          <w:iCs/>
          <w:color w:val="000000"/>
        </w:rPr>
        <w:t>Hepatobiliary Pancreat Dis Int</w:t>
      </w:r>
      <w:r w:rsidRPr="0037251D">
        <w:rPr>
          <w:rFonts w:ascii="Book Antiqua" w:eastAsia="Book Antiqua" w:hAnsi="Book Antiqua" w:cs="Book Antiqua"/>
          <w:color w:val="000000"/>
        </w:rPr>
        <w:t xml:space="preserve"> 2015; </w:t>
      </w:r>
      <w:r w:rsidRPr="0037251D">
        <w:rPr>
          <w:rFonts w:ascii="Book Antiqua" w:eastAsia="Book Antiqua" w:hAnsi="Book Antiqua" w:cs="Book Antiqua"/>
          <w:b/>
          <w:bCs/>
          <w:color w:val="000000"/>
        </w:rPr>
        <w:t>14</w:t>
      </w:r>
      <w:r w:rsidRPr="0037251D">
        <w:rPr>
          <w:rFonts w:ascii="Book Antiqua" w:eastAsia="Book Antiqua" w:hAnsi="Book Antiqua" w:cs="Book Antiqua"/>
          <w:color w:val="000000"/>
        </w:rPr>
        <w:t>: 436-442 [PMID: 26256090 DOI: 10.1016/s1499-3872(15)60397-6]</w:t>
      </w:r>
    </w:p>
    <w:p w14:paraId="29E4F3FE" w14:textId="77777777" w:rsidR="00A77B3E" w:rsidRPr="0037251D" w:rsidRDefault="008404AF">
      <w:pPr>
        <w:spacing w:line="360" w:lineRule="auto"/>
        <w:jc w:val="both"/>
      </w:pPr>
      <w:r w:rsidRPr="0037251D">
        <w:rPr>
          <w:rFonts w:ascii="Book Antiqua" w:eastAsia="Book Antiqua" w:hAnsi="Book Antiqua" w:cs="Book Antiqua"/>
          <w:color w:val="000000"/>
        </w:rPr>
        <w:t xml:space="preserve">34 </w:t>
      </w:r>
      <w:r w:rsidRPr="0037251D">
        <w:rPr>
          <w:rFonts w:ascii="Book Antiqua" w:eastAsia="Book Antiqua" w:hAnsi="Book Antiqua" w:cs="Book Antiqua"/>
          <w:b/>
          <w:bCs/>
          <w:color w:val="000000"/>
        </w:rPr>
        <w:t>Frere C</w:t>
      </w:r>
      <w:r w:rsidRPr="0037251D">
        <w:rPr>
          <w:rFonts w:ascii="Book Antiqua" w:eastAsia="Book Antiqua" w:hAnsi="Book Antiqua" w:cs="Book Antiqua"/>
          <w:color w:val="000000"/>
        </w:rPr>
        <w:t xml:space="preserve">, Bournet B, Gourgou S, Fraisse J, Canivet C, Connors JM, Buscail L, Farge D; BACAP Consortium. Incidence of Venous Thromboembolism in Patients With Newly Diagnosed Pancreatic Cancer and Factors Associated With Outcomes. </w:t>
      </w:r>
      <w:r w:rsidRPr="0037251D">
        <w:rPr>
          <w:rFonts w:ascii="Book Antiqua" w:eastAsia="Book Antiqua" w:hAnsi="Book Antiqua" w:cs="Book Antiqua"/>
          <w:i/>
          <w:iCs/>
          <w:color w:val="000000"/>
        </w:rPr>
        <w:t>Gastroenterology</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158</w:t>
      </w:r>
      <w:r w:rsidRPr="0037251D">
        <w:rPr>
          <w:rFonts w:ascii="Book Antiqua" w:eastAsia="Book Antiqua" w:hAnsi="Book Antiqua" w:cs="Book Antiqua"/>
          <w:color w:val="000000"/>
        </w:rPr>
        <w:t>: 1346-1358.e4 [PMID: 31843588 DOI: 10.1053/j.gastro.2019.12.009]</w:t>
      </w:r>
    </w:p>
    <w:p w14:paraId="4F712845" w14:textId="77777777" w:rsidR="00A77B3E" w:rsidRPr="0037251D" w:rsidRDefault="008404AF">
      <w:pPr>
        <w:spacing w:line="360" w:lineRule="auto"/>
        <w:jc w:val="both"/>
      </w:pPr>
      <w:r w:rsidRPr="0037251D">
        <w:rPr>
          <w:rFonts w:ascii="Book Antiqua" w:eastAsia="Book Antiqua" w:hAnsi="Book Antiqua" w:cs="Book Antiqua"/>
          <w:color w:val="000000"/>
        </w:rPr>
        <w:t xml:space="preserve">35 </w:t>
      </w:r>
      <w:r w:rsidRPr="0037251D">
        <w:rPr>
          <w:rFonts w:ascii="Book Antiqua" w:eastAsia="Book Antiqua" w:hAnsi="Book Antiqua" w:cs="Book Antiqua"/>
          <w:b/>
          <w:bCs/>
          <w:color w:val="000000"/>
        </w:rPr>
        <w:t>Khorana AA</w:t>
      </w:r>
      <w:r w:rsidRPr="0037251D">
        <w:rPr>
          <w:rFonts w:ascii="Book Antiqua" w:eastAsia="Book Antiqua" w:hAnsi="Book Antiqua" w:cs="Book Antiqua"/>
          <w:color w:val="000000"/>
        </w:rPr>
        <w:t xml:space="preserve">, Fine RL. Pancreatic cancer and thromboembolic disease. </w:t>
      </w:r>
      <w:r w:rsidRPr="0037251D">
        <w:rPr>
          <w:rFonts w:ascii="Book Antiqua" w:eastAsia="Book Antiqua" w:hAnsi="Book Antiqua" w:cs="Book Antiqua"/>
          <w:i/>
          <w:iCs/>
          <w:color w:val="000000"/>
        </w:rPr>
        <w:t>Lancet Oncol</w:t>
      </w:r>
      <w:r w:rsidRPr="0037251D">
        <w:rPr>
          <w:rFonts w:ascii="Book Antiqua" w:eastAsia="Book Antiqua" w:hAnsi="Book Antiqua" w:cs="Book Antiqua"/>
          <w:color w:val="000000"/>
        </w:rPr>
        <w:t xml:space="preserve"> 2004; </w:t>
      </w:r>
      <w:r w:rsidRPr="0037251D">
        <w:rPr>
          <w:rFonts w:ascii="Book Antiqua" w:eastAsia="Book Antiqua" w:hAnsi="Book Antiqua" w:cs="Book Antiqua"/>
          <w:b/>
          <w:bCs/>
          <w:color w:val="000000"/>
        </w:rPr>
        <w:t>5</w:t>
      </w:r>
      <w:r w:rsidRPr="0037251D">
        <w:rPr>
          <w:rFonts w:ascii="Book Antiqua" w:eastAsia="Book Antiqua" w:hAnsi="Book Antiqua" w:cs="Book Antiqua"/>
          <w:color w:val="000000"/>
        </w:rPr>
        <w:t>: 655-663 [PMID: 15522652 DOI: 10.1016/S1470-2045(04)01606-7]</w:t>
      </w:r>
    </w:p>
    <w:p w14:paraId="4322C678" w14:textId="77777777" w:rsidR="00A77B3E" w:rsidRPr="0037251D" w:rsidRDefault="008404AF">
      <w:pPr>
        <w:spacing w:line="360" w:lineRule="auto"/>
        <w:jc w:val="both"/>
      </w:pPr>
      <w:r w:rsidRPr="0037251D">
        <w:rPr>
          <w:rFonts w:ascii="Book Antiqua" w:eastAsia="Book Antiqua" w:hAnsi="Book Antiqua" w:cs="Book Antiqua"/>
          <w:color w:val="000000"/>
        </w:rPr>
        <w:t xml:space="preserve">36 </w:t>
      </w:r>
      <w:r w:rsidRPr="0037251D">
        <w:rPr>
          <w:rFonts w:ascii="Book Antiqua" w:eastAsia="Book Antiqua" w:hAnsi="Book Antiqua" w:cs="Book Antiqua"/>
          <w:b/>
          <w:bCs/>
          <w:color w:val="000000"/>
        </w:rPr>
        <w:t>Mier-Hicks A</w:t>
      </w:r>
      <w:r w:rsidRPr="0037251D">
        <w:rPr>
          <w:rFonts w:ascii="Book Antiqua" w:eastAsia="Book Antiqua" w:hAnsi="Book Antiqua" w:cs="Book Antiqua"/>
          <w:color w:val="000000"/>
        </w:rPr>
        <w:t xml:space="preserve">, Raj M, Do RK, Yu KH, Lowery MA, Varghese A, O'Reilly EM. Incidence, Management, and Implications of Visceral Thrombosis in Pancreatic Ductal Adenocarcinoma. </w:t>
      </w:r>
      <w:r w:rsidRPr="0037251D">
        <w:rPr>
          <w:rFonts w:ascii="Book Antiqua" w:eastAsia="Book Antiqua" w:hAnsi="Book Antiqua" w:cs="Book Antiqua"/>
          <w:i/>
          <w:iCs/>
          <w:color w:val="000000"/>
        </w:rPr>
        <w:t>Clin Colorectal Cancer</w:t>
      </w:r>
      <w:r w:rsidRPr="0037251D">
        <w:rPr>
          <w:rFonts w:ascii="Book Antiqua" w:eastAsia="Book Antiqua" w:hAnsi="Book Antiqua" w:cs="Book Antiqua"/>
          <w:color w:val="000000"/>
        </w:rPr>
        <w:t xml:space="preserve"> 2018; </w:t>
      </w:r>
      <w:r w:rsidRPr="0037251D">
        <w:rPr>
          <w:rFonts w:ascii="Book Antiqua" w:eastAsia="Book Antiqua" w:hAnsi="Book Antiqua" w:cs="Book Antiqua"/>
          <w:b/>
          <w:bCs/>
          <w:color w:val="000000"/>
        </w:rPr>
        <w:t>17</w:t>
      </w:r>
      <w:r w:rsidRPr="0037251D">
        <w:rPr>
          <w:rFonts w:ascii="Book Antiqua" w:eastAsia="Book Antiqua" w:hAnsi="Book Antiqua" w:cs="Book Antiqua"/>
          <w:color w:val="000000"/>
        </w:rPr>
        <w:t>: 121-128 [PMID: 29477452 DOI: 10.1016/j.clcc.2018.01.008]</w:t>
      </w:r>
    </w:p>
    <w:p w14:paraId="2824B68C" w14:textId="77777777" w:rsidR="00A77B3E" w:rsidRPr="0037251D" w:rsidRDefault="008404AF">
      <w:pPr>
        <w:spacing w:line="360" w:lineRule="auto"/>
        <w:jc w:val="both"/>
      </w:pPr>
      <w:r w:rsidRPr="0037251D">
        <w:rPr>
          <w:rFonts w:ascii="Book Antiqua" w:eastAsia="Book Antiqua" w:hAnsi="Book Antiqua" w:cs="Book Antiqua"/>
          <w:color w:val="000000"/>
        </w:rPr>
        <w:t xml:space="preserve">37 </w:t>
      </w:r>
      <w:r w:rsidRPr="0037251D">
        <w:rPr>
          <w:rFonts w:ascii="Book Antiqua" w:eastAsia="Book Antiqua" w:hAnsi="Book Antiqua" w:cs="Book Antiqua"/>
          <w:b/>
          <w:bCs/>
          <w:color w:val="000000"/>
        </w:rPr>
        <w:t>Afzal A</w:t>
      </w:r>
      <w:r w:rsidRPr="0037251D">
        <w:rPr>
          <w:rFonts w:ascii="Book Antiqua" w:eastAsia="Book Antiqua" w:hAnsi="Book Antiqua" w:cs="Book Antiqua"/>
          <w:color w:val="000000"/>
        </w:rPr>
        <w:t xml:space="preserve">, Suhong L, Gage BF, Schoen MW, Carson K, Thomas T, Sanfilippo K. Splanchnic vein thrombosis predicts worse survival in patients with advanced </w:t>
      </w:r>
      <w:r w:rsidRPr="0037251D">
        <w:rPr>
          <w:rFonts w:ascii="Book Antiqua" w:eastAsia="Book Antiqua" w:hAnsi="Book Antiqua" w:cs="Book Antiqua"/>
          <w:color w:val="000000"/>
        </w:rPr>
        <w:lastRenderedPageBreak/>
        <w:t xml:space="preserve">pancreatic cancer. </w:t>
      </w:r>
      <w:r w:rsidRPr="0037251D">
        <w:rPr>
          <w:rFonts w:ascii="Book Antiqua" w:eastAsia="Book Antiqua" w:hAnsi="Book Antiqua" w:cs="Book Antiqua"/>
          <w:i/>
          <w:iCs/>
          <w:color w:val="000000"/>
        </w:rPr>
        <w:t>Thromb Res</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185</w:t>
      </w:r>
      <w:r w:rsidRPr="0037251D">
        <w:rPr>
          <w:rFonts w:ascii="Book Antiqua" w:eastAsia="Book Antiqua" w:hAnsi="Book Antiqua" w:cs="Book Antiqua"/>
          <w:color w:val="000000"/>
        </w:rPr>
        <w:t>: 125-131 [PMID: 31812026 DOI: 10.1016/j.thromres.2019.11.023]</w:t>
      </w:r>
    </w:p>
    <w:p w14:paraId="237BE13E" w14:textId="77777777" w:rsidR="00A77B3E" w:rsidRPr="0037251D" w:rsidRDefault="008404AF">
      <w:pPr>
        <w:spacing w:line="360" w:lineRule="auto"/>
        <w:jc w:val="both"/>
      </w:pPr>
      <w:r w:rsidRPr="0037251D">
        <w:rPr>
          <w:rFonts w:ascii="Book Antiqua" w:eastAsia="Book Antiqua" w:hAnsi="Book Antiqua" w:cs="Book Antiqua"/>
          <w:color w:val="000000"/>
        </w:rPr>
        <w:t xml:space="preserve">38 </w:t>
      </w:r>
      <w:r w:rsidRPr="0037251D">
        <w:rPr>
          <w:rFonts w:ascii="Book Antiqua" w:eastAsia="Book Antiqua" w:hAnsi="Book Antiqua" w:cs="Book Antiqua"/>
          <w:b/>
          <w:bCs/>
          <w:color w:val="000000"/>
        </w:rPr>
        <w:t>Faille D</w:t>
      </w:r>
      <w:r w:rsidRPr="0037251D">
        <w:rPr>
          <w:rFonts w:ascii="Book Antiqua" w:eastAsia="Book Antiqua" w:hAnsi="Book Antiqua" w:cs="Book Antiqua"/>
          <w:color w:val="000000"/>
        </w:rPr>
        <w:t xml:space="preserve">, Bourrienne MC, de Raucourt E, de Chaisemartin L, Granger V, Lacroix R, Panicot-Dubois L, Hammel P, Lévy P, Ruszniewski P, Ajzenberg N, Rebours V. Biomarkers for the risk of thrombosis in pancreatic adenocarcinoma are related to cancer process. </w:t>
      </w:r>
      <w:r w:rsidRPr="0037251D">
        <w:rPr>
          <w:rFonts w:ascii="Book Antiqua" w:eastAsia="Book Antiqua" w:hAnsi="Book Antiqua" w:cs="Book Antiqua"/>
          <w:i/>
          <w:iCs/>
          <w:color w:val="000000"/>
        </w:rPr>
        <w:t>Oncotarget</w:t>
      </w:r>
      <w:r w:rsidRPr="0037251D">
        <w:rPr>
          <w:rFonts w:ascii="Book Antiqua" w:eastAsia="Book Antiqua" w:hAnsi="Book Antiqua" w:cs="Book Antiqua"/>
          <w:color w:val="000000"/>
        </w:rPr>
        <w:t xml:space="preserve"> 2018; </w:t>
      </w:r>
      <w:r w:rsidRPr="0037251D">
        <w:rPr>
          <w:rFonts w:ascii="Book Antiqua" w:eastAsia="Book Antiqua" w:hAnsi="Book Antiqua" w:cs="Book Antiqua"/>
          <w:b/>
          <w:bCs/>
          <w:color w:val="000000"/>
        </w:rPr>
        <w:t>9</w:t>
      </w:r>
      <w:r w:rsidRPr="0037251D">
        <w:rPr>
          <w:rFonts w:ascii="Book Antiqua" w:eastAsia="Book Antiqua" w:hAnsi="Book Antiqua" w:cs="Book Antiqua"/>
          <w:color w:val="000000"/>
        </w:rPr>
        <w:t>: 26453-26465 [PMID: 29899870 DOI: 10.18632/oncotarget.25458]</w:t>
      </w:r>
    </w:p>
    <w:p w14:paraId="627CCCD5" w14:textId="77777777" w:rsidR="00A77B3E" w:rsidRPr="0037251D" w:rsidRDefault="008404AF">
      <w:pPr>
        <w:spacing w:line="360" w:lineRule="auto"/>
        <w:jc w:val="both"/>
      </w:pPr>
      <w:r w:rsidRPr="0037251D">
        <w:rPr>
          <w:rFonts w:ascii="Book Antiqua" w:eastAsia="Book Antiqua" w:hAnsi="Book Antiqua" w:cs="Book Antiqua"/>
          <w:color w:val="000000"/>
        </w:rPr>
        <w:t xml:space="preserve">39 </w:t>
      </w:r>
      <w:r w:rsidRPr="0037251D">
        <w:rPr>
          <w:rFonts w:ascii="Book Antiqua" w:eastAsia="Book Antiqua" w:hAnsi="Book Antiqua" w:cs="Book Antiqua"/>
          <w:b/>
          <w:bCs/>
          <w:color w:val="000000"/>
        </w:rPr>
        <w:t>Godinho J</w:t>
      </w:r>
      <w:r w:rsidRPr="0037251D">
        <w:rPr>
          <w:rFonts w:ascii="Book Antiqua" w:eastAsia="Book Antiqua" w:hAnsi="Book Antiqua" w:cs="Book Antiqua"/>
          <w:color w:val="000000"/>
        </w:rPr>
        <w:t xml:space="preserve">, Casa-Nova M, Moreira-Pinto J, Simões P, Paralta Branco F, Leal-Costa L, Faria A, Lopes F, Teixeira JA, Passos-Coelho JL. ONKOTEV Score as a Predictive Tool for Thromboembolic Events in Pancreatic Cancer-A Retrospective Analysis. </w:t>
      </w:r>
      <w:r w:rsidRPr="0037251D">
        <w:rPr>
          <w:rFonts w:ascii="Book Antiqua" w:eastAsia="Book Antiqua" w:hAnsi="Book Antiqua" w:cs="Book Antiqua"/>
          <w:i/>
          <w:iCs/>
          <w:color w:val="000000"/>
        </w:rPr>
        <w:t>Oncologist</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25</w:t>
      </w:r>
      <w:r w:rsidRPr="0037251D">
        <w:rPr>
          <w:rFonts w:ascii="Book Antiqua" w:eastAsia="Book Antiqua" w:hAnsi="Book Antiqua" w:cs="Book Antiqua"/>
          <w:color w:val="000000"/>
        </w:rPr>
        <w:t>: e284-e290 [PMID: 32043787 DOI: 10.1634/theoncologist.2019-0510]</w:t>
      </w:r>
    </w:p>
    <w:p w14:paraId="68CAE1E4" w14:textId="77777777" w:rsidR="00A77B3E" w:rsidRPr="0037251D" w:rsidRDefault="008404AF">
      <w:pPr>
        <w:spacing w:line="360" w:lineRule="auto"/>
        <w:jc w:val="both"/>
      </w:pPr>
      <w:r w:rsidRPr="0037251D">
        <w:rPr>
          <w:rFonts w:ascii="Book Antiqua" w:eastAsia="Book Antiqua" w:hAnsi="Book Antiqua" w:cs="Book Antiqua"/>
          <w:color w:val="000000"/>
        </w:rPr>
        <w:t xml:space="preserve">40 </w:t>
      </w:r>
      <w:r w:rsidRPr="0037251D">
        <w:rPr>
          <w:rFonts w:ascii="Book Antiqua" w:eastAsia="Book Antiqua" w:hAnsi="Book Antiqua" w:cs="Book Antiqua"/>
          <w:b/>
          <w:bCs/>
          <w:color w:val="000000"/>
        </w:rPr>
        <w:t>Heit JA</w:t>
      </w:r>
      <w:r w:rsidRPr="0037251D">
        <w:rPr>
          <w:rFonts w:ascii="Book Antiqua" w:eastAsia="Book Antiqua" w:hAnsi="Book Antiqua" w:cs="Book Antiqua"/>
          <w:color w:val="000000"/>
        </w:rPr>
        <w:t xml:space="preserve">. Epidemiology of venous thromboembolism. </w:t>
      </w:r>
      <w:r w:rsidRPr="0037251D">
        <w:rPr>
          <w:rFonts w:ascii="Book Antiqua" w:eastAsia="Book Antiqua" w:hAnsi="Book Antiqua" w:cs="Book Antiqua"/>
          <w:i/>
          <w:iCs/>
          <w:color w:val="000000"/>
        </w:rPr>
        <w:t>Nat Rev Cardiol</w:t>
      </w:r>
      <w:r w:rsidRPr="0037251D">
        <w:rPr>
          <w:rFonts w:ascii="Book Antiqua" w:eastAsia="Book Antiqua" w:hAnsi="Book Antiqua" w:cs="Book Antiqua"/>
          <w:color w:val="000000"/>
        </w:rPr>
        <w:t xml:space="preserve"> 2015; </w:t>
      </w:r>
      <w:r w:rsidRPr="0037251D">
        <w:rPr>
          <w:rFonts w:ascii="Book Antiqua" w:eastAsia="Book Antiqua" w:hAnsi="Book Antiqua" w:cs="Book Antiqua"/>
          <w:b/>
          <w:bCs/>
          <w:color w:val="000000"/>
        </w:rPr>
        <w:t>12</w:t>
      </w:r>
      <w:r w:rsidRPr="0037251D">
        <w:rPr>
          <w:rFonts w:ascii="Book Antiqua" w:eastAsia="Book Antiqua" w:hAnsi="Book Antiqua" w:cs="Book Antiqua"/>
          <w:color w:val="000000"/>
        </w:rPr>
        <w:t>: 464-474 [PMID: 26076949 DOI: 10.1038/nrcardio.2015.83]</w:t>
      </w:r>
    </w:p>
    <w:p w14:paraId="4A48D1DA" w14:textId="77777777" w:rsidR="00A77B3E" w:rsidRPr="0037251D" w:rsidRDefault="008404AF">
      <w:pPr>
        <w:spacing w:line="360" w:lineRule="auto"/>
        <w:jc w:val="both"/>
      </w:pPr>
      <w:r w:rsidRPr="0037251D">
        <w:rPr>
          <w:rFonts w:ascii="Book Antiqua" w:eastAsia="Book Antiqua" w:hAnsi="Book Antiqua" w:cs="Book Antiqua"/>
          <w:color w:val="000000"/>
        </w:rPr>
        <w:t xml:space="preserve">41 </w:t>
      </w:r>
      <w:r w:rsidRPr="0037251D">
        <w:rPr>
          <w:rFonts w:ascii="Book Antiqua" w:eastAsia="Book Antiqua" w:hAnsi="Book Antiqua" w:cs="Book Antiqua"/>
          <w:b/>
          <w:bCs/>
          <w:color w:val="000000"/>
        </w:rPr>
        <w:t>Vadhan-Raj S</w:t>
      </w:r>
      <w:r w:rsidRPr="0037251D">
        <w:rPr>
          <w:rFonts w:ascii="Book Antiqua" w:eastAsia="Book Antiqua" w:hAnsi="Book Antiqua" w:cs="Book Antiqua"/>
          <w:color w:val="000000"/>
        </w:rPr>
        <w:t xml:space="preserve">, McNamara MG, Venerito M, Riess H, O'Reilly EM, Overman MJ, Zhou X, Vijapurkar U, Kaul S, Wildgoose P, Khorana AA. Rivaroxaban thromboprophylaxis in ambulatory patients with pancreatic cancer: Results from a pre-specified subgroup analysis of the randomized CASSINI study. </w:t>
      </w:r>
      <w:r w:rsidRPr="0037251D">
        <w:rPr>
          <w:rFonts w:ascii="Book Antiqua" w:eastAsia="Book Antiqua" w:hAnsi="Book Antiqua" w:cs="Book Antiqua"/>
          <w:i/>
          <w:iCs/>
          <w:color w:val="000000"/>
        </w:rPr>
        <w:t>Cancer Med</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9</w:t>
      </w:r>
      <w:r w:rsidRPr="0037251D">
        <w:rPr>
          <w:rFonts w:ascii="Book Antiqua" w:eastAsia="Book Antiqua" w:hAnsi="Book Antiqua" w:cs="Book Antiqua"/>
          <w:color w:val="000000"/>
        </w:rPr>
        <w:t>: 6196-6204 [PMID: 32663379 DOI: 10.1002/cam4.3269]</w:t>
      </w:r>
    </w:p>
    <w:p w14:paraId="66A772DB" w14:textId="77777777" w:rsidR="00A77B3E" w:rsidRPr="0037251D" w:rsidRDefault="008404AF">
      <w:pPr>
        <w:spacing w:line="360" w:lineRule="auto"/>
        <w:jc w:val="both"/>
      </w:pPr>
      <w:r w:rsidRPr="0037251D">
        <w:rPr>
          <w:rFonts w:ascii="Book Antiqua" w:eastAsia="Book Antiqua" w:hAnsi="Book Antiqua" w:cs="Book Antiqua"/>
          <w:color w:val="000000"/>
        </w:rPr>
        <w:t xml:space="preserve">42 </w:t>
      </w:r>
      <w:r w:rsidRPr="0037251D">
        <w:rPr>
          <w:rFonts w:ascii="Book Antiqua" w:eastAsia="Book Antiqua" w:hAnsi="Book Antiqua" w:cs="Book Antiqua"/>
          <w:b/>
          <w:bCs/>
          <w:color w:val="000000"/>
        </w:rPr>
        <w:t>Cronin M</w:t>
      </w:r>
      <w:r w:rsidRPr="0037251D">
        <w:rPr>
          <w:rFonts w:ascii="Book Antiqua" w:eastAsia="Book Antiqua" w:hAnsi="Book Antiqua" w:cs="Book Antiqua"/>
          <w:color w:val="000000"/>
        </w:rPr>
        <w:t xml:space="preserve">, Dengler N, Krauss ES, Segal A, Wei N, Daly M, Mota F, Caprini JA. Completion of the Updated Caprini Risk Assessment Model (2013 Version). </w:t>
      </w:r>
      <w:r w:rsidRPr="0037251D">
        <w:rPr>
          <w:rFonts w:ascii="Book Antiqua" w:eastAsia="Book Antiqua" w:hAnsi="Book Antiqua" w:cs="Book Antiqua"/>
          <w:i/>
          <w:iCs/>
          <w:color w:val="000000"/>
        </w:rPr>
        <w:t>Clin Appl Thromb Hemost</w:t>
      </w:r>
      <w:r w:rsidRPr="0037251D">
        <w:rPr>
          <w:rFonts w:ascii="Book Antiqua" w:eastAsia="Book Antiqua" w:hAnsi="Book Antiqua" w:cs="Book Antiqua"/>
          <w:color w:val="000000"/>
        </w:rPr>
        <w:t xml:space="preserve"> 2019; </w:t>
      </w:r>
      <w:r w:rsidRPr="0037251D">
        <w:rPr>
          <w:rFonts w:ascii="Book Antiqua" w:eastAsia="Book Antiqua" w:hAnsi="Book Antiqua" w:cs="Book Antiqua"/>
          <w:b/>
          <w:bCs/>
          <w:color w:val="000000"/>
        </w:rPr>
        <w:t>25</w:t>
      </w:r>
      <w:r w:rsidRPr="0037251D">
        <w:rPr>
          <w:rFonts w:ascii="Book Antiqua" w:eastAsia="Book Antiqua" w:hAnsi="Book Antiqua" w:cs="Book Antiqua"/>
          <w:color w:val="000000"/>
        </w:rPr>
        <w:t>: 1076029619838052 [PMID: 30939900 DOI: 10.1177/1076029619838052]</w:t>
      </w:r>
    </w:p>
    <w:p w14:paraId="40EE3385" w14:textId="77777777" w:rsidR="00A77B3E" w:rsidRPr="0037251D" w:rsidRDefault="008404AF">
      <w:pPr>
        <w:spacing w:line="360" w:lineRule="auto"/>
        <w:jc w:val="both"/>
      </w:pPr>
      <w:r w:rsidRPr="0037251D">
        <w:rPr>
          <w:rFonts w:ascii="Book Antiqua" w:eastAsia="Book Antiqua" w:hAnsi="Book Antiqua" w:cs="Book Antiqua"/>
          <w:color w:val="000000"/>
        </w:rPr>
        <w:t xml:space="preserve">43 </w:t>
      </w:r>
      <w:r w:rsidRPr="0037251D">
        <w:rPr>
          <w:rFonts w:ascii="Book Antiqua" w:eastAsia="Book Antiqua" w:hAnsi="Book Antiqua" w:cs="Book Antiqua"/>
          <w:b/>
          <w:bCs/>
          <w:color w:val="000000"/>
        </w:rPr>
        <w:t>Boone BA</w:t>
      </w:r>
      <w:r w:rsidRPr="0037251D">
        <w:rPr>
          <w:rFonts w:ascii="Book Antiqua" w:eastAsia="Book Antiqua" w:hAnsi="Book Antiqua" w:cs="Book Antiqua"/>
          <w:color w:val="000000"/>
        </w:rPr>
        <w:t xml:space="preserve">, Zenati MS, Rieser C, Hamad A, Al-Abbas A, Zureikat AH, Hogg ME, Neal MD, Zeh HJ 3rd. Risk of Venous Thromboembolism for Patients with Pancreatic Ductal Adenocarcinoma Undergoing Preoperative Chemotherapy Followed by Surgical Resection. </w:t>
      </w:r>
      <w:r w:rsidRPr="0037251D">
        <w:rPr>
          <w:rFonts w:ascii="Book Antiqua" w:eastAsia="Book Antiqua" w:hAnsi="Book Antiqua" w:cs="Book Antiqua"/>
          <w:i/>
          <w:iCs/>
          <w:color w:val="000000"/>
        </w:rPr>
        <w:t>Ann Surg Oncol</w:t>
      </w:r>
      <w:r w:rsidRPr="0037251D">
        <w:rPr>
          <w:rFonts w:ascii="Book Antiqua" w:eastAsia="Book Antiqua" w:hAnsi="Book Antiqua" w:cs="Book Antiqua"/>
          <w:color w:val="000000"/>
        </w:rPr>
        <w:t xml:space="preserve"> 2019; </w:t>
      </w:r>
      <w:r w:rsidRPr="0037251D">
        <w:rPr>
          <w:rFonts w:ascii="Book Antiqua" w:eastAsia="Book Antiqua" w:hAnsi="Book Antiqua" w:cs="Book Antiqua"/>
          <w:b/>
          <w:bCs/>
          <w:color w:val="000000"/>
        </w:rPr>
        <w:t>26</w:t>
      </w:r>
      <w:r w:rsidRPr="0037251D">
        <w:rPr>
          <w:rFonts w:ascii="Book Antiqua" w:eastAsia="Book Antiqua" w:hAnsi="Book Antiqua" w:cs="Book Antiqua"/>
          <w:color w:val="000000"/>
        </w:rPr>
        <w:t>: 1503-1511 [PMID: 30652227 DOI: 10.1245/s10434-018-07148-z]</w:t>
      </w:r>
    </w:p>
    <w:p w14:paraId="0D3B47BE" w14:textId="77777777" w:rsidR="00A77B3E" w:rsidRPr="0037251D" w:rsidRDefault="008404AF">
      <w:pPr>
        <w:spacing w:line="360" w:lineRule="auto"/>
        <w:jc w:val="both"/>
      </w:pPr>
      <w:r w:rsidRPr="0037251D">
        <w:rPr>
          <w:rFonts w:ascii="Book Antiqua" w:eastAsia="Book Antiqua" w:hAnsi="Book Antiqua" w:cs="Book Antiqua"/>
          <w:color w:val="000000"/>
        </w:rPr>
        <w:lastRenderedPageBreak/>
        <w:t xml:space="preserve">44 </w:t>
      </w:r>
      <w:r w:rsidRPr="0037251D">
        <w:rPr>
          <w:rFonts w:ascii="Book Antiqua" w:eastAsia="Book Antiqua" w:hAnsi="Book Antiqua" w:cs="Book Antiqua"/>
          <w:b/>
          <w:bCs/>
          <w:color w:val="000000"/>
        </w:rPr>
        <w:t>Khorana AA</w:t>
      </w:r>
      <w:r w:rsidRPr="0037251D">
        <w:rPr>
          <w:rFonts w:ascii="Book Antiqua" w:eastAsia="Book Antiqua" w:hAnsi="Book Antiqua" w:cs="Book Antiqua"/>
          <w:color w:val="000000"/>
        </w:rPr>
        <w:t xml:space="preserve">, Kuderer NM, Culakova E, Lyman GH, Francis CW. Development and validation of a predictive model for chemotherapy-associated thrombosis. </w:t>
      </w:r>
      <w:r w:rsidRPr="0037251D">
        <w:rPr>
          <w:rFonts w:ascii="Book Antiqua" w:eastAsia="Book Antiqua" w:hAnsi="Book Antiqua" w:cs="Book Antiqua"/>
          <w:i/>
          <w:iCs/>
          <w:color w:val="000000"/>
        </w:rPr>
        <w:t>Blood</w:t>
      </w:r>
      <w:r w:rsidRPr="0037251D">
        <w:rPr>
          <w:rFonts w:ascii="Book Antiqua" w:eastAsia="Book Antiqua" w:hAnsi="Book Antiqua" w:cs="Book Antiqua"/>
          <w:color w:val="000000"/>
        </w:rPr>
        <w:t xml:space="preserve"> 2008; </w:t>
      </w:r>
      <w:r w:rsidRPr="0037251D">
        <w:rPr>
          <w:rFonts w:ascii="Book Antiqua" w:eastAsia="Book Antiqua" w:hAnsi="Book Antiqua" w:cs="Book Antiqua"/>
          <w:b/>
          <w:bCs/>
          <w:color w:val="000000"/>
        </w:rPr>
        <w:t>111</w:t>
      </w:r>
      <w:r w:rsidRPr="0037251D">
        <w:rPr>
          <w:rFonts w:ascii="Book Antiqua" w:eastAsia="Book Antiqua" w:hAnsi="Book Antiqua" w:cs="Book Antiqua"/>
          <w:color w:val="000000"/>
        </w:rPr>
        <w:t>: 4902-4907 [PMID: 18216292 DOI: 10.1182/blood-2007-10-116327]</w:t>
      </w:r>
    </w:p>
    <w:p w14:paraId="363BF002" w14:textId="77777777" w:rsidR="00A77B3E" w:rsidRPr="0037251D" w:rsidRDefault="008404AF">
      <w:pPr>
        <w:spacing w:line="360" w:lineRule="auto"/>
        <w:jc w:val="both"/>
      </w:pPr>
      <w:r w:rsidRPr="0037251D">
        <w:rPr>
          <w:rFonts w:ascii="Book Antiqua" w:eastAsia="Book Antiqua" w:hAnsi="Book Antiqua" w:cs="Book Antiqua"/>
          <w:color w:val="000000"/>
        </w:rPr>
        <w:t xml:space="preserve">45 </w:t>
      </w:r>
      <w:r w:rsidRPr="0037251D">
        <w:rPr>
          <w:rFonts w:ascii="Book Antiqua" w:eastAsia="Book Antiqua" w:hAnsi="Book Antiqua" w:cs="Book Antiqua"/>
          <w:b/>
          <w:bCs/>
          <w:color w:val="000000"/>
        </w:rPr>
        <w:t>Pelzer U</w:t>
      </w:r>
      <w:r w:rsidRPr="0037251D">
        <w:rPr>
          <w:rFonts w:ascii="Book Antiqua" w:eastAsia="Book Antiqua" w:hAnsi="Book Antiqua" w:cs="Book Antiqua"/>
          <w:color w:val="000000"/>
        </w:rPr>
        <w:t xml:space="preserve">, Sinn M, Stieler J, Riess H. [Primary pharmacological prevention of thromboembolic events in ambulatory patients with advanced pancreatic cancer treated with chemotherapy?]. </w:t>
      </w:r>
      <w:r w:rsidRPr="0037251D">
        <w:rPr>
          <w:rFonts w:ascii="Book Antiqua" w:eastAsia="Book Antiqua" w:hAnsi="Book Antiqua" w:cs="Book Antiqua"/>
          <w:i/>
          <w:iCs/>
          <w:color w:val="000000"/>
        </w:rPr>
        <w:t>Dtsch Med Wochenschr</w:t>
      </w:r>
      <w:r w:rsidRPr="0037251D">
        <w:rPr>
          <w:rFonts w:ascii="Book Antiqua" w:eastAsia="Book Antiqua" w:hAnsi="Book Antiqua" w:cs="Book Antiqua"/>
          <w:color w:val="000000"/>
        </w:rPr>
        <w:t xml:space="preserve"> 2013; </w:t>
      </w:r>
      <w:r w:rsidRPr="0037251D">
        <w:rPr>
          <w:rFonts w:ascii="Book Antiqua" w:eastAsia="Book Antiqua" w:hAnsi="Book Antiqua" w:cs="Book Antiqua"/>
          <w:b/>
          <w:bCs/>
          <w:color w:val="000000"/>
        </w:rPr>
        <w:t>138</w:t>
      </w:r>
      <w:r w:rsidRPr="0037251D">
        <w:rPr>
          <w:rFonts w:ascii="Book Antiqua" w:eastAsia="Book Antiqua" w:hAnsi="Book Antiqua" w:cs="Book Antiqua"/>
          <w:color w:val="000000"/>
        </w:rPr>
        <w:t>: 2084-2088 [PMID: 24085361 DOI: 10.1055/s-0033-1349608]</w:t>
      </w:r>
    </w:p>
    <w:p w14:paraId="3473481B" w14:textId="77777777" w:rsidR="00A77B3E" w:rsidRPr="0037251D" w:rsidRDefault="008404AF">
      <w:pPr>
        <w:spacing w:line="360" w:lineRule="auto"/>
        <w:jc w:val="both"/>
      </w:pPr>
      <w:r w:rsidRPr="0037251D">
        <w:rPr>
          <w:rFonts w:ascii="Book Antiqua" w:eastAsia="Book Antiqua" w:hAnsi="Book Antiqua" w:cs="Book Antiqua"/>
          <w:color w:val="000000"/>
        </w:rPr>
        <w:t xml:space="preserve">46 </w:t>
      </w:r>
      <w:r w:rsidRPr="0037251D">
        <w:rPr>
          <w:rFonts w:ascii="Book Antiqua" w:eastAsia="Book Antiqua" w:hAnsi="Book Antiqua" w:cs="Book Antiqua"/>
          <w:b/>
          <w:bCs/>
          <w:color w:val="000000"/>
        </w:rPr>
        <w:t>Verso M</w:t>
      </w:r>
      <w:r w:rsidRPr="0037251D">
        <w:rPr>
          <w:rFonts w:ascii="Book Antiqua" w:eastAsia="Book Antiqua" w:hAnsi="Book Antiqua" w:cs="Book Antiqua"/>
          <w:color w:val="000000"/>
        </w:rPr>
        <w:t xml:space="preserve">, Agnelli G, Barni S, Gasparini G, LaBianca R. A modified Khorana risk assessment score for venous thromboembolism in cancer patients receiving chemotherapy: the Protecht score. </w:t>
      </w:r>
      <w:r w:rsidRPr="0037251D">
        <w:rPr>
          <w:rFonts w:ascii="Book Antiqua" w:eastAsia="Book Antiqua" w:hAnsi="Book Antiqua" w:cs="Book Antiqua"/>
          <w:i/>
          <w:iCs/>
          <w:color w:val="000000"/>
        </w:rPr>
        <w:t>Intern Emerg Med</w:t>
      </w:r>
      <w:r w:rsidRPr="0037251D">
        <w:rPr>
          <w:rFonts w:ascii="Book Antiqua" w:eastAsia="Book Antiqua" w:hAnsi="Book Antiqua" w:cs="Book Antiqua"/>
          <w:color w:val="000000"/>
        </w:rPr>
        <w:t xml:space="preserve"> 2012; </w:t>
      </w:r>
      <w:r w:rsidRPr="0037251D">
        <w:rPr>
          <w:rFonts w:ascii="Book Antiqua" w:eastAsia="Book Antiqua" w:hAnsi="Book Antiqua" w:cs="Book Antiqua"/>
          <w:b/>
          <w:bCs/>
          <w:color w:val="000000"/>
        </w:rPr>
        <w:t>7</w:t>
      </w:r>
      <w:r w:rsidRPr="0037251D">
        <w:rPr>
          <w:rFonts w:ascii="Book Antiqua" w:eastAsia="Book Antiqua" w:hAnsi="Book Antiqua" w:cs="Book Antiqua"/>
          <w:color w:val="000000"/>
        </w:rPr>
        <w:t>: 291-292 [PMID: 22547369 DOI: 10.1007/s11739-012-0784-y]</w:t>
      </w:r>
    </w:p>
    <w:p w14:paraId="45A2034F" w14:textId="77777777" w:rsidR="00A77B3E" w:rsidRPr="0037251D" w:rsidRDefault="008404AF">
      <w:pPr>
        <w:spacing w:line="360" w:lineRule="auto"/>
        <w:jc w:val="both"/>
      </w:pPr>
      <w:r w:rsidRPr="0037251D">
        <w:rPr>
          <w:rFonts w:ascii="Book Antiqua" w:eastAsia="Book Antiqua" w:hAnsi="Book Antiqua" w:cs="Book Antiqua"/>
          <w:color w:val="000000"/>
        </w:rPr>
        <w:t xml:space="preserve">47 </w:t>
      </w:r>
      <w:r w:rsidRPr="0037251D">
        <w:rPr>
          <w:rFonts w:ascii="Book Antiqua" w:eastAsia="Book Antiqua" w:hAnsi="Book Antiqua" w:cs="Book Antiqua"/>
          <w:b/>
          <w:bCs/>
          <w:color w:val="000000"/>
        </w:rPr>
        <w:t>Cella CA</w:t>
      </w:r>
      <w:r w:rsidRPr="0037251D">
        <w:rPr>
          <w:rFonts w:ascii="Book Antiqua" w:eastAsia="Book Antiqua" w:hAnsi="Book Antiqua" w:cs="Book Antiqua"/>
          <w:color w:val="000000"/>
        </w:rPr>
        <w:t xml:space="preserve">, Di Minno G, Carlomagno C, Arcopinto M, Cerbone AM, Matano E, Tufano A, Lordick F, De Simone B, Muehlberg KS, Bruzzese D, Attademo L, Arturo C, Sodano M, Moretto R, La Fata E, De Placido S. Preventing Venous Thromboembolism in Ambulatory Cancer Patients: The ONKOTEV Study. </w:t>
      </w:r>
      <w:r w:rsidRPr="0037251D">
        <w:rPr>
          <w:rFonts w:ascii="Book Antiqua" w:eastAsia="Book Antiqua" w:hAnsi="Book Antiqua" w:cs="Book Antiqua"/>
          <w:i/>
          <w:iCs/>
          <w:color w:val="000000"/>
        </w:rPr>
        <w:t>Oncologist</w:t>
      </w:r>
      <w:r w:rsidRPr="0037251D">
        <w:rPr>
          <w:rFonts w:ascii="Book Antiqua" w:eastAsia="Book Antiqua" w:hAnsi="Book Antiqua" w:cs="Book Antiqua"/>
          <w:color w:val="000000"/>
        </w:rPr>
        <w:t xml:space="preserve"> 2017; </w:t>
      </w:r>
      <w:r w:rsidRPr="0037251D">
        <w:rPr>
          <w:rFonts w:ascii="Book Antiqua" w:eastAsia="Book Antiqua" w:hAnsi="Book Antiqua" w:cs="Book Antiqua"/>
          <w:b/>
          <w:bCs/>
          <w:color w:val="000000"/>
        </w:rPr>
        <w:t>22</w:t>
      </w:r>
      <w:r w:rsidRPr="0037251D">
        <w:rPr>
          <w:rFonts w:ascii="Book Antiqua" w:eastAsia="Book Antiqua" w:hAnsi="Book Antiqua" w:cs="Book Antiqua"/>
          <w:color w:val="000000"/>
        </w:rPr>
        <w:t>: 601-608 [PMID: 28424324 DOI: 10.1634/theoncologist.2016-0246]</w:t>
      </w:r>
    </w:p>
    <w:p w14:paraId="7365BCD2" w14:textId="77777777" w:rsidR="00A77B3E" w:rsidRPr="0037251D" w:rsidRDefault="008404AF">
      <w:pPr>
        <w:spacing w:line="360" w:lineRule="auto"/>
        <w:jc w:val="both"/>
      </w:pPr>
      <w:r w:rsidRPr="0037251D">
        <w:rPr>
          <w:rFonts w:ascii="Book Antiqua" w:eastAsia="Book Antiqua" w:hAnsi="Book Antiqua" w:cs="Book Antiqua"/>
          <w:color w:val="000000"/>
        </w:rPr>
        <w:t xml:space="preserve">48 </w:t>
      </w:r>
      <w:r w:rsidRPr="0037251D">
        <w:rPr>
          <w:rFonts w:ascii="Book Antiqua" w:eastAsia="Book Antiqua" w:hAnsi="Book Antiqua" w:cs="Book Antiqua"/>
          <w:b/>
          <w:bCs/>
          <w:color w:val="000000"/>
        </w:rPr>
        <w:t>Muñoz Martín AJ</w:t>
      </w:r>
      <w:r w:rsidRPr="0037251D">
        <w:rPr>
          <w:rFonts w:ascii="Book Antiqua" w:eastAsia="Book Antiqua" w:hAnsi="Book Antiqua" w:cs="Book Antiqua"/>
          <w:color w:val="000000"/>
        </w:rPr>
        <w:t xml:space="preserve">, Ortega I, Font C, Pachón V, Castellón V, Martínez-Marín V, Salgado M, Martínez E, Calzas J, Rupérez A, Souto JC, Martín M, Salas E, Soria JM. Multivariable clinical-genetic risk model for predicting venous thromboembolic events in patients with cancer. </w:t>
      </w:r>
      <w:r w:rsidRPr="0037251D">
        <w:rPr>
          <w:rFonts w:ascii="Book Antiqua" w:eastAsia="Book Antiqua" w:hAnsi="Book Antiqua" w:cs="Book Antiqua"/>
          <w:i/>
          <w:iCs/>
          <w:color w:val="000000"/>
        </w:rPr>
        <w:t>Br J Cancer</w:t>
      </w:r>
      <w:r w:rsidRPr="0037251D">
        <w:rPr>
          <w:rFonts w:ascii="Book Antiqua" w:eastAsia="Book Antiqua" w:hAnsi="Book Antiqua" w:cs="Book Antiqua"/>
          <w:color w:val="000000"/>
        </w:rPr>
        <w:t xml:space="preserve"> 2018; </w:t>
      </w:r>
      <w:r w:rsidRPr="0037251D">
        <w:rPr>
          <w:rFonts w:ascii="Book Antiqua" w:eastAsia="Book Antiqua" w:hAnsi="Book Antiqua" w:cs="Book Antiqua"/>
          <w:b/>
          <w:bCs/>
          <w:color w:val="000000"/>
        </w:rPr>
        <w:t>118</w:t>
      </w:r>
      <w:r w:rsidRPr="0037251D">
        <w:rPr>
          <w:rFonts w:ascii="Book Antiqua" w:eastAsia="Book Antiqua" w:hAnsi="Book Antiqua" w:cs="Book Antiqua"/>
          <w:color w:val="000000"/>
        </w:rPr>
        <w:t>: 1056-1061 [PMID: 29588512 DOI: 10.1038/s41416-018-0027-8]</w:t>
      </w:r>
    </w:p>
    <w:p w14:paraId="2109BD4D" w14:textId="77777777" w:rsidR="00A77B3E" w:rsidRPr="0037251D" w:rsidRDefault="008404AF">
      <w:pPr>
        <w:spacing w:line="360" w:lineRule="auto"/>
        <w:jc w:val="both"/>
      </w:pPr>
      <w:r w:rsidRPr="0037251D">
        <w:rPr>
          <w:rFonts w:ascii="Book Antiqua" w:eastAsia="Book Antiqua" w:hAnsi="Book Antiqua" w:cs="Book Antiqua"/>
          <w:color w:val="000000"/>
        </w:rPr>
        <w:t xml:space="preserve">49 </w:t>
      </w:r>
      <w:r w:rsidRPr="0037251D">
        <w:rPr>
          <w:rFonts w:ascii="Book Antiqua" w:eastAsia="Book Antiqua" w:hAnsi="Book Antiqua" w:cs="Book Antiqua"/>
          <w:b/>
          <w:bCs/>
          <w:color w:val="000000"/>
        </w:rPr>
        <w:t>Pabinger I</w:t>
      </w:r>
      <w:r w:rsidRPr="0037251D">
        <w:rPr>
          <w:rFonts w:ascii="Book Antiqua" w:eastAsia="Book Antiqua" w:hAnsi="Book Antiqua" w:cs="Book Antiqua"/>
          <w:color w:val="000000"/>
        </w:rPr>
        <w:t xml:space="preserve">, van Es N, Heinze G, Posch F, Riedl J, Reitter EM, Di Nisio M, Cesarman-Maus G, Kraaijpoel N, Zielinski CC, Büller HR, Ay C. A clinical prediction model for cancer-associated venous thromboembolism: a development and validation study in two independent prospective cohorts. </w:t>
      </w:r>
      <w:r w:rsidRPr="0037251D">
        <w:rPr>
          <w:rFonts w:ascii="Book Antiqua" w:eastAsia="Book Antiqua" w:hAnsi="Book Antiqua" w:cs="Book Antiqua"/>
          <w:i/>
          <w:iCs/>
          <w:color w:val="000000"/>
        </w:rPr>
        <w:t>Lancet Haematol</w:t>
      </w:r>
      <w:r w:rsidRPr="0037251D">
        <w:rPr>
          <w:rFonts w:ascii="Book Antiqua" w:eastAsia="Book Antiqua" w:hAnsi="Book Antiqua" w:cs="Book Antiqua"/>
          <w:color w:val="000000"/>
        </w:rPr>
        <w:t xml:space="preserve"> 2018; </w:t>
      </w:r>
      <w:r w:rsidRPr="0037251D">
        <w:rPr>
          <w:rFonts w:ascii="Book Antiqua" w:eastAsia="Book Antiqua" w:hAnsi="Book Antiqua" w:cs="Book Antiqua"/>
          <w:b/>
          <w:bCs/>
          <w:color w:val="000000"/>
        </w:rPr>
        <w:t>5</w:t>
      </w:r>
      <w:r w:rsidRPr="0037251D">
        <w:rPr>
          <w:rFonts w:ascii="Book Antiqua" w:eastAsia="Book Antiqua" w:hAnsi="Book Antiqua" w:cs="Book Antiqua"/>
          <w:color w:val="000000"/>
        </w:rPr>
        <w:t>: e289-e298 [PMID: 29885940 DOI: 10.1016/S2352-3026(18)30063-2]</w:t>
      </w:r>
    </w:p>
    <w:p w14:paraId="0DAFF3F0" w14:textId="77777777" w:rsidR="00A77B3E" w:rsidRPr="0037251D" w:rsidRDefault="008404AF">
      <w:pPr>
        <w:spacing w:line="360" w:lineRule="auto"/>
        <w:jc w:val="both"/>
      </w:pPr>
      <w:r w:rsidRPr="0037251D">
        <w:rPr>
          <w:rFonts w:ascii="Book Antiqua" w:eastAsia="Book Antiqua" w:hAnsi="Book Antiqua" w:cs="Book Antiqua"/>
          <w:color w:val="000000"/>
        </w:rPr>
        <w:t xml:space="preserve">50 </w:t>
      </w:r>
      <w:r w:rsidRPr="0037251D">
        <w:rPr>
          <w:rFonts w:ascii="Book Antiqua" w:eastAsia="Book Antiqua" w:hAnsi="Book Antiqua" w:cs="Book Antiqua"/>
          <w:b/>
          <w:bCs/>
          <w:color w:val="000000"/>
        </w:rPr>
        <w:t>Ferroni P</w:t>
      </w:r>
      <w:r w:rsidRPr="0037251D">
        <w:rPr>
          <w:rFonts w:ascii="Book Antiqua" w:eastAsia="Book Antiqua" w:hAnsi="Book Antiqua" w:cs="Book Antiqua"/>
          <w:color w:val="000000"/>
        </w:rPr>
        <w:t xml:space="preserve">, Zanzotto FM, Scarpato N, Riondino S, Guadagni F, Roselli M. Validation of a Machine Learning Approach for Venous Thromboembolism Risk Prediction in Oncology. </w:t>
      </w:r>
      <w:r w:rsidRPr="0037251D">
        <w:rPr>
          <w:rFonts w:ascii="Book Antiqua" w:eastAsia="Book Antiqua" w:hAnsi="Book Antiqua" w:cs="Book Antiqua"/>
          <w:i/>
          <w:iCs/>
          <w:color w:val="000000"/>
        </w:rPr>
        <w:t>Dis Markers</w:t>
      </w:r>
      <w:r w:rsidRPr="0037251D">
        <w:rPr>
          <w:rFonts w:ascii="Book Antiqua" w:eastAsia="Book Antiqua" w:hAnsi="Book Antiqua" w:cs="Book Antiqua"/>
          <w:color w:val="000000"/>
        </w:rPr>
        <w:t xml:space="preserve"> 2017; </w:t>
      </w:r>
      <w:r w:rsidRPr="0037251D">
        <w:rPr>
          <w:rFonts w:ascii="Book Antiqua" w:eastAsia="Book Antiqua" w:hAnsi="Book Antiqua" w:cs="Book Antiqua"/>
          <w:b/>
          <w:bCs/>
          <w:color w:val="000000"/>
        </w:rPr>
        <w:t>2017</w:t>
      </w:r>
      <w:r w:rsidRPr="0037251D">
        <w:rPr>
          <w:rFonts w:ascii="Book Antiqua" w:eastAsia="Book Antiqua" w:hAnsi="Book Antiqua" w:cs="Book Antiqua"/>
          <w:color w:val="000000"/>
        </w:rPr>
        <w:t>: 8781379 [PMID: 29104344 DOI: 10.1155/2017/8781379]</w:t>
      </w:r>
    </w:p>
    <w:p w14:paraId="322E042C" w14:textId="77777777" w:rsidR="00A77B3E" w:rsidRPr="0037251D" w:rsidRDefault="008404AF">
      <w:pPr>
        <w:spacing w:line="360" w:lineRule="auto"/>
        <w:jc w:val="both"/>
      </w:pPr>
      <w:r w:rsidRPr="0037251D">
        <w:rPr>
          <w:rFonts w:ascii="Book Antiqua" w:eastAsia="Book Antiqua" w:hAnsi="Book Antiqua" w:cs="Book Antiqua"/>
          <w:color w:val="000000"/>
        </w:rPr>
        <w:lastRenderedPageBreak/>
        <w:t xml:space="preserve">51 </w:t>
      </w:r>
      <w:r w:rsidRPr="0037251D">
        <w:rPr>
          <w:rFonts w:ascii="Book Antiqua" w:eastAsia="Book Antiqua" w:hAnsi="Book Antiqua" w:cs="Book Antiqua"/>
          <w:b/>
          <w:bCs/>
          <w:color w:val="000000"/>
        </w:rPr>
        <w:t>Fresard ME</w:t>
      </w:r>
      <w:r w:rsidRPr="0037251D">
        <w:rPr>
          <w:rFonts w:ascii="Book Antiqua" w:eastAsia="Book Antiqua" w:hAnsi="Book Antiqua" w:cs="Book Antiqua"/>
          <w:color w:val="000000"/>
        </w:rPr>
        <w:t xml:space="preserve">, Erices R, Bravo ML, Cuello M, Owen GI, Ibanez C, Rodriguez-Fernandez M. Multi-Objective Optimization for Personalized Prediction of Venous Thromboembolism in Ovarian Cancer Patients. </w:t>
      </w:r>
      <w:r w:rsidRPr="0037251D">
        <w:rPr>
          <w:rFonts w:ascii="Book Antiqua" w:eastAsia="Book Antiqua" w:hAnsi="Book Antiqua" w:cs="Book Antiqua"/>
          <w:i/>
          <w:iCs/>
          <w:color w:val="000000"/>
        </w:rPr>
        <w:t>IEEE J Biomed Health Inform</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24</w:t>
      </w:r>
      <w:r w:rsidRPr="0037251D">
        <w:rPr>
          <w:rFonts w:ascii="Book Antiqua" w:eastAsia="Book Antiqua" w:hAnsi="Book Antiqua" w:cs="Book Antiqua"/>
          <w:color w:val="000000"/>
        </w:rPr>
        <w:t>: 1500-1508 [PMID: 31562113 DOI: 10.1109/JBHI.2019.2943499]</w:t>
      </w:r>
    </w:p>
    <w:p w14:paraId="2A62D87D" w14:textId="77777777" w:rsidR="00A77B3E" w:rsidRPr="0037251D" w:rsidRDefault="008404AF">
      <w:pPr>
        <w:spacing w:line="360" w:lineRule="auto"/>
        <w:jc w:val="both"/>
      </w:pPr>
      <w:r w:rsidRPr="0037251D">
        <w:rPr>
          <w:rFonts w:ascii="Book Antiqua" w:eastAsia="Book Antiqua" w:hAnsi="Book Antiqua" w:cs="Book Antiqua"/>
          <w:color w:val="000000"/>
        </w:rPr>
        <w:t xml:space="preserve">52 </w:t>
      </w:r>
      <w:r w:rsidRPr="0037251D">
        <w:rPr>
          <w:rFonts w:ascii="Book Antiqua" w:eastAsia="Book Antiqua" w:hAnsi="Book Antiqua" w:cs="Book Antiqua"/>
          <w:b/>
          <w:bCs/>
          <w:color w:val="000000"/>
        </w:rPr>
        <w:t>Felder S</w:t>
      </w:r>
      <w:r w:rsidRPr="0037251D">
        <w:rPr>
          <w:rFonts w:ascii="Book Antiqua" w:eastAsia="Book Antiqua" w:hAnsi="Book Antiqua" w:cs="Book Antiqua"/>
          <w:color w:val="000000"/>
        </w:rPr>
        <w:t xml:space="preserve">, Rasmussen MS, King R, Sklow B, Kwaan M, Madoff R, Jensen C. Prolonged thromboprophylaxis with low molecular weight heparin for abdominal or pelvic surgery. </w:t>
      </w:r>
      <w:r w:rsidRPr="0037251D">
        <w:rPr>
          <w:rFonts w:ascii="Book Antiqua" w:eastAsia="Book Antiqua" w:hAnsi="Book Antiqua" w:cs="Book Antiqua"/>
          <w:i/>
          <w:iCs/>
          <w:color w:val="000000"/>
        </w:rPr>
        <w:t>Cochrane Database Syst Rev</w:t>
      </w:r>
      <w:r w:rsidRPr="0037251D">
        <w:rPr>
          <w:rFonts w:ascii="Book Antiqua" w:eastAsia="Book Antiqua" w:hAnsi="Book Antiqua" w:cs="Book Antiqua"/>
          <w:color w:val="000000"/>
        </w:rPr>
        <w:t xml:space="preserve"> 2019; </w:t>
      </w:r>
      <w:r w:rsidRPr="0037251D">
        <w:rPr>
          <w:rFonts w:ascii="Book Antiqua" w:eastAsia="Book Antiqua" w:hAnsi="Book Antiqua" w:cs="Book Antiqua"/>
          <w:b/>
          <w:bCs/>
          <w:color w:val="000000"/>
        </w:rPr>
        <w:t>8</w:t>
      </w:r>
      <w:r w:rsidRPr="0037251D">
        <w:rPr>
          <w:rFonts w:ascii="Book Antiqua" w:eastAsia="Book Antiqua" w:hAnsi="Book Antiqua" w:cs="Book Antiqua"/>
          <w:color w:val="000000"/>
        </w:rPr>
        <w:t>: CD004318 [PMID: 31449321 DOI: 10.1002/14651858.CD004318.pub5]</w:t>
      </w:r>
    </w:p>
    <w:p w14:paraId="2D17F858" w14:textId="77777777" w:rsidR="00A77B3E" w:rsidRPr="0037251D" w:rsidRDefault="008404AF">
      <w:pPr>
        <w:spacing w:line="360" w:lineRule="auto"/>
        <w:jc w:val="both"/>
      </w:pPr>
      <w:r w:rsidRPr="0037251D">
        <w:rPr>
          <w:rFonts w:ascii="Book Antiqua" w:eastAsia="Book Antiqua" w:hAnsi="Book Antiqua" w:cs="Book Antiqua"/>
          <w:color w:val="000000"/>
        </w:rPr>
        <w:t xml:space="preserve">53 </w:t>
      </w:r>
      <w:r w:rsidRPr="0037251D">
        <w:rPr>
          <w:rFonts w:ascii="Book Antiqua" w:eastAsia="Book Antiqua" w:hAnsi="Book Antiqua" w:cs="Book Antiqua"/>
          <w:b/>
          <w:bCs/>
          <w:color w:val="000000"/>
        </w:rPr>
        <w:t>Spencer FA</w:t>
      </w:r>
      <w:r w:rsidRPr="0037251D">
        <w:rPr>
          <w:rFonts w:ascii="Book Antiqua" w:eastAsia="Book Antiqua" w:hAnsi="Book Antiqua" w:cs="Book Antiqua"/>
          <w:color w:val="000000"/>
        </w:rPr>
        <w:t xml:space="preserve">, Lessard D, Emery C, Reed G, Goldberg RJ. Venous thromboembolism in the outpatient setting. </w:t>
      </w:r>
      <w:r w:rsidRPr="0037251D">
        <w:rPr>
          <w:rFonts w:ascii="Book Antiqua" w:eastAsia="Book Antiqua" w:hAnsi="Book Antiqua" w:cs="Book Antiqua"/>
          <w:i/>
          <w:iCs/>
          <w:color w:val="000000"/>
        </w:rPr>
        <w:t>Arch Intern Med</w:t>
      </w:r>
      <w:r w:rsidRPr="0037251D">
        <w:rPr>
          <w:rFonts w:ascii="Book Antiqua" w:eastAsia="Book Antiqua" w:hAnsi="Book Antiqua" w:cs="Book Antiqua"/>
          <w:color w:val="000000"/>
        </w:rPr>
        <w:t xml:space="preserve"> 2007; </w:t>
      </w:r>
      <w:r w:rsidRPr="0037251D">
        <w:rPr>
          <w:rFonts w:ascii="Book Antiqua" w:eastAsia="Book Antiqua" w:hAnsi="Book Antiqua" w:cs="Book Antiqua"/>
          <w:b/>
          <w:bCs/>
          <w:color w:val="000000"/>
        </w:rPr>
        <w:t>167</w:t>
      </w:r>
      <w:r w:rsidRPr="0037251D">
        <w:rPr>
          <w:rFonts w:ascii="Book Antiqua" w:eastAsia="Book Antiqua" w:hAnsi="Book Antiqua" w:cs="Book Antiqua"/>
          <w:color w:val="000000"/>
        </w:rPr>
        <w:t>: 1471-1475 [PMID: 17646600 DOI: 10.1001/archinte.167.14.1471]</w:t>
      </w:r>
    </w:p>
    <w:p w14:paraId="0B9F2602" w14:textId="77777777" w:rsidR="00A77B3E" w:rsidRPr="0037251D" w:rsidRDefault="008404AF">
      <w:pPr>
        <w:spacing w:line="360" w:lineRule="auto"/>
        <w:jc w:val="both"/>
      </w:pPr>
      <w:r w:rsidRPr="0037251D">
        <w:rPr>
          <w:rFonts w:ascii="Book Antiqua" w:eastAsia="Book Antiqua" w:hAnsi="Book Antiqua" w:cs="Book Antiqua"/>
          <w:color w:val="000000"/>
        </w:rPr>
        <w:t xml:space="preserve">54 </w:t>
      </w:r>
      <w:r w:rsidRPr="0037251D">
        <w:rPr>
          <w:rFonts w:ascii="Book Antiqua" w:eastAsia="Book Antiqua" w:hAnsi="Book Antiqua" w:cs="Book Antiqua"/>
          <w:b/>
          <w:bCs/>
          <w:color w:val="000000"/>
        </w:rPr>
        <w:t>Maraveyas A</w:t>
      </w:r>
      <w:r w:rsidRPr="0037251D">
        <w:rPr>
          <w:rFonts w:ascii="Book Antiqua" w:eastAsia="Book Antiqua" w:hAnsi="Book Antiqua" w:cs="Book Antiqua"/>
          <w:color w:val="000000"/>
        </w:rPr>
        <w:t xml:space="preserve">, Waters J, Roy R, Fyfe D, Propper D, Lofts F, Sgouros J, Gardiner E, Wedgwood K, Ettelaie C, Bozas G. Gemcitabine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gemcitabine plus dalteparin thromboprophylaxis in pancreatic cancer. </w:t>
      </w:r>
      <w:r w:rsidRPr="0037251D">
        <w:rPr>
          <w:rFonts w:ascii="Book Antiqua" w:eastAsia="Book Antiqua" w:hAnsi="Book Antiqua" w:cs="Book Antiqua"/>
          <w:i/>
          <w:iCs/>
          <w:color w:val="000000"/>
        </w:rPr>
        <w:t>Eur J Cancer</w:t>
      </w:r>
      <w:r w:rsidRPr="0037251D">
        <w:rPr>
          <w:rFonts w:ascii="Book Antiqua" w:eastAsia="Book Antiqua" w:hAnsi="Book Antiqua" w:cs="Book Antiqua"/>
          <w:color w:val="000000"/>
        </w:rPr>
        <w:t xml:space="preserve"> 2012; </w:t>
      </w:r>
      <w:r w:rsidRPr="0037251D">
        <w:rPr>
          <w:rFonts w:ascii="Book Antiqua" w:eastAsia="Book Antiqua" w:hAnsi="Book Antiqua" w:cs="Book Antiqua"/>
          <w:b/>
          <w:bCs/>
          <w:color w:val="000000"/>
        </w:rPr>
        <w:t>48</w:t>
      </w:r>
      <w:r w:rsidRPr="0037251D">
        <w:rPr>
          <w:rFonts w:ascii="Book Antiqua" w:eastAsia="Book Antiqua" w:hAnsi="Book Antiqua" w:cs="Book Antiqua"/>
          <w:color w:val="000000"/>
        </w:rPr>
        <w:t>: 1283-1292 [PMID: 22100906 DOI: 10.1016/j.ejca.2011.10.017]</w:t>
      </w:r>
    </w:p>
    <w:p w14:paraId="7381CCA0" w14:textId="77777777" w:rsidR="00A77B3E" w:rsidRPr="0037251D" w:rsidRDefault="008404AF">
      <w:pPr>
        <w:spacing w:line="360" w:lineRule="auto"/>
        <w:jc w:val="both"/>
      </w:pPr>
      <w:r w:rsidRPr="0037251D">
        <w:rPr>
          <w:rFonts w:ascii="Book Antiqua" w:eastAsia="Book Antiqua" w:hAnsi="Book Antiqua" w:cs="Book Antiqua"/>
          <w:color w:val="000000"/>
        </w:rPr>
        <w:t xml:space="preserve">55 </w:t>
      </w:r>
      <w:r w:rsidRPr="0037251D">
        <w:rPr>
          <w:rFonts w:ascii="Book Antiqua" w:eastAsia="Book Antiqua" w:hAnsi="Book Antiqua" w:cs="Book Antiqua"/>
          <w:b/>
          <w:bCs/>
          <w:color w:val="000000"/>
        </w:rPr>
        <w:t>Pelzer U</w:t>
      </w:r>
      <w:r w:rsidRPr="0037251D">
        <w:rPr>
          <w:rFonts w:ascii="Book Antiqua" w:eastAsia="Book Antiqua" w:hAnsi="Book Antiqua" w:cs="Book Antiqua"/>
          <w:color w:val="000000"/>
        </w:rPr>
        <w:t xml:space="preserve">, Opitz B, Deutschinoff G, Stauch M, Reitzig PC, Hahnfeld S, Müller L, Grunewald M, Stieler JM, Sinn M, Denecke T, Bischoff S, Oettle H, Dörken B, Riess H. Efficacy of Prophylactic Low-Molecular Weight Heparin for Ambulatory Patients With Advanced Pancreatic Cancer: Outcomes From the CONKO-004 Trial. </w:t>
      </w:r>
      <w:r w:rsidRPr="0037251D">
        <w:rPr>
          <w:rFonts w:ascii="Book Antiqua" w:eastAsia="Book Antiqua" w:hAnsi="Book Antiqua" w:cs="Book Antiqua"/>
          <w:i/>
          <w:iCs/>
          <w:color w:val="000000"/>
        </w:rPr>
        <w:t>J Clin Oncol</w:t>
      </w:r>
      <w:r w:rsidRPr="0037251D">
        <w:rPr>
          <w:rFonts w:ascii="Book Antiqua" w:eastAsia="Book Antiqua" w:hAnsi="Book Antiqua" w:cs="Book Antiqua"/>
          <w:color w:val="000000"/>
        </w:rPr>
        <w:t xml:space="preserve"> 2015; </w:t>
      </w:r>
      <w:r w:rsidRPr="0037251D">
        <w:rPr>
          <w:rFonts w:ascii="Book Antiqua" w:eastAsia="Book Antiqua" w:hAnsi="Book Antiqua" w:cs="Book Antiqua"/>
          <w:b/>
          <w:bCs/>
          <w:color w:val="000000"/>
        </w:rPr>
        <w:t>33</w:t>
      </w:r>
      <w:r w:rsidRPr="0037251D">
        <w:rPr>
          <w:rFonts w:ascii="Book Antiqua" w:eastAsia="Book Antiqua" w:hAnsi="Book Antiqua" w:cs="Book Antiqua"/>
          <w:color w:val="000000"/>
        </w:rPr>
        <w:t>: 2028-2034 [PMID: 25987694 DOI: 10.1200/JCO.2014.55.1481]</w:t>
      </w:r>
    </w:p>
    <w:p w14:paraId="55941547" w14:textId="77777777" w:rsidR="00A77B3E" w:rsidRPr="0037251D" w:rsidRDefault="008404AF">
      <w:pPr>
        <w:spacing w:line="360" w:lineRule="auto"/>
        <w:jc w:val="both"/>
      </w:pPr>
      <w:r w:rsidRPr="0037251D">
        <w:rPr>
          <w:rFonts w:ascii="Book Antiqua" w:eastAsia="Book Antiqua" w:hAnsi="Book Antiqua" w:cs="Book Antiqua"/>
          <w:color w:val="000000"/>
        </w:rPr>
        <w:t xml:space="preserve">56 </w:t>
      </w:r>
      <w:r w:rsidRPr="0037251D">
        <w:rPr>
          <w:rFonts w:ascii="Book Antiqua" w:eastAsia="Book Antiqua" w:hAnsi="Book Antiqua" w:cs="Book Antiqua"/>
          <w:b/>
          <w:bCs/>
          <w:color w:val="000000"/>
        </w:rPr>
        <w:t>Farge D</w:t>
      </w:r>
      <w:r w:rsidRPr="0037251D">
        <w:rPr>
          <w:rFonts w:ascii="Book Antiqua" w:eastAsia="Book Antiqua" w:hAnsi="Book Antiqua" w:cs="Book Antiqua"/>
          <w:color w:val="000000"/>
        </w:rPr>
        <w:t xml:space="preserve">, Debourdeau P, Beckers M, Baglin C, Bauersachs RM, Brenner B, Brilhante D, Falanga A, Gerotzafias GT, Haim N, Kakkar AK, Khorana AA, Lecumberri R, Mandala M, Marty M, Monreal M, Mousa SA, Noble S, Pabinger I, Prandoni P, Prins MH, Qari MH, Streiff MB, Syrigos K, Bounameaux H, Büller HR. International clinical practice guidelines for the treatment and prophylaxis of venous thromboembolism in patients with cancer. </w:t>
      </w:r>
      <w:r w:rsidRPr="0037251D">
        <w:rPr>
          <w:rFonts w:ascii="Book Antiqua" w:eastAsia="Book Antiqua" w:hAnsi="Book Antiqua" w:cs="Book Antiqua"/>
          <w:i/>
          <w:iCs/>
          <w:color w:val="000000"/>
        </w:rPr>
        <w:t>J Thromb Haemost</w:t>
      </w:r>
      <w:r w:rsidRPr="0037251D">
        <w:rPr>
          <w:rFonts w:ascii="Book Antiqua" w:eastAsia="Book Antiqua" w:hAnsi="Book Antiqua" w:cs="Book Antiqua"/>
          <w:color w:val="000000"/>
        </w:rPr>
        <w:t xml:space="preserve"> 2013; </w:t>
      </w:r>
      <w:r w:rsidRPr="0037251D">
        <w:rPr>
          <w:rFonts w:ascii="Book Antiqua" w:eastAsia="Book Antiqua" w:hAnsi="Book Antiqua" w:cs="Book Antiqua"/>
          <w:b/>
          <w:bCs/>
          <w:color w:val="000000"/>
        </w:rPr>
        <w:t>11</w:t>
      </w:r>
      <w:r w:rsidRPr="0037251D">
        <w:rPr>
          <w:rFonts w:ascii="Book Antiqua" w:eastAsia="Book Antiqua" w:hAnsi="Book Antiqua" w:cs="Book Antiqua"/>
          <w:color w:val="000000"/>
        </w:rPr>
        <w:t>: 56-70 [PMID: 23217107 DOI: 10.1111/jth.12070]</w:t>
      </w:r>
    </w:p>
    <w:p w14:paraId="2D012813" w14:textId="77777777" w:rsidR="00A77B3E" w:rsidRPr="0037251D" w:rsidRDefault="008404AF">
      <w:pPr>
        <w:spacing w:line="360" w:lineRule="auto"/>
        <w:jc w:val="both"/>
      </w:pPr>
      <w:r w:rsidRPr="0037251D">
        <w:rPr>
          <w:rFonts w:ascii="Book Antiqua" w:eastAsia="Book Antiqua" w:hAnsi="Book Antiqua" w:cs="Book Antiqua"/>
          <w:color w:val="000000"/>
        </w:rPr>
        <w:t xml:space="preserve">57 </w:t>
      </w:r>
      <w:r w:rsidRPr="0037251D">
        <w:rPr>
          <w:rFonts w:ascii="Book Antiqua" w:eastAsia="Book Antiqua" w:hAnsi="Book Antiqua" w:cs="Book Antiqua"/>
          <w:b/>
          <w:bCs/>
          <w:color w:val="000000"/>
        </w:rPr>
        <w:t>Farge D</w:t>
      </w:r>
      <w:r w:rsidRPr="0037251D">
        <w:rPr>
          <w:rFonts w:ascii="Book Antiqua" w:eastAsia="Book Antiqua" w:hAnsi="Book Antiqua" w:cs="Book Antiqua"/>
          <w:color w:val="000000"/>
        </w:rPr>
        <w:t xml:space="preserve">, Bounameaux H, Brenner B, Cajfinger F, Debourdeau P, Khorana AA, Pabinger I, Solymoss S, Douketis J, Kakkar A. International clinical practice guidelines including guidance for direct oral anticoagulants in the treatment and prophylaxis of </w:t>
      </w:r>
      <w:r w:rsidRPr="0037251D">
        <w:rPr>
          <w:rFonts w:ascii="Book Antiqua" w:eastAsia="Book Antiqua" w:hAnsi="Book Antiqua" w:cs="Book Antiqua"/>
          <w:color w:val="000000"/>
        </w:rPr>
        <w:lastRenderedPageBreak/>
        <w:t xml:space="preserve">venous thromboembolism in patients with cancer. </w:t>
      </w:r>
      <w:r w:rsidRPr="0037251D">
        <w:rPr>
          <w:rFonts w:ascii="Book Antiqua" w:eastAsia="Book Antiqua" w:hAnsi="Book Antiqua" w:cs="Book Antiqua"/>
          <w:i/>
          <w:iCs/>
          <w:color w:val="000000"/>
        </w:rPr>
        <w:t>Lancet Oncol</w:t>
      </w:r>
      <w:r w:rsidRPr="0037251D">
        <w:rPr>
          <w:rFonts w:ascii="Book Antiqua" w:eastAsia="Book Antiqua" w:hAnsi="Book Antiqua" w:cs="Book Antiqua"/>
          <w:color w:val="000000"/>
        </w:rPr>
        <w:t xml:space="preserve"> 2016; </w:t>
      </w:r>
      <w:r w:rsidRPr="0037251D">
        <w:rPr>
          <w:rFonts w:ascii="Book Antiqua" w:eastAsia="Book Antiqua" w:hAnsi="Book Antiqua" w:cs="Book Antiqua"/>
          <w:b/>
          <w:bCs/>
          <w:color w:val="000000"/>
        </w:rPr>
        <w:t>17</w:t>
      </w:r>
      <w:r w:rsidRPr="0037251D">
        <w:rPr>
          <w:rFonts w:ascii="Book Antiqua" w:eastAsia="Book Antiqua" w:hAnsi="Book Antiqua" w:cs="Book Antiqua"/>
          <w:color w:val="000000"/>
        </w:rPr>
        <w:t>: e452-e466 [PMID: 27733271 DOI: 10.1016/S1470-2045(16)30369-2]</w:t>
      </w:r>
    </w:p>
    <w:p w14:paraId="206B2E3B" w14:textId="77777777" w:rsidR="00A77B3E" w:rsidRPr="0037251D" w:rsidRDefault="008404AF">
      <w:pPr>
        <w:spacing w:line="360" w:lineRule="auto"/>
        <w:jc w:val="both"/>
      </w:pPr>
      <w:r w:rsidRPr="0037251D">
        <w:rPr>
          <w:rFonts w:ascii="Book Antiqua" w:eastAsia="Book Antiqua" w:hAnsi="Book Antiqua" w:cs="Book Antiqua"/>
          <w:color w:val="000000"/>
        </w:rPr>
        <w:t xml:space="preserve">58 </w:t>
      </w:r>
      <w:r w:rsidRPr="0037251D">
        <w:rPr>
          <w:rFonts w:ascii="Book Antiqua" w:eastAsia="Book Antiqua" w:hAnsi="Book Antiqua" w:cs="Book Antiqua"/>
          <w:b/>
          <w:bCs/>
          <w:color w:val="000000"/>
        </w:rPr>
        <w:t>Agnelli G</w:t>
      </w:r>
      <w:r w:rsidRPr="0037251D">
        <w:rPr>
          <w:rFonts w:ascii="Book Antiqua" w:eastAsia="Book Antiqua" w:hAnsi="Book Antiqua" w:cs="Book Antiqua"/>
          <w:color w:val="000000"/>
        </w:rPr>
        <w:t xml:space="preserve">, Gussoni G, Bianchini C, Verso M, Mandalà M, Cavanna L, Barni S, Labianca R, Buzzi F, Scambia G, Passalacqua R, Ricci S, Gasparini G, Lorusso V, Bonizzoni E, Tonato M; PROTECHT Investigators. Nadroparin for the prevention of thromboembolic events in ambulatory patients with metastatic or locally advanced solid cancer receiving chemotherapy: a randomised, placebo-controlled, double-blind study. </w:t>
      </w:r>
      <w:r w:rsidRPr="0037251D">
        <w:rPr>
          <w:rFonts w:ascii="Book Antiqua" w:eastAsia="Book Antiqua" w:hAnsi="Book Antiqua" w:cs="Book Antiqua"/>
          <w:i/>
          <w:iCs/>
          <w:color w:val="000000"/>
        </w:rPr>
        <w:t>Lancet Oncol</w:t>
      </w:r>
      <w:r w:rsidRPr="0037251D">
        <w:rPr>
          <w:rFonts w:ascii="Book Antiqua" w:eastAsia="Book Antiqua" w:hAnsi="Book Antiqua" w:cs="Book Antiqua"/>
          <w:color w:val="000000"/>
        </w:rPr>
        <w:t xml:space="preserve"> 2009; </w:t>
      </w:r>
      <w:r w:rsidRPr="0037251D">
        <w:rPr>
          <w:rFonts w:ascii="Book Antiqua" w:eastAsia="Book Antiqua" w:hAnsi="Book Antiqua" w:cs="Book Antiqua"/>
          <w:b/>
          <w:bCs/>
          <w:color w:val="000000"/>
        </w:rPr>
        <w:t>10</w:t>
      </w:r>
      <w:r w:rsidRPr="0037251D">
        <w:rPr>
          <w:rFonts w:ascii="Book Antiqua" w:eastAsia="Book Antiqua" w:hAnsi="Book Antiqua" w:cs="Book Antiqua"/>
          <w:color w:val="000000"/>
        </w:rPr>
        <w:t>: 943-949 [PMID: 19726226 DOI: 10.1016/S1470-2045(09)70232-3]</w:t>
      </w:r>
    </w:p>
    <w:p w14:paraId="4AD9524B" w14:textId="77777777" w:rsidR="00A77B3E" w:rsidRPr="0037251D" w:rsidRDefault="008404AF">
      <w:pPr>
        <w:spacing w:line="360" w:lineRule="auto"/>
        <w:jc w:val="both"/>
      </w:pPr>
      <w:r w:rsidRPr="0037251D">
        <w:rPr>
          <w:rFonts w:ascii="Book Antiqua" w:eastAsia="Book Antiqua" w:hAnsi="Book Antiqua" w:cs="Book Antiqua"/>
          <w:color w:val="000000"/>
        </w:rPr>
        <w:t xml:space="preserve">59 </w:t>
      </w:r>
      <w:r w:rsidRPr="0037251D">
        <w:rPr>
          <w:rFonts w:ascii="Book Antiqua" w:eastAsia="Book Antiqua" w:hAnsi="Book Antiqua" w:cs="Book Antiqua"/>
          <w:b/>
          <w:bCs/>
          <w:color w:val="000000"/>
        </w:rPr>
        <w:t>Agnelli G</w:t>
      </w:r>
      <w:r w:rsidRPr="0037251D">
        <w:rPr>
          <w:rFonts w:ascii="Book Antiqua" w:eastAsia="Book Antiqua" w:hAnsi="Book Antiqua" w:cs="Book Antiqua"/>
          <w:color w:val="000000"/>
        </w:rPr>
        <w:t xml:space="preserve">, George DJ, Kakkar AK, Fisher W, Lassen MR, Mismetti P, Mouret P, Chaudhari U, Lawson F, Turpie AG; SAVE-ONCO Investigators. Semuloparin for thromboprophylaxis in patients receiving chemotherapy for cancer. </w:t>
      </w:r>
      <w:r w:rsidRPr="0037251D">
        <w:rPr>
          <w:rFonts w:ascii="Book Antiqua" w:eastAsia="Book Antiqua" w:hAnsi="Book Antiqua" w:cs="Book Antiqua"/>
          <w:i/>
          <w:iCs/>
          <w:color w:val="000000"/>
        </w:rPr>
        <w:t>N Engl J Med</w:t>
      </w:r>
      <w:r w:rsidRPr="0037251D">
        <w:rPr>
          <w:rFonts w:ascii="Book Antiqua" w:eastAsia="Book Antiqua" w:hAnsi="Book Antiqua" w:cs="Book Antiqua"/>
          <w:color w:val="000000"/>
        </w:rPr>
        <w:t xml:space="preserve"> 2012; </w:t>
      </w:r>
      <w:r w:rsidRPr="0037251D">
        <w:rPr>
          <w:rFonts w:ascii="Book Antiqua" w:eastAsia="Book Antiqua" w:hAnsi="Book Antiqua" w:cs="Book Antiqua"/>
          <w:b/>
          <w:bCs/>
          <w:color w:val="000000"/>
        </w:rPr>
        <w:t>366</w:t>
      </w:r>
      <w:r w:rsidRPr="0037251D">
        <w:rPr>
          <w:rFonts w:ascii="Book Antiqua" w:eastAsia="Book Antiqua" w:hAnsi="Book Antiqua" w:cs="Book Antiqua"/>
          <w:color w:val="000000"/>
        </w:rPr>
        <w:t>: 601-609 [PMID: 22335737 DOI: 10.1056/NEJMoa1108898]</w:t>
      </w:r>
    </w:p>
    <w:p w14:paraId="0E36DE51" w14:textId="77777777" w:rsidR="00A77B3E" w:rsidRPr="0037251D" w:rsidRDefault="008404AF">
      <w:pPr>
        <w:spacing w:line="360" w:lineRule="auto"/>
        <w:jc w:val="both"/>
      </w:pPr>
      <w:r w:rsidRPr="0037251D">
        <w:rPr>
          <w:rFonts w:ascii="Book Antiqua" w:eastAsia="Book Antiqua" w:hAnsi="Book Antiqua" w:cs="Book Antiqua"/>
          <w:color w:val="000000"/>
        </w:rPr>
        <w:t xml:space="preserve">60 </w:t>
      </w:r>
      <w:r w:rsidRPr="0037251D">
        <w:rPr>
          <w:rFonts w:ascii="Book Antiqua" w:eastAsia="Book Antiqua" w:hAnsi="Book Antiqua" w:cs="Book Antiqua"/>
          <w:b/>
          <w:bCs/>
          <w:color w:val="000000"/>
        </w:rPr>
        <w:t>Carrier M</w:t>
      </w:r>
      <w:r w:rsidRPr="0037251D">
        <w:rPr>
          <w:rFonts w:ascii="Book Antiqua" w:eastAsia="Book Antiqua" w:hAnsi="Book Antiqua" w:cs="Book Antiqua"/>
          <w:color w:val="000000"/>
        </w:rPr>
        <w:t xml:space="preserve">, Abou-Nassar K, Mallick R, Tagalakis V, Shivakumar S, Schattner A, Kuruvilla P, Hill D, Spadafora S, Marquis K, Trinkaus M, Tomiak A, Lee AYY, Gross PL, Lazo-Langner A, El-Maraghi R, Goss G, Le Gal G, Stewart D, Ramsay T, Rodger M, Witham D, Wells PS; AVERT Investigators. Apixaban to Prevent Venous Thromboembolism in Patients with Cancer. </w:t>
      </w:r>
      <w:r w:rsidRPr="0037251D">
        <w:rPr>
          <w:rFonts w:ascii="Book Antiqua" w:eastAsia="Book Antiqua" w:hAnsi="Book Antiqua" w:cs="Book Antiqua"/>
          <w:i/>
          <w:iCs/>
          <w:color w:val="000000"/>
        </w:rPr>
        <w:t>N Engl J Med</w:t>
      </w:r>
      <w:r w:rsidRPr="0037251D">
        <w:rPr>
          <w:rFonts w:ascii="Book Antiqua" w:eastAsia="Book Antiqua" w:hAnsi="Book Antiqua" w:cs="Book Antiqua"/>
          <w:color w:val="000000"/>
        </w:rPr>
        <w:t xml:space="preserve"> 2019; </w:t>
      </w:r>
      <w:r w:rsidRPr="0037251D">
        <w:rPr>
          <w:rFonts w:ascii="Book Antiqua" w:eastAsia="Book Antiqua" w:hAnsi="Book Antiqua" w:cs="Book Antiqua"/>
          <w:b/>
          <w:bCs/>
          <w:color w:val="000000"/>
        </w:rPr>
        <w:t>380</w:t>
      </w:r>
      <w:r w:rsidRPr="0037251D">
        <w:rPr>
          <w:rFonts w:ascii="Book Antiqua" w:eastAsia="Book Antiqua" w:hAnsi="Book Antiqua" w:cs="Book Antiqua"/>
          <w:color w:val="000000"/>
        </w:rPr>
        <w:t>: 711-719 [PMID: 30511879 DOI: 10.1056/NEJMoa1814468]</w:t>
      </w:r>
    </w:p>
    <w:p w14:paraId="69FB7F72" w14:textId="77777777" w:rsidR="00A77B3E" w:rsidRPr="0037251D" w:rsidRDefault="008404AF">
      <w:pPr>
        <w:spacing w:line="360" w:lineRule="auto"/>
        <w:jc w:val="both"/>
      </w:pPr>
      <w:r w:rsidRPr="0037251D">
        <w:rPr>
          <w:rFonts w:ascii="Book Antiqua" w:eastAsia="Book Antiqua" w:hAnsi="Book Antiqua" w:cs="Book Antiqua"/>
          <w:color w:val="000000"/>
        </w:rPr>
        <w:t xml:space="preserve">61 </w:t>
      </w:r>
      <w:r w:rsidRPr="0037251D">
        <w:rPr>
          <w:rFonts w:ascii="Book Antiqua" w:eastAsia="Book Antiqua" w:hAnsi="Book Antiqua" w:cs="Book Antiqua"/>
          <w:b/>
          <w:bCs/>
          <w:color w:val="000000"/>
        </w:rPr>
        <w:t>Khorana AA</w:t>
      </w:r>
      <w:r w:rsidRPr="0037251D">
        <w:rPr>
          <w:rFonts w:ascii="Book Antiqua" w:eastAsia="Book Antiqua" w:hAnsi="Book Antiqua" w:cs="Book Antiqua"/>
          <w:color w:val="000000"/>
        </w:rPr>
        <w:t xml:space="preserve">, Soff GA, Kakkar AK, Vadhan-Raj S, Riess H, Wun T, Streiff MB, Garcia DA, Liebman HA, Belani CP, O'Reilly EM, Patel JN, Yimer HA, Wildgoose P, Burton P, Vijapurkar U, Kaul S, Eikelboom J, McBane R, Bauer KA, Kuderer NM, Lyman GH; CASSINI Investigators. Rivaroxaban for Thromboprophylaxis in High-Risk Ambulatory Patients with Cancer. </w:t>
      </w:r>
      <w:r w:rsidRPr="0037251D">
        <w:rPr>
          <w:rFonts w:ascii="Book Antiqua" w:eastAsia="Book Antiqua" w:hAnsi="Book Antiqua" w:cs="Book Antiqua"/>
          <w:i/>
          <w:iCs/>
          <w:color w:val="000000"/>
        </w:rPr>
        <w:t>N Engl J Med</w:t>
      </w:r>
      <w:r w:rsidRPr="0037251D">
        <w:rPr>
          <w:rFonts w:ascii="Book Antiqua" w:eastAsia="Book Antiqua" w:hAnsi="Book Antiqua" w:cs="Book Antiqua"/>
          <w:color w:val="000000"/>
        </w:rPr>
        <w:t xml:space="preserve"> 2019; </w:t>
      </w:r>
      <w:r w:rsidRPr="0037251D">
        <w:rPr>
          <w:rFonts w:ascii="Book Antiqua" w:eastAsia="Book Antiqua" w:hAnsi="Book Antiqua" w:cs="Book Antiqua"/>
          <w:b/>
          <w:bCs/>
          <w:color w:val="000000"/>
        </w:rPr>
        <w:t>380</w:t>
      </w:r>
      <w:r w:rsidRPr="0037251D">
        <w:rPr>
          <w:rFonts w:ascii="Book Antiqua" w:eastAsia="Book Antiqua" w:hAnsi="Book Antiqua" w:cs="Book Antiqua"/>
          <w:color w:val="000000"/>
        </w:rPr>
        <w:t>: 720-728 [PMID: 30786186 DOI: 10.1056/NEJMoa1814630]</w:t>
      </w:r>
    </w:p>
    <w:p w14:paraId="70553731" w14:textId="77777777" w:rsidR="00A77B3E" w:rsidRPr="0037251D" w:rsidRDefault="008404AF">
      <w:pPr>
        <w:spacing w:line="360" w:lineRule="auto"/>
        <w:jc w:val="both"/>
      </w:pPr>
      <w:r w:rsidRPr="0037251D">
        <w:rPr>
          <w:rFonts w:ascii="Book Antiqua" w:eastAsia="Book Antiqua" w:hAnsi="Book Antiqua" w:cs="Book Antiqua"/>
          <w:color w:val="000000"/>
        </w:rPr>
        <w:t xml:space="preserve">62 </w:t>
      </w:r>
      <w:r w:rsidRPr="0037251D">
        <w:rPr>
          <w:rFonts w:ascii="Book Antiqua" w:eastAsia="Book Antiqua" w:hAnsi="Book Antiqua" w:cs="Book Antiqua"/>
          <w:b/>
          <w:bCs/>
          <w:color w:val="000000"/>
        </w:rPr>
        <w:t>Frere C</w:t>
      </w:r>
      <w:r w:rsidRPr="0037251D">
        <w:rPr>
          <w:rFonts w:ascii="Book Antiqua" w:eastAsia="Book Antiqua" w:hAnsi="Book Antiqua" w:cs="Book Antiqua"/>
          <w:color w:val="000000"/>
        </w:rPr>
        <w:t xml:space="preserve">, Crichi B, Bournet B, Canivet C, Abdallah NA, Buscail L, Farge D. Primary Thromboprophylaxis in Ambulatory Pancreatic Cancer Patients Receiving Chemotherapy: A Systematic Review and Meta-Analysis of Randomized Controlled Trials. </w:t>
      </w:r>
      <w:r w:rsidRPr="0037251D">
        <w:rPr>
          <w:rFonts w:ascii="Book Antiqua" w:eastAsia="Book Antiqua" w:hAnsi="Book Antiqua" w:cs="Book Antiqua"/>
          <w:i/>
          <w:iCs/>
          <w:color w:val="000000"/>
        </w:rPr>
        <w:t>Cancers (Basel)</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12</w:t>
      </w:r>
      <w:r w:rsidRPr="0037251D">
        <w:rPr>
          <w:rFonts w:ascii="Book Antiqua" w:eastAsia="Book Antiqua" w:hAnsi="Book Antiqua" w:cs="Book Antiqua"/>
          <w:color w:val="000000"/>
        </w:rPr>
        <w:t xml:space="preserve"> [PMID: 32722064 DOI: 10.3390/cancers12082028]</w:t>
      </w:r>
    </w:p>
    <w:p w14:paraId="10333988" w14:textId="77777777" w:rsidR="00A77B3E" w:rsidRPr="0037251D" w:rsidRDefault="008404AF">
      <w:pPr>
        <w:spacing w:line="360" w:lineRule="auto"/>
        <w:jc w:val="both"/>
      </w:pPr>
      <w:r w:rsidRPr="0037251D">
        <w:rPr>
          <w:rFonts w:ascii="Book Antiqua" w:eastAsia="Book Antiqua" w:hAnsi="Book Antiqua" w:cs="Book Antiqua"/>
          <w:color w:val="000000"/>
        </w:rPr>
        <w:lastRenderedPageBreak/>
        <w:t xml:space="preserve">63 </w:t>
      </w:r>
      <w:r w:rsidRPr="0037251D">
        <w:rPr>
          <w:rFonts w:ascii="Book Antiqua" w:eastAsia="Book Antiqua" w:hAnsi="Book Antiqua" w:cs="Book Antiqua"/>
          <w:b/>
          <w:bCs/>
          <w:color w:val="000000"/>
        </w:rPr>
        <w:t>Meyer G</w:t>
      </w:r>
      <w:r w:rsidRPr="0037251D">
        <w:rPr>
          <w:rFonts w:ascii="Book Antiqua" w:eastAsia="Book Antiqua" w:hAnsi="Book Antiqua" w:cs="Book Antiqua"/>
          <w:color w:val="000000"/>
        </w:rPr>
        <w:t xml:space="preserve">, Marjanovic Z, Valcke J, Lorcerie B, Gruel Y, Solal-Celigny P, Le Maignan C, Extra JM, Cottu P, Farge D. Comparison of low-molecular-weight heparin and warfarin for the secondary prevention of venous thromboembolism in patients with cancer: a randomized controlled study. </w:t>
      </w:r>
      <w:r w:rsidRPr="0037251D">
        <w:rPr>
          <w:rFonts w:ascii="Book Antiqua" w:eastAsia="Book Antiqua" w:hAnsi="Book Antiqua" w:cs="Book Antiqua"/>
          <w:i/>
          <w:iCs/>
          <w:color w:val="000000"/>
        </w:rPr>
        <w:t>Arch Intern Med</w:t>
      </w:r>
      <w:r w:rsidRPr="0037251D">
        <w:rPr>
          <w:rFonts w:ascii="Book Antiqua" w:eastAsia="Book Antiqua" w:hAnsi="Book Antiqua" w:cs="Book Antiqua"/>
          <w:color w:val="000000"/>
        </w:rPr>
        <w:t xml:space="preserve"> 2002; </w:t>
      </w:r>
      <w:r w:rsidRPr="0037251D">
        <w:rPr>
          <w:rFonts w:ascii="Book Antiqua" w:eastAsia="Book Antiqua" w:hAnsi="Book Antiqua" w:cs="Book Antiqua"/>
          <w:b/>
          <w:bCs/>
          <w:color w:val="000000"/>
        </w:rPr>
        <w:t>162</w:t>
      </w:r>
      <w:r w:rsidRPr="0037251D">
        <w:rPr>
          <w:rFonts w:ascii="Book Antiqua" w:eastAsia="Book Antiqua" w:hAnsi="Book Antiqua" w:cs="Book Antiqua"/>
          <w:color w:val="000000"/>
        </w:rPr>
        <w:t>: 1729-1735 [PMID: 12153376 DOI: 10.1001/archinte.162.15.1729]</w:t>
      </w:r>
    </w:p>
    <w:p w14:paraId="1832CB15" w14:textId="77777777" w:rsidR="00A77B3E" w:rsidRPr="0037251D" w:rsidRDefault="008404AF">
      <w:pPr>
        <w:spacing w:line="360" w:lineRule="auto"/>
        <w:jc w:val="both"/>
      </w:pPr>
      <w:r w:rsidRPr="0037251D">
        <w:rPr>
          <w:rFonts w:ascii="Book Antiqua" w:eastAsia="Book Antiqua" w:hAnsi="Book Antiqua" w:cs="Book Antiqua"/>
          <w:color w:val="000000"/>
        </w:rPr>
        <w:t xml:space="preserve">64 </w:t>
      </w:r>
      <w:r w:rsidRPr="0037251D">
        <w:rPr>
          <w:rFonts w:ascii="Book Antiqua" w:eastAsia="Book Antiqua" w:hAnsi="Book Antiqua" w:cs="Book Antiqua"/>
          <w:b/>
          <w:bCs/>
          <w:color w:val="000000"/>
        </w:rPr>
        <w:t>Lee AY</w:t>
      </w:r>
      <w:r w:rsidRPr="0037251D">
        <w:rPr>
          <w:rFonts w:ascii="Book Antiqua" w:eastAsia="Book Antiqua" w:hAnsi="Book Antiqua" w:cs="Book Antiqua"/>
          <w:color w:val="000000"/>
        </w:rPr>
        <w:t xml:space="preserve">, Levine MN, Baker RI, Bowden C, Kakkar AK, Prins M, Rickles FR, Julian JA, Haley S, Kovacs MJ, Gent M; Randomized Comparison of Low-Molecular-Weight Heparin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Oral Anticoagulant Therapy for the Prevention of Recurrent Venous Thromboembolism in Patients with Cancer (CLOT) Investigators. Low-molecular-weight heparin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a coumarin for the prevention of recurrent venous thromboembolism in patients with cancer. </w:t>
      </w:r>
      <w:r w:rsidRPr="0037251D">
        <w:rPr>
          <w:rFonts w:ascii="Book Antiqua" w:eastAsia="Book Antiqua" w:hAnsi="Book Antiqua" w:cs="Book Antiqua"/>
          <w:i/>
          <w:iCs/>
          <w:color w:val="000000"/>
        </w:rPr>
        <w:t>N Engl J Med</w:t>
      </w:r>
      <w:r w:rsidRPr="0037251D">
        <w:rPr>
          <w:rFonts w:ascii="Book Antiqua" w:eastAsia="Book Antiqua" w:hAnsi="Book Antiqua" w:cs="Book Antiqua"/>
          <w:color w:val="000000"/>
        </w:rPr>
        <w:t xml:space="preserve"> 2003; </w:t>
      </w:r>
      <w:r w:rsidRPr="0037251D">
        <w:rPr>
          <w:rFonts w:ascii="Book Antiqua" w:eastAsia="Book Antiqua" w:hAnsi="Book Antiqua" w:cs="Book Antiqua"/>
          <w:b/>
          <w:bCs/>
          <w:color w:val="000000"/>
        </w:rPr>
        <w:t>349</w:t>
      </w:r>
      <w:r w:rsidRPr="0037251D">
        <w:rPr>
          <w:rFonts w:ascii="Book Antiqua" w:eastAsia="Book Antiqua" w:hAnsi="Book Antiqua" w:cs="Book Antiqua"/>
          <w:color w:val="000000"/>
        </w:rPr>
        <w:t>: 146-153 [PMID: 12853587 DOI: 10.1056/NEJMoa025313]</w:t>
      </w:r>
    </w:p>
    <w:p w14:paraId="6FA5B2B4" w14:textId="77777777" w:rsidR="00A77B3E" w:rsidRPr="0037251D" w:rsidRDefault="008404AF">
      <w:pPr>
        <w:spacing w:line="360" w:lineRule="auto"/>
        <w:jc w:val="both"/>
      </w:pPr>
      <w:r w:rsidRPr="0037251D">
        <w:rPr>
          <w:rFonts w:ascii="Book Antiqua" w:eastAsia="Book Antiqua" w:hAnsi="Book Antiqua" w:cs="Book Antiqua"/>
          <w:color w:val="000000"/>
        </w:rPr>
        <w:t xml:space="preserve">65 </w:t>
      </w:r>
      <w:r w:rsidRPr="0037251D">
        <w:rPr>
          <w:rFonts w:ascii="Book Antiqua" w:eastAsia="Book Antiqua" w:hAnsi="Book Antiqua" w:cs="Book Antiqua"/>
          <w:b/>
          <w:bCs/>
          <w:color w:val="000000"/>
        </w:rPr>
        <w:t>Deitcher SR</w:t>
      </w:r>
      <w:r w:rsidRPr="0037251D">
        <w:rPr>
          <w:rFonts w:ascii="Book Antiqua" w:eastAsia="Book Antiqua" w:hAnsi="Book Antiqua" w:cs="Book Antiqua"/>
          <w:color w:val="000000"/>
        </w:rPr>
        <w:t xml:space="preserve">, Kessler CM, Merli G, Rigas JR, Lyons RM, Fareed J; ONCENOX Investigators. Secondary prevention of venous thromboembolic events in patients with active cancer: enoxaparin alone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initial enoxaparin followed by warfarin for a 180-day period. </w:t>
      </w:r>
      <w:r w:rsidRPr="0037251D">
        <w:rPr>
          <w:rFonts w:ascii="Book Antiqua" w:eastAsia="Book Antiqua" w:hAnsi="Book Antiqua" w:cs="Book Antiqua"/>
          <w:i/>
          <w:iCs/>
          <w:color w:val="000000"/>
        </w:rPr>
        <w:t>Clin Appl Thromb Hemost</w:t>
      </w:r>
      <w:r w:rsidRPr="0037251D">
        <w:rPr>
          <w:rFonts w:ascii="Book Antiqua" w:eastAsia="Book Antiqua" w:hAnsi="Book Antiqua" w:cs="Book Antiqua"/>
          <w:color w:val="000000"/>
        </w:rPr>
        <w:t xml:space="preserve"> 2006; </w:t>
      </w:r>
      <w:r w:rsidRPr="0037251D">
        <w:rPr>
          <w:rFonts w:ascii="Book Antiqua" w:eastAsia="Book Antiqua" w:hAnsi="Book Antiqua" w:cs="Book Antiqua"/>
          <w:b/>
          <w:bCs/>
          <w:color w:val="000000"/>
        </w:rPr>
        <w:t>12</w:t>
      </w:r>
      <w:r w:rsidRPr="0037251D">
        <w:rPr>
          <w:rFonts w:ascii="Book Antiqua" w:eastAsia="Book Antiqua" w:hAnsi="Book Antiqua" w:cs="Book Antiqua"/>
          <w:color w:val="000000"/>
        </w:rPr>
        <w:t>: 389-396 [PMID: 17000884 DOI: 10.1177/1076029606293692]</w:t>
      </w:r>
    </w:p>
    <w:p w14:paraId="42C58792" w14:textId="77777777" w:rsidR="00A77B3E" w:rsidRPr="0037251D" w:rsidRDefault="008404AF">
      <w:pPr>
        <w:spacing w:line="360" w:lineRule="auto"/>
        <w:jc w:val="both"/>
      </w:pPr>
      <w:r w:rsidRPr="0037251D">
        <w:rPr>
          <w:rFonts w:ascii="Book Antiqua" w:eastAsia="Book Antiqua" w:hAnsi="Book Antiqua" w:cs="Book Antiqua"/>
          <w:color w:val="000000"/>
        </w:rPr>
        <w:t xml:space="preserve">66 </w:t>
      </w:r>
      <w:r w:rsidRPr="0037251D">
        <w:rPr>
          <w:rFonts w:ascii="Book Antiqua" w:eastAsia="Book Antiqua" w:hAnsi="Book Antiqua" w:cs="Book Antiqua"/>
          <w:b/>
          <w:bCs/>
          <w:color w:val="000000"/>
        </w:rPr>
        <w:t>Hull RD</w:t>
      </w:r>
      <w:r w:rsidRPr="0037251D">
        <w:rPr>
          <w:rFonts w:ascii="Book Antiqua" w:eastAsia="Book Antiqua" w:hAnsi="Book Antiqua" w:cs="Book Antiqua"/>
          <w:color w:val="000000"/>
        </w:rPr>
        <w:t xml:space="preserve">, Pineo GF, Brant RF, Mah AF, Burke N, Dear R, Wong T, Cook R, Solymoss S, Poon MC, Raskob G; LITE Trial Investigators. Long-term low-molecular-weight heparin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usual care in proximal-vein thrombosis patients with cancer. </w:t>
      </w:r>
      <w:r w:rsidRPr="0037251D">
        <w:rPr>
          <w:rFonts w:ascii="Book Antiqua" w:eastAsia="Book Antiqua" w:hAnsi="Book Antiqua" w:cs="Book Antiqua"/>
          <w:i/>
          <w:iCs/>
          <w:color w:val="000000"/>
        </w:rPr>
        <w:t>Am J Med</w:t>
      </w:r>
      <w:r w:rsidRPr="0037251D">
        <w:rPr>
          <w:rFonts w:ascii="Book Antiqua" w:eastAsia="Book Antiqua" w:hAnsi="Book Antiqua" w:cs="Book Antiqua"/>
          <w:color w:val="000000"/>
        </w:rPr>
        <w:t xml:space="preserve"> 2006; </w:t>
      </w:r>
      <w:r w:rsidRPr="0037251D">
        <w:rPr>
          <w:rFonts w:ascii="Book Antiqua" w:eastAsia="Book Antiqua" w:hAnsi="Book Antiqua" w:cs="Book Antiqua"/>
          <w:b/>
          <w:bCs/>
          <w:color w:val="000000"/>
        </w:rPr>
        <w:t>119</w:t>
      </w:r>
      <w:r w:rsidRPr="0037251D">
        <w:rPr>
          <w:rFonts w:ascii="Book Antiqua" w:eastAsia="Book Antiqua" w:hAnsi="Book Antiqua" w:cs="Book Antiqua"/>
          <w:color w:val="000000"/>
        </w:rPr>
        <w:t>: 1062-1072 [PMID: 17145251 DOI: 10.1016/j.amjmed.2006.02.022]</w:t>
      </w:r>
    </w:p>
    <w:p w14:paraId="2EEEC056" w14:textId="77777777" w:rsidR="00A77B3E" w:rsidRPr="0037251D" w:rsidRDefault="008404AF">
      <w:pPr>
        <w:spacing w:line="360" w:lineRule="auto"/>
        <w:jc w:val="both"/>
      </w:pPr>
      <w:r w:rsidRPr="0037251D">
        <w:rPr>
          <w:rFonts w:ascii="Book Antiqua" w:eastAsia="Book Antiqua" w:hAnsi="Book Antiqua" w:cs="Book Antiqua"/>
          <w:color w:val="000000"/>
        </w:rPr>
        <w:t xml:space="preserve">67 </w:t>
      </w:r>
      <w:r w:rsidRPr="0037251D">
        <w:rPr>
          <w:rFonts w:ascii="Book Antiqua" w:eastAsia="Book Antiqua" w:hAnsi="Book Antiqua" w:cs="Book Antiqua"/>
          <w:b/>
          <w:bCs/>
          <w:color w:val="000000"/>
        </w:rPr>
        <w:t>Lee AYY</w:t>
      </w:r>
      <w:r w:rsidRPr="0037251D">
        <w:rPr>
          <w:rFonts w:ascii="Book Antiqua" w:eastAsia="Book Antiqua" w:hAnsi="Book Antiqua" w:cs="Book Antiqua"/>
          <w:color w:val="000000"/>
        </w:rPr>
        <w:t xml:space="preserve">, Kamphuisen PW, Meyer G, Bauersachs R, Janas MS, Jarner MF, Khorana AA; CATCH Investigators. Tinzaparin </w:t>
      </w:r>
      <w:r w:rsidRPr="0037251D">
        <w:rPr>
          <w:rFonts w:ascii="Book Antiqua" w:eastAsia="Book Antiqua" w:hAnsi="Book Antiqua" w:cs="Book Antiqua"/>
          <w:i/>
          <w:iCs/>
          <w:color w:val="000000"/>
        </w:rPr>
        <w:t>vs</w:t>
      </w:r>
      <w:r w:rsidRPr="0037251D">
        <w:rPr>
          <w:rFonts w:ascii="Book Antiqua" w:eastAsia="Book Antiqua" w:hAnsi="Book Antiqua" w:cs="Book Antiqua"/>
          <w:color w:val="000000"/>
        </w:rPr>
        <w:t xml:space="preserve"> Warfarin for Treatment of Acute Venous Thromboembolism in Patients With Active Cancer: A Randomized Clinical Trial. </w:t>
      </w:r>
      <w:r w:rsidRPr="0037251D">
        <w:rPr>
          <w:rFonts w:ascii="Book Antiqua" w:eastAsia="Book Antiqua" w:hAnsi="Book Antiqua" w:cs="Book Antiqua"/>
          <w:i/>
          <w:iCs/>
          <w:color w:val="000000"/>
        </w:rPr>
        <w:t>JAMA</w:t>
      </w:r>
      <w:r w:rsidRPr="0037251D">
        <w:rPr>
          <w:rFonts w:ascii="Book Antiqua" w:eastAsia="Book Antiqua" w:hAnsi="Book Antiqua" w:cs="Book Antiqua"/>
          <w:color w:val="000000"/>
        </w:rPr>
        <w:t xml:space="preserve"> 2015; </w:t>
      </w:r>
      <w:r w:rsidRPr="0037251D">
        <w:rPr>
          <w:rFonts w:ascii="Book Antiqua" w:eastAsia="Book Antiqua" w:hAnsi="Book Antiqua" w:cs="Book Antiqua"/>
          <w:b/>
          <w:bCs/>
          <w:color w:val="000000"/>
        </w:rPr>
        <w:t>314</w:t>
      </w:r>
      <w:r w:rsidRPr="0037251D">
        <w:rPr>
          <w:rFonts w:ascii="Book Antiqua" w:eastAsia="Book Antiqua" w:hAnsi="Book Antiqua" w:cs="Book Antiqua"/>
          <w:color w:val="000000"/>
        </w:rPr>
        <w:t>: 677-686 [PMID: 26284719 DOI: 10.1001/jama.2015.9243]</w:t>
      </w:r>
    </w:p>
    <w:p w14:paraId="185563FC" w14:textId="77777777" w:rsidR="00A77B3E" w:rsidRPr="0037251D" w:rsidRDefault="008404AF">
      <w:pPr>
        <w:spacing w:line="360" w:lineRule="auto"/>
        <w:jc w:val="both"/>
      </w:pPr>
      <w:r w:rsidRPr="0037251D">
        <w:rPr>
          <w:rFonts w:ascii="Book Antiqua" w:eastAsia="Book Antiqua" w:hAnsi="Book Antiqua" w:cs="Book Antiqua"/>
          <w:color w:val="000000"/>
        </w:rPr>
        <w:t xml:space="preserve">68 </w:t>
      </w:r>
      <w:r w:rsidRPr="0037251D">
        <w:rPr>
          <w:rFonts w:ascii="Book Antiqua" w:eastAsia="Book Antiqua" w:hAnsi="Book Antiqua" w:cs="Book Antiqua"/>
          <w:b/>
          <w:bCs/>
          <w:color w:val="000000"/>
        </w:rPr>
        <w:t>Raskob GE</w:t>
      </w:r>
      <w:r w:rsidRPr="0037251D">
        <w:rPr>
          <w:rFonts w:ascii="Book Antiqua" w:eastAsia="Book Antiqua" w:hAnsi="Book Antiqua" w:cs="Book Antiqua"/>
          <w:color w:val="000000"/>
        </w:rPr>
        <w:t xml:space="preserve">, van Es N, Verhamme P, Carrier M, Di Nisio M, Garcia D, Grosso MA, Kakkar AK, Kovacs MJ, Mercuri MF, Meyer G, Segers A, Shi M, Wang TF, Yeo E, Zhang G, Zwicker JI, Weitz JI, Büller HR; Hokusai VTE Cancer Investigators. Edoxaban for the </w:t>
      </w:r>
      <w:r w:rsidRPr="0037251D">
        <w:rPr>
          <w:rFonts w:ascii="Book Antiqua" w:eastAsia="Book Antiqua" w:hAnsi="Book Antiqua" w:cs="Book Antiqua"/>
          <w:color w:val="000000"/>
        </w:rPr>
        <w:lastRenderedPageBreak/>
        <w:t xml:space="preserve">Treatment of Cancer-Associated Venous Thromboembolism. </w:t>
      </w:r>
      <w:r w:rsidRPr="0037251D">
        <w:rPr>
          <w:rFonts w:ascii="Book Antiqua" w:eastAsia="Book Antiqua" w:hAnsi="Book Antiqua" w:cs="Book Antiqua"/>
          <w:i/>
          <w:iCs/>
          <w:color w:val="000000"/>
        </w:rPr>
        <w:t>N Engl J Med</w:t>
      </w:r>
      <w:r w:rsidRPr="0037251D">
        <w:rPr>
          <w:rFonts w:ascii="Book Antiqua" w:eastAsia="Book Antiqua" w:hAnsi="Book Antiqua" w:cs="Book Antiqua"/>
          <w:color w:val="000000"/>
        </w:rPr>
        <w:t xml:space="preserve"> 2018; </w:t>
      </w:r>
      <w:r w:rsidRPr="0037251D">
        <w:rPr>
          <w:rFonts w:ascii="Book Antiqua" w:eastAsia="Book Antiqua" w:hAnsi="Book Antiqua" w:cs="Book Antiqua"/>
          <w:b/>
          <w:bCs/>
          <w:color w:val="000000"/>
        </w:rPr>
        <w:t>378</w:t>
      </w:r>
      <w:r w:rsidRPr="0037251D">
        <w:rPr>
          <w:rFonts w:ascii="Book Antiqua" w:eastAsia="Book Antiqua" w:hAnsi="Book Antiqua" w:cs="Book Antiqua"/>
          <w:color w:val="000000"/>
        </w:rPr>
        <w:t>: 615-624 [PMID: 29231094 DOI: 10.1056/NEJMoa1711948]</w:t>
      </w:r>
    </w:p>
    <w:p w14:paraId="1EE96BA1" w14:textId="77777777" w:rsidR="00A77B3E" w:rsidRPr="0037251D" w:rsidRDefault="008404AF">
      <w:pPr>
        <w:spacing w:line="360" w:lineRule="auto"/>
        <w:jc w:val="both"/>
      </w:pPr>
      <w:r w:rsidRPr="0037251D">
        <w:rPr>
          <w:rFonts w:ascii="Book Antiqua" w:eastAsia="Book Antiqua" w:hAnsi="Book Antiqua" w:cs="Book Antiqua"/>
          <w:color w:val="000000"/>
        </w:rPr>
        <w:t xml:space="preserve">69 </w:t>
      </w:r>
      <w:r w:rsidRPr="0037251D">
        <w:rPr>
          <w:rFonts w:ascii="Book Antiqua" w:eastAsia="Book Antiqua" w:hAnsi="Book Antiqua" w:cs="Book Antiqua"/>
          <w:b/>
          <w:bCs/>
          <w:color w:val="000000"/>
        </w:rPr>
        <w:t>Young AM</w:t>
      </w:r>
      <w:r w:rsidRPr="0037251D">
        <w:rPr>
          <w:rFonts w:ascii="Book Antiqua" w:eastAsia="Book Antiqua" w:hAnsi="Book Antiqua" w:cs="Book Antiqua"/>
          <w:color w:val="000000"/>
        </w:rPr>
        <w:t xml:space="preserve">, Marshall A, Thirlwall J, Chapman O, Lokare A, Hill C, Hale D, Dunn JA, Lyman GH, Hutchinson C, MacCallum P, Kakkar A, Hobbs FDR, Petrou S, Dale J, Poole CJ, Maraveyas A, Levine M. Comparison of an Oral Factor Xa Inhibitor With Low Molecular Weight Heparin in Patients With Cancer With Venous Thromboembolism: Results of a Randomized Trial (SELECT-D). </w:t>
      </w:r>
      <w:r w:rsidRPr="0037251D">
        <w:rPr>
          <w:rFonts w:ascii="Book Antiqua" w:eastAsia="Book Antiqua" w:hAnsi="Book Antiqua" w:cs="Book Antiqua"/>
          <w:i/>
          <w:iCs/>
          <w:color w:val="000000"/>
        </w:rPr>
        <w:t>J Clin Oncol</w:t>
      </w:r>
      <w:r w:rsidRPr="0037251D">
        <w:rPr>
          <w:rFonts w:ascii="Book Antiqua" w:eastAsia="Book Antiqua" w:hAnsi="Book Antiqua" w:cs="Book Antiqua"/>
          <w:color w:val="000000"/>
        </w:rPr>
        <w:t xml:space="preserve"> 2018; </w:t>
      </w:r>
      <w:r w:rsidRPr="0037251D">
        <w:rPr>
          <w:rFonts w:ascii="Book Antiqua" w:eastAsia="Book Antiqua" w:hAnsi="Book Antiqua" w:cs="Book Antiqua"/>
          <w:b/>
          <w:bCs/>
          <w:color w:val="000000"/>
        </w:rPr>
        <w:t>36</w:t>
      </w:r>
      <w:r w:rsidRPr="0037251D">
        <w:rPr>
          <w:rFonts w:ascii="Book Antiqua" w:eastAsia="Book Antiqua" w:hAnsi="Book Antiqua" w:cs="Book Antiqua"/>
          <w:color w:val="000000"/>
        </w:rPr>
        <w:t>: 2017-2023 [PMID: 29746227 DOI: 10.1200/JCO.2018.78.8034]</w:t>
      </w:r>
    </w:p>
    <w:p w14:paraId="7BD2B1FD" w14:textId="77777777" w:rsidR="00A77B3E" w:rsidRPr="0037251D" w:rsidRDefault="008404AF">
      <w:pPr>
        <w:spacing w:line="360" w:lineRule="auto"/>
        <w:jc w:val="both"/>
      </w:pPr>
      <w:r w:rsidRPr="0037251D">
        <w:rPr>
          <w:rFonts w:ascii="Book Antiqua" w:eastAsia="Book Antiqua" w:hAnsi="Book Antiqua" w:cs="Book Antiqua"/>
          <w:color w:val="000000"/>
        </w:rPr>
        <w:t xml:space="preserve">70 </w:t>
      </w:r>
      <w:r w:rsidRPr="0037251D">
        <w:rPr>
          <w:rFonts w:ascii="Book Antiqua" w:eastAsia="Book Antiqua" w:hAnsi="Book Antiqua" w:cs="Book Antiqua"/>
          <w:b/>
          <w:bCs/>
          <w:color w:val="000000"/>
        </w:rPr>
        <w:t>McBane RD 2nd</w:t>
      </w:r>
      <w:r w:rsidRPr="0037251D">
        <w:rPr>
          <w:rFonts w:ascii="Book Antiqua" w:eastAsia="Book Antiqua" w:hAnsi="Book Antiqua" w:cs="Book Antiqua"/>
          <w:color w:val="000000"/>
        </w:rPr>
        <w:t xml:space="preserve">, Wysokinski WE, Le-Rademacher JG, Zemla T, Ashrani A, Tafur A, Perepu U, Anderson D, Gundabolu K, Kuzma C, Perez Botero J, Leon Ferre RA, Henkin S, Lenz CJ, Houghton DE, Vishnu P, Loprinzi CL. Apixaban and dalteparin in active malignancy-associated venous thromboembolism: The ADAM VTE trial. </w:t>
      </w:r>
      <w:r w:rsidRPr="0037251D">
        <w:rPr>
          <w:rFonts w:ascii="Book Antiqua" w:eastAsia="Book Antiqua" w:hAnsi="Book Antiqua" w:cs="Book Antiqua"/>
          <w:i/>
          <w:iCs/>
          <w:color w:val="000000"/>
        </w:rPr>
        <w:t>J Thromb Haemost</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18</w:t>
      </w:r>
      <w:r w:rsidRPr="0037251D">
        <w:rPr>
          <w:rFonts w:ascii="Book Antiqua" w:eastAsia="Book Antiqua" w:hAnsi="Book Antiqua" w:cs="Book Antiqua"/>
          <w:color w:val="000000"/>
        </w:rPr>
        <w:t>: 411-421 [PMID: 31630479 DOI: 10.1111/jth.14662]</w:t>
      </w:r>
    </w:p>
    <w:p w14:paraId="5D032115" w14:textId="77777777" w:rsidR="00A77B3E" w:rsidRPr="0037251D" w:rsidRDefault="008404AF">
      <w:pPr>
        <w:spacing w:line="360" w:lineRule="auto"/>
        <w:jc w:val="both"/>
      </w:pPr>
      <w:r w:rsidRPr="0037251D">
        <w:rPr>
          <w:rFonts w:ascii="Book Antiqua" w:eastAsia="Book Antiqua" w:hAnsi="Book Antiqua" w:cs="Book Antiqua"/>
          <w:color w:val="000000"/>
        </w:rPr>
        <w:t xml:space="preserve">71 </w:t>
      </w:r>
      <w:r w:rsidRPr="0037251D">
        <w:rPr>
          <w:rFonts w:ascii="Book Antiqua" w:eastAsia="Book Antiqua" w:hAnsi="Book Antiqua" w:cs="Book Antiqua"/>
          <w:b/>
          <w:bCs/>
          <w:color w:val="000000"/>
        </w:rPr>
        <w:t>Agnelli G</w:t>
      </w:r>
      <w:r w:rsidRPr="0037251D">
        <w:rPr>
          <w:rFonts w:ascii="Book Antiqua" w:eastAsia="Book Antiqua" w:hAnsi="Book Antiqua" w:cs="Book Antiqua"/>
          <w:color w:val="000000"/>
        </w:rPr>
        <w:t xml:space="preserve">, Becattini C, Meyer G, Muñoz A, Huisman MV, Connors JM, Cohen A, Bauersachs R, Brenner B, Torbicki A, Sueiro MR, Lambert C, Gussoni G, Campanini M, Fontanella A, Vescovo G, Verso M; Caravaggio Investigators. Apixaban for the Treatment of Venous Thromboembolism Associated with Cancer. </w:t>
      </w:r>
      <w:r w:rsidRPr="0037251D">
        <w:rPr>
          <w:rFonts w:ascii="Book Antiqua" w:eastAsia="Book Antiqua" w:hAnsi="Book Antiqua" w:cs="Book Antiqua"/>
          <w:i/>
          <w:iCs/>
          <w:color w:val="000000"/>
        </w:rPr>
        <w:t>N Engl J Med</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382</w:t>
      </w:r>
      <w:r w:rsidRPr="0037251D">
        <w:rPr>
          <w:rFonts w:ascii="Book Antiqua" w:eastAsia="Book Antiqua" w:hAnsi="Book Antiqua" w:cs="Book Antiqua"/>
          <w:color w:val="000000"/>
        </w:rPr>
        <w:t>: 1599-1607 [PMID: 32223112 DOI: 10.1056/NEJMoa1915103]</w:t>
      </w:r>
    </w:p>
    <w:p w14:paraId="5C190B4D" w14:textId="77777777" w:rsidR="00A77B3E" w:rsidRPr="0037251D" w:rsidRDefault="008404AF">
      <w:pPr>
        <w:spacing w:line="360" w:lineRule="auto"/>
        <w:jc w:val="both"/>
      </w:pPr>
      <w:r w:rsidRPr="0037251D">
        <w:rPr>
          <w:rFonts w:ascii="Book Antiqua" w:eastAsia="Book Antiqua" w:hAnsi="Book Antiqua" w:cs="Book Antiqua"/>
          <w:color w:val="000000"/>
        </w:rPr>
        <w:t xml:space="preserve">72 </w:t>
      </w:r>
      <w:r w:rsidRPr="0037251D">
        <w:rPr>
          <w:rFonts w:ascii="Book Antiqua" w:eastAsia="Book Antiqua" w:hAnsi="Book Antiqua" w:cs="Book Antiqua"/>
          <w:b/>
          <w:bCs/>
          <w:color w:val="000000"/>
        </w:rPr>
        <w:t>Frere C</w:t>
      </w:r>
      <w:r w:rsidRPr="0037251D">
        <w:rPr>
          <w:rFonts w:ascii="Book Antiqua" w:eastAsia="Book Antiqua" w:hAnsi="Book Antiqua" w:cs="Book Antiqua"/>
          <w:color w:val="000000"/>
        </w:rPr>
        <w:t xml:space="preserve">, Benzidia I, Marjanovic Z, Farge D. Recent Advances in the Management of Cancer-Associated Thrombosis: New Hopes but New Challenges. </w:t>
      </w:r>
      <w:r w:rsidRPr="0037251D">
        <w:rPr>
          <w:rFonts w:ascii="Book Antiqua" w:eastAsia="Book Antiqua" w:hAnsi="Book Antiqua" w:cs="Book Antiqua"/>
          <w:i/>
          <w:iCs/>
          <w:color w:val="000000"/>
        </w:rPr>
        <w:t>Cancers (Basel)</w:t>
      </w:r>
      <w:r w:rsidRPr="0037251D">
        <w:rPr>
          <w:rFonts w:ascii="Book Antiqua" w:eastAsia="Book Antiqua" w:hAnsi="Book Antiqua" w:cs="Book Antiqua"/>
          <w:color w:val="000000"/>
        </w:rPr>
        <w:t xml:space="preserve"> 2019; </w:t>
      </w:r>
      <w:r w:rsidRPr="0037251D">
        <w:rPr>
          <w:rFonts w:ascii="Book Antiqua" w:eastAsia="Book Antiqua" w:hAnsi="Book Antiqua" w:cs="Book Antiqua"/>
          <w:b/>
          <w:bCs/>
          <w:color w:val="000000"/>
        </w:rPr>
        <w:t>11</w:t>
      </w:r>
      <w:r w:rsidRPr="0037251D">
        <w:rPr>
          <w:rFonts w:ascii="Book Antiqua" w:eastAsia="Book Antiqua" w:hAnsi="Book Antiqua" w:cs="Book Antiqua"/>
          <w:color w:val="000000"/>
        </w:rPr>
        <w:t xml:space="preserve"> [PMID: 30634638 DOI: 10.3390/cancers11010071]</w:t>
      </w:r>
    </w:p>
    <w:p w14:paraId="47D37FA9" w14:textId="77777777" w:rsidR="00A77B3E" w:rsidRPr="0037251D" w:rsidRDefault="008404AF">
      <w:pPr>
        <w:spacing w:line="360" w:lineRule="auto"/>
        <w:jc w:val="both"/>
      </w:pPr>
      <w:r w:rsidRPr="0037251D">
        <w:rPr>
          <w:rFonts w:ascii="Book Antiqua" w:eastAsia="Book Antiqua" w:hAnsi="Book Antiqua" w:cs="Book Antiqua"/>
          <w:color w:val="000000"/>
        </w:rPr>
        <w:t xml:space="preserve">73 </w:t>
      </w:r>
      <w:r w:rsidRPr="0037251D">
        <w:rPr>
          <w:rFonts w:ascii="Book Antiqua" w:eastAsia="Book Antiqua" w:hAnsi="Book Antiqua" w:cs="Book Antiqua"/>
          <w:b/>
          <w:bCs/>
          <w:color w:val="000000"/>
        </w:rPr>
        <w:t>Carrier M</w:t>
      </w:r>
      <w:r w:rsidRPr="0037251D">
        <w:rPr>
          <w:rFonts w:ascii="Book Antiqua" w:eastAsia="Book Antiqua" w:hAnsi="Book Antiqua" w:cs="Book Antiqua"/>
          <w:color w:val="000000"/>
        </w:rPr>
        <w:t xml:space="preserve">, Wang TF. Direct oral anticoagulants and cancer-associated VTE: good for all, or just some? </w:t>
      </w:r>
      <w:r w:rsidRPr="0037251D">
        <w:rPr>
          <w:rFonts w:ascii="Book Antiqua" w:eastAsia="Book Antiqua" w:hAnsi="Book Antiqua" w:cs="Book Antiqua"/>
          <w:i/>
          <w:iCs/>
          <w:color w:val="000000"/>
        </w:rPr>
        <w:t>Blood</w:t>
      </w:r>
      <w:r w:rsidRPr="0037251D">
        <w:rPr>
          <w:rFonts w:ascii="Book Antiqua" w:eastAsia="Book Antiqua" w:hAnsi="Book Antiqua" w:cs="Book Antiqua"/>
          <w:color w:val="000000"/>
        </w:rPr>
        <w:t xml:space="preserve"> 2020; </w:t>
      </w:r>
      <w:r w:rsidRPr="0037251D">
        <w:rPr>
          <w:rFonts w:ascii="Book Antiqua" w:eastAsia="Book Antiqua" w:hAnsi="Book Antiqua" w:cs="Book Antiqua"/>
          <w:b/>
          <w:bCs/>
          <w:color w:val="000000"/>
        </w:rPr>
        <w:t>136</w:t>
      </w:r>
      <w:r w:rsidRPr="0037251D">
        <w:rPr>
          <w:rFonts w:ascii="Book Antiqua" w:eastAsia="Book Antiqua" w:hAnsi="Book Antiqua" w:cs="Book Antiqua"/>
          <w:color w:val="000000"/>
        </w:rPr>
        <w:t>: 669-673 [PMID: 32575112 DOI: 10.1182/blood.2019004177]</w:t>
      </w:r>
    </w:p>
    <w:p w14:paraId="17D54572" w14:textId="77777777" w:rsidR="00A77B3E" w:rsidRPr="0037251D" w:rsidRDefault="008404AF">
      <w:pPr>
        <w:spacing w:line="360" w:lineRule="auto"/>
        <w:jc w:val="both"/>
      </w:pPr>
      <w:r w:rsidRPr="0037251D">
        <w:rPr>
          <w:rFonts w:ascii="Book Antiqua" w:eastAsia="Book Antiqua" w:hAnsi="Book Antiqua" w:cs="Book Antiqua"/>
          <w:color w:val="000000"/>
        </w:rPr>
        <w:t xml:space="preserve">74 </w:t>
      </w:r>
      <w:r w:rsidRPr="0037251D">
        <w:rPr>
          <w:rFonts w:ascii="Book Antiqua" w:eastAsia="Book Antiqua" w:hAnsi="Book Antiqua" w:cs="Book Antiqua"/>
          <w:b/>
          <w:bCs/>
          <w:color w:val="000000"/>
        </w:rPr>
        <w:t>O'Connell C</w:t>
      </w:r>
      <w:r w:rsidRPr="0037251D">
        <w:rPr>
          <w:rFonts w:ascii="Book Antiqua" w:eastAsia="Book Antiqua" w:hAnsi="Book Antiqua" w:cs="Book Antiqua"/>
          <w:color w:val="000000"/>
        </w:rPr>
        <w:t xml:space="preserve">, Escalante CP, Goldhaber SZ, McBane R, Connors JM, Raskob GE. Treatment of Cancer-Associated Venous Thromboembolism with Low-Molecular-Weight Heparin or Direct Oral Anticoagulants: Patient Selection, Controversies, and Caveats. </w:t>
      </w:r>
      <w:r w:rsidRPr="0037251D">
        <w:rPr>
          <w:rFonts w:ascii="Book Antiqua" w:eastAsia="Book Antiqua" w:hAnsi="Book Antiqua" w:cs="Book Antiqua"/>
          <w:i/>
          <w:iCs/>
          <w:color w:val="000000"/>
        </w:rPr>
        <w:t>Oncologist</w:t>
      </w:r>
      <w:r w:rsidRPr="0037251D">
        <w:rPr>
          <w:rFonts w:ascii="Book Antiqua" w:eastAsia="Book Antiqua" w:hAnsi="Book Antiqua" w:cs="Book Antiqua"/>
          <w:color w:val="000000"/>
        </w:rPr>
        <w:t xml:space="preserve"> 2021; </w:t>
      </w:r>
      <w:r w:rsidRPr="0037251D">
        <w:rPr>
          <w:rFonts w:ascii="Book Antiqua" w:eastAsia="Book Antiqua" w:hAnsi="Book Antiqua" w:cs="Book Antiqua"/>
          <w:b/>
          <w:bCs/>
          <w:color w:val="000000"/>
        </w:rPr>
        <w:t>26</w:t>
      </w:r>
      <w:r w:rsidRPr="0037251D">
        <w:rPr>
          <w:rFonts w:ascii="Book Antiqua" w:eastAsia="Book Antiqua" w:hAnsi="Book Antiqua" w:cs="Book Antiqua"/>
          <w:color w:val="000000"/>
        </w:rPr>
        <w:t>: e8-e16 [PMID: 33275319 DOI: 10.1002/onco.13584]</w:t>
      </w:r>
    </w:p>
    <w:p w14:paraId="6BD5F217" w14:textId="77777777" w:rsidR="00A77B3E" w:rsidRPr="0037251D" w:rsidRDefault="008404AF">
      <w:pPr>
        <w:spacing w:line="360" w:lineRule="auto"/>
        <w:jc w:val="both"/>
      </w:pPr>
      <w:r w:rsidRPr="0037251D">
        <w:rPr>
          <w:rFonts w:ascii="Book Antiqua" w:eastAsia="Book Antiqua" w:hAnsi="Book Antiqua" w:cs="Book Antiqua"/>
          <w:color w:val="000000"/>
        </w:rPr>
        <w:lastRenderedPageBreak/>
        <w:t xml:space="preserve">75 </w:t>
      </w:r>
      <w:r w:rsidRPr="0037251D">
        <w:rPr>
          <w:rFonts w:ascii="Book Antiqua" w:eastAsia="Book Antiqua" w:hAnsi="Book Antiqua" w:cs="Book Antiqua"/>
          <w:b/>
          <w:bCs/>
          <w:color w:val="000000"/>
        </w:rPr>
        <w:t>den Exter PL</w:t>
      </w:r>
      <w:r w:rsidRPr="0037251D">
        <w:rPr>
          <w:rFonts w:ascii="Book Antiqua" w:eastAsia="Book Antiqua" w:hAnsi="Book Antiqua" w:cs="Book Antiqua"/>
          <w:color w:val="000000"/>
        </w:rPr>
        <w:t xml:space="preserve">, Hooijer J, Dekkers OM, Huisman MV. Risk of recurrent venous thromboembolism and mortality in patients with cancer incidentally diagnosed with pulmonary embolism: a comparison with symptomatic patients. </w:t>
      </w:r>
      <w:r w:rsidRPr="0037251D">
        <w:rPr>
          <w:rFonts w:ascii="Book Antiqua" w:eastAsia="Book Antiqua" w:hAnsi="Book Antiqua" w:cs="Book Antiqua"/>
          <w:i/>
          <w:iCs/>
          <w:color w:val="000000"/>
        </w:rPr>
        <w:t>J Clin Oncol</w:t>
      </w:r>
      <w:r w:rsidRPr="0037251D">
        <w:rPr>
          <w:rFonts w:ascii="Book Antiqua" w:eastAsia="Book Antiqua" w:hAnsi="Book Antiqua" w:cs="Book Antiqua"/>
          <w:color w:val="000000"/>
        </w:rPr>
        <w:t xml:space="preserve"> 2011; </w:t>
      </w:r>
      <w:r w:rsidRPr="0037251D">
        <w:rPr>
          <w:rFonts w:ascii="Book Antiqua" w:eastAsia="Book Antiqua" w:hAnsi="Book Antiqua" w:cs="Book Antiqua"/>
          <w:b/>
          <w:bCs/>
          <w:color w:val="000000"/>
        </w:rPr>
        <w:t>29</w:t>
      </w:r>
      <w:r w:rsidRPr="0037251D">
        <w:rPr>
          <w:rFonts w:ascii="Book Antiqua" w:eastAsia="Book Antiqua" w:hAnsi="Book Antiqua" w:cs="Book Antiqua"/>
          <w:color w:val="000000"/>
        </w:rPr>
        <w:t>: 2405-2409 [PMID: 21555690 DOI: 10.1200/JCO.2010.34.0984]</w:t>
      </w:r>
    </w:p>
    <w:p w14:paraId="09B547BB" w14:textId="77777777" w:rsidR="00A77B3E" w:rsidRPr="0037251D" w:rsidRDefault="008404AF">
      <w:pPr>
        <w:spacing w:line="360" w:lineRule="auto"/>
        <w:jc w:val="both"/>
      </w:pPr>
      <w:r w:rsidRPr="0037251D">
        <w:rPr>
          <w:rFonts w:ascii="Book Antiqua" w:eastAsia="Book Antiqua" w:hAnsi="Book Antiqua" w:cs="Book Antiqua"/>
          <w:color w:val="000000"/>
        </w:rPr>
        <w:t xml:space="preserve">76 </w:t>
      </w:r>
      <w:r w:rsidRPr="0037251D">
        <w:rPr>
          <w:rFonts w:ascii="Book Antiqua" w:eastAsia="Book Antiqua" w:hAnsi="Book Antiqua" w:cs="Book Antiqua"/>
          <w:b/>
          <w:bCs/>
          <w:color w:val="000000"/>
        </w:rPr>
        <w:t>van der Hulle T</w:t>
      </w:r>
      <w:r w:rsidRPr="0037251D">
        <w:rPr>
          <w:rFonts w:ascii="Book Antiqua" w:eastAsia="Book Antiqua" w:hAnsi="Book Antiqua" w:cs="Book Antiqua"/>
          <w:color w:val="000000"/>
        </w:rPr>
        <w:t xml:space="preserve">, den Exter PL, Planquette B, Meyer G, Soler S, Monreal M, Jiménez D, Portillo AK, O'Connell C, Liebman HA, Shteinberg M, Adir Y, Tiseo M, Bersanelli M, Abdel-Razeq HN, Mansour AH, Donnelly OG, Radhakrishna G, Ramasamy S, Bozas G, Maraveyas A, Shinagare AB, Hatabu H, Nishino M, Huisman MV, Klok FA. Risk of recurrent venous thromboembolism and major hemorrhage in cancer-associated incidental pulmonary embolism among treated and untreated patients: a pooled analysis of 926 patients. </w:t>
      </w:r>
      <w:r w:rsidRPr="0037251D">
        <w:rPr>
          <w:rFonts w:ascii="Book Antiqua" w:eastAsia="Book Antiqua" w:hAnsi="Book Antiqua" w:cs="Book Antiqua"/>
          <w:i/>
          <w:iCs/>
          <w:color w:val="000000"/>
        </w:rPr>
        <w:t>J Thromb Haemost</w:t>
      </w:r>
      <w:r w:rsidRPr="0037251D">
        <w:rPr>
          <w:rFonts w:ascii="Book Antiqua" w:eastAsia="Book Antiqua" w:hAnsi="Book Antiqua" w:cs="Book Antiqua"/>
          <w:color w:val="000000"/>
        </w:rPr>
        <w:t xml:space="preserve"> 2016; </w:t>
      </w:r>
      <w:r w:rsidRPr="0037251D">
        <w:rPr>
          <w:rFonts w:ascii="Book Antiqua" w:eastAsia="Book Antiqua" w:hAnsi="Book Antiqua" w:cs="Book Antiqua"/>
          <w:b/>
          <w:bCs/>
          <w:color w:val="000000"/>
        </w:rPr>
        <w:t>14</w:t>
      </w:r>
      <w:r w:rsidRPr="0037251D">
        <w:rPr>
          <w:rFonts w:ascii="Book Antiqua" w:eastAsia="Book Antiqua" w:hAnsi="Book Antiqua" w:cs="Book Antiqua"/>
          <w:color w:val="000000"/>
        </w:rPr>
        <w:t>: 105-113 [PMID: 26469193 DOI: 10.1111/jth.13172]</w:t>
      </w:r>
    </w:p>
    <w:p w14:paraId="0A8D8FA7" w14:textId="77777777" w:rsidR="00A77B3E" w:rsidRPr="0037251D" w:rsidRDefault="008404AF">
      <w:pPr>
        <w:spacing w:line="360" w:lineRule="auto"/>
        <w:jc w:val="both"/>
      </w:pPr>
      <w:r w:rsidRPr="0037251D">
        <w:rPr>
          <w:rFonts w:ascii="Book Antiqua" w:eastAsia="Book Antiqua" w:hAnsi="Book Antiqua" w:cs="Book Antiqua"/>
          <w:color w:val="000000"/>
        </w:rPr>
        <w:t xml:space="preserve">77 </w:t>
      </w:r>
      <w:r w:rsidRPr="0037251D">
        <w:rPr>
          <w:rFonts w:ascii="Book Antiqua" w:eastAsia="Book Antiqua" w:hAnsi="Book Antiqua" w:cs="Book Antiqua"/>
          <w:b/>
          <w:bCs/>
          <w:color w:val="000000"/>
        </w:rPr>
        <w:t>Kraaijpoel N</w:t>
      </w:r>
      <w:r w:rsidRPr="0037251D">
        <w:rPr>
          <w:rFonts w:ascii="Book Antiqua" w:eastAsia="Book Antiqua" w:hAnsi="Book Antiqua" w:cs="Book Antiqua"/>
          <w:color w:val="000000"/>
        </w:rPr>
        <w:t xml:space="preserve">, Bleker SM, Meyer G, Mahé I, Muñoz A, Bertoletti L, Bartels-Rutten A, Beyer-Westendorf J, Porreca E, Boulon C, van Es N, Iosub DI, Couturaud F, Biosca M, Lerede T, Lacroix P, Maraveyas A, Aggarwal A, Girard P, Büller HR, Di Nisio M; UPE investigators. Treatment and Long-Term Clinical Outcomes of Incidental Pulmonary Embolism in Patients With Cancer: An International Prospective Cohort Study. </w:t>
      </w:r>
      <w:r w:rsidRPr="0037251D">
        <w:rPr>
          <w:rFonts w:ascii="Book Antiqua" w:eastAsia="Book Antiqua" w:hAnsi="Book Antiqua" w:cs="Book Antiqua"/>
          <w:i/>
          <w:iCs/>
          <w:color w:val="000000"/>
        </w:rPr>
        <w:t>J Clin Oncol</w:t>
      </w:r>
      <w:r w:rsidRPr="0037251D">
        <w:rPr>
          <w:rFonts w:ascii="Book Antiqua" w:eastAsia="Book Antiqua" w:hAnsi="Book Antiqua" w:cs="Book Antiqua"/>
          <w:color w:val="000000"/>
        </w:rPr>
        <w:t xml:space="preserve"> 2019; </w:t>
      </w:r>
      <w:r w:rsidRPr="0037251D">
        <w:rPr>
          <w:rFonts w:ascii="Book Antiqua" w:eastAsia="Book Antiqua" w:hAnsi="Book Antiqua" w:cs="Book Antiqua"/>
          <w:b/>
          <w:bCs/>
          <w:color w:val="000000"/>
        </w:rPr>
        <w:t>37</w:t>
      </w:r>
      <w:r w:rsidRPr="0037251D">
        <w:rPr>
          <w:rFonts w:ascii="Book Antiqua" w:eastAsia="Book Antiqua" w:hAnsi="Book Antiqua" w:cs="Book Antiqua"/>
          <w:color w:val="000000"/>
        </w:rPr>
        <w:t>: 1713-1720 [PMID: 31116676 DOI: 10.1200/JCO.18.01977]</w:t>
      </w:r>
    </w:p>
    <w:p w14:paraId="73CCAE6A" w14:textId="77777777" w:rsidR="00A77B3E" w:rsidRPr="0037251D" w:rsidRDefault="00A77B3E">
      <w:pPr>
        <w:spacing w:line="360" w:lineRule="auto"/>
        <w:jc w:val="both"/>
        <w:sectPr w:rsidR="00A77B3E" w:rsidRPr="0037251D">
          <w:pgSz w:w="12240" w:h="15840"/>
          <w:pgMar w:top="1440" w:right="1440" w:bottom="1440" w:left="1440" w:header="720" w:footer="720" w:gutter="0"/>
          <w:cols w:space="720"/>
          <w:docGrid w:linePitch="360"/>
        </w:sectPr>
      </w:pPr>
    </w:p>
    <w:p w14:paraId="0E4C13EB" w14:textId="77777777" w:rsidR="00A77B3E" w:rsidRPr="0037251D" w:rsidRDefault="008404AF">
      <w:pPr>
        <w:spacing w:line="360" w:lineRule="auto"/>
        <w:jc w:val="both"/>
      </w:pPr>
      <w:r w:rsidRPr="0037251D">
        <w:rPr>
          <w:rFonts w:ascii="Book Antiqua" w:eastAsia="Book Antiqua" w:hAnsi="Book Antiqua" w:cs="Book Antiqua"/>
          <w:b/>
          <w:color w:val="000000"/>
        </w:rPr>
        <w:lastRenderedPageBreak/>
        <w:t>Footnotes</w:t>
      </w:r>
    </w:p>
    <w:p w14:paraId="17A4D825" w14:textId="77777777" w:rsidR="00A77B3E" w:rsidRPr="0037251D" w:rsidRDefault="008404AF">
      <w:pPr>
        <w:spacing w:line="360" w:lineRule="auto"/>
        <w:jc w:val="both"/>
      </w:pPr>
      <w:r w:rsidRPr="0037251D">
        <w:rPr>
          <w:rFonts w:ascii="Book Antiqua" w:eastAsia="Book Antiqua" w:hAnsi="Book Antiqua" w:cs="Book Antiqua"/>
          <w:b/>
          <w:bCs/>
          <w:color w:val="000000"/>
          <w:szCs w:val="22"/>
        </w:rPr>
        <w:t xml:space="preserve">Conflict-of-interest statement: </w:t>
      </w:r>
      <w:r w:rsidRPr="0037251D">
        <w:rPr>
          <w:rFonts w:ascii="Book Antiqua" w:eastAsia="Book Antiqua" w:hAnsi="Book Antiqua" w:cs="Book Antiqua"/>
          <w:color w:val="000000"/>
          <w:szCs w:val="22"/>
        </w:rPr>
        <w:t>The author declare she has no conflict of interest relevant to the content of this paper to disclose.</w:t>
      </w:r>
    </w:p>
    <w:p w14:paraId="2A04B8A4" w14:textId="77777777" w:rsidR="00A77B3E" w:rsidRPr="0037251D" w:rsidRDefault="00A77B3E">
      <w:pPr>
        <w:spacing w:line="360" w:lineRule="auto"/>
        <w:jc w:val="both"/>
      </w:pPr>
    </w:p>
    <w:p w14:paraId="122C4412" w14:textId="77777777" w:rsidR="00A77B3E" w:rsidRPr="0037251D" w:rsidRDefault="008404AF">
      <w:pPr>
        <w:spacing w:line="360" w:lineRule="auto"/>
        <w:jc w:val="both"/>
      </w:pPr>
      <w:r w:rsidRPr="0037251D">
        <w:rPr>
          <w:rFonts w:ascii="Book Antiqua" w:eastAsia="Book Antiqua" w:hAnsi="Book Antiqua" w:cs="Book Antiqua"/>
          <w:b/>
          <w:bCs/>
          <w:color w:val="000000"/>
        </w:rPr>
        <w:t xml:space="preserve">Open-Access: </w:t>
      </w:r>
      <w:r w:rsidRPr="0037251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3C2DDF" w14:textId="77777777" w:rsidR="00A77B3E" w:rsidRPr="0037251D" w:rsidRDefault="00A77B3E">
      <w:pPr>
        <w:spacing w:line="360" w:lineRule="auto"/>
        <w:jc w:val="both"/>
      </w:pPr>
    </w:p>
    <w:p w14:paraId="6AB89ADA" w14:textId="07CEE7A2" w:rsidR="00A77B3E" w:rsidRPr="0037251D" w:rsidRDefault="008404AF">
      <w:pPr>
        <w:spacing w:line="360" w:lineRule="auto"/>
        <w:jc w:val="both"/>
      </w:pPr>
      <w:r w:rsidRPr="0037251D">
        <w:rPr>
          <w:rFonts w:ascii="Book Antiqua" w:eastAsia="Book Antiqua" w:hAnsi="Book Antiqua" w:cs="Book Antiqua"/>
          <w:b/>
          <w:color w:val="000000"/>
        </w:rPr>
        <w:t xml:space="preserve">Manuscript source: </w:t>
      </w:r>
      <w:r w:rsidRPr="0037251D">
        <w:rPr>
          <w:rFonts w:ascii="Book Antiqua" w:eastAsia="Book Antiqua" w:hAnsi="Book Antiqua" w:cs="Book Antiqua"/>
          <w:color w:val="000000"/>
        </w:rPr>
        <w:t xml:space="preserve">Invited </w:t>
      </w:r>
      <w:r w:rsidR="00796C40" w:rsidRPr="0037251D">
        <w:rPr>
          <w:rFonts w:ascii="Book Antiqua" w:eastAsia="Book Antiqua" w:hAnsi="Book Antiqua" w:cs="Book Antiqua"/>
          <w:color w:val="000000"/>
        </w:rPr>
        <w:t>ma</w:t>
      </w:r>
      <w:r w:rsidRPr="0037251D">
        <w:rPr>
          <w:rFonts w:ascii="Book Antiqua" w:eastAsia="Book Antiqua" w:hAnsi="Book Antiqua" w:cs="Book Antiqua"/>
          <w:color w:val="000000"/>
        </w:rPr>
        <w:t>nuscript</w:t>
      </w:r>
    </w:p>
    <w:p w14:paraId="47198B0A" w14:textId="77777777" w:rsidR="00A77B3E" w:rsidRPr="0037251D" w:rsidRDefault="00A77B3E">
      <w:pPr>
        <w:spacing w:line="360" w:lineRule="auto"/>
        <w:jc w:val="both"/>
      </w:pPr>
    </w:p>
    <w:p w14:paraId="39F7E369" w14:textId="77777777" w:rsidR="00A77B3E" w:rsidRPr="0037251D" w:rsidRDefault="008404AF">
      <w:pPr>
        <w:spacing w:line="360" w:lineRule="auto"/>
        <w:jc w:val="both"/>
      </w:pPr>
      <w:r w:rsidRPr="0037251D">
        <w:rPr>
          <w:rFonts w:ascii="Book Antiqua" w:eastAsia="Book Antiqua" w:hAnsi="Book Antiqua" w:cs="Book Antiqua"/>
          <w:b/>
          <w:color w:val="000000"/>
        </w:rPr>
        <w:t xml:space="preserve">Peer-review started: </w:t>
      </w:r>
      <w:r w:rsidRPr="0037251D">
        <w:rPr>
          <w:rFonts w:ascii="Book Antiqua" w:eastAsia="Book Antiqua" w:hAnsi="Book Antiqua" w:cs="Book Antiqua"/>
          <w:color w:val="000000"/>
        </w:rPr>
        <w:t>January 24, 2021</w:t>
      </w:r>
    </w:p>
    <w:p w14:paraId="75DC18BF" w14:textId="77777777" w:rsidR="00A77B3E" w:rsidRPr="0037251D" w:rsidRDefault="008404AF">
      <w:pPr>
        <w:spacing w:line="360" w:lineRule="auto"/>
        <w:jc w:val="both"/>
      </w:pPr>
      <w:r w:rsidRPr="0037251D">
        <w:rPr>
          <w:rFonts w:ascii="Book Antiqua" w:eastAsia="Book Antiqua" w:hAnsi="Book Antiqua" w:cs="Book Antiqua"/>
          <w:b/>
          <w:color w:val="000000"/>
        </w:rPr>
        <w:t xml:space="preserve">First decision: </w:t>
      </w:r>
      <w:r w:rsidRPr="0037251D">
        <w:rPr>
          <w:rFonts w:ascii="Book Antiqua" w:eastAsia="Book Antiqua" w:hAnsi="Book Antiqua" w:cs="Book Antiqua"/>
          <w:color w:val="000000"/>
        </w:rPr>
        <w:t>February 22, 2021</w:t>
      </w:r>
    </w:p>
    <w:p w14:paraId="17AE3CEB" w14:textId="15C7AB36" w:rsidR="00A77B3E" w:rsidRPr="0037251D" w:rsidRDefault="008404AF">
      <w:pPr>
        <w:spacing w:line="360" w:lineRule="auto"/>
        <w:jc w:val="both"/>
      </w:pPr>
      <w:r w:rsidRPr="0037251D">
        <w:rPr>
          <w:rFonts w:ascii="Book Antiqua" w:eastAsia="Book Antiqua" w:hAnsi="Book Antiqua" w:cs="Book Antiqua"/>
          <w:b/>
          <w:color w:val="000000"/>
        </w:rPr>
        <w:t xml:space="preserve">Article in press: </w:t>
      </w:r>
      <w:r w:rsidR="00DA4D49" w:rsidRPr="0037251D">
        <w:rPr>
          <w:rFonts w:ascii="Book Antiqua" w:eastAsia="Book Antiqua" w:hAnsi="Book Antiqua" w:cs="Book Antiqua"/>
          <w:bCs/>
          <w:color w:val="000000"/>
        </w:rPr>
        <w:t>April 22, 2021</w:t>
      </w:r>
    </w:p>
    <w:p w14:paraId="1263BBA5" w14:textId="77777777" w:rsidR="00A77B3E" w:rsidRPr="0037251D" w:rsidRDefault="00A77B3E">
      <w:pPr>
        <w:spacing w:line="360" w:lineRule="auto"/>
        <w:jc w:val="both"/>
      </w:pPr>
    </w:p>
    <w:p w14:paraId="17226C3B" w14:textId="2D5B1371" w:rsidR="00A77B3E" w:rsidRPr="0037251D" w:rsidRDefault="008404AF">
      <w:pPr>
        <w:spacing w:line="360" w:lineRule="auto"/>
        <w:jc w:val="both"/>
      </w:pPr>
      <w:r w:rsidRPr="0037251D">
        <w:rPr>
          <w:rFonts w:ascii="Book Antiqua" w:eastAsia="Book Antiqua" w:hAnsi="Book Antiqua" w:cs="Book Antiqua"/>
          <w:b/>
          <w:color w:val="000000"/>
        </w:rPr>
        <w:t xml:space="preserve">Specialty type: </w:t>
      </w:r>
      <w:r w:rsidRPr="0037251D">
        <w:rPr>
          <w:rFonts w:ascii="Book Antiqua" w:eastAsia="Book Antiqua" w:hAnsi="Book Antiqua" w:cs="Book Antiqua"/>
          <w:color w:val="000000"/>
        </w:rPr>
        <w:t>Gastroenterology and</w:t>
      </w:r>
      <w:r w:rsidR="00796C40" w:rsidRPr="0037251D">
        <w:rPr>
          <w:rFonts w:ascii="Book Antiqua" w:eastAsia="Book Antiqua" w:hAnsi="Book Antiqua" w:cs="Book Antiqua"/>
          <w:color w:val="000000"/>
        </w:rPr>
        <w:t xml:space="preserve"> he</w:t>
      </w:r>
      <w:r w:rsidRPr="0037251D">
        <w:rPr>
          <w:rFonts w:ascii="Book Antiqua" w:eastAsia="Book Antiqua" w:hAnsi="Book Antiqua" w:cs="Book Antiqua"/>
          <w:color w:val="000000"/>
        </w:rPr>
        <w:t>patology</w:t>
      </w:r>
    </w:p>
    <w:p w14:paraId="1E9ECB42" w14:textId="77777777" w:rsidR="00A77B3E" w:rsidRPr="0037251D" w:rsidRDefault="008404AF">
      <w:pPr>
        <w:spacing w:line="360" w:lineRule="auto"/>
        <w:jc w:val="both"/>
      </w:pPr>
      <w:r w:rsidRPr="0037251D">
        <w:rPr>
          <w:rFonts w:ascii="Book Antiqua" w:eastAsia="Book Antiqua" w:hAnsi="Book Antiqua" w:cs="Book Antiqua"/>
          <w:b/>
          <w:color w:val="000000"/>
        </w:rPr>
        <w:t xml:space="preserve">Country/Territory of origin: </w:t>
      </w:r>
      <w:r w:rsidRPr="0037251D">
        <w:rPr>
          <w:rFonts w:ascii="Book Antiqua" w:eastAsia="Book Antiqua" w:hAnsi="Book Antiqua" w:cs="Book Antiqua"/>
          <w:color w:val="000000"/>
        </w:rPr>
        <w:t>France</w:t>
      </w:r>
    </w:p>
    <w:p w14:paraId="4CE862D1" w14:textId="77777777" w:rsidR="00A77B3E" w:rsidRPr="0037251D" w:rsidRDefault="008404AF">
      <w:pPr>
        <w:spacing w:line="360" w:lineRule="auto"/>
        <w:jc w:val="both"/>
      </w:pPr>
      <w:r w:rsidRPr="0037251D">
        <w:rPr>
          <w:rFonts w:ascii="Book Antiqua" w:eastAsia="Book Antiqua" w:hAnsi="Book Antiqua" w:cs="Book Antiqua"/>
          <w:b/>
          <w:color w:val="000000"/>
        </w:rPr>
        <w:t>Peer-review report’s scientific quality classification</w:t>
      </w:r>
    </w:p>
    <w:p w14:paraId="0A23BC7A" w14:textId="77777777" w:rsidR="00A77B3E" w:rsidRPr="0037251D" w:rsidRDefault="008404AF">
      <w:pPr>
        <w:spacing w:line="360" w:lineRule="auto"/>
        <w:jc w:val="both"/>
      </w:pPr>
      <w:r w:rsidRPr="0037251D">
        <w:rPr>
          <w:rFonts w:ascii="Book Antiqua" w:eastAsia="Book Antiqua" w:hAnsi="Book Antiqua" w:cs="Book Antiqua"/>
          <w:color w:val="000000"/>
        </w:rPr>
        <w:t>Grade A (Excellent): A</w:t>
      </w:r>
    </w:p>
    <w:p w14:paraId="180251EA" w14:textId="6B618C5E" w:rsidR="00A77B3E" w:rsidRPr="0037251D" w:rsidRDefault="008404AF">
      <w:pPr>
        <w:spacing w:line="360" w:lineRule="auto"/>
        <w:jc w:val="both"/>
      </w:pPr>
      <w:r w:rsidRPr="0037251D">
        <w:rPr>
          <w:rFonts w:ascii="Book Antiqua" w:eastAsia="Book Antiqua" w:hAnsi="Book Antiqua" w:cs="Book Antiqua"/>
          <w:color w:val="000000"/>
        </w:rPr>
        <w:t>Grade B (Very good): B, B, B, B, B, B</w:t>
      </w:r>
      <w:r w:rsidR="00796C40" w:rsidRPr="0037251D">
        <w:rPr>
          <w:rFonts w:ascii="Book Antiqua" w:eastAsia="Book Antiqua" w:hAnsi="Book Antiqua" w:cs="Book Antiqua"/>
          <w:color w:val="000000"/>
        </w:rPr>
        <w:t>, B</w:t>
      </w:r>
    </w:p>
    <w:p w14:paraId="2C0D3D53" w14:textId="77777777" w:rsidR="00A77B3E" w:rsidRPr="0037251D" w:rsidRDefault="008404AF">
      <w:pPr>
        <w:spacing w:line="360" w:lineRule="auto"/>
        <w:jc w:val="both"/>
      </w:pPr>
      <w:r w:rsidRPr="0037251D">
        <w:rPr>
          <w:rFonts w:ascii="Book Antiqua" w:eastAsia="Book Antiqua" w:hAnsi="Book Antiqua" w:cs="Book Antiqua"/>
          <w:color w:val="000000"/>
        </w:rPr>
        <w:t>Grade C (Good): 0</w:t>
      </w:r>
    </w:p>
    <w:p w14:paraId="12F65F4A" w14:textId="77777777" w:rsidR="00A77B3E" w:rsidRPr="0037251D" w:rsidRDefault="008404AF">
      <w:pPr>
        <w:spacing w:line="360" w:lineRule="auto"/>
        <w:jc w:val="both"/>
      </w:pPr>
      <w:r w:rsidRPr="0037251D">
        <w:rPr>
          <w:rFonts w:ascii="Book Antiqua" w:eastAsia="Book Antiqua" w:hAnsi="Book Antiqua" w:cs="Book Antiqua"/>
          <w:color w:val="000000"/>
        </w:rPr>
        <w:t>Grade D (Fair): 0</w:t>
      </w:r>
    </w:p>
    <w:p w14:paraId="10B24DF6" w14:textId="77777777" w:rsidR="00A77B3E" w:rsidRPr="0037251D" w:rsidRDefault="008404AF">
      <w:pPr>
        <w:spacing w:line="360" w:lineRule="auto"/>
        <w:jc w:val="both"/>
      </w:pPr>
      <w:r w:rsidRPr="0037251D">
        <w:rPr>
          <w:rFonts w:ascii="Book Antiqua" w:eastAsia="Book Antiqua" w:hAnsi="Book Antiqua" w:cs="Book Antiqua"/>
          <w:color w:val="000000"/>
        </w:rPr>
        <w:t>Grade E (Poor): 0</w:t>
      </w:r>
    </w:p>
    <w:p w14:paraId="23659310" w14:textId="77777777" w:rsidR="00A77B3E" w:rsidRPr="0037251D" w:rsidRDefault="00A77B3E">
      <w:pPr>
        <w:spacing w:line="360" w:lineRule="auto"/>
        <w:jc w:val="both"/>
      </w:pPr>
    </w:p>
    <w:p w14:paraId="0AC7853D" w14:textId="582CD0F8" w:rsidR="00A77B3E" w:rsidRPr="0037251D" w:rsidRDefault="008404AF">
      <w:pPr>
        <w:spacing w:line="360" w:lineRule="auto"/>
        <w:jc w:val="both"/>
        <w:rPr>
          <w:rFonts w:ascii="Book Antiqua" w:hAnsi="Book Antiqua" w:cs="Book Antiqua"/>
          <w:b/>
          <w:color w:val="000000"/>
          <w:lang w:eastAsia="zh-CN"/>
        </w:rPr>
      </w:pPr>
      <w:r w:rsidRPr="0037251D">
        <w:rPr>
          <w:rFonts w:ascii="Book Antiqua" w:eastAsia="Book Antiqua" w:hAnsi="Book Antiqua" w:cs="Book Antiqua"/>
          <w:b/>
          <w:color w:val="000000"/>
        </w:rPr>
        <w:t xml:space="preserve">P-Reviewer: </w:t>
      </w:r>
      <w:r w:rsidRPr="0037251D">
        <w:rPr>
          <w:rFonts w:ascii="Book Antiqua" w:eastAsia="Book Antiqua" w:hAnsi="Book Antiqua" w:cs="Book Antiqua"/>
          <w:color w:val="000000"/>
        </w:rPr>
        <w:t>Li CG, Nari GA, Oria I, Roselli M, Tran B, Yang F</w:t>
      </w:r>
      <w:r w:rsidRPr="0037251D">
        <w:rPr>
          <w:rFonts w:ascii="Book Antiqua" w:eastAsia="Book Antiqua" w:hAnsi="Book Antiqua" w:cs="Book Antiqua"/>
          <w:b/>
          <w:color w:val="000000"/>
        </w:rPr>
        <w:t xml:space="preserve"> S-Editor: </w:t>
      </w:r>
      <w:r w:rsidRPr="0037251D">
        <w:rPr>
          <w:rFonts w:ascii="Book Antiqua" w:eastAsia="Book Antiqua" w:hAnsi="Book Antiqua" w:cs="Book Antiqua"/>
          <w:color w:val="000000"/>
        </w:rPr>
        <w:t>Gao CC</w:t>
      </w:r>
      <w:r w:rsidRPr="0037251D">
        <w:rPr>
          <w:rFonts w:ascii="Book Antiqua" w:eastAsia="Book Antiqua" w:hAnsi="Book Antiqua" w:cs="Book Antiqua"/>
          <w:b/>
          <w:color w:val="000000"/>
        </w:rPr>
        <w:t xml:space="preserve"> L-Editor: </w:t>
      </w:r>
      <w:r w:rsidR="00D414D9" w:rsidRPr="0037251D">
        <w:rPr>
          <w:rFonts w:ascii="Book Antiqua" w:hAnsi="Book Antiqua" w:cs="Book Antiqua" w:hint="eastAsia"/>
          <w:color w:val="000000"/>
          <w:lang w:eastAsia="zh-CN"/>
        </w:rPr>
        <w:t>A</w:t>
      </w:r>
      <w:r w:rsidRPr="0037251D">
        <w:rPr>
          <w:rFonts w:ascii="Book Antiqua" w:eastAsia="Book Antiqua" w:hAnsi="Book Antiqua" w:cs="Book Antiqua"/>
          <w:color w:val="000000"/>
        </w:rPr>
        <w:t xml:space="preserve"> </w:t>
      </w:r>
      <w:r w:rsidRPr="0037251D">
        <w:rPr>
          <w:rFonts w:ascii="Book Antiqua" w:eastAsia="Book Antiqua" w:hAnsi="Book Antiqua" w:cs="Book Antiqua"/>
          <w:b/>
          <w:color w:val="000000"/>
        </w:rPr>
        <w:t xml:space="preserve">P-Editor: </w:t>
      </w:r>
      <w:r w:rsidR="00D414D9" w:rsidRPr="0037251D">
        <w:rPr>
          <w:rFonts w:ascii="Book Antiqua" w:hAnsi="Book Antiqua" w:cs="Book Antiqua" w:hint="eastAsia"/>
          <w:color w:val="000000"/>
          <w:lang w:eastAsia="zh-CN"/>
        </w:rPr>
        <w:t>Ma YJ</w:t>
      </w:r>
    </w:p>
    <w:p w14:paraId="653660D5" w14:textId="77777777" w:rsidR="00CA7D8A" w:rsidRPr="0037251D" w:rsidRDefault="00CA7D8A">
      <w:pPr>
        <w:spacing w:line="360" w:lineRule="auto"/>
        <w:jc w:val="both"/>
        <w:sectPr w:rsidR="00CA7D8A" w:rsidRPr="0037251D">
          <w:pgSz w:w="12240" w:h="15840"/>
          <w:pgMar w:top="1440" w:right="1440" w:bottom="1440" w:left="1440" w:header="720" w:footer="720" w:gutter="0"/>
          <w:cols w:space="720"/>
          <w:docGrid w:linePitch="360"/>
        </w:sectPr>
      </w:pPr>
    </w:p>
    <w:p w14:paraId="234F2005" w14:textId="2E42933A" w:rsidR="00A77B3E" w:rsidRPr="0037251D" w:rsidRDefault="008404AF">
      <w:pPr>
        <w:spacing w:line="360" w:lineRule="auto"/>
        <w:jc w:val="both"/>
        <w:rPr>
          <w:rFonts w:ascii="Book Antiqua" w:eastAsia="Book Antiqua" w:hAnsi="Book Antiqua" w:cs="Book Antiqua"/>
          <w:b/>
          <w:color w:val="000000"/>
        </w:rPr>
      </w:pPr>
      <w:r w:rsidRPr="0037251D">
        <w:rPr>
          <w:rFonts w:ascii="Book Antiqua" w:eastAsia="Book Antiqua" w:hAnsi="Book Antiqua" w:cs="Book Antiqua"/>
          <w:b/>
          <w:color w:val="000000"/>
        </w:rPr>
        <w:lastRenderedPageBreak/>
        <w:t>Figure Legends</w:t>
      </w:r>
    </w:p>
    <w:p w14:paraId="4B16EB3E" w14:textId="5A24C50D" w:rsidR="00806CFD" w:rsidRPr="0037251D" w:rsidRDefault="008404AF">
      <w:pPr>
        <w:spacing w:line="360" w:lineRule="auto"/>
        <w:jc w:val="both"/>
      </w:pPr>
      <w:r w:rsidRPr="0037251D">
        <w:rPr>
          <w:noProof/>
          <w:lang w:eastAsia="zh-CN"/>
        </w:rPr>
        <w:drawing>
          <wp:inline distT="0" distB="0" distL="0" distR="0" wp14:anchorId="4FA8759D" wp14:editId="6D0E0AE3">
            <wp:extent cx="4668648" cy="66164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281" cy="6627279"/>
                    </a:xfrm>
                    <a:prstGeom prst="rect">
                      <a:avLst/>
                    </a:prstGeom>
                  </pic:spPr>
                </pic:pic>
              </a:graphicData>
            </a:graphic>
          </wp:inline>
        </w:drawing>
      </w:r>
    </w:p>
    <w:p w14:paraId="4E471E89" w14:textId="7E5885F1" w:rsidR="008404AF" w:rsidRPr="0037251D" w:rsidRDefault="008404AF">
      <w:pPr>
        <w:spacing w:line="360" w:lineRule="auto"/>
        <w:jc w:val="both"/>
        <w:rPr>
          <w:rFonts w:ascii="Book Antiqua" w:eastAsia="Book Antiqua" w:hAnsi="Book Antiqua" w:cs="Book Antiqua"/>
          <w:color w:val="000000"/>
        </w:rPr>
      </w:pPr>
      <w:r w:rsidRPr="0037251D">
        <w:rPr>
          <w:rFonts w:ascii="Book Antiqua" w:eastAsia="Book Antiqua" w:hAnsi="Book Antiqua" w:cs="Book Antiqua"/>
          <w:b/>
          <w:bCs/>
          <w:color w:val="000000"/>
          <w:szCs w:val="22"/>
        </w:rPr>
        <w:t>Figure 1</w:t>
      </w:r>
      <w:r w:rsidR="00806CFD" w:rsidRPr="0037251D">
        <w:rPr>
          <w:rFonts w:ascii="Book Antiqua" w:eastAsia="Book Antiqua" w:hAnsi="Book Antiqua" w:cs="Book Antiqua"/>
          <w:b/>
          <w:bCs/>
          <w:color w:val="000000"/>
          <w:szCs w:val="22"/>
        </w:rPr>
        <w:t xml:space="preserve"> </w:t>
      </w:r>
      <w:r w:rsidRPr="0037251D">
        <w:rPr>
          <w:rFonts w:ascii="Book Antiqua" w:eastAsia="Book Antiqua" w:hAnsi="Book Antiqua" w:cs="Book Antiqua"/>
          <w:b/>
          <w:bCs/>
          <w:color w:val="000000"/>
          <w:szCs w:val="22"/>
        </w:rPr>
        <w:t>Four step adapted approach for the treatment of cancer-associated venous thromboembolism.</w:t>
      </w:r>
      <w:r w:rsidRPr="0037251D">
        <w:rPr>
          <w:rFonts w:ascii="Book Antiqua" w:eastAsia="Book Antiqua" w:hAnsi="Book Antiqua" w:cs="Book Antiqua"/>
          <w:color w:val="000000"/>
          <w:szCs w:val="22"/>
        </w:rPr>
        <w:t xml:space="preserve"> </w:t>
      </w:r>
      <w:r w:rsidR="00806CFD" w:rsidRPr="0037251D">
        <w:rPr>
          <w:rFonts w:ascii="Book Antiqua" w:hAnsi="Book Antiqua" w:cs="Book Antiqua" w:hint="eastAsia"/>
          <w:color w:val="000000"/>
          <w:szCs w:val="22"/>
          <w:lang w:eastAsia="zh-CN"/>
        </w:rPr>
        <w:t>D</w:t>
      </w:r>
      <w:r w:rsidR="00806CFD" w:rsidRPr="0037251D">
        <w:rPr>
          <w:rFonts w:ascii="Book Antiqua" w:hAnsi="Book Antiqua" w:cs="Book Antiqua"/>
          <w:color w:val="000000"/>
          <w:szCs w:val="22"/>
          <w:lang w:eastAsia="zh-CN"/>
        </w:rPr>
        <w:t xml:space="preserve">OACs: </w:t>
      </w:r>
      <w:r w:rsidR="00806CFD" w:rsidRPr="0037251D">
        <w:rPr>
          <w:rFonts w:ascii="Book Antiqua" w:eastAsia="Book Antiqua" w:hAnsi="Book Antiqua" w:cs="Book Antiqua"/>
          <w:color w:val="000000"/>
        </w:rPr>
        <w:t>Direct oral anticoagulants; UFH: Unfractionated heparin; LMWH: Low-molecular-weight heparin; CYP3A4: Cytochrome P450 3A4.</w:t>
      </w:r>
    </w:p>
    <w:p w14:paraId="310A3849" w14:textId="701E1CE3" w:rsidR="008404AF" w:rsidRPr="0037251D" w:rsidRDefault="008404AF">
      <w:pPr>
        <w:spacing w:line="360" w:lineRule="auto"/>
        <w:jc w:val="both"/>
        <w:rPr>
          <w:rFonts w:ascii="Book Antiqua" w:eastAsia="Book Antiqua" w:hAnsi="Book Antiqua" w:cs="Book Antiqua"/>
          <w:color w:val="000000"/>
        </w:rPr>
        <w:sectPr w:rsidR="008404AF" w:rsidRPr="0037251D">
          <w:pgSz w:w="12240" w:h="15840"/>
          <w:pgMar w:top="1440" w:right="1440" w:bottom="1440" w:left="1440" w:header="720" w:footer="720" w:gutter="0"/>
          <w:cols w:space="720"/>
          <w:docGrid w:linePitch="360"/>
        </w:sectPr>
      </w:pPr>
    </w:p>
    <w:p w14:paraId="13773329" w14:textId="238EBDE2" w:rsidR="00806CFD" w:rsidRPr="0037251D" w:rsidRDefault="008404AF">
      <w:pPr>
        <w:spacing w:line="360" w:lineRule="auto"/>
        <w:jc w:val="both"/>
        <w:rPr>
          <w:rFonts w:ascii="Book Antiqua" w:hAnsi="Book Antiqua"/>
          <w:b/>
          <w:bCs/>
          <w:lang w:eastAsia="zh-CN"/>
        </w:rPr>
      </w:pPr>
      <w:r w:rsidRPr="0037251D">
        <w:rPr>
          <w:rFonts w:ascii="Book Antiqua" w:hAnsi="Book Antiqua"/>
          <w:b/>
          <w:bCs/>
          <w:lang w:eastAsia="zh-CN"/>
        </w:rPr>
        <w:lastRenderedPageBreak/>
        <w:t>Table 1 Studies assessing the predictive values of risk assessment models in pancreatic cancer patients</w:t>
      </w:r>
    </w:p>
    <w:tbl>
      <w:tblPr>
        <w:tblW w:w="5000" w:type="pct"/>
        <w:tblLayout w:type="fixed"/>
        <w:tblLook w:val="04A0" w:firstRow="1" w:lastRow="0" w:firstColumn="1" w:lastColumn="0" w:noHBand="0" w:noVBand="1"/>
      </w:tblPr>
      <w:tblGrid>
        <w:gridCol w:w="765"/>
        <w:gridCol w:w="814"/>
        <w:gridCol w:w="749"/>
        <w:gridCol w:w="985"/>
        <w:gridCol w:w="690"/>
        <w:gridCol w:w="596"/>
        <w:gridCol w:w="1307"/>
        <w:gridCol w:w="690"/>
        <w:gridCol w:w="1580"/>
        <w:gridCol w:w="1400"/>
      </w:tblGrid>
      <w:tr w:rsidR="008404AF" w:rsidRPr="0037251D" w14:paraId="11EB9108" w14:textId="77777777" w:rsidTr="000B5AAD">
        <w:tc>
          <w:tcPr>
            <w:tcW w:w="1027" w:type="dxa"/>
            <w:tcBorders>
              <w:top w:val="single" w:sz="4" w:space="0" w:color="auto"/>
              <w:bottom w:val="single" w:sz="4" w:space="0" w:color="auto"/>
            </w:tcBorders>
            <w:shd w:val="clear" w:color="auto" w:fill="auto"/>
          </w:tcPr>
          <w:p w14:paraId="0E49AA96" w14:textId="75D5CABB" w:rsidR="008404AF" w:rsidRPr="0037251D" w:rsidRDefault="008404AF" w:rsidP="008404AF">
            <w:pPr>
              <w:spacing w:line="360" w:lineRule="auto"/>
              <w:jc w:val="both"/>
              <w:rPr>
                <w:rFonts w:ascii="Book Antiqua" w:eastAsia="Times New Roman" w:hAnsi="Book Antiqua"/>
                <w:b/>
                <w:bCs/>
                <w:color w:val="000000"/>
                <w:lang w:eastAsia="de-DE"/>
              </w:rPr>
            </w:pPr>
            <w:r w:rsidRPr="0037251D">
              <w:rPr>
                <w:rFonts w:ascii="Book Antiqua" w:eastAsia="Times New Roman" w:hAnsi="Book Antiqua"/>
                <w:b/>
                <w:bCs/>
                <w:color w:val="000000"/>
                <w:lang w:eastAsia="de-DE"/>
              </w:rPr>
              <w:t>Ref.</w:t>
            </w:r>
          </w:p>
        </w:tc>
        <w:tc>
          <w:tcPr>
            <w:tcW w:w="1103" w:type="dxa"/>
            <w:tcBorders>
              <w:top w:val="single" w:sz="4" w:space="0" w:color="auto"/>
              <w:bottom w:val="single" w:sz="4" w:space="0" w:color="auto"/>
            </w:tcBorders>
            <w:shd w:val="clear" w:color="auto" w:fill="auto"/>
          </w:tcPr>
          <w:p w14:paraId="3B21F716" w14:textId="77777777" w:rsidR="008404AF" w:rsidRPr="0037251D" w:rsidRDefault="008404AF" w:rsidP="008404AF">
            <w:pPr>
              <w:spacing w:line="360" w:lineRule="auto"/>
              <w:jc w:val="both"/>
              <w:rPr>
                <w:rFonts w:ascii="Book Antiqua" w:eastAsia="Times New Roman" w:hAnsi="Book Antiqua"/>
                <w:b/>
                <w:bCs/>
                <w:color w:val="000000"/>
                <w:lang w:eastAsia="de-DE"/>
              </w:rPr>
            </w:pPr>
            <w:r w:rsidRPr="0037251D">
              <w:rPr>
                <w:rFonts w:ascii="Book Antiqua" w:eastAsia="Times New Roman" w:hAnsi="Book Antiqua"/>
                <w:b/>
                <w:bCs/>
                <w:color w:val="000000"/>
                <w:lang w:eastAsia="de-DE"/>
              </w:rPr>
              <w:t>Study design</w:t>
            </w:r>
          </w:p>
        </w:tc>
        <w:tc>
          <w:tcPr>
            <w:tcW w:w="1005" w:type="dxa"/>
            <w:tcBorders>
              <w:top w:val="single" w:sz="4" w:space="0" w:color="auto"/>
              <w:bottom w:val="single" w:sz="4" w:space="0" w:color="auto"/>
            </w:tcBorders>
          </w:tcPr>
          <w:p w14:paraId="2110E27B" w14:textId="77777777" w:rsidR="008404AF" w:rsidRPr="0037251D" w:rsidRDefault="008404AF" w:rsidP="008404AF">
            <w:pPr>
              <w:spacing w:line="360" w:lineRule="auto"/>
              <w:jc w:val="both"/>
              <w:rPr>
                <w:rFonts w:ascii="Book Antiqua" w:eastAsia="Times New Roman" w:hAnsi="Book Antiqua"/>
                <w:b/>
                <w:bCs/>
                <w:color w:val="000000"/>
                <w:lang w:eastAsia="de-DE"/>
              </w:rPr>
            </w:pPr>
            <w:r w:rsidRPr="0037251D">
              <w:rPr>
                <w:rFonts w:ascii="Book Antiqua" w:eastAsia="Times New Roman" w:hAnsi="Book Antiqua"/>
                <w:b/>
                <w:bCs/>
                <w:color w:val="000000"/>
                <w:lang w:eastAsia="de-DE"/>
              </w:rPr>
              <w:t>Country</w:t>
            </w:r>
          </w:p>
        </w:tc>
        <w:tc>
          <w:tcPr>
            <w:tcW w:w="1359" w:type="dxa"/>
            <w:tcBorders>
              <w:top w:val="single" w:sz="4" w:space="0" w:color="auto"/>
              <w:bottom w:val="single" w:sz="4" w:space="0" w:color="auto"/>
            </w:tcBorders>
          </w:tcPr>
          <w:p w14:paraId="1FCD5A35" w14:textId="77777777" w:rsidR="008404AF" w:rsidRPr="0037251D" w:rsidRDefault="008404AF" w:rsidP="008404AF">
            <w:pPr>
              <w:spacing w:line="360" w:lineRule="auto"/>
              <w:jc w:val="both"/>
              <w:rPr>
                <w:rFonts w:ascii="Book Antiqua" w:eastAsia="Times New Roman" w:hAnsi="Book Antiqua"/>
                <w:b/>
                <w:bCs/>
                <w:color w:val="000000"/>
                <w:lang w:eastAsia="de-DE"/>
              </w:rPr>
            </w:pPr>
            <w:r w:rsidRPr="0037251D">
              <w:rPr>
                <w:rFonts w:ascii="Book Antiqua" w:eastAsia="Times New Roman" w:hAnsi="Book Antiqua"/>
                <w:b/>
                <w:bCs/>
                <w:color w:val="000000"/>
                <w:lang w:eastAsia="de-DE"/>
              </w:rPr>
              <w:t>Patients analyzed/included</w:t>
            </w:r>
          </w:p>
        </w:tc>
        <w:tc>
          <w:tcPr>
            <w:tcW w:w="917" w:type="dxa"/>
            <w:tcBorders>
              <w:top w:val="single" w:sz="4" w:space="0" w:color="auto"/>
              <w:bottom w:val="single" w:sz="4" w:space="0" w:color="auto"/>
            </w:tcBorders>
          </w:tcPr>
          <w:p w14:paraId="240A6EB5" w14:textId="77777777" w:rsidR="008404AF" w:rsidRPr="0037251D" w:rsidRDefault="008404AF" w:rsidP="008404AF">
            <w:pPr>
              <w:spacing w:line="360" w:lineRule="auto"/>
              <w:jc w:val="both"/>
              <w:rPr>
                <w:rFonts w:ascii="Book Antiqua" w:eastAsia="Times New Roman" w:hAnsi="Book Antiqua"/>
                <w:b/>
                <w:bCs/>
                <w:color w:val="000000"/>
                <w:lang w:eastAsia="de-DE"/>
              </w:rPr>
            </w:pPr>
            <w:r w:rsidRPr="0037251D">
              <w:rPr>
                <w:rFonts w:ascii="Book Antiqua" w:eastAsia="Times New Roman" w:hAnsi="Book Antiqua"/>
                <w:b/>
                <w:bCs/>
                <w:color w:val="000000"/>
                <w:lang w:eastAsia="de-DE"/>
              </w:rPr>
              <w:t>VTE screening at study entry</w:t>
            </w:r>
          </w:p>
        </w:tc>
        <w:tc>
          <w:tcPr>
            <w:tcW w:w="775" w:type="dxa"/>
            <w:tcBorders>
              <w:top w:val="single" w:sz="4" w:space="0" w:color="auto"/>
              <w:bottom w:val="single" w:sz="4" w:space="0" w:color="auto"/>
            </w:tcBorders>
            <w:shd w:val="clear" w:color="auto" w:fill="auto"/>
          </w:tcPr>
          <w:p w14:paraId="3F45EC39" w14:textId="77777777" w:rsidR="008404AF" w:rsidRPr="0037251D" w:rsidRDefault="008404AF" w:rsidP="008404AF">
            <w:pPr>
              <w:spacing w:line="360" w:lineRule="auto"/>
              <w:jc w:val="both"/>
              <w:rPr>
                <w:rFonts w:ascii="Book Antiqua" w:eastAsia="Times New Roman" w:hAnsi="Book Antiqua"/>
                <w:b/>
                <w:bCs/>
                <w:color w:val="000000"/>
                <w:lang w:eastAsia="de-DE"/>
              </w:rPr>
            </w:pPr>
            <w:r w:rsidRPr="0037251D">
              <w:rPr>
                <w:rFonts w:ascii="Book Antiqua" w:eastAsia="Times New Roman" w:hAnsi="Book Antiqua"/>
                <w:b/>
                <w:bCs/>
                <w:color w:val="000000"/>
                <w:lang w:eastAsia="de-DE"/>
              </w:rPr>
              <w:t>RAMs</w:t>
            </w:r>
          </w:p>
        </w:tc>
        <w:tc>
          <w:tcPr>
            <w:tcW w:w="1842" w:type="dxa"/>
            <w:tcBorders>
              <w:top w:val="single" w:sz="4" w:space="0" w:color="auto"/>
              <w:bottom w:val="single" w:sz="4" w:space="0" w:color="auto"/>
            </w:tcBorders>
          </w:tcPr>
          <w:p w14:paraId="788411B5" w14:textId="77777777" w:rsidR="008404AF" w:rsidRPr="0037251D" w:rsidRDefault="008404AF" w:rsidP="008404AF">
            <w:pPr>
              <w:spacing w:line="360" w:lineRule="auto"/>
              <w:jc w:val="both"/>
              <w:rPr>
                <w:rFonts w:ascii="Book Antiqua" w:eastAsia="Times New Roman" w:hAnsi="Book Antiqua"/>
                <w:b/>
                <w:bCs/>
                <w:color w:val="000000"/>
                <w:lang w:eastAsia="de-DE"/>
              </w:rPr>
            </w:pPr>
            <w:r w:rsidRPr="0037251D">
              <w:rPr>
                <w:rFonts w:ascii="Book Antiqua" w:eastAsia="Times New Roman" w:hAnsi="Book Antiqua"/>
                <w:b/>
                <w:bCs/>
                <w:color w:val="000000"/>
                <w:lang w:eastAsia="de-DE"/>
              </w:rPr>
              <w:t>Number of patients in each group</w:t>
            </w:r>
          </w:p>
        </w:tc>
        <w:tc>
          <w:tcPr>
            <w:tcW w:w="917" w:type="dxa"/>
            <w:tcBorders>
              <w:top w:val="single" w:sz="4" w:space="0" w:color="auto"/>
              <w:bottom w:val="single" w:sz="4" w:space="0" w:color="auto"/>
            </w:tcBorders>
            <w:shd w:val="clear" w:color="auto" w:fill="auto"/>
          </w:tcPr>
          <w:p w14:paraId="3B979072" w14:textId="7E117EC2" w:rsidR="008404AF" w:rsidRPr="0037251D" w:rsidRDefault="008404AF" w:rsidP="008404AF">
            <w:pPr>
              <w:spacing w:line="360" w:lineRule="auto"/>
              <w:jc w:val="both"/>
              <w:rPr>
                <w:rFonts w:ascii="Book Antiqua" w:eastAsia="Times New Roman" w:hAnsi="Book Antiqua"/>
                <w:b/>
                <w:bCs/>
                <w:color w:val="000000"/>
                <w:lang w:eastAsia="de-DE"/>
              </w:rPr>
            </w:pPr>
            <w:r w:rsidRPr="0037251D">
              <w:rPr>
                <w:rFonts w:ascii="Book Antiqua" w:eastAsia="Times New Roman" w:hAnsi="Book Antiqua"/>
                <w:b/>
                <w:bCs/>
                <w:color w:val="000000"/>
                <w:lang w:eastAsia="de-DE"/>
              </w:rPr>
              <w:t>Study or median observation period</w:t>
            </w:r>
          </w:p>
        </w:tc>
        <w:tc>
          <w:tcPr>
            <w:tcW w:w="2251" w:type="dxa"/>
            <w:tcBorders>
              <w:top w:val="single" w:sz="4" w:space="0" w:color="auto"/>
              <w:bottom w:val="single" w:sz="4" w:space="0" w:color="auto"/>
            </w:tcBorders>
            <w:shd w:val="clear" w:color="auto" w:fill="auto"/>
          </w:tcPr>
          <w:p w14:paraId="408D3643" w14:textId="77777777" w:rsidR="008404AF" w:rsidRPr="0037251D" w:rsidRDefault="008404AF" w:rsidP="008404AF">
            <w:pPr>
              <w:spacing w:line="360" w:lineRule="auto"/>
              <w:jc w:val="both"/>
              <w:rPr>
                <w:rFonts w:ascii="Book Antiqua" w:eastAsia="Times New Roman" w:hAnsi="Book Antiqua"/>
                <w:b/>
                <w:bCs/>
                <w:color w:val="000000"/>
                <w:lang w:eastAsia="de-DE"/>
              </w:rPr>
            </w:pPr>
            <w:r w:rsidRPr="0037251D">
              <w:rPr>
                <w:rFonts w:ascii="Book Antiqua" w:eastAsia="Times New Roman" w:hAnsi="Book Antiqua"/>
                <w:b/>
                <w:bCs/>
                <w:color w:val="000000"/>
                <w:lang w:eastAsia="de-DE"/>
              </w:rPr>
              <w:t xml:space="preserve">Patients with VTE during the overall follow-up, </w:t>
            </w:r>
            <w:r w:rsidRPr="0037251D">
              <w:rPr>
                <w:rFonts w:ascii="Book Antiqua" w:eastAsia="Times New Roman" w:hAnsi="Book Antiqua"/>
                <w:b/>
                <w:bCs/>
                <w:i/>
                <w:iCs/>
                <w:color w:val="000000"/>
                <w:lang w:eastAsia="de-DE"/>
              </w:rPr>
              <w:t>n</w:t>
            </w:r>
            <w:r w:rsidRPr="0037251D">
              <w:rPr>
                <w:rFonts w:ascii="Book Antiqua" w:eastAsia="Times New Roman" w:hAnsi="Book Antiqua"/>
                <w:b/>
                <w:bCs/>
                <w:color w:val="000000"/>
                <w:lang w:eastAsia="de-DE"/>
              </w:rPr>
              <w:t xml:space="preserve"> (%)</w:t>
            </w:r>
          </w:p>
        </w:tc>
        <w:tc>
          <w:tcPr>
            <w:tcW w:w="1980" w:type="dxa"/>
            <w:tcBorders>
              <w:top w:val="single" w:sz="4" w:space="0" w:color="auto"/>
              <w:bottom w:val="single" w:sz="4" w:space="0" w:color="auto"/>
            </w:tcBorders>
            <w:shd w:val="clear" w:color="auto" w:fill="auto"/>
          </w:tcPr>
          <w:p w14:paraId="046781CF" w14:textId="77777777" w:rsidR="008404AF" w:rsidRPr="0037251D" w:rsidRDefault="008404AF" w:rsidP="008404AF">
            <w:pPr>
              <w:spacing w:line="360" w:lineRule="auto"/>
              <w:jc w:val="both"/>
              <w:rPr>
                <w:rFonts w:ascii="Book Antiqua" w:eastAsia="Times New Roman" w:hAnsi="Book Antiqua"/>
                <w:b/>
                <w:bCs/>
                <w:color w:val="000000"/>
                <w:lang w:eastAsia="de-DE"/>
              </w:rPr>
            </w:pPr>
            <w:r w:rsidRPr="0037251D">
              <w:rPr>
                <w:rFonts w:ascii="Book Antiqua" w:eastAsia="Times New Roman" w:hAnsi="Book Antiqua"/>
                <w:b/>
                <w:bCs/>
                <w:color w:val="000000"/>
                <w:lang w:eastAsia="de-DE"/>
              </w:rPr>
              <w:t>Rates of VTE</w:t>
            </w:r>
          </w:p>
        </w:tc>
      </w:tr>
      <w:tr w:rsidR="008404AF" w:rsidRPr="0037251D" w14:paraId="4924C593" w14:textId="77777777" w:rsidTr="000B5AAD">
        <w:tc>
          <w:tcPr>
            <w:tcW w:w="1027" w:type="dxa"/>
            <w:tcBorders>
              <w:top w:val="single" w:sz="4" w:space="0" w:color="auto"/>
            </w:tcBorders>
            <w:shd w:val="clear" w:color="auto" w:fill="auto"/>
          </w:tcPr>
          <w:p w14:paraId="1527A78A" w14:textId="524B3562"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 xml:space="preserve">Pelzer </w:t>
            </w:r>
            <w:r w:rsidRPr="0037251D">
              <w:rPr>
                <w:rFonts w:ascii="Book Antiqua" w:eastAsia="Times New Roman" w:hAnsi="Book Antiqua"/>
                <w:i/>
                <w:iCs/>
                <w:color w:val="000000"/>
                <w:lang w:eastAsia="de-DE"/>
              </w:rPr>
              <w:t>et al</w:t>
            </w:r>
            <w:r w:rsidRPr="0037251D">
              <w:rPr>
                <w:rFonts w:ascii="Book Antiqua" w:eastAsia="Times New Roman" w:hAnsi="Book Antiqua"/>
                <w:color w:val="000000"/>
                <w:vertAlign w:val="superscript"/>
                <w:lang w:eastAsia="de-DE"/>
              </w:rPr>
              <w:t>[45]</w:t>
            </w:r>
            <w:r w:rsidRPr="0037251D">
              <w:rPr>
                <w:rFonts w:ascii="Book Antiqua" w:eastAsia="Times New Roman" w:hAnsi="Book Antiqua"/>
                <w:color w:val="000000"/>
                <w:lang w:eastAsia="de-DE"/>
              </w:rPr>
              <w:t>, 2013</w:t>
            </w:r>
          </w:p>
        </w:tc>
        <w:tc>
          <w:tcPr>
            <w:tcW w:w="1103" w:type="dxa"/>
            <w:tcBorders>
              <w:top w:val="single" w:sz="4" w:space="0" w:color="auto"/>
            </w:tcBorders>
            <w:shd w:val="clear" w:color="auto" w:fill="auto"/>
          </w:tcPr>
          <w:p w14:paraId="2D53257C"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Retrospective analysis of the</w:t>
            </w:r>
          </w:p>
          <w:p w14:paraId="69D1E368"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CONKO-004 RCT</w:t>
            </w:r>
          </w:p>
        </w:tc>
        <w:tc>
          <w:tcPr>
            <w:tcW w:w="1005" w:type="dxa"/>
            <w:tcBorders>
              <w:top w:val="single" w:sz="4" w:space="0" w:color="auto"/>
            </w:tcBorders>
          </w:tcPr>
          <w:p w14:paraId="340DF30F"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Germany</w:t>
            </w:r>
          </w:p>
        </w:tc>
        <w:tc>
          <w:tcPr>
            <w:tcW w:w="1359" w:type="dxa"/>
            <w:tcBorders>
              <w:top w:val="single" w:sz="4" w:space="0" w:color="auto"/>
            </w:tcBorders>
          </w:tcPr>
          <w:p w14:paraId="254BAC91" w14:textId="39DE547F"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144/312, APC included in the CONKO-004 trial (control arm)</w:t>
            </w:r>
          </w:p>
        </w:tc>
        <w:tc>
          <w:tcPr>
            <w:tcW w:w="917" w:type="dxa"/>
            <w:tcBorders>
              <w:top w:val="single" w:sz="4" w:space="0" w:color="auto"/>
            </w:tcBorders>
          </w:tcPr>
          <w:p w14:paraId="6327F65D"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No</w:t>
            </w:r>
          </w:p>
        </w:tc>
        <w:tc>
          <w:tcPr>
            <w:tcW w:w="775" w:type="dxa"/>
            <w:tcBorders>
              <w:top w:val="single" w:sz="4" w:space="0" w:color="auto"/>
            </w:tcBorders>
            <w:shd w:val="clear" w:color="auto" w:fill="auto"/>
          </w:tcPr>
          <w:p w14:paraId="0F2336C3"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Khorana score</w:t>
            </w:r>
          </w:p>
        </w:tc>
        <w:tc>
          <w:tcPr>
            <w:tcW w:w="1842" w:type="dxa"/>
            <w:tcBorders>
              <w:top w:val="single" w:sz="4" w:space="0" w:color="auto"/>
            </w:tcBorders>
          </w:tcPr>
          <w:p w14:paraId="609F5769" w14:textId="1E64968B"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Intermediate risk: 55/144 (38.2%); High risk: 89/144 (61.8%)</w:t>
            </w:r>
          </w:p>
        </w:tc>
        <w:tc>
          <w:tcPr>
            <w:tcW w:w="917" w:type="dxa"/>
            <w:tcBorders>
              <w:top w:val="single" w:sz="4" w:space="0" w:color="auto"/>
            </w:tcBorders>
            <w:shd w:val="clear" w:color="auto" w:fill="auto"/>
          </w:tcPr>
          <w:p w14:paraId="5BE94AAF" w14:textId="13F01B68"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12 mo</w:t>
            </w:r>
          </w:p>
        </w:tc>
        <w:tc>
          <w:tcPr>
            <w:tcW w:w="2251" w:type="dxa"/>
            <w:tcBorders>
              <w:top w:val="single" w:sz="4" w:space="0" w:color="auto"/>
            </w:tcBorders>
            <w:shd w:val="clear" w:color="auto" w:fill="auto"/>
          </w:tcPr>
          <w:p w14:paraId="1FE2F8DD"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21/144 (14.6%)</w:t>
            </w:r>
          </w:p>
        </w:tc>
        <w:tc>
          <w:tcPr>
            <w:tcW w:w="1980" w:type="dxa"/>
            <w:tcBorders>
              <w:top w:val="single" w:sz="4" w:space="0" w:color="auto"/>
            </w:tcBorders>
            <w:shd w:val="clear" w:color="auto" w:fill="auto"/>
          </w:tcPr>
          <w:p w14:paraId="7C83035B" w14:textId="4E1F6914"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At 6 mo: Intermediate risk: 4/55 (7.2%); High risk: 17/89 (19.1%)</w:t>
            </w:r>
          </w:p>
        </w:tc>
      </w:tr>
      <w:tr w:rsidR="008404AF" w:rsidRPr="0037251D" w14:paraId="0D1AAD69" w14:textId="77777777" w:rsidTr="000B5AAD">
        <w:tc>
          <w:tcPr>
            <w:tcW w:w="1027" w:type="dxa"/>
            <w:shd w:val="clear" w:color="auto" w:fill="auto"/>
          </w:tcPr>
          <w:p w14:paraId="22BC7AA3" w14:textId="0C7D0510"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 xml:space="preserve">Muñoz Martín </w:t>
            </w:r>
            <w:r w:rsidRPr="0037251D">
              <w:rPr>
                <w:rFonts w:ascii="Book Antiqua" w:eastAsia="Times New Roman" w:hAnsi="Book Antiqua"/>
                <w:i/>
                <w:iCs/>
                <w:color w:val="000000"/>
                <w:lang w:eastAsia="de-DE"/>
              </w:rPr>
              <w:t>et al</w:t>
            </w:r>
            <w:r w:rsidRPr="0037251D">
              <w:rPr>
                <w:rFonts w:ascii="Book Antiqua" w:eastAsia="Times New Roman" w:hAnsi="Book Antiqua"/>
                <w:color w:val="000000"/>
                <w:vertAlign w:val="superscript"/>
                <w:lang w:eastAsia="de-DE"/>
              </w:rPr>
              <w:t>[25]</w:t>
            </w:r>
            <w:r w:rsidRPr="0037251D">
              <w:rPr>
                <w:rFonts w:ascii="Book Antiqua" w:eastAsia="Times New Roman" w:hAnsi="Book Antiqua"/>
                <w:color w:val="000000"/>
                <w:lang w:eastAsia="de-DE"/>
              </w:rPr>
              <w:t>, 2014</w:t>
            </w:r>
          </w:p>
        </w:tc>
        <w:tc>
          <w:tcPr>
            <w:tcW w:w="1103" w:type="dxa"/>
            <w:shd w:val="clear" w:color="auto" w:fill="auto"/>
          </w:tcPr>
          <w:p w14:paraId="33B977B6"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Retrospective</w:t>
            </w:r>
          </w:p>
        </w:tc>
        <w:tc>
          <w:tcPr>
            <w:tcW w:w="1005" w:type="dxa"/>
          </w:tcPr>
          <w:p w14:paraId="6D32594E"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Spain</w:t>
            </w:r>
          </w:p>
        </w:tc>
        <w:tc>
          <w:tcPr>
            <w:tcW w:w="1359" w:type="dxa"/>
          </w:tcPr>
          <w:p w14:paraId="6B42BEA4" w14:textId="371F14FB"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73/84, ambulatory PC patients</w:t>
            </w:r>
          </w:p>
          <w:p w14:paraId="7A9885EC"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receiving chemotherapy</w:t>
            </w:r>
          </w:p>
        </w:tc>
        <w:tc>
          <w:tcPr>
            <w:tcW w:w="917" w:type="dxa"/>
          </w:tcPr>
          <w:p w14:paraId="4856A1C0"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No</w:t>
            </w:r>
          </w:p>
        </w:tc>
        <w:tc>
          <w:tcPr>
            <w:tcW w:w="775" w:type="dxa"/>
            <w:shd w:val="clear" w:color="auto" w:fill="auto"/>
          </w:tcPr>
          <w:p w14:paraId="3E8815B2"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Khorana score</w:t>
            </w:r>
          </w:p>
        </w:tc>
        <w:tc>
          <w:tcPr>
            <w:tcW w:w="1842" w:type="dxa"/>
          </w:tcPr>
          <w:p w14:paraId="5A33EFE5" w14:textId="6A107315"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Intermediate risk: 36/84 (43%);</w:t>
            </w:r>
            <w:r w:rsidRPr="0037251D">
              <w:rPr>
                <w:rFonts w:ascii="Book Antiqua" w:hAnsi="Book Antiqua" w:hint="eastAsia"/>
                <w:color w:val="000000"/>
                <w:lang w:eastAsia="zh-CN"/>
              </w:rPr>
              <w:t xml:space="preserve"> </w:t>
            </w:r>
            <w:r w:rsidRPr="0037251D">
              <w:rPr>
                <w:rFonts w:ascii="Book Antiqua" w:eastAsia="Times New Roman" w:hAnsi="Book Antiqua"/>
                <w:color w:val="000000"/>
                <w:lang w:eastAsia="de-DE"/>
              </w:rPr>
              <w:t xml:space="preserve">High risk: 48/84 </w:t>
            </w:r>
            <w:r w:rsidRPr="0037251D">
              <w:rPr>
                <w:rFonts w:ascii="Book Antiqua" w:eastAsia="Times New Roman" w:hAnsi="Book Antiqua"/>
                <w:color w:val="000000"/>
                <w:lang w:eastAsia="de-DE"/>
              </w:rPr>
              <w:lastRenderedPageBreak/>
              <w:t>(57%)</w:t>
            </w:r>
          </w:p>
        </w:tc>
        <w:tc>
          <w:tcPr>
            <w:tcW w:w="917" w:type="dxa"/>
            <w:shd w:val="clear" w:color="auto" w:fill="auto"/>
          </w:tcPr>
          <w:p w14:paraId="15870108"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2008-2011</w:t>
            </w:r>
          </w:p>
        </w:tc>
        <w:tc>
          <w:tcPr>
            <w:tcW w:w="2251" w:type="dxa"/>
            <w:shd w:val="clear" w:color="auto" w:fill="auto"/>
          </w:tcPr>
          <w:p w14:paraId="773F4567"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30/84 (35.7%)</w:t>
            </w:r>
          </w:p>
        </w:tc>
        <w:tc>
          <w:tcPr>
            <w:tcW w:w="1980" w:type="dxa"/>
            <w:shd w:val="clear" w:color="auto" w:fill="auto"/>
          </w:tcPr>
          <w:p w14:paraId="5D93E08F" w14:textId="6A999A0E"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 xml:space="preserve">At 6 mo: Intermediate risk: 4/37 (10.8%); High risk: </w:t>
            </w:r>
            <w:r w:rsidRPr="0037251D">
              <w:rPr>
                <w:rFonts w:ascii="Book Antiqua" w:eastAsia="Times New Roman" w:hAnsi="Book Antiqua"/>
                <w:color w:val="000000"/>
                <w:lang w:eastAsia="de-DE"/>
              </w:rPr>
              <w:lastRenderedPageBreak/>
              <w:t>10/36 (27.8%)</w:t>
            </w:r>
          </w:p>
        </w:tc>
      </w:tr>
      <w:tr w:rsidR="008404AF" w:rsidRPr="0037251D" w14:paraId="67188C2C" w14:textId="77777777" w:rsidTr="000B5AAD">
        <w:tc>
          <w:tcPr>
            <w:tcW w:w="1027" w:type="dxa"/>
            <w:shd w:val="clear" w:color="auto" w:fill="auto"/>
          </w:tcPr>
          <w:p w14:paraId="537B585B" w14:textId="2FDCD0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 xml:space="preserve">van Es </w:t>
            </w:r>
            <w:r w:rsidRPr="0037251D">
              <w:rPr>
                <w:rFonts w:ascii="Book Antiqua" w:eastAsia="Times New Roman" w:hAnsi="Book Antiqua"/>
                <w:i/>
                <w:iCs/>
                <w:color w:val="000000"/>
                <w:lang w:eastAsia="de-DE"/>
              </w:rPr>
              <w:t>et al</w:t>
            </w:r>
            <w:r w:rsidRPr="0037251D">
              <w:rPr>
                <w:rFonts w:ascii="Book Antiqua" w:eastAsia="Times New Roman" w:hAnsi="Book Antiqua"/>
                <w:color w:val="000000"/>
                <w:vertAlign w:val="superscript"/>
                <w:lang w:eastAsia="de-DE"/>
              </w:rPr>
              <w:t>[29]</w:t>
            </w:r>
            <w:r w:rsidRPr="0037251D">
              <w:rPr>
                <w:rFonts w:ascii="Book Antiqua" w:eastAsia="Times New Roman" w:hAnsi="Book Antiqua"/>
                <w:color w:val="000000"/>
                <w:lang w:eastAsia="de-DE"/>
              </w:rPr>
              <w:t>, 2017</w:t>
            </w:r>
          </w:p>
        </w:tc>
        <w:tc>
          <w:tcPr>
            <w:tcW w:w="1103" w:type="dxa"/>
            <w:shd w:val="clear" w:color="auto" w:fill="auto"/>
          </w:tcPr>
          <w:p w14:paraId="3DF97247"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Retrospective</w:t>
            </w:r>
          </w:p>
        </w:tc>
        <w:tc>
          <w:tcPr>
            <w:tcW w:w="1005" w:type="dxa"/>
          </w:tcPr>
          <w:p w14:paraId="25A1D1C1"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Netherlands</w:t>
            </w:r>
          </w:p>
        </w:tc>
        <w:tc>
          <w:tcPr>
            <w:tcW w:w="1359" w:type="dxa"/>
          </w:tcPr>
          <w:p w14:paraId="1D833CFF" w14:textId="53E87350"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147/178, ambulatory PC patients</w:t>
            </w:r>
          </w:p>
          <w:p w14:paraId="4EC7D68E" w14:textId="179CAA91"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starting chemotherapy</w:t>
            </w:r>
          </w:p>
        </w:tc>
        <w:tc>
          <w:tcPr>
            <w:tcW w:w="917" w:type="dxa"/>
          </w:tcPr>
          <w:p w14:paraId="637EF035"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No</w:t>
            </w:r>
          </w:p>
        </w:tc>
        <w:tc>
          <w:tcPr>
            <w:tcW w:w="775" w:type="dxa"/>
            <w:shd w:val="clear" w:color="auto" w:fill="auto"/>
          </w:tcPr>
          <w:p w14:paraId="17D20D4E"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Khorana score</w:t>
            </w:r>
          </w:p>
        </w:tc>
        <w:tc>
          <w:tcPr>
            <w:tcW w:w="1842" w:type="dxa"/>
          </w:tcPr>
          <w:p w14:paraId="0FAA0458" w14:textId="234D1664"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Intermediate risk: 101/147 (69%); High risk: 46/147 (31%)</w:t>
            </w:r>
          </w:p>
        </w:tc>
        <w:tc>
          <w:tcPr>
            <w:tcW w:w="917" w:type="dxa"/>
            <w:shd w:val="clear" w:color="auto" w:fill="auto"/>
          </w:tcPr>
          <w:p w14:paraId="087563F6"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2003-2014</w:t>
            </w:r>
          </w:p>
        </w:tc>
        <w:tc>
          <w:tcPr>
            <w:tcW w:w="2251" w:type="dxa"/>
            <w:shd w:val="clear" w:color="auto" w:fill="auto"/>
          </w:tcPr>
          <w:p w14:paraId="1A888C7E"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20/147(13.6%)</w:t>
            </w:r>
          </w:p>
        </w:tc>
        <w:tc>
          <w:tcPr>
            <w:tcW w:w="1980" w:type="dxa"/>
            <w:shd w:val="clear" w:color="auto" w:fill="auto"/>
          </w:tcPr>
          <w:p w14:paraId="7A6746EB" w14:textId="1296F4E6"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At 6 mo: Intermediate risk: 9/101 (8.9%); High risk: 4/46 (8.7%)</w:t>
            </w:r>
          </w:p>
        </w:tc>
      </w:tr>
      <w:tr w:rsidR="008404AF" w:rsidRPr="0037251D" w14:paraId="00E64590" w14:textId="77777777" w:rsidTr="000B5AAD">
        <w:tc>
          <w:tcPr>
            <w:tcW w:w="1027" w:type="dxa"/>
            <w:shd w:val="clear" w:color="auto" w:fill="auto"/>
          </w:tcPr>
          <w:p w14:paraId="33C655EB" w14:textId="17E17002"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 xml:space="preserve">Kruger </w:t>
            </w:r>
            <w:r w:rsidRPr="0037251D">
              <w:rPr>
                <w:rFonts w:ascii="Book Antiqua" w:eastAsia="Times New Roman" w:hAnsi="Book Antiqua"/>
                <w:i/>
                <w:iCs/>
                <w:color w:val="000000"/>
                <w:lang w:eastAsia="de-DE"/>
              </w:rPr>
              <w:t>et al</w:t>
            </w:r>
            <w:r w:rsidRPr="0037251D">
              <w:rPr>
                <w:rFonts w:ascii="Book Antiqua" w:eastAsia="Times New Roman" w:hAnsi="Book Antiqua"/>
                <w:color w:val="000000"/>
                <w:vertAlign w:val="superscript"/>
                <w:lang w:eastAsia="de-DE"/>
              </w:rPr>
              <w:t>[28]</w:t>
            </w:r>
            <w:r w:rsidRPr="0037251D">
              <w:rPr>
                <w:rFonts w:ascii="Book Antiqua" w:eastAsia="Times New Roman" w:hAnsi="Book Antiqua"/>
                <w:color w:val="000000"/>
                <w:lang w:eastAsia="de-DE"/>
              </w:rPr>
              <w:t>, 2017</w:t>
            </w:r>
          </w:p>
        </w:tc>
        <w:tc>
          <w:tcPr>
            <w:tcW w:w="1103" w:type="dxa"/>
            <w:shd w:val="clear" w:color="auto" w:fill="auto"/>
          </w:tcPr>
          <w:p w14:paraId="5ADADB5B"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Retrospective</w:t>
            </w:r>
          </w:p>
        </w:tc>
        <w:tc>
          <w:tcPr>
            <w:tcW w:w="1005" w:type="dxa"/>
          </w:tcPr>
          <w:p w14:paraId="191E1ABC"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Germany</w:t>
            </w:r>
          </w:p>
        </w:tc>
        <w:tc>
          <w:tcPr>
            <w:tcW w:w="1359" w:type="dxa"/>
          </w:tcPr>
          <w:p w14:paraId="70A72F3D" w14:textId="6E71CC1C"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111/172, APC patients undergoing palliative chemotherapy</w:t>
            </w:r>
          </w:p>
        </w:tc>
        <w:tc>
          <w:tcPr>
            <w:tcW w:w="917" w:type="dxa"/>
          </w:tcPr>
          <w:p w14:paraId="58CC2288"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No</w:t>
            </w:r>
          </w:p>
        </w:tc>
        <w:tc>
          <w:tcPr>
            <w:tcW w:w="775" w:type="dxa"/>
            <w:shd w:val="clear" w:color="auto" w:fill="auto"/>
          </w:tcPr>
          <w:p w14:paraId="2A55A07C"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Khorana score</w:t>
            </w:r>
          </w:p>
        </w:tc>
        <w:tc>
          <w:tcPr>
            <w:tcW w:w="1842" w:type="dxa"/>
          </w:tcPr>
          <w:p w14:paraId="747949EF" w14:textId="1902CA78"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Intermediate risk: 69/111 (38%); High risk: 42/111 (62%)</w:t>
            </w:r>
          </w:p>
        </w:tc>
        <w:tc>
          <w:tcPr>
            <w:tcW w:w="917" w:type="dxa"/>
            <w:shd w:val="clear" w:color="auto" w:fill="auto"/>
          </w:tcPr>
          <w:p w14:paraId="6C165C3E"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2002-2012</w:t>
            </w:r>
          </w:p>
        </w:tc>
        <w:tc>
          <w:tcPr>
            <w:tcW w:w="2251" w:type="dxa"/>
            <w:shd w:val="clear" w:color="auto" w:fill="auto"/>
          </w:tcPr>
          <w:p w14:paraId="0FE51639" w14:textId="6D141F1A"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16/111 (14.4%)</w:t>
            </w:r>
          </w:p>
        </w:tc>
        <w:tc>
          <w:tcPr>
            <w:tcW w:w="1980" w:type="dxa"/>
            <w:shd w:val="clear" w:color="auto" w:fill="auto"/>
          </w:tcPr>
          <w:p w14:paraId="1EAE6DAA" w14:textId="57F723EC"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At 6 mo: Intermediate risk: 6/69 (8.6%)</w:t>
            </w:r>
          </w:p>
          <w:p w14:paraId="4E5729AA" w14:textId="3183EAB3"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High risk: 5/42 (11.9%); During the overall observatio</w:t>
            </w:r>
            <w:r w:rsidRPr="0037251D">
              <w:rPr>
                <w:rFonts w:ascii="Book Antiqua" w:eastAsia="Times New Roman" w:hAnsi="Book Antiqua"/>
                <w:color w:val="000000"/>
                <w:lang w:eastAsia="de-DE"/>
              </w:rPr>
              <w:lastRenderedPageBreak/>
              <w:t xml:space="preserve">n period; Intermediate risk: 8/69 (11.6%); High risk: 8/42 (19.0%); </w:t>
            </w:r>
            <w:r w:rsidRPr="0037251D">
              <w:rPr>
                <w:rFonts w:ascii="Book Antiqua" w:eastAsia="Times New Roman" w:hAnsi="Book Antiqua"/>
                <w:i/>
                <w:iCs/>
                <w:color w:val="000000"/>
                <w:lang w:eastAsia="de-DE"/>
              </w:rPr>
              <w:t>P</w:t>
            </w:r>
            <w:r w:rsidRPr="0037251D">
              <w:rPr>
                <w:rFonts w:ascii="Book Antiqua" w:eastAsia="Times New Roman" w:hAnsi="Book Antiqua"/>
                <w:color w:val="000000"/>
                <w:lang w:eastAsia="de-DE"/>
              </w:rPr>
              <w:t xml:space="preserve"> = 0.4</w:t>
            </w:r>
          </w:p>
        </w:tc>
      </w:tr>
      <w:tr w:rsidR="008404AF" w:rsidRPr="0037251D" w14:paraId="1577CE3B" w14:textId="77777777" w:rsidTr="000B5AAD">
        <w:tc>
          <w:tcPr>
            <w:tcW w:w="1027" w:type="dxa"/>
            <w:shd w:val="clear" w:color="auto" w:fill="auto"/>
          </w:tcPr>
          <w:p w14:paraId="1D0760E2" w14:textId="490DAFA5"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 xml:space="preserve">Berger </w:t>
            </w:r>
            <w:r w:rsidRPr="0037251D">
              <w:rPr>
                <w:rFonts w:ascii="Book Antiqua" w:eastAsia="Times New Roman" w:hAnsi="Book Antiqua"/>
                <w:i/>
                <w:iCs/>
                <w:color w:val="000000"/>
                <w:lang w:eastAsia="de-DE"/>
              </w:rPr>
              <w:t>et al</w:t>
            </w:r>
            <w:r w:rsidRPr="0037251D">
              <w:rPr>
                <w:rFonts w:ascii="Book Antiqua" w:eastAsia="Times New Roman" w:hAnsi="Book Antiqua"/>
                <w:color w:val="000000"/>
                <w:vertAlign w:val="superscript"/>
                <w:lang w:eastAsia="de-DE"/>
              </w:rPr>
              <w:t>[30]</w:t>
            </w:r>
            <w:r w:rsidRPr="0037251D">
              <w:rPr>
                <w:rFonts w:ascii="Book Antiqua" w:eastAsia="Times New Roman" w:hAnsi="Book Antiqua"/>
                <w:color w:val="000000"/>
                <w:lang w:eastAsia="de-DE"/>
              </w:rPr>
              <w:t>, 2017</w:t>
            </w:r>
          </w:p>
        </w:tc>
        <w:tc>
          <w:tcPr>
            <w:tcW w:w="1103" w:type="dxa"/>
            <w:shd w:val="clear" w:color="auto" w:fill="auto"/>
          </w:tcPr>
          <w:p w14:paraId="3F1C8117"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Retrospective</w:t>
            </w:r>
          </w:p>
        </w:tc>
        <w:tc>
          <w:tcPr>
            <w:tcW w:w="1005" w:type="dxa"/>
          </w:tcPr>
          <w:p w14:paraId="43911D2B"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Germany</w:t>
            </w:r>
          </w:p>
        </w:tc>
        <w:tc>
          <w:tcPr>
            <w:tcW w:w="1359" w:type="dxa"/>
          </w:tcPr>
          <w:p w14:paraId="2161DB9E" w14:textId="0F5C0F83"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150, PC patients receiving chemotherapy</w:t>
            </w:r>
          </w:p>
        </w:tc>
        <w:tc>
          <w:tcPr>
            <w:tcW w:w="917" w:type="dxa"/>
          </w:tcPr>
          <w:p w14:paraId="423305FA"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No</w:t>
            </w:r>
          </w:p>
        </w:tc>
        <w:tc>
          <w:tcPr>
            <w:tcW w:w="775" w:type="dxa"/>
            <w:shd w:val="clear" w:color="auto" w:fill="auto"/>
          </w:tcPr>
          <w:p w14:paraId="3A792FE5"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Khorana score</w:t>
            </w:r>
          </w:p>
        </w:tc>
        <w:tc>
          <w:tcPr>
            <w:tcW w:w="1842" w:type="dxa"/>
          </w:tcPr>
          <w:p w14:paraId="6F2356CA" w14:textId="74D2A839"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Intermediate risk: 87/150 (58%); High risk: 63/150 (42%)</w:t>
            </w:r>
          </w:p>
        </w:tc>
        <w:tc>
          <w:tcPr>
            <w:tcW w:w="917" w:type="dxa"/>
            <w:shd w:val="clear" w:color="auto" w:fill="auto"/>
          </w:tcPr>
          <w:p w14:paraId="66C3A0ED" w14:textId="508C78FC"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2010-2014</w:t>
            </w:r>
          </w:p>
        </w:tc>
        <w:tc>
          <w:tcPr>
            <w:tcW w:w="2251" w:type="dxa"/>
            <w:shd w:val="clear" w:color="auto" w:fill="auto"/>
          </w:tcPr>
          <w:p w14:paraId="7A01A26C"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37/150 (24.7%)</w:t>
            </w:r>
          </w:p>
        </w:tc>
        <w:tc>
          <w:tcPr>
            <w:tcW w:w="1980" w:type="dxa"/>
            <w:shd w:val="clear" w:color="auto" w:fill="auto"/>
          </w:tcPr>
          <w:p w14:paraId="3597A3E8" w14:textId="608AAF33"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Unspecified; During the overall observation period: no difference between groups (</w:t>
            </w:r>
            <w:r w:rsidRPr="0037251D">
              <w:rPr>
                <w:rFonts w:ascii="Book Antiqua" w:eastAsia="Times New Roman" w:hAnsi="Book Antiqua"/>
                <w:i/>
                <w:iCs/>
                <w:color w:val="000000"/>
                <w:lang w:eastAsia="de-DE"/>
              </w:rPr>
              <w:t xml:space="preserve">P </w:t>
            </w:r>
            <w:r w:rsidRPr="0037251D">
              <w:rPr>
                <w:rFonts w:ascii="Book Antiqua" w:eastAsia="Times New Roman" w:hAnsi="Book Antiqua"/>
                <w:color w:val="000000"/>
                <w:lang w:eastAsia="de-DE"/>
              </w:rPr>
              <w:t>= 0.44)</w:t>
            </w:r>
          </w:p>
        </w:tc>
      </w:tr>
      <w:tr w:rsidR="008404AF" w:rsidRPr="0037251D" w14:paraId="33169B91" w14:textId="77777777" w:rsidTr="000B5AAD">
        <w:tc>
          <w:tcPr>
            <w:tcW w:w="1027" w:type="dxa"/>
            <w:shd w:val="clear" w:color="auto" w:fill="auto"/>
          </w:tcPr>
          <w:p w14:paraId="302F63D5" w14:textId="07661699"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 xml:space="preserve">Godinho </w:t>
            </w:r>
            <w:r w:rsidRPr="0037251D">
              <w:rPr>
                <w:rFonts w:ascii="Book Antiqua" w:eastAsia="Times New Roman" w:hAnsi="Book Antiqua"/>
                <w:i/>
                <w:iCs/>
                <w:color w:val="000000"/>
                <w:lang w:eastAsia="de-DE"/>
              </w:rPr>
              <w:t>et al</w:t>
            </w:r>
            <w:r w:rsidRPr="0037251D">
              <w:rPr>
                <w:rFonts w:ascii="Book Antiqua" w:eastAsia="Times New Roman" w:hAnsi="Book Antiqua"/>
                <w:color w:val="000000"/>
                <w:vertAlign w:val="superscript"/>
                <w:lang w:eastAsia="de-DE"/>
              </w:rPr>
              <w:t>[39]</w:t>
            </w:r>
            <w:r w:rsidRPr="0037251D">
              <w:rPr>
                <w:rFonts w:ascii="Book Antiqua" w:eastAsia="Times New Roman" w:hAnsi="Book Antiqua"/>
                <w:color w:val="000000"/>
                <w:lang w:eastAsia="de-DE"/>
              </w:rPr>
              <w:t>, 2020</w:t>
            </w:r>
          </w:p>
        </w:tc>
        <w:tc>
          <w:tcPr>
            <w:tcW w:w="1103" w:type="dxa"/>
            <w:shd w:val="clear" w:color="auto" w:fill="auto"/>
          </w:tcPr>
          <w:p w14:paraId="2515B746"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Retrospective</w:t>
            </w:r>
          </w:p>
        </w:tc>
        <w:tc>
          <w:tcPr>
            <w:tcW w:w="1005" w:type="dxa"/>
          </w:tcPr>
          <w:p w14:paraId="4D24CA8D"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Portugal</w:t>
            </w:r>
          </w:p>
        </w:tc>
        <w:tc>
          <w:tcPr>
            <w:tcW w:w="1359" w:type="dxa"/>
          </w:tcPr>
          <w:p w14:paraId="177B6010"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165 newly diagnosed PC patients</w:t>
            </w:r>
          </w:p>
        </w:tc>
        <w:tc>
          <w:tcPr>
            <w:tcW w:w="917" w:type="dxa"/>
          </w:tcPr>
          <w:p w14:paraId="7320FB4F" w14:textId="569F8764"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No</w:t>
            </w:r>
          </w:p>
        </w:tc>
        <w:tc>
          <w:tcPr>
            <w:tcW w:w="775" w:type="dxa"/>
            <w:shd w:val="clear" w:color="auto" w:fill="auto"/>
          </w:tcPr>
          <w:p w14:paraId="0A567531" w14:textId="091A7801"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Khorana score; Onkotev sco</w:t>
            </w:r>
            <w:r w:rsidRPr="0037251D">
              <w:rPr>
                <w:rFonts w:ascii="Book Antiqua" w:eastAsia="Times New Roman" w:hAnsi="Book Antiqua"/>
                <w:color w:val="000000"/>
                <w:lang w:eastAsia="de-DE"/>
              </w:rPr>
              <w:lastRenderedPageBreak/>
              <w:t>re</w:t>
            </w:r>
          </w:p>
        </w:tc>
        <w:tc>
          <w:tcPr>
            <w:tcW w:w="1842" w:type="dxa"/>
          </w:tcPr>
          <w:p w14:paraId="3EB9B741" w14:textId="2F812673"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 xml:space="preserve">Khorana score: Intermediate risk: 106/165 (64%); High risk: 59/165 (36%). </w:t>
            </w:r>
            <w:r w:rsidRPr="0037251D">
              <w:rPr>
                <w:rFonts w:ascii="Book Antiqua" w:eastAsia="Times New Roman" w:hAnsi="Book Antiqua"/>
                <w:color w:val="000000"/>
                <w:lang w:eastAsia="de-DE"/>
              </w:rPr>
              <w:lastRenderedPageBreak/>
              <w:t>Onkotev score: Score 0: 30/165 (18.2%); Score 1: 63/165 (38.2%); Score 2: 55/165 (33.3%); Score ≥ 3: 17/165 (10.3%)</w:t>
            </w:r>
          </w:p>
        </w:tc>
        <w:tc>
          <w:tcPr>
            <w:tcW w:w="917" w:type="dxa"/>
            <w:shd w:val="clear" w:color="auto" w:fill="auto"/>
          </w:tcPr>
          <w:p w14:paraId="75B81C1D" w14:textId="26F87471"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6.3 mo</w:t>
            </w:r>
          </w:p>
        </w:tc>
        <w:tc>
          <w:tcPr>
            <w:tcW w:w="2251" w:type="dxa"/>
            <w:shd w:val="clear" w:color="auto" w:fill="auto"/>
          </w:tcPr>
          <w:p w14:paraId="331B8D21"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51/165 (31%)</w:t>
            </w:r>
          </w:p>
        </w:tc>
        <w:tc>
          <w:tcPr>
            <w:tcW w:w="1980" w:type="dxa"/>
            <w:shd w:val="clear" w:color="auto" w:fill="auto"/>
          </w:tcPr>
          <w:p w14:paraId="16902636" w14:textId="671EAAFE"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 xml:space="preserve">During the overall observation period: Khorana score: Intermediate risk: 28/106 </w:t>
            </w:r>
            <w:r w:rsidRPr="0037251D">
              <w:rPr>
                <w:rFonts w:ascii="Book Antiqua" w:eastAsia="Times New Roman" w:hAnsi="Book Antiqua"/>
                <w:color w:val="000000"/>
                <w:lang w:eastAsia="de-DE"/>
              </w:rPr>
              <w:lastRenderedPageBreak/>
              <w:t>(26.4%); High risk: 23/59 (38.9%). Onkotev score: Score 0: 1/30 (&lt; 10%); Score 1: 8/63 (&lt; 10%); Score 2: 28/55 (41.8%); Score ≥ 3: 14/17 (70.6%)</w:t>
            </w:r>
          </w:p>
        </w:tc>
      </w:tr>
      <w:tr w:rsidR="008404AF" w:rsidRPr="0037251D" w14:paraId="6936BF79" w14:textId="77777777" w:rsidTr="000B5AAD">
        <w:tc>
          <w:tcPr>
            <w:tcW w:w="1027" w:type="dxa"/>
            <w:shd w:val="clear" w:color="auto" w:fill="auto"/>
          </w:tcPr>
          <w:p w14:paraId="055ADB20" w14:textId="107D3F3B"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 xml:space="preserve">Kim </w:t>
            </w:r>
            <w:r w:rsidRPr="0037251D">
              <w:rPr>
                <w:rFonts w:ascii="Book Antiqua" w:eastAsia="Times New Roman" w:hAnsi="Book Antiqua"/>
                <w:i/>
                <w:iCs/>
                <w:color w:val="000000"/>
                <w:lang w:eastAsia="de-DE"/>
              </w:rPr>
              <w:t>et al</w:t>
            </w:r>
            <w:r w:rsidRPr="0037251D">
              <w:rPr>
                <w:rFonts w:ascii="Book Antiqua" w:eastAsia="Times New Roman" w:hAnsi="Book Antiqua"/>
                <w:color w:val="000000"/>
                <w:vertAlign w:val="superscript"/>
                <w:lang w:eastAsia="de-DE"/>
              </w:rPr>
              <w:t>[32]</w:t>
            </w:r>
            <w:r w:rsidRPr="0037251D">
              <w:rPr>
                <w:rFonts w:ascii="Book Antiqua" w:eastAsia="Times New Roman" w:hAnsi="Book Antiqua"/>
                <w:color w:val="000000"/>
                <w:lang w:eastAsia="de-DE"/>
              </w:rPr>
              <w:t>, 2018</w:t>
            </w:r>
          </w:p>
        </w:tc>
        <w:tc>
          <w:tcPr>
            <w:tcW w:w="1103" w:type="dxa"/>
            <w:shd w:val="clear" w:color="auto" w:fill="auto"/>
          </w:tcPr>
          <w:p w14:paraId="09951F1D"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Retrospective</w:t>
            </w:r>
          </w:p>
        </w:tc>
        <w:tc>
          <w:tcPr>
            <w:tcW w:w="1005" w:type="dxa"/>
          </w:tcPr>
          <w:p w14:paraId="38D74FC3"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Korea</w:t>
            </w:r>
          </w:p>
        </w:tc>
        <w:tc>
          <w:tcPr>
            <w:tcW w:w="1359" w:type="dxa"/>
          </w:tcPr>
          <w:p w14:paraId="371BB678"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216 metastatic PC patients receiving palliative chemo</w:t>
            </w:r>
            <w:r w:rsidRPr="0037251D">
              <w:rPr>
                <w:rFonts w:ascii="Book Antiqua" w:eastAsia="Times New Roman" w:hAnsi="Book Antiqua"/>
                <w:color w:val="000000"/>
                <w:lang w:eastAsia="de-DE"/>
              </w:rPr>
              <w:lastRenderedPageBreak/>
              <w:t>therapy</w:t>
            </w:r>
          </w:p>
        </w:tc>
        <w:tc>
          <w:tcPr>
            <w:tcW w:w="917" w:type="dxa"/>
          </w:tcPr>
          <w:p w14:paraId="3D33F023"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No</w:t>
            </w:r>
          </w:p>
        </w:tc>
        <w:tc>
          <w:tcPr>
            <w:tcW w:w="775" w:type="dxa"/>
            <w:shd w:val="clear" w:color="auto" w:fill="auto"/>
          </w:tcPr>
          <w:p w14:paraId="0C9040B1"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Khorana score</w:t>
            </w:r>
          </w:p>
        </w:tc>
        <w:tc>
          <w:tcPr>
            <w:tcW w:w="1842" w:type="dxa"/>
          </w:tcPr>
          <w:p w14:paraId="65BEEBD8" w14:textId="1562E14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Intermediate risk: 135/216 (62.5%); High risk: 81/21 (37.5%)</w:t>
            </w:r>
          </w:p>
        </w:tc>
        <w:tc>
          <w:tcPr>
            <w:tcW w:w="917" w:type="dxa"/>
            <w:shd w:val="clear" w:color="auto" w:fill="auto"/>
          </w:tcPr>
          <w:p w14:paraId="686AB115"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2005-2015</w:t>
            </w:r>
          </w:p>
        </w:tc>
        <w:tc>
          <w:tcPr>
            <w:tcW w:w="2251" w:type="dxa"/>
            <w:shd w:val="clear" w:color="auto" w:fill="auto"/>
          </w:tcPr>
          <w:p w14:paraId="601856E2"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50/216 (23.1%)</w:t>
            </w:r>
          </w:p>
        </w:tc>
        <w:tc>
          <w:tcPr>
            <w:tcW w:w="1980" w:type="dxa"/>
            <w:shd w:val="clear" w:color="auto" w:fill="auto"/>
          </w:tcPr>
          <w:p w14:paraId="6D1C13F6" w14:textId="01AADC1D"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 xml:space="preserve">During the overall observation period: Intermediate risk: 30/135 (22.2%); High risk: 20/81 </w:t>
            </w:r>
            <w:r w:rsidRPr="0037251D">
              <w:rPr>
                <w:rFonts w:ascii="Book Antiqua" w:eastAsia="Times New Roman" w:hAnsi="Book Antiqua"/>
                <w:color w:val="000000"/>
                <w:lang w:eastAsia="de-DE"/>
              </w:rPr>
              <w:lastRenderedPageBreak/>
              <w:t xml:space="preserve">(24.7%); </w:t>
            </w:r>
            <w:r w:rsidRPr="0037251D">
              <w:rPr>
                <w:rFonts w:ascii="Book Antiqua" w:eastAsia="Times New Roman" w:hAnsi="Book Antiqua"/>
                <w:i/>
                <w:iCs/>
                <w:color w:val="000000"/>
                <w:lang w:eastAsia="de-DE"/>
              </w:rPr>
              <w:t>P</w:t>
            </w:r>
            <w:r w:rsidRPr="0037251D">
              <w:rPr>
                <w:rFonts w:ascii="Book Antiqua" w:eastAsia="Times New Roman" w:hAnsi="Book Antiqua"/>
                <w:color w:val="000000"/>
                <w:lang w:eastAsia="de-DE"/>
              </w:rPr>
              <w:t xml:space="preserve"> = 0.677</w:t>
            </w:r>
          </w:p>
        </w:tc>
      </w:tr>
      <w:tr w:rsidR="008404AF" w:rsidRPr="0037251D" w14:paraId="0CD87364" w14:textId="77777777" w:rsidTr="000B5AAD">
        <w:tc>
          <w:tcPr>
            <w:tcW w:w="1027" w:type="dxa"/>
            <w:shd w:val="clear" w:color="auto" w:fill="auto"/>
          </w:tcPr>
          <w:p w14:paraId="745C6F94" w14:textId="626A9558"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 xml:space="preserve">Frere </w:t>
            </w:r>
            <w:r w:rsidR="00C42A1A" w:rsidRPr="0037251D">
              <w:rPr>
                <w:rFonts w:ascii="Book Antiqua" w:eastAsia="Times New Roman" w:hAnsi="Book Antiqua"/>
                <w:i/>
                <w:iCs/>
                <w:color w:val="000000"/>
                <w:lang w:eastAsia="de-DE"/>
              </w:rPr>
              <w:t>et al</w:t>
            </w:r>
            <w:r w:rsidR="00C42A1A" w:rsidRPr="0037251D">
              <w:rPr>
                <w:rFonts w:ascii="Book Antiqua" w:eastAsia="Times New Roman" w:hAnsi="Book Antiqua"/>
                <w:color w:val="000000"/>
                <w:vertAlign w:val="superscript"/>
                <w:lang w:eastAsia="de-DE"/>
              </w:rPr>
              <w:t>[34]</w:t>
            </w:r>
            <w:r w:rsidR="00C42A1A" w:rsidRPr="0037251D">
              <w:rPr>
                <w:rFonts w:ascii="Book Antiqua" w:eastAsia="Times New Roman" w:hAnsi="Book Antiqua"/>
                <w:color w:val="000000"/>
                <w:lang w:eastAsia="de-DE"/>
              </w:rPr>
              <w:t>,</w:t>
            </w:r>
            <w:r w:rsidRPr="0037251D">
              <w:rPr>
                <w:rFonts w:ascii="Book Antiqua" w:eastAsia="Times New Roman" w:hAnsi="Book Antiqua"/>
                <w:color w:val="000000"/>
                <w:lang w:eastAsia="de-DE"/>
              </w:rPr>
              <w:t xml:space="preserve"> 2020</w:t>
            </w:r>
          </w:p>
        </w:tc>
        <w:tc>
          <w:tcPr>
            <w:tcW w:w="1103" w:type="dxa"/>
            <w:shd w:val="clear" w:color="auto" w:fill="auto"/>
          </w:tcPr>
          <w:p w14:paraId="19316CD1"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Prospective</w:t>
            </w:r>
          </w:p>
        </w:tc>
        <w:tc>
          <w:tcPr>
            <w:tcW w:w="1005" w:type="dxa"/>
          </w:tcPr>
          <w:p w14:paraId="18283EB5"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France</w:t>
            </w:r>
          </w:p>
        </w:tc>
        <w:tc>
          <w:tcPr>
            <w:tcW w:w="1359" w:type="dxa"/>
          </w:tcPr>
          <w:p w14:paraId="5AFA62BF"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675 newly diagnosed PC patients</w:t>
            </w:r>
          </w:p>
        </w:tc>
        <w:tc>
          <w:tcPr>
            <w:tcW w:w="917" w:type="dxa"/>
          </w:tcPr>
          <w:p w14:paraId="52AB0DAE"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Yes, patients excluded if VTE at diagnosis</w:t>
            </w:r>
          </w:p>
        </w:tc>
        <w:tc>
          <w:tcPr>
            <w:tcW w:w="775" w:type="dxa"/>
            <w:shd w:val="clear" w:color="auto" w:fill="auto"/>
          </w:tcPr>
          <w:p w14:paraId="0738B351"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Khorana score</w:t>
            </w:r>
          </w:p>
        </w:tc>
        <w:tc>
          <w:tcPr>
            <w:tcW w:w="1842" w:type="dxa"/>
          </w:tcPr>
          <w:p w14:paraId="3748BCBB" w14:textId="08AE9276" w:rsidR="008404AF" w:rsidRPr="0037251D" w:rsidRDefault="008404AF" w:rsidP="00C42A1A">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Intermediate risk: 492/675 (73%)</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High risk: 183/675 (27%)</w:t>
            </w:r>
          </w:p>
        </w:tc>
        <w:tc>
          <w:tcPr>
            <w:tcW w:w="917" w:type="dxa"/>
            <w:shd w:val="clear" w:color="auto" w:fill="auto"/>
          </w:tcPr>
          <w:p w14:paraId="65B8029F" w14:textId="475AC849" w:rsidR="008404AF" w:rsidRPr="0037251D" w:rsidRDefault="008404AF" w:rsidP="00C42A1A">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2014-2019</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19.3 m</w:t>
            </w:r>
            <w:r w:rsidR="00C42A1A" w:rsidRPr="0037251D">
              <w:rPr>
                <w:rFonts w:ascii="Book Antiqua" w:eastAsia="Times New Roman" w:hAnsi="Book Antiqua"/>
                <w:color w:val="000000"/>
                <w:lang w:eastAsia="de-DE"/>
              </w:rPr>
              <w:t>o</w:t>
            </w:r>
          </w:p>
        </w:tc>
        <w:tc>
          <w:tcPr>
            <w:tcW w:w="2251" w:type="dxa"/>
            <w:shd w:val="clear" w:color="auto" w:fill="auto"/>
          </w:tcPr>
          <w:p w14:paraId="5F497D7A"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141/675 (20.8%)</w:t>
            </w:r>
          </w:p>
        </w:tc>
        <w:tc>
          <w:tcPr>
            <w:tcW w:w="1980" w:type="dxa"/>
            <w:shd w:val="clear" w:color="auto" w:fill="auto"/>
          </w:tcPr>
          <w:p w14:paraId="15B64742" w14:textId="4865FAE2"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During the total follow-up:</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Intermediate risk: 108/492 (22%)</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High risk: 33/183 (18%)</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i/>
                <w:iCs/>
                <w:color w:val="000000"/>
                <w:lang w:eastAsia="de-DE"/>
              </w:rPr>
              <w:t>P</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0.26</w:t>
            </w:r>
          </w:p>
        </w:tc>
      </w:tr>
      <w:tr w:rsidR="008404AF" w:rsidRPr="0037251D" w14:paraId="07F8BE96" w14:textId="77777777" w:rsidTr="000B5AAD">
        <w:tc>
          <w:tcPr>
            <w:tcW w:w="1027" w:type="dxa"/>
            <w:tcBorders>
              <w:bottom w:val="single" w:sz="4" w:space="0" w:color="auto"/>
            </w:tcBorders>
            <w:shd w:val="clear" w:color="auto" w:fill="auto"/>
          </w:tcPr>
          <w:p w14:paraId="66CF7095" w14:textId="5AC6A2A3"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 xml:space="preserve">Vadhan-Raj </w:t>
            </w:r>
            <w:r w:rsidR="00C42A1A" w:rsidRPr="0037251D">
              <w:rPr>
                <w:rFonts w:ascii="Book Antiqua" w:eastAsia="Times New Roman" w:hAnsi="Book Antiqua"/>
                <w:i/>
                <w:iCs/>
                <w:color w:val="000000"/>
                <w:lang w:eastAsia="de-DE"/>
              </w:rPr>
              <w:t>et al</w:t>
            </w:r>
            <w:r w:rsidR="00C42A1A" w:rsidRPr="0037251D">
              <w:rPr>
                <w:rFonts w:ascii="Book Antiqua" w:eastAsia="Times New Roman" w:hAnsi="Book Antiqua"/>
                <w:color w:val="000000"/>
                <w:vertAlign w:val="superscript"/>
                <w:lang w:eastAsia="de-DE"/>
              </w:rPr>
              <w:t>[41]</w:t>
            </w:r>
            <w:r w:rsidR="00C42A1A" w:rsidRPr="0037251D">
              <w:rPr>
                <w:rFonts w:ascii="Book Antiqua" w:eastAsia="Times New Roman" w:hAnsi="Book Antiqua"/>
                <w:color w:val="000000"/>
                <w:lang w:eastAsia="de-DE"/>
              </w:rPr>
              <w:t>,</w:t>
            </w:r>
            <w:r w:rsidRPr="0037251D">
              <w:rPr>
                <w:rFonts w:ascii="Book Antiqua" w:eastAsia="Times New Roman" w:hAnsi="Book Antiqua"/>
                <w:color w:val="000000"/>
                <w:lang w:eastAsia="de-DE"/>
              </w:rPr>
              <w:t xml:space="preserve"> 2020</w:t>
            </w:r>
          </w:p>
        </w:tc>
        <w:tc>
          <w:tcPr>
            <w:tcW w:w="1103" w:type="dxa"/>
            <w:tcBorders>
              <w:bottom w:val="single" w:sz="4" w:space="0" w:color="auto"/>
            </w:tcBorders>
            <w:shd w:val="clear" w:color="auto" w:fill="auto"/>
          </w:tcPr>
          <w:p w14:paraId="224C95B1" w14:textId="4DC658D0" w:rsidR="008404AF" w:rsidRPr="0037251D" w:rsidRDefault="008404AF" w:rsidP="00C42A1A">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Retrospective subgroup analysis of the</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CASSINI RCT</w:t>
            </w:r>
          </w:p>
        </w:tc>
        <w:tc>
          <w:tcPr>
            <w:tcW w:w="1005" w:type="dxa"/>
            <w:tcBorders>
              <w:bottom w:val="single" w:sz="4" w:space="0" w:color="auto"/>
            </w:tcBorders>
          </w:tcPr>
          <w:p w14:paraId="6F177CCB"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International</w:t>
            </w:r>
          </w:p>
        </w:tc>
        <w:tc>
          <w:tcPr>
            <w:tcW w:w="1359" w:type="dxa"/>
            <w:tcBorders>
              <w:bottom w:val="single" w:sz="4" w:space="0" w:color="auto"/>
            </w:tcBorders>
          </w:tcPr>
          <w:p w14:paraId="3FE8B59E" w14:textId="4C97B601" w:rsidR="008404AF" w:rsidRPr="0037251D" w:rsidRDefault="008404AF" w:rsidP="00C42A1A">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138 PC patients</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undergoing chemotherapy included in the CASSINI trial (contro</w:t>
            </w:r>
            <w:r w:rsidRPr="0037251D">
              <w:rPr>
                <w:rFonts w:ascii="Book Antiqua" w:eastAsia="Times New Roman" w:hAnsi="Book Antiqua"/>
                <w:color w:val="000000"/>
                <w:lang w:eastAsia="de-DE"/>
              </w:rPr>
              <w:lastRenderedPageBreak/>
              <w:t>l arm)</w:t>
            </w:r>
          </w:p>
        </w:tc>
        <w:tc>
          <w:tcPr>
            <w:tcW w:w="917" w:type="dxa"/>
            <w:tcBorders>
              <w:bottom w:val="single" w:sz="4" w:space="0" w:color="auto"/>
            </w:tcBorders>
          </w:tcPr>
          <w:p w14:paraId="5D8C4DA1"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lastRenderedPageBreak/>
              <w:t>Yes, patients excluded if VTE at diagnosis</w:t>
            </w:r>
          </w:p>
        </w:tc>
        <w:tc>
          <w:tcPr>
            <w:tcW w:w="775" w:type="dxa"/>
            <w:tcBorders>
              <w:bottom w:val="single" w:sz="4" w:space="0" w:color="auto"/>
            </w:tcBorders>
            <w:shd w:val="clear" w:color="auto" w:fill="auto"/>
          </w:tcPr>
          <w:p w14:paraId="6A8B1485"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Khorana score</w:t>
            </w:r>
          </w:p>
        </w:tc>
        <w:tc>
          <w:tcPr>
            <w:tcW w:w="1842" w:type="dxa"/>
            <w:tcBorders>
              <w:bottom w:val="single" w:sz="4" w:space="0" w:color="auto"/>
            </w:tcBorders>
          </w:tcPr>
          <w:p w14:paraId="1617DB65" w14:textId="0D7BA0BC" w:rsidR="008404AF" w:rsidRPr="0037251D" w:rsidRDefault="008404AF" w:rsidP="00C42A1A">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Intermediate risk: 100/138 (72.5%)</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High risk: 38/138 (27.5%)</w:t>
            </w:r>
          </w:p>
        </w:tc>
        <w:tc>
          <w:tcPr>
            <w:tcW w:w="917" w:type="dxa"/>
            <w:tcBorders>
              <w:bottom w:val="single" w:sz="4" w:space="0" w:color="auto"/>
            </w:tcBorders>
            <w:shd w:val="clear" w:color="auto" w:fill="auto"/>
          </w:tcPr>
          <w:p w14:paraId="2C486611" w14:textId="5AD2094A"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6 m</w:t>
            </w:r>
            <w:r w:rsidR="00C42A1A" w:rsidRPr="0037251D">
              <w:rPr>
                <w:rFonts w:ascii="Book Antiqua" w:eastAsia="Times New Roman" w:hAnsi="Book Antiqua"/>
                <w:color w:val="000000"/>
                <w:lang w:eastAsia="de-DE"/>
              </w:rPr>
              <w:t>o</w:t>
            </w:r>
          </w:p>
        </w:tc>
        <w:tc>
          <w:tcPr>
            <w:tcW w:w="2251" w:type="dxa"/>
            <w:tcBorders>
              <w:bottom w:val="single" w:sz="4" w:space="0" w:color="auto"/>
            </w:tcBorders>
            <w:shd w:val="clear" w:color="auto" w:fill="auto"/>
          </w:tcPr>
          <w:p w14:paraId="708072BD" w14:textId="77777777" w:rsidR="008404AF" w:rsidRPr="0037251D" w:rsidRDefault="008404AF" w:rsidP="008404AF">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18/138 (13.0%)</w:t>
            </w:r>
          </w:p>
        </w:tc>
        <w:tc>
          <w:tcPr>
            <w:tcW w:w="1980" w:type="dxa"/>
            <w:tcBorders>
              <w:bottom w:val="single" w:sz="4" w:space="0" w:color="auto"/>
            </w:tcBorders>
            <w:shd w:val="clear" w:color="auto" w:fill="auto"/>
          </w:tcPr>
          <w:p w14:paraId="7A902C19" w14:textId="70E1EBC0" w:rsidR="008404AF" w:rsidRPr="0037251D" w:rsidRDefault="008404AF" w:rsidP="00C42A1A">
            <w:pPr>
              <w:spacing w:line="360" w:lineRule="auto"/>
              <w:jc w:val="both"/>
              <w:rPr>
                <w:rFonts w:ascii="Book Antiqua" w:eastAsia="Times New Roman" w:hAnsi="Book Antiqua"/>
                <w:color w:val="000000"/>
                <w:lang w:eastAsia="de-DE"/>
              </w:rPr>
            </w:pPr>
            <w:r w:rsidRPr="0037251D">
              <w:rPr>
                <w:rFonts w:ascii="Book Antiqua" w:eastAsia="Times New Roman" w:hAnsi="Book Antiqua"/>
                <w:color w:val="000000"/>
                <w:lang w:eastAsia="de-DE"/>
              </w:rPr>
              <w:t>At 6 mo</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Intermediate risk: 14/100 (14.0%)</w:t>
            </w:r>
            <w:r w:rsidR="00C42A1A" w:rsidRPr="0037251D">
              <w:rPr>
                <w:rFonts w:ascii="Book Antiqua" w:eastAsia="Times New Roman" w:hAnsi="Book Antiqua"/>
                <w:color w:val="000000"/>
                <w:lang w:eastAsia="de-DE"/>
              </w:rPr>
              <w:t xml:space="preserve">; </w:t>
            </w:r>
            <w:r w:rsidRPr="0037251D">
              <w:rPr>
                <w:rFonts w:ascii="Book Antiqua" w:eastAsia="Times New Roman" w:hAnsi="Book Antiqua"/>
                <w:color w:val="000000"/>
                <w:lang w:eastAsia="de-DE"/>
              </w:rPr>
              <w:t>High risk: 4/38 (10.5%)</w:t>
            </w:r>
          </w:p>
        </w:tc>
      </w:tr>
    </w:tbl>
    <w:p w14:paraId="36174824" w14:textId="50F001B7" w:rsidR="00CB41FA" w:rsidRPr="0037251D" w:rsidRDefault="00C42A1A">
      <w:pPr>
        <w:spacing w:line="360" w:lineRule="auto"/>
        <w:jc w:val="both"/>
        <w:rPr>
          <w:rFonts w:ascii="Book Antiqua" w:hAnsi="Book Antiqua"/>
          <w:lang w:eastAsia="zh-CN"/>
        </w:rPr>
      </w:pPr>
      <w:r w:rsidRPr="0037251D">
        <w:rPr>
          <w:rFonts w:ascii="Book Antiqua" w:hAnsi="Book Antiqua"/>
          <w:lang w:eastAsia="zh-CN"/>
        </w:rPr>
        <w:lastRenderedPageBreak/>
        <w:t>APC: Advanced Pancreatic cancer; PC: Pancreatic cancer; RAM: Risk assessment model; VTE: Venous thromboembolism.</w:t>
      </w:r>
    </w:p>
    <w:p w14:paraId="2BD9787C" w14:textId="4C5DFC68" w:rsidR="008404AF" w:rsidRPr="0037251D" w:rsidRDefault="00CB41FA">
      <w:pPr>
        <w:spacing w:line="360" w:lineRule="auto"/>
        <w:jc w:val="both"/>
        <w:rPr>
          <w:rFonts w:ascii="Book Antiqua" w:hAnsi="Book Antiqua"/>
          <w:b/>
          <w:bCs/>
          <w:lang w:eastAsia="zh-CN"/>
        </w:rPr>
      </w:pPr>
      <w:r w:rsidRPr="0037251D">
        <w:rPr>
          <w:rFonts w:ascii="Book Antiqua" w:hAnsi="Book Antiqua"/>
          <w:lang w:eastAsia="zh-CN"/>
        </w:rPr>
        <w:br w:type="page"/>
      </w:r>
      <w:r w:rsidRPr="0037251D">
        <w:rPr>
          <w:rFonts w:ascii="Book Antiqua" w:hAnsi="Book Antiqua"/>
          <w:b/>
          <w:bCs/>
          <w:lang w:eastAsia="zh-CN"/>
        </w:rPr>
        <w:lastRenderedPageBreak/>
        <w:t>Table 2 Studies assessing the clinical benefit of anticoagulants for the prevention of venous thromboembolism in ambulatory pancreatic cancer patients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5"/>
        <w:gridCol w:w="1595"/>
        <w:gridCol w:w="1596"/>
        <w:gridCol w:w="1596"/>
        <w:gridCol w:w="1597"/>
        <w:gridCol w:w="1597"/>
      </w:tblGrid>
      <w:tr w:rsidR="00CB41FA" w:rsidRPr="0037251D" w14:paraId="56059896" w14:textId="77777777" w:rsidTr="000B5AAD">
        <w:tc>
          <w:tcPr>
            <w:tcW w:w="2195" w:type="dxa"/>
            <w:tcBorders>
              <w:top w:val="single" w:sz="4" w:space="0" w:color="auto"/>
              <w:bottom w:val="single" w:sz="4" w:space="0" w:color="auto"/>
            </w:tcBorders>
          </w:tcPr>
          <w:p w14:paraId="280A06BA" w14:textId="77777777" w:rsidR="00CB41FA" w:rsidRPr="0037251D" w:rsidRDefault="00CB41FA" w:rsidP="00CB41FA">
            <w:pPr>
              <w:spacing w:line="360" w:lineRule="auto"/>
              <w:jc w:val="both"/>
              <w:rPr>
                <w:rFonts w:ascii="Book Antiqua" w:hAnsi="Book Antiqua" w:cs="Times New Roman"/>
                <w:lang w:val="en-US"/>
              </w:rPr>
            </w:pPr>
          </w:p>
        </w:tc>
        <w:tc>
          <w:tcPr>
            <w:tcW w:w="2195" w:type="dxa"/>
            <w:tcBorders>
              <w:top w:val="single" w:sz="4" w:space="0" w:color="auto"/>
              <w:bottom w:val="single" w:sz="4" w:space="0" w:color="auto"/>
            </w:tcBorders>
          </w:tcPr>
          <w:p w14:paraId="5674F437" w14:textId="1080D56D" w:rsidR="00CB41FA" w:rsidRPr="0037251D" w:rsidRDefault="00CB41FA" w:rsidP="00CB41FA">
            <w:pPr>
              <w:spacing w:line="360" w:lineRule="auto"/>
              <w:jc w:val="both"/>
              <w:rPr>
                <w:rFonts w:ascii="Book Antiqua" w:hAnsi="Book Antiqua" w:cs="Times New Roman"/>
                <w:b/>
                <w:bCs/>
                <w:lang w:val="en-US"/>
              </w:rPr>
            </w:pPr>
            <w:r w:rsidRPr="0037251D">
              <w:rPr>
                <w:rFonts w:ascii="Book Antiqua" w:hAnsi="Book Antiqua" w:cs="Times New Roman"/>
                <w:b/>
                <w:bCs/>
                <w:lang w:val="en-US"/>
              </w:rPr>
              <w:t>PROTECHT</w:t>
            </w:r>
          </w:p>
        </w:tc>
        <w:tc>
          <w:tcPr>
            <w:tcW w:w="2196" w:type="dxa"/>
            <w:tcBorders>
              <w:top w:val="single" w:sz="4" w:space="0" w:color="auto"/>
              <w:bottom w:val="single" w:sz="4" w:space="0" w:color="auto"/>
            </w:tcBorders>
          </w:tcPr>
          <w:p w14:paraId="654E7640" w14:textId="4240223A" w:rsidR="00CB41FA" w:rsidRPr="0037251D" w:rsidRDefault="00CB41FA" w:rsidP="00CB41FA">
            <w:pPr>
              <w:spacing w:line="360" w:lineRule="auto"/>
              <w:jc w:val="both"/>
              <w:rPr>
                <w:rFonts w:ascii="Book Antiqua" w:hAnsi="Book Antiqua" w:cs="Times New Roman"/>
                <w:b/>
                <w:bCs/>
              </w:rPr>
            </w:pPr>
            <w:r w:rsidRPr="0037251D">
              <w:rPr>
                <w:rFonts w:ascii="Book Antiqua" w:hAnsi="Book Antiqua" w:cs="Times New Roman"/>
                <w:b/>
                <w:bCs/>
              </w:rPr>
              <w:t>SAVE ONCO</w:t>
            </w:r>
          </w:p>
        </w:tc>
        <w:tc>
          <w:tcPr>
            <w:tcW w:w="2196" w:type="dxa"/>
            <w:tcBorders>
              <w:top w:val="single" w:sz="4" w:space="0" w:color="auto"/>
              <w:bottom w:val="single" w:sz="4" w:space="0" w:color="auto"/>
            </w:tcBorders>
          </w:tcPr>
          <w:p w14:paraId="133BF952" w14:textId="62383631" w:rsidR="00CB41FA" w:rsidRPr="0037251D" w:rsidRDefault="00CB41FA" w:rsidP="00CB41FA">
            <w:pPr>
              <w:spacing w:line="360" w:lineRule="auto"/>
              <w:jc w:val="both"/>
              <w:rPr>
                <w:rFonts w:ascii="Book Antiqua" w:hAnsi="Book Antiqua" w:cs="Times New Roman"/>
                <w:b/>
                <w:bCs/>
                <w:lang w:val="en-US"/>
              </w:rPr>
            </w:pPr>
            <w:r w:rsidRPr="0037251D">
              <w:rPr>
                <w:rFonts w:ascii="Book Antiqua" w:hAnsi="Book Antiqua" w:cs="Times New Roman"/>
                <w:b/>
                <w:bCs/>
                <w:lang w:val="en-US"/>
              </w:rPr>
              <w:t>FRAGEM</w:t>
            </w:r>
          </w:p>
        </w:tc>
        <w:tc>
          <w:tcPr>
            <w:tcW w:w="2197" w:type="dxa"/>
            <w:tcBorders>
              <w:top w:val="single" w:sz="4" w:space="0" w:color="auto"/>
              <w:bottom w:val="single" w:sz="4" w:space="0" w:color="auto"/>
            </w:tcBorders>
          </w:tcPr>
          <w:p w14:paraId="29A3852A" w14:textId="56AFE075" w:rsidR="00CB41FA" w:rsidRPr="0037251D" w:rsidRDefault="00CB41FA" w:rsidP="00CB41FA">
            <w:pPr>
              <w:spacing w:line="360" w:lineRule="auto"/>
              <w:jc w:val="both"/>
              <w:rPr>
                <w:rFonts w:ascii="Book Antiqua" w:hAnsi="Book Antiqua" w:cs="Times New Roman"/>
                <w:b/>
                <w:bCs/>
                <w:lang w:val="en-US"/>
              </w:rPr>
            </w:pPr>
            <w:r w:rsidRPr="0037251D">
              <w:rPr>
                <w:rFonts w:ascii="Book Antiqua" w:hAnsi="Book Antiqua" w:cs="Times New Roman"/>
                <w:b/>
                <w:bCs/>
                <w:lang w:val="en-US"/>
              </w:rPr>
              <w:t>CONKO-0004</w:t>
            </w:r>
          </w:p>
        </w:tc>
        <w:tc>
          <w:tcPr>
            <w:tcW w:w="2197" w:type="dxa"/>
            <w:tcBorders>
              <w:top w:val="single" w:sz="4" w:space="0" w:color="auto"/>
              <w:bottom w:val="single" w:sz="4" w:space="0" w:color="auto"/>
            </w:tcBorders>
          </w:tcPr>
          <w:p w14:paraId="66BC0480" w14:textId="00F85234" w:rsidR="00CB41FA" w:rsidRPr="0037251D" w:rsidRDefault="00CB41FA" w:rsidP="00CB41FA">
            <w:pPr>
              <w:spacing w:line="360" w:lineRule="auto"/>
              <w:jc w:val="both"/>
              <w:rPr>
                <w:rFonts w:ascii="Book Antiqua" w:hAnsi="Book Antiqua" w:cs="Times New Roman"/>
                <w:b/>
                <w:caps/>
                <w:lang w:eastAsia="fr-FR"/>
              </w:rPr>
            </w:pPr>
            <w:r w:rsidRPr="0037251D">
              <w:rPr>
                <w:rFonts w:ascii="Book Antiqua" w:hAnsi="Book Antiqua" w:cs="Times New Roman"/>
                <w:b/>
                <w:caps/>
                <w:lang w:eastAsia="fr-FR"/>
              </w:rPr>
              <w:t>CASSINI</w:t>
            </w:r>
          </w:p>
        </w:tc>
      </w:tr>
      <w:tr w:rsidR="00CB41FA" w:rsidRPr="0037251D" w14:paraId="7E5BC51E" w14:textId="77777777" w:rsidTr="000B5AAD">
        <w:tc>
          <w:tcPr>
            <w:tcW w:w="2195" w:type="dxa"/>
            <w:tcBorders>
              <w:top w:val="single" w:sz="4" w:space="0" w:color="auto"/>
            </w:tcBorders>
          </w:tcPr>
          <w:p w14:paraId="4C9986AF" w14:textId="77777777" w:rsidR="00CB41FA" w:rsidRPr="0037251D" w:rsidRDefault="00CB41FA" w:rsidP="00CB41FA">
            <w:pPr>
              <w:spacing w:line="360" w:lineRule="auto"/>
              <w:jc w:val="both"/>
              <w:rPr>
                <w:rFonts w:ascii="Book Antiqua" w:hAnsi="Book Antiqua"/>
              </w:rPr>
            </w:pPr>
          </w:p>
        </w:tc>
        <w:tc>
          <w:tcPr>
            <w:tcW w:w="2195" w:type="dxa"/>
            <w:tcBorders>
              <w:top w:val="single" w:sz="4" w:space="0" w:color="auto"/>
            </w:tcBorders>
          </w:tcPr>
          <w:p w14:paraId="38D0BA39" w14:textId="21A1E675" w:rsidR="00CB41FA" w:rsidRPr="0037251D" w:rsidRDefault="00CB41FA" w:rsidP="00CB41FA">
            <w:pPr>
              <w:spacing w:line="360" w:lineRule="auto"/>
              <w:jc w:val="both"/>
              <w:rPr>
                <w:rFonts w:ascii="Book Antiqua" w:hAnsi="Book Antiqua"/>
                <w:b/>
                <w:bCs/>
              </w:rPr>
            </w:pPr>
            <w:r w:rsidRPr="0037251D">
              <w:rPr>
                <w:rFonts w:ascii="Book Antiqua" w:hAnsi="Book Antiqua" w:cs="Times New Roman"/>
                <w:lang w:val="en-US"/>
              </w:rPr>
              <w:t xml:space="preserve">Agnelli </w:t>
            </w:r>
            <w:r w:rsidRPr="0037251D">
              <w:rPr>
                <w:rFonts w:ascii="Book Antiqua" w:eastAsia="Times New Roman" w:hAnsi="Book Antiqua" w:cs="Times New Roman"/>
                <w:i/>
                <w:iCs/>
                <w:color w:val="000000"/>
                <w:lang w:val="en-US" w:eastAsia="de-DE"/>
              </w:rPr>
              <w:t>et al</w:t>
            </w:r>
            <w:r w:rsidRPr="0037251D">
              <w:rPr>
                <w:rFonts w:ascii="Book Antiqua" w:eastAsia="Times New Roman" w:hAnsi="Book Antiqua"/>
                <w:color w:val="000000"/>
                <w:vertAlign w:val="superscript"/>
                <w:lang w:eastAsia="de-DE"/>
              </w:rPr>
              <w:t>[58]</w:t>
            </w:r>
            <w:r w:rsidRPr="0037251D">
              <w:rPr>
                <w:rFonts w:ascii="Book Antiqua" w:eastAsia="Times New Roman" w:hAnsi="Book Antiqua"/>
                <w:color w:val="000000"/>
                <w:lang w:eastAsia="de-DE"/>
              </w:rPr>
              <w:t>,</w:t>
            </w:r>
            <w:r w:rsidRPr="0037251D">
              <w:rPr>
                <w:rFonts w:ascii="Book Antiqua" w:hAnsi="Book Antiqua" w:cs="Times New Roman"/>
                <w:lang w:val="en-US"/>
              </w:rPr>
              <w:t xml:space="preserve"> 2009</w:t>
            </w:r>
          </w:p>
        </w:tc>
        <w:tc>
          <w:tcPr>
            <w:tcW w:w="2196" w:type="dxa"/>
            <w:tcBorders>
              <w:top w:val="single" w:sz="4" w:space="0" w:color="auto"/>
            </w:tcBorders>
          </w:tcPr>
          <w:p w14:paraId="3A84DD98" w14:textId="2183DABB" w:rsidR="00CB41FA" w:rsidRPr="0037251D" w:rsidRDefault="00CB41FA" w:rsidP="00CB41FA">
            <w:pPr>
              <w:spacing w:line="360" w:lineRule="auto"/>
              <w:jc w:val="both"/>
              <w:rPr>
                <w:rFonts w:ascii="Book Antiqua" w:hAnsi="Book Antiqua"/>
                <w:b/>
                <w:bCs/>
              </w:rPr>
            </w:pPr>
            <w:r w:rsidRPr="0037251D">
              <w:rPr>
                <w:rFonts w:ascii="Book Antiqua" w:hAnsi="Book Antiqua" w:cs="Times New Roman"/>
              </w:rPr>
              <w:t xml:space="preserve">Agnelli </w:t>
            </w:r>
            <w:r w:rsidRPr="0037251D">
              <w:rPr>
                <w:rFonts w:ascii="Book Antiqua" w:eastAsia="Times New Roman" w:hAnsi="Book Antiqua" w:cs="Times New Roman"/>
                <w:i/>
                <w:iCs/>
                <w:color w:val="000000"/>
                <w:lang w:val="en-US" w:eastAsia="de-DE"/>
              </w:rPr>
              <w:t>et al</w:t>
            </w:r>
            <w:r w:rsidRPr="0037251D">
              <w:rPr>
                <w:rFonts w:ascii="Book Antiqua" w:eastAsia="Times New Roman" w:hAnsi="Book Antiqua"/>
                <w:color w:val="000000"/>
                <w:vertAlign w:val="superscript"/>
                <w:lang w:eastAsia="de-DE"/>
              </w:rPr>
              <w:t>[59]</w:t>
            </w:r>
            <w:r w:rsidRPr="0037251D">
              <w:rPr>
                <w:rFonts w:ascii="Book Antiqua" w:eastAsia="Times New Roman" w:hAnsi="Book Antiqua"/>
                <w:color w:val="000000"/>
                <w:lang w:eastAsia="de-DE"/>
              </w:rPr>
              <w:t>,</w:t>
            </w:r>
            <w:r w:rsidRPr="0037251D">
              <w:rPr>
                <w:rFonts w:ascii="Book Antiqua" w:hAnsi="Book Antiqua" w:cs="Times New Roman"/>
              </w:rPr>
              <w:t xml:space="preserve"> 2012</w:t>
            </w:r>
          </w:p>
        </w:tc>
        <w:tc>
          <w:tcPr>
            <w:tcW w:w="2196" w:type="dxa"/>
            <w:tcBorders>
              <w:top w:val="single" w:sz="4" w:space="0" w:color="auto"/>
            </w:tcBorders>
          </w:tcPr>
          <w:p w14:paraId="1635F599" w14:textId="40F327C6" w:rsidR="00CB41FA" w:rsidRPr="0037251D" w:rsidRDefault="00CB41FA" w:rsidP="00CB41FA">
            <w:pPr>
              <w:spacing w:line="360" w:lineRule="auto"/>
              <w:jc w:val="both"/>
              <w:rPr>
                <w:rFonts w:ascii="Book Antiqua" w:hAnsi="Book Antiqua"/>
                <w:b/>
                <w:bCs/>
              </w:rPr>
            </w:pPr>
            <w:r w:rsidRPr="0037251D">
              <w:rPr>
                <w:rFonts w:ascii="Book Antiqua" w:hAnsi="Book Antiqua" w:cs="Times New Roman"/>
                <w:lang w:val="en-US"/>
              </w:rPr>
              <w:t xml:space="preserve">Maraveyas </w:t>
            </w:r>
            <w:r w:rsidRPr="0037251D">
              <w:rPr>
                <w:rFonts w:ascii="Book Antiqua" w:eastAsia="Times New Roman" w:hAnsi="Book Antiqua" w:cs="Times New Roman"/>
                <w:i/>
                <w:iCs/>
                <w:color w:val="000000"/>
                <w:lang w:val="en-US" w:eastAsia="de-DE"/>
              </w:rPr>
              <w:t>et al</w:t>
            </w:r>
            <w:r w:rsidRPr="0037251D">
              <w:rPr>
                <w:rFonts w:ascii="Book Antiqua" w:eastAsia="Times New Roman" w:hAnsi="Book Antiqua"/>
                <w:color w:val="000000"/>
                <w:vertAlign w:val="superscript"/>
                <w:lang w:eastAsia="de-DE"/>
              </w:rPr>
              <w:t>[54]</w:t>
            </w:r>
            <w:r w:rsidRPr="0037251D">
              <w:rPr>
                <w:rFonts w:ascii="Book Antiqua" w:eastAsia="Times New Roman" w:hAnsi="Book Antiqua"/>
                <w:color w:val="000000"/>
                <w:lang w:eastAsia="de-DE"/>
              </w:rPr>
              <w:t>,</w:t>
            </w:r>
            <w:r w:rsidRPr="0037251D">
              <w:rPr>
                <w:rFonts w:ascii="Book Antiqua" w:hAnsi="Book Antiqua" w:cs="Times New Roman"/>
                <w:lang w:val="en-US"/>
              </w:rPr>
              <w:t xml:space="preserve"> 2012</w:t>
            </w:r>
          </w:p>
        </w:tc>
        <w:tc>
          <w:tcPr>
            <w:tcW w:w="2197" w:type="dxa"/>
            <w:tcBorders>
              <w:top w:val="single" w:sz="4" w:space="0" w:color="auto"/>
            </w:tcBorders>
          </w:tcPr>
          <w:p w14:paraId="2F1BBF35" w14:textId="6403F344" w:rsidR="00CB41FA" w:rsidRPr="0037251D" w:rsidRDefault="00CB41FA" w:rsidP="00CB41FA">
            <w:pPr>
              <w:spacing w:line="360" w:lineRule="auto"/>
              <w:jc w:val="both"/>
              <w:rPr>
                <w:rFonts w:ascii="Book Antiqua" w:hAnsi="Book Antiqua"/>
                <w:b/>
                <w:bCs/>
              </w:rPr>
            </w:pPr>
            <w:r w:rsidRPr="0037251D">
              <w:rPr>
                <w:rFonts w:ascii="Book Antiqua" w:hAnsi="Book Antiqua" w:cs="Times New Roman"/>
                <w:lang w:val="en-US"/>
              </w:rPr>
              <w:t xml:space="preserve">Pelzer </w:t>
            </w:r>
            <w:r w:rsidRPr="0037251D">
              <w:rPr>
                <w:rFonts w:ascii="Book Antiqua" w:eastAsia="Times New Roman" w:hAnsi="Book Antiqua" w:cs="Times New Roman"/>
                <w:i/>
                <w:iCs/>
                <w:color w:val="000000"/>
                <w:lang w:val="en-US" w:eastAsia="de-DE"/>
              </w:rPr>
              <w:t>et al</w:t>
            </w:r>
            <w:r w:rsidRPr="0037251D">
              <w:rPr>
                <w:rFonts w:ascii="Book Antiqua" w:eastAsia="Times New Roman" w:hAnsi="Book Antiqua"/>
                <w:color w:val="000000"/>
                <w:vertAlign w:val="superscript"/>
                <w:lang w:eastAsia="de-DE"/>
              </w:rPr>
              <w:t>[55]</w:t>
            </w:r>
            <w:r w:rsidRPr="0037251D">
              <w:rPr>
                <w:rFonts w:ascii="Book Antiqua" w:eastAsia="Times New Roman" w:hAnsi="Book Antiqua"/>
                <w:color w:val="000000"/>
                <w:lang w:eastAsia="de-DE"/>
              </w:rPr>
              <w:t>,</w:t>
            </w:r>
            <w:r w:rsidRPr="0037251D">
              <w:rPr>
                <w:rFonts w:ascii="Book Antiqua" w:hAnsi="Book Antiqua" w:cs="Times New Roman"/>
                <w:lang w:val="en-US"/>
              </w:rPr>
              <w:t xml:space="preserve"> 2015</w:t>
            </w:r>
          </w:p>
        </w:tc>
        <w:tc>
          <w:tcPr>
            <w:tcW w:w="2197" w:type="dxa"/>
            <w:tcBorders>
              <w:top w:val="single" w:sz="4" w:space="0" w:color="auto"/>
            </w:tcBorders>
          </w:tcPr>
          <w:p w14:paraId="568318D0" w14:textId="1C5D7498" w:rsidR="00CB41FA" w:rsidRPr="0037251D" w:rsidRDefault="00CB41FA" w:rsidP="00CB41FA">
            <w:pPr>
              <w:spacing w:line="360" w:lineRule="auto"/>
              <w:jc w:val="both"/>
              <w:rPr>
                <w:rFonts w:ascii="Book Antiqua" w:hAnsi="Book Antiqua"/>
                <w:b/>
                <w:caps/>
                <w:lang w:eastAsia="fr-FR"/>
              </w:rPr>
            </w:pPr>
            <w:r w:rsidRPr="0037251D">
              <w:rPr>
                <w:rFonts w:ascii="Book Antiqua" w:hAnsi="Book Antiqua" w:cs="Times New Roman"/>
              </w:rPr>
              <w:t xml:space="preserve">Khorana </w:t>
            </w:r>
            <w:r w:rsidRPr="0037251D">
              <w:rPr>
                <w:rFonts w:ascii="Book Antiqua" w:eastAsia="Times New Roman" w:hAnsi="Book Antiqua" w:cs="Times New Roman"/>
                <w:i/>
                <w:iCs/>
                <w:color w:val="000000"/>
                <w:lang w:val="en-US" w:eastAsia="de-DE"/>
              </w:rPr>
              <w:t>et al</w:t>
            </w:r>
            <w:r w:rsidRPr="0037251D">
              <w:rPr>
                <w:rFonts w:ascii="Book Antiqua" w:eastAsia="Times New Roman" w:hAnsi="Book Antiqua"/>
                <w:color w:val="000000"/>
                <w:vertAlign w:val="superscript"/>
                <w:lang w:eastAsia="de-DE"/>
              </w:rPr>
              <w:t>[61]</w:t>
            </w:r>
            <w:r w:rsidRPr="0037251D">
              <w:rPr>
                <w:rFonts w:ascii="Book Antiqua" w:eastAsia="Times New Roman" w:hAnsi="Book Antiqua"/>
                <w:color w:val="000000"/>
                <w:lang w:eastAsia="de-DE"/>
              </w:rPr>
              <w:t>,</w:t>
            </w:r>
            <w:r w:rsidRPr="0037251D">
              <w:rPr>
                <w:rFonts w:ascii="Book Antiqua" w:hAnsi="Book Antiqua" w:cs="Times New Roman"/>
              </w:rPr>
              <w:t xml:space="preserve"> 2019</w:t>
            </w:r>
            <w:r w:rsidRPr="0037251D">
              <w:rPr>
                <w:rFonts w:ascii="Book Antiqua" w:hAnsi="Book Antiqua" w:cs="Times New Roman"/>
                <w:lang w:val="en-US"/>
              </w:rPr>
              <w:t xml:space="preserve"> and </w:t>
            </w:r>
            <w:r w:rsidRPr="0037251D">
              <w:rPr>
                <w:rFonts w:ascii="Book Antiqua" w:hAnsi="Book Antiqua" w:cs="Times New Roman"/>
              </w:rPr>
              <w:t xml:space="preserve">Vadhan-Raj </w:t>
            </w:r>
            <w:r w:rsidRPr="0037251D">
              <w:rPr>
                <w:rFonts w:ascii="Book Antiqua" w:eastAsia="Times New Roman" w:hAnsi="Book Antiqua" w:cs="Times New Roman"/>
                <w:i/>
                <w:iCs/>
                <w:color w:val="000000"/>
                <w:lang w:val="en-US" w:eastAsia="de-DE"/>
              </w:rPr>
              <w:t>et al</w:t>
            </w:r>
            <w:r w:rsidRPr="0037251D">
              <w:rPr>
                <w:rFonts w:ascii="Book Antiqua" w:eastAsia="Times New Roman" w:hAnsi="Book Antiqua"/>
                <w:color w:val="000000"/>
                <w:vertAlign w:val="superscript"/>
                <w:lang w:eastAsia="de-DE"/>
              </w:rPr>
              <w:t>[41]</w:t>
            </w:r>
            <w:r w:rsidRPr="0037251D">
              <w:rPr>
                <w:rFonts w:ascii="Book Antiqua" w:eastAsia="Times New Roman" w:hAnsi="Book Antiqua"/>
                <w:color w:val="000000"/>
                <w:lang w:eastAsia="de-DE"/>
              </w:rPr>
              <w:t>,</w:t>
            </w:r>
            <w:r w:rsidRPr="0037251D">
              <w:rPr>
                <w:rFonts w:ascii="Book Antiqua" w:hAnsi="Book Antiqua" w:cs="Times New Roman"/>
              </w:rPr>
              <w:t xml:space="preserve"> 2020</w:t>
            </w:r>
          </w:p>
        </w:tc>
      </w:tr>
      <w:tr w:rsidR="00CB41FA" w:rsidRPr="0037251D" w14:paraId="55F5FEFF" w14:textId="77777777" w:rsidTr="000B5AAD">
        <w:tc>
          <w:tcPr>
            <w:tcW w:w="2195" w:type="dxa"/>
          </w:tcPr>
          <w:p w14:paraId="2FBB9686" w14:textId="51764DFC"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t>Population</w:t>
            </w:r>
          </w:p>
        </w:tc>
        <w:tc>
          <w:tcPr>
            <w:tcW w:w="2195" w:type="dxa"/>
          </w:tcPr>
          <w:p w14:paraId="3883BDBE" w14:textId="1CF79763"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t>Ambulatory patients &gt; 18 yr on chemotherapy with metastatic or locally advanced lung, gastrointestinal, breast, ovarian, or head and neck cancer</w:t>
            </w:r>
          </w:p>
        </w:tc>
        <w:tc>
          <w:tcPr>
            <w:tcW w:w="2196" w:type="dxa"/>
          </w:tcPr>
          <w:p w14:paraId="407A7D47" w14:textId="41377C77" w:rsidR="00CB41FA" w:rsidRPr="0037251D" w:rsidRDefault="00CB41FA" w:rsidP="00CB41FA">
            <w:pPr>
              <w:spacing w:line="360" w:lineRule="auto"/>
              <w:rPr>
                <w:rFonts w:ascii="Book Antiqua" w:hAnsi="Book Antiqua" w:cs="Times New Roman"/>
                <w:b/>
                <w:bCs/>
                <w:lang w:val="en-US"/>
              </w:rPr>
            </w:pPr>
            <w:r w:rsidRPr="0037251D">
              <w:rPr>
                <w:rFonts w:ascii="Book Antiqua" w:hAnsi="Book Antiqua" w:cs="Times New Roman"/>
                <w:lang w:val="en-US"/>
              </w:rPr>
              <w:t>Patients with metastatic or locally advanced lung, pancreatic, gastric, colorectal, bladder, and ovarian cancer beginning to receive a course of chemotherapy</w:t>
            </w:r>
          </w:p>
        </w:tc>
        <w:tc>
          <w:tcPr>
            <w:tcW w:w="2196" w:type="dxa"/>
          </w:tcPr>
          <w:p w14:paraId="5F83D189" w14:textId="2F96C597"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t>Patients aged 18 yr or older; Histologically/cytologically confirmed advanced or metastatic pancreatic cancer; KPS: 60-100</w:t>
            </w:r>
          </w:p>
        </w:tc>
        <w:tc>
          <w:tcPr>
            <w:tcW w:w="2197" w:type="dxa"/>
          </w:tcPr>
          <w:p w14:paraId="2956E9C5" w14:textId="380C802A" w:rsidR="00CB41FA" w:rsidRPr="0037251D" w:rsidRDefault="00CB41FA" w:rsidP="003C1737">
            <w:pPr>
              <w:spacing w:line="360" w:lineRule="auto"/>
              <w:rPr>
                <w:rFonts w:ascii="Book Antiqua" w:hAnsi="Book Antiqua" w:cs="Times New Roman"/>
                <w:b/>
                <w:bCs/>
                <w:lang w:val="en-US"/>
              </w:rPr>
            </w:pPr>
            <w:r w:rsidRPr="0037251D">
              <w:rPr>
                <w:rFonts w:ascii="Book Antiqua" w:hAnsi="Book Antiqua" w:cs="Times New Roman"/>
                <w:lang w:val="en-US"/>
              </w:rPr>
              <w:t>Patients with histologically proven advanced pancreatic cancer were randomly assigned to ambulant first-line chemotherapy</w:t>
            </w:r>
          </w:p>
        </w:tc>
        <w:tc>
          <w:tcPr>
            <w:tcW w:w="2197" w:type="dxa"/>
          </w:tcPr>
          <w:p w14:paraId="3517326B" w14:textId="028EDBE2" w:rsidR="00CB41FA" w:rsidRPr="0037251D" w:rsidRDefault="00CB41FA" w:rsidP="003C1737">
            <w:pPr>
              <w:spacing w:line="360" w:lineRule="auto"/>
              <w:rPr>
                <w:rFonts w:ascii="Book Antiqua" w:hAnsi="Book Antiqua" w:cs="Times New Roman"/>
                <w:b/>
                <w:bCs/>
                <w:lang w:val="en-US"/>
              </w:rPr>
            </w:pPr>
            <w:r w:rsidRPr="0037251D">
              <w:rPr>
                <w:rFonts w:ascii="Book Antiqua" w:hAnsi="Book Antiqua" w:cs="Times New Roman"/>
                <w:lang w:val="en-US"/>
              </w:rPr>
              <w:t>Adult ambulatory patients with various cancers initiating a new systemic regimen and at increased risk for VTE (defined as Khorana score ≥ 2)</w:t>
            </w:r>
          </w:p>
        </w:tc>
      </w:tr>
      <w:tr w:rsidR="00CB41FA" w:rsidRPr="0037251D" w14:paraId="37016E8B" w14:textId="77777777" w:rsidTr="000B5AAD">
        <w:tc>
          <w:tcPr>
            <w:tcW w:w="2195" w:type="dxa"/>
          </w:tcPr>
          <w:p w14:paraId="59446B74" w14:textId="77777777"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t>Study design</w:t>
            </w:r>
          </w:p>
        </w:tc>
        <w:tc>
          <w:tcPr>
            <w:tcW w:w="2195" w:type="dxa"/>
          </w:tcPr>
          <w:p w14:paraId="645E560C" w14:textId="256AD4EC"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t xml:space="preserve">Randomized, placebo-controlled, </w:t>
            </w:r>
            <w:r w:rsidRPr="0037251D">
              <w:rPr>
                <w:rFonts w:ascii="Book Antiqua" w:hAnsi="Book Antiqua" w:cs="Times New Roman"/>
                <w:lang w:val="en-US"/>
              </w:rPr>
              <w:lastRenderedPageBreak/>
              <w:t>double-blind, multicenter study</w:t>
            </w:r>
          </w:p>
        </w:tc>
        <w:tc>
          <w:tcPr>
            <w:tcW w:w="2196" w:type="dxa"/>
          </w:tcPr>
          <w:p w14:paraId="1217F4C3" w14:textId="77777777"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lastRenderedPageBreak/>
              <w:t xml:space="preserve">Randomized, placebo-controlled, </w:t>
            </w:r>
            <w:r w:rsidRPr="0037251D">
              <w:rPr>
                <w:rFonts w:ascii="Book Antiqua" w:hAnsi="Book Antiqua" w:cs="Times New Roman"/>
                <w:lang w:val="en-US"/>
              </w:rPr>
              <w:lastRenderedPageBreak/>
              <w:t>double-blind, multicenter study</w:t>
            </w:r>
          </w:p>
        </w:tc>
        <w:tc>
          <w:tcPr>
            <w:tcW w:w="2196" w:type="dxa"/>
          </w:tcPr>
          <w:p w14:paraId="3C158D9E" w14:textId="77777777"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lastRenderedPageBreak/>
              <w:t xml:space="preserve">Randomized, controlled Phase 2b </w:t>
            </w:r>
            <w:r w:rsidRPr="0037251D">
              <w:rPr>
                <w:rFonts w:ascii="Book Antiqua" w:hAnsi="Book Antiqua" w:cs="Times New Roman"/>
                <w:lang w:val="en-US"/>
              </w:rPr>
              <w:lastRenderedPageBreak/>
              <w:t>study</w:t>
            </w:r>
          </w:p>
        </w:tc>
        <w:tc>
          <w:tcPr>
            <w:tcW w:w="2197" w:type="dxa"/>
          </w:tcPr>
          <w:p w14:paraId="21E6C9C1" w14:textId="77777777"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lastRenderedPageBreak/>
              <w:t xml:space="preserve">Prospective, open label, randomized, </w:t>
            </w:r>
            <w:r w:rsidRPr="0037251D">
              <w:rPr>
                <w:rFonts w:ascii="Book Antiqua" w:hAnsi="Book Antiqua" w:cs="Times New Roman"/>
                <w:lang w:val="en-US"/>
              </w:rPr>
              <w:lastRenderedPageBreak/>
              <w:t>multicenter and group-sequential 2b trial</w:t>
            </w:r>
          </w:p>
        </w:tc>
        <w:tc>
          <w:tcPr>
            <w:tcW w:w="2197" w:type="dxa"/>
          </w:tcPr>
          <w:p w14:paraId="23600DE2" w14:textId="0E772B3E" w:rsidR="00CB41FA" w:rsidRPr="0037251D" w:rsidRDefault="00CB41FA" w:rsidP="00CB41FA">
            <w:pPr>
              <w:spacing w:line="360" w:lineRule="auto"/>
              <w:rPr>
                <w:rFonts w:ascii="Book Antiqua" w:hAnsi="Book Antiqua" w:cs="Times New Roman"/>
                <w:lang w:val="en-US" w:eastAsia="x-none"/>
              </w:rPr>
            </w:pPr>
            <w:r w:rsidRPr="0037251D">
              <w:rPr>
                <w:rFonts w:ascii="Book Antiqua" w:hAnsi="Book Antiqua" w:cs="Times New Roman"/>
                <w:lang w:val="en-US" w:eastAsia="x-none"/>
              </w:rPr>
              <w:lastRenderedPageBreak/>
              <w:t xml:space="preserve">Double-blind, randomized, </w:t>
            </w:r>
            <w:r w:rsidRPr="0037251D">
              <w:rPr>
                <w:rFonts w:ascii="Book Antiqua" w:hAnsi="Book Antiqua" w:cs="Times New Roman"/>
                <w:lang w:val="en-US" w:eastAsia="x-none"/>
              </w:rPr>
              <w:lastRenderedPageBreak/>
              <w:t>placebo-controlled, parallel-group, multicenter study</w:t>
            </w:r>
          </w:p>
        </w:tc>
      </w:tr>
      <w:tr w:rsidR="00CB41FA" w:rsidRPr="0037251D" w14:paraId="4971ABC3" w14:textId="77777777" w:rsidTr="000B5AAD">
        <w:tc>
          <w:tcPr>
            <w:tcW w:w="2195" w:type="dxa"/>
          </w:tcPr>
          <w:p w14:paraId="4CFAA35C" w14:textId="0CC2A445"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lastRenderedPageBreak/>
              <w:t>Intervention</w:t>
            </w:r>
          </w:p>
        </w:tc>
        <w:tc>
          <w:tcPr>
            <w:tcW w:w="2195" w:type="dxa"/>
          </w:tcPr>
          <w:p w14:paraId="0D57F1EB" w14:textId="43B20022" w:rsidR="00CB41FA" w:rsidRPr="0037251D" w:rsidRDefault="00CB41FA" w:rsidP="003C1737">
            <w:pPr>
              <w:spacing w:line="360" w:lineRule="auto"/>
              <w:rPr>
                <w:rFonts w:ascii="Book Antiqua" w:hAnsi="Book Antiqua" w:cs="Times New Roman"/>
                <w:b/>
                <w:bCs/>
                <w:lang w:val="en-US"/>
              </w:rPr>
            </w:pPr>
            <w:r w:rsidRPr="0037251D">
              <w:rPr>
                <w:rFonts w:ascii="Book Antiqua" w:hAnsi="Book Antiqua" w:cs="Times New Roman"/>
                <w:lang w:val="en-US"/>
              </w:rPr>
              <w:t>Arm A: nadroparin 3800 IU/d</w:t>
            </w:r>
            <w:r w:rsidR="003C1737" w:rsidRPr="0037251D">
              <w:rPr>
                <w:rFonts w:ascii="Book Antiqua" w:hAnsi="Book Antiqua" w:cs="Times New Roman"/>
                <w:lang w:val="en-US"/>
              </w:rPr>
              <w:t xml:space="preserve">; </w:t>
            </w:r>
            <w:r w:rsidRPr="0037251D">
              <w:rPr>
                <w:rFonts w:ascii="Book Antiqua" w:hAnsi="Book Antiqua" w:cs="Times New Roman"/>
                <w:lang w:val="en-US"/>
              </w:rPr>
              <w:t>Arm B: placebo</w:t>
            </w:r>
            <w:r w:rsidR="003C1737" w:rsidRPr="0037251D">
              <w:rPr>
                <w:rFonts w:ascii="Book Antiqua" w:hAnsi="Book Antiqua" w:cs="Times New Roman"/>
                <w:lang w:val="en-US"/>
              </w:rPr>
              <w:t xml:space="preserve">; </w:t>
            </w:r>
            <w:r w:rsidRPr="0037251D">
              <w:rPr>
                <w:rFonts w:ascii="Book Antiqua" w:hAnsi="Book Antiqua" w:cs="Times New Roman"/>
                <w:lang w:val="en-US"/>
              </w:rPr>
              <w:t>For duration of chemotherapy</w:t>
            </w:r>
            <w:r w:rsidR="003C1737" w:rsidRPr="0037251D">
              <w:rPr>
                <w:rFonts w:ascii="Book Antiqua" w:hAnsi="Book Antiqua" w:cs="Times New Roman"/>
                <w:lang w:val="en-US"/>
              </w:rPr>
              <w:t xml:space="preserve"> </w:t>
            </w:r>
            <w:r w:rsidRPr="0037251D">
              <w:rPr>
                <w:rFonts w:ascii="Book Antiqua" w:hAnsi="Book Antiqua" w:cs="Times New Roman"/>
                <w:lang w:val="en-US"/>
              </w:rPr>
              <w:t>(up to 4 mo maximum)</w:t>
            </w:r>
          </w:p>
        </w:tc>
        <w:tc>
          <w:tcPr>
            <w:tcW w:w="2196" w:type="dxa"/>
          </w:tcPr>
          <w:p w14:paraId="075DC684" w14:textId="6EF259EA" w:rsidR="00CB41FA" w:rsidRPr="0037251D" w:rsidRDefault="00CB41FA" w:rsidP="003C1737">
            <w:pPr>
              <w:spacing w:line="360" w:lineRule="auto"/>
              <w:rPr>
                <w:rFonts w:ascii="Book Antiqua" w:hAnsi="Book Antiqua" w:cs="Times New Roman"/>
                <w:b/>
                <w:bCs/>
                <w:lang w:val="en-US"/>
              </w:rPr>
            </w:pPr>
            <w:r w:rsidRPr="0037251D">
              <w:rPr>
                <w:rFonts w:ascii="Book Antiqua" w:hAnsi="Book Antiqua" w:cs="Times New Roman"/>
                <w:lang w:val="en-US"/>
              </w:rPr>
              <w:t>Arm A: Semuloparin, 20 mg/d</w:t>
            </w:r>
            <w:r w:rsidR="003C1737" w:rsidRPr="0037251D">
              <w:rPr>
                <w:rFonts w:ascii="Book Antiqua" w:hAnsi="Book Antiqua" w:cs="Times New Roman"/>
                <w:lang w:val="en-US"/>
              </w:rPr>
              <w:t xml:space="preserve">; </w:t>
            </w:r>
            <w:r w:rsidRPr="0037251D">
              <w:rPr>
                <w:rFonts w:ascii="Book Antiqua" w:hAnsi="Book Antiqua" w:cs="Times New Roman"/>
                <w:lang w:val="en-US"/>
              </w:rPr>
              <w:t>Arm B: placebo</w:t>
            </w:r>
            <w:r w:rsidR="003C1737" w:rsidRPr="0037251D">
              <w:rPr>
                <w:rFonts w:ascii="Book Antiqua" w:hAnsi="Book Antiqua" w:cs="Times New Roman"/>
                <w:lang w:val="en-US"/>
              </w:rPr>
              <w:t xml:space="preserve">; </w:t>
            </w:r>
            <w:r w:rsidRPr="0037251D">
              <w:rPr>
                <w:rFonts w:ascii="Book Antiqua" w:hAnsi="Book Antiqua" w:cs="Times New Roman"/>
                <w:lang w:val="en-US"/>
              </w:rPr>
              <w:t>For duration of chemotherapy (median: 3.5 mo)</w:t>
            </w:r>
          </w:p>
        </w:tc>
        <w:tc>
          <w:tcPr>
            <w:tcW w:w="2196" w:type="dxa"/>
          </w:tcPr>
          <w:p w14:paraId="1E3F9307" w14:textId="75BDEBEB" w:rsidR="00CB41FA" w:rsidRPr="0037251D" w:rsidRDefault="00CB41FA" w:rsidP="003C1737">
            <w:pPr>
              <w:spacing w:line="360" w:lineRule="auto"/>
              <w:rPr>
                <w:rFonts w:ascii="Book Antiqua" w:hAnsi="Book Antiqua" w:cs="Times New Roman"/>
                <w:lang w:val="en-US"/>
              </w:rPr>
            </w:pPr>
            <w:r w:rsidRPr="0037251D">
              <w:rPr>
                <w:rFonts w:ascii="Book Antiqua" w:hAnsi="Book Antiqua" w:cs="Times New Roman"/>
                <w:lang w:val="en-US"/>
              </w:rPr>
              <w:t>Arm A: Gemcitabine + Dalteparin 200 IU/kg s.c., o.d., for 4 w</w:t>
            </w:r>
            <w:r w:rsidR="003C1737" w:rsidRPr="0037251D">
              <w:rPr>
                <w:rFonts w:ascii="Book Antiqua" w:hAnsi="Book Antiqua" w:cs="Times New Roman"/>
                <w:lang w:val="en-US"/>
              </w:rPr>
              <w:t>k</w:t>
            </w:r>
            <w:r w:rsidRPr="0037251D">
              <w:rPr>
                <w:rFonts w:ascii="Book Antiqua" w:hAnsi="Book Antiqua" w:cs="Times New Roman"/>
                <w:lang w:val="en-US"/>
              </w:rPr>
              <w:t>, followed by a step</w:t>
            </w:r>
            <w:r w:rsidR="003C1737" w:rsidRPr="0037251D">
              <w:rPr>
                <w:rFonts w:ascii="Book Antiqua" w:hAnsi="Book Antiqua" w:cs="Times New Roman"/>
                <w:lang w:val="en-US"/>
              </w:rPr>
              <w:t>-</w:t>
            </w:r>
            <w:r w:rsidRPr="0037251D">
              <w:rPr>
                <w:rFonts w:ascii="Book Antiqua" w:hAnsi="Book Antiqua" w:cs="Times New Roman"/>
                <w:lang w:val="en-US"/>
              </w:rPr>
              <w:t>down regimen to 150 IU/kg for a further 8 w</w:t>
            </w:r>
            <w:r w:rsidR="003C1737" w:rsidRPr="0037251D">
              <w:rPr>
                <w:rFonts w:ascii="Book Antiqua" w:hAnsi="Book Antiqua" w:cs="Times New Roman"/>
                <w:lang w:val="en-US"/>
              </w:rPr>
              <w:t>k</w:t>
            </w:r>
            <w:r w:rsidRPr="0037251D">
              <w:rPr>
                <w:rFonts w:ascii="Book Antiqua" w:hAnsi="Book Antiqua" w:cs="Times New Roman"/>
                <w:lang w:val="en-US"/>
              </w:rPr>
              <w:t>)</w:t>
            </w:r>
            <w:r w:rsidR="003C1737" w:rsidRPr="0037251D">
              <w:rPr>
                <w:rFonts w:ascii="Book Antiqua" w:hAnsi="Book Antiqua" w:cs="Times New Roman"/>
                <w:lang w:val="en-US"/>
              </w:rPr>
              <w:t xml:space="preserve">; </w:t>
            </w:r>
            <w:r w:rsidRPr="0037251D">
              <w:rPr>
                <w:rFonts w:ascii="Book Antiqua" w:hAnsi="Book Antiqua" w:cs="Times New Roman"/>
                <w:lang w:val="en-US"/>
              </w:rPr>
              <w:t>Arm B: Gemcitabine alone</w:t>
            </w:r>
            <w:r w:rsidR="003C1737" w:rsidRPr="0037251D">
              <w:rPr>
                <w:rFonts w:ascii="Book Antiqua" w:hAnsi="Book Antiqua" w:cs="Times New Roman"/>
                <w:lang w:val="en-US"/>
              </w:rPr>
              <w:t xml:space="preserve">; </w:t>
            </w:r>
            <w:r w:rsidRPr="0037251D">
              <w:rPr>
                <w:rFonts w:ascii="Book Antiqua" w:hAnsi="Book Antiqua" w:cs="Times New Roman"/>
                <w:lang w:val="en-US"/>
              </w:rPr>
              <w:t>For up to 12 w</w:t>
            </w:r>
            <w:r w:rsidR="003C1737" w:rsidRPr="0037251D">
              <w:rPr>
                <w:rFonts w:ascii="Book Antiqua" w:hAnsi="Book Antiqua" w:cs="Times New Roman"/>
                <w:lang w:val="en-US"/>
              </w:rPr>
              <w:t>k</w:t>
            </w:r>
          </w:p>
        </w:tc>
        <w:tc>
          <w:tcPr>
            <w:tcW w:w="2197" w:type="dxa"/>
          </w:tcPr>
          <w:p w14:paraId="48BDE1EB" w14:textId="016180DD" w:rsidR="00CB41FA" w:rsidRPr="0037251D" w:rsidRDefault="00CB41FA" w:rsidP="003C1737">
            <w:pPr>
              <w:spacing w:line="360" w:lineRule="auto"/>
              <w:rPr>
                <w:rFonts w:ascii="Book Antiqua" w:hAnsi="Book Antiqua" w:cs="Times New Roman"/>
                <w:lang w:val="en-US"/>
              </w:rPr>
            </w:pPr>
            <w:r w:rsidRPr="0037251D">
              <w:rPr>
                <w:rFonts w:ascii="Book Antiqua" w:hAnsi="Book Antiqua" w:cs="Times New Roman"/>
                <w:lang w:val="en-US"/>
              </w:rPr>
              <w:t>Arm A: Enoxaparin 1 mg/kg</w:t>
            </w:r>
            <w:r w:rsidR="003C1737" w:rsidRPr="0037251D">
              <w:rPr>
                <w:rFonts w:ascii="Book Antiqua" w:hAnsi="Book Antiqua" w:cs="Times New Roman"/>
                <w:lang w:val="en-US"/>
              </w:rPr>
              <w:t xml:space="preserve"> per </w:t>
            </w:r>
            <w:r w:rsidRPr="0037251D">
              <w:rPr>
                <w:rFonts w:ascii="Book Antiqua" w:hAnsi="Book Antiqua" w:cs="Times New Roman"/>
                <w:lang w:val="en-US"/>
              </w:rPr>
              <w:t>day</w:t>
            </w:r>
            <w:r w:rsidR="003C1737" w:rsidRPr="0037251D">
              <w:rPr>
                <w:rFonts w:ascii="Book Antiqua" w:hAnsi="Book Antiqua" w:cs="Times New Roman"/>
                <w:lang w:val="en-US"/>
              </w:rPr>
              <w:t xml:space="preserve">; </w:t>
            </w:r>
            <w:r w:rsidRPr="0037251D">
              <w:rPr>
                <w:rFonts w:ascii="Book Antiqua" w:hAnsi="Book Antiqua" w:cs="Times New Roman"/>
                <w:lang w:val="en-US"/>
              </w:rPr>
              <w:t>Arm B:</w:t>
            </w:r>
            <w:r w:rsidR="003C1737" w:rsidRPr="0037251D">
              <w:rPr>
                <w:rFonts w:ascii="Book Antiqua" w:hAnsi="Book Antiqua" w:cs="Times New Roman"/>
                <w:lang w:val="en-US"/>
              </w:rPr>
              <w:t xml:space="preserve"> N</w:t>
            </w:r>
            <w:r w:rsidRPr="0037251D">
              <w:rPr>
                <w:rFonts w:ascii="Book Antiqua" w:hAnsi="Book Antiqua" w:cs="Times New Roman"/>
                <w:lang w:val="en-US"/>
              </w:rPr>
              <w:t>o en</w:t>
            </w:r>
            <w:r w:rsidRPr="0037251D">
              <w:rPr>
                <w:rFonts w:ascii="Book Antiqua" w:hAnsi="Book Antiqua"/>
              </w:rPr>
              <w:t>oxaparin</w:t>
            </w:r>
          </w:p>
        </w:tc>
        <w:tc>
          <w:tcPr>
            <w:tcW w:w="2197" w:type="dxa"/>
          </w:tcPr>
          <w:p w14:paraId="46BFDC42" w14:textId="2C187CC9" w:rsidR="00CB41FA" w:rsidRPr="0037251D" w:rsidRDefault="00CB41FA" w:rsidP="003C1737">
            <w:pPr>
              <w:spacing w:line="360" w:lineRule="auto"/>
              <w:rPr>
                <w:rFonts w:ascii="Book Antiqua" w:hAnsi="Book Antiqua" w:cs="Times New Roman"/>
                <w:b/>
                <w:bCs/>
                <w:lang w:val="en-US"/>
              </w:rPr>
            </w:pPr>
            <w:r w:rsidRPr="0037251D">
              <w:rPr>
                <w:rFonts w:ascii="Book Antiqua" w:hAnsi="Book Antiqua" w:cs="Times New Roman"/>
                <w:lang w:val="en-US"/>
              </w:rPr>
              <w:t>Arm A: rivaroxaban 10 mg o.d. up to day 180</w:t>
            </w:r>
            <w:r w:rsidR="003C1737" w:rsidRPr="0037251D">
              <w:rPr>
                <w:rFonts w:ascii="Book Antiqua" w:hAnsi="Book Antiqua" w:cs="Times New Roman"/>
                <w:lang w:val="en-US"/>
              </w:rPr>
              <w:t xml:space="preserve">; </w:t>
            </w:r>
            <w:r w:rsidRPr="0037251D">
              <w:rPr>
                <w:rFonts w:ascii="Book Antiqua" w:hAnsi="Book Antiqua" w:cs="Times New Roman"/>
                <w:lang w:val="en-US"/>
              </w:rPr>
              <w:t>Arm B:  placebo up to day 180</w:t>
            </w:r>
          </w:p>
        </w:tc>
      </w:tr>
      <w:tr w:rsidR="00CB41FA" w:rsidRPr="0037251D" w14:paraId="4505D31A" w14:textId="77777777" w:rsidTr="000B5AAD">
        <w:tc>
          <w:tcPr>
            <w:tcW w:w="2195" w:type="dxa"/>
          </w:tcPr>
          <w:p w14:paraId="28D7453D" w14:textId="4277FB31" w:rsidR="00CB41FA" w:rsidRPr="0037251D" w:rsidRDefault="00CB41FA" w:rsidP="00CB41FA">
            <w:pPr>
              <w:spacing w:line="360" w:lineRule="auto"/>
              <w:rPr>
                <w:rFonts w:ascii="Book Antiqua" w:hAnsi="Book Antiqua" w:cs="Times New Roman"/>
              </w:rPr>
            </w:pPr>
            <w:r w:rsidRPr="0037251D">
              <w:rPr>
                <w:rFonts w:ascii="Book Antiqua" w:hAnsi="Book Antiqua" w:cs="Times New Roman"/>
              </w:rPr>
              <w:t>Number of patients analyzed</w:t>
            </w:r>
          </w:p>
        </w:tc>
        <w:tc>
          <w:tcPr>
            <w:tcW w:w="2195" w:type="dxa"/>
          </w:tcPr>
          <w:p w14:paraId="2E979E1B" w14:textId="311FDBDC" w:rsidR="00CB41FA" w:rsidRPr="0037251D" w:rsidRDefault="00CB41FA" w:rsidP="003C1737">
            <w:pPr>
              <w:spacing w:line="360" w:lineRule="auto"/>
              <w:rPr>
                <w:rFonts w:ascii="Book Antiqua" w:hAnsi="Book Antiqua" w:cs="Times New Roman"/>
              </w:rPr>
            </w:pPr>
            <w:r w:rsidRPr="0037251D">
              <w:rPr>
                <w:rFonts w:ascii="Book Antiqua" w:hAnsi="Book Antiqua" w:cs="Times New Roman"/>
                <w:lang w:val="en-US"/>
              </w:rPr>
              <w:t>Overall population</w:t>
            </w:r>
            <w:r w:rsidR="003C1737" w:rsidRPr="0037251D">
              <w:rPr>
                <w:rFonts w:ascii="Book Antiqua" w:hAnsi="Book Antiqua" w:cs="Times New Roman"/>
                <w:lang w:val="en-US"/>
              </w:rPr>
              <w:t xml:space="preserve">: </w:t>
            </w:r>
            <w:r w:rsidRPr="0037251D">
              <w:rPr>
                <w:rFonts w:ascii="Book Antiqua" w:hAnsi="Book Antiqua" w:cs="Times New Roman"/>
                <w:lang w:val="en-US"/>
              </w:rPr>
              <w:t>Arm A: 769 patients</w:t>
            </w:r>
            <w:r w:rsidR="003C1737" w:rsidRPr="0037251D">
              <w:rPr>
                <w:rFonts w:ascii="Book Antiqua" w:hAnsi="Book Antiqua" w:cs="Times New Roman"/>
                <w:lang w:val="en-US"/>
              </w:rPr>
              <w:t xml:space="preserve">; </w:t>
            </w:r>
            <w:r w:rsidRPr="0037251D">
              <w:rPr>
                <w:rFonts w:ascii="Book Antiqua" w:hAnsi="Book Antiqua" w:cs="Times New Roman"/>
                <w:lang w:val="en-US"/>
              </w:rPr>
              <w:t>Arm B: 381 patients</w:t>
            </w:r>
            <w:r w:rsidR="003C1737" w:rsidRPr="0037251D">
              <w:rPr>
                <w:rFonts w:ascii="Book Antiqua" w:hAnsi="Book Antiqua" w:cs="Times New Roman"/>
                <w:lang w:val="en-US"/>
              </w:rPr>
              <w:t xml:space="preserve">. </w:t>
            </w:r>
            <w:r w:rsidRPr="0037251D">
              <w:rPr>
                <w:rFonts w:ascii="Book Antiqua" w:hAnsi="Book Antiqua" w:cs="Times New Roman"/>
              </w:rPr>
              <w:t xml:space="preserve">PC </w:t>
            </w:r>
            <w:r w:rsidRPr="0037251D">
              <w:rPr>
                <w:rFonts w:ascii="Book Antiqua" w:hAnsi="Book Antiqua" w:cs="Times New Roman"/>
              </w:rPr>
              <w:lastRenderedPageBreak/>
              <w:t>subgroup</w:t>
            </w:r>
            <w:r w:rsidR="003C1737" w:rsidRPr="0037251D">
              <w:rPr>
                <w:rFonts w:ascii="Book Antiqua" w:hAnsi="Book Antiqua" w:cs="Times New Roman"/>
              </w:rPr>
              <w:t xml:space="preserve">: </w:t>
            </w:r>
            <w:r w:rsidRPr="0037251D">
              <w:rPr>
                <w:rFonts w:ascii="Book Antiqua" w:hAnsi="Book Antiqua" w:cs="Times New Roman"/>
              </w:rPr>
              <w:t>Arm A: 36 patients</w:t>
            </w:r>
            <w:r w:rsidR="003C1737" w:rsidRPr="0037251D">
              <w:rPr>
                <w:rFonts w:ascii="Book Antiqua" w:hAnsi="Book Antiqua" w:cs="Times New Roman"/>
              </w:rPr>
              <w:t xml:space="preserve">; </w:t>
            </w:r>
            <w:r w:rsidRPr="0037251D">
              <w:rPr>
                <w:rFonts w:ascii="Book Antiqua" w:hAnsi="Book Antiqua" w:cs="Times New Roman"/>
              </w:rPr>
              <w:t>Arm B: 17 patients</w:t>
            </w:r>
          </w:p>
        </w:tc>
        <w:tc>
          <w:tcPr>
            <w:tcW w:w="2196" w:type="dxa"/>
          </w:tcPr>
          <w:p w14:paraId="3D1A9740" w14:textId="08D9131D" w:rsidR="00CB41FA" w:rsidRPr="0037251D" w:rsidRDefault="003C1737" w:rsidP="003C1737">
            <w:pPr>
              <w:spacing w:line="360" w:lineRule="auto"/>
              <w:rPr>
                <w:rFonts w:ascii="Book Antiqua" w:hAnsi="Book Antiqua" w:cs="Times New Roman"/>
                <w:b/>
                <w:bCs/>
              </w:rPr>
            </w:pPr>
            <w:r w:rsidRPr="0037251D">
              <w:rPr>
                <w:rFonts w:ascii="Book Antiqua" w:hAnsi="Book Antiqua" w:cs="Times New Roman"/>
                <w:lang w:val="en-US"/>
              </w:rPr>
              <w:lastRenderedPageBreak/>
              <w:t xml:space="preserve">Overall population: </w:t>
            </w:r>
            <w:r w:rsidR="00CB41FA" w:rsidRPr="0037251D">
              <w:rPr>
                <w:rFonts w:ascii="Book Antiqua" w:hAnsi="Book Antiqua" w:cs="Times New Roman"/>
                <w:lang w:val="en-US"/>
              </w:rPr>
              <w:t>Arm A: 1608 patients</w:t>
            </w:r>
            <w:r w:rsidRPr="0037251D">
              <w:rPr>
                <w:rFonts w:ascii="Book Antiqua" w:hAnsi="Book Antiqua" w:cs="Times New Roman"/>
                <w:lang w:val="en-US"/>
              </w:rPr>
              <w:t xml:space="preserve">; </w:t>
            </w:r>
            <w:r w:rsidR="00CB41FA" w:rsidRPr="0037251D">
              <w:rPr>
                <w:rFonts w:ascii="Book Antiqua" w:hAnsi="Book Antiqua" w:cs="Times New Roman"/>
                <w:lang w:val="en-US"/>
              </w:rPr>
              <w:t>Arm B: 1604 patients</w:t>
            </w:r>
            <w:r w:rsidRPr="0037251D">
              <w:rPr>
                <w:rFonts w:ascii="Book Antiqua" w:hAnsi="Book Antiqua" w:cs="Times New Roman"/>
                <w:lang w:val="en-US"/>
              </w:rPr>
              <w:t xml:space="preserve">. </w:t>
            </w:r>
            <w:r w:rsidR="00CB41FA" w:rsidRPr="0037251D">
              <w:rPr>
                <w:rFonts w:ascii="Book Antiqua" w:hAnsi="Book Antiqua" w:cs="Times New Roman"/>
              </w:rPr>
              <w:t xml:space="preserve">PC </w:t>
            </w:r>
            <w:r w:rsidR="00CB41FA" w:rsidRPr="0037251D">
              <w:rPr>
                <w:rFonts w:ascii="Book Antiqua" w:hAnsi="Book Antiqua" w:cs="Times New Roman"/>
              </w:rPr>
              <w:lastRenderedPageBreak/>
              <w:t>subgroup</w:t>
            </w:r>
            <w:r w:rsidRPr="0037251D">
              <w:rPr>
                <w:rFonts w:ascii="Book Antiqua" w:hAnsi="Book Antiqua" w:cs="Times New Roman"/>
              </w:rPr>
              <w:t xml:space="preserve">: </w:t>
            </w:r>
            <w:r w:rsidR="00CB41FA" w:rsidRPr="0037251D">
              <w:rPr>
                <w:rFonts w:ascii="Book Antiqua" w:hAnsi="Book Antiqua" w:cs="Times New Roman"/>
              </w:rPr>
              <w:t>Arm A: 126 patients</w:t>
            </w:r>
            <w:r w:rsidRPr="0037251D">
              <w:rPr>
                <w:rFonts w:ascii="Book Antiqua" w:hAnsi="Book Antiqua" w:cs="Times New Roman"/>
              </w:rPr>
              <w:t xml:space="preserve">; </w:t>
            </w:r>
            <w:r w:rsidR="00CB41FA" w:rsidRPr="0037251D">
              <w:rPr>
                <w:rFonts w:ascii="Book Antiqua" w:hAnsi="Book Antiqua" w:cs="Times New Roman"/>
              </w:rPr>
              <w:t>Arm B: 128 patients</w:t>
            </w:r>
          </w:p>
        </w:tc>
        <w:tc>
          <w:tcPr>
            <w:tcW w:w="2196" w:type="dxa"/>
          </w:tcPr>
          <w:p w14:paraId="7D50DC0A" w14:textId="25EC5382" w:rsidR="00CB41FA" w:rsidRPr="0037251D" w:rsidRDefault="00CB41FA" w:rsidP="003C1737">
            <w:pPr>
              <w:spacing w:line="360" w:lineRule="auto"/>
              <w:rPr>
                <w:rFonts w:ascii="Book Antiqua" w:hAnsi="Book Antiqua" w:cs="Times New Roman"/>
              </w:rPr>
            </w:pPr>
            <w:r w:rsidRPr="0037251D">
              <w:rPr>
                <w:rFonts w:ascii="Book Antiqua" w:hAnsi="Book Antiqua" w:cs="Times New Roman"/>
              </w:rPr>
              <w:lastRenderedPageBreak/>
              <w:t>Arm A: 59 patients</w:t>
            </w:r>
            <w:r w:rsidR="003C1737" w:rsidRPr="0037251D">
              <w:rPr>
                <w:rFonts w:ascii="Book Antiqua" w:hAnsi="Book Antiqua" w:cs="Times New Roman"/>
              </w:rPr>
              <w:t xml:space="preserve">; </w:t>
            </w:r>
            <w:r w:rsidRPr="0037251D">
              <w:rPr>
                <w:rFonts w:ascii="Book Antiqua" w:hAnsi="Book Antiqua" w:cs="Times New Roman"/>
              </w:rPr>
              <w:t>Arm B: 62 patients</w:t>
            </w:r>
          </w:p>
        </w:tc>
        <w:tc>
          <w:tcPr>
            <w:tcW w:w="2197" w:type="dxa"/>
          </w:tcPr>
          <w:p w14:paraId="5DB6E743" w14:textId="7C4F033F" w:rsidR="00CB41FA" w:rsidRPr="0037251D" w:rsidRDefault="00CB41FA" w:rsidP="003C1737">
            <w:pPr>
              <w:spacing w:line="360" w:lineRule="auto"/>
              <w:rPr>
                <w:rFonts w:ascii="Book Antiqua" w:hAnsi="Book Antiqua" w:cs="Times New Roman"/>
              </w:rPr>
            </w:pPr>
            <w:r w:rsidRPr="0037251D">
              <w:rPr>
                <w:rFonts w:ascii="Book Antiqua" w:hAnsi="Book Antiqua" w:cs="Times New Roman"/>
              </w:rPr>
              <w:t>Arm A: 160 patients</w:t>
            </w:r>
            <w:r w:rsidR="003C1737" w:rsidRPr="0037251D">
              <w:rPr>
                <w:rFonts w:ascii="Book Antiqua" w:hAnsi="Book Antiqua" w:cs="Times New Roman"/>
              </w:rPr>
              <w:t xml:space="preserve">; </w:t>
            </w:r>
            <w:r w:rsidRPr="0037251D">
              <w:rPr>
                <w:rFonts w:ascii="Book Antiqua" w:hAnsi="Book Antiqua" w:cs="Times New Roman"/>
              </w:rPr>
              <w:t>Arm B: 152 patients</w:t>
            </w:r>
          </w:p>
        </w:tc>
        <w:tc>
          <w:tcPr>
            <w:tcW w:w="2197" w:type="dxa"/>
          </w:tcPr>
          <w:p w14:paraId="7AC725E6" w14:textId="3ECCC1B8" w:rsidR="00CB41FA" w:rsidRPr="0037251D" w:rsidRDefault="00CB41FA" w:rsidP="003C1737">
            <w:pPr>
              <w:spacing w:line="360" w:lineRule="auto"/>
              <w:rPr>
                <w:rFonts w:ascii="Book Antiqua" w:hAnsi="Book Antiqua" w:cs="Times New Roman"/>
                <w:b/>
                <w:bCs/>
              </w:rPr>
            </w:pPr>
            <w:r w:rsidRPr="0037251D">
              <w:rPr>
                <w:rFonts w:ascii="Book Antiqua" w:hAnsi="Book Antiqua" w:cs="Times New Roman"/>
                <w:lang w:val="en-US"/>
              </w:rPr>
              <w:t>Overall population</w:t>
            </w:r>
            <w:r w:rsidR="003C1737" w:rsidRPr="0037251D">
              <w:rPr>
                <w:rFonts w:ascii="Book Antiqua" w:hAnsi="Book Antiqua" w:cs="Times New Roman"/>
                <w:lang w:val="en-US"/>
              </w:rPr>
              <w:t xml:space="preserve">: </w:t>
            </w:r>
            <w:r w:rsidRPr="0037251D">
              <w:rPr>
                <w:rFonts w:ascii="Book Antiqua" w:hAnsi="Book Antiqua" w:cs="Times New Roman"/>
                <w:lang w:val="en-US"/>
              </w:rPr>
              <w:t>Arm A: 420 patients</w:t>
            </w:r>
            <w:r w:rsidR="003C1737" w:rsidRPr="0037251D">
              <w:rPr>
                <w:rFonts w:ascii="Book Antiqua" w:hAnsi="Book Antiqua" w:cs="Times New Roman"/>
                <w:lang w:val="en-US"/>
              </w:rPr>
              <w:t xml:space="preserve">; </w:t>
            </w:r>
            <w:r w:rsidRPr="0037251D">
              <w:rPr>
                <w:rFonts w:ascii="Book Antiqua" w:hAnsi="Book Antiqua" w:cs="Times New Roman"/>
                <w:lang w:val="en-US"/>
              </w:rPr>
              <w:t>Arm B: 404 patients</w:t>
            </w:r>
            <w:r w:rsidR="003C1737" w:rsidRPr="0037251D">
              <w:rPr>
                <w:rFonts w:ascii="Book Antiqua" w:hAnsi="Book Antiqua" w:cs="Times New Roman"/>
                <w:lang w:val="en-US"/>
              </w:rPr>
              <w:t xml:space="preserve">. </w:t>
            </w:r>
            <w:r w:rsidRPr="0037251D">
              <w:rPr>
                <w:rFonts w:ascii="Book Antiqua" w:hAnsi="Book Antiqua" w:cs="Times New Roman"/>
              </w:rPr>
              <w:t xml:space="preserve">PC </w:t>
            </w:r>
            <w:r w:rsidRPr="0037251D">
              <w:rPr>
                <w:rFonts w:ascii="Book Antiqua" w:hAnsi="Book Antiqua" w:cs="Times New Roman"/>
              </w:rPr>
              <w:lastRenderedPageBreak/>
              <w:t>patients</w:t>
            </w:r>
            <w:r w:rsidR="003C1737" w:rsidRPr="0037251D">
              <w:rPr>
                <w:rFonts w:ascii="Book Antiqua" w:hAnsi="Book Antiqua" w:cs="Times New Roman"/>
              </w:rPr>
              <w:t xml:space="preserve">: </w:t>
            </w:r>
            <w:r w:rsidRPr="0037251D">
              <w:rPr>
                <w:rFonts w:ascii="Book Antiqua" w:hAnsi="Book Antiqua" w:cs="Times New Roman"/>
              </w:rPr>
              <w:t>Arm A: 135 patients</w:t>
            </w:r>
            <w:r w:rsidR="003C1737" w:rsidRPr="0037251D">
              <w:rPr>
                <w:rFonts w:ascii="Book Antiqua" w:hAnsi="Book Antiqua" w:cs="Times New Roman"/>
              </w:rPr>
              <w:t xml:space="preserve">; </w:t>
            </w:r>
            <w:r w:rsidRPr="0037251D">
              <w:rPr>
                <w:rFonts w:ascii="Book Antiqua" w:hAnsi="Book Antiqua" w:cs="Times New Roman"/>
              </w:rPr>
              <w:t>Arm B: 138 patients</w:t>
            </w:r>
          </w:p>
        </w:tc>
      </w:tr>
      <w:tr w:rsidR="00CB41FA" w:rsidRPr="0037251D" w14:paraId="29ABDB03" w14:textId="77777777" w:rsidTr="000B5AAD">
        <w:tc>
          <w:tcPr>
            <w:tcW w:w="2195" w:type="dxa"/>
          </w:tcPr>
          <w:p w14:paraId="0B8071AD" w14:textId="50307F0B" w:rsidR="00CB41FA" w:rsidRPr="0037251D" w:rsidRDefault="00CB41FA" w:rsidP="00CB41FA">
            <w:pPr>
              <w:spacing w:line="360" w:lineRule="auto"/>
              <w:rPr>
                <w:rFonts w:ascii="Book Antiqua" w:hAnsi="Book Antiqua" w:cs="Times New Roman"/>
              </w:rPr>
            </w:pPr>
            <w:r w:rsidRPr="0037251D">
              <w:rPr>
                <w:rFonts w:ascii="Book Antiqua" w:hAnsi="Book Antiqua" w:cs="Times New Roman"/>
              </w:rPr>
              <w:lastRenderedPageBreak/>
              <w:t>Follow-up</w:t>
            </w:r>
          </w:p>
        </w:tc>
        <w:tc>
          <w:tcPr>
            <w:tcW w:w="2195" w:type="dxa"/>
          </w:tcPr>
          <w:p w14:paraId="606EA092" w14:textId="6F86A29C" w:rsidR="00CB41FA" w:rsidRPr="0037251D" w:rsidRDefault="00CB41FA" w:rsidP="003C1737">
            <w:pPr>
              <w:spacing w:line="360" w:lineRule="auto"/>
              <w:rPr>
                <w:rFonts w:ascii="Book Antiqua" w:hAnsi="Book Antiqua" w:cs="Times New Roman"/>
              </w:rPr>
            </w:pPr>
            <w:r w:rsidRPr="0037251D">
              <w:rPr>
                <w:rFonts w:ascii="Book Antiqua" w:hAnsi="Book Antiqua" w:cs="Times New Roman"/>
              </w:rPr>
              <w:t>120 d</w:t>
            </w:r>
          </w:p>
        </w:tc>
        <w:tc>
          <w:tcPr>
            <w:tcW w:w="2196" w:type="dxa"/>
          </w:tcPr>
          <w:p w14:paraId="626F0F62" w14:textId="2D99274D" w:rsidR="00CB41FA" w:rsidRPr="0037251D" w:rsidRDefault="00CB41FA" w:rsidP="003C1737">
            <w:pPr>
              <w:spacing w:line="360" w:lineRule="auto"/>
              <w:rPr>
                <w:rFonts w:ascii="Book Antiqua" w:hAnsi="Book Antiqua" w:cs="Times New Roman"/>
              </w:rPr>
            </w:pPr>
            <w:r w:rsidRPr="0037251D">
              <w:rPr>
                <w:rFonts w:ascii="Book Antiqua" w:hAnsi="Book Antiqua" w:cs="Times New Roman"/>
              </w:rPr>
              <w:t>3 mo</w:t>
            </w:r>
          </w:p>
        </w:tc>
        <w:tc>
          <w:tcPr>
            <w:tcW w:w="2196" w:type="dxa"/>
          </w:tcPr>
          <w:p w14:paraId="02B76CDB" w14:textId="6785890A" w:rsidR="00CB41FA" w:rsidRPr="0037251D" w:rsidRDefault="00CB41FA" w:rsidP="003C1737">
            <w:pPr>
              <w:spacing w:line="360" w:lineRule="auto"/>
              <w:rPr>
                <w:rFonts w:ascii="Book Antiqua" w:hAnsi="Book Antiqua" w:cs="Times New Roman"/>
              </w:rPr>
            </w:pPr>
            <w:r w:rsidRPr="0037251D">
              <w:rPr>
                <w:rFonts w:ascii="Book Antiqua" w:hAnsi="Book Antiqua" w:cs="Times New Roman"/>
              </w:rPr>
              <w:t>3 mo</w:t>
            </w:r>
          </w:p>
        </w:tc>
        <w:tc>
          <w:tcPr>
            <w:tcW w:w="2197" w:type="dxa"/>
          </w:tcPr>
          <w:p w14:paraId="5DA2219B" w14:textId="08E73D32" w:rsidR="00CB41FA" w:rsidRPr="0037251D" w:rsidRDefault="00CB41FA" w:rsidP="003C1737">
            <w:pPr>
              <w:spacing w:line="360" w:lineRule="auto"/>
              <w:rPr>
                <w:rFonts w:ascii="Book Antiqua" w:hAnsi="Book Antiqua" w:cs="Times New Roman"/>
              </w:rPr>
            </w:pPr>
            <w:r w:rsidRPr="0037251D">
              <w:rPr>
                <w:rFonts w:ascii="Book Antiqua" w:hAnsi="Book Antiqua" w:cs="Times New Roman"/>
              </w:rPr>
              <w:t>3 mo</w:t>
            </w:r>
          </w:p>
        </w:tc>
        <w:tc>
          <w:tcPr>
            <w:tcW w:w="2197" w:type="dxa"/>
          </w:tcPr>
          <w:p w14:paraId="2FF01D96" w14:textId="2A23649B" w:rsidR="00CB41FA" w:rsidRPr="0037251D" w:rsidRDefault="00CB41FA" w:rsidP="00CB41FA">
            <w:pPr>
              <w:spacing w:line="360" w:lineRule="auto"/>
              <w:rPr>
                <w:rFonts w:ascii="Book Antiqua" w:hAnsi="Book Antiqua" w:cs="Times New Roman"/>
              </w:rPr>
            </w:pPr>
            <w:r w:rsidRPr="0037251D">
              <w:rPr>
                <w:rFonts w:ascii="Book Antiqua" w:hAnsi="Book Antiqua" w:cs="Times New Roman"/>
              </w:rPr>
              <w:t>6 mo</w:t>
            </w:r>
          </w:p>
        </w:tc>
      </w:tr>
      <w:tr w:rsidR="00CB41FA" w:rsidRPr="0037251D" w14:paraId="7EA2476A" w14:textId="77777777" w:rsidTr="000B5AAD">
        <w:tc>
          <w:tcPr>
            <w:tcW w:w="2195" w:type="dxa"/>
          </w:tcPr>
          <w:p w14:paraId="40FDBB8F" w14:textId="2AD7660D" w:rsidR="00CB41FA" w:rsidRPr="0037251D" w:rsidRDefault="00CB41FA" w:rsidP="00CB41FA">
            <w:pPr>
              <w:spacing w:line="360" w:lineRule="auto"/>
              <w:rPr>
                <w:rFonts w:ascii="Book Antiqua" w:hAnsi="Book Antiqua" w:cs="Times New Roman"/>
              </w:rPr>
            </w:pPr>
            <w:r w:rsidRPr="0037251D">
              <w:rPr>
                <w:rFonts w:ascii="Book Antiqua" w:hAnsi="Book Antiqua" w:cs="Times New Roman"/>
              </w:rPr>
              <w:t>Thromboembolic endpoint events</w:t>
            </w:r>
          </w:p>
        </w:tc>
        <w:tc>
          <w:tcPr>
            <w:tcW w:w="2195" w:type="dxa"/>
          </w:tcPr>
          <w:p w14:paraId="1781F90D" w14:textId="58287386" w:rsidR="00CB41FA" w:rsidRPr="0037251D" w:rsidRDefault="00CB41FA" w:rsidP="003C1737">
            <w:pPr>
              <w:spacing w:line="360" w:lineRule="auto"/>
              <w:rPr>
                <w:rFonts w:ascii="Book Antiqua" w:hAnsi="Book Antiqua" w:cs="Times New Roman"/>
              </w:rPr>
            </w:pPr>
            <w:r w:rsidRPr="0037251D">
              <w:rPr>
                <w:rFonts w:ascii="Book Antiqua" w:hAnsi="Book Antiqua" w:cs="Times New Roman"/>
                <w:lang w:val="en-US"/>
              </w:rPr>
              <w:t>Overall population</w:t>
            </w:r>
            <w:r w:rsidR="003C1737" w:rsidRPr="0037251D">
              <w:rPr>
                <w:rFonts w:ascii="Book Antiqua" w:hAnsi="Book Antiqua" w:cs="Times New Roman"/>
                <w:lang w:val="en-US"/>
              </w:rPr>
              <w:t xml:space="preserve">: </w:t>
            </w:r>
            <w:r w:rsidRPr="0037251D">
              <w:rPr>
                <w:rFonts w:ascii="Book Antiqua" w:hAnsi="Book Antiqua" w:cs="Times New Roman"/>
                <w:lang w:val="en-US"/>
              </w:rPr>
              <w:t>Arm A: 11/769 (1.4%)</w:t>
            </w:r>
            <w:r w:rsidR="003C1737" w:rsidRPr="0037251D">
              <w:rPr>
                <w:rFonts w:ascii="Book Antiqua" w:hAnsi="Book Antiqua" w:cs="Times New Roman"/>
                <w:lang w:val="en-US"/>
              </w:rPr>
              <w:t xml:space="preserve">; </w:t>
            </w:r>
            <w:r w:rsidRPr="0037251D">
              <w:rPr>
                <w:rFonts w:ascii="Book Antiqua" w:hAnsi="Book Antiqua" w:cs="Times New Roman"/>
                <w:lang w:val="en-US"/>
              </w:rPr>
              <w:t>Arm B: 11/381 (2.9%)</w:t>
            </w:r>
            <w:r w:rsidR="003C1737" w:rsidRPr="0037251D">
              <w:rPr>
                <w:rFonts w:ascii="Book Antiqua" w:hAnsi="Book Antiqua" w:cs="Times New Roman"/>
                <w:lang w:val="en-US"/>
              </w:rPr>
              <w:t xml:space="preserve">; </w:t>
            </w:r>
            <w:r w:rsidR="003C1737" w:rsidRPr="0037251D">
              <w:rPr>
                <w:rFonts w:ascii="Book Antiqua" w:hAnsi="Book Antiqua" w:cs="Times New Roman"/>
                <w:i/>
                <w:iCs/>
                <w:lang w:val="en-US"/>
              </w:rPr>
              <w:t>P</w:t>
            </w:r>
            <w:r w:rsidR="003C1737" w:rsidRPr="0037251D">
              <w:rPr>
                <w:rFonts w:ascii="Book Antiqua" w:hAnsi="Book Antiqua" w:cs="Times New Roman"/>
                <w:lang w:val="en-US"/>
              </w:rPr>
              <w:t xml:space="preserve"> </w:t>
            </w:r>
            <w:r w:rsidRPr="0037251D">
              <w:rPr>
                <w:rFonts w:ascii="Book Antiqua" w:hAnsi="Book Antiqua" w:cs="Times New Roman"/>
                <w:lang w:val="en-US"/>
              </w:rPr>
              <w:t>=</w:t>
            </w:r>
            <w:r w:rsidR="003C1737" w:rsidRPr="0037251D">
              <w:rPr>
                <w:rFonts w:ascii="Book Antiqua" w:hAnsi="Book Antiqua" w:cs="Times New Roman"/>
                <w:lang w:val="en-US"/>
              </w:rPr>
              <w:t xml:space="preserve"> </w:t>
            </w:r>
            <w:r w:rsidRPr="0037251D">
              <w:rPr>
                <w:rFonts w:ascii="Book Antiqua" w:hAnsi="Book Antiqua" w:cs="Times New Roman"/>
                <w:lang w:val="en-US"/>
              </w:rPr>
              <w:t>0.02</w:t>
            </w:r>
            <w:r w:rsidR="003C1737" w:rsidRPr="0037251D">
              <w:rPr>
                <w:rFonts w:ascii="Book Antiqua" w:hAnsi="Book Antiqua" w:cs="Times New Roman"/>
                <w:lang w:val="en-US"/>
              </w:rPr>
              <w:t xml:space="preserve">. </w:t>
            </w:r>
            <w:r w:rsidRPr="0037251D">
              <w:rPr>
                <w:rFonts w:ascii="Book Antiqua" w:hAnsi="Book Antiqua" w:cs="Times New Roman"/>
                <w:lang w:val="en-US"/>
              </w:rPr>
              <w:t>PC subgroup</w:t>
            </w:r>
            <w:r w:rsidR="003C1737" w:rsidRPr="0037251D">
              <w:rPr>
                <w:rFonts w:ascii="Book Antiqua" w:hAnsi="Book Antiqua" w:cs="Times New Roman"/>
                <w:lang w:val="en-US"/>
              </w:rPr>
              <w:t xml:space="preserve">: </w:t>
            </w:r>
            <w:r w:rsidRPr="0037251D">
              <w:rPr>
                <w:rFonts w:ascii="Book Antiqua" w:hAnsi="Book Antiqua" w:cs="Times New Roman"/>
                <w:lang w:val="en-US"/>
              </w:rPr>
              <w:t>Arm A: 3/36 (8.3%)</w:t>
            </w:r>
            <w:r w:rsidR="003C1737" w:rsidRPr="0037251D">
              <w:rPr>
                <w:rFonts w:ascii="Book Antiqua" w:hAnsi="Book Antiqua" w:cs="Times New Roman"/>
                <w:lang w:val="en-US"/>
              </w:rPr>
              <w:t xml:space="preserve">; </w:t>
            </w:r>
            <w:r w:rsidRPr="0037251D">
              <w:rPr>
                <w:rFonts w:ascii="Book Antiqua" w:hAnsi="Book Antiqua" w:cs="Times New Roman"/>
              </w:rPr>
              <w:t>Arm B: 1/17 (5.9%)</w:t>
            </w:r>
            <w:r w:rsidR="003C1737" w:rsidRPr="0037251D">
              <w:rPr>
                <w:rFonts w:ascii="Book Antiqua" w:hAnsi="Book Antiqua" w:cs="Times New Roman"/>
              </w:rPr>
              <w:t xml:space="preserve">; </w:t>
            </w:r>
            <w:r w:rsidR="003C1737" w:rsidRPr="0037251D">
              <w:rPr>
                <w:rFonts w:ascii="Book Antiqua" w:hAnsi="Book Antiqua" w:cs="Times New Roman"/>
                <w:i/>
                <w:iCs/>
              </w:rPr>
              <w:t>P</w:t>
            </w:r>
            <w:r w:rsidR="003C1737" w:rsidRPr="0037251D">
              <w:rPr>
                <w:rFonts w:ascii="Book Antiqua" w:hAnsi="Book Antiqua" w:cs="Times New Roman"/>
              </w:rPr>
              <w:t xml:space="preserve"> </w:t>
            </w:r>
            <w:r w:rsidRPr="0037251D">
              <w:rPr>
                <w:rFonts w:ascii="Book Antiqua" w:hAnsi="Book Antiqua" w:cs="Times New Roman"/>
              </w:rPr>
              <w:t>=</w:t>
            </w:r>
            <w:r w:rsidR="003C1737" w:rsidRPr="0037251D">
              <w:rPr>
                <w:rFonts w:ascii="Book Antiqua" w:hAnsi="Book Antiqua" w:cs="Times New Roman"/>
              </w:rPr>
              <w:t xml:space="preserve"> </w:t>
            </w:r>
            <w:r w:rsidRPr="0037251D">
              <w:rPr>
                <w:rFonts w:ascii="Book Antiqua" w:hAnsi="Book Antiqua" w:cs="Times New Roman"/>
              </w:rPr>
              <w:t>0.755</w:t>
            </w:r>
          </w:p>
        </w:tc>
        <w:tc>
          <w:tcPr>
            <w:tcW w:w="2196" w:type="dxa"/>
          </w:tcPr>
          <w:p w14:paraId="2F7346CF" w14:textId="48D8B7E6" w:rsidR="00CB41FA" w:rsidRPr="0037251D" w:rsidRDefault="00CB41FA" w:rsidP="003C1737">
            <w:pPr>
              <w:spacing w:line="360" w:lineRule="auto"/>
              <w:rPr>
                <w:rFonts w:ascii="Book Antiqua" w:hAnsi="Book Antiqua" w:cs="Times New Roman"/>
                <w:lang w:val="en-US"/>
              </w:rPr>
            </w:pPr>
            <w:r w:rsidRPr="0037251D">
              <w:rPr>
                <w:rFonts w:ascii="Book Antiqua" w:hAnsi="Book Antiqua" w:cs="Times New Roman"/>
                <w:lang w:val="en-US"/>
              </w:rPr>
              <w:t>Overall population</w:t>
            </w:r>
            <w:r w:rsidR="003C1737" w:rsidRPr="0037251D">
              <w:rPr>
                <w:rFonts w:ascii="Book Antiqua" w:hAnsi="Book Antiqua" w:cs="Times New Roman"/>
                <w:lang w:val="en-US"/>
              </w:rPr>
              <w:t xml:space="preserve">: </w:t>
            </w:r>
            <w:r w:rsidRPr="0037251D">
              <w:rPr>
                <w:rFonts w:ascii="Book Antiqua" w:hAnsi="Book Antiqua" w:cs="Times New Roman"/>
                <w:lang w:val="en-US"/>
              </w:rPr>
              <w:t>Arm A:20/1608 (1.2%)</w:t>
            </w:r>
            <w:r w:rsidR="003C1737" w:rsidRPr="0037251D">
              <w:rPr>
                <w:rFonts w:ascii="Book Antiqua" w:hAnsi="Book Antiqua" w:cs="Times New Roman"/>
                <w:lang w:val="en-US"/>
              </w:rPr>
              <w:t xml:space="preserve">; </w:t>
            </w:r>
            <w:r w:rsidRPr="0037251D">
              <w:rPr>
                <w:rFonts w:ascii="Book Antiqua" w:hAnsi="Book Antiqua" w:cs="Times New Roman"/>
                <w:lang w:val="en-US"/>
              </w:rPr>
              <w:t>Arm B: 55/1064 (1.2%)</w:t>
            </w:r>
            <w:r w:rsidR="003C1737" w:rsidRPr="0037251D">
              <w:rPr>
                <w:rFonts w:ascii="Book Antiqua" w:hAnsi="Book Antiqua" w:cs="Times New Roman"/>
                <w:lang w:val="en-US"/>
              </w:rPr>
              <w:t xml:space="preserve">; </w:t>
            </w:r>
            <w:r w:rsidRPr="0037251D">
              <w:rPr>
                <w:rFonts w:ascii="Book Antiqua" w:hAnsi="Book Antiqua" w:cs="Times New Roman"/>
                <w:lang w:val="en-US"/>
              </w:rPr>
              <w:t>HR 0.36 (95%CI</w:t>
            </w:r>
            <w:r w:rsidR="003C1737" w:rsidRPr="0037251D">
              <w:rPr>
                <w:rFonts w:ascii="Book Antiqua" w:hAnsi="Book Antiqua" w:cs="Times New Roman"/>
                <w:lang w:val="en-US"/>
              </w:rPr>
              <w:t>:</w:t>
            </w:r>
            <w:r w:rsidRPr="0037251D">
              <w:rPr>
                <w:rFonts w:ascii="Book Antiqua" w:hAnsi="Book Antiqua" w:cs="Times New Roman"/>
                <w:lang w:val="en-US"/>
              </w:rPr>
              <w:t xml:space="preserve"> 0.21</w:t>
            </w:r>
            <w:r w:rsidR="003C1737" w:rsidRPr="0037251D">
              <w:rPr>
                <w:rFonts w:ascii="Book Antiqua" w:hAnsi="Book Antiqua" w:cs="Times New Roman"/>
                <w:lang w:val="en-US"/>
              </w:rPr>
              <w:t>-</w:t>
            </w:r>
            <w:r w:rsidRPr="0037251D">
              <w:rPr>
                <w:rFonts w:ascii="Book Antiqua" w:hAnsi="Book Antiqua" w:cs="Times New Roman"/>
                <w:lang w:val="en-US"/>
              </w:rPr>
              <w:t xml:space="preserve">0.60); </w:t>
            </w:r>
            <w:r w:rsidR="003C1737" w:rsidRPr="0037251D">
              <w:rPr>
                <w:rFonts w:ascii="Book Antiqua" w:hAnsi="Book Antiqua" w:cs="Times New Roman"/>
                <w:i/>
                <w:iCs/>
                <w:lang w:val="en-US"/>
              </w:rPr>
              <w:t>P</w:t>
            </w:r>
            <w:r w:rsidR="003C1737" w:rsidRPr="0037251D">
              <w:rPr>
                <w:rFonts w:ascii="Book Antiqua" w:hAnsi="Book Antiqua" w:cs="Times New Roman"/>
                <w:lang w:val="en-US"/>
              </w:rPr>
              <w:t xml:space="preserve"> </w:t>
            </w:r>
            <w:r w:rsidRPr="0037251D">
              <w:rPr>
                <w:rFonts w:ascii="Book Antiqua" w:hAnsi="Book Antiqua" w:cs="Times New Roman"/>
                <w:lang w:val="en-US"/>
              </w:rPr>
              <w:t>&lt;</w:t>
            </w:r>
            <w:r w:rsidR="003C1737" w:rsidRPr="0037251D">
              <w:rPr>
                <w:rFonts w:ascii="Book Antiqua" w:hAnsi="Book Antiqua" w:cs="Times New Roman"/>
                <w:lang w:val="en-US"/>
              </w:rPr>
              <w:t xml:space="preserve"> </w:t>
            </w:r>
            <w:r w:rsidRPr="0037251D">
              <w:rPr>
                <w:rFonts w:ascii="Book Antiqua" w:hAnsi="Book Antiqua" w:cs="Times New Roman"/>
                <w:lang w:val="en-US"/>
              </w:rPr>
              <w:t>0.001</w:t>
            </w:r>
            <w:r w:rsidR="003C1737" w:rsidRPr="0037251D">
              <w:rPr>
                <w:rFonts w:ascii="Book Antiqua" w:hAnsi="Book Antiqua" w:cs="Times New Roman"/>
                <w:lang w:val="en-US"/>
              </w:rPr>
              <w:t xml:space="preserve">. </w:t>
            </w:r>
            <w:r w:rsidRPr="0037251D">
              <w:rPr>
                <w:rFonts w:ascii="Book Antiqua" w:hAnsi="Book Antiqua" w:cs="Times New Roman"/>
                <w:lang w:val="en-US"/>
              </w:rPr>
              <w:t>PC subgroup</w:t>
            </w:r>
            <w:r w:rsidR="003C1737" w:rsidRPr="0037251D">
              <w:rPr>
                <w:rFonts w:ascii="Book Antiqua" w:hAnsi="Book Antiqua" w:cs="Times New Roman"/>
                <w:lang w:val="en-US"/>
              </w:rPr>
              <w:t xml:space="preserve">: </w:t>
            </w:r>
            <w:r w:rsidRPr="0037251D">
              <w:rPr>
                <w:rFonts w:ascii="Book Antiqua" w:hAnsi="Book Antiqua" w:cs="Times New Roman"/>
                <w:lang w:val="en-US"/>
              </w:rPr>
              <w:t>Arm A: 3/126 (2.4%)</w:t>
            </w:r>
            <w:r w:rsidR="003C1737" w:rsidRPr="0037251D">
              <w:rPr>
                <w:rFonts w:ascii="Book Antiqua" w:hAnsi="Book Antiqua" w:cs="Times New Roman"/>
                <w:lang w:val="en-US"/>
              </w:rPr>
              <w:t xml:space="preserve">; </w:t>
            </w:r>
            <w:r w:rsidRPr="0037251D">
              <w:rPr>
                <w:rFonts w:ascii="Book Antiqua" w:hAnsi="Book Antiqua" w:cs="Times New Roman"/>
                <w:lang w:val="en-US"/>
              </w:rPr>
              <w:t>Arm B: 14/128 (10.9%</w:t>
            </w:r>
            <w:r w:rsidR="003C1737" w:rsidRPr="0037251D">
              <w:rPr>
                <w:rFonts w:ascii="Book Antiqua" w:hAnsi="Book Antiqua" w:cs="Times New Roman"/>
                <w:lang w:val="en-US"/>
              </w:rPr>
              <w:t xml:space="preserve">); </w:t>
            </w:r>
            <w:r w:rsidRPr="0037251D">
              <w:rPr>
                <w:rFonts w:ascii="Book Antiqua" w:hAnsi="Book Antiqua" w:cs="Times New Roman"/>
                <w:lang w:val="en-US"/>
              </w:rPr>
              <w:t>HR 0.22 (95%CI</w:t>
            </w:r>
            <w:r w:rsidR="003C1737" w:rsidRPr="0037251D">
              <w:rPr>
                <w:rFonts w:ascii="Book Antiqua" w:hAnsi="Book Antiqua" w:cs="Times New Roman"/>
                <w:lang w:val="en-US"/>
              </w:rPr>
              <w:t>:</w:t>
            </w:r>
            <w:r w:rsidRPr="0037251D">
              <w:rPr>
                <w:rFonts w:ascii="Book Antiqua" w:hAnsi="Book Antiqua" w:cs="Times New Roman"/>
                <w:lang w:val="en-US"/>
              </w:rPr>
              <w:t xml:space="preserve"> 0.06</w:t>
            </w:r>
            <w:r w:rsidR="003C1737" w:rsidRPr="0037251D">
              <w:rPr>
                <w:rFonts w:ascii="Book Antiqua" w:hAnsi="Book Antiqua" w:cs="Times New Roman"/>
                <w:lang w:val="en-US"/>
              </w:rPr>
              <w:t>-</w:t>
            </w:r>
            <w:r w:rsidRPr="0037251D">
              <w:rPr>
                <w:rFonts w:ascii="Book Antiqua" w:hAnsi="Book Antiqua" w:cs="Times New Roman"/>
                <w:lang w:val="en-US"/>
              </w:rPr>
              <w:t xml:space="preserve">0.76); </w:t>
            </w:r>
            <w:r w:rsidR="003C1737" w:rsidRPr="0037251D">
              <w:rPr>
                <w:rFonts w:ascii="Book Antiqua" w:hAnsi="Book Antiqua" w:cs="Times New Roman"/>
                <w:i/>
                <w:iCs/>
                <w:lang w:val="en-US"/>
              </w:rPr>
              <w:t>P</w:t>
            </w:r>
            <w:r w:rsidR="003C1737" w:rsidRPr="0037251D">
              <w:rPr>
                <w:rFonts w:ascii="Book Antiqua" w:hAnsi="Book Antiqua" w:cs="Times New Roman"/>
                <w:lang w:val="en-US"/>
              </w:rPr>
              <w:t xml:space="preserve"> </w:t>
            </w:r>
            <w:r w:rsidRPr="0037251D">
              <w:rPr>
                <w:rFonts w:ascii="Book Antiqua" w:hAnsi="Book Antiqua" w:cs="Times New Roman"/>
                <w:lang w:val="en-US"/>
              </w:rPr>
              <w:t>=</w:t>
            </w:r>
            <w:r w:rsidR="003C1737" w:rsidRPr="0037251D">
              <w:rPr>
                <w:rFonts w:ascii="Book Antiqua" w:hAnsi="Book Antiqua" w:cs="Times New Roman"/>
                <w:lang w:val="en-US"/>
              </w:rPr>
              <w:t xml:space="preserve"> </w:t>
            </w:r>
            <w:r w:rsidRPr="0037251D">
              <w:rPr>
                <w:rFonts w:ascii="Book Antiqua" w:hAnsi="Book Antiqua" w:cs="Times New Roman"/>
                <w:lang w:val="en-US"/>
              </w:rPr>
              <w:t>0.015</w:t>
            </w:r>
            <w:r w:rsidR="003C1737" w:rsidRPr="0037251D">
              <w:rPr>
                <w:rFonts w:ascii="Book Antiqua" w:hAnsi="Book Antiqua" w:cs="Times New Roman"/>
                <w:lang w:val="en-US"/>
              </w:rPr>
              <w:t xml:space="preserve">. </w:t>
            </w:r>
            <w:r w:rsidRPr="0037251D">
              <w:rPr>
                <w:rFonts w:ascii="Book Antiqua" w:hAnsi="Book Antiqua" w:cs="Times New Roman"/>
                <w:lang w:val="en-US"/>
              </w:rPr>
              <w:t>At 3 mo</w:t>
            </w:r>
            <w:r w:rsidR="003C1737" w:rsidRPr="0037251D">
              <w:rPr>
                <w:rFonts w:ascii="Book Antiqua" w:hAnsi="Book Antiqua" w:cs="Times New Roman"/>
                <w:lang w:val="en-US"/>
              </w:rPr>
              <w:t xml:space="preserve">: </w:t>
            </w:r>
            <w:r w:rsidRPr="0037251D">
              <w:rPr>
                <w:rFonts w:ascii="Book Antiqua" w:hAnsi="Book Antiqua" w:cs="Times New Roman"/>
                <w:lang w:val="en-US"/>
              </w:rPr>
              <w:t>Arm A: 2/59</w:t>
            </w:r>
            <w:r w:rsidR="003C1737" w:rsidRPr="0037251D">
              <w:rPr>
                <w:rFonts w:ascii="Book Antiqua" w:hAnsi="Book Antiqua" w:cs="Times New Roman"/>
                <w:lang w:val="en-US"/>
              </w:rPr>
              <w:t xml:space="preserve"> </w:t>
            </w:r>
            <w:r w:rsidRPr="0037251D">
              <w:rPr>
                <w:rFonts w:ascii="Book Antiqua" w:hAnsi="Book Antiqua" w:cs="Times New Roman"/>
                <w:lang w:val="en-US"/>
              </w:rPr>
              <w:t>(3%)</w:t>
            </w:r>
            <w:r w:rsidR="003C1737" w:rsidRPr="0037251D">
              <w:rPr>
                <w:rFonts w:ascii="Book Antiqua" w:hAnsi="Book Antiqua" w:cs="Times New Roman"/>
                <w:lang w:val="en-US"/>
              </w:rPr>
              <w:t xml:space="preserve">; </w:t>
            </w:r>
            <w:r w:rsidRPr="0037251D">
              <w:rPr>
                <w:rFonts w:ascii="Book Antiqua" w:hAnsi="Book Antiqua"/>
              </w:rPr>
              <w:t xml:space="preserve">Arm B: </w:t>
            </w:r>
            <w:r w:rsidRPr="0037251D">
              <w:rPr>
                <w:rFonts w:ascii="Book Antiqua" w:hAnsi="Book Antiqua"/>
              </w:rPr>
              <w:lastRenderedPageBreak/>
              <w:t>14/62 (23%)</w:t>
            </w:r>
            <w:r w:rsidR="003C1737" w:rsidRPr="0037251D">
              <w:rPr>
                <w:rFonts w:ascii="Book Antiqua" w:hAnsi="Book Antiqua"/>
              </w:rPr>
              <w:t xml:space="preserve">; </w:t>
            </w:r>
            <w:r w:rsidRPr="0037251D">
              <w:rPr>
                <w:rFonts w:ascii="Book Antiqua" w:hAnsi="Book Antiqua"/>
              </w:rPr>
              <w:t>RR 0.145 (95%CI</w:t>
            </w:r>
            <w:r w:rsidR="003C1737" w:rsidRPr="0037251D">
              <w:rPr>
                <w:rFonts w:ascii="Book Antiqua" w:hAnsi="Book Antiqua"/>
              </w:rPr>
              <w:t>:</w:t>
            </w:r>
            <w:r w:rsidRPr="0037251D">
              <w:rPr>
                <w:rFonts w:ascii="Book Antiqua" w:hAnsi="Book Antiqua"/>
              </w:rPr>
              <w:t xml:space="preserve"> 0.035</w:t>
            </w:r>
            <w:r w:rsidR="003C1737" w:rsidRPr="0037251D">
              <w:rPr>
                <w:rFonts w:ascii="Book Antiqua" w:hAnsi="Book Antiqua"/>
              </w:rPr>
              <w:t>-</w:t>
            </w:r>
            <w:r w:rsidRPr="0037251D">
              <w:rPr>
                <w:rFonts w:ascii="Book Antiqua" w:hAnsi="Book Antiqua"/>
              </w:rPr>
              <w:t xml:space="preserve">0.612); </w:t>
            </w:r>
            <w:r w:rsidR="003C1737" w:rsidRPr="0037251D">
              <w:rPr>
                <w:rFonts w:ascii="Book Antiqua" w:hAnsi="Book Antiqua"/>
                <w:i/>
                <w:iCs/>
              </w:rPr>
              <w:t>P</w:t>
            </w:r>
            <w:r w:rsidR="003C1737" w:rsidRPr="0037251D">
              <w:rPr>
                <w:rFonts w:ascii="Book Antiqua" w:hAnsi="Book Antiqua"/>
              </w:rPr>
              <w:t xml:space="preserve"> </w:t>
            </w:r>
            <w:r w:rsidRPr="0037251D">
              <w:rPr>
                <w:rFonts w:ascii="Book Antiqua" w:hAnsi="Book Antiqua"/>
              </w:rPr>
              <w:t>=</w:t>
            </w:r>
            <w:r w:rsidR="003C1737" w:rsidRPr="0037251D">
              <w:rPr>
                <w:rFonts w:ascii="Book Antiqua" w:hAnsi="Book Antiqua"/>
              </w:rPr>
              <w:t xml:space="preserve"> </w:t>
            </w:r>
            <w:r w:rsidRPr="0037251D">
              <w:rPr>
                <w:rFonts w:ascii="Book Antiqua" w:hAnsi="Book Antiqua"/>
              </w:rPr>
              <w:t>0.002</w:t>
            </w:r>
          </w:p>
        </w:tc>
        <w:tc>
          <w:tcPr>
            <w:tcW w:w="2196" w:type="dxa"/>
          </w:tcPr>
          <w:p w14:paraId="0AB6E3EC" w14:textId="402CEA97" w:rsidR="00CB41FA" w:rsidRPr="0037251D" w:rsidRDefault="00CB41FA" w:rsidP="003C1737">
            <w:pPr>
              <w:spacing w:line="360" w:lineRule="auto"/>
              <w:rPr>
                <w:rFonts w:ascii="Book Antiqua" w:hAnsi="Book Antiqua" w:cs="Times New Roman"/>
              </w:rPr>
            </w:pPr>
            <w:r w:rsidRPr="0037251D">
              <w:rPr>
                <w:rFonts w:ascii="Book Antiqua" w:hAnsi="Book Antiqua" w:cs="Times New Roman"/>
                <w:lang w:val="en-US"/>
              </w:rPr>
              <w:lastRenderedPageBreak/>
              <w:t>At 3 mo</w:t>
            </w:r>
            <w:r w:rsidR="003C1737" w:rsidRPr="0037251D">
              <w:rPr>
                <w:rFonts w:ascii="Book Antiqua" w:hAnsi="Book Antiqua" w:cs="Times New Roman"/>
                <w:lang w:val="en-US"/>
              </w:rPr>
              <w:t xml:space="preserve">: </w:t>
            </w:r>
            <w:r w:rsidRPr="0037251D">
              <w:rPr>
                <w:rFonts w:ascii="Book Antiqua" w:hAnsi="Book Antiqua" w:cs="Times New Roman"/>
                <w:lang w:val="en-US"/>
              </w:rPr>
              <w:t>Arm A: 2/160 (1.25%)</w:t>
            </w:r>
            <w:r w:rsidR="003C1737" w:rsidRPr="0037251D">
              <w:rPr>
                <w:rFonts w:ascii="Book Antiqua" w:hAnsi="Book Antiqua" w:cs="Times New Roman"/>
                <w:lang w:val="en-US"/>
              </w:rPr>
              <w:t xml:space="preserve">; </w:t>
            </w:r>
            <w:r w:rsidRPr="0037251D">
              <w:rPr>
                <w:rFonts w:ascii="Book Antiqua" w:hAnsi="Book Antiqua" w:cs="Times New Roman"/>
                <w:lang w:val="en-US"/>
              </w:rPr>
              <w:t>Arm B: 15/152 (9.8%)</w:t>
            </w:r>
            <w:r w:rsidR="003C1737" w:rsidRPr="0037251D">
              <w:rPr>
                <w:rFonts w:ascii="Book Antiqua" w:hAnsi="Book Antiqua" w:cs="Times New Roman"/>
                <w:lang w:val="en-US"/>
              </w:rPr>
              <w:t xml:space="preserve">; </w:t>
            </w:r>
            <w:r w:rsidRPr="0037251D">
              <w:rPr>
                <w:rFonts w:ascii="Book Antiqua" w:hAnsi="Book Antiqua" w:cs="Times New Roman"/>
                <w:lang w:val="en-US"/>
              </w:rPr>
              <w:t>HR 0.12 (95%CI</w:t>
            </w:r>
            <w:r w:rsidR="003C1737" w:rsidRPr="0037251D">
              <w:rPr>
                <w:rFonts w:ascii="Book Antiqua" w:hAnsi="Book Antiqua" w:cs="Times New Roman"/>
                <w:lang w:val="en-US"/>
              </w:rPr>
              <w:t>:</w:t>
            </w:r>
            <w:r w:rsidRPr="0037251D">
              <w:rPr>
                <w:rFonts w:ascii="Book Antiqua" w:hAnsi="Book Antiqua" w:cs="Times New Roman"/>
                <w:lang w:val="en-US"/>
              </w:rPr>
              <w:t xml:space="preserve"> 0.03-0.52); </w:t>
            </w:r>
            <w:r w:rsidR="003C1737" w:rsidRPr="0037251D">
              <w:rPr>
                <w:rFonts w:ascii="Book Antiqua" w:hAnsi="Book Antiqua" w:cs="Times New Roman"/>
                <w:i/>
                <w:iCs/>
                <w:lang w:val="en-US"/>
              </w:rPr>
              <w:t>P</w:t>
            </w:r>
            <w:r w:rsidR="003C1737" w:rsidRPr="0037251D">
              <w:rPr>
                <w:rFonts w:ascii="Book Antiqua" w:hAnsi="Book Antiqua" w:cs="Times New Roman"/>
                <w:lang w:val="en-US"/>
              </w:rPr>
              <w:t xml:space="preserve"> </w:t>
            </w:r>
            <w:r w:rsidRPr="0037251D">
              <w:rPr>
                <w:rFonts w:ascii="Book Antiqua" w:hAnsi="Book Antiqua" w:cs="Times New Roman"/>
                <w:lang w:val="en-US"/>
              </w:rPr>
              <w:t>=</w:t>
            </w:r>
            <w:r w:rsidR="003C1737" w:rsidRPr="0037251D">
              <w:rPr>
                <w:rFonts w:ascii="Book Antiqua" w:hAnsi="Book Antiqua" w:cs="Times New Roman"/>
                <w:lang w:val="en-US"/>
              </w:rPr>
              <w:t xml:space="preserve"> </w:t>
            </w:r>
            <w:r w:rsidRPr="0037251D">
              <w:rPr>
                <w:rFonts w:ascii="Book Antiqua" w:hAnsi="Book Antiqua" w:cs="Times New Roman"/>
                <w:lang w:val="en-US"/>
              </w:rPr>
              <w:t>0.001</w:t>
            </w:r>
            <w:r w:rsidR="003C1737" w:rsidRPr="0037251D">
              <w:rPr>
                <w:rFonts w:ascii="Book Antiqua" w:hAnsi="Book Antiqua" w:cs="Times New Roman"/>
                <w:lang w:val="en-US"/>
              </w:rPr>
              <w:t xml:space="preserve">. </w:t>
            </w:r>
            <w:r w:rsidRPr="0037251D">
              <w:rPr>
                <w:rFonts w:ascii="Book Antiqua" w:hAnsi="Book Antiqua" w:cs="Times New Roman"/>
                <w:lang w:val="en-US"/>
              </w:rPr>
              <w:t>Entire study</w:t>
            </w:r>
            <w:r w:rsidR="003C1737" w:rsidRPr="0037251D">
              <w:rPr>
                <w:rFonts w:ascii="Book Antiqua" w:hAnsi="Book Antiqua" w:cs="Times New Roman"/>
                <w:lang w:val="en-US"/>
              </w:rPr>
              <w:t xml:space="preserve">: </w:t>
            </w:r>
            <w:r w:rsidRPr="0037251D">
              <w:rPr>
                <w:rFonts w:ascii="Book Antiqua" w:hAnsi="Book Antiqua" w:cs="Times New Roman"/>
                <w:lang w:val="en-US"/>
              </w:rPr>
              <w:t>Arm A: 7/59 (12%)</w:t>
            </w:r>
            <w:r w:rsidR="003C1737" w:rsidRPr="0037251D">
              <w:rPr>
                <w:rFonts w:ascii="Book Antiqua" w:hAnsi="Book Antiqua" w:cs="Times New Roman"/>
                <w:lang w:val="en-US"/>
              </w:rPr>
              <w:t xml:space="preserve">; </w:t>
            </w:r>
            <w:r w:rsidRPr="0037251D">
              <w:rPr>
                <w:rFonts w:ascii="Book Antiqua" w:hAnsi="Book Antiqua" w:cs="Times New Roman"/>
              </w:rPr>
              <w:t>Arm B: 17/62 (28%)</w:t>
            </w:r>
            <w:r w:rsidR="003C1737" w:rsidRPr="0037251D">
              <w:rPr>
                <w:rFonts w:ascii="Book Antiqua" w:hAnsi="Book Antiqua" w:cs="Times New Roman"/>
              </w:rPr>
              <w:t xml:space="preserve">; </w:t>
            </w:r>
            <w:r w:rsidRPr="0037251D">
              <w:rPr>
                <w:rFonts w:ascii="Book Antiqua" w:hAnsi="Book Antiqua" w:cs="Times New Roman"/>
              </w:rPr>
              <w:t>RR 0.419 (95%CI</w:t>
            </w:r>
            <w:r w:rsidR="003C1737" w:rsidRPr="0037251D">
              <w:rPr>
                <w:rFonts w:ascii="Book Antiqua" w:hAnsi="Book Antiqua" w:cs="Times New Roman"/>
              </w:rPr>
              <w:t>:</w:t>
            </w:r>
            <w:r w:rsidRPr="0037251D">
              <w:rPr>
                <w:rFonts w:ascii="Book Antiqua" w:hAnsi="Book Antiqua" w:cs="Times New Roman"/>
              </w:rPr>
              <w:t xml:space="preserve"> 0.187-0.935); </w:t>
            </w:r>
            <w:r w:rsidR="003C1737" w:rsidRPr="0037251D">
              <w:rPr>
                <w:rFonts w:ascii="Book Antiqua" w:hAnsi="Book Antiqua" w:cs="Times New Roman"/>
                <w:i/>
                <w:iCs/>
              </w:rPr>
              <w:t>P</w:t>
            </w:r>
            <w:r w:rsidR="003C1737" w:rsidRPr="0037251D">
              <w:rPr>
                <w:rFonts w:ascii="Book Antiqua" w:hAnsi="Book Antiqua" w:cs="Times New Roman"/>
              </w:rPr>
              <w:t xml:space="preserve"> </w:t>
            </w:r>
            <w:r w:rsidRPr="0037251D">
              <w:rPr>
                <w:rFonts w:ascii="Book Antiqua" w:hAnsi="Book Antiqua" w:cs="Times New Roman"/>
              </w:rPr>
              <w:t>=</w:t>
            </w:r>
            <w:r w:rsidR="003C1737" w:rsidRPr="0037251D">
              <w:rPr>
                <w:rFonts w:ascii="Book Antiqua" w:hAnsi="Book Antiqua" w:cs="Times New Roman"/>
              </w:rPr>
              <w:t xml:space="preserve"> </w:t>
            </w:r>
            <w:r w:rsidRPr="0037251D">
              <w:rPr>
                <w:rFonts w:ascii="Book Antiqua" w:hAnsi="Book Antiqua" w:cs="Times New Roman"/>
              </w:rPr>
              <w:t>0.039</w:t>
            </w:r>
          </w:p>
        </w:tc>
        <w:tc>
          <w:tcPr>
            <w:tcW w:w="2197" w:type="dxa"/>
          </w:tcPr>
          <w:p w14:paraId="4062F908" w14:textId="14FF6205" w:rsidR="00CB41FA" w:rsidRPr="0037251D" w:rsidRDefault="00CB41FA" w:rsidP="003C1737">
            <w:pPr>
              <w:spacing w:line="360" w:lineRule="auto"/>
              <w:rPr>
                <w:rFonts w:ascii="Book Antiqua" w:hAnsi="Book Antiqua" w:cs="Times New Roman"/>
                <w:lang w:val="en-US"/>
              </w:rPr>
            </w:pPr>
            <w:r w:rsidRPr="0037251D">
              <w:rPr>
                <w:rFonts w:ascii="Book Antiqua" w:hAnsi="Book Antiqua" w:cs="Times New Roman"/>
                <w:lang w:val="en-US"/>
              </w:rPr>
              <w:t>Cumulative incidence rates</w:t>
            </w:r>
            <w:r w:rsidR="003C1737" w:rsidRPr="0037251D">
              <w:rPr>
                <w:rFonts w:ascii="Book Antiqua" w:hAnsi="Book Antiqua" w:cs="Times New Roman"/>
                <w:lang w:val="en-US"/>
              </w:rPr>
              <w:t xml:space="preserve">: </w:t>
            </w:r>
            <w:r w:rsidRPr="0037251D">
              <w:rPr>
                <w:rFonts w:ascii="Book Antiqua" w:hAnsi="Book Antiqua" w:cs="Times New Roman"/>
                <w:lang w:val="en-US"/>
              </w:rPr>
              <w:t>Arm A: 6.4%</w:t>
            </w:r>
            <w:r w:rsidR="003C1737" w:rsidRPr="0037251D">
              <w:rPr>
                <w:rFonts w:ascii="Book Antiqua" w:hAnsi="Book Antiqua" w:cs="Times New Roman"/>
                <w:lang w:val="en-US"/>
              </w:rPr>
              <w:t xml:space="preserve">; </w:t>
            </w:r>
            <w:r w:rsidRPr="0037251D">
              <w:rPr>
                <w:rFonts w:ascii="Book Antiqua" w:hAnsi="Book Antiqua"/>
              </w:rPr>
              <w:t>Arm B: 15.1%</w:t>
            </w:r>
            <w:r w:rsidR="003C1737" w:rsidRPr="0037251D">
              <w:rPr>
                <w:rFonts w:ascii="Book Antiqua" w:hAnsi="Book Antiqua"/>
              </w:rPr>
              <w:t xml:space="preserve">; </w:t>
            </w:r>
            <w:r w:rsidRPr="0037251D">
              <w:rPr>
                <w:rFonts w:ascii="Book Antiqua" w:hAnsi="Book Antiqua"/>
              </w:rPr>
              <w:t>HR 0.40 (95%CI</w:t>
            </w:r>
            <w:r w:rsidR="003C1737" w:rsidRPr="0037251D">
              <w:rPr>
                <w:rFonts w:ascii="Book Antiqua" w:hAnsi="Book Antiqua"/>
              </w:rPr>
              <w:t>:</w:t>
            </w:r>
            <w:r w:rsidRPr="0037251D">
              <w:rPr>
                <w:rFonts w:ascii="Book Antiqua" w:hAnsi="Book Antiqua"/>
              </w:rPr>
              <w:t xml:space="preserve"> 0.19-0.83); </w:t>
            </w:r>
            <w:r w:rsidR="003C1737" w:rsidRPr="0037251D">
              <w:rPr>
                <w:rFonts w:ascii="Book Antiqua" w:hAnsi="Book Antiqua"/>
                <w:i/>
                <w:iCs/>
              </w:rPr>
              <w:t>P</w:t>
            </w:r>
            <w:r w:rsidR="003C1737" w:rsidRPr="0037251D">
              <w:rPr>
                <w:rFonts w:ascii="Book Antiqua" w:hAnsi="Book Antiqua"/>
              </w:rPr>
              <w:t xml:space="preserve"> </w:t>
            </w:r>
            <w:r w:rsidRPr="0037251D">
              <w:rPr>
                <w:rFonts w:ascii="Book Antiqua" w:hAnsi="Book Antiqua"/>
              </w:rPr>
              <w:t>=</w:t>
            </w:r>
            <w:r w:rsidR="003C1737" w:rsidRPr="0037251D">
              <w:rPr>
                <w:rFonts w:ascii="Book Antiqua" w:hAnsi="Book Antiqua"/>
              </w:rPr>
              <w:t xml:space="preserve"> </w:t>
            </w:r>
            <w:r w:rsidRPr="0037251D">
              <w:rPr>
                <w:rFonts w:ascii="Book Antiqua" w:hAnsi="Book Antiqua"/>
              </w:rPr>
              <w:t>0.01</w:t>
            </w:r>
          </w:p>
        </w:tc>
        <w:tc>
          <w:tcPr>
            <w:tcW w:w="2197" w:type="dxa"/>
          </w:tcPr>
          <w:p w14:paraId="4F8D6681" w14:textId="4DC3E19A"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t>Overall population</w:t>
            </w:r>
            <w:r w:rsidR="003C1737" w:rsidRPr="0037251D">
              <w:rPr>
                <w:rFonts w:ascii="Book Antiqua" w:hAnsi="Book Antiqua" w:cs="Times New Roman"/>
                <w:lang w:val="en-US"/>
              </w:rPr>
              <w:t xml:space="preserve">: </w:t>
            </w:r>
            <w:r w:rsidRPr="0037251D">
              <w:rPr>
                <w:rFonts w:ascii="Book Antiqua" w:hAnsi="Book Antiqua" w:cs="Times New Roman"/>
                <w:lang w:val="en-US"/>
              </w:rPr>
              <w:t>Up-to-day-180 observation period</w:t>
            </w:r>
            <w:r w:rsidR="003C1737" w:rsidRPr="0037251D">
              <w:rPr>
                <w:rFonts w:ascii="Book Antiqua" w:hAnsi="Book Antiqua" w:cs="Times New Roman"/>
                <w:lang w:val="en-US"/>
              </w:rPr>
              <w:t xml:space="preserve">: </w:t>
            </w:r>
            <w:r w:rsidRPr="0037251D">
              <w:rPr>
                <w:rFonts w:ascii="Book Antiqua" w:hAnsi="Book Antiqua" w:cs="Times New Roman"/>
                <w:lang w:val="en-US"/>
              </w:rPr>
              <w:t>Arm A: 25/420 (5.95%)</w:t>
            </w:r>
            <w:r w:rsidR="003C1737" w:rsidRPr="0037251D">
              <w:rPr>
                <w:rFonts w:ascii="Book Antiqua" w:hAnsi="Book Antiqua" w:cs="Times New Roman"/>
                <w:lang w:val="en-US"/>
              </w:rPr>
              <w:t xml:space="preserve">; </w:t>
            </w:r>
            <w:r w:rsidRPr="0037251D">
              <w:rPr>
                <w:rFonts w:ascii="Book Antiqua" w:hAnsi="Book Antiqua" w:cs="Times New Roman"/>
                <w:lang w:val="en-US"/>
              </w:rPr>
              <w:t>Arm B: 37/421 (8.79%)</w:t>
            </w:r>
            <w:r w:rsidR="003C1737" w:rsidRPr="0037251D">
              <w:rPr>
                <w:rFonts w:ascii="Book Antiqua" w:hAnsi="Book Antiqua" w:cs="Times New Roman"/>
                <w:lang w:val="en-US"/>
              </w:rPr>
              <w:t xml:space="preserve">; </w:t>
            </w:r>
            <w:r w:rsidRPr="0037251D">
              <w:rPr>
                <w:rFonts w:ascii="Book Antiqua" w:hAnsi="Book Antiqua" w:cs="Times New Roman"/>
                <w:lang w:val="en-US"/>
              </w:rPr>
              <w:t>HR 0.66 (95%CI</w:t>
            </w:r>
            <w:r w:rsidR="003C1737" w:rsidRPr="0037251D">
              <w:rPr>
                <w:rFonts w:ascii="Book Antiqua" w:hAnsi="Book Antiqua" w:cs="Times New Roman"/>
                <w:lang w:val="en-US"/>
              </w:rPr>
              <w:t>:</w:t>
            </w:r>
            <w:r w:rsidRPr="0037251D">
              <w:rPr>
                <w:rFonts w:ascii="Book Antiqua" w:hAnsi="Book Antiqua" w:cs="Times New Roman"/>
                <w:lang w:val="en-US"/>
              </w:rPr>
              <w:t xml:space="preserve"> 0.40-1.09); </w:t>
            </w:r>
            <w:r w:rsidR="003C1737" w:rsidRPr="0037251D">
              <w:rPr>
                <w:rFonts w:ascii="Book Antiqua" w:hAnsi="Book Antiqua" w:cs="Times New Roman"/>
                <w:i/>
                <w:iCs/>
                <w:lang w:val="en-US"/>
              </w:rPr>
              <w:t>P</w:t>
            </w:r>
            <w:r w:rsidR="003C1737" w:rsidRPr="0037251D">
              <w:rPr>
                <w:rFonts w:ascii="Book Antiqua" w:hAnsi="Book Antiqua" w:cs="Times New Roman"/>
                <w:lang w:val="en-US"/>
              </w:rPr>
              <w:t xml:space="preserve"> </w:t>
            </w:r>
            <w:r w:rsidRPr="0037251D">
              <w:rPr>
                <w:rFonts w:ascii="Book Antiqua" w:hAnsi="Book Antiqua" w:cs="Times New Roman"/>
                <w:lang w:val="en-US"/>
              </w:rPr>
              <w:t>=</w:t>
            </w:r>
            <w:r w:rsidR="003C1737" w:rsidRPr="0037251D">
              <w:rPr>
                <w:rFonts w:ascii="Book Antiqua" w:hAnsi="Book Antiqua" w:cs="Times New Roman"/>
                <w:lang w:val="en-US"/>
              </w:rPr>
              <w:t xml:space="preserve"> </w:t>
            </w:r>
            <w:r w:rsidRPr="0037251D">
              <w:rPr>
                <w:rFonts w:ascii="Book Antiqua" w:hAnsi="Book Antiqua" w:cs="Times New Roman"/>
                <w:lang w:val="en-US"/>
              </w:rPr>
              <w:t>0.101</w:t>
            </w:r>
            <w:r w:rsidR="003C1737" w:rsidRPr="0037251D">
              <w:rPr>
                <w:rFonts w:ascii="Book Antiqua" w:hAnsi="Book Antiqua" w:cs="Times New Roman"/>
                <w:lang w:val="en-US"/>
              </w:rPr>
              <w:t xml:space="preserve">; </w:t>
            </w:r>
            <w:r w:rsidRPr="0037251D">
              <w:rPr>
                <w:rFonts w:ascii="Book Antiqua" w:hAnsi="Book Antiqua" w:cs="Times New Roman"/>
                <w:lang w:val="en-US"/>
              </w:rPr>
              <w:t>NNT</w:t>
            </w:r>
            <w:r w:rsidR="003C1737" w:rsidRPr="0037251D">
              <w:rPr>
                <w:rFonts w:ascii="Book Antiqua" w:hAnsi="Book Antiqua" w:cs="Times New Roman"/>
                <w:lang w:val="en-US"/>
              </w:rPr>
              <w:t xml:space="preserve"> </w:t>
            </w:r>
            <w:r w:rsidRPr="0037251D">
              <w:rPr>
                <w:rFonts w:ascii="Book Antiqua" w:hAnsi="Book Antiqua" w:cs="Times New Roman"/>
                <w:lang w:val="en-US"/>
              </w:rPr>
              <w:t>=3</w:t>
            </w:r>
            <w:r w:rsidR="003C1737" w:rsidRPr="0037251D">
              <w:rPr>
                <w:rFonts w:ascii="Book Antiqua" w:hAnsi="Book Antiqua" w:cs="Times New Roman"/>
                <w:lang w:val="en-US"/>
              </w:rPr>
              <w:t xml:space="preserve"> </w:t>
            </w:r>
            <w:r w:rsidRPr="0037251D">
              <w:rPr>
                <w:rFonts w:ascii="Book Antiqua" w:hAnsi="Book Antiqua" w:cs="Times New Roman"/>
                <w:lang w:val="en-US"/>
              </w:rPr>
              <w:t>5</w:t>
            </w:r>
            <w:r w:rsidR="003C1737" w:rsidRPr="0037251D">
              <w:rPr>
                <w:rFonts w:ascii="Book Antiqua" w:hAnsi="Book Antiqua" w:cs="Times New Roman"/>
                <w:lang w:val="en-US"/>
              </w:rPr>
              <w:t xml:space="preserve">. </w:t>
            </w:r>
            <w:r w:rsidRPr="0037251D">
              <w:rPr>
                <w:rFonts w:ascii="Book Antiqua" w:hAnsi="Book Antiqua" w:cs="Times New Roman"/>
                <w:lang w:val="en-US"/>
              </w:rPr>
              <w:t>Intervention period</w:t>
            </w:r>
            <w:r w:rsidR="003C1737" w:rsidRPr="0037251D">
              <w:rPr>
                <w:rFonts w:ascii="Book Antiqua" w:hAnsi="Book Antiqua" w:cs="Times New Roman"/>
                <w:lang w:val="en-US"/>
              </w:rPr>
              <w:t xml:space="preserve">: </w:t>
            </w:r>
            <w:r w:rsidRPr="0037251D">
              <w:rPr>
                <w:rFonts w:ascii="Book Antiqua" w:hAnsi="Book Antiqua" w:cs="Times New Roman"/>
                <w:lang w:val="en-US"/>
              </w:rPr>
              <w:t>Arm A: 11/420 (2.62%)</w:t>
            </w:r>
            <w:r w:rsidR="003C1737" w:rsidRPr="0037251D">
              <w:rPr>
                <w:rFonts w:ascii="Book Antiqua" w:hAnsi="Book Antiqua" w:cs="Times New Roman"/>
                <w:lang w:val="en-US"/>
              </w:rPr>
              <w:t xml:space="preserve">; </w:t>
            </w:r>
            <w:r w:rsidRPr="0037251D">
              <w:rPr>
                <w:rFonts w:ascii="Book Antiqua" w:hAnsi="Book Antiqua"/>
              </w:rPr>
              <w:t>Arm B: 27/421 (6.41%)</w:t>
            </w:r>
            <w:r w:rsidR="003C1737" w:rsidRPr="0037251D">
              <w:rPr>
                <w:rFonts w:ascii="Book Antiqua" w:hAnsi="Book Antiqua"/>
              </w:rPr>
              <w:t xml:space="preserve">; </w:t>
            </w:r>
            <w:r w:rsidRPr="0037251D">
              <w:rPr>
                <w:rFonts w:ascii="Book Antiqua" w:hAnsi="Book Antiqua"/>
              </w:rPr>
              <w:t xml:space="preserve">HR </w:t>
            </w:r>
            <w:r w:rsidRPr="0037251D">
              <w:rPr>
                <w:rFonts w:ascii="Book Antiqua" w:hAnsi="Book Antiqua"/>
              </w:rPr>
              <w:lastRenderedPageBreak/>
              <w:t>0.40 (95%CI</w:t>
            </w:r>
            <w:r w:rsidR="003C1737" w:rsidRPr="0037251D">
              <w:rPr>
                <w:rFonts w:ascii="Book Antiqua" w:hAnsi="Book Antiqua"/>
              </w:rPr>
              <w:t>:</w:t>
            </w:r>
            <w:r w:rsidRPr="0037251D">
              <w:rPr>
                <w:rFonts w:ascii="Book Antiqua" w:hAnsi="Book Antiqua"/>
              </w:rPr>
              <w:t xml:space="preserve"> 0.20-0.80); </w:t>
            </w:r>
            <w:r w:rsidR="003C1737" w:rsidRPr="0037251D">
              <w:rPr>
                <w:rFonts w:ascii="Book Antiqua" w:hAnsi="Book Antiqua"/>
                <w:i/>
                <w:iCs/>
              </w:rPr>
              <w:t>P</w:t>
            </w:r>
            <w:r w:rsidR="003C1737" w:rsidRPr="0037251D">
              <w:rPr>
                <w:rFonts w:ascii="Book Antiqua" w:hAnsi="Book Antiqua"/>
              </w:rPr>
              <w:t xml:space="preserve"> </w:t>
            </w:r>
            <w:r w:rsidRPr="0037251D">
              <w:rPr>
                <w:rFonts w:ascii="Book Antiqua" w:hAnsi="Book Antiqua"/>
              </w:rPr>
              <w:t>=</w:t>
            </w:r>
            <w:r w:rsidR="003C1737" w:rsidRPr="0037251D">
              <w:rPr>
                <w:rFonts w:ascii="Book Antiqua" w:hAnsi="Book Antiqua"/>
              </w:rPr>
              <w:t xml:space="preserve"> </w:t>
            </w:r>
            <w:r w:rsidRPr="0037251D">
              <w:rPr>
                <w:rFonts w:ascii="Book Antiqua" w:hAnsi="Book Antiqua"/>
              </w:rPr>
              <w:t>0.007</w:t>
            </w:r>
            <w:r w:rsidR="003C1737" w:rsidRPr="0037251D">
              <w:rPr>
                <w:rFonts w:ascii="Book Antiqua" w:hAnsi="Book Antiqua"/>
              </w:rPr>
              <w:t xml:space="preserve">; </w:t>
            </w:r>
            <w:r w:rsidRPr="0037251D">
              <w:rPr>
                <w:rFonts w:ascii="Book Antiqua" w:hAnsi="Book Antiqua"/>
              </w:rPr>
              <w:t>NNT</w:t>
            </w:r>
            <w:r w:rsidR="003C1737" w:rsidRPr="0037251D">
              <w:rPr>
                <w:rFonts w:ascii="Book Antiqua" w:hAnsi="Book Antiqua"/>
              </w:rPr>
              <w:t xml:space="preserve"> </w:t>
            </w:r>
            <w:r w:rsidRPr="0037251D">
              <w:rPr>
                <w:rFonts w:ascii="Book Antiqua" w:hAnsi="Book Antiqua"/>
              </w:rPr>
              <w:t>=</w:t>
            </w:r>
            <w:r w:rsidR="003C1737" w:rsidRPr="0037251D">
              <w:rPr>
                <w:rFonts w:ascii="Book Antiqua" w:hAnsi="Book Antiqua"/>
              </w:rPr>
              <w:t xml:space="preserve"> </w:t>
            </w:r>
            <w:r w:rsidRPr="0037251D">
              <w:rPr>
                <w:rFonts w:ascii="Book Antiqua" w:hAnsi="Book Antiqua"/>
              </w:rPr>
              <w:t>26</w:t>
            </w:r>
            <w:r w:rsidR="003C1737" w:rsidRPr="0037251D">
              <w:rPr>
                <w:rFonts w:ascii="Book Antiqua" w:hAnsi="Book Antiqua"/>
              </w:rPr>
              <w:t xml:space="preserve">. </w:t>
            </w:r>
            <w:r w:rsidRPr="0037251D">
              <w:rPr>
                <w:rFonts w:ascii="Book Antiqua" w:hAnsi="Book Antiqua" w:cs="Times New Roman"/>
                <w:lang w:val="en-US"/>
              </w:rPr>
              <w:t>PC subgroup</w:t>
            </w:r>
            <w:r w:rsidR="003C1737" w:rsidRPr="0037251D">
              <w:rPr>
                <w:rFonts w:ascii="Book Antiqua" w:hAnsi="Book Antiqua" w:cs="Times New Roman"/>
                <w:lang w:val="en-US"/>
              </w:rPr>
              <w:t xml:space="preserve">: </w:t>
            </w:r>
            <w:r w:rsidRPr="0037251D">
              <w:rPr>
                <w:rFonts w:ascii="Book Antiqua" w:hAnsi="Book Antiqua" w:cs="Times New Roman"/>
                <w:lang w:val="en-US"/>
              </w:rPr>
              <w:t>Up-to-day-180 observation period</w:t>
            </w:r>
            <w:r w:rsidR="003C1737" w:rsidRPr="0037251D">
              <w:rPr>
                <w:rFonts w:ascii="Book Antiqua" w:hAnsi="Book Antiqua" w:cs="Times New Roman"/>
                <w:lang w:val="en-US"/>
              </w:rPr>
              <w:t xml:space="preserve">: </w:t>
            </w:r>
            <w:r w:rsidRPr="0037251D">
              <w:rPr>
                <w:rFonts w:ascii="Book Antiqua" w:hAnsi="Book Antiqua" w:cs="Times New Roman"/>
                <w:lang w:val="en-US"/>
              </w:rPr>
              <w:t>Arm A: 13/135 (9.6%)</w:t>
            </w:r>
            <w:r w:rsidR="003C1737" w:rsidRPr="0037251D">
              <w:rPr>
                <w:rFonts w:ascii="Book Antiqua" w:hAnsi="Book Antiqua" w:cs="Times New Roman"/>
                <w:lang w:val="en-US"/>
              </w:rPr>
              <w:t xml:space="preserve">; </w:t>
            </w:r>
            <w:r w:rsidRPr="0037251D">
              <w:rPr>
                <w:rFonts w:ascii="Book Antiqua" w:hAnsi="Book Antiqua" w:cs="Times New Roman"/>
                <w:lang w:val="en-US"/>
              </w:rPr>
              <w:t>Arm B: 18/138 (13.0%)</w:t>
            </w:r>
            <w:r w:rsidR="003C1737" w:rsidRPr="0037251D">
              <w:rPr>
                <w:rFonts w:ascii="Book Antiqua" w:hAnsi="Book Antiqua" w:cs="Times New Roman"/>
                <w:lang w:val="en-US"/>
              </w:rPr>
              <w:t xml:space="preserve">; </w:t>
            </w:r>
            <w:r w:rsidRPr="0037251D">
              <w:rPr>
                <w:rFonts w:ascii="Book Antiqua" w:hAnsi="Book Antiqua" w:cs="Times New Roman"/>
                <w:lang w:val="en-US"/>
              </w:rPr>
              <w:t>HR 0.70 (95%CI</w:t>
            </w:r>
            <w:r w:rsidR="003C1737" w:rsidRPr="0037251D">
              <w:rPr>
                <w:rFonts w:ascii="Book Antiqua" w:hAnsi="Book Antiqua" w:cs="Times New Roman"/>
                <w:lang w:val="en-US"/>
              </w:rPr>
              <w:t>:</w:t>
            </w:r>
            <w:r w:rsidRPr="0037251D">
              <w:rPr>
                <w:rFonts w:ascii="Book Antiqua" w:hAnsi="Book Antiqua" w:cs="Times New Roman"/>
                <w:lang w:val="en-US"/>
              </w:rPr>
              <w:t xml:space="preserve"> 0.34-1.43); </w:t>
            </w:r>
            <w:r w:rsidRPr="0037251D">
              <w:rPr>
                <w:rFonts w:ascii="Book Antiqua" w:hAnsi="Book Antiqua" w:cs="Times New Roman"/>
                <w:i/>
                <w:iCs/>
                <w:lang w:val="en-US"/>
              </w:rPr>
              <w:t>P</w:t>
            </w:r>
            <w:r w:rsidR="00343E5A" w:rsidRPr="0037251D">
              <w:rPr>
                <w:rFonts w:ascii="Book Antiqua" w:hAnsi="Book Antiqua" w:cs="Times New Roman"/>
                <w:lang w:val="en-US"/>
              </w:rPr>
              <w:t xml:space="preserve"> </w:t>
            </w:r>
            <w:r w:rsidRPr="0037251D">
              <w:rPr>
                <w:rFonts w:ascii="Book Antiqua" w:hAnsi="Book Antiqua" w:cs="Times New Roman"/>
                <w:lang w:val="en-US"/>
              </w:rPr>
              <w:t>=</w:t>
            </w:r>
            <w:r w:rsidR="00343E5A" w:rsidRPr="0037251D">
              <w:rPr>
                <w:rFonts w:ascii="Book Antiqua" w:hAnsi="Book Antiqua" w:cs="Times New Roman"/>
                <w:lang w:val="en-US"/>
              </w:rPr>
              <w:t xml:space="preserve"> </w:t>
            </w:r>
            <w:r w:rsidRPr="0037251D">
              <w:rPr>
                <w:rFonts w:ascii="Book Antiqua" w:hAnsi="Book Antiqua" w:cs="Times New Roman"/>
                <w:lang w:val="en-US"/>
              </w:rPr>
              <w:t>0.329</w:t>
            </w:r>
            <w:r w:rsidR="00343E5A" w:rsidRPr="0037251D">
              <w:rPr>
                <w:rFonts w:ascii="Book Antiqua" w:hAnsi="Book Antiqua" w:cs="Times New Roman"/>
                <w:lang w:val="en-US"/>
              </w:rPr>
              <w:t xml:space="preserve">. </w:t>
            </w:r>
            <w:r w:rsidRPr="0037251D">
              <w:rPr>
                <w:rFonts w:ascii="Book Antiqua" w:hAnsi="Book Antiqua" w:cs="Times New Roman"/>
                <w:lang w:val="en-US"/>
              </w:rPr>
              <w:t>Intervention period</w:t>
            </w:r>
            <w:r w:rsidR="00343E5A" w:rsidRPr="0037251D">
              <w:rPr>
                <w:rFonts w:ascii="Book Antiqua" w:hAnsi="Book Antiqua" w:cs="Times New Roman"/>
                <w:lang w:val="en-US"/>
              </w:rPr>
              <w:t xml:space="preserve">: </w:t>
            </w:r>
            <w:r w:rsidRPr="0037251D">
              <w:rPr>
                <w:rFonts w:ascii="Book Antiqua" w:hAnsi="Book Antiqua" w:cs="Times New Roman"/>
                <w:lang w:val="en-US"/>
              </w:rPr>
              <w:t>Arm A: 5/135 (3.7%)</w:t>
            </w:r>
            <w:r w:rsidR="00343E5A" w:rsidRPr="0037251D">
              <w:rPr>
                <w:rFonts w:ascii="Book Antiqua" w:hAnsi="Book Antiqua" w:cs="Times New Roman"/>
                <w:lang w:val="en-US"/>
              </w:rPr>
              <w:t xml:space="preserve">; </w:t>
            </w:r>
            <w:r w:rsidRPr="0037251D">
              <w:rPr>
                <w:rFonts w:ascii="Book Antiqua" w:hAnsi="Book Antiqua" w:cs="Times New Roman"/>
                <w:lang w:val="en-US"/>
              </w:rPr>
              <w:t>Arm B: 14/138 (10.1%)</w:t>
            </w:r>
            <w:r w:rsidR="00343E5A" w:rsidRPr="0037251D">
              <w:rPr>
                <w:rFonts w:ascii="Book Antiqua" w:hAnsi="Book Antiqua" w:cs="Times New Roman"/>
                <w:lang w:val="en-US"/>
              </w:rPr>
              <w:t xml:space="preserve">; </w:t>
            </w:r>
            <w:r w:rsidRPr="0037251D">
              <w:rPr>
                <w:rFonts w:ascii="Book Antiqua" w:hAnsi="Book Antiqua"/>
              </w:rPr>
              <w:t>HR 0.35 (95%CI</w:t>
            </w:r>
            <w:r w:rsidR="00343E5A" w:rsidRPr="0037251D">
              <w:rPr>
                <w:rFonts w:ascii="Book Antiqua" w:hAnsi="Book Antiqua"/>
              </w:rPr>
              <w:t>:</w:t>
            </w:r>
            <w:r w:rsidRPr="0037251D">
              <w:rPr>
                <w:rFonts w:ascii="Book Antiqua" w:hAnsi="Book Antiqua"/>
              </w:rPr>
              <w:t xml:space="preserve"> 0.130-0.96); </w:t>
            </w:r>
            <w:r w:rsidR="00343E5A" w:rsidRPr="0037251D">
              <w:rPr>
                <w:rFonts w:ascii="Book Antiqua" w:hAnsi="Book Antiqua"/>
                <w:i/>
                <w:iCs/>
              </w:rPr>
              <w:t>P</w:t>
            </w:r>
            <w:r w:rsidR="00343E5A" w:rsidRPr="0037251D">
              <w:rPr>
                <w:rFonts w:ascii="Book Antiqua" w:hAnsi="Book Antiqua"/>
              </w:rPr>
              <w:t xml:space="preserve"> </w:t>
            </w:r>
            <w:r w:rsidRPr="0037251D">
              <w:rPr>
                <w:rFonts w:ascii="Book Antiqua" w:hAnsi="Book Antiqua"/>
              </w:rPr>
              <w:t>=</w:t>
            </w:r>
            <w:r w:rsidR="00343E5A" w:rsidRPr="0037251D">
              <w:rPr>
                <w:rFonts w:ascii="Book Antiqua" w:hAnsi="Book Antiqua"/>
              </w:rPr>
              <w:t xml:space="preserve"> </w:t>
            </w:r>
            <w:r w:rsidRPr="0037251D">
              <w:rPr>
                <w:rFonts w:ascii="Book Antiqua" w:hAnsi="Book Antiqua"/>
              </w:rPr>
              <w:t>0.043</w:t>
            </w:r>
            <w:r w:rsidR="00343E5A" w:rsidRPr="0037251D">
              <w:rPr>
                <w:rFonts w:ascii="Book Antiqua" w:hAnsi="Book Antiqua"/>
              </w:rPr>
              <w:t xml:space="preserve">; </w:t>
            </w:r>
            <w:r w:rsidRPr="0037251D">
              <w:rPr>
                <w:rFonts w:ascii="Book Antiqua" w:hAnsi="Book Antiqua"/>
              </w:rPr>
              <w:t>NNT</w:t>
            </w:r>
            <w:r w:rsidR="00343E5A" w:rsidRPr="0037251D">
              <w:rPr>
                <w:rFonts w:ascii="Book Antiqua" w:hAnsi="Book Antiqua"/>
              </w:rPr>
              <w:t xml:space="preserve"> </w:t>
            </w:r>
            <w:r w:rsidRPr="0037251D">
              <w:rPr>
                <w:rFonts w:ascii="Book Antiqua" w:hAnsi="Book Antiqua"/>
              </w:rPr>
              <w:t>=</w:t>
            </w:r>
            <w:r w:rsidR="00343E5A" w:rsidRPr="0037251D">
              <w:rPr>
                <w:rFonts w:ascii="Book Antiqua" w:hAnsi="Book Antiqua"/>
              </w:rPr>
              <w:t xml:space="preserve"> </w:t>
            </w:r>
            <w:r w:rsidRPr="0037251D">
              <w:rPr>
                <w:rFonts w:ascii="Book Antiqua" w:hAnsi="Book Antiqua"/>
              </w:rPr>
              <w:t>16</w:t>
            </w:r>
          </w:p>
        </w:tc>
      </w:tr>
      <w:tr w:rsidR="00CB41FA" w:rsidRPr="0037251D" w14:paraId="3627882B" w14:textId="77777777" w:rsidTr="000B5AAD">
        <w:tc>
          <w:tcPr>
            <w:tcW w:w="2195" w:type="dxa"/>
          </w:tcPr>
          <w:p w14:paraId="329AA492" w14:textId="77777777" w:rsidR="00CB41FA" w:rsidRPr="0037251D" w:rsidRDefault="00CB41FA" w:rsidP="00CB41FA">
            <w:pPr>
              <w:spacing w:line="360" w:lineRule="auto"/>
              <w:rPr>
                <w:rFonts w:ascii="Book Antiqua" w:hAnsi="Book Antiqua" w:cs="Times New Roman"/>
              </w:rPr>
            </w:pPr>
            <w:r w:rsidRPr="0037251D">
              <w:rPr>
                <w:rFonts w:ascii="Book Antiqua" w:hAnsi="Book Antiqua" w:cs="Times New Roman"/>
              </w:rPr>
              <w:lastRenderedPageBreak/>
              <w:t xml:space="preserve">Bleeding </w:t>
            </w:r>
          </w:p>
        </w:tc>
        <w:tc>
          <w:tcPr>
            <w:tcW w:w="2195" w:type="dxa"/>
          </w:tcPr>
          <w:p w14:paraId="2309F63B" w14:textId="5C4274DB" w:rsidR="00CB41FA" w:rsidRPr="0037251D" w:rsidRDefault="00CB41FA" w:rsidP="00343E5A">
            <w:pPr>
              <w:spacing w:line="360" w:lineRule="auto"/>
              <w:rPr>
                <w:rFonts w:ascii="Book Antiqua" w:hAnsi="Book Antiqua" w:cs="Times New Roman"/>
                <w:lang w:val="en-US"/>
              </w:rPr>
            </w:pPr>
            <w:r w:rsidRPr="0037251D">
              <w:rPr>
                <w:rFonts w:ascii="Book Antiqua" w:hAnsi="Book Antiqua" w:cs="Times New Roman"/>
                <w:lang w:val="en-US"/>
              </w:rPr>
              <w:t xml:space="preserve">Overall </w:t>
            </w:r>
            <w:r w:rsidRPr="0037251D">
              <w:rPr>
                <w:rFonts w:ascii="Book Antiqua" w:hAnsi="Book Antiqua" w:cs="Times New Roman"/>
                <w:lang w:val="en-US"/>
              </w:rPr>
              <w:lastRenderedPageBreak/>
              <w:t>population</w:t>
            </w:r>
            <w:r w:rsidR="00343E5A" w:rsidRPr="0037251D">
              <w:rPr>
                <w:rFonts w:ascii="Book Antiqua" w:hAnsi="Book Antiqua" w:cs="Times New Roman"/>
                <w:lang w:val="en-US"/>
              </w:rPr>
              <w:t>:</w:t>
            </w:r>
            <w:r w:rsidR="00343E5A" w:rsidRPr="0037251D">
              <w:rPr>
                <w:rFonts w:ascii="Book Antiqua" w:hAnsi="Book Antiqua" w:cs="Times New Roman" w:hint="eastAsia"/>
                <w:lang w:val="en-US" w:eastAsia="zh-CN"/>
              </w:rPr>
              <w:t xml:space="preserve"> </w:t>
            </w:r>
            <w:r w:rsidRPr="0037251D">
              <w:rPr>
                <w:rFonts w:ascii="Book Antiqua" w:hAnsi="Book Antiqua" w:cs="Times New Roman"/>
                <w:lang w:val="en-US"/>
              </w:rPr>
              <w:t>Major bleeding</w:t>
            </w:r>
            <w:r w:rsidR="00343E5A" w:rsidRPr="0037251D">
              <w:rPr>
                <w:rFonts w:ascii="Book Antiqua" w:hAnsi="Book Antiqua" w:cs="Times New Roman"/>
                <w:lang w:val="en-US"/>
              </w:rPr>
              <w:t xml:space="preserve">: </w:t>
            </w:r>
            <w:r w:rsidRPr="0037251D">
              <w:rPr>
                <w:rFonts w:ascii="Book Antiqua" w:hAnsi="Book Antiqua" w:cs="Times New Roman"/>
                <w:lang w:val="en-US"/>
              </w:rPr>
              <w:t>Arm A: 5/769 (0.7%)</w:t>
            </w:r>
            <w:r w:rsidR="00343E5A" w:rsidRPr="0037251D">
              <w:rPr>
                <w:rFonts w:ascii="Book Antiqua" w:hAnsi="Book Antiqua" w:cs="Times New Roman"/>
                <w:lang w:val="en-US"/>
              </w:rPr>
              <w:t xml:space="preserve">; </w:t>
            </w:r>
            <w:r w:rsidRPr="0037251D">
              <w:rPr>
                <w:rFonts w:ascii="Book Antiqua" w:hAnsi="Book Antiqua" w:cs="Times New Roman"/>
                <w:lang w:val="en-US"/>
              </w:rPr>
              <w:t>Arm B: 0/381</w:t>
            </w:r>
            <w:r w:rsidR="00343E5A" w:rsidRPr="0037251D">
              <w:rPr>
                <w:rFonts w:ascii="Book Antiqua" w:hAnsi="Book Antiqua" w:cs="Times New Roman"/>
                <w:lang w:val="en-US"/>
              </w:rPr>
              <w:t xml:space="preserve">; </w:t>
            </w:r>
            <w:r w:rsidR="00343E5A" w:rsidRPr="0037251D">
              <w:rPr>
                <w:rFonts w:ascii="Book Antiqua" w:hAnsi="Book Antiqua" w:cs="Times New Roman"/>
                <w:i/>
                <w:iCs/>
                <w:lang w:val="en-US"/>
              </w:rPr>
              <w:t>P</w:t>
            </w:r>
            <w:r w:rsidR="00343E5A" w:rsidRPr="0037251D">
              <w:rPr>
                <w:rFonts w:ascii="Book Antiqua" w:hAnsi="Book Antiqua" w:cs="Times New Roman"/>
                <w:lang w:val="en-US"/>
              </w:rPr>
              <w:t xml:space="preserve"> </w:t>
            </w:r>
            <w:r w:rsidRPr="0037251D">
              <w:rPr>
                <w:rFonts w:ascii="Book Antiqua" w:hAnsi="Book Antiqua" w:cs="Times New Roman"/>
                <w:lang w:val="en-US"/>
              </w:rPr>
              <w:t>=</w:t>
            </w:r>
            <w:r w:rsidR="00343E5A" w:rsidRPr="0037251D">
              <w:rPr>
                <w:rFonts w:ascii="Book Antiqua" w:hAnsi="Book Antiqua" w:cs="Times New Roman"/>
                <w:lang w:val="en-US"/>
              </w:rPr>
              <w:t xml:space="preserve"> </w:t>
            </w:r>
            <w:r w:rsidRPr="0037251D">
              <w:rPr>
                <w:rFonts w:ascii="Book Antiqua" w:hAnsi="Book Antiqua" w:cs="Times New Roman"/>
                <w:lang w:val="en-US"/>
              </w:rPr>
              <w:t>0.18</w:t>
            </w:r>
            <w:r w:rsidR="00343E5A" w:rsidRPr="0037251D">
              <w:rPr>
                <w:rFonts w:ascii="Book Antiqua" w:hAnsi="Book Antiqua" w:cs="Times New Roman"/>
                <w:lang w:val="en-US"/>
              </w:rPr>
              <w:t xml:space="preserve">. </w:t>
            </w:r>
            <w:r w:rsidRPr="0037251D">
              <w:rPr>
                <w:rFonts w:ascii="Book Antiqua" w:hAnsi="Book Antiqua" w:cs="Times New Roman"/>
                <w:lang w:val="en-US"/>
              </w:rPr>
              <w:t>Minor bleeding</w:t>
            </w:r>
            <w:r w:rsidR="00343E5A" w:rsidRPr="0037251D">
              <w:rPr>
                <w:rFonts w:ascii="Book Antiqua" w:hAnsi="Book Antiqua" w:cs="Times New Roman"/>
                <w:lang w:val="en-US"/>
              </w:rPr>
              <w:t xml:space="preserve">: </w:t>
            </w:r>
            <w:r w:rsidRPr="0037251D">
              <w:rPr>
                <w:rFonts w:ascii="Book Antiqua" w:hAnsi="Book Antiqua" w:cs="Times New Roman"/>
                <w:lang w:val="en-US"/>
              </w:rPr>
              <w:t>Arm A: 57/769 (7.4%)</w:t>
            </w:r>
            <w:r w:rsidR="00343E5A" w:rsidRPr="0037251D">
              <w:rPr>
                <w:rFonts w:ascii="Book Antiqua" w:hAnsi="Book Antiqua" w:cs="Times New Roman"/>
                <w:lang w:val="en-US"/>
              </w:rPr>
              <w:t xml:space="preserve">; </w:t>
            </w:r>
            <w:r w:rsidRPr="0037251D">
              <w:rPr>
                <w:rFonts w:ascii="Book Antiqua" w:hAnsi="Book Antiqua" w:cs="Times New Roman"/>
                <w:lang w:val="en-US"/>
              </w:rPr>
              <w:t>Arm B: 30/381 (7.9%)</w:t>
            </w:r>
            <w:r w:rsidR="00343E5A" w:rsidRPr="0037251D">
              <w:rPr>
                <w:rFonts w:ascii="Book Antiqua" w:hAnsi="Book Antiqua" w:cs="Times New Roman"/>
                <w:lang w:val="en-US"/>
              </w:rPr>
              <w:t xml:space="preserve">; </w:t>
            </w:r>
            <w:r w:rsidR="00343E5A" w:rsidRPr="0037251D">
              <w:rPr>
                <w:rFonts w:ascii="Book Antiqua" w:hAnsi="Book Antiqua" w:cs="Times New Roman"/>
                <w:i/>
                <w:iCs/>
                <w:lang w:val="en-US"/>
              </w:rPr>
              <w:t>P</w:t>
            </w:r>
            <w:r w:rsidR="00343E5A" w:rsidRPr="0037251D">
              <w:rPr>
                <w:rFonts w:ascii="Book Antiqua" w:hAnsi="Book Antiqua" w:cs="Times New Roman"/>
                <w:lang w:val="en-US"/>
              </w:rPr>
              <w:t xml:space="preserve"> </w:t>
            </w:r>
            <w:r w:rsidRPr="0037251D">
              <w:rPr>
                <w:rFonts w:ascii="Book Antiqua" w:hAnsi="Book Antiqua" w:cs="Times New Roman"/>
                <w:lang w:val="en-US"/>
              </w:rPr>
              <w:t>=</w:t>
            </w:r>
            <w:r w:rsidR="00343E5A" w:rsidRPr="0037251D">
              <w:rPr>
                <w:rFonts w:ascii="Book Antiqua" w:hAnsi="Book Antiqua" w:cs="Times New Roman"/>
                <w:lang w:val="en-US"/>
              </w:rPr>
              <w:t xml:space="preserve"> </w:t>
            </w:r>
            <w:r w:rsidR="00343E5A" w:rsidRPr="0037251D">
              <w:rPr>
                <w:rFonts w:ascii="Book Antiqua" w:eastAsia="宋体" w:hAnsi="Book Antiqua"/>
              </w:rPr>
              <w:t xml:space="preserve">not significant. </w:t>
            </w:r>
            <w:r w:rsidRPr="0037251D">
              <w:rPr>
                <w:rFonts w:ascii="Book Antiqua" w:hAnsi="Book Antiqua" w:cs="Times New Roman"/>
                <w:lang w:val="en-US"/>
              </w:rPr>
              <w:t>PC subgroup</w:t>
            </w:r>
            <w:r w:rsidR="00343E5A" w:rsidRPr="0037251D">
              <w:rPr>
                <w:rFonts w:ascii="Book Antiqua" w:hAnsi="Book Antiqua" w:cs="Times New Roman"/>
                <w:lang w:val="en-US"/>
              </w:rPr>
              <w:t xml:space="preserve">: </w:t>
            </w:r>
            <w:r w:rsidRPr="0037251D">
              <w:rPr>
                <w:rFonts w:ascii="Book Antiqua" w:hAnsi="Book Antiqua"/>
                <w:i/>
                <w:iCs/>
              </w:rPr>
              <w:t>P</w:t>
            </w:r>
            <w:r w:rsidR="00343E5A" w:rsidRPr="0037251D">
              <w:rPr>
                <w:rFonts w:ascii="Book Antiqua" w:hAnsi="Book Antiqua"/>
              </w:rPr>
              <w:t xml:space="preserve"> </w:t>
            </w:r>
            <w:r w:rsidRPr="0037251D">
              <w:rPr>
                <w:rFonts w:ascii="Book Antiqua" w:hAnsi="Book Antiqua"/>
              </w:rPr>
              <w:t>=</w:t>
            </w:r>
            <w:r w:rsidR="00343E5A" w:rsidRPr="0037251D">
              <w:rPr>
                <w:rFonts w:ascii="Book Antiqua" w:hAnsi="Book Antiqua"/>
              </w:rPr>
              <w:t xml:space="preserve"> </w:t>
            </w:r>
            <w:r w:rsidR="00343E5A" w:rsidRPr="0037251D">
              <w:rPr>
                <w:rFonts w:ascii="Book Antiqua" w:eastAsia="宋体" w:hAnsi="Book Antiqua"/>
              </w:rPr>
              <w:t>not significant</w:t>
            </w:r>
          </w:p>
        </w:tc>
        <w:tc>
          <w:tcPr>
            <w:tcW w:w="2196" w:type="dxa"/>
          </w:tcPr>
          <w:p w14:paraId="32508195" w14:textId="382851CC" w:rsidR="00CB41FA" w:rsidRPr="0037251D" w:rsidRDefault="00CB41FA" w:rsidP="00343E5A">
            <w:pPr>
              <w:spacing w:line="360" w:lineRule="auto"/>
              <w:rPr>
                <w:rFonts w:ascii="Book Antiqua" w:hAnsi="Book Antiqua" w:cs="Times New Roman"/>
                <w:b/>
                <w:bCs/>
                <w:lang w:val="en-US"/>
              </w:rPr>
            </w:pPr>
            <w:r w:rsidRPr="0037251D">
              <w:rPr>
                <w:rFonts w:ascii="Book Antiqua" w:hAnsi="Book Antiqua" w:cs="Times New Roman"/>
                <w:lang w:val="en-US"/>
              </w:rPr>
              <w:lastRenderedPageBreak/>
              <w:t xml:space="preserve">Overall </w:t>
            </w:r>
            <w:r w:rsidRPr="0037251D">
              <w:rPr>
                <w:rFonts w:ascii="Book Antiqua" w:hAnsi="Book Antiqua" w:cs="Times New Roman"/>
                <w:lang w:val="en-US"/>
              </w:rPr>
              <w:lastRenderedPageBreak/>
              <w:t>population</w:t>
            </w:r>
            <w:r w:rsidR="00343E5A" w:rsidRPr="0037251D">
              <w:rPr>
                <w:rFonts w:ascii="Book Antiqua" w:hAnsi="Book Antiqua" w:cs="Times New Roman"/>
                <w:lang w:val="en-US"/>
              </w:rPr>
              <w:t xml:space="preserve">: </w:t>
            </w:r>
            <w:r w:rsidRPr="0037251D">
              <w:rPr>
                <w:rFonts w:ascii="Book Antiqua" w:hAnsi="Book Antiqua" w:cs="Times New Roman"/>
                <w:lang w:val="en-US"/>
              </w:rPr>
              <w:t>Major bleeding</w:t>
            </w:r>
            <w:r w:rsidR="00343E5A" w:rsidRPr="0037251D">
              <w:rPr>
                <w:rFonts w:ascii="Book Antiqua" w:hAnsi="Book Antiqua" w:cs="Times New Roman"/>
                <w:lang w:val="en-US"/>
              </w:rPr>
              <w:t xml:space="preserve">: </w:t>
            </w:r>
            <w:r w:rsidRPr="0037251D">
              <w:rPr>
                <w:rFonts w:ascii="Book Antiqua" w:hAnsi="Book Antiqua" w:cs="Times New Roman"/>
                <w:lang w:val="en-US"/>
              </w:rPr>
              <w:t>Arm A: 19/1589 (1.2%)</w:t>
            </w:r>
            <w:r w:rsidR="00343E5A" w:rsidRPr="0037251D">
              <w:rPr>
                <w:rFonts w:ascii="Book Antiqua" w:hAnsi="Book Antiqua" w:cs="Times New Roman"/>
                <w:lang w:val="en-US"/>
              </w:rPr>
              <w:t xml:space="preserve">; </w:t>
            </w:r>
            <w:r w:rsidRPr="0037251D">
              <w:rPr>
                <w:rFonts w:ascii="Book Antiqua" w:hAnsi="Book Antiqua" w:cs="Times New Roman"/>
                <w:lang w:val="en-US"/>
              </w:rPr>
              <w:t>Arm B: 18/1583 (1.1%)</w:t>
            </w:r>
            <w:r w:rsidR="00343E5A" w:rsidRPr="0037251D">
              <w:rPr>
                <w:rFonts w:ascii="Book Antiqua" w:hAnsi="Book Antiqua" w:cs="Times New Roman"/>
                <w:lang w:val="en-US"/>
              </w:rPr>
              <w:t xml:space="preserve">; </w:t>
            </w:r>
            <w:r w:rsidRPr="0037251D">
              <w:rPr>
                <w:rFonts w:ascii="Book Antiqua" w:hAnsi="Book Antiqua" w:cs="Times New Roman"/>
                <w:lang w:val="en-US"/>
              </w:rPr>
              <w:t>OR 1.05 (95%CI</w:t>
            </w:r>
            <w:r w:rsidR="00343E5A" w:rsidRPr="0037251D">
              <w:rPr>
                <w:rFonts w:ascii="Book Antiqua" w:hAnsi="Book Antiqua" w:cs="Times New Roman"/>
                <w:lang w:val="en-US"/>
              </w:rPr>
              <w:t>:</w:t>
            </w:r>
            <w:r w:rsidRPr="0037251D">
              <w:rPr>
                <w:rFonts w:ascii="Book Antiqua" w:hAnsi="Book Antiqua" w:cs="Times New Roman"/>
                <w:lang w:val="en-US"/>
              </w:rPr>
              <w:t xml:space="preserve"> 0.55-2.04)</w:t>
            </w:r>
            <w:r w:rsidR="00343E5A" w:rsidRPr="0037251D">
              <w:rPr>
                <w:rFonts w:ascii="Book Antiqua" w:hAnsi="Book Antiqua" w:cs="Times New Roman"/>
                <w:lang w:val="en-US"/>
              </w:rPr>
              <w:t xml:space="preserve">. </w:t>
            </w:r>
            <w:r w:rsidRPr="0037251D">
              <w:rPr>
                <w:rFonts w:ascii="Book Antiqua" w:hAnsi="Book Antiqua" w:cs="Times New Roman"/>
                <w:lang w:val="en-US"/>
              </w:rPr>
              <w:t>CRNMB</w:t>
            </w:r>
            <w:r w:rsidR="00343E5A" w:rsidRPr="0037251D">
              <w:rPr>
                <w:rFonts w:ascii="Book Antiqua" w:hAnsi="Book Antiqua" w:cs="Times New Roman"/>
                <w:lang w:val="en-US"/>
              </w:rPr>
              <w:t xml:space="preserve">: </w:t>
            </w:r>
            <w:r w:rsidRPr="0037251D">
              <w:rPr>
                <w:rFonts w:ascii="Book Antiqua" w:hAnsi="Book Antiqua" w:cs="Times New Roman"/>
                <w:lang w:val="en-US"/>
              </w:rPr>
              <w:t>Arm A: 26/1589 (2.8%)</w:t>
            </w:r>
            <w:r w:rsidR="00343E5A" w:rsidRPr="0037251D">
              <w:rPr>
                <w:rFonts w:ascii="Book Antiqua" w:hAnsi="Book Antiqua" w:cs="Times New Roman"/>
                <w:lang w:val="en-US"/>
              </w:rPr>
              <w:t xml:space="preserve">; </w:t>
            </w:r>
            <w:r w:rsidRPr="0037251D">
              <w:rPr>
                <w:rFonts w:ascii="Book Antiqua" w:hAnsi="Book Antiqua"/>
              </w:rPr>
              <w:t>Arm B:</w:t>
            </w:r>
            <w:r w:rsidR="00343E5A" w:rsidRPr="0037251D">
              <w:rPr>
                <w:rFonts w:ascii="Book Antiqua" w:hAnsi="Book Antiqua"/>
              </w:rPr>
              <w:t xml:space="preserve"> </w:t>
            </w:r>
            <w:r w:rsidRPr="0037251D">
              <w:rPr>
                <w:rFonts w:ascii="Book Antiqua" w:hAnsi="Book Antiqua"/>
              </w:rPr>
              <w:t>14/1583 (0.9%)</w:t>
            </w:r>
            <w:r w:rsidR="00343E5A" w:rsidRPr="0037251D">
              <w:rPr>
                <w:rFonts w:ascii="Book Antiqua" w:hAnsi="Book Antiqua"/>
              </w:rPr>
              <w:t xml:space="preserve">; </w:t>
            </w:r>
            <w:r w:rsidRPr="0037251D">
              <w:rPr>
                <w:rFonts w:ascii="Book Antiqua" w:hAnsi="Book Antiqua"/>
              </w:rPr>
              <w:t>OR 1.86 (95%CI</w:t>
            </w:r>
            <w:r w:rsidR="00343E5A" w:rsidRPr="0037251D">
              <w:rPr>
                <w:rFonts w:ascii="Book Antiqua" w:hAnsi="Book Antiqua"/>
              </w:rPr>
              <w:t>:</w:t>
            </w:r>
            <w:r w:rsidRPr="0037251D">
              <w:rPr>
                <w:rFonts w:ascii="Book Antiqua" w:hAnsi="Book Antiqua"/>
              </w:rPr>
              <w:t xml:space="preserve"> 0.98-3.68)</w:t>
            </w:r>
            <w:r w:rsidR="00343E5A" w:rsidRPr="0037251D">
              <w:rPr>
                <w:rFonts w:ascii="Book Antiqua" w:hAnsi="Book Antiqua"/>
              </w:rPr>
              <w:t xml:space="preserve">. </w:t>
            </w:r>
            <w:r w:rsidRPr="0037251D">
              <w:rPr>
                <w:rFonts w:ascii="Book Antiqua" w:hAnsi="Book Antiqua"/>
              </w:rPr>
              <w:t>PC subgroup</w:t>
            </w:r>
            <w:r w:rsidR="00343E5A" w:rsidRPr="0037251D">
              <w:rPr>
                <w:rFonts w:ascii="Book Antiqua" w:hAnsi="Book Antiqua"/>
              </w:rPr>
              <w:t xml:space="preserve">: </w:t>
            </w:r>
            <w:r w:rsidRPr="0037251D">
              <w:rPr>
                <w:rFonts w:ascii="Book Antiqua" w:hAnsi="Book Antiqua"/>
                <w:i/>
                <w:iCs/>
              </w:rPr>
              <w:t>P</w:t>
            </w:r>
            <w:r w:rsidR="00343E5A" w:rsidRPr="0037251D">
              <w:rPr>
                <w:rFonts w:ascii="Book Antiqua" w:hAnsi="Book Antiqua"/>
              </w:rPr>
              <w:t xml:space="preserve"> </w:t>
            </w:r>
            <w:r w:rsidRPr="0037251D">
              <w:rPr>
                <w:rFonts w:ascii="Book Antiqua" w:hAnsi="Book Antiqua"/>
              </w:rPr>
              <w:t>=</w:t>
            </w:r>
            <w:r w:rsidR="00343E5A" w:rsidRPr="0037251D">
              <w:rPr>
                <w:rFonts w:ascii="Book Antiqua" w:hAnsi="Book Antiqua"/>
              </w:rPr>
              <w:t xml:space="preserve"> </w:t>
            </w:r>
            <w:r w:rsidR="00343E5A" w:rsidRPr="0037251D">
              <w:rPr>
                <w:rFonts w:ascii="Book Antiqua" w:eastAsia="宋体" w:hAnsi="Book Antiqua"/>
              </w:rPr>
              <w:t>not significant</w:t>
            </w:r>
          </w:p>
        </w:tc>
        <w:tc>
          <w:tcPr>
            <w:tcW w:w="2196" w:type="dxa"/>
          </w:tcPr>
          <w:p w14:paraId="6AB51E36" w14:textId="2D3A3490" w:rsidR="00CB41FA" w:rsidRPr="0037251D" w:rsidRDefault="00CB41FA" w:rsidP="00343E5A">
            <w:pPr>
              <w:spacing w:line="360" w:lineRule="auto"/>
              <w:rPr>
                <w:rFonts w:ascii="Book Antiqua" w:hAnsi="Book Antiqua" w:cs="Times New Roman"/>
                <w:b/>
                <w:bCs/>
                <w:lang w:val="en-US"/>
              </w:rPr>
            </w:pPr>
            <w:r w:rsidRPr="0037251D">
              <w:rPr>
                <w:rFonts w:ascii="Book Antiqua" w:hAnsi="Book Antiqua" w:cs="Times New Roman"/>
                <w:lang w:val="en-US"/>
              </w:rPr>
              <w:lastRenderedPageBreak/>
              <w:t>ISTH severe</w:t>
            </w:r>
            <w:r w:rsidR="00343E5A" w:rsidRPr="0037251D">
              <w:rPr>
                <w:rFonts w:ascii="Book Antiqua" w:hAnsi="Book Antiqua" w:cs="Times New Roman"/>
                <w:lang w:val="en-US"/>
              </w:rPr>
              <w:t xml:space="preserve">: </w:t>
            </w:r>
            <w:r w:rsidRPr="0037251D">
              <w:rPr>
                <w:rFonts w:ascii="Book Antiqua" w:hAnsi="Book Antiqua" w:cs="Times New Roman"/>
                <w:lang w:val="en-US"/>
              </w:rPr>
              <w:lastRenderedPageBreak/>
              <w:t>Arm A: 2/59 (3%)</w:t>
            </w:r>
            <w:r w:rsidR="00343E5A" w:rsidRPr="0037251D">
              <w:rPr>
                <w:rFonts w:ascii="Book Antiqua" w:hAnsi="Book Antiqua" w:cs="Times New Roman"/>
                <w:lang w:val="en-US"/>
              </w:rPr>
              <w:t xml:space="preserve">; </w:t>
            </w:r>
            <w:r w:rsidRPr="0037251D">
              <w:rPr>
                <w:rFonts w:ascii="Book Antiqua" w:hAnsi="Book Antiqua" w:cs="Times New Roman"/>
                <w:lang w:val="en-US"/>
              </w:rPr>
              <w:t>Arm B:  2/62 (3%)</w:t>
            </w:r>
            <w:r w:rsidR="00343E5A" w:rsidRPr="0037251D">
              <w:rPr>
                <w:rFonts w:ascii="Book Antiqua" w:hAnsi="Book Antiqua" w:cs="Times New Roman"/>
                <w:lang w:val="en-US"/>
              </w:rPr>
              <w:t xml:space="preserve">. </w:t>
            </w:r>
            <w:r w:rsidRPr="0037251D">
              <w:rPr>
                <w:rFonts w:ascii="Book Antiqua" w:hAnsi="Book Antiqua" w:cs="Times New Roman"/>
                <w:lang w:val="en-US"/>
              </w:rPr>
              <w:t>ISTH non severe</w:t>
            </w:r>
            <w:r w:rsidR="00343E5A" w:rsidRPr="0037251D">
              <w:rPr>
                <w:rFonts w:ascii="Book Antiqua" w:hAnsi="Book Antiqua" w:cs="Times New Roman"/>
                <w:lang w:val="en-US"/>
              </w:rPr>
              <w:t xml:space="preserve">: </w:t>
            </w:r>
            <w:r w:rsidRPr="0037251D">
              <w:rPr>
                <w:rFonts w:ascii="Book Antiqua" w:hAnsi="Book Antiqua" w:cs="Times New Roman"/>
                <w:lang w:val="en-US"/>
              </w:rPr>
              <w:t>Arm A: 5/59 (9%)</w:t>
            </w:r>
            <w:r w:rsidR="00343E5A" w:rsidRPr="0037251D">
              <w:rPr>
                <w:rFonts w:ascii="Book Antiqua" w:hAnsi="Book Antiqua" w:cs="Times New Roman"/>
                <w:lang w:val="en-US"/>
              </w:rPr>
              <w:t xml:space="preserve">; </w:t>
            </w:r>
            <w:r w:rsidRPr="0037251D">
              <w:rPr>
                <w:rFonts w:ascii="Book Antiqua" w:hAnsi="Book Antiqua"/>
              </w:rPr>
              <w:t>Arm B: 2/62 (3%)</w:t>
            </w:r>
          </w:p>
        </w:tc>
        <w:tc>
          <w:tcPr>
            <w:tcW w:w="2197" w:type="dxa"/>
          </w:tcPr>
          <w:p w14:paraId="1C388E1D" w14:textId="296C2EC2" w:rsidR="00CB41FA" w:rsidRPr="0037251D" w:rsidRDefault="00CB41FA" w:rsidP="00343E5A">
            <w:pPr>
              <w:spacing w:line="360" w:lineRule="auto"/>
              <w:rPr>
                <w:rFonts w:ascii="Book Antiqua" w:hAnsi="Book Antiqua" w:cs="Times New Roman"/>
                <w:b/>
                <w:bCs/>
                <w:lang w:val="en-US"/>
              </w:rPr>
            </w:pPr>
            <w:r w:rsidRPr="0037251D">
              <w:rPr>
                <w:rFonts w:ascii="Book Antiqua" w:hAnsi="Book Antiqua" w:cs="Times New Roman"/>
                <w:lang w:val="en-US"/>
              </w:rPr>
              <w:lastRenderedPageBreak/>
              <w:t xml:space="preserve">Major </w:t>
            </w:r>
            <w:r w:rsidRPr="0037251D">
              <w:rPr>
                <w:rFonts w:ascii="Book Antiqua" w:hAnsi="Book Antiqua" w:cs="Times New Roman"/>
                <w:lang w:val="en-US"/>
              </w:rPr>
              <w:lastRenderedPageBreak/>
              <w:t>bleeding</w:t>
            </w:r>
            <w:r w:rsidR="00343E5A" w:rsidRPr="0037251D">
              <w:rPr>
                <w:rFonts w:ascii="Book Antiqua" w:hAnsi="Book Antiqua" w:cs="Times New Roman"/>
                <w:lang w:val="en-US"/>
              </w:rPr>
              <w:t xml:space="preserve">: </w:t>
            </w:r>
            <w:r w:rsidRPr="0037251D">
              <w:rPr>
                <w:rFonts w:ascii="Book Antiqua" w:hAnsi="Book Antiqua" w:cs="Times New Roman"/>
                <w:lang w:val="en-US"/>
              </w:rPr>
              <w:t>Arm A: 8.3%</w:t>
            </w:r>
            <w:r w:rsidR="00343E5A" w:rsidRPr="0037251D">
              <w:rPr>
                <w:rFonts w:ascii="Book Antiqua" w:hAnsi="Book Antiqua" w:cs="Times New Roman"/>
                <w:lang w:val="en-US"/>
              </w:rPr>
              <w:t xml:space="preserve">; </w:t>
            </w:r>
            <w:r w:rsidRPr="0037251D">
              <w:rPr>
                <w:rFonts w:ascii="Book Antiqua" w:hAnsi="Book Antiqua" w:cs="Times New Roman"/>
                <w:lang w:val="en-US"/>
              </w:rPr>
              <w:t>Arm B: 6.9%</w:t>
            </w:r>
            <w:r w:rsidR="00343E5A" w:rsidRPr="0037251D">
              <w:rPr>
                <w:rFonts w:ascii="Book Antiqua" w:hAnsi="Book Antiqua" w:cs="Times New Roman"/>
                <w:lang w:val="en-US"/>
              </w:rPr>
              <w:t xml:space="preserve">; </w:t>
            </w:r>
            <w:r w:rsidRPr="0037251D">
              <w:rPr>
                <w:rFonts w:ascii="Book Antiqua" w:hAnsi="Book Antiqua"/>
              </w:rPr>
              <w:t>HR 1.23 (95%CI</w:t>
            </w:r>
            <w:r w:rsidR="00343E5A" w:rsidRPr="0037251D">
              <w:rPr>
                <w:rFonts w:ascii="Book Antiqua" w:hAnsi="Book Antiqua"/>
              </w:rPr>
              <w:t>:</w:t>
            </w:r>
            <w:r w:rsidRPr="0037251D">
              <w:rPr>
                <w:rFonts w:ascii="Book Antiqua" w:hAnsi="Book Antiqua"/>
              </w:rPr>
              <w:t xml:space="preserve"> 0.54-2.79); </w:t>
            </w:r>
            <w:r w:rsidR="00343E5A" w:rsidRPr="0037251D">
              <w:rPr>
                <w:rFonts w:ascii="Book Antiqua" w:hAnsi="Book Antiqua"/>
                <w:i/>
                <w:iCs/>
              </w:rPr>
              <w:t>P</w:t>
            </w:r>
            <w:r w:rsidR="00343E5A" w:rsidRPr="0037251D">
              <w:rPr>
                <w:rFonts w:ascii="Book Antiqua" w:hAnsi="Book Antiqua"/>
              </w:rPr>
              <w:t xml:space="preserve"> </w:t>
            </w:r>
            <w:r w:rsidRPr="0037251D">
              <w:rPr>
                <w:rFonts w:ascii="Book Antiqua" w:hAnsi="Book Antiqua"/>
              </w:rPr>
              <w:t>=</w:t>
            </w:r>
            <w:r w:rsidR="00343E5A" w:rsidRPr="0037251D">
              <w:rPr>
                <w:rFonts w:ascii="Book Antiqua" w:hAnsi="Book Antiqua"/>
              </w:rPr>
              <w:t xml:space="preserve"> </w:t>
            </w:r>
            <w:r w:rsidRPr="0037251D">
              <w:rPr>
                <w:rFonts w:ascii="Book Antiqua" w:hAnsi="Book Antiqua"/>
              </w:rPr>
              <w:t>0.63</w:t>
            </w:r>
          </w:p>
        </w:tc>
        <w:tc>
          <w:tcPr>
            <w:tcW w:w="2197" w:type="dxa"/>
          </w:tcPr>
          <w:p w14:paraId="579CD1C0" w14:textId="555319B4" w:rsidR="00CB41FA" w:rsidRPr="0037251D" w:rsidRDefault="00CB41FA" w:rsidP="00CB41FA">
            <w:pPr>
              <w:spacing w:line="360" w:lineRule="auto"/>
              <w:rPr>
                <w:rFonts w:ascii="Book Antiqua" w:hAnsi="Book Antiqua" w:cs="Times New Roman"/>
              </w:rPr>
            </w:pPr>
            <w:r w:rsidRPr="0037251D">
              <w:rPr>
                <w:rFonts w:ascii="Book Antiqua" w:hAnsi="Book Antiqua" w:cs="Times New Roman"/>
                <w:lang w:val="en-US"/>
              </w:rPr>
              <w:lastRenderedPageBreak/>
              <w:t xml:space="preserve">Overall </w:t>
            </w:r>
            <w:r w:rsidRPr="0037251D">
              <w:rPr>
                <w:rFonts w:ascii="Book Antiqua" w:hAnsi="Book Antiqua" w:cs="Times New Roman"/>
                <w:lang w:val="en-US"/>
              </w:rPr>
              <w:lastRenderedPageBreak/>
              <w:t>population</w:t>
            </w:r>
            <w:r w:rsidR="00343E5A" w:rsidRPr="0037251D">
              <w:rPr>
                <w:rFonts w:ascii="Book Antiqua" w:hAnsi="Book Antiqua" w:cs="Times New Roman"/>
                <w:lang w:val="en-US"/>
              </w:rPr>
              <w:t xml:space="preserve">: </w:t>
            </w:r>
            <w:r w:rsidRPr="0037251D">
              <w:rPr>
                <w:rFonts w:ascii="Book Antiqua" w:hAnsi="Book Antiqua" w:cs="Times New Roman"/>
                <w:lang w:val="en-US"/>
              </w:rPr>
              <w:t>Major bleeding</w:t>
            </w:r>
            <w:r w:rsidR="00343E5A" w:rsidRPr="0037251D">
              <w:rPr>
                <w:rFonts w:ascii="Book Antiqua" w:hAnsi="Book Antiqua" w:cs="Times New Roman"/>
                <w:lang w:val="en-US"/>
              </w:rPr>
              <w:t xml:space="preserve">: </w:t>
            </w:r>
            <w:r w:rsidRPr="0037251D">
              <w:rPr>
                <w:rFonts w:ascii="Book Antiqua" w:hAnsi="Book Antiqua" w:cs="Times New Roman"/>
                <w:lang w:val="en-US"/>
              </w:rPr>
              <w:t>Arm A: 8/405 (1.98%)</w:t>
            </w:r>
            <w:r w:rsidR="00343E5A" w:rsidRPr="0037251D">
              <w:rPr>
                <w:rFonts w:ascii="Book Antiqua" w:hAnsi="Book Antiqua" w:cs="Times New Roman"/>
                <w:lang w:val="en-US"/>
              </w:rPr>
              <w:t xml:space="preserve">; </w:t>
            </w:r>
            <w:r w:rsidRPr="0037251D">
              <w:rPr>
                <w:rFonts w:ascii="Book Antiqua" w:hAnsi="Book Antiqua"/>
              </w:rPr>
              <w:t>Arm B: 4/404 (0.99%)</w:t>
            </w:r>
            <w:r w:rsidR="00343E5A" w:rsidRPr="0037251D">
              <w:rPr>
                <w:rFonts w:ascii="Book Antiqua" w:hAnsi="Book Antiqua"/>
              </w:rPr>
              <w:t xml:space="preserve">; </w:t>
            </w:r>
            <w:r w:rsidRPr="0037251D">
              <w:rPr>
                <w:rFonts w:ascii="Book Antiqua" w:hAnsi="Book Antiqua"/>
              </w:rPr>
              <w:t>HR 1.96 (95%CI</w:t>
            </w:r>
            <w:r w:rsidR="00343E5A" w:rsidRPr="0037251D">
              <w:rPr>
                <w:rFonts w:ascii="Book Antiqua" w:hAnsi="Book Antiqua"/>
              </w:rPr>
              <w:t>:</w:t>
            </w:r>
            <w:r w:rsidRPr="0037251D">
              <w:rPr>
                <w:rFonts w:ascii="Book Antiqua" w:hAnsi="Book Antiqua"/>
              </w:rPr>
              <w:t xml:space="preserve"> 0.59-6.49) </w:t>
            </w:r>
            <w:r w:rsidR="00343E5A" w:rsidRPr="0037251D">
              <w:rPr>
                <w:rFonts w:ascii="Book Antiqua" w:hAnsi="Book Antiqua"/>
                <w:i/>
                <w:iCs/>
              </w:rPr>
              <w:t>P</w:t>
            </w:r>
            <w:r w:rsidR="00343E5A" w:rsidRPr="0037251D">
              <w:rPr>
                <w:rFonts w:ascii="Book Antiqua" w:hAnsi="Book Antiqua"/>
              </w:rPr>
              <w:t xml:space="preserve"> </w:t>
            </w:r>
            <w:r w:rsidRPr="0037251D">
              <w:rPr>
                <w:rFonts w:ascii="Book Antiqua" w:hAnsi="Book Antiqua"/>
              </w:rPr>
              <w:t>=</w:t>
            </w:r>
            <w:r w:rsidR="00343E5A" w:rsidRPr="0037251D">
              <w:rPr>
                <w:rFonts w:ascii="Book Antiqua" w:hAnsi="Book Antiqua"/>
              </w:rPr>
              <w:t xml:space="preserve"> </w:t>
            </w:r>
            <w:r w:rsidRPr="0037251D">
              <w:rPr>
                <w:rFonts w:ascii="Book Antiqua" w:hAnsi="Book Antiqua"/>
              </w:rPr>
              <w:t>0.265</w:t>
            </w:r>
            <w:r w:rsidR="00343E5A" w:rsidRPr="0037251D">
              <w:rPr>
                <w:rFonts w:ascii="Book Antiqua" w:hAnsi="Book Antiqua"/>
              </w:rPr>
              <w:t xml:space="preserve">; </w:t>
            </w:r>
            <w:r w:rsidRPr="0037251D">
              <w:rPr>
                <w:rFonts w:ascii="Book Antiqua" w:hAnsi="Book Antiqua"/>
              </w:rPr>
              <w:t>NNH</w:t>
            </w:r>
            <w:r w:rsidR="00343E5A" w:rsidRPr="0037251D">
              <w:rPr>
                <w:rFonts w:ascii="Book Antiqua" w:hAnsi="Book Antiqua"/>
              </w:rPr>
              <w:t xml:space="preserve"> </w:t>
            </w:r>
            <w:r w:rsidRPr="0037251D">
              <w:rPr>
                <w:rFonts w:ascii="Book Antiqua" w:hAnsi="Book Antiqua"/>
              </w:rPr>
              <w:t>=</w:t>
            </w:r>
            <w:r w:rsidR="00343E5A" w:rsidRPr="0037251D">
              <w:rPr>
                <w:rFonts w:ascii="Book Antiqua" w:hAnsi="Book Antiqua"/>
              </w:rPr>
              <w:t xml:space="preserve"> </w:t>
            </w:r>
            <w:r w:rsidRPr="0037251D">
              <w:rPr>
                <w:rFonts w:ascii="Book Antiqua" w:hAnsi="Book Antiqua"/>
              </w:rPr>
              <w:t>101</w:t>
            </w:r>
            <w:r w:rsidR="00343E5A" w:rsidRPr="0037251D">
              <w:rPr>
                <w:rFonts w:ascii="Book Antiqua" w:hAnsi="Book Antiqua"/>
              </w:rPr>
              <w:t xml:space="preserve">. </w:t>
            </w:r>
            <w:r w:rsidRPr="0037251D">
              <w:rPr>
                <w:rFonts w:ascii="Book Antiqua" w:hAnsi="Book Antiqua" w:cs="Times New Roman"/>
                <w:lang w:val="en-US"/>
              </w:rPr>
              <w:t>CRNMB</w:t>
            </w:r>
            <w:r w:rsidR="00343E5A" w:rsidRPr="0037251D">
              <w:rPr>
                <w:rFonts w:ascii="Book Antiqua" w:hAnsi="Book Antiqua" w:cs="Times New Roman"/>
                <w:lang w:val="en-US"/>
              </w:rPr>
              <w:t xml:space="preserve">: </w:t>
            </w:r>
            <w:r w:rsidRPr="0037251D">
              <w:rPr>
                <w:rFonts w:ascii="Book Antiqua" w:hAnsi="Book Antiqua" w:cs="Times New Roman"/>
                <w:lang w:val="en-US"/>
              </w:rPr>
              <w:t>Arm A: 2.72%</w:t>
            </w:r>
            <w:r w:rsidR="00343E5A" w:rsidRPr="0037251D">
              <w:rPr>
                <w:rFonts w:ascii="Book Antiqua" w:hAnsi="Book Antiqua" w:cs="Times New Roman"/>
                <w:lang w:val="en-US"/>
              </w:rPr>
              <w:t xml:space="preserve">; </w:t>
            </w:r>
            <w:r w:rsidRPr="0037251D">
              <w:rPr>
                <w:rFonts w:ascii="Book Antiqua" w:hAnsi="Book Antiqua" w:cs="Times New Roman"/>
                <w:lang w:val="en-US"/>
              </w:rPr>
              <w:t>Arm B: 1.98%</w:t>
            </w:r>
            <w:r w:rsidR="00343E5A" w:rsidRPr="0037251D">
              <w:rPr>
                <w:rFonts w:ascii="Book Antiqua" w:hAnsi="Book Antiqua" w:cs="Times New Roman"/>
                <w:lang w:val="en-US"/>
              </w:rPr>
              <w:t xml:space="preserve">; </w:t>
            </w:r>
            <w:r w:rsidRPr="0037251D">
              <w:rPr>
                <w:rFonts w:ascii="Book Antiqua" w:hAnsi="Book Antiqua"/>
              </w:rPr>
              <w:t>HR 1.96 (95%CI</w:t>
            </w:r>
            <w:r w:rsidR="00343E5A" w:rsidRPr="0037251D">
              <w:rPr>
                <w:rFonts w:ascii="Book Antiqua" w:hAnsi="Book Antiqua"/>
              </w:rPr>
              <w:t>:</w:t>
            </w:r>
            <w:r w:rsidRPr="0037251D">
              <w:rPr>
                <w:rFonts w:ascii="Book Antiqua" w:hAnsi="Book Antiqua"/>
              </w:rPr>
              <w:t xml:space="preserve"> 0.59-6.49)</w:t>
            </w:r>
            <w:r w:rsidR="00343E5A" w:rsidRPr="0037251D">
              <w:rPr>
                <w:rFonts w:ascii="Book Antiqua" w:hAnsi="Book Antiqua"/>
              </w:rPr>
              <w:t xml:space="preserve">; </w:t>
            </w:r>
            <w:r w:rsidR="00343E5A" w:rsidRPr="0037251D">
              <w:rPr>
                <w:rFonts w:ascii="Book Antiqua" w:hAnsi="Book Antiqua"/>
                <w:i/>
                <w:iCs/>
              </w:rPr>
              <w:t>P</w:t>
            </w:r>
            <w:r w:rsidR="00343E5A" w:rsidRPr="0037251D">
              <w:rPr>
                <w:rFonts w:ascii="Book Antiqua" w:hAnsi="Book Antiqua"/>
              </w:rPr>
              <w:t xml:space="preserve"> </w:t>
            </w:r>
            <w:r w:rsidRPr="0037251D">
              <w:rPr>
                <w:rFonts w:ascii="Book Antiqua" w:hAnsi="Book Antiqua"/>
              </w:rPr>
              <w:t>=</w:t>
            </w:r>
            <w:r w:rsidR="00343E5A" w:rsidRPr="0037251D">
              <w:rPr>
                <w:rFonts w:ascii="Book Antiqua" w:hAnsi="Book Antiqua"/>
              </w:rPr>
              <w:t xml:space="preserve"> </w:t>
            </w:r>
            <w:r w:rsidRPr="0037251D">
              <w:rPr>
                <w:rFonts w:ascii="Book Antiqua" w:hAnsi="Book Antiqua"/>
              </w:rPr>
              <w:t>0.265</w:t>
            </w:r>
            <w:r w:rsidR="00343E5A" w:rsidRPr="0037251D">
              <w:rPr>
                <w:rFonts w:ascii="Book Antiqua" w:hAnsi="Book Antiqua"/>
              </w:rPr>
              <w:t xml:space="preserve">; </w:t>
            </w:r>
            <w:r w:rsidRPr="0037251D">
              <w:rPr>
                <w:rFonts w:ascii="Book Antiqua" w:hAnsi="Book Antiqua"/>
              </w:rPr>
              <w:t>NNH</w:t>
            </w:r>
            <w:r w:rsidR="00343E5A" w:rsidRPr="0037251D">
              <w:rPr>
                <w:rFonts w:ascii="Book Antiqua" w:hAnsi="Book Antiqua"/>
              </w:rPr>
              <w:t xml:space="preserve"> </w:t>
            </w:r>
            <w:r w:rsidRPr="0037251D">
              <w:rPr>
                <w:rFonts w:ascii="Book Antiqua" w:hAnsi="Book Antiqua"/>
              </w:rPr>
              <w:t>=</w:t>
            </w:r>
            <w:r w:rsidR="00343E5A" w:rsidRPr="0037251D">
              <w:rPr>
                <w:rFonts w:ascii="Book Antiqua" w:hAnsi="Book Antiqua"/>
              </w:rPr>
              <w:t xml:space="preserve"> </w:t>
            </w:r>
            <w:r w:rsidRPr="0037251D">
              <w:rPr>
                <w:rFonts w:ascii="Book Antiqua" w:hAnsi="Book Antiqua"/>
              </w:rPr>
              <w:t>101</w:t>
            </w:r>
            <w:r w:rsidR="00343E5A" w:rsidRPr="0037251D">
              <w:rPr>
                <w:rFonts w:ascii="Book Antiqua" w:hAnsi="Book Antiqua"/>
              </w:rPr>
              <w:t xml:space="preserve">. </w:t>
            </w:r>
            <w:r w:rsidRPr="0037251D">
              <w:rPr>
                <w:rFonts w:ascii="Book Antiqua" w:hAnsi="Book Antiqua"/>
              </w:rPr>
              <w:t>PC subgroup</w:t>
            </w:r>
            <w:r w:rsidR="00343E5A" w:rsidRPr="0037251D">
              <w:rPr>
                <w:rFonts w:ascii="Book Antiqua" w:hAnsi="Book Antiqua"/>
              </w:rPr>
              <w:t xml:space="preserve">: </w:t>
            </w:r>
            <w:r w:rsidRPr="0037251D">
              <w:rPr>
                <w:rFonts w:ascii="Book Antiqua" w:hAnsi="Book Antiqua" w:cs="Times New Roman"/>
                <w:lang w:val="en-US"/>
              </w:rPr>
              <w:t>Major bleeding</w:t>
            </w:r>
            <w:r w:rsidR="00343E5A" w:rsidRPr="0037251D">
              <w:rPr>
                <w:rFonts w:ascii="Book Antiqua" w:hAnsi="Book Antiqua" w:cs="Times New Roman"/>
                <w:lang w:val="en-US"/>
              </w:rPr>
              <w:t xml:space="preserve">: </w:t>
            </w:r>
            <w:r w:rsidRPr="0037251D">
              <w:rPr>
                <w:rFonts w:ascii="Book Antiqua" w:hAnsi="Book Antiqua" w:cs="Times New Roman"/>
                <w:lang w:val="en-US"/>
              </w:rPr>
              <w:t>Arm A: 2/130 (1.5%)</w:t>
            </w:r>
            <w:r w:rsidR="00343E5A" w:rsidRPr="0037251D">
              <w:rPr>
                <w:rFonts w:ascii="Book Antiqua" w:hAnsi="Book Antiqua" w:cs="Times New Roman"/>
                <w:lang w:val="en-US"/>
              </w:rPr>
              <w:t xml:space="preserve">; </w:t>
            </w:r>
            <w:r w:rsidRPr="0037251D">
              <w:rPr>
                <w:rFonts w:ascii="Book Antiqua" w:hAnsi="Book Antiqua" w:cs="Times New Roman"/>
                <w:lang w:val="en-US"/>
              </w:rPr>
              <w:t xml:space="preserve">Arm </w:t>
            </w:r>
            <w:r w:rsidRPr="0037251D">
              <w:rPr>
                <w:rFonts w:ascii="Book Antiqua" w:hAnsi="Book Antiqua" w:cs="Times New Roman"/>
                <w:lang w:val="en-US"/>
              </w:rPr>
              <w:lastRenderedPageBreak/>
              <w:t>B: 3/131(2.3%)</w:t>
            </w:r>
            <w:r w:rsidR="00343E5A" w:rsidRPr="0037251D">
              <w:rPr>
                <w:rFonts w:ascii="Book Antiqua" w:hAnsi="Book Antiqua" w:cs="Times New Roman"/>
                <w:lang w:val="en-US"/>
              </w:rPr>
              <w:t xml:space="preserve">; </w:t>
            </w:r>
            <w:r w:rsidRPr="0037251D">
              <w:rPr>
                <w:rFonts w:ascii="Book Antiqua" w:hAnsi="Book Antiqua" w:cs="Times New Roman"/>
                <w:lang w:val="en-US"/>
              </w:rPr>
              <w:t>HR 0.67 (95%CI</w:t>
            </w:r>
            <w:r w:rsidR="00343E5A" w:rsidRPr="0037251D">
              <w:rPr>
                <w:rFonts w:ascii="Book Antiqua" w:hAnsi="Book Antiqua" w:cs="Times New Roman"/>
                <w:lang w:val="en-US"/>
              </w:rPr>
              <w:t>:</w:t>
            </w:r>
            <w:r w:rsidRPr="0037251D">
              <w:rPr>
                <w:rFonts w:ascii="Book Antiqua" w:hAnsi="Book Antiqua" w:cs="Times New Roman"/>
                <w:lang w:val="en-US"/>
              </w:rPr>
              <w:t xml:space="preserve"> 0.11-3.99)</w:t>
            </w:r>
            <w:r w:rsidR="00343E5A" w:rsidRPr="0037251D">
              <w:rPr>
                <w:rFonts w:ascii="Book Antiqua" w:hAnsi="Book Antiqua" w:cs="Times New Roman"/>
                <w:lang w:val="en-US"/>
              </w:rPr>
              <w:t xml:space="preserve">; </w:t>
            </w:r>
            <w:r w:rsidR="00343E5A" w:rsidRPr="0037251D">
              <w:rPr>
                <w:rFonts w:ascii="Book Antiqua" w:hAnsi="Book Antiqua" w:cs="Times New Roman"/>
                <w:i/>
                <w:iCs/>
                <w:lang w:val="en-US"/>
              </w:rPr>
              <w:t>P</w:t>
            </w:r>
            <w:r w:rsidR="00343E5A" w:rsidRPr="0037251D">
              <w:rPr>
                <w:rFonts w:ascii="Book Antiqua" w:hAnsi="Book Antiqua" w:cs="Times New Roman"/>
                <w:lang w:val="en-US"/>
              </w:rPr>
              <w:t xml:space="preserve"> </w:t>
            </w:r>
            <w:r w:rsidRPr="0037251D">
              <w:rPr>
                <w:rFonts w:ascii="Book Antiqua" w:hAnsi="Book Antiqua" w:cs="Times New Roman"/>
                <w:lang w:val="en-US"/>
              </w:rPr>
              <w:t>=</w:t>
            </w:r>
            <w:r w:rsidR="00343E5A" w:rsidRPr="0037251D">
              <w:rPr>
                <w:rFonts w:ascii="Book Antiqua" w:hAnsi="Book Antiqua" w:cs="Times New Roman"/>
                <w:lang w:val="en-US"/>
              </w:rPr>
              <w:t xml:space="preserve"> </w:t>
            </w:r>
            <w:r w:rsidRPr="0037251D">
              <w:rPr>
                <w:rFonts w:ascii="Book Antiqua" w:hAnsi="Book Antiqua" w:cs="Times New Roman"/>
                <w:lang w:val="en-US"/>
              </w:rPr>
              <w:t>0.654</w:t>
            </w:r>
            <w:r w:rsidR="00343E5A" w:rsidRPr="0037251D">
              <w:rPr>
                <w:rFonts w:ascii="Book Antiqua" w:hAnsi="Book Antiqua" w:cs="Times New Roman"/>
                <w:lang w:val="en-US"/>
              </w:rPr>
              <w:t xml:space="preserve">. </w:t>
            </w:r>
            <w:r w:rsidRPr="0037251D">
              <w:rPr>
                <w:rFonts w:ascii="Book Antiqua" w:hAnsi="Book Antiqua" w:cs="Times New Roman"/>
                <w:lang w:val="en-US"/>
              </w:rPr>
              <w:t>CRNMB</w:t>
            </w:r>
            <w:r w:rsidR="00343E5A" w:rsidRPr="0037251D">
              <w:rPr>
                <w:rFonts w:ascii="Book Antiqua" w:hAnsi="Book Antiqua" w:cs="Times New Roman"/>
                <w:lang w:val="en-US"/>
              </w:rPr>
              <w:t xml:space="preserve">: </w:t>
            </w:r>
            <w:r w:rsidRPr="0037251D">
              <w:rPr>
                <w:rFonts w:ascii="Book Antiqua" w:hAnsi="Book Antiqua" w:cs="Times New Roman"/>
                <w:lang w:val="en-US"/>
              </w:rPr>
              <w:t>Arm A: 3/131(2.3%)</w:t>
            </w:r>
            <w:r w:rsidR="00343E5A" w:rsidRPr="0037251D">
              <w:rPr>
                <w:rFonts w:ascii="Book Antiqua" w:hAnsi="Book Antiqua" w:cs="Times New Roman"/>
                <w:lang w:val="en-US"/>
              </w:rPr>
              <w:t xml:space="preserve">; </w:t>
            </w:r>
            <w:r w:rsidRPr="0037251D">
              <w:rPr>
                <w:rFonts w:ascii="Book Antiqua" w:hAnsi="Book Antiqua" w:cs="Times New Roman"/>
              </w:rPr>
              <w:t>Arm B: 2/130 (1.5%)</w:t>
            </w:r>
            <w:r w:rsidR="00343E5A" w:rsidRPr="0037251D">
              <w:rPr>
                <w:rFonts w:ascii="Book Antiqua" w:hAnsi="Book Antiqua" w:cs="Times New Roman"/>
              </w:rPr>
              <w:t xml:space="preserve">; </w:t>
            </w:r>
            <w:r w:rsidRPr="0037251D">
              <w:rPr>
                <w:rFonts w:ascii="Book Antiqua" w:hAnsi="Book Antiqua" w:cs="Times New Roman"/>
              </w:rPr>
              <w:t>HR 2.47 (95%CI</w:t>
            </w:r>
            <w:r w:rsidR="00343E5A" w:rsidRPr="0037251D">
              <w:rPr>
                <w:rFonts w:ascii="Book Antiqua" w:hAnsi="Book Antiqua" w:cs="Times New Roman"/>
              </w:rPr>
              <w:t>:</w:t>
            </w:r>
            <w:r w:rsidRPr="0037251D">
              <w:rPr>
                <w:rFonts w:ascii="Book Antiqua" w:hAnsi="Book Antiqua" w:cs="Times New Roman"/>
              </w:rPr>
              <w:t xml:space="preserve"> 0.48-12.72)</w:t>
            </w:r>
            <w:r w:rsidR="00343E5A" w:rsidRPr="0037251D">
              <w:rPr>
                <w:rFonts w:ascii="Book Antiqua" w:hAnsi="Book Antiqua" w:cs="Times New Roman"/>
              </w:rPr>
              <w:t xml:space="preserve">; </w:t>
            </w:r>
            <w:r w:rsidR="00343E5A" w:rsidRPr="0037251D">
              <w:rPr>
                <w:rFonts w:ascii="Book Antiqua" w:hAnsi="Book Antiqua" w:cs="Times New Roman"/>
                <w:i/>
                <w:iCs/>
              </w:rPr>
              <w:t>P</w:t>
            </w:r>
            <w:r w:rsidR="00343E5A" w:rsidRPr="0037251D">
              <w:rPr>
                <w:rFonts w:ascii="Book Antiqua" w:hAnsi="Book Antiqua" w:cs="Times New Roman"/>
              </w:rPr>
              <w:t xml:space="preserve"> </w:t>
            </w:r>
            <w:r w:rsidRPr="0037251D">
              <w:rPr>
                <w:rFonts w:ascii="Book Antiqua" w:hAnsi="Book Antiqua" w:cs="Times New Roman"/>
              </w:rPr>
              <w:t>=</w:t>
            </w:r>
            <w:r w:rsidR="00343E5A" w:rsidRPr="0037251D">
              <w:rPr>
                <w:rFonts w:ascii="Book Antiqua" w:hAnsi="Book Antiqua" w:cs="Times New Roman"/>
              </w:rPr>
              <w:t xml:space="preserve"> </w:t>
            </w:r>
            <w:r w:rsidRPr="0037251D">
              <w:rPr>
                <w:rFonts w:ascii="Book Antiqua" w:hAnsi="Book Antiqua" w:cs="Times New Roman"/>
              </w:rPr>
              <w:t>0.264</w:t>
            </w:r>
          </w:p>
        </w:tc>
      </w:tr>
      <w:tr w:rsidR="00CB41FA" w:rsidRPr="0037251D" w14:paraId="26352490" w14:textId="77777777" w:rsidTr="000B5AAD">
        <w:tc>
          <w:tcPr>
            <w:tcW w:w="2195" w:type="dxa"/>
            <w:tcBorders>
              <w:bottom w:val="single" w:sz="4" w:space="0" w:color="auto"/>
            </w:tcBorders>
          </w:tcPr>
          <w:p w14:paraId="259FB629" w14:textId="77777777" w:rsidR="00CB41FA" w:rsidRPr="0037251D" w:rsidRDefault="00CB41FA" w:rsidP="00CB41FA">
            <w:pPr>
              <w:spacing w:line="360" w:lineRule="auto"/>
              <w:rPr>
                <w:rFonts w:ascii="Book Antiqua" w:hAnsi="Book Antiqua" w:cs="Times New Roman"/>
              </w:rPr>
            </w:pPr>
            <w:r w:rsidRPr="0037251D">
              <w:rPr>
                <w:rFonts w:ascii="Book Antiqua" w:hAnsi="Book Antiqua" w:cs="Times New Roman"/>
              </w:rPr>
              <w:lastRenderedPageBreak/>
              <w:t>Survival</w:t>
            </w:r>
          </w:p>
        </w:tc>
        <w:tc>
          <w:tcPr>
            <w:tcW w:w="2195" w:type="dxa"/>
            <w:tcBorders>
              <w:bottom w:val="single" w:sz="4" w:space="0" w:color="auto"/>
            </w:tcBorders>
          </w:tcPr>
          <w:p w14:paraId="13ECB968" w14:textId="1496F044" w:rsidR="00CB41FA" w:rsidRPr="0037251D" w:rsidRDefault="00CB41FA" w:rsidP="00A01E11">
            <w:pPr>
              <w:spacing w:line="360" w:lineRule="auto"/>
              <w:rPr>
                <w:rFonts w:ascii="Book Antiqua" w:hAnsi="Book Antiqua" w:cs="Times New Roman"/>
                <w:b/>
                <w:bCs/>
              </w:rPr>
            </w:pPr>
            <w:r w:rsidRPr="0037251D">
              <w:rPr>
                <w:rFonts w:ascii="Book Antiqua" w:hAnsi="Book Antiqua" w:cs="Times New Roman"/>
                <w:lang w:val="en-US"/>
              </w:rPr>
              <w:t>Overall population</w:t>
            </w:r>
            <w:r w:rsidR="00A01E11" w:rsidRPr="0037251D">
              <w:rPr>
                <w:rFonts w:ascii="Book Antiqua" w:hAnsi="Book Antiqua" w:cs="Times New Roman"/>
                <w:lang w:val="en-US"/>
              </w:rPr>
              <w:t xml:space="preserve">: </w:t>
            </w:r>
            <w:r w:rsidRPr="0037251D">
              <w:rPr>
                <w:rFonts w:ascii="Book Antiqua" w:hAnsi="Book Antiqua" w:cs="Times New Roman"/>
                <w:lang w:val="en-US"/>
              </w:rPr>
              <w:t>Arm A: 33/769 (4∙3%)</w:t>
            </w:r>
            <w:r w:rsidR="00A01E11" w:rsidRPr="0037251D">
              <w:rPr>
                <w:rFonts w:ascii="Book Antiqua" w:hAnsi="Book Antiqua" w:cs="Times New Roman"/>
                <w:lang w:val="en-US"/>
              </w:rPr>
              <w:t xml:space="preserve">; </w:t>
            </w:r>
            <w:r w:rsidRPr="0037251D">
              <w:rPr>
                <w:rFonts w:ascii="Book Antiqua" w:hAnsi="Book Antiqua" w:cs="Times New Roman"/>
                <w:lang w:val="en-US"/>
              </w:rPr>
              <w:t>Arm B: 16/381 (4.2%)</w:t>
            </w:r>
            <w:r w:rsidR="00A01E11" w:rsidRPr="0037251D">
              <w:rPr>
                <w:rFonts w:ascii="Book Antiqua" w:hAnsi="Book Antiqua" w:cs="Times New Roman"/>
                <w:lang w:val="en-US"/>
              </w:rPr>
              <w:t xml:space="preserve">; </w:t>
            </w:r>
            <w:r w:rsidR="00A01E11" w:rsidRPr="0037251D">
              <w:rPr>
                <w:rFonts w:ascii="Book Antiqua" w:hAnsi="Book Antiqua"/>
                <w:i/>
                <w:iCs/>
              </w:rPr>
              <w:t>P</w:t>
            </w:r>
            <w:r w:rsidR="00A01E11" w:rsidRPr="0037251D">
              <w:rPr>
                <w:rFonts w:ascii="Book Antiqua" w:hAnsi="Book Antiqua"/>
              </w:rPr>
              <w:t xml:space="preserve"> </w:t>
            </w:r>
            <w:r w:rsidRPr="0037251D">
              <w:rPr>
                <w:rFonts w:ascii="Book Antiqua" w:hAnsi="Book Antiqua"/>
              </w:rPr>
              <w:t>=</w:t>
            </w:r>
            <w:r w:rsidR="00A01E11" w:rsidRPr="0037251D">
              <w:rPr>
                <w:rFonts w:ascii="Book Antiqua" w:hAnsi="Book Antiqua"/>
              </w:rPr>
              <w:t xml:space="preserve"> </w:t>
            </w:r>
            <w:r w:rsidR="00A01E11" w:rsidRPr="0037251D">
              <w:rPr>
                <w:rFonts w:ascii="Book Antiqua" w:eastAsia="宋体" w:hAnsi="Book Antiqua"/>
              </w:rPr>
              <w:t xml:space="preserve">not significant. </w:t>
            </w:r>
            <w:r w:rsidRPr="0037251D">
              <w:rPr>
                <w:rFonts w:ascii="Book Antiqua" w:hAnsi="Book Antiqua" w:cs="Times New Roman"/>
              </w:rPr>
              <w:t>PC subgroup</w:t>
            </w:r>
            <w:r w:rsidR="00A01E11" w:rsidRPr="0037251D">
              <w:rPr>
                <w:rFonts w:ascii="Book Antiqua" w:hAnsi="Book Antiqua" w:cs="Times New Roman"/>
              </w:rPr>
              <w:t xml:space="preserve">: </w:t>
            </w:r>
            <w:r w:rsidR="00A01E11" w:rsidRPr="0037251D">
              <w:rPr>
                <w:rFonts w:ascii="Book Antiqua" w:eastAsia="宋体" w:hAnsi="Book Antiqua"/>
              </w:rPr>
              <w:t>n</w:t>
            </w:r>
            <w:r w:rsidR="00A01E11" w:rsidRPr="0037251D">
              <w:rPr>
                <w:rFonts w:ascii="Book Antiqua" w:eastAsia="宋体" w:hAnsi="Book Antiqua" w:hint="eastAsia"/>
              </w:rPr>
              <w:t>ot significant</w:t>
            </w:r>
          </w:p>
        </w:tc>
        <w:tc>
          <w:tcPr>
            <w:tcW w:w="2196" w:type="dxa"/>
            <w:tcBorders>
              <w:bottom w:val="single" w:sz="4" w:space="0" w:color="auto"/>
            </w:tcBorders>
          </w:tcPr>
          <w:p w14:paraId="1A855A8B" w14:textId="2A729E42" w:rsidR="00CB41FA" w:rsidRPr="0037251D" w:rsidRDefault="00A01E11" w:rsidP="00CB41FA">
            <w:pPr>
              <w:spacing w:line="360" w:lineRule="auto"/>
              <w:rPr>
                <w:rFonts w:ascii="Book Antiqua" w:hAnsi="Book Antiqua" w:cs="Times New Roman"/>
              </w:rPr>
            </w:pPr>
            <w:r w:rsidRPr="0037251D">
              <w:rPr>
                <w:rFonts w:ascii="Book Antiqua" w:eastAsia="宋体" w:hAnsi="Book Antiqua"/>
              </w:rPr>
              <w:t>N</w:t>
            </w:r>
            <w:r w:rsidRPr="0037251D">
              <w:rPr>
                <w:rFonts w:ascii="Book Antiqua" w:eastAsia="宋体" w:hAnsi="Book Antiqua" w:hint="eastAsia"/>
              </w:rPr>
              <w:t>ot significant</w:t>
            </w:r>
          </w:p>
        </w:tc>
        <w:tc>
          <w:tcPr>
            <w:tcW w:w="2196" w:type="dxa"/>
            <w:tcBorders>
              <w:bottom w:val="single" w:sz="4" w:space="0" w:color="auto"/>
            </w:tcBorders>
          </w:tcPr>
          <w:p w14:paraId="228D22D4" w14:textId="143E96A6" w:rsidR="00CB41FA" w:rsidRPr="0037251D" w:rsidRDefault="00CB41FA" w:rsidP="00A01E11">
            <w:pPr>
              <w:spacing w:line="360" w:lineRule="auto"/>
              <w:rPr>
                <w:rFonts w:ascii="Book Antiqua" w:hAnsi="Book Antiqua" w:cs="Times New Roman"/>
                <w:b/>
                <w:bCs/>
                <w:lang w:val="en-US"/>
              </w:rPr>
            </w:pPr>
            <w:r w:rsidRPr="0037251D">
              <w:rPr>
                <w:rFonts w:ascii="Book Antiqua" w:hAnsi="Book Antiqua" w:cs="Times New Roman"/>
                <w:lang w:val="en-US"/>
              </w:rPr>
              <w:t>Arm A: 8.7 mo</w:t>
            </w:r>
            <w:r w:rsidR="00A01E11" w:rsidRPr="0037251D">
              <w:rPr>
                <w:rFonts w:ascii="Book Antiqua" w:hAnsi="Book Antiqua" w:cs="Times New Roman"/>
                <w:lang w:val="en-US"/>
              </w:rPr>
              <w:t xml:space="preserve">; </w:t>
            </w:r>
            <w:r w:rsidRPr="0037251D">
              <w:rPr>
                <w:rFonts w:ascii="Book Antiqua" w:hAnsi="Book Antiqua" w:cs="Times New Roman"/>
                <w:lang w:val="en-US"/>
              </w:rPr>
              <w:t>Arm B: 9.7 mo</w:t>
            </w:r>
          </w:p>
        </w:tc>
        <w:tc>
          <w:tcPr>
            <w:tcW w:w="2197" w:type="dxa"/>
            <w:tcBorders>
              <w:bottom w:val="single" w:sz="4" w:space="0" w:color="auto"/>
            </w:tcBorders>
          </w:tcPr>
          <w:p w14:paraId="2961FE75" w14:textId="762AE7EB" w:rsidR="00CB41FA" w:rsidRPr="0037251D" w:rsidRDefault="00CB41FA" w:rsidP="00CB41FA">
            <w:pPr>
              <w:spacing w:line="360" w:lineRule="auto"/>
              <w:rPr>
                <w:rFonts w:ascii="Book Antiqua" w:hAnsi="Book Antiqua" w:cs="Times New Roman"/>
                <w:lang w:val="en-US"/>
              </w:rPr>
            </w:pPr>
            <w:r w:rsidRPr="0037251D">
              <w:rPr>
                <w:rFonts w:ascii="Book Antiqua" w:hAnsi="Book Antiqua" w:cs="Times New Roman"/>
                <w:lang w:val="en-US"/>
              </w:rPr>
              <w:t>Arm A: 8.2 mo</w:t>
            </w:r>
            <w:r w:rsidR="00A01E11" w:rsidRPr="0037251D">
              <w:rPr>
                <w:rFonts w:ascii="Book Antiqua" w:hAnsi="Book Antiqua" w:cs="Times New Roman"/>
                <w:lang w:val="en-US"/>
              </w:rPr>
              <w:t xml:space="preserve">; </w:t>
            </w:r>
            <w:r w:rsidRPr="0037251D">
              <w:rPr>
                <w:rFonts w:ascii="Book Antiqua" w:hAnsi="Book Antiqua" w:cs="Times New Roman"/>
                <w:lang w:val="en-US"/>
              </w:rPr>
              <w:t>Arm B: 8.51 mo</w:t>
            </w:r>
            <w:r w:rsidR="00A01E11" w:rsidRPr="0037251D">
              <w:rPr>
                <w:rFonts w:ascii="Book Antiqua" w:hAnsi="Book Antiqua" w:cs="Times New Roman"/>
                <w:lang w:val="en-US"/>
              </w:rPr>
              <w:t xml:space="preserve">; </w:t>
            </w:r>
            <w:r w:rsidRPr="0037251D">
              <w:rPr>
                <w:rFonts w:ascii="Book Antiqua" w:hAnsi="Book Antiqua"/>
              </w:rPr>
              <w:t>HR 1.01 (95%CI</w:t>
            </w:r>
            <w:r w:rsidR="00A01E11" w:rsidRPr="0037251D">
              <w:rPr>
                <w:rFonts w:ascii="Book Antiqua" w:hAnsi="Book Antiqua"/>
              </w:rPr>
              <w:t>:</w:t>
            </w:r>
            <w:r w:rsidRPr="0037251D">
              <w:rPr>
                <w:rFonts w:ascii="Book Antiqua" w:hAnsi="Book Antiqua"/>
              </w:rPr>
              <w:t xml:space="preserve"> 0.87-1.38)</w:t>
            </w:r>
            <w:r w:rsidR="00A01E11" w:rsidRPr="0037251D">
              <w:rPr>
                <w:rFonts w:ascii="Book Antiqua" w:hAnsi="Book Antiqua"/>
              </w:rPr>
              <w:t xml:space="preserve">; </w:t>
            </w:r>
            <w:r w:rsidR="00A01E11" w:rsidRPr="0037251D">
              <w:rPr>
                <w:rFonts w:ascii="Book Antiqua" w:hAnsi="Book Antiqua"/>
                <w:i/>
                <w:iCs/>
              </w:rPr>
              <w:t>P</w:t>
            </w:r>
            <w:r w:rsidR="00A01E11" w:rsidRPr="0037251D">
              <w:rPr>
                <w:rFonts w:ascii="Book Antiqua" w:hAnsi="Book Antiqua"/>
              </w:rPr>
              <w:t xml:space="preserve"> </w:t>
            </w:r>
            <w:r w:rsidRPr="0037251D">
              <w:rPr>
                <w:rFonts w:ascii="Book Antiqua" w:hAnsi="Book Antiqua"/>
              </w:rPr>
              <w:t>=</w:t>
            </w:r>
            <w:r w:rsidR="00A01E11" w:rsidRPr="0037251D">
              <w:rPr>
                <w:rFonts w:ascii="Book Antiqua" w:hAnsi="Book Antiqua"/>
              </w:rPr>
              <w:t xml:space="preserve"> </w:t>
            </w:r>
            <w:r w:rsidRPr="0037251D">
              <w:rPr>
                <w:rFonts w:ascii="Book Antiqua" w:hAnsi="Book Antiqua"/>
              </w:rPr>
              <w:t>0.44</w:t>
            </w:r>
          </w:p>
        </w:tc>
        <w:tc>
          <w:tcPr>
            <w:tcW w:w="2197" w:type="dxa"/>
            <w:tcBorders>
              <w:bottom w:val="single" w:sz="4" w:space="0" w:color="auto"/>
            </w:tcBorders>
          </w:tcPr>
          <w:p w14:paraId="04435589" w14:textId="1DACABD2" w:rsidR="00CB41FA" w:rsidRPr="0037251D" w:rsidRDefault="00CB41FA" w:rsidP="00A01E11">
            <w:pPr>
              <w:spacing w:line="360" w:lineRule="auto"/>
              <w:rPr>
                <w:rFonts w:ascii="Book Antiqua" w:hAnsi="Book Antiqua" w:cs="Times New Roman"/>
                <w:b/>
                <w:bCs/>
              </w:rPr>
            </w:pPr>
            <w:r w:rsidRPr="0037251D">
              <w:rPr>
                <w:rFonts w:ascii="Book Antiqua" w:hAnsi="Book Antiqua" w:cs="Times New Roman"/>
                <w:lang w:val="en-US"/>
              </w:rPr>
              <w:t>Overall population</w:t>
            </w:r>
            <w:r w:rsidR="00A01E11" w:rsidRPr="0037251D">
              <w:rPr>
                <w:rFonts w:ascii="Book Antiqua" w:hAnsi="Book Antiqua" w:cs="Times New Roman"/>
                <w:lang w:val="en-US"/>
              </w:rPr>
              <w:t xml:space="preserve">: </w:t>
            </w:r>
            <w:r w:rsidRPr="0037251D">
              <w:rPr>
                <w:rFonts w:ascii="Book Antiqua" w:hAnsi="Book Antiqua" w:cs="Times New Roman"/>
                <w:lang w:val="en-US"/>
              </w:rPr>
              <w:t>All-cause mortality</w:t>
            </w:r>
            <w:r w:rsidR="00A01E11" w:rsidRPr="0037251D">
              <w:rPr>
                <w:rFonts w:ascii="Book Antiqua" w:hAnsi="Book Antiqua" w:cs="Times New Roman"/>
                <w:lang w:val="en-US"/>
              </w:rPr>
              <w:t xml:space="preserve">: </w:t>
            </w:r>
            <w:r w:rsidRPr="0037251D">
              <w:rPr>
                <w:rFonts w:ascii="Book Antiqua" w:hAnsi="Book Antiqua" w:cs="Times New Roman"/>
                <w:lang w:val="en-US"/>
              </w:rPr>
              <w:t>Arm A: 20.0%</w:t>
            </w:r>
            <w:r w:rsidR="00A01E11" w:rsidRPr="0037251D">
              <w:rPr>
                <w:rFonts w:ascii="Book Antiqua" w:hAnsi="Book Antiqua" w:cs="Times New Roman"/>
                <w:lang w:val="en-US"/>
              </w:rPr>
              <w:t xml:space="preserve">; </w:t>
            </w:r>
            <w:r w:rsidRPr="0037251D">
              <w:rPr>
                <w:rFonts w:ascii="Book Antiqua" w:hAnsi="Book Antiqua"/>
              </w:rPr>
              <w:t>Arm B: 23.8%</w:t>
            </w:r>
            <w:r w:rsidR="00A01E11" w:rsidRPr="0037251D">
              <w:rPr>
                <w:rFonts w:ascii="Book Antiqua" w:hAnsi="Book Antiqua"/>
              </w:rPr>
              <w:t xml:space="preserve">; </w:t>
            </w:r>
            <w:r w:rsidRPr="0037251D">
              <w:rPr>
                <w:rFonts w:ascii="Book Antiqua" w:hAnsi="Book Antiqua"/>
              </w:rPr>
              <w:t>HR 0.83 (95%CI 0.62-1.11)</w:t>
            </w:r>
            <w:r w:rsidR="00A01E11" w:rsidRPr="0037251D">
              <w:rPr>
                <w:rFonts w:ascii="Book Antiqua" w:hAnsi="Book Antiqua"/>
              </w:rPr>
              <w:t>;</w:t>
            </w:r>
            <w:r w:rsidRPr="0037251D">
              <w:rPr>
                <w:rFonts w:ascii="Book Antiqua" w:hAnsi="Book Antiqua"/>
              </w:rPr>
              <w:t xml:space="preserve"> </w:t>
            </w:r>
            <w:r w:rsidR="00A01E11" w:rsidRPr="0037251D">
              <w:rPr>
                <w:rFonts w:ascii="Book Antiqua" w:hAnsi="Book Antiqua"/>
                <w:i/>
                <w:iCs/>
              </w:rPr>
              <w:t>P</w:t>
            </w:r>
            <w:r w:rsidR="00A01E11" w:rsidRPr="0037251D">
              <w:rPr>
                <w:rFonts w:ascii="Book Antiqua" w:hAnsi="Book Antiqua"/>
              </w:rPr>
              <w:t xml:space="preserve"> </w:t>
            </w:r>
            <w:r w:rsidRPr="0037251D">
              <w:rPr>
                <w:rFonts w:ascii="Book Antiqua" w:hAnsi="Book Antiqua"/>
              </w:rPr>
              <w:t>=</w:t>
            </w:r>
            <w:r w:rsidR="00A01E11" w:rsidRPr="0037251D">
              <w:rPr>
                <w:rFonts w:ascii="Book Antiqua" w:hAnsi="Book Antiqua"/>
              </w:rPr>
              <w:t xml:space="preserve"> </w:t>
            </w:r>
            <w:r w:rsidRPr="0037251D">
              <w:rPr>
                <w:rFonts w:ascii="Book Antiqua" w:hAnsi="Book Antiqua"/>
              </w:rPr>
              <w:t>0.213</w:t>
            </w:r>
            <w:r w:rsidR="00A01E11" w:rsidRPr="0037251D">
              <w:rPr>
                <w:rFonts w:ascii="Book Antiqua" w:hAnsi="Book Antiqua"/>
              </w:rPr>
              <w:t xml:space="preserve">. </w:t>
            </w:r>
            <w:r w:rsidRPr="0037251D">
              <w:rPr>
                <w:rFonts w:ascii="Book Antiqua" w:hAnsi="Book Antiqua" w:cs="Times New Roman"/>
              </w:rPr>
              <w:t>PC subgroup</w:t>
            </w:r>
            <w:r w:rsidR="00A01E11" w:rsidRPr="0037251D">
              <w:rPr>
                <w:rFonts w:ascii="Book Antiqua" w:hAnsi="Book Antiqua" w:cs="Times New Roman"/>
              </w:rPr>
              <w:t xml:space="preserve">: </w:t>
            </w:r>
            <w:r w:rsidRPr="0037251D">
              <w:rPr>
                <w:rFonts w:ascii="Book Antiqua" w:hAnsi="Book Antiqua" w:cs="Times New Roman"/>
              </w:rPr>
              <w:t xml:space="preserve">Arm A: 34/135 </w:t>
            </w:r>
            <w:r w:rsidRPr="0037251D">
              <w:rPr>
                <w:rFonts w:ascii="Book Antiqua" w:hAnsi="Book Antiqua" w:cs="Times New Roman"/>
              </w:rPr>
              <w:lastRenderedPageBreak/>
              <w:t>(25.2%)</w:t>
            </w:r>
            <w:r w:rsidR="00A01E11" w:rsidRPr="0037251D">
              <w:rPr>
                <w:rFonts w:ascii="Book Antiqua" w:hAnsi="Book Antiqua" w:cs="Times New Roman"/>
              </w:rPr>
              <w:t xml:space="preserve">; </w:t>
            </w:r>
            <w:r w:rsidRPr="0037251D">
              <w:rPr>
                <w:rFonts w:ascii="Book Antiqua" w:hAnsi="Book Antiqua" w:cs="Times New Roman"/>
              </w:rPr>
              <w:t>Arm B: 33/138 (23.9%)</w:t>
            </w:r>
          </w:p>
        </w:tc>
      </w:tr>
    </w:tbl>
    <w:p w14:paraId="4CA909C8" w14:textId="3F889447" w:rsidR="00B11C04" w:rsidRPr="0037251D" w:rsidRDefault="00A17E53">
      <w:pPr>
        <w:spacing w:line="360" w:lineRule="auto"/>
        <w:jc w:val="both"/>
        <w:rPr>
          <w:rFonts w:ascii="Book Antiqua" w:hAnsi="Book Antiqua"/>
          <w:lang w:eastAsia="zh-CN"/>
        </w:rPr>
      </w:pPr>
      <w:r w:rsidRPr="0037251D">
        <w:rPr>
          <w:rFonts w:ascii="Book Antiqua" w:hAnsi="Book Antiqua"/>
          <w:lang w:eastAsia="zh-CN"/>
        </w:rPr>
        <w:lastRenderedPageBreak/>
        <w:t xml:space="preserve">CI: Confidence interval; CRNMB: Clinically relevant non-major bleeding; HR: Hazard ratio; ISTH: International society of thrombosis and haemostasis; KPS: Karnofsky performance status; o.d.: </w:t>
      </w:r>
      <w:r w:rsidR="005B3662" w:rsidRPr="0037251D">
        <w:rPr>
          <w:rFonts w:ascii="Book Antiqua" w:hAnsi="Book Antiqua"/>
          <w:lang w:eastAsia="zh-CN"/>
        </w:rPr>
        <w:t>O</w:t>
      </w:r>
      <w:r w:rsidRPr="0037251D">
        <w:rPr>
          <w:rFonts w:ascii="Book Antiqua" w:hAnsi="Book Antiqua"/>
          <w:lang w:eastAsia="zh-CN"/>
        </w:rPr>
        <w:t xml:space="preserve">nce daily; NTT: </w:t>
      </w:r>
      <w:r w:rsidR="005B3662" w:rsidRPr="0037251D">
        <w:rPr>
          <w:rFonts w:ascii="Book Antiqua" w:hAnsi="Book Antiqua"/>
          <w:lang w:eastAsia="zh-CN"/>
        </w:rPr>
        <w:t>N</w:t>
      </w:r>
      <w:r w:rsidRPr="0037251D">
        <w:rPr>
          <w:rFonts w:ascii="Book Antiqua" w:hAnsi="Book Antiqua"/>
          <w:lang w:eastAsia="zh-CN"/>
        </w:rPr>
        <w:t xml:space="preserve">umber needed to treat; OR: </w:t>
      </w:r>
      <w:r w:rsidR="005B3662" w:rsidRPr="0037251D">
        <w:rPr>
          <w:rFonts w:ascii="Book Antiqua" w:hAnsi="Book Antiqua"/>
          <w:lang w:eastAsia="zh-CN"/>
        </w:rPr>
        <w:t>O</w:t>
      </w:r>
      <w:r w:rsidRPr="0037251D">
        <w:rPr>
          <w:rFonts w:ascii="Book Antiqua" w:hAnsi="Book Antiqua"/>
          <w:lang w:eastAsia="zh-CN"/>
        </w:rPr>
        <w:t xml:space="preserve">dds ratio; PC: </w:t>
      </w:r>
      <w:r w:rsidR="005B3662" w:rsidRPr="0037251D">
        <w:rPr>
          <w:rFonts w:ascii="Book Antiqua" w:hAnsi="Book Antiqua"/>
          <w:lang w:eastAsia="zh-CN"/>
        </w:rPr>
        <w:t>P</w:t>
      </w:r>
      <w:r w:rsidRPr="0037251D">
        <w:rPr>
          <w:rFonts w:ascii="Book Antiqua" w:hAnsi="Book Antiqua"/>
          <w:lang w:eastAsia="zh-CN"/>
        </w:rPr>
        <w:t xml:space="preserve">ancreatic cancer; RR: </w:t>
      </w:r>
      <w:r w:rsidR="005B3662" w:rsidRPr="0037251D">
        <w:rPr>
          <w:rFonts w:ascii="Book Antiqua" w:hAnsi="Book Antiqua"/>
          <w:lang w:eastAsia="zh-CN"/>
        </w:rPr>
        <w:t>R</w:t>
      </w:r>
      <w:r w:rsidRPr="0037251D">
        <w:rPr>
          <w:rFonts w:ascii="Book Antiqua" w:hAnsi="Book Antiqua"/>
          <w:lang w:eastAsia="zh-CN"/>
        </w:rPr>
        <w:t>isk ratio.</w:t>
      </w:r>
    </w:p>
    <w:p w14:paraId="7FD59380" w14:textId="566DC5A8" w:rsidR="00CB41FA" w:rsidRPr="0037251D" w:rsidRDefault="00B11C04">
      <w:pPr>
        <w:spacing w:line="360" w:lineRule="auto"/>
        <w:jc w:val="both"/>
        <w:rPr>
          <w:rFonts w:ascii="Book Antiqua" w:hAnsi="Book Antiqua"/>
          <w:b/>
          <w:bCs/>
          <w:lang w:eastAsia="zh-CN"/>
        </w:rPr>
      </w:pPr>
      <w:r w:rsidRPr="0037251D">
        <w:rPr>
          <w:rFonts w:ascii="Book Antiqua" w:hAnsi="Book Antiqua"/>
          <w:lang w:eastAsia="zh-CN"/>
        </w:rPr>
        <w:br w:type="page"/>
      </w:r>
      <w:r w:rsidRPr="0037251D">
        <w:rPr>
          <w:rFonts w:ascii="Book Antiqua" w:hAnsi="Book Antiqua"/>
          <w:b/>
          <w:bCs/>
          <w:lang w:eastAsia="zh-CN"/>
        </w:rPr>
        <w:lastRenderedPageBreak/>
        <w:t>Table 3 Randomized trials assessing the efficacy and safety of direct oral anticoagulants in cancer patients with venous thromboembolism</w:t>
      </w:r>
    </w:p>
    <w:tbl>
      <w:tblPr>
        <w:tblStyle w:val="TableNormal"/>
        <w:tblW w:w="5000" w:type="pct"/>
        <w:shd w:val="clear" w:color="auto" w:fill="CED7E7"/>
        <w:tblLayout w:type="fixed"/>
        <w:tblLook w:val="04A0" w:firstRow="1" w:lastRow="0" w:firstColumn="1" w:lastColumn="0" w:noHBand="0" w:noVBand="1"/>
      </w:tblPr>
      <w:tblGrid>
        <w:gridCol w:w="1064"/>
        <w:gridCol w:w="1057"/>
        <w:gridCol w:w="1057"/>
        <w:gridCol w:w="1057"/>
        <w:gridCol w:w="1057"/>
        <w:gridCol w:w="1057"/>
        <w:gridCol w:w="1057"/>
        <w:gridCol w:w="1057"/>
        <w:gridCol w:w="1057"/>
      </w:tblGrid>
      <w:tr w:rsidR="00B11C04" w:rsidRPr="0037251D" w14:paraId="0D7A9E84" w14:textId="77777777" w:rsidTr="000B5AAD">
        <w:trPr>
          <w:trHeight w:val="257"/>
        </w:trPr>
        <w:tc>
          <w:tcPr>
            <w:tcW w:w="1465" w:type="dxa"/>
            <w:tcBorders>
              <w:top w:val="single" w:sz="4" w:space="0" w:color="auto"/>
              <w:bottom w:val="single" w:sz="4" w:space="0" w:color="auto"/>
            </w:tcBorders>
            <w:shd w:val="clear" w:color="auto" w:fill="auto"/>
            <w:tcMar>
              <w:top w:w="80" w:type="dxa"/>
              <w:left w:w="80" w:type="dxa"/>
              <w:bottom w:w="80" w:type="dxa"/>
              <w:right w:w="80" w:type="dxa"/>
            </w:tcMar>
          </w:tcPr>
          <w:p w14:paraId="37AB0BE1" w14:textId="77777777" w:rsidR="00B11C04" w:rsidRPr="0037251D" w:rsidRDefault="00B11C04" w:rsidP="00B11C04">
            <w:pPr>
              <w:spacing w:line="360" w:lineRule="auto"/>
              <w:jc w:val="both"/>
              <w:rPr>
                <w:rFonts w:ascii="Book Antiqua" w:eastAsia="Times New Roman" w:hAnsi="Book Antiqua"/>
                <w:color w:val="000000"/>
                <w:lang w:val="en-US" w:eastAsia="de-DE"/>
              </w:rPr>
            </w:pPr>
          </w:p>
        </w:tc>
        <w:tc>
          <w:tcPr>
            <w:tcW w:w="2914"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1201DD5A" w14:textId="3572E895"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b/>
                <w:bCs/>
                <w:color w:val="000000"/>
                <w:u w:color="000000"/>
                <w:lang w:val="en-US"/>
              </w:rPr>
              <w:t>HOKUSAI-CANCER VTE</w:t>
            </w:r>
            <w:r w:rsidRPr="0037251D">
              <w:rPr>
                <w:rFonts w:ascii="Book Antiqua" w:hAnsi="Book Antiqua"/>
                <w:b/>
                <w:bCs/>
                <w:color w:val="000000"/>
                <w:u w:color="000000"/>
                <w:vertAlign w:val="superscript"/>
                <w:lang w:val="en-US"/>
              </w:rPr>
              <w:t>[68]</w:t>
            </w:r>
            <w:r w:rsidRPr="0037251D">
              <w:rPr>
                <w:rFonts w:ascii="Book Antiqua" w:hAnsi="Book Antiqua"/>
                <w:b/>
                <w:bCs/>
                <w:color w:val="000000"/>
                <w:u w:color="000000"/>
                <w:lang w:val="en-US"/>
              </w:rPr>
              <w:t xml:space="preserve"> (</w:t>
            </w:r>
            <w:r w:rsidRPr="0037251D">
              <w:rPr>
                <w:rFonts w:ascii="Book Antiqua" w:hAnsi="Book Antiqua"/>
                <w:b/>
                <w:bCs/>
                <w:i/>
                <w:iCs/>
                <w:color w:val="000000"/>
                <w:u w:color="000000"/>
                <w:lang w:val="en-US"/>
              </w:rPr>
              <w:t>n</w:t>
            </w:r>
            <w:r w:rsidRPr="0037251D">
              <w:rPr>
                <w:rFonts w:ascii="Book Antiqua" w:hAnsi="Book Antiqua"/>
                <w:b/>
                <w:bCs/>
                <w:color w:val="000000"/>
                <w:u w:color="000000"/>
                <w:lang w:val="en-US"/>
              </w:rPr>
              <w:t xml:space="preserve"> = 1050)</w:t>
            </w:r>
          </w:p>
        </w:tc>
        <w:tc>
          <w:tcPr>
            <w:tcW w:w="2913"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3E0B7682" w14:textId="2F66039B"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b/>
                <w:bCs/>
                <w:color w:val="000000"/>
                <w:u w:color="000000"/>
                <w:lang w:val="en-US"/>
              </w:rPr>
              <w:t>SELECT-D</w:t>
            </w:r>
            <w:r w:rsidRPr="0037251D">
              <w:rPr>
                <w:rFonts w:ascii="Book Antiqua" w:hAnsi="Book Antiqua"/>
                <w:b/>
                <w:bCs/>
                <w:color w:val="000000"/>
                <w:u w:color="000000"/>
                <w:vertAlign w:val="superscript"/>
                <w:lang w:val="en-US"/>
              </w:rPr>
              <w:t>[69]</w:t>
            </w:r>
            <w:r w:rsidRPr="0037251D">
              <w:rPr>
                <w:rFonts w:ascii="Book Antiqua" w:hAnsi="Book Antiqua"/>
                <w:b/>
                <w:bCs/>
                <w:color w:val="000000"/>
                <w:u w:color="000000"/>
                <w:lang w:val="en-US"/>
              </w:rPr>
              <w:t xml:space="preserve"> (</w:t>
            </w:r>
            <w:r w:rsidRPr="0037251D">
              <w:rPr>
                <w:rFonts w:ascii="Book Antiqua" w:hAnsi="Book Antiqua"/>
                <w:b/>
                <w:bCs/>
                <w:i/>
                <w:iCs/>
                <w:color w:val="000000"/>
                <w:u w:color="000000"/>
                <w:lang w:val="en-US"/>
              </w:rPr>
              <w:t>n</w:t>
            </w:r>
            <w:r w:rsidRPr="0037251D">
              <w:rPr>
                <w:rFonts w:ascii="Book Antiqua" w:hAnsi="Book Antiqua"/>
                <w:b/>
                <w:bCs/>
                <w:color w:val="000000"/>
                <w:u w:color="000000"/>
                <w:lang w:val="en-US"/>
              </w:rPr>
              <w:t xml:space="preserve"> = 406)</w:t>
            </w:r>
          </w:p>
        </w:tc>
        <w:tc>
          <w:tcPr>
            <w:tcW w:w="2914"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7AD1961A" w14:textId="1FB7C4EE"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b/>
                <w:bCs/>
                <w:color w:val="000000"/>
                <w:u w:color="000000"/>
                <w:lang w:val="en-US"/>
              </w:rPr>
              <w:t>ADAM-VTE</w:t>
            </w:r>
            <w:r w:rsidRPr="0037251D">
              <w:rPr>
                <w:rFonts w:ascii="Book Antiqua" w:hAnsi="Book Antiqua"/>
                <w:b/>
                <w:bCs/>
                <w:color w:val="000000"/>
                <w:u w:color="000000"/>
                <w:vertAlign w:val="superscript"/>
                <w:lang w:val="en-US"/>
              </w:rPr>
              <w:t>[70]</w:t>
            </w:r>
            <w:r w:rsidRPr="0037251D">
              <w:rPr>
                <w:rFonts w:ascii="Book Antiqua" w:hAnsi="Book Antiqua"/>
                <w:b/>
                <w:bCs/>
                <w:color w:val="000000"/>
                <w:u w:color="000000"/>
                <w:lang w:val="en-US"/>
              </w:rPr>
              <w:t xml:space="preserve"> (</w:t>
            </w:r>
            <w:r w:rsidRPr="0037251D">
              <w:rPr>
                <w:rFonts w:ascii="Book Antiqua" w:hAnsi="Book Antiqua"/>
                <w:b/>
                <w:bCs/>
                <w:i/>
                <w:iCs/>
                <w:color w:val="000000"/>
                <w:u w:color="000000"/>
                <w:lang w:val="en-US"/>
              </w:rPr>
              <w:t>n</w:t>
            </w:r>
            <w:r w:rsidRPr="0037251D">
              <w:rPr>
                <w:rFonts w:ascii="Book Antiqua" w:hAnsi="Book Antiqua"/>
                <w:b/>
                <w:bCs/>
                <w:color w:val="000000"/>
                <w:u w:color="000000"/>
                <w:lang w:val="en-US"/>
              </w:rPr>
              <w:t xml:space="preserve"> = 300)</w:t>
            </w:r>
          </w:p>
        </w:tc>
        <w:tc>
          <w:tcPr>
            <w:tcW w:w="2914"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05183A20" w14:textId="7147277B"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b/>
                <w:bCs/>
                <w:color w:val="000000"/>
                <w:u w:color="000000"/>
                <w:lang w:val="en-US"/>
              </w:rPr>
              <w:t>CARAVAGGIO</w:t>
            </w:r>
            <w:r w:rsidRPr="0037251D">
              <w:rPr>
                <w:rFonts w:ascii="Book Antiqua" w:hAnsi="Book Antiqua"/>
                <w:b/>
                <w:bCs/>
                <w:color w:val="000000"/>
                <w:u w:color="000000"/>
                <w:vertAlign w:val="superscript"/>
                <w:lang w:val="en-US"/>
              </w:rPr>
              <w:t>[71]</w:t>
            </w:r>
            <w:r w:rsidRPr="0037251D">
              <w:rPr>
                <w:rFonts w:ascii="Book Antiqua" w:hAnsi="Book Antiqua"/>
                <w:b/>
                <w:bCs/>
                <w:color w:val="000000"/>
                <w:u w:color="000000"/>
                <w:lang w:val="en-US"/>
              </w:rPr>
              <w:t xml:space="preserve"> (</w:t>
            </w:r>
            <w:r w:rsidRPr="0037251D">
              <w:rPr>
                <w:rFonts w:ascii="Book Antiqua" w:hAnsi="Book Antiqua"/>
                <w:b/>
                <w:bCs/>
                <w:i/>
                <w:iCs/>
                <w:color w:val="000000"/>
                <w:u w:color="000000"/>
                <w:lang w:val="en-US"/>
              </w:rPr>
              <w:t>n</w:t>
            </w:r>
            <w:r w:rsidRPr="0037251D">
              <w:rPr>
                <w:rFonts w:ascii="Book Antiqua" w:hAnsi="Book Antiqua"/>
                <w:b/>
                <w:bCs/>
                <w:color w:val="000000"/>
                <w:u w:color="000000"/>
                <w:lang w:val="en-US"/>
              </w:rPr>
              <w:t xml:space="preserve"> = 1155)</w:t>
            </w:r>
          </w:p>
        </w:tc>
      </w:tr>
      <w:tr w:rsidR="00B11C04" w:rsidRPr="0037251D" w14:paraId="72C83E7C" w14:textId="77777777" w:rsidTr="000B5AAD">
        <w:trPr>
          <w:trHeight w:val="203"/>
        </w:trPr>
        <w:tc>
          <w:tcPr>
            <w:tcW w:w="1465" w:type="dxa"/>
            <w:tcBorders>
              <w:top w:val="single" w:sz="4" w:space="0" w:color="auto"/>
            </w:tcBorders>
            <w:shd w:val="clear" w:color="auto" w:fill="auto"/>
            <w:tcMar>
              <w:top w:w="80" w:type="dxa"/>
              <w:left w:w="80" w:type="dxa"/>
              <w:bottom w:w="80" w:type="dxa"/>
              <w:right w:w="80" w:type="dxa"/>
            </w:tcMar>
          </w:tcPr>
          <w:p w14:paraId="341FECF8" w14:textId="77777777" w:rsidR="00B11C04" w:rsidRPr="0037251D" w:rsidRDefault="00B11C04" w:rsidP="00B11C04">
            <w:pPr>
              <w:spacing w:line="360" w:lineRule="auto"/>
              <w:jc w:val="both"/>
              <w:rPr>
                <w:rFonts w:ascii="Book Antiqua" w:eastAsia="Times New Roman" w:hAnsi="Book Antiqua"/>
                <w:color w:val="000000"/>
                <w:lang w:val="en-US" w:eastAsia="de-DE"/>
              </w:rPr>
            </w:pPr>
          </w:p>
        </w:tc>
        <w:tc>
          <w:tcPr>
            <w:tcW w:w="1457" w:type="dxa"/>
            <w:tcBorders>
              <w:top w:val="single" w:sz="4" w:space="0" w:color="auto"/>
            </w:tcBorders>
            <w:shd w:val="clear" w:color="auto" w:fill="auto"/>
            <w:tcMar>
              <w:top w:w="80" w:type="dxa"/>
              <w:left w:w="80" w:type="dxa"/>
              <w:bottom w:w="80" w:type="dxa"/>
              <w:right w:w="80" w:type="dxa"/>
            </w:tcMar>
          </w:tcPr>
          <w:p w14:paraId="47D2B6B7"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Edoxaban</w:t>
            </w:r>
          </w:p>
        </w:tc>
        <w:tc>
          <w:tcPr>
            <w:tcW w:w="1457" w:type="dxa"/>
            <w:tcBorders>
              <w:top w:val="single" w:sz="4" w:space="0" w:color="auto"/>
            </w:tcBorders>
            <w:shd w:val="clear" w:color="auto" w:fill="auto"/>
            <w:tcMar>
              <w:top w:w="80" w:type="dxa"/>
              <w:left w:w="80" w:type="dxa"/>
              <w:bottom w:w="80" w:type="dxa"/>
              <w:right w:w="80" w:type="dxa"/>
            </w:tcMar>
          </w:tcPr>
          <w:p w14:paraId="79B87566"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Dalteparin</w:t>
            </w:r>
          </w:p>
        </w:tc>
        <w:tc>
          <w:tcPr>
            <w:tcW w:w="1457" w:type="dxa"/>
            <w:tcBorders>
              <w:top w:val="single" w:sz="4" w:space="0" w:color="auto"/>
            </w:tcBorders>
            <w:shd w:val="clear" w:color="auto" w:fill="auto"/>
            <w:tcMar>
              <w:top w:w="80" w:type="dxa"/>
              <w:left w:w="80" w:type="dxa"/>
              <w:bottom w:w="80" w:type="dxa"/>
              <w:right w:w="80" w:type="dxa"/>
            </w:tcMar>
          </w:tcPr>
          <w:p w14:paraId="347CD1FA"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Rivaroxaban</w:t>
            </w:r>
          </w:p>
        </w:tc>
        <w:tc>
          <w:tcPr>
            <w:tcW w:w="1456" w:type="dxa"/>
            <w:tcBorders>
              <w:top w:val="single" w:sz="4" w:space="0" w:color="auto"/>
            </w:tcBorders>
            <w:shd w:val="clear" w:color="auto" w:fill="auto"/>
            <w:tcMar>
              <w:top w:w="80" w:type="dxa"/>
              <w:left w:w="80" w:type="dxa"/>
              <w:bottom w:w="80" w:type="dxa"/>
              <w:right w:w="80" w:type="dxa"/>
            </w:tcMar>
          </w:tcPr>
          <w:p w14:paraId="33902A7B"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Dalteparin</w:t>
            </w:r>
          </w:p>
        </w:tc>
        <w:tc>
          <w:tcPr>
            <w:tcW w:w="1457" w:type="dxa"/>
            <w:tcBorders>
              <w:top w:val="single" w:sz="4" w:space="0" w:color="auto"/>
            </w:tcBorders>
            <w:shd w:val="clear" w:color="auto" w:fill="auto"/>
            <w:tcMar>
              <w:top w:w="80" w:type="dxa"/>
              <w:left w:w="80" w:type="dxa"/>
              <w:bottom w:w="80" w:type="dxa"/>
              <w:right w:w="80" w:type="dxa"/>
            </w:tcMar>
          </w:tcPr>
          <w:p w14:paraId="3CBA6F2D"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Apixaban</w:t>
            </w:r>
          </w:p>
        </w:tc>
        <w:tc>
          <w:tcPr>
            <w:tcW w:w="1457" w:type="dxa"/>
            <w:tcBorders>
              <w:top w:val="single" w:sz="4" w:space="0" w:color="auto"/>
            </w:tcBorders>
            <w:shd w:val="clear" w:color="auto" w:fill="auto"/>
            <w:tcMar>
              <w:top w:w="80" w:type="dxa"/>
              <w:left w:w="80" w:type="dxa"/>
              <w:bottom w:w="80" w:type="dxa"/>
              <w:right w:w="80" w:type="dxa"/>
            </w:tcMar>
          </w:tcPr>
          <w:p w14:paraId="5747D78E"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Dalteparin</w:t>
            </w:r>
          </w:p>
        </w:tc>
        <w:tc>
          <w:tcPr>
            <w:tcW w:w="1457" w:type="dxa"/>
            <w:tcBorders>
              <w:top w:val="single" w:sz="4" w:space="0" w:color="auto"/>
            </w:tcBorders>
            <w:shd w:val="clear" w:color="auto" w:fill="auto"/>
            <w:tcMar>
              <w:top w:w="80" w:type="dxa"/>
              <w:left w:w="80" w:type="dxa"/>
              <w:bottom w:w="80" w:type="dxa"/>
              <w:right w:w="80" w:type="dxa"/>
            </w:tcMar>
          </w:tcPr>
          <w:p w14:paraId="7A2543FD"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Apixaban</w:t>
            </w:r>
          </w:p>
        </w:tc>
        <w:tc>
          <w:tcPr>
            <w:tcW w:w="1457" w:type="dxa"/>
            <w:tcBorders>
              <w:top w:val="single" w:sz="4" w:space="0" w:color="auto"/>
            </w:tcBorders>
            <w:shd w:val="clear" w:color="auto" w:fill="auto"/>
            <w:tcMar>
              <w:top w:w="80" w:type="dxa"/>
              <w:left w:w="80" w:type="dxa"/>
              <w:bottom w:w="80" w:type="dxa"/>
              <w:right w:w="80" w:type="dxa"/>
            </w:tcMar>
          </w:tcPr>
          <w:p w14:paraId="02AE4636"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Dalteparin</w:t>
            </w:r>
          </w:p>
        </w:tc>
      </w:tr>
      <w:tr w:rsidR="00B11C04" w:rsidRPr="0037251D" w14:paraId="16D403E6" w14:textId="77777777" w:rsidTr="000B5AAD">
        <w:trPr>
          <w:trHeight w:val="691"/>
        </w:trPr>
        <w:tc>
          <w:tcPr>
            <w:tcW w:w="1465" w:type="dxa"/>
            <w:shd w:val="clear" w:color="auto" w:fill="auto"/>
            <w:tcMar>
              <w:top w:w="80" w:type="dxa"/>
              <w:left w:w="80" w:type="dxa"/>
              <w:bottom w:w="80" w:type="dxa"/>
              <w:right w:w="80" w:type="dxa"/>
            </w:tcMar>
          </w:tcPr>
          <w:p w14:paraId="07121616"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Dose</w:t>
            </w:r>
          </w:p>
        </w:tc>
        <w:tc>
          <w:tcPr>
            <w:tcW w:w="1457" w:type="dxa"/>
            <w:shd w:val="clear" w:color="auto" w:fill="auto"/>
            <w:tcMar>
              <w:top w:w="80" w:type="dxa"/>
              <w:left w:w="80" w:type="dxa"/>
              <w:bottom w:w="80" w:type="dxa"/>
              <w:right w:w="80" w:type="dxa"/>
            </w:tcMar>
          </w:tcPr>
          <w:p w14:paraId="2064FFD7" w14:textId="28F8A148"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 xml:space="preserve">LMWH </w:t>
            </w:r>
            <w:r w:rsidRPr="0037251D">
              <w:rPr>
                <w:rFonts w:ascii="Arial Unicode MS" w:hAnsi="Arial Unicode MS" w:cs="Arial Unicode MS" w:hint="eastAsia"/>
                <w:color w:val="000000"/>
                <w:u w:color="000000"/>
                <w:lang w:val="en-US"/>
              </w:rPr>
              <w:t>×</w:t>
            </w:r>
            <w:r w:rsidRPr="0037251D">
              <w:rPr>
                <w:rFonts w:ascii="Book Antiqua" w:hAnsi="Book Antiqua"/>
                <w:color w:val="000000"/>
                <w:u w:color="000000"/>
                <w:lang w:val="en-US"/>
              </w:rPr>
              <w:t xml:space="preserve"> 5 d, then 60 mg OD</w:t>
            </w:r>
          </w:p>
        </w:tc>
        <w:tc>
          <w:tcPr>
            <w:tcW w:w="1457" w:type="dxa"/>
            <w:shd w:val="clear" w:color="auto" w:fill="auto"/>
            <w:tcMar>
              <w:top w:w="80" w:type="dxa"/>
              <w:left w:w="80" w:type="dxa"/>
              <w:bottom w:w="80" w:type="dxa"/>
              <w:right w:w="80" w:type="dxa"/>
            </w:tcMar>
          </w:tcPr>
          <w:p w14:paraId="6589BFF0" w14:textId="575C44FE"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200 IU/kg × 1 mo, then 150 U/kg daily</w:t>
            </w:r>
          </w:p>
        </w:tc>
        <w:tc>
          <w:tcPr>
            <w:tcW w:w="1457" w:type="dxa"/>
            <w:shd w:val="clear" w:color="auto" w:fill="auto"/>
            <w:tcMar>
              <w:top w:w="80" w:type="dxa"/>
              <w:left w:w="80" w:type="dxa"/>
              <w:bottom w:w="80" w:type="dxa"/>
              <w:right w:w="80" w:type="dxa"/>
            </w:tcMar>
          </w:tcPr>
          <w:p w14:paraId="3E92BD89" w14:textId="3586FF6B"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15 mg BID × 3 wk, then 20 mg OD × 6</w:t>
            </w:r>
          </w:p>
          <w:p w14:paraId="1E7E03F1" w14:textId="17018184"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mo</w:t>
            </w:r>
          </w:p>
        </w:tc>
        <w:tc>
          <w:tcPr>
            <w:tcW w:w="1456" w:type="dxa"/>
            <w:shd w:val="clear" w:color="auto" w:fill="auto"/>
            <w:tcMar>
              <w:top w:w="80" w:type="dxa"/>
              <w:left w:w="80" w:type="dxa"/>
              <w:bottom w:w="80" w:type="dxa"/>
              <w:right w:w="80" w:type="dxa"/>
            </w:tcMar>
          </w:tcPr>
          <w:p w14:paraId="74893D16" w14:textId="3720BCE5"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200 IU/kg × 1 mo, then 150 U/kg daily</w:t>
            </w:r>
          </w:p>
        </w:tc>
        <w:tc>
          <w:tcPr>
            <w:tcW w:w="1457" w:type="dxa"/>
            <w:shd w:val="clear" w:color="auto" w:fill="auto"/>
            <w:tcMar>
              <w:top w:w="80" w:type="dxa"/>
              <w:left w:w="80" w:type="dxa"/>
              <w:bottom w:w="80" w:type="dxa"/>
              <w:right w:w="80" w:type="dxa"/>
            </w:tcMar>
          </w:tcPr>
          <w:p w14:paraId="4FF96E9A" w14:textId="094BC3D1"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10 mg BID × 7 d, then 5 mg BID × 6 mo</w:t>
            </w:r>
          </w:p>
        </w:tc>
        <w:tc>
          <w:tcPr>
            <w:tcW w:w="1457" w:type="dxa"/>
            <w:shd w:val="clear" w:color="auto" w:fill="auto"/>
            <w:tcMar>
              <w:top w:w="80" w:type="dxa"/>
              <w:left w:w="80" w:type="dxa"/>
              <w:bottom w:w="80" w:type="dxa"/>
              <w:right w:w="80" w:type="dxa"/>
            </w:tcMar>
          </w:tcPr>
          <w:p w14:paraId="4E53F4A0" w14:textId="392BE588"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200 IU/kg × 1 mo, then 150 U/kg daily</w:t>
            </w:r>
          </w:p>
        </w:tc>
        <w:tc>
          <w:tcPr>
            <w:tcW w:w="1457" w:type="dxa"/>
            <w:shd w:val="clear" w:color="auto" w:fill="auto"/>
            <w:tcMar>
              <w:top w:w="80" w:type="dxa"/>
              <w:left w:w="80" w:type="dxa"/>
              <w:bottom w:w="80" w:type="dxa"/>
              <w:right w:w="80" w:type="dxa"/>
            </w:tcMar>
          </w:tcPr>
          <w:p w14:paraId="05DC6DA1" w14:textId="0D1ECB4B"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10 mg BID × 7 d, then 5 mg BID × 6 mo</w:t>
            </w:r>
          </w:p>
        </w:tc>
        <w:tc>
          <w:tcPr>
            <w:tcW w:w="1457" w:type="dxa"/>
            <w:shd w:val="clear" w:color="auto" w:fill="auto"/>
            <w:tcMar>
              <w:top w:w="80" w:type="dxa"/>
              <w:left w:w="80" w:type="dxa"/>
              <w:bottom w:w="80" w:type="dxa"/>
              <w:right w:w="80" w:type="dxa"/>
            </w:tcMar>
          </w:tcPr>
          <w:p w14:paraId="7466623F" w14:textId="7169AF0B"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200 IU/kg × 1 mo, then 150 U/kg daily</w:t>
            </w:r>
          </w:p>
        </w:tc>
      </w:tr>
      <w:tr w:rsidR="00B11C04" w:rsidRPr="0037251D" w14:paraId="671C0191" w14:textId="77777777" w:rsidTr="000B5AAD">
        <w:trPr>
          <w:trHeight w:val="753"/>
        </w:trPr>
        <w:tc>
          <w:tcPr>
            <w:tcW w:w="1465" w:type="dxa"/>
            <w:shd w:val="clear" w:color="auto" w:fill="auto"/>
            <w:tcMar>
              <w:top w:w="80" w:type="dxa"/>
              <w:left w:w="80" w:type="dxa"/>
              <w:bottom w:w="80" w:type="dxa"/>
              <w:right w:w="80" w:type="dxa"/>
            </w:tcMar>
          </w:tcPr>
          <w:p w14:paraId="5EA64F84"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Patients</w:t>
            </w:r>
          </w:p>
        </w:tc>
        <w:tc>
          <w:tcPr>
            <w:tcW w:w="2914" w:type="dxa"/>
            <w:gridSpan w:val="2"/>
            <w:shd w:val="clear" w:color="auto" w:fill="auto"/>
            <w:tcMar>
              <w:top w:w="80" w:type="dxa"/>
              <w:left w:w="80" w:type="dxa"/>
              <w:bottom w:w="80" w:type="dxa"/>
              <w:right w:w="80" w:type="dxa"/>
            </w:tcMar>
          </w:tcPr>
          <w:p w14:paraId="2D45674D"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Patients with active cancer and symptomatic or incidental popliteal, femoral or iliac or IVC DVT, symptomatic or incidental PE</w:t>
            </w:r>
          </w:p>
        </w:tc>
        <w:tc>
          <w:tcPr>
            <w:tcW w:w="2913" w:type="dxa"/>
            <w:gridSpan w:val="2"/>
            <w:shd w:val="clear" w:color="auto" w:fill="auto"/>
            <w:tcMar>
              <w:top w:w="80" w:type="dxa"/>
              <w:left w:w="80" w:type="dxa"/>
              <w:bottom w:w="80" w:type="dxa"/>
              <w:right w:w="80" w:type="dxa"/>
            </w:tcMar>
          </w:tcPr>
          <w:p w14:paraId="5A98C179"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Patients with active cancer and symptomatic DVT, symptomatic PE, or incidental PE</w:t>
            </w:r>
          </w:p>
        </w:tc>
        <w:tc>
          <w:tcPr>
            <w:tcW w:w="2914" w:type="dxa"/>
            <w:gridSpan w:val="2"/>
            <w:shd w:val="clear" w:color="auto" w:fill="auto"/>
            <w:tcMar>
              <w:top w:w="80" w:type="dxa"/>
              <w:left w:w="80" w:type="dxa"/>
              <w:bottom w:w="80" w:type="dxa"/>
              <w:right w:w="80" w:type="dxa"/>
            </w:tcMar>
          </w:tcPr>
          <w:p w14:paraId="31432A41"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Active cancer patients with acute DVT (including upper extremity), PE, splanchnic or cerebral vein thrombosis</w:t>
            </w:r>
          </w:p>
        </w:tc>
        <w:tc>
          <w:tcPr>
            <w:tcW w:w="2914" w:type="dxa"/>
            <w:gridSpan w:val="2"/>
            <w:shd w:val="clear" w:color="auto" w:fill="auto"/>
            <w:tcMar>
              <w:top w:w="80" w:type="dxa"/>
              <w:left w:w="80" w:type="dxa"/>
              <w:bottom w:w="80" w:type="dxa"/>
              <w:right w:w="80" w:type="dxa"/>
            </w:tcMar>
          </w:tcPr>
          <w:p w14:paraId="78B8DDA5"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Patients with active or recent cancer and acute DVT or PE</w:t>
            </w:r>
          </w:p>
        </w:tc>
      </w:tr>
      <w:tr w:rsidR="00B11C04" w:rsidRPr="0037251D" w14:paraId="061DDFBC" w14:textId="77777777" w:rsidTr="000B5AAD">
        <w:trPr>
          <w:trHeight w:val="717"/>
        </w:trPr>
        <w:tc>
          <w:tcPr>
            <w:tcW w:w="1465" w:type="dxa"/>
            <w:shd w:val="clear" w:color="auto" w:fill="auto"/>
            <w:tcMar>
              <w:top w:w="80" w:type="dxa"/>
              <w:left w:w="80" w:type="dxa"/>
              <w:bottom w:w="80" w:type="dxa"/>
              <w:right w:w="80" w:type="dxa"/>
            </w:tcMar>
          </w:tcPr>
          <w:p w14:paraId="387516FB"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Primary</w:t>
            </w:r>
          </w:p>
          <w:p w14:paraId="7EFF65F5"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Endpoint</w:t>
            </w:r>
          </w:p>
        </w:tc>
        <w:tc>
          <w:tcPr>
            <w:tcW w:w="2914" w:type="dxa"/>
            <w:gridSpan w:val="2"/>
            <w:shd w:val="clear" w:color="auto" w:fill="auto"/>
            <w:tcMar>
              <w:top w:w="80" w:type="dxa"/>
              <w:left w:w="80" w:type="dxa"/>
              <w:bottom w:w="80" w:type="dxa"/>
              <w:right w:w="80" w:type="dxa"/>
            </w:tcMar>
          </w:tcPr>
          <w:p w14:paraId="09A11BD6" w14:textId="3D44896D"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Composite of recurrent VTE/major bleeding at 12 mo</w:t>
            </w:r>
          </w:p>
        </w:tc>
        <w:tc>
          <w:tcPr>
            <w:tcW w:w="2913" w:type="dxa"/>
            <w:gridSpan w:val="2"/>
            <w:shd w:val="clear" w:color="auto" w:fill="auto"/>
            <w:tcMar>
              <w:top w:w="80" w:type="dxa"/>
              <w:left w:w="80" w:type="dxa"/>
              <w:bottom w:w="80" w:type="dxa"/>
              <w:right w:w="80" w:type="dxa"/>
            </w:tcMar>
          </w:tcPr>
          <w:p w14:paraId="04B59353" w14:textId="095901C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VTE recurrence over 6 mo</w:t>
            </w:r>
          </w:p>
        </w:tc>
        <w:tc>
          <w:tcPr>
            <w:tcW w:w="2914" w:type="dxa"/>
            <w:gridSpan w:val="2"/>
            <w:shd w:val="clear" w:color="auto" w:fill="auto"/>
            <w:tcMar>
              <w:top w:w="80" w:type="dxa"/>
              <w:left w:w="80" w:type="dxa"/>
              <w:bottom w:w="80" w:type="dxa"/>
              <w:right w:w="80" w:type="dxa"/>
            </w:tcMar>
          </w:tcPr>
          <w:p w14:paraId="6C191E42" w14:textId="6A9106E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 xml:space="preserve">Primary safety: Major bleeding at 6mo; secondary efficacy: VTE at 6 </w:t>
            </w:r>
            <w:r w:rsidRPr="0037251D">
              <w:rPr>
                <w:rFonts w:ascii="Book Antiqua" w:hAnsi="Book Antiqua"/>
                <w:color w:val="000000"/>
                <w:u w:color="000000"/>
                <w:lang w:val="en-US"/>
              </w:rPr>
              <w:lastRenderedPageBreak/>
              <w:t>mo</w:t>
            </w:r>
          </w:p>
        </w:tc>
        <w:tc>
          <w:tcPr>
            <w:tcW w:w="2914" w:type="dxa"/>
            <w:gridSpan w:val="2"/>
            <w:shd w:val="clear" w:color="auto" w:fill="auto"/>
            <w:tcMar>
              <w:top w:w="80" w:type="dxa"/>
              <w:left w:w="80" w:type="dxa"/>
              <w:bottom w:w="80" w:type="dxa"/>
              <w:right w:w="80" w:type="dxa"/>
            </w:tcMar>
          </w:tcPr>
          <w:p w14:paraId="23942A0C" w14:textId="22E2892E"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lastRenderedPageBreak/>
              <w:t xml:space="preserve">Efficacy: Recurrent VTE at 6 mo; Safety: Major bleeding at </w:t>
            </w:r>
            <w:r w:rsidRPr="0037251D">
              <w:rPr>
                <w:rFonts w:ascii="Book Antiqua" w:hAnsi="Book Antiqua"/>
                <w:color w:val="000000"/>
                <w:u w:color="000000"/>
                <w:lang w:val="en-US"/>
              </w:rPr>
              <w:lastRenderedPageBreak/>
              <w:t>6 mo</w:t>
            </w:r>
          </w:p>
        </w:tc>
      </w:tr>
      <w:tr w:rsidR="00B11C04" w:rsidRPr="0037251D" w14:paraId="03BE53C7" w14:textId="77777777" w:rsidTr="000B5AAD">
        <w:trPr>
          <w:trHeight w:val="247"/>
        </w:trPr>
        <w:tc>
          <w:tcPr>
            <w:tcW w:w="1465" w:type="dxa"/>
            <w:shd w:val="clear" w:color="auto" w:fill="auto"/>
            <w:tcMar>
              <w:top w:w="80" w:type="dxa"/>
              <w:left w:w="80" w:type="dxa"/>
              <w:bottom w:w="80" w:type="dxa"/>
              <w:right w:w="80" w:type="dxa"/>
            </w:tcMar>
          </w:tcPr>
          <w:p w14:paraId="431CECD0"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lastRenderedPageBreak/>
              <w:t>Follow-up</w:t>
            </w:r>
          </w:p>
        </w:tc>
        <w:tc>
          <w:tcPr>
            <w:tcW w:w="2914" w:type="dxa"/>
            <w:gridSpan w:val="2"/>
            <w:shd w:val="clear" w:color="auto" w:fill="auto"/>
            <w:tcMar>
              <w:top w:w="80" w:type="dxa"/>
              <w:left w:w="80" w:type="dxa"/>
              <w:bottom w:w="80" w:type="dxa"/>
              <w:right w:w="80" w:type="dxa"/>
            </w:tcMar>
          </w:tcPr>
          <w:p w14:paraId="47B5C646" w14:textId="67B56640"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12 mo</w:t>
            </w:r>
          </w:p>
        </w:tc>
        <w:tc>
          <w:tcPr>
            <w:tcW w:w="2913" w:type="dxa"/>
            <w:gridSpan w:val="2"/>
            <w:shd w:val="clear" w:color="auto" w:fill="auto"/>
            <w:tcMar>
              <w:top w:w="80" w:type="dxa"/>
              <w:left w:w="80" w:type="dxa"/>
              <w:bottom w:w="80" w:type="dxa"/>
              <w:right w:w="80" w:type="dxa"/>
            </w:tcMar>
          </w:tcPr>
          <w:p w14:paraId="238435B0" w14:textId="35209C76"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6 mo</w:t>
            </w:r>
          </w:p>
        </w:tc>
        <w:tc>
          <w:tcPr>
            <w:tcW w:w="2914" w:type="dxa"/>
            <w:gridSpan w:val="2"/>
            <w:shd w:val="clear" w:color="auto" w:fill="auto"/>
            <w:tcMar>
              <w:top w:w="80" w:type="dxa"/>
              <w:left w:w="80" w:type="dxa"/>
              <w:bottom w:w="80" w:type="dxa"/>
              <w:right w:w="80" w:type="dxa"/>
            </w:tcMar>
          </w:tcPr>
          <w:p w14:paraId="220C54A4" w14:textId="3F1F3455"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6 mo</w:t>
            </w:r>
          </w:p>
        </w:tc>
        <w:tc>
          <w:tcPr>
            <w:tcW w:w="2914" w:type="dxa"/>
            <w:gridSpan w:val="2"/>
            <w:shd w:val="clear" w:color="auto" w:fill="auto"/>
            <w:tcMar>
              <w:top w:w="80" w:type="dxa"/>
              <w:left w:w="80" w:type="dxa"/>
              <w:bottom w:w="80" w:type="dxa"/>
              <w:right w:w="80" w:type="dxa"/>
            </w:tcMar>
          </w:tcPr>
          <w:p w14:paraId="4E17D7CB" w14:textId="2B277613"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6 mo</w:t>
            </w:r>
          </w:p>
        </w:tc>
      </w:tr>
      <w:tr w:rsidR="00B11C04" w:rsidRPr="0037251D" w14:paraId="3D9BD2BE" w14:textId="77777777" w:rsidTr="000B5AAD">
        <w:trPr>
          <w:trHeight w:val="348"/>
        </w:trPr>
        <w:tc>
          <w:tcPr>
            <w:tcW w:w="1465" w:type="dxa"/>
            <w:shd w:val="clear" w:color="auto" w:fill="auto"/>
            <w:tcMar>
              <w:top w:w="80" w:type="dxa"/>
              <w:left w:w="80" w:type="dxa"/>
              <w:bottom w:w="80" w:type="dxa"/>
              <w:right w:w="80" w:type="dxa"/>
            </w:tcMar>
          </w:tcPr>
          <w:p w14:paraId="37A0A248" w14:textId="7EFEF49E"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Recurrent VTE (%)</w:t>
            </w:r>
          </w:p>
        </w:tc>
        <w:tc>
          <w:tcPr>
            <w:tcW w:w="1457" w:type="dxa"/>
            <w:shd w:val="clear" w:color="auto" w:fill="auto"/>
            <w:tcMar>
              <w:top w:w="80" w:type="dxa"/>
              <w:left w:w="80" w:type="dxa"/>
              <w:bottom w:w="80" w:type="dxa"/>
              <w:right w:w="80" w:type="dxa"/>
            </w:tcMar>
          </w:tcPr>
          <w:p w14:paraId="287E6558" w14:textId="15FB5E0B"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41/525 (7.9)</w:t>
            </w:r>
          </w:p>
        </w:tc>
        <w:tc>
          <w:tcPr>
            <w:tcW w:w="1457" w:type="dxa"/>
            <w:shd w:val="clear" w:color="auto" w:fill="auto"/>
            <w:tcMar>
              <w:top w:w="80" w:type="dxa"/>
              <w:left w:w="80" w:type="dxa"/>
              <w:bottom w:w="80" w:type="dxa"/>
              <w:right w:w="80" w:type="dxa"/>
            </w:tcMar>
          </w:tcPr>
          <w:p w14:paraId="1402BBDC" w14:textId="67537D39"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59/525 (11.3)</w:t>
            </w:r>
          </w:p>
        </w:tc>
        <w:tc>
          <w:tcPr>
            <w:tcW w:w="1457" w:type="dxa"/>
            <w:shd w:val="clear" w:color="auto" w:fill="auto"/>
            <w:tcMar>
              <w:top w:w="80" w:type="dxa"/>
              <w:left w:w="80" w:type="dxa"/>
              <w:bottom w:w="80" w:type="dxa"/>
              <w:right w:w="80" w:type="dxa"/>
            </w:tcMar>
          </w:tcPr>
          <w:p w14:paraId="47EDA70F" w14:textId="08F7DA83"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8/203 (4)</w:t>
            </w:r>
          </w:p>
        </w:tc>
        <w:tc>
          <w:tcPr>
            <w:tcW w:w="1456" w:type="dxa"/>
            <w:shd w:val="clear" w:color="auto" w:fill="auto"/>
            <w:tcMar>
              <w:top w:w="80" w:type="dxa"/>
              <w:left w:w="80" w:type="dxa"/>
              <w:bottom w:w="80" w:type="dxa"/>
              <w:right w:w="80" w:type="dxa"/>
            </w:tcMar>
          </w:tcPr>
          <w:p w14:paraId="032ED6E0" w14:textId="27868F29"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18/203 (11)</w:t>
            </w:r>
          </w:p>
        </w:tc>
        <w:tc>
          <w:tcPr>
            <w:tcW w:w="1457" w:type="dxa"/>
            <w:shd w:val="clear" w:color="auto" w:fill="auto"/>
            <w:tcMar>
              <w:top w:w="80" w:type="dxa"/>
              <w:left w:w="80" w:type="dxa"/>
              <w:bottom w:w="80" w:type="dxa"/>
              <w:right w:w="80" w:type="dxa"/>
            </w:tcMar>
          </w:tcPr>
          <w:p w14:paraId="36F5FC7C" w14:textId="702EDAE1"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1/145 (0.7)</w:t>
            </w:r>
          </w:p>
        </w:tc>
        <w:tc>
          <w:tcPr>
            <w:tcW w:w="1457" w:type="dxa"/>
            <w:shd w:val="clear" w:color="auto" w:fill="auto"/>
            <w:tcMar>
              <w:top w:w="80" w:type="dxa"/>
              <w:left w:w="80" w:type="dxa"/>
              <w:bottom w:w="80" w:type="dxa"/>
              <w:right w:w="80" w:type="dxa"/>
            </w:tcMar>
          </w:tcPr>
          <w:p w14:paraId="15E3E1DD" w14:textId="508FD26A"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9/142 (6.3)</w:t>
            </w:r>
          </w:p>
        </w:tc>
        <w:tc>
          <w:tcPr>
            <w:tcW w:w="1457" w:type="dxa"/>
            <w:shd w:val="clear" w:color="auto" w:fill="auto"/>
            <w:tcMar>
              <w:top w:w="80" w:type="dxa"/>
              <w:left w:w="80" w:type="dxa"/>
              <w:bottom w:w="80" w:type="dxa"/>
              <w:right w:w="80" w:type="dxa"/>
            </w:tcMar>
          </w:tcPr>
          <w:p w14:paraId="625CAA55" w14:textId="3887FCE8"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32/576 (5.6)</w:t>
            </w:r>
          </w:p>
        </w:tc>
        <w:tc>
          <w:tcPr>
            <w:tcW w:w="1457" w:type="dxa"/>
            <w:shd w:val="clear" w:color="auto" w:fill="auto"/>
            <w:tcMar>
              <w:top w:w="80" w:type="dxa"/>
              <w:left w:w="80" w:type="dxa"/>
              <w:bottom w:w="80" w:type="dxa"/>
              <w:right w:w="80" w:type="dxa"/>
            </w:tcMar>
          </w:tcPr>
          <w:p w14:paraId="17FF70EC" w14:textId="53FE264C"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46/579 (7.9)</w:t>
            </w:r>
          </w:p>
        </w:tc>
      </w:tr>
      <w:tr w:rsidR="00B11C04" w:rsidRPr="0037251D" w14:paraId="270A6AAA" w14:textId="77777777" w:rsidTr="000B5AAD">
        <w:trPr>
          <w:trHeight w:val="397"/>
        </w:trPr>
        <w:tc>
          <w:tcPr>
            <w:tcW w:w="1465" w:type="dxa"/>
            <w:shd w:val="clear" w:color="auto" w:fill="auto"/>
            <w:tcMar>
              <w:top w:w="80" w:type="dxa"/>
              <w:left w:w="80" w:type="dxa"/>
              <w:bottom w:w="80" w:type="dxa"/>
              <w:right w:w="80" w:type="dxa"/>
            </w:tcMar>
          </w:tcPr>
          <w:p w14:paraId="1DF0A807" w14:textId="58101F8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HR (95%CI) for recurrent VTE</w:t>
            </w:r>
          </w:p>
        </w:tc>
        <w:tc>
          <w:tcPr>
            <w:tcW w:w="2914" w:type="dxa"/>
            <w:gridSpan w:val="2"/>
            <w:shd w:val="clear" w:color="auto" w:fill="auto"/>
            <w:tcMar>
              <w:top w:w="80" w:type="dxa"/>
              <w:left w:w="80" w:type="dxa"/>
              <w:bottom w:w="80" w:type="dxa"/>
              <w:right w:w="80" w:type="dxa"/>
            </w:tcMar>
          </w:tcPr>
          <w:p w14:paraId="346AE8B0" w14:textId="5A4D4358"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 xml:space="preserve">0.71 (0.48-1.06), </w:t>
            </w:r>
            <w:r w:rsidRPr="0037251D">
              <w:rPr>
                <w:rFonts w:ascii="Book Antiqua" w:hAnsi="Book Antiqua"/>
                <w:i/>
                <w:iCs/>
                <w:color w:val="000000"/>
                <w:u w:color="000000"/>
                <w:lang w:val="en-US"/>
              </w:rPr>
              <w:t xml:space="preserve">P </w:t>
            </w:r>
            <w:r w:rsidRPr="0037251D">
              <w:rPr>
                <w:rFonts w:ascii="Book Antiqua" w:hAnsi="Book Antiqua"/>
                <w:color w:val="000000"/>
                <w:u w:color="000000"/>
                <w:lang w:val="en-US"/>
              </w:rPr>
              <w:t>= 0.006</w:t>
            </w:r>
          </w:p>
        </w:tc>
        <w:tc>
          <w:tcPr>
            <w:tcW w:w="2913" w:type="dxa"/>
            <w:gridSpan w:val="2"/>
            <w:shd w:val="clear" w:color="auto" w:fill="auto"/>
            <w:tcMar>
              <w:top w:w="80" w:type="dxa"/>
              <w:left w:w="80" w:type="dxa"/>
              <w:bottom w:w="80" w:type="dxa"/>
              <w:right w:w="80" w:type="dxa"/>
            </w:tcMar>
          </w:tcPr>
          <w:p w14:paraId="046D811B" w14:textId="42761013"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0.43 (0.19-0.99)</w:t>
            </w:r>
          </w:p>
        </w:tc>
        <w:tc>
          <w:tcPr>
            <w:tcW w:w="2914" w:type="dxa"/>
            <w:gridSpan w:val="2"/>
            <w:shd w:val="clear" w:color="auto" w:fill="auto"/>
            <w:tcMar>
              <w:top w:w="80" w:type="dxa"/>
              <w:left w:w="80" w:type="dxa"/>
              <w:bottom w:w="80" w:type="dxa"/>
              <w:right w:w="80" w:type="dxa"/>
            </w:tcMar>
          </w:tcPr>
          <w:p w14:paraId="77FEA220" w14:textId="0C2F0094"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 xml:space="preserve">0.099 (0.013-0.780), </w:t>
            </w:r>
            <w:r w:rsidRPr="0037251D">
              <w:rPr>
                <w:rFonts w:ascii="Book Antiqua" w:hAnsi="Book Antiqua"/>
                <w:i/>
                <w:iCs/>
                <w:color w:val="000000"/>
                <w:u w:color="000000"/>
                <w:lang w:val="en-US"/>
              </w:rPr>
              <w:t xml:space="preserve">P </w:t>
            </w:r>
            <w:r w:rsidRPr="0037251D">
              <w:rPr>
                <w:rFonts w:ascii="Book Antiqua" w:hAnsi="Book Antiqua"/>
                <w:color w:val="000000"/>
                <w:u w:color="000000"/>
                <w:lang w:val="en-US"/>
              </w:rPr>
              <w:t>= 0.03</w:t>
            </w:r>
          </w:p>
        </w:tc>
        <w:tc>
          <w:tcPr>
            <w:tcW w:w="2914" w:type="dxa"/>
            <w:gridSpan w:val="2"/>
            <w:shd w:val="clear" w:color="auto" w:fill="auto"/>
            <w:tcMar>
              <w:top w:w="80" w:type="dxa"/>
              <w:left w:w="80" w:type="dxa"/>
              <w:bottom w:w="80" w:type="dxa"/>
              <w:right w:w="80" w:type="dxa"/>
            </w:tcMar>
          </w:tcPr>
          <w:p w14:paraId="7E9EA41A" w14:textId="6BAA3760"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 xml:space="preserve">0.63 (0.37-1.07, </w:t>
            </w:r>
            <w:r w:rsidRPr="0037251D">
              <w:rPr>
                <w:rFonts w:ascii="Book Antiqua" w:hAnsi="Book Antiqua"/>
                <w:i/>
                <w:iCs/>
                <w:color w:val="000000"/>
                <w:u w:color="000000"/>
                <w:lang w:val="en-US"/>
              </w:rPr>
              <w:t>P</w:t>
            </w:r>
            <w:r w:rsidRPr="0037251D">
              <w:rPr>
                <w:rFonts w:ascii="Book Antiqua" w:hAnsi="Book Antiqua"/>
                <w:color w:val="000000"/>
                <w:u w:color="000000"/>
                <w:lang w:val="en-US"/>
              </w:rPr>
              <w:t xml:space="preserve"> &lt; 0.001)</w:t>
            </w:r>
          </w:p>
        </w:tc>
      </w:tr>
      <w:tr w:rsidR="00B11C04" w:rsidRPr="0037251D" w14:paraId="404EA5A6" w14:textId="77777777" w:rsidTr="000B5AAD">
        <w:trPr>
          <w:trHeight w:val="312"/>
        </w:trPr>
        <w:tc>
          <w:tcPr>
            <w:tcW w:w="1465" w:type="dxa"/>
            <w:shd w:val="clear" w:color="auto" w:fill="auto"/>
            <w:tcMar>
              <w:top w:w="80" w:type="dxa"/>
              <w:left w:w="80" w:type="dxa"/>
              <w:bottom w:w="80" w:type="dxa"/>
              <w:right w:w="80" w:type="dxa"/>
            </w:tcMar>
          </w:tcPr>
          <w:p w14:paraId="55AAC0EA" w14:textId="717ED841"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Major bleeding (%)</w:t>
            </w:r>
          </w:p>
        </w:tc>
        <w:tc>
          <w:tcPr>
            <w:tcW w:w="1457" w:type="dxa"/>
            <w:shd w:val="clear" w:color="auto" w:fill="auto"/>
            <w:tcMar>
              <w:top w:w="80" w:type="dxa"/>
              <w:left w:w="80" w:type="dxa"/>
              <w:bottom w:w="80" w:type="dxa"/>
              <w:right w:w="80" w:type="dxa"/>
            </w:tcMar>
          </w:tcPr>
          <w:p w14:paraId="12B7C3F3" w14:textId="2A3B2FF9"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36/525 (6.9)</w:t>
            </w:r>
          </w:p>
        </w:tc>
        <w:tc>
          <w:tcPr>
            <w:tcW w:w="1457" w:type="dxa"/>
            <w:shd w:val="clear" w:color="auto" w:fill="auto"/>
            <w:tcMar>
              <w:top w:w="80" w:type="dxa"/>
              <w:left w:w="80" w:type="dxa"/>
              <w:bottom w:w="80" w:type="dxa"/>
              <w:right w:w="80" w:type="dxa"/>
            </w:tcMar>
          </w:tcPr>
          <w:p w14:paraId="2EE50D2E" w14:textId="3BAC2EC3"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21/525 (4.0)</w:t>
            </w:r>
          </w:p>
        </w:tc>
        <w:tc>
          <w:tcPr>
            <w:tcW w:w="1457" w:type="dxa"/>
            <w:shd w:val="clear" w:color="auto" w:fill="auto"/>
            <w:tcMar>
              <w:top w:w="80" w:type="dxa"/>
              <w:left w:w="80" w:type="dxa"/>
              <w:bottom w:w="80" w:type="dxa"/>
              <w:right w:w="80" w:type="dxa"/>
            </w:tcMar>
          </w:tcPr>
          <w:p w14:paraId="243777A0" w14:textId="578AB75F"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11/203 (4)</w:t>
            </w:r>
          </w:p>
        </w:tc>
        <w:tc>
          <w:tcPr>
            <w:tcW w:w="1456" w:type="dxa"/>
            <w:shd w:val="clear" w:color="auto" w:fill="auto"/>
            <w:tcMar>
              <w:top w:w="80" w:type="dxa"/>
              <w:left w:w="80" w:type="dxa"/>
              <w:bottom w:w="80" w:type="dxa"/>
              <w:right w:w="80" w:type="dxa"/>
            </w:tcMar>
          </w:tcPr>
          <w:p w14:paraId="7EF50DC3" w14:textId="7FA98AC1"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6/203 (6)</w:t>
            </w:r>
          </w:p>
        </w:tc>
        <w:tc>
          <w:tcPr>
            <w:tcW w:w="1457" w:type="dxa"/>
            <w:shd w:val="clear" w:color="auto" w:fill="auto"/>
            <w:tcMar>
              <w:top w:w="80" w:type="dxa"/>
              <w:left w:w="80" w:type="dxa"/>
              <w:bottom w:w="80" w:type="dxa"/>
              <w:right w:w="80" w:type="dxa"/>
            </w:tcMar>
          </w:tcPr>
          <w:p w14:paraId="1A1DED79" w14:textId="263D06C0"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0/145 (0)</w:t>
            </w:r>
          </w:p>
        </w:tc>
        <w:tc>
          <w:tcPr>
            <w:tcW w:w="1457" w:type="dxa"/>
            <w:shd w:val="clear" w:color="auto" w:fill="auto"/>
            <w:tcMar>
              <w:top w:w="80" w:type="dxa"/>
              <w:left w:w="80" w:type="dxa"/>
              <w:bottom w:w="80" w:type="dxa"/>
              <w:right w:w="80" w:type="dxa"/>
            </w:tcMar>
          </w:tcPr>
          <w:p w14:paraId="092C09B6" w14:textId="0E38B850"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2/142 (1.4)</w:t>
            </w:r>
          </w:p>
        </w:tc>
        <w:tc>
          <w:tcPr>
            <w:tcW w:w="1457" w:type="dxa"/>
            <w:shd w:val="clear" w:color="auto" w:fill="auto"/>
            <w:tcMar>
              <w:top w:w="80" w:type="dxa"/>
              <w:left w:w="80" w:type="dxa"/>
              <w:bottom w:w="80" w:type="dxa"/>
              <w:right w:w="80" w:type="dxa"/>
            </w:tcMar>
          </w:tcPr>
          <w:p w14:paraId="797D3AEB" w14:textId="31039042"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22/576 (3.8)</w:t>
            </w:r>
          </w:p>
        </w:tc>
        <w:tc>
          <w:tcPr>
            <w:tcW w:w="1457" w:type="dxa"/>
            <w:shd w:val="clear" w:color="auto" w:fill="auto"/>
            <w:tcMar>
              <w:top w:w="80" w:type="dxa"/>
              <w:left w:w="80" w:type="dxa"/>
              <w:bottom w:w="80" w:type="dxa"/>
              <w:right w:w="80" w:type="dxa"/>
            </w:tcMar>
          </w:tcPr>
          <w:p w14:paraId="544A453A" w14:textId="70C1FA7B"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23/579 (4)</w:t>
            </w:r>
          </w:p>
        </w:tc>
      </w:tr>
      <w:tr w:rsidR="00B11C04" w:rsidRPr="0037251D" w14:paraId="7EC42613" w14:textId="77777777" w:rsidTr="000B5AAD">
        <w:trPr>
          <w:trHeight w:val="359"/>
        </w:trPr>
        <w:tc>
          <w:tcPr>
            <w:tcW w:w="1465" w:type="dxa"/>
            <w:shd w:val="clear" w:color="auto" w:fill="auto"/>
            <w:tcMar>
              <w:top w:w="80" w:type="dxa"/>
              <w:left w:w="80" w:type="dxa"/>
              <w:bottom w:w="80" w:type="dxa"/>
              <w:right w:w="80" w:type="dxa"/>
            </w:tcMar>
          </w:tcPr>
          <w:p w14:paraId="2435BA82" w14:textId="635CFB2E"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HR (CI) for major bleeding</w:t>
            </w:r>
          </w:p>
        </w:tc>
        <w:tc>
          <w:tcPr>
            <w:tcW w:w="2914" w:type="dxa"/>
            <w:gridSpan w:val="2"/>
            <w:shd w:val="clear" w:color="auto" w:fill="auto"/>
            <w:tcMar>
              <w:top w:w="80" w:type="dxa"/>
              <w:left w:w="80" w:type="dxa"/>
              <w:bottom w:w="80" w:type="dxa"/>
              <w:right w:w="80" w:type="dxa"/>
            </w:tcMar>
          </w:tcPr>
          <w:p w14:paraId="3C40C19A" w14:textId="4ED7A020"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1.77 (1.03-3.04)</w:t>
            </w:r>
          </w:p>
        </w:tc>
        <w:tc>
          <w:tcPr>
            <w:tcW w:w="2913" w:type="dxa"/>
            <w:gridSpan w:val="2"/>
            <w:shd w:val="clear" w:color="auto" w:fill="auto"/>
            <w:tcMar>
              <w:top w:w="80" w:type="dxa"/>
              <w:left w:w="80" w:type="dxa"/>
              <w:bottom w:w="80" w:type="dxa"/>
              <w:right w:w="80" w:type="dxa"/>
            </w:tcMar>
          </w:tcPr>
          <w:p w14:paraId="1B500983" w14:textId="08AB9546"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1.83 (0.68-4.96)</w:t>
            </w:r>
          </w:p>
        </w:tc>
        <w:tc>
          <w:tcPr>
            <w:tcW w:w="2914" w:type="dxa"/>
            <w:gridSpan w:val="2"/>
            <w:shd w:val="clear" w:color="auto" w:fill="auto"/>
            <w:tcMar>
              <w:top w:w="80" w:type="dxa"/>
              <w:left w:w="80" w:type="dxa"/>
              <w:bottom w:w="80" w:type="dxa"/>
              <w:right w:w="80" w:type="dxa"/>
            </w:tcMar>
          </w:tcPr>
          <w:p w14:paraId="6889B4E3" w14:textId="77777777"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Not estimable</w:t>
            </w:r>
          </w:p>
        </w:tc>
        <w:tc>
          <w:tcPr>
            <w:tcW w:w="2914" w:type="dxa"/>
            <w:gridSpan w:val="2"/>
            <w:shd w:val="clear" w:color="auto" w:fill="auto"/>
            <w:tcMar>
              <w:top w:w="80" w:type="dxa"/>
              <w:left w:w="80" w:type="dxa"/>
              <w:bottom w:w="80" w:type="dxa"/>
              <w:right w:w="80" w:type="dxa"/>
            </w:tcMar>
          </w:tcPr>
          <w:p w14:paraId="05ED618E" w14:textId="78A1916A"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 xml:space="preserve">0.82 (0.40-1.69, </w:t>
            </w:r>
            <w:r w:rsidRPr="0037251D">
              <w:rPr>
                <w:rFonts w:ascii="Book Antiqua" w:hAnsi="Book Antiqua"/>
                <w:i/>
                <w:iCs/>
                <w:color w:val="000000"/>
                <w:u w:color="000000"/>
                <w:lang w:val="en-US"/>
              </w:rPr>
              <w:t>P</w:t>
            </w:r>
            <w:r w:rsidRPr="0037251D">
              <w:rPr>
                <w:rFonts w:ascii="Book Antiqua" w:hAnsi="Book Antiqua"/>
                <w:color w:val="000000"/>
                <w:u w:color="000000"/>
                <w:lang w:val="en-US"/>
              </w:rPr>
              <w:t xml:space="preserve"> = 0.6)</w:t>
            </w:r>
          </w:p>
        </w:tc>
      </w:tr>
      <w:tr w:rsidR="00B11C04" w:rsidRPr="0037251D" w14:paraId="04FB96BD" w14:textId="77777777" w:rsidTr="000B5AAD">
        <w:trPr>
          <w:trHeight w:val="398"/>
        </w:trPr>
        <w:tc>
          <w:tcPr>
            <w:tcW w:w="1465" w:type="dxa"/>
            <w:shd w:val="clear" w:color="auto" w:fill="auto"/>
            <w:tcMar>
              <w:top w:w="80" w:type="dxa"/>
              <w:left w:w="80" w:type="dxa"/>
              <w:bottom w:w="80" w:type="dxa"/>
              <w:right w:w="80" w:type="dxa"/>
            </w:tcMar>
          </w:tcPr>
          <w:p w14:paraId="45F5AE86" w14:textId="7B713DF6"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CRNMB (%)</w:t>
            </w:r>
          </w:p>
        </w:tc>
        <w:tc>
          <w:tcPr>
            <w:tcW w:w="1457" w:type="dxa"/>
            <w:shd w:val="clear" w:color="auto" w:fill="auto"/>
            <w:tcMar>
              <w:top w:w="80" w:type="dxa"/>
              <w:left w:w="80" w:type="dxa"/>
              <w:bottom w:w="80" w:type="dxa"/>
              <w:right w:w="80" w:type="dxa"/>
            </w:tcMar>
          </w:tcPr>
          <w:p w14:paraId="7D351BD3" w14:textId="4262EF6B"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76/525 (14.6)</w:t>
            </w:r>
          </w:p>
        </w:tc>
        <w:tc>
          <w:tcPr>
            <w:tcW w:w="1457" w:type="dxa"/>
            <w:shd w:val="clear" w:color="auto" w:fill="auto"/>
            <w:tcMar>
              <w:top w:w="80" w:type="dxa"/>
              <w:left w:w="80" w:type="dxa"/>
              <w:bottom w:w="80" w:type="dxa"/>
              <w:right w:w="80" w:type="dxa"/>
            </w:tcMar>
          </w:tcPr>
          <w:p w14:paraId="797962FD" w14:textId="6887A8D2"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rPr>
              <w:t>58/525 (11.1)</w:t>
            </w:r>
          </w:p>
        </w:tc>
        <w:tc>
          <w:tcPr>
            <w:tcW w:w="1457" w:type="dxa"/>
            <w:shd w:val="clear" w:color="auto" w:fill="auto"/>
            <w:tcMar>
              <w:top w:w="80" w:type="dxa"/>
              <w:left w:w="80" w:type="dxa"/>
              <w:bottom w:w="80" w:type="dxa"/>
              <w:right w:w="80" w:type="dxa"/>
            </w:tcMar>
          </w:tcPr>
          <w:p w14:paraId="40D76F22" w14:textId="23047195"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25/203 (12.3)</w:t>
            </w:r>
          </w:p>
        </w:tc>
        <w:tc>
          <w:tcPr>
            <w:tcW w:w="1456" w:type="dxa"/>
            <w:shd w:val="clear" w:color="auto" w:fill="auto"/>
            <w:tcMar>
              <w:top w:w="80" w:type="dxa"/>
              <w:left w:w="80" w:type="dxa"/>
              <w:bottom w:w="80" w:type="dxa"/>
              <w:right w:w="80" w:type="dxa"/>
            </w:tcMar>
          </w:tcPr>
          <w:p w14:paraId="23CF427F" w14:textId="3EEB2ED1"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7/203 (3.4)</w:t>
            </w:r>
          </w:p>
        </w:tc>
        <w:tc>
          <w:tcPr>
            <w:tcW w:w="1457" w:type="dxa"/>
            <w:shd w:val="clear" w:color="auto" w:fill="auto"/>
            <w:tcMar>
              <w:top w:w="80" w:type="dxa"/>
              <w:left w:w="80" w:type="dxa"/>
              <w:bottom w:w="80" w:type="dxa"/>
              <w:right w:w="80" w:type="dxa"/>
            </w:tcMar>
          </w:tcPr>
          <w:p w14:paraId="6136BF20" w14:textId="5F6FE2AA"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9/145 (6.2)</w:t>
            </w:r>
          </w:p>
        </w:tc>
        <w:tc>
          <w:tcPr>
            <w:tcW w:w="1457" w:type="dxa"/>
            <w:shd w:val="clear" w:color="auto" w:fill="auto"/>
            <w:tcMar>
              <w:top w:w="80" w:type="dxa"/>
              <w:left w:w="80" w:type="dxa"/>
              <w:bottom w:w="80" w:type="dxa"/>
              <w:right w:w="80" w:type="dxa"/>
            </w:tcMar>
          </w:tcPr>
          <w:p w14:paraId="0C4F2949" w14:textId="62576C52"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7/142 (4.9)</w:t>
            </w:r>
          </w:p>
        </w:tc>
        <w:tc>
          <w:tcPr>
            <w:tcW w:w="1457" w:type="dxa"/>
            <w:shd w:val="clear" w:color="auto" w:fill="auto"/>
            <w:tcMar>
              <w:top w:w="80" w:type="dxa"/>
              <w:left w:w="80" w:type="dxa"/>
              <w:bottom w:w="80" w:type="dxa"/>
              <w:right w:w="80" w:type="dxa"/>
            </w:tcMar>
          </w:tcPr>
          <w:p w14:paraId="53EF9642" w14:textId="4EE37A74"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52/576 (9)</w:t>
            </w:r>
          </w:p>
        </w:tc>
        <w:tc>
          <w:tcPr>
            <w:tcW w:w="1457" w:type="dxa"/>
            <w:shd w:val="clear" w:color="auto" w:fill="auto"/>
            <w:tcMar>
              <w:top w:w="80" w:type="dxa"/>
              <w:left w:w="80" w:type="dxa"/>
              <w:bottom w:w="80" w:type="dxa"/>
              <w:right w:w="80" w:type="dxa"/>
            </w:tcMar>
          </w:tcPr>
          <w:p w14:paraId="2964396B" w14:textId="07DD86DD"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35/579 (6.0)</w:t>
            </w:r>
          </w:p>
        </w:tc>
      </w:tr>
      <w:tr w:rsidR="00B11C04" w:rsidRPr="0037251D" w14:paraId="2D28F716" w14:textId="77777777" w:rsidTr="000B5AAD">
        <w:trPr>
          <w:trHeight w:val="250"/>
        </w:trPr>
        <w:tc>
          <w:tcPr>
            <w:tcW w:w="1465" w:type="dxa"/>
            <w:tcBorders>
              <w:bottom w:val="single" w:sz="4" w:space="0" w:color="auto"/>
            </w:tcBorders>
            <w:shd w:val="clear" w:color="auto" w:fill="auto"/>
            <w:tcMar>
              <w:top w:w="80" w:type="dxa"/>
              <w:left w:w="80" w:type="dxa"/>
              <w:bottom w:w="80" w:type="dxa"/>
              <w:right w:w="80" w:type="dxa"/>
            </w:tcMar>
          </w:tcPr>
          <w:p w14:paraId="42D29478" w14:textId="588B9424"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HR (95%CI) for CRNMB</w:t>
            </w:r>
          </w:p>
        </w:tc>
        <w:tc>
          <w:tcPr>
            <w:tcW w:w="2914" w:type="dxa"/>
            <w:gridSpan w:val="2"/>
            <w:tcBorders>
              <w:bottom w:val="single" w:sz="4" w:space="0" w:color="auto"/>
            </w:tcBorders>
            <w:shd w:val="clear" w:color="auto" w:fill="auto"/>
            <w:tcMar>
              <w:top w:w="80" w:type="dxa"/>
              <w:left w:w="80" w:type="dxa"/>
              <w:bottom w:w="80" w:type="dxa"/>
              <w:right w:w="80" w:type="dxa"/>
            </w:tcMar>
          </w:tcPr>
          <w:p w14:paraId="2396A832" w14:textId="24FC563E"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1.38 (0.98-1.94)</w:t>
            </w:r>
          </w:p>
        </w:tc>
        <w:tc>
          <w:tcPr>
            <w:tcW w:w="2913" w:type="dxa"/>
            <w:gridSpan w:val="2"/>
            <w:tcBorders>
              <w:bottom w:val="single" w:sz="4" w:space="0" w:color="auto"/>
            </w:tcBorders>
            <w:shd w:val="clear" w:color="auto" w:fill="auto"/>
            <w:tcMar>
              <w:top w:w="80" w:type="dxa"/>
              <w:left w:w="80" w:type="dxa"/>
              <w:bottom w:w="80" w:type="dxa"/>
              <w:right w:w="80" w:type="dxa"/>
            </w:tcMar>
          </w:tcPr>
          <w:p w14:paraId="65BF4F84" w14:textId="3766C623"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3.76 (1.63-8.69)</w:t>
            </w:r>
          </w:p>
        </w:tc>
        <w:tc>
          <w:tcPr>
            <w:tcW w:w="2914" w:type="dxa"/>
            <w:gridSpan w:val="2"/>
            <w:tcBorders>
              <w:bottom w:val="single" w:sz="4" w:space="0" w:color="auto"/>
            </w:tcBorders>
            <w:shd w:val="clear" w:color="auto" w:fill="auto"/>
            <w:tcMar>
              <w:top w:w="80" w:type="dxa"/>
              <w:left w:w="80" w:type="dxa"/>
              <w:bottom w:w="80" w:type="dxa"/>
              <w:right w:w="80" w:type="dxa"/>
            </w:tcMar>
          </w:tcPr>
          <w:p w14:paraId="775A747C" w14:textId="047DD1B9"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 xml:space="preserve">0.931 (0.43-2.02), </w:t>
            </w:r>
            <w:r w:rsidRPr="0037251D">
              <w:rPr>
                <w:rFonts w:ascii="Book Antiqua" w:hAnsi="Book Antiqua"/>
                <w:i/>
                <w:iCs/>
                <w:color w:val="000000"/>
                <w:u w:color="000000"/>
                <w:lang w:val="en-US"/>
              </w:rPr>
              <w:t xml:space="preserve">P </w:t>
            </w:r>
            <w:r w:rsidRPr="0037251D">
              <w:rPr>
                <w:rFonts w:ascii="Book Antiqua" w:hAnsi="Book Antiqua"/>
                <w:color w:val="000000"/>
                <w:u w:color="000000"/>
                <w:lang w:val="en-US"/>
              </w:rPr>
              <w:t>= 0.88</w:t>
            </w:r>
          </w:p>
        </w:tc>
        <w:tc>
          <w:tcPr>
            <w:tcW w:w="2914" w:type="dxa"/>
            <w:gridSpan w:val="2"/>
            <w:tcBorders>
              <w:bottom w:val="single" w:sz="4" w:space="0" w:color="auto"/>
            </w:tcBorders>
            <w:shd w:val="clear" w:color="auto" w:fill="auto"/>
            <w:tcMar>
              <w:top w:w="80" w:type="dxa"/>
              <w:left w:w="80" w:type="dxa"/>
              <w:bottom w:w="80" w:type="dxa"/>
              <w:right w:w="80" w:type="dxa"/>
            </w:tcMar>
          </w:tcPr>
          <w:p w14:paraId="6433AAB6" w14:textId="511FA9D1" w:rsidR="00B11C04" w:rsidRPr="0037251D" w:rsidRDefault="00B11C04" w:rsidP="00B11C04">
            <w:pPr>
              <w:spacing w:line="360" w:lineRule="auto"/>
              <w:jc w:val="both"/>
              <w:rPr>
                <w:rFonts w:ascii="Book Antiqua" w:hAnsi="Book Antiqua"/>
                <w:color w:val="000000"/>
                <w:u w:color="000000"/>
                <w:lang w:val="en-US"/>
              </w:rPr>
            </w:pPr>
            <w:r w:rsidRPr="0037251D">
              <w:rPr>
                <w:rFonts w:ascii="Book Antiqua" w:hAnsi="Book Antiqua"/>
                <w:color w:val="000000"/>
                <w:u w:color="000000"/>
                <w:lang w:val="en-US"/>
              </w:rPr>
              <w:t>1.42 (0.88-2.30)</w:t>
            </w:r>
          </w:p>
        </w:tc>
      </w:tr>
    </w:tbl>
    <w:p w14:paraId="4C44958C" w14:textId="6A2AEB55" w:rsidR="00A74004" w:rsidRDefault="00B11C04">
      <w:pPr>
        <w:spacing w:line="360" w:lineRule="auto"/>
        <w:jc w:val="both"/>
        <w:rPr>
          <w:rFonts w:ascii="Book Antiqua" w:eastAsia="Book Antiqua" w:hAnsi="Book Antiqua" w:cs="Book Antiqua"/>
          <w:color w:val="000000"/>
        </w:rPr>
      </w:pPr>
      <w:r w:rsidRPr="0037251D">
        <w:rPr>
          <w:rFonts w:ascii="Book Antiqua" w:hAnsi="Book Antiqua"/>
          <w:lang w:eastAsia="zh-CN"/>
        </w:rPr>
        <w:lastRenderedPageBreak/>
        <w:t xml:space="preserve">DVT: Deep vein thrombosis; PE: Pulmonary embolism; VTE: Venous thromboembolism; CI: Confidence interval; CRNMB: Clinically relevant non-major bleeding; HR: Hazard ratio; </w:t>
      </w:r>
      <w:r w:rsidRPr="0037251D">
        <w:rPr>
          <w:rFonts w:ascii="Book Antiqua" w:eastAsia="Book Antiqua" w:hAnsi="Book Antiqua" w:cs="Book Antiqua"/>
          <w:color w:val="000000"/>
        </w:rPr>
        <w:t>LMWH: Low-molecular-weight heparin</w:t>
      </w:r>
      <w:r w:rsidR="004569E8" w:rsidRPr="0037251D">
        <w:rPr>
          <w:rFonts w:ascii="Book Antiqua" w:eastAsia="Book Antiqua" w:hAnsi="Book Antiqua" w:cs="Book Antiqua"/>
          <w:color w:val="000000"/>
        </w:rPr>
        <w:t>.</w:t>
      </w:r>
    </w:p>
    <w:p w14:paraId="0B93078E" w14:textId="77777777" w:rsidR="00A74004" w:rsidRDefault="00A74004">
      <w:pPr>
        <w:rPr>
          <w:rFonts w:ascii="Book Antiqua" w:eastAsia="Book Antiqua" w:hAnsi="Book Antiqua" w:cs="Book Antiqua"/>
          <w:color w:val="000000"/>
        </w:rPr>
      </w:pPr>
      <w:r>
        <w:rPr>
          <w:rFonts w:ascii="Book Antiqua" w:eastAsia="Book Antiqua" w:hAnsi="Book Antiqua" w:cs="Book Antiqua"/>
          <w:color w:val="000000"/>
        </w:rPr>
        <w:br w:type="page"/>
      </w:r>
    </w:p>
    <w:p w14:paraId="07E44FF5" w14:textId="77777777" w:rsidR="00A74004" w:rsidRDefault="00A74004" w:rsidP="00A74004">
      <w:pPr>
        <w:ind w:leftChars="100" w:left="240"/>
        <w:jc w:val="center"/>
        <w:rPr>
          <w:rFonts w:ascii="Book Antiqua" w:hAnsi="Book Antiqua"/>
          <w:lang w:eastAsia="zh-CN"/>
        </w:rPr>
      </w:pPr>
    </w:p>
    <w:p w14:paraId="5CDC178F" w14:textId="77777777" w:rsidR="00A74004" w:rsidRDefault="00A74004" w:rsidP="00A74004">
      <w:pPr>
        <w:ind w:leftChars="100" w:left="240"/>
        <w:jc w:val="center"/>
        <w:rPr>
          <w:rFonts w:ascii="Book Antiqua" w:hAnsi="Book Antiqua"/>
          <w:lang w:eastAsia="zh-CN"/>
        </w:rPr>
      </w:pPr>
    </w:p>
    <w:p w14:paraId="0280BF14" w14:textId="77777777" w:rsidR="00A74004" w:rsidRDefault="00A74004" w:rsidP="00A74004">
      <w:pPr>
        <w:ind w:leftChars="100" w:left="240"/>
        <w:jc w:val="center"/>
        <w:rPr>
          <w:rFonts w:ascii="Book Antiqua" w:hAnsi="Book Antiqua"/>
          <w:lang w:eastAsia="zh-CN"/>
        </w:rPr>
      </w:pPr>
    </w:p>
    <w:p w14:paraId="202F1046" w14:textId="77777777" w:rsidR="00A74004" w:rsidRDefault="00A74004" w:rsidP="00A74004">
      <w:pPr>
        <w:ind w:leftChars="100" w:left="240"/>
        <w:jc w:val="center"/>
        <w:rPr>
          <w:rFonts w:ascii="Book Antiqua" w:hAnsi="Book Antiqua"/>
          <w:lang w:eastAsia="zh-CN"/>
        </w:rPr>
      </w:pPr>
    </w:p>
    <w:p w14:paraId="48901523" w14:textId="77777777" w:rsidR="00A74004" w:rsidRDefault="00A74004" w:rsidP="00A74004">
      <w:pPr>
        <w:ind w:leftChars="100" w:left="240"/>
        <w:jc w:val="center"/>
        <w:rPr>
          <w:rFonts w:ascii="Book Antiqua" w:hAnsi="Book Antiqua"/>
          <w:lang w:eastAsia="zh-CN"/>
        </w:rPr>
      </w:pPr>
      <w:r>
        <w:rPr>
          <w:rFonts w:ascii="Book Antiqua" w:hAnsi="Book Antiqua"/>
          <w:noProof/>
          <w:lang w:eastAsia="zh-CN"/>
        </w:rPr>
        <w:drawing>
          <wp:inline distT="0" distB="0" distL="0" distR="0" wp14:anchorId="0746FA83" wp14:editId="49051E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87CA09" w14:textId="77777777" w:rsidR="00A74004" w:rsidRDefault="00A74004" w:rsidP="00A74004">
      <w:pPr>
        <w:ind w:leftChars="100" w:left="240"/>
        <w:jc w:val="center"/>
        <w:rPr>
          <w:rFonts w:ascii="Book Antiqua" w:hAnsi="Book Antiqua"/>
          <w:lang w:eastAsia="zh-CN"/>
        </w:rPr>
      </w:pPr>
    </w:p>
    <w:p w14:paraId="265EB1CF" w14:textId="77777777" w:rsidR="00A74004" w:rsidRPr="00763D22" w:rsidRDefault="00A74004" w:rsidP="00A7400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9D81351" w14:textId="77777777" w:rsidR="00A74004" w:rsidRPr="00763D22" w:rsidRDefault="00A74004" w:rsidP="00A7400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69B7FC" w14:textId="77777777" w:rsidR="00A74004" w:rsidRPr="00763D22" w:rsidRDefault="00A74004" w:rsidP="00A7400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C402CF" w14:textId="77777777" w:rsidR="00A74004" w:rsidRPr="00763D22" w:rsidRDefault="00A74004" w:rsidP="00A7400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DAC84E2" w14:textId="77777777" w:rsidR="00A74004" w:rsidRPr="00763D22" w:rsidRDefault="00A74004" w:rsidP="00A7400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72A918" w14:textId="77777777" w:rsidR="00A74004" w:rsidRPr="00763D22" w:rsidRDefault="00A74004" w:rsidP="00A7400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FCDD323" w14:textId="77777777" w:rsidR="00A74004" w:rsidRDefault="00A74004" w:rsidP="00A74004">
      <w:pPr>
        <w:ind w:leftChars="100" w:left="240"/>
        <w:jc w:val="center"/>
        <w:rPr>
          <w:rFonts w:ascii="Book Antiqua" w:hAnsi="Book Antiqua"/>
          <w:lang w:eastAsia="zh-CN"/>
        </w:rPr>
      </w:pPr>
    </w:p>
    <w:p w14:paraId="0629C241" w14:textId="77777777" w:rsidR="00A74004" w:rsidRDefault="00A74004" w:rsidP="00A74004">
      <w:pPr>
        <w:ind w:leftChars="100" w:left="240"/>
        <w:jc w:val="center"/>
        <w:rPr>
          <w:rFonts w:ascii="Book Antiqua" w:hAnsi="Book Antiqua"/>
          <w:lang w:eastAsia="zh-CN"/>
        </w:rPr>
      </w:pPr>
    </w:p>
    <w:p w14:paraId="0B0DF79B" w14:textId="77777777" w:rsidR="00A74004" w:rsidRDefault="00A74004" w:rsidP="00A74004">
      <w:pPr>
        <w:ind w:leftChars="100" w:left="240"/>
        <w:jc w:val="center"/>
        <w:rPr>
          <w:rFonts w:ascii="Book Antiqua" w:hAnsi="Book Antiqua"/>
          <w:lang w:eastAsia="zh-CN"/>
        </w:rPr>
      </w:pPr>
    </w:p>
    <w:p w14:paraId="31E0AD6E" w14:textId="77777777" w:rsidR="00A74004" w:rsidRDefault="00A74004" w:rsidP="00A74004">
      <w:pPr>
        <w:ind w:leftChars="100" w:left="240"/>
        <w:jc w:val="center"/>
        <w:rPr>
          <w:rFonts w:ascii="Book Antiqua" w:hAnsi="Book Antiqua"/>
          <w:lang w:eastAsia="zh-CN"/>
        </w:rPr>
      </w:pPr>
      <w:r>
        <w:rPr>
          <w:rFonts w:ascii="Book Antiqua" w:hAnsi="Book Antiqua"/>
          <w:noProof/>
          <w:lang w:eastAsia="zh-CN"/>
        </w:rPr>
        <w:drawing>
          <wp:inline distT="0" distB="0" distL="0" distR="0" wp14:anchorId="6473B776" wp14:editId="465208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6A30AD" w14:textId="77777777" w:rsidR="00A74004" w:rsidRDefault="00A74004" w:rsidP="00A74004">
      <w:pPr>
        <w:ind w:leftChars="100" w:left="240"/>
        <w:jc w:val="center"/>
        <w:rPr>
          <w:rFonts w:ascii="Book Antiqua" w:hAnsi="Book Antiqua"/>
          <w:lang w:eastAsia="zh-CN"/>
        </w:rPr>
      </w:pPr>
    </w:p>
    <w:p w14:paraId="6BDA1CE9" w14:textId="77777777" w:rsidR="00A74004" w:rsidRDefault="00A74004" w:rsidP="00A74004">
      <w:pPr>
        <w:ind w:leftChars="100" w:left="240"/>
        <w:jc w:val="center"/>
        <w:rPr>
          <w:rFonts w:ascii="Book Antiqua" w:hAnsi="Book Antiqua"/>
          <w:lang w:eastAsia="zh-CN"/>
        </w:rPr>
      </w:pPr>
    </w:p>
    <w:p w14:paraId="2993FC19" w14:textId="77777777" w:rsidR="00A74004" w:rsidRDefault="00A74004" w:rsidP="00A74004">
      <w:pPr>
        <w:ind w:leftChars="100" w:left="240"/>
        <w:jc w:val="center"/>
        <w:rPr>
          <w:rFonts w:ascii="Book Antiqua" w:hAnsi="Book Antiqua"/>
          <w:lang w:eastAsia="zh-CN"/>
        </w:rPr>
      </w:pPr>
    </w:p>
    <w:p w14:paraId="2D3B22D3" w14:textId="77777777" w:rsidR="00A74004" w:rsidRDefault="00A74004" w:rsidP="00A74004">
      <w:pPr>
        <w:ind w:leftChars="100" w:left="240"/>
        <w:jc w:val="center"/>
        <w:rPr>
          <w:rFonts w:ascii="Book Antiqua" w:hAnsi="Book Antiqua"/>
          <w:lang w:eastAsia="zh-CN"/>
        </w:rPr>
      </w:pPr>
    </w:p>
    <w:p w14:paraId="50B3C707" w14:textId="77777777" w:rsidR="00A74004" w:rsidRDefault="00A74004" w:rsidP="00A74004">
      <w:pPr>
        <w:ind w:leftChars="100" w:left="240"/>
        <w:jc w:val="center"/>
        <w:rPr>
          <w:rFonts w:ascii="Book Antiqua" w:hAnsi="Book Antiqua"/>
          <w:lang w:eastAsia="zh-CN"/>
        </w:rPr>
      </w:pPr>
    </w:p>
    <w:p w14:paraId="1BE7313C" w14:textId="77777777" w:rsidR="00A74004" w:rsidRDefault="00A74004" w:rsidP="00A74004">
      <w:pPr>
        <w:ind w:leftChars="100" w:left="240"/>
        <w:jc w:val="center"/>
        <w:rPr>
          <w:rFonts w:ascii="Book Antiqua" w:hAnsi="Book Antiqua"/>
          <w:lang w:eastAsia="zh-CN"/>
        </w:rPr>
      </w:pPr>
    </w:p>
    <w:p w14:paraId="0F588E89" w14:textId="77777777" w:rsidR="00A74004" w:rsidRDefault="00A74004" w:rsidP="00A74004">
      <w:pPr>
        <w:ind w:leftChars="100" w:left="240"/>
        <w:jc w:val="center"/>
        <w:rPr>
          <w:rFonts w:ascii="Book Antiqua" w:hAnsi="Book Antiqua"/>
          <w:lang w:eastAsia="zh-CN"/>
        </w:rPr>
      </w:pPr>
    </w:p>
    <w:p w14:paraId="5360D909" w14:textId="77777777" w:rsidR="00A74004" w:rsidRDefault="00A74004" w:rsidP="00A74004">
      <w:pPr>
        <w:ind w:leftChars="100" w:left="240"/>
        <w:jc w:val="center"/>
        <w:rPr>
          <w:rFonts w:ascii="Book Antiqua" w:hAnsi="Book Antiqua"/>
          <w:lang w:eastAsia="zh-CN"/>
        </w:rPr>
      </w:pPr>
    </w:p>
    <w:p w14:paraId="4573221C" w14:textId="77777777" w:rsidR="00A74004" w:rsidRDefault="00A74004" w:rsidP="00A74004">
      <w:pPr>
        <w:ind w:leftChars="100" w:left="240"/>
        <w:jc w:val="center"/>
        <w:rPr>
          <w:rFonts w:ascii="Book Antiqua" w:hAnsi="Book Antiqua"/>
          <w:lang w:eastAsia="zh-CN"/>
        </w:rPr>
      </w:pPr>
    </w:p>
    <w:p w14:paraId="6CF05EF7" w14:textId="77777777" w:rsidR="00A74004" w:rsidRPr="00763D22" w:rsidRDefault="00A74004" w:rsidP="00A74004">
      <w:pPr>
        <w:ind w:leftChars="100" w:left="240"/>
        <w:jc w:val="right"/>
        <w:rPr>
          <w:rFonts w:ascii="Book Antiqua" w:hAnsi="Book Antiqua"/>
          <w:color w:val="000000" w:themeColor="text1"/>
          <w:lang w:eastAsia="zh-CN"/>
        </w:rPr>
      </w:pPr>
    </w:p>
    <w:p w14:paraId="5C781EEB" w14:textId="77777777" w:rsidR="00A74004" w:rsidRPr="00763D22" w:rsidRDefault="00A74004" w:rsidP="00A7400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0781784" w14:textId="77777777" w:rsidR="00B11C04" w:rsidRPr="00A74004" w:rsidRDefault="00B11C04">
      <w:pPr>
        <w:spacing w:line="360" w:lineRule="auto"/>
        <w:jc w:val="both"/>
        <w:rPr>
          <w:rFonts w:ascii="Book Antiqua" w:hAnsi="Book Antiqua"/>
          <w:lang w:eastAsia="zh-CN"/>
        </w:rPr>
      </w:pPr>
    </w:p>
    <w:sectPr w:rsidR="00B11C04" w:rsidRPr="00A74004" w:rsidSect="00A740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54379" w14:textId="77777777" w:rsidR="00FE6F8D" w:rsidRDefault="00FE6F8D" w:rsidP="00BD2B1A">
      <w:r>
        <w:separator/>
      </w:r>
    </w:p>
  </w:endnote>
  <w:endnote w:type="continuationSeparator" w:id="0">
    <w:p w14:paraId="33833E73" w14:textId="77777777" w:rsidR="00FE6F8D" w:rsidRDefault="00FE6F8D" w:rsidP="00BD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0736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B7001A3" w14:textId="4F7D4908" w:rsidR="000B5AAD" w:rsidRPr="00BD2B1A" w:rsidRDefault="000B5AAD" w:rsidP="00BD2B1A">
            <w:pPr>
              <w:pStyle w:val="a8"/>
              <w:jc w:val="right"/>
              <w:rPr>
                <w:rFonts w:ascii="Book Antiqua" w:hAnsi="Book Antiqua"/>
                <w:sz w:val="24"/>
                <w:szCs w:val="24"/>
              </w:rPr>
            </w:pPr>
            <w:r w:rsidRPr="00BD2B1A">
              <w:rPr>
                <w:rFonts w:ascii="Book Antiqua" w:hAnsi="Book Antiqua"/>
                <w:sz w:val="24"/>
                <w:szCs w:val="24"/>
                <w:lang w:val="zh-CN" w:eastAsia="zh-CN"/>
              </w:rPr>
              <w:t xml:space="preserve"> </w:t>
            </w:r>
            <w:r w:rsidRPr="00BD2B1A">
              <w:rPr>
                <w:rFonts w:ascii="Book Antiqua" w:hAnsi="Book Antiqua"/>
                <w:sz w:val="24"/>
                <w:szCs w:val="24"/>
              </w:rPr>
              <w:fldChar w:fldCharType="begin"/>
            </w:r>
            <w:r w:rsidRPr="00BD2B1A">
              <w:rPr>
                <w:rFonts w:ascii="Book Antiqua" w:hAnsi="Book Antiqua"/>
                <w:sz w:val="24"/>
                <w:szCs w:val="24"/>
              </w:rPr>
              <w:instrText>PAGE</w:instrText>
            </w:r>
            <w:r w:rsidRPr="00BD2B1A">
              <w:rPr>
                <w:rFonts w:ascii="Book Antiqua" w:hAnsi="Book Antiqua"/>
                <w:sz w:val="24"/>
                <w:szCs w:val="24"/>
              </w:rPr>
              <w:fldChar w:fldCharType="separate"/>
            </w:r>
            <w:r w:rsidR="00D959CD">
              <w:rPr>
                <w:rFonts w:ascii="Book Antiqua" w:hAnsi="Book Antiqua"/>
                <w:noProof/>
                <w:sz w:val="24"/>
                <w:szCs w:val="24"/>
              </w:rPr>
              <w:t>4</w:t>
            </w:r>
            <w:r w:rsidRPr="00BD2B1A">
              <w:rPr>
                <w:rFonts w:ascii="Book Antiqua" w:hAnsi="Book Antiqua"/>
                <w:sz w:val="24"/>
                <w:szCs w:val="24"/>
              </w:rPr>
              <w:fldChar w:fldCharType="end"/>
            </w:r>
            <w:r w:rsidRPr="00BD2B1A">
              <w:rPr>
                <w:rFonts w:ascii="Book Antiqua" w:hAnsi="Book Antiqua"/>
                <w:sz w:val="24"/>
                <w:szCs w:val="24"/>
                <w:lang w:val="zh-CN" w:eastAsia="zh-CN"/>
              </w:rPr>
              <w:t xml:space="preserve"> / </w:t>
            </w:r>
            <w:r w:rsidRPr="00BD2B1A">
              <w:rPr>
                <w:rFonts w:ascii="Book Antiqua" w:hAnsi="Book Antiqua"/>
                <w:sz w:val="24"/>
                <w:szCs w:val="24"/>
              </w:rPr>
              <w:fldChar w:fldCharType="begin"/>
            </w:r>
            <w:r w:rsidRPr="00BD2B1A">
              <w:rPr>
                <w:rFonts w:ascii="Book Antiqua" w:hAnsi="Book Antiqua"/>
                <w:sz w:val="24"/>
                <w:szCs w:val="24"/>
              </w:rPr>
              <w:instrText>NUMPAGES</w:instrText>
            </w:r>
            <w:r w:rsidRPr="00BD2B1A">
              <w:rPr>
                <w:rFonts w:ascii="Book Antiqua" w:hAnsi="Book Antiqua"/>
                <w:sz w:val="24"/>
                <w:szCs w:val="24"/>
              </w:rPr>
              <w:fldChar w:fldCharType="separate"/>
            </w:r>
            <w:r w:rsidR="00D959CD">
              <w:rPr>
                <w:rFonts w:ascii="Book Antiqua" w:hAnsi="Book Antiqua"/>
                <w:noProof/>
                <w:sz w:val="24"/>
                <w:szCs w:val="24"/>
              </w:rPr>
              <w:t>46</w:t>
            </w:r>
            <w:r w:rsidRPr="00BD2B1A">
              <w:rPr>
                <w:rFonts w:ascii="Book Antiqua" w:hAnsi="Book Antiqua"/>
                <w:sz w:val="24"/>
                <w:szCs w:val="24"/>
              </w:rPr>
              <w:fldChar w:fldCharType="end"/>
            </w:r>
          </w:p>
        </w:sdtContent>
      </w:sdt>
    </w:sdtContent>
  </w:sdt>
  <w:p w14:paraId="4F82C27A" w14:textId="77777777" w:rsidR="000B5AAD" w:rsidRPr="00BD2B1A" w:rsidRDefault="000B5AAD" w:rsidP="00BD2B1A">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A91C6" w14:textId="77777777" w:rsidR="00FE6F8D" w:rsidRDefault="00FE6F8D" w:rsidP="00BD2B1A">
      <w:r>
        <w:separator/>
      </w:r>
    </w:p>
  </w:footnote>
  <w:footnote w:type="continuationSeparator" w:id="0">
    <w:p w14:paraId="49A03FF2" w14:textId="77777777" w:rsidR="00FE6F8D" w:rsidRDefault="00FE6F8D" w:rsidP="00BD2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5AAD"/>
    <w:rsid w:val="001102B2"/>
    <w:rsid w:val="00115A81"/>
    <w:rsid w:val="00152CDE"/>
    <w:rsid w:val="00172A9A"/>
    <w:rsid w:val="001C0DD7"/>
    <w:rsid w:val="001E43BE"/>
    <w:rsid w:val="00206015"/>
    <w:rsid w:val="00244179"/>
    <w:rsid w:val="002A0E0E"/>
    <w:rsid w:val="0033094D"/>
    <w:rsid w:val="00343E5A"/>
    <w:rsid w:val="0037251D"/>
    <w:rsid w:val="003C1737"/>
    <w:rsid w:val="0040107B"/>
    <w:rsid w:val="004143B5"/>
    <w:rsid w:val="004569E8"/>
    <w:rsid w:val="00464A62"/>
    <w:rsid w:val="00557FDB"/>
    <w:rsid w:val="00571EC8"/>
    <w:rsid w:val="005B3662"/>
    <w:rsid w:val="005C3770"/>
    <w:rsid w:val="006C2C0B"/>
    <w:rsid w:val="00721B8F"/>
    <w:rsid w:val="00722F71"/>
    <w:rsid w:val="0076114C"/>
    <w:rsid w:val="0079521A"/>
    <w:rsid w:val="00796C40"/>
    <w:rsid w:val="00806CFD"/>
    <w:rsid w:val="008404AF"/>
    <w:rsid w:val="00A01E11"/>
    <w:rsid w:val="00A17E53"/>
    <w:rsid w:val="00A359DF"/>
    <w:rsid w:val="00A74004"/>
    <w:rsid w:val="00A77B3E"/>
    <w:rsid w:val="00A963F8"/>
    <w:rsid w:val="00B014CF"/>
    <w:rsid w:val="00B04F06"/>
    <w:rsid w:val="00B11C04"/>
    <w:rsid w:val="00BD2B1A"/>
    <w:rsid w:val="00C42A1A"/>
    <w:rsid w:val="00C64669"/>
    <w:rsid w:val="00CA2A55"/>
    <w:rsid w:val="00CA7D8A"/>
    <w:rsid w:val="00CB41FA"/>
    <w:rsid w:val="00D30AC8"/>
    <w:rsid w:val="00D414D9"/>
    <w:rsid w:val="00D959CD"/>
    <w:rsid w:val="00DA4D49"/>
    <w:rsid w:val="00E05C39"/>
    <w:rsid w:val="00E44C7D"/>
    <w:rsid w:val="00FE6F8D"/>
    <w:rsid w:val="00FF1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character" w:customStyle="1" w:styleId="Policepardfaut2">
    <w:name w:val="Policepardfaut2"/>
    <w:basedOn w:val="a0"/>
  </w:style>
  <w:style w:type="character" w:customStyle="1" w:styleId="st">
    <w:name w:val="st"/>
    <w:basedOn w:val="a0"/>
  </w:style>
  <w:style w:type="character" w:customStyle="1" w:styleId="highlight">
    <w:name w:val="highlight"/>
    <w:basedOn w:val="a0"/>
  </w:style>
  <w:style w:type="character" w:styleId="a3">
    <w:name w:val="annotation reference"/>
    <w:basedOn w:val="a0"/>
    <w:semiHidden/>
    <w:unhideWhenUsed/>
    <w:rsid w:val="00172A9A"/>
    <w:rPr>
      <w:sz w:val="21"/>
      <w:szCs w:val="21"/>
    </w:rPr>
  </w:style>
  <w:style w:type="paragraph" w:styleId="a4">
    <w:name w:val="annotation text"/>
    <w:basedOn w:val="a"/>
    <w:link w:val="Char"/>
    <w:semiHidden/>
    <w:unhideWhenUsed/>
    <w:rsid w:val="00172A9A"/>
  </w:style>
  <w:style w:type="character" w:customStyle="1" w:styleId="Char">
    <w:name w:val="批注文字 Char"/>
    <w:basedOn w:val="a0"/>
    <w:link w:val="a4"/>
    <w:semiHidden/>
    <w:rsid w:val="00172A9A"/>
    <w:rPr>
      <w:sz w:val="24"/>
      <w:szCs w:val="24"/>
    </w:rPr>
  </w:style>
  <w:style w:type="paragraph" w:styleId="a5">
    <w:name w:val="annotation subject"/>
    <w:basedOn w:val="a4"/>
    <w:next w:val="a4"/>
    <w:link w:val="Char0"/>
    <w:semiHidden/>
    <w:unhideWhenUsed/>
    <w:rsid w:val="00172A9A"/>
    <w:rPr>
      <w:b/>
      <w:bCs/>
    </w:rPr>
  </w:style>
  <w:style w:type="character" w:customStyle="1" w:styleId="Char0">
    <w:name w:val="批注主题 Char"/>
    <w:basedOn w:val="Char"/>
    <w:link w:val="a5"/>
    <w:semiHidden/>
    <w:rsid w:val="00172A9A"/>
    <w:rPr>
      <w:b/>
      <w:bCs/>
      <w:sz w:val="24"/>
      <w:szCs w:val="24"/>
    </w:rPr>
  </w:style>
  <w:style w:type="table" w:styleId="a6">
    <w:name w:val="Table Grid"/>
    <w:basedOn w:val="a1"/>
    <w:uiPriority w:val="39"/>
    <w:rsid w:val="00CB41FA"/>
    <w:rPr>
      <w:rFonts w:ascii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B11C04"/>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styleId="a7">
    <w:name w:val="header"/>
    <w:basedOn w:val="a"/>
    <w:link w:val="Char1"/>
    <w:unhideWhenUsed/>
    <w:rsid w:val="00BD2B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D2B1A"/>
    <w:rPr>
      <w:sz w:val="18"/>
      <w:szCs w:val="18"/>
    </w:rPr>
  </w:style>
  <w:style w:type="paragraph" w:styleId="a8">
    <w:name w:val="footer"/>
    <w:basedOn w:val="a"/>
    <w:link w:val="Char2"/>
    <w:uiPriority w:val="99"/>
    <w:unhideWhenUsed/>
    <w:rsid w:val="00BD2B1A"/>
    <w:pPr>
      <w:tabs>
        <w:tab w:val="center" w:pos="4153"/>
        <w:tab w:val="right" w:pos="8306"/>
      </w:tabs>
      <w:snapToGrid w:val="0"/>
    </w:pPr>
    <w:rPr>
      <w:sz w:val="18"/>
      <w:szCs w:val="18"/>
    </w:rPr>
  </w:style>
  <w:style w:type="character" w:customStyle="1" w:styleId="Char2">
    <w:name w:val="页脚 Char"/>
    <w:basedOn w:val="a0"/>
    <w:link w:val="a8"/>
    <w:uiPriority w:val="99"/>
    <w:rsid w:val="00BD2B1A"/>
    <w:rPr>
      <w:sz w:val="18"/>
      <w:szCs w:val="18"/>
    </w:rPr>
  </w:style>
  <w:style w:type="paragraph" w:styleId="a9">
    <w:name w:val="Balloon Text"/>
    <w:basedOn w:val="a"/>
    <w:link w:val="Char3"/>
    <w:rsid w:val="002A0E0E"/>
    <w:rPr>
      <w:rFonts w:ascii="Tahoma" w:hAnsi="Tahoma" w:cs="Tahoma"/>
      <w:sz w:val="16"/>
      <w:szCs w:val="16"/>
    </w:rPr>
  </w:style>
  <w:style w:type="character" w:customStyle="1" w:styleId="Char3">
    <w:name w:val="批注框文本 Char"/>
    <w:basedOn w:val="a0"/>
    <w:link w:val="a9"/>
    <w:rsid w:val="002A0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character" w:customStyle="1" w:styleId="Policepardfaut2">
    <w:name w:val="Policepardfaut2"/>
    <w:basedOn w:val="a0"/>
  </w:style>
  <w:style w:type="character" w:customStyle="1" w:styleId="st">
    <w:name w:val="st"/>
    <w:basedOn w:val="a0"/>
  </w:style>
  <w:style w:type="character" w:customStyle="1" w:styleId="highlight">
    <w:name w:val="highlight"/>
    <w:basedOn w:val="a0"/>
  </w:style>
  <w:style w:type="character" w:styleId="a3">
    <w:name w:val="annotation reference"/>
    <w:basedOn w:val="a0"/>
    <w:semiHidden/>
    <w:unhideWhenUsed/>
    <w:rsid w:val="00172A9A"/>
    <w:rPr>
      <w:sz w:val="21"/>
      <w:szCs w:val="21"/>
    </w:rPr>
  </w:style>
  <w:style w:type="paragraph" w:styleId="a4">
    <w:name w:val="annotation text"/>
    <w:basedOn w:val="a"/>
    <w:link w:val="Char"/>
    <w:semiHidden/>
    <w:unhideWhenUsed/>
    <w:rsid w:val="00172A9A"/>
  </w:style>
  <w:style w:type="character" w:customStyle="1" w:styleId="Char">
    <w:name w:val="批注文字 Char"/>
    <w:basedOn w:val="a0"/>
    <w:link w:val="a4"/>
    <w:semiHidden/>
    <w:rsid w:val="00172A9A"/>
    <w:rPr>
      <w:sz w:val="24"/>
      <w:szCs w:val="24"/>
    </w:rPr>
  </w:style>
  <w:style w:type="paragraph" w:styleId="a5">
    <w:name w:val="annotation subject"/>
    <w:basedOn w:val="a4"/>
    <w:next w:val="a4"/>
    <w:link w:val="Char0"/>
    <w:semiHidden/>
    <w:unhideWhenUsed/>
    <w:rsid w:val="00172A9A"/>
    <w:rPr>
      <w:b/>
      <w:bCs/>
    </w:rPr>
  </w:style>
  <w:style w:type="character" w:customStyle="1" w:styleId="Char0">
    <w:name w:val="批注主题 Char"/>
    <w:basedOn w:val="Char"/>
    <w:link w:val="a5"/>
    <w:semiHidden/>
    <w:rsid w:val="00172A9A"/>
    <w:rPr>
      <w:b/>
      <w:bCs/>
      <w:sz w:val="24"/>
      <w:szCs w:val="24"/>
    </w:rPr>
  </w:style>
  <w:style w:type="table" w:styleId="a6">
    <w:name w:val="Table Grid"/>
    <w:basedOn w:val="a1"/>
    <w:uiPriority w:val="39"/>
    <w:rsid w:val="00CB41FA"/>
    <w:rPr>
      <w:rFonts w:ascii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B11C04"/>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styleId="a7">
    <w:name w:val="header"/>
    <w:basedOn w:val="a"/>
    <w:link w:val="Char1"/>
    <w:unhideWhenUsed/>
    <w:rsid w:val="00BD2B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D2B1A"/>
    <w:rPr>
      <w:sz w:val="18"/>
      <w:szCs w:val="18"/>
    </w:rPr>
  </w:style>
  <w:style w:type="paragraph" w:styleId="a8">
    <w:name w:val="footer"/>
    <w:basedOn w:val="a"/>
    <w:link w:val="Char2"/>
    <w:uiPriority w:val="99"/>
    <w:unhideWhenUsed/>
    <w:rsid w:val="00BD2B1A"/>
    <w:pPr>
      <w:tabs>
        <w:tab w:val="center" w:pos="4153"/>
        <w:tab w:val="right" w:pos="8306"/>
      </w:tabs>
      <w:snapToGrid w:val="0"/>
    </w:pPr>
    <w:rPr>
      <w:sz w:val="18"/>
      <w:szCs w:val="18"/>
    </w:rPr>
  </w:style>
  <w:style w:type="character" w:customStyle="1" w:styleId="Char2">
    <w:name w:val="页脚 Char"/>
    <w:basedOn w:val="a0"/>
    <w:link w:val="a8"/>
    <w:uiPriority w:val="99"/>
    <w:rsid w:val="00BD2B1A"/>
    <w:rPr>
      <w:sz w:val="18"/>
      <w:szCs w:val="18"/>
    </w:rPr>
  </w:style>
  <w:style w:type="paragraph" w:styleId="a9">
    <w:name w:val="Balloon Text"/>
    <w:basedOn w:val="a"/>
    <w:link w:val="Char3"/>
    <w:rsid w:val="002A0E0E"/>
    <w:rPr>
      <w:rFonts w:ascii="Tahoma" w:hAnsi="Tahoma" w:cs="Tahoma"/>
      <w:sz w:val="16"/>
      <w:szCs w:val="16"/>
    </w:rPr>
  </w:style>
  <w:style w:type="character" w:customStyle="1" w:styleId="Char3">
    <w:name w:val="批注框文本 Char"/>
    <w:basedOn w:val="a0"/>
    <w:link w:val="a9"/>
    <w:rsid w:val="002A0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46</Pages>
  <Words>9881</Words>
  <Characters>56326</Characters>
  <Application>Microsoft Office Word</Application>
  <DocSecurity>0</DocSecurity>
  <Lines>469</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66075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18</cp:revision>
  <cp:lastPrinted>2021-04-20T17:02:00Z</cp:lastPrinted>
  <dcterms:created xsi:type="dcterms:W3CDTF">2021-04-21T18:57:00Z</dcterms:created>
  <dcterms:modified xsi:type="dcterms:W3CDTF">2021-05-12T03:10:00Z</dcterms:modified>
</cp:coreProperties>
</file>