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2D9001"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olor w:val="000000"/>
        </w:rPr>
        <w:t xml:space="preserve">Name of Journal: </w:t>
      </w:r>
      <w:r w:rsidRPr="00B75401">
        <w:rPr>
          <w:rFonts w:ascii="Book Antiqua" w:eastAsia="Book Antiqua" w:hAnsi="Book Antiqua" w:cs="Book Antiqua"/>
          <w:i/>
          <w:color w:val="000000"/>
        </w:rPr>
        <w:t>World Journal of Gastroenterology</w:t>
      </w:r>
    </w:p>
    <w:p w14:paraId="30FA350B"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olor w:val="000000"/>
        </w:rPr>
        <w:t xml:space="preserve">Manuscript NO: </w:t>
      </w:r>
      <w:r w:rsidRPr="00B75401">
        <w:rPr>
          <w:rFonts w:ascii="Book Antiqua" w:eastAsia="Book Antiqua" w:hAnsi="Book Antiqua" w:cs="Book Antiqua"/>
          <w:color w:val="000000"/>
        </w:rPr>
        <w:t>63129</w:t>
      </w:r>
    </w:p>
    <w:p w14:paraId="09D1AB72"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olor w:val="000000"/>
        </w:rPr>
        <w:t xml:space="preserve">Manuscript Type: </w:t>
      </w:r>
      <w:r w:rsidRPr="00B75401">
        <w:rPr>
          <w:rFonts w:ascii="Book Antiqua" w:eastAsia="Book Antiqua" w:hAnsi="Book Antiqua" w:cs="Book Antiqua"/>
          <w:color w:val="000000"/>
        </w:rPr>
        <w:t>CASE REPORT</w:t>
      </w:r>
    </w:p>
    <w:p w14:paraId="4BAAF856" w14:textId="77777777" w:rsidR="00A77B3E" w:rsidRPr="00B75401" w:rsidRDefault="00A77B3E" w:rsidP="00B75401">
      <w:pPr>
        <w:adjustRightInd w:val="0"/>
        <w:snapToGrid w:val="0"/>
        <w:spacing w:line="360" w:lineRule="auto"/>
        <w:jc w:val="both"/>
        <w:rPr>
          <w:rFonts w:ascii="Book Antiqua" w:hAnsi="Book Antiqua"/>
        </w:rPr>
      </w:pPr>
    </w:p>
    <w:p w14:paraId="7905DB1C"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olor w:val="000000"/>
        </w:rPr>
        <w:t>Cyclophosphamide-associated enteritis presenting with severe protein-losing enteropathy in granulomatosis with polyangiitis: A case report</w:t>
      </w:r>
    </w:p>
    <w:p w14:paraId="70B3BDDA" w14:textId="77777777" w:rsidR="00A77B3E" w:rsidRPr="00B75401" w:rsidRDefault="00A77B3E" w:rsidP="00B75401">
      <w:pPr>
        <w:adjustRightInd w:val="0"/>
        <w:snapToGrid w:val="0"/>
        <w:spacing w:line="360" w:lineRule="auto"/>
        <w:jc w:val="both"/>
        <w:rPr>
          <w:rFonts w:ascii="Book Antiqua" w:hAnsi="Book Antiqua"/>
        </w:rPr>
      </w:pPr>
    </w:p>
    <w:p w14:paraId="3A8737A0" w14:textId="4729C1D3" w:rsidR="00A77B3E" w:rsidRPr="00B75401" w:rsidRDefault="00B8487C"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 xml:space="preserve">Sato H </w:t>
      </w:r>
      <w:r w:rsidRPr="00B75401">
        <w:rPr>
          <w:rFonts w:ascii="Book Antiqua" w:eastAsia="Book Antiqua" w:hAnsi="Book Antiqua" w:cs="Book Antiqua"/>
          <w:i/>
          <w:iCs/>
          <w:color w:val="000000"/>
        </w:rPr>
        <w:t>et al.</w:t>
      </w:r>
      <w:r w:rsidRPr="00B75401">
        <w:rPr>
          <w:rFonts w:ascii="Book Antiqua" w:eastAsia="Book Antiqua" w:hAnsi="Book Antiqua" w:cs="Book Antiqua"/>
          <w:color w:val="000000"/>
        </w:rPr>
        <w:t xml:space="preserve"> </w:t>
      </w:r>
      <w:r w:rsidR="004B3E4B" w:rsidRPr="00B75401">
        <w:rPr>
          <w:rFonts w:ascii="Book Antiqua" w:eastAsia="Book Antiqua" w:hAnsi="Book Antiqua" w:cs="Book Antiqua"/>
          <w:color w:val="000000"/>
        </w:rPr>
        <w:t>Cyclophosphamide-associated enteritis in granulomatosis with polyangiitis</w:t>
      </w:r>
    </w:p>
    <w:p w14:paraId="706DD076" w14:textId="77777777" w:rsidR="00A77B3E" w:rsidRPr="00B75401" w:rsidRDefault="00A77B3E" w:rsidP="00B75401">
      <w:pPr>
        <w:adjustRightInd w:val="0"/>
        <w:snapToGrid w:val="0"/>
        <w:spacing w:line="360" w:lineRule="auto"/>
        <w:jc w:val="both"/>
        <w:rPr>
          <w:rFonts w:ascii="Book Antiqua" w:hAnsi="Book Antiqua"/>
          <w:lang w:eastAsia="zh-CN"/>
        </w:rPr>
      </w:pPr>
    </w:p>
    <w:p w14:paraId="3FE328D1"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Hiroko Sato, Tsuyoshi Shirai, Hiroshi Fujii, Tomonori Ishii, Hideo Harigae</w:t>
      </w:r>
    </w:p>
    <w:p w14:paraId="08A1ADC6" w14:textId="77777777" w:rsidR="00A77B3E" w:rsidRPr="00B75401" w:rsidRDefault="00A77B3E" w:rsidP="00B75401">
      <w:pPr>
        <w:adjustRightInd w:val="0"/>
        <w:snapToGrid w:val="0"/>
        <w:spacing w:line="360" w:lineRule="auto"/>
        <w:jc w:val="both"/>
        <w:rPr>
          <w:rFonts w:ascii="Book Antiqua" w:hAnsi="Book Antiqua"/>
        </w:rPr>
      </w:pPr>
    </w:p>
    <w:p w14:paraId="3D944239"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bCs/>
          <w:color w:val="000000"/>
        </w:rPr>
        <w:t xml:space="preserve">Hiroko Sato, Tsuyoshi Shirai, Hiroshi Fujii, Tomonori Ishii, Hideo Harigae, </w:t>
      </w:r>
      <w:r w:rsidRPr="00B75401">
        <w:rPr>
          <w:rFonts w:ascii="Book Antiqua" w:eastAsia="Book Antiqua" w:hAnsi="Book Antiqua" w:cs="Book Antiqua"/>
          <w:color w:val="000000"/>
        </w:rPr>
        <w:t>Department of Hematology and Rheumatology, Tohoku University Graduate School of Medicine, Sendai 9808574, Japan</w:t>
      </w:r>
    </w:p>
    <w:p w14:paraId="7BBD4E82" w14:textId="5100E4DD" w:rsidR="00A77B3E" w:rsidRPr="00B75401" w:rsidRDefault="00A77B3E" w:rsidP="00B75401">
      <w:pPr>
        <w:adjustRightInd w:val="0"/>
        <w:snapToGrid w:val="0"/>
        <w:spacing w:line="360" w:lineRule="auto"/>
        <w:jc w:val="both"/>
        <w:rPr>
          <w:rFonts w:ascii="Book Antiqua" w:hAnsi="Book Antiqua"/>
        </w:rPr>
      </w:pPr>
    </w:p>
    <w:p w14:paraId="2879CE35" w14:textId="1C01DC0C"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bCs/>
          <w:color w:val="000000"/>
        </w:rPr>
        <w:t xml:space="preserve">Author contributions: </w:t>
      </w:r>
      <w:r w:rsidR="00B8487C" w:rsidRPr="00B75401">
        <w:rPr>
          <w:rFonts w:ascii="Book Antiqua" w:eastAsia="Book Antiqua" w:hAnsi="Book Antiqua" w:cs="Book Antiqua"/>
          <w:color w:val="000000"/>
        </w:rPr>
        <w:t>Sato H</w:t>
      </w:r>
      <w:r w:rsidRPr="00B75401">
        <w:rPr>
          <w:rFonts w:ascii="Book Antiqua" w:eastAsia="Book Antiqua" w:hAnsi="Book Antiqua" w:cs="Book Antiqua"/>
          <w:color w:val="000000"/>
        </w:rPr>
        <w:t xml:space="preserve"> and </w:t>
      </w:r>
      <w:r w:rsidR="00B8487C" w:rsidRPr="00B75401">
        <w:rPr>
          <w:rFonts w:ascii="Book Antiqua" w:eastAsia="Book Antiqua" w:hAnsi="Book Antiqua" w:cs="Book Antiqua"/>
          <w:color w:val="000000"/>
        </w:rPr>
        <w:t>Shirai T</w:t>
      </w:r>
      <w:r w:rsidRPr="00B75401">
        <w:rPr>
          <w:rFonts w:ascii="Book Antiqua" w:eastAsia="Book Antiqua" w:hAnsi="Book Antiqua" w:cs="Book Antiqua"/>
          <w:color w:val="000000"/>
        </w:rPr>
        <w:t xml:space="preserve"> performed the literature review, and wrote the manuscript</w:t>
      </w:r>
      <w:r w:rsidR="00B8487C" w:rsidRPr="00B75401">
        <w:rPr>
          <w:rFonts w:ascii="Book Antiqua" w:eastAsia="Book Antiqua" w:hAnsi="Book Antiqua" w:cs="Book Antiqua"/>
          <w:color w:val="000000"/>
        </w:rPr>
        <w:t>;</w:t>
      </w:r>
      <w:r w:rsidRPr="00B75401">
        <w:rPr>
          <w:rFonts w:ascii="Book Antiqua" w:eastAsia="Book Antiqua" w:hAnsi="Book Antiqua" w:cs="Book Antiqua"/>
          <w:color w:val="000000"/>
        </w:rPr>
        <w:t xml:space="preserve"> </w:t>
      </w:r>
      <w:r w:rsidR="00B8487C" w:rsidRPr="00B75401">
        <w:rPr>
          <w:rFonts w:ascii="Book Antiqua" w:eastAsia="Book Antiqua" w:hAnsi="Book Antiqua" w:cs="Book Antiqua"/>
          <w:color w:val="000000"/>
        </w:rPr>
        <w:t>Shirai T</w:t>
      </w:r>
      <w:r w:rsidRPr="00B75401">
        <w:rPr>
          <w:rFonts w:ascii="Book Antiqua" w:eastAsia="Book Antiqua" w:hAnsi="Book Antiqua" w:cs="Book Antiqua"/>
          <w:color w:val="000000"/>
        </w:rPr>
        <w:t xml:space="preserve">, </w:t>
      </w:r>
      <w:r w:rsidR="00B8487C" w:rsidRPr="00B75401">
        <w:rPr>
          <w:rFonts w:ascii="Book Antiqua" w:eastAsia="Book Antiqua" w:hAnsi="Book Antiqua" w:cs="Book Antiqua"/>
          <w:color w:val="000000"/>
        </w:rPr>
        <w:t>Fujii H</w:t>
      </w:r>
      <w:r w:rsidRPr="00B75401">
        <w:rPr>
          <w:rFonts w:ascii="Book Antiqua" w:eastAsia="Book Antiqua" w:hAnsi="Book Antiqua" w:cs="Book Antiqua"/>
          <w:color w:val="000000"/>
        </w:rPr>
        <w:t xml:space="preserve">, </w:t>
      </w:r>
      <w:r w:rsidR="00B8487C" w:rsidRPr="00B75401">
        <w:rPr>
          <w:rFonts w:ascii="Book Antiqua" w:eastAsia="Book Antiqua" w:hAnsi="Book Antiqua" w:cs="Book Antiqua"/>
          <w:color w:val="000000"/>
        </w:rPr>
        <w:t>Ishii T</w:t>
      </w:r>
      <w:r w:rsidRPr="00B75401">
        <w:rPr>
          <w:rFonts w:ascii="Book Antiqua" w:eastAsia="Book Antiqua" w:hAnsi="Book Antiqua" w:cs="Book Antiqua"/>
          <w:color w:val="000000"/>
        </w:rPr>
        <w:t xml:space="preserve">, and </w:t>
      </w:r>
      <w:r w:rsidR="00B8487C" w:rsidRPr="00B75401">
        <w:rPr>
          <w:rFonts w:ascii="Book Antiqua" w:eastAsia="Book Antiqua" w:hAnsi="Book Antiqua" w:cs="Book Antiqua"/>
          <w:color w:val="000000"/>
        </w:rPr>
        <w:t>Harigae H</w:t>
      </w:r>
      <w:r w:rsidRPr="00B75401">
        <w:rPr>
          <w:rFonts w:ascii="Book Antiqua" w:eastAsia="Book Antiqua" w:hAnsi="Book Antiqua" w:cs="Book Antiqua"/>
          <w:color w:val="000000"/>
        </w:rPr>
        <w:t xml:space="preserve"> were involved in the clinical management. </w:t>
      </w:r>
    </w:p>
    <w:p w14:paraId="63E8A031" w14:textId="785EF59E" w:rsidR="00A77B3E" w:rsidRPr="00B75401" w:rsidRDefault="00A77B3E" w:rsidP="00B75401">
      <w:pPr>
        <w:adjustRightInd w:val="0"/>
        <w:snapToGrid w:val="0"/>
        <w:spacing w:line="360" w:lineRule="auto"/>
        <w:jc w:val="both"/>
        <w:rPr>
          <w:rFonts w:ascii="Book Antiqua" w:hAnsi="Book Antiqua"/>
        </w:rPr>
      </w:pPr>
    </w:p>
    <w:p w14:paraId="6E01A130" w14:textId="07A5468D" w:rsidR="003C5A10" w:rsidRPr="00B75401" w:rsidRDefault="003C5A10" w:rsidP="00B75401">
      <w:pPr>
        <w:adjustRightInd w:val="0"/>
        <w:snapToGrid w:val="0"/>
        <w:spacing w:line="360" w:lineRule="auto"/>
        <w:jc w:val="both"/>
        <w:rPr>
          <w:rFonts w:ascii="Book Antiqua" w:eastAsia="Book Antiqua" w:hAnsi="Book Antiqua" w:cs="Book Antiqua"/>
          <w:color w:val="000000"/>
        </w:rPr>
      </w:pPr>
      <w:r w:rsidRPr="00E2699C">
        <w:rPr>
          <w:rFonts w:ascii="Book Antiqua" w:eastAsia="Book Antiqua" w:hAnsi="Book Antiqua" w:cs="Book Antiqua"/>
          <w:b/>
          <w:bCs/>
          <w:color w:val="000000"/>
        </w:rPr>
        <w:t xml:space="preserve">Supported by </w:t>
      </w:r>
      <w:bookmarkStart w:id="0" w:name="OLE_LINK7"/>
      <w:bookmarkStart w:id="1" w:name="OLE_LINK8"/>
      <w:r w:rsidRPr="00E2699C">
        <w:rPr>
          <w:rFonts w:ascii="Book Antiqua" w:eastAsia="Book Antiqua" w:hAnsi="Book Antiqua" w:cs="Book Antiqua"/>
          <w:color w:val="000000"/>
        </w:rPr>
        <w:t xml:space="preserve">Funding for </w:t>
      </w:r>
      <w:r w:rsidR="00C009BA" w:rsidRPr="00397EAB">
        <w:rPr>
          <w:rFonts w:ascii="Book Antiqua" w:eastAsia="Book Antiqua" w:hAnsi="Book Antiqua" w:cs="Book Antiqua"/>
          <w:caps/>
          <w:color w:val="000000"/>
        </w:rPr>
        <w:t>s</w:t>
      </w:r>
      <w:r w:rsidRPr="00E2699C">
        <w:rPr>
          <w:rFonts w:ascii="Book Antiqua" w:eastAsia="Book Antiqua" w:hAnsi="Book Antiqua" w:cs="Book Antiqua"/>
          <w:color w:val="000000"/>
        </w:rPr>
        <w:t xml:space="preserve">cientific </w:t>
      </w:r>
      <w:r w:rsidR="00C009BA" w:rsidRPr="00397EAB">
        <w:rPr>
          <w:rFonts w:ascii="Book Antiqua" w:eastAsia="Book Antiqua" w:hAnsi="Book Antiqua" w:cs="Book Antiqua"/>
          <w:caps/>
          <w:color w:val="000000"/>
        </w:rPr>
        <w:t>r</w:t>
      </w:r>
      <w:r w:rsidRPr="00E2699C">
        <w:rPr>
          <w:rFonts w:ascii="Book Antiqua" w:eastAsia="Book Antiqua" w:hAnsi="Book Antiqua" w:cs="Book Antiqua"/>
          <w:color w:val="000000"/>
        </w:rPr>
        <w:t xml:space="preserve">esearch (Funding for </w:t>
      </w:r>
      <w:r w:rsidR="00C009BA" w:rsidRPr="00397EAB">
        <w:rPr>
          <w:rFonts w:ascii="Book Antiqua" w:eastAsia="Book Antiqua" w:hAnsi="Book Antiqua" w:cs="Book Antiqua"/>
          <w:caps/>
          <w:color w:val="000000"/>
        </w:rPr>
        <w:t>a</w:t>
      </w:r>
      <w:r w:rsidRPr="00E2699C">
        <w:rPr>
          <w:rFonts w:ascii="Book Antiqua" w:eastAsia="Book Antiqua" w:hAnsi="Book Antiqua" w:cs="Book Antiqua"/>
          <w:color w:val="000000"/>
        </w:rPr>
        <w:t xml:space="preserve">cademic </w:t>
      </w:r>
      <w:r w:rsidR="00C009BA" w:rsidRPr="00397EAB">
        <w:rPr>
          <w:rFonts w:ascii="Book Antiqua" w:eastAsia="Book Antiqua" w:hAnsi="Book Antiqua" w:cs="Book Antiqua"/>
          <w:caps/>
          <w:color w:val="000000"/>
        </w:rPr>
        <w:t>r</w:t>
      </w:r>
      <w:r w:rsidRPr="00E2699C">
        <w:rPr>
          <w:rFonts w:ascii="Book Antiqua" w:eastAsia="Book Antiqua" w:hAnsi="Book Antiqua" w:cs="Book Antiqua"/>
          <w:color w:val="000000"/>
        </w:rPr>
        <w:t>esearch)</w:t>
      </w:r>
      <w:r w:rsidR="00C009BA" w:rsidRPr="00E2699C">
        <w:rPr>
          <w:rFonts w:ascii="Book Antiqua" w:eastAsia="Book Antiqua" w:hAnsi="Book Antiqua" w:cs="Book Antiqua"/>
          <w:color w:val="000000"/>
        </w:rPr>
        <w:t>,</w:t>
      </w:r>
      <w:r w:rsidRPr="00E2699C">
        <w:rPr>
          <w:rFonts w:ascii="Book Antiqua" w:eastAsia="Book Antiqua" w:hAnsi="Book Antiqua" w:cs="Book Antiqua"/>
          <w:color w:val="000000"/>
        </w:rPr>
        <w:t xml:space="preserve"> No. 18K16136</w:t>
      </w:r>
      <w:r w:rsidR="00B75401" w:rsidRPr="00E2699C">
        <w:rPr>
          <w:rFonts w:ascii="Book Antiqua" w:eastAsia="Book Antiqua" w:hAnsi="Book Antiqua" w:cs="Book Antiqua"/>
          <w:color w:val="000000"/>
        </w:rPr>
        <w:t>.</w:t>
      </w:r>
    </w:p>
    <w:bookmarkEnd w:id="0"/>
    <w:bookmarkEnd w:id="1"/>
    <w:p w14:paraId="405E04A7" w14:textId="77777777" w:rsidR="003C5A10" w:rsidRPr="00B75401" w:rsidRDefault="003C5A10" w:rsidP="00B75401">
      <w:pPr>
        <w:adjustRightInd w:val="0"/>
        <w:snapToGrid w:val="0"/>
        <w:spacing w:line="360" w:lineRule="auto"/>
        <w:jc w:val="both"/>
        <w:rPr>
          <w:rFonts w:ascii="Book Antiqua" w:eastAsia="Book Antiqua" w:hAnsi="Book Antiqua" w:cs="Book Antiqua"/>
          <w:b/>
          <w:bCs/>
          <w:color w:val="000000"/>
        </w:rPr>
      </w:pPr>
    </w:p>
    <w:p w14:paraId="6E5668F1" w14:textId="4B596AAB" w:rsidR="00A77B3E" w:rsidRPr="007802C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bCs/>
          <w:color w:val="000000"/>
        </w:rPr>
        <w:t xml:space="preserve">Corresponding author: Tsuyoshi Shirai, MD, PhD, Assistant Professor, Doctor, </w:t>
      </w:r>
      <w:r w:rsidRPr="00B75401">
        <w:rPr>
          <w:rFonts w:ascii="Book Antiqua" w:eastAsia="Book Antiqua" w:hAnsi="Book Antiqua" w:cs="Book Antiqua"/>
          <w:color w:val="000000"/>
        </w:rPr>
        <w:t xml:space="preserve">Department of Hematology and Rheumatology, Tohoku University Graduate School of Medicine, 1-1 Seiryo-machi, Aoba-ku, Sendai 9808574, Japan. </w:t>
      </w:r>
      <w:r w:rsidRPr="007802C1">
        <w:rPr>
          <w:rFonts w:ascii="Book Antiqua" w:eastAsia="Book Antiqua" w:hAnsi="Book Antiqua" w:cs="Book Antiqua"/>
          <w:color w:val="000000"/>
        </w:rPr>
        <w:t>tsuyoshirajp@med.tohoku.ac.jp</w:t>
      </w:r>
    </w:p>
    <w:p w14:paraId="0404CA09" w14:textId="77777777" w:rsidR="00A77B3E" w:rsidRPr="00B75401" w:rsidRDefault="00A77B3E" w:rsidP="00B75401">
      <w:pPr>
        <w:adjustRightInd w:val="0"/>
        <w:snapToGrid w:val="0"/>
        <w:spacing w:line="360" w:lineRule="auto"/>
        <w:jc w:val="both"/>
        <w:rPr>
          <w:rFonts w:ascii="Book Antiqua" w:hAnsi="Book Antiqua"/>
        </w:rPr>
      </w:pPr>
    </w:p>
    <w:p w14:paraId="46C75EB6"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bCs/>
          <w:color w:val="000000"/>
        </w:rPr>
        <w:t xml:space="preserve">Received: </w:t>
      </w:r>
      <w:r w:rsidRPr="00B75401">
        <w:rPr>
          <w:rFonts w:ascii="Book Antiqua" w:eastAsia="Book Antiqua" w:hAnsi="Book Antiqua" w:cs="Book Antiqua"/>
          <w:color w:val="000000"/>
        </w:rPr>
        <w:t>January 25, 2021</w:t>
      </w:r>
    </w:p>
    <w:p w14:paraId="698942BB"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bCs/>
          <w:color w:val="000000"/>
        </w:rPr>
        <w:lastRenderedPageBreak/>
        <w:t xml:space="preserve">Revised: </w:t>
      </w:r>
      <w:r w:rsidRPr="00B75401">
        <w:rPr>
          <w:rFonts w:ascii="Book Antiqua" w:eastAsia="Book Antiqua" w:hAnsi="Book Antiqua" w:cs="Book Antiqua"/>
          <w:color w:val="000000"/>
        </w:rPr>
        <w:t>March 9, 2021</w:t>
      </w:r>
    </w:p>
    <w:p w14:paraId="51D1FF3C" w14:textId="20E4B4C4"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bCs/>
          <w:color w:val="000000"/>
        </w:rPr>
        <w:t xml:space="preserve">Accepted: </w:t>
      </w:r>
      <w:r w:rsidR="006225DE" w:rsidRPr="006225DE">
        <w:rPr>
          <w:rFonts w:ascii="Book Antiqua" w:eastAsia="Book Antiqua" w:hAnsi="Book Antiqua" w:cs="Book Antiqua"/>
          <w:bCs/>
          <w:color w:val="000000"/>
        </w:rPr>
        <w:t>May 7, 2021</w:t>
      </w:r>
    </w:p>
    <w:p w14:paraId="003991F1" w14:textId="127D07C4"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bCs/>
          <w:color w:val="000000"/>
        </w:rPr>
        <w:t xml:space="preserve">Published online: </w:t>
      </w:r>
      <w:r w:rsidR="001B760C" w:rsidRPr="001B760C">
        <w:rPr>
          <w:rFonts w:ascii="Book Antiqua" w:eastAsia="Book Antiqua" w:hAnsi="Book Antiqua" w:cs="Book Antiqua"/>
          <w:color w:val="000000"/>
        </w:rPr>
        <w:t>May 28, 2021</w:t>
      </w:r>
    </w:p>
    <w:p w14:paraId="3BA088AB" w14:textId="77777777" w:rsidR="00A77B3E" w:rsidRPr="00B75401" w:rsidRDefault="00A77B3E" w:rsidP="00B75401">
      <w:pPr>
        <w:adjustRightInd w:val="0"/>
        <w:snapToGrid w:val="0"/>
        <w:spacing w:line="360" w:lineRule="auto"/>
        <w:jc w:val="both"/>
        <w:rPr>
          <w:rFonts w:ascii="Book Antiqua" w:hAnsi="Book Antiqua"/>
        </w:rPr>
        <w:sectPr w:rsidR="00A77B3E" w:rsidRPr="00B75401" w:rsidSect="006C48D2">
          <w:footerReference w:type="default" r:id="rId7"/>
          <w:type w:val="continuous"/>
          <w:pgSz w:w="12240" w:h="15840"/>
          <w:pgMar w:top="1440" w:right="1800" w:bottom="1440" w:left="1800" w:header="720" w:footer="720" w:gutter="0"/>
          <w:cols w:space="720"/>
          <w:docGrid w:linePitch="360"/>
        </w:sectPr>
      </w:pPr>
    </w:p>
    <w:p w14:paraId="4B0A02F5" w14:textId="77777777" w:rsidR="007802C1" w:rsidRDefault="007802C1">
      <w:pPr>
        <w:rPr>
          <w:rFonts w:ascii="Book Antiqua" w:eastAsia="Book Antiqua" w:hAnsi="Book Antiqua" w:cs="Book Antiqua"/>
          <w:b/>
          <w:color w:val="000000"/>
        </w:rPr>
      </w:pPr>
      <w:r>
        <w:rPr>
          <w:rFonts w:ascii="Book Antiqua" w:eastAsia="Book Antiqua" w:hAnsi="Book Antiqua" w:cs="Book Antiqua"/>
          <w:b/>
          <w:color w:val="000000"/>
        </w:rPr>
        <w:br w:type="page"/>
      </w:r>
    </w:p>
    <w:p w14:paraId="18A7D1DB" w14:textId="2B4D2ED2"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olor w:val="000000"/>
        </w:rPr>
        <w:t>Abstract</w:t>
      </w:r>
    </w:p>
    <w:p w14:paraId="792A763A"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BACKGROUND</w:t>
      </w:r>
    </w:p>
    <w:p w14:paraId="6D068DB2"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Although cyclophosphamide (CPA) is the key drug for the treatment of autoimmune diseases including vasculitides, it has some well-known adverse effects, such as myelosuppression, hemorrhagic cystitis, infertility, and infection. However, CPA-associated severe enteritis is a rare adverse effect, and only one case with a lethal clinical course has been reported. Therefore, the appropriate management of patients with CPA-associated severe enteritis is unclear.</w:t>
      </w:r>
    </w:p>
    <w:p w14:paraId="2F76E4F8" w14:textId="77777777" w:rsidR="00A77B3E" w:rsidRPr="00B75401" w:rsidRDefault="00A77B3E" w:rsidP="00B75401">
      <w:pPr>
        <w:adjustRightInd w:val="0"/>
        <w:snapToGrid w:val="0"/>
        <w:spacing w:line="360" w:lineRule="auto"/>
        <w:jc w:val="both"/>
        <w:rPr>
          <w:rFonts w:ascii="Book Antiqua" w:hAnsi="Book Antiqua"/>
        </w:rPr>
      </w:pPr>
    </w:p>
    <w:p w14:paraId="7F3AC8F2"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CASE SUMMARY</w:t>
      </w:r>
    </w:p>
    <w:p w14:paraId="0D3BD75D" w14:textId="5B72D7F5"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 xml:space="preserve">We present the case of a 61-year-old woman diagnosed with granulomatosis with polyangiitis based on the presence of symptoms in ear, lung, and, kidney with positive myeloperoxidase-antineutrophil cytoplasmic antibody. She received pulsed methylprednisolone followed by prednisolone 55 mg/d and intravenous CPA at a dose of 500 mg/mo. Ten days after the second course of intravenous CPA, she developed nausea, vomiting, and diarrhea, and was admitted to the hospital. Laboratory testing revealed hypoalbuminemia, suggesting protein-losing enteropathy. </w:t>
      </w:r>
      <w:r w:rsidR="002238BF" w:rsidRPr="00B75401">
        <w:rPr>
          <w:rFonts w:ascii="Book Antiqua" w:eastAsia="Book Antiqua" w:hAnsi="Book Antiqua" w:cs="Book Antiqua"/>
          <w:color w:val="000000"/>
        </w:rPr>
        <w:t>Computed tomography</w:t>
      </w:r>
      <w:r w:rsidRPr="00B75401">
        <w:rPr>
          <w:rFonts w:ascii="Book Antiqua" w:eastAsia="Book Antiqua" w:hAnsi="Book Antiqua" w:cs="Book Antiqua"/>
          <w:color w:val="000000"/>
        </w:rPr>
        <w:t xml:space="preserve"> revealed wall thickening of the stomach, small intestine, and colon with contrast enhancement on the lumen side. Antibiotics and immunosuppressive therapy were not effective, and the patient’s enteritis did not improve for &gt; 4 mo. Because her condition became seriously exhausted, corticosteroids were tapered and supportive therapies including intravenous hyperalimentation, replenishment of albumin and gamma globulin, plasma exchange, and infection control were continued. These supportive therapies improved her condition, and her enteritis gradually regressed. She was finally discharged 7 mo later.</w:t>
      </w:r>
    </w:p>
    <w:p w14:paraId="4BC1D08B" w14:textId="77777777" w:rsidR="00A77B3E" w:rsidRPr="00B75401" w:rsidRDefault="00A77B3E" w:rsidP="00B75401">
      <w:pPr>
        <w:adjustRightInd w:val="0"/>
        <w:snapToGrid w:val="0"/>
        <w:spacing w:line="360" w:lineRule="auto"/>
        <w:jc w:val="both"/>
        <w:rPr>
          <w:rFonts w:ascii="Book Antiqua" w:hAnsi="Book Antiqua"/>
        </w:rPr>
      </w:pPr>
    </w:p>
    <w:p w14:paraId="656A4274"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CONCLUSION</w:t>
      </w:r>
    </w:p>
    <w:p w14:paraId="388453CD"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Immediate discontinuation of CPA and intensive supportive therapy are crucial for the survival of patients with CPA-associated severe enteritis.</w:t>
      </w:r>
    </w:p>
    <w:p w14:paraId="478FBC62" w14:textId="77777777" w:rsidR="00A77B3E" w:rsidRPr="00B75401" w:rsidRDefault="00A77B3E" w:rsidP="00B75401">
      <w:pPr>
        <w:adjustRightInd w:val="0"/>
        <w:snapToGrid w:val="0"/>
        <w:spacing w:line="360" w:lineRule="auto"/>
        <w:jc w:val="both"/>
        <w:rPr>
          <w:rFonts w:ascii="Book Antiqua" w:hAnsi="Book Antiqua"/>
        </w:rPr>
      </w:pPr>
    </w:p>
    <w:p w14:paraId="703ADE6E" w14:textId="7D91B4EC"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bCs/>
          <w:color w:val="000000"/>
        </w:rPr>
        <w:t xml:space="preserve">Key Words: </w:t>
      </w:r>
      <w:bookmarkStart w:id="2" w:name="OLE_LINK20"/>
      <w:bookmarkStart w:id="3" w:name="OLE_LINK21"/>
      <w:bookmarkStart w:id="4" w:name="OLE_LINK5"/>
      <w:bookmarkStart w:id="5" w:name="OLE_LINK6"/>
      <w:r w:rsidRPr="00B75401">
        <w:rPr>
          <w:rFonts w:ascii="Book Antiqua" w:eastAsia="Book Antiqua" w:hAnsi="Book Antiqua" w:cs="Book Antiqua"/>
          <w:color w:val="000000"/>
        </w:rPr>
        <w:t>Antineutrophil cytoplasmic antibody; Cyclophosphamide; Enteritis; Granulomatosis with polyangiitis; Plasma exchange; Vasculitis</w:t>
      </w:r>
      <w:r w:rsidR="00834B89">
        <w:rPr>
          <w:rFonts w:ascii="Book Antiqua" w:eastAsia="Book Antiqua" w:hAnsi="Book Antiqua" w:cs="Book Antiqua"/>
          <w:color w:val="000000"/>
        </w:rPr>
        <w:t>; Case report</w:t>
      </w:r>
      <w:bookmarkEnd w:id="2"/>
      <w:bookmarkEnd w:id="3"/>
    </w:p>
    <w:bookmarkEnd w:id="4"/>
    <w:bookmarkEnd w:id="5"/>
    <w:p w14:paraId="66398FFE" w14:textId="77777777" w:rsidR="00E91DAC" w:rsidRDefault="00E91DAC" w:rsidP="00E91DAC">
      <w:pPr>
        <w:spacing w:line="360" w:lineRule="auto"/>
        <w:jc w:val="both"/>
        <w:rPr>
          <w:lang w:eastAsia="zh-CN"/>
        </w:rPr>
      </w:pPr>
    </w:p>
    <w:p w14:paraId="4955EE32" w14:textId="77777777" w:rsidR="00E91DAC" w:rsidRPr="00026CB8" w:rsidRDefault="00E91DAC" w:rsidP="00E91DAC">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1D741235" w14:textId="77777777" w:rsidR="00A77B3E" w:rsidRPr="00725DA2" w:rsidRDefault="00A77B3E" w:rsidP="00B75401">
      <w:pPr>
        <w:adjustRightInd w:val="0"/>
        <w:snapToGrid w:val="0"/>
        <w:spacing w:line="360" w:lineRule="auto"/>
        <w:jc w:val="both"/>
        <w:rPr>
          <w:rFonts w:ascii="Book Antiqua" w:hAnsi="Book Antiqua"/>
          <w:b/>
        </w:rPr>
      </w:pPr>
    </w:p>
    <w:p w14:paraId="23962F11" w14:textId="35C98F1F" w:rsidR="00725DA2" w:rsidRDefault="00725DA2" w:rsidP="00B75401">
      <w:pPr>
        <w:adjustRightInd w:val="0"/>
        <w:snapToGrid w:val="0"/>
        <w:spacing w:line="360" w:lineRule="auto"/>
        <w:jc w:val="both"/>
        <w:rPr>
          <w:rFonts w:ascii="Book Antiqua" w:hAnsi="Book Antiqua" w:cs="Book Antiqua" w:hint="eastAsia"/>
          <w:color w:val="000000"/>
          <w:lang w:eastAsia="zh-CN"/>
        </w:rPr>
      </w:pPr>
      <w:r w:rsidRPr="00725DA2">
        <w:rPr>
          <w:rFonts w:ascii="Book Antiqua" w:hAnsi="Book Antiqua" w:cs="Book Antiqua" w:hint="eastAsia"/>
          <w:b/>
          <w:color w:val="000000"/>
          <w:lang w:eastAsia="zh-CN"/>
        </w:rPr>
        <w:t xml:space="preserve">Citation: </w:t>
      </w:r>
      <w:r w:rsidR="004B3E4B" w:rsidRPr="00B75401">
        <w:rPr>
          <w:rFonts w:ascii="Book Antiqua" w:eastAsia="Book Antiqua" w:hAnsi="Book Antiqua" w:cs="Book Antiqua"/>
          <w:color w:val="000000"/>
        </w:rPr>
        <w:t xml:space="preserve">Sato H, Shirai T, Fujii H, Ishii T, Harigae H. Cyclophosphamide-associated enteritis presenting with severe protein-losing enteropathy in granulomatosis with polyangiitis: A case report. </w:t>
      </w:r>
      <w:r w:rsidR="004B3E4B" w:rsidRPr="00B75401">
        <w:rPr>
          <w:rFonts w:ascii="Book Antiqua" w:eastAsia="Book Antiqua" w:hAnsi="Book Antiqua" w:cs="Book Antiqua"/>
          <w:i/>
          <w:iCs/>
          <w:color w:val="000000"/>
        </w:rPr>
        <w:t>World J Gastroenterol</w:t>
      </w:r>
      <w:r w:rsidR="004B3E4B" w:rsidRPr="00B75401">
        <w:rPr>
          <w:rFonts w:ascii="Book Antiqua" w:eastAsia="Book Antiqua" w:hAnsi="Book Antiqua" w:cs="Book Antiqua"/>
          <w:color w:val="000000"/>
        </w:rPr>
        <w:t xml:space="preserve"> 2021; </w:t>
      </w:r>
      <w:r w:rsidR="006C5243" w:rsidRPr="006C5243">
        <w:rPr>
          <w:rFonts w:ascii="Book Antiqua" w:eastAsia="Book Antiqua" w:hAnsi="Book Antiqua" w:cs="Book Antiqua"/>
          <w:color w:val="000000"/>
        </w:rPr>
        <w:t xml:space="preserve">27(20): </w:t>
      </w:r>
      <w:r w:rsidRPr="00725DA2">
        <w:rPr>
          <w:rFonts w:ascii="Book Antiqua" w:eastAsia="Book Antiqua" w:hAnsi="Book Antiqua" w:cs="Book Antiqua"/>
          <w:color w:val="000000"/>
        </w:rPr>
        <w:t>2657-2663</w:t>
      </w:r>
      <w:r w:rsidR="006C5243" w:rsidRPr="006C5243">
        <w:rPr>
          <w:rFonts w:ascii="Book Antiqua" w:eastAsia="Book Antiqua" w:hAnsi="Book Antiqua" w:cs="Book Antiqua"/>
          <w:color w:val="000000"/>
        </w:rPr>
        <w:t xml:space="preserve"> </w:t>
      </w:r>
    </w:p>
    <w:p w14:paraId="2DE5B0F0" w14:textId="539874AB" w:rsidR="00725DA2" w:rsidRDefault="006C5243" w:rsidP="00B75401">
      <w:pPr>
        <w:adjustRightInd w:val="0"/>
        <w:snapToGrid w:val="0"/>
        <w:spacing w:line="360" w:lineRule="auto"/>
        <w:jc w:val="both"/>
        <w:rPr>
          <w:rFonts w:ascii="Book Antiqua" w:hAnsi="Book Antiqua" w:cs="Book Antiqua" w:hint="eastAsia"/>
          <w:color w:val="000000"/>
          <w:lang w:eastAsia="zh-CN"/>
        </w:rPr>
      </w:pPr>
      <w:r w:rsidRPr="00725DA2">
        <w:rPr>
          <w:rFonts w:ascii="Book Antiqua" w:eastAsia="Book Antiqua" w:hAnsi="Book Antiqua" w:cs="Book Antiqua"/>
          <w:b/>
          <w:color w:val="000000"/>
        </w:rPr>
        <w:t>URL:</w:t>
      </w:r>
      <w:r w:rsidRPr="006C5243">
        <w:rPr>
          <w:rFonts w:ascii="Book Antiqua" w:eastAsia="Book Antiqua" w:hAnsi="Book Antiqua" w:cs="Book Antiqua"/>
          <w:color w:val="000000"/>
        </w:rPr>
        <w:t xml:space="preserve"> https://www.wjgnet.com/1007-9327/full/v27/i20/</w:t>
      </w:r>
      <w:r w:rsidR="00725DA2" w:rsidRPr="00725DA2">
        <w:rPr>
          <w:rFonts w:ascii="Book Antiqua" w:eastAsia="Book Antiqua" w:hAnsi="Book Antiqua" w:cs="Book Antiqua"/>
          <w:color w:val="000000"/>
        </w:rPr>
        <w:t>2657</w:t>
      </w:r>
      <w:r w:rsidRPr="006C5243">
        <w:rPr>
          <w:rFonts w:ascii="Book Antiqua" w:eastAsia="Book Antiqua" w:hAnsi="Book Antiqua" w:cs="Book Antiqua"/>
          <w:color w:val="000000"/>
        </w:rPr>
        <w:t xml:space="preserve">.htm  </w:t>
      </w:r>
    </w:p>
    <w:p w14:paraId="08EB32A1" w14:textId="5FC1A9A6" w:rsidR="00A77B3E" w:rsidRPr="00B75401" w:rsidRDefault="006C5243" w:rsidP="00B75401">
      <w:pPr>
        <w:adjustRightInd w:val="0"/>
        <w:snapToGrid w:val="0"/>
        <w:spacing w:line="360" w:lineRule="auto"/>
        <w:jc w:val="both"/>
        <w:rPr>
          <w:rFonts w:ascii="Book Antiqua" w:hAnsi="Book Antiqua"/>
        </w:rPr>
      </w:pPr>
      <w:r w:rsidRPr="00725DA2">
        <w:rPr>
          <w:rFonts w:ascii="Book Antiqua" w:eastAsia="Book Antiqua" w:hAnsi="Book Antiqua" w:cs="Book Antiqua"/>
          <w:b/>
          <w:color w:val="000000"/>
        </w:rPr>
        <w:t xml:space="preserve">DOI: </w:t>
      </w:r>
      <w:r w:rsidRPr="006C5243">
        <w:rPr>
          <w:rFonts w:ascii="Book Antiqua" w:eastAsia="Book Antiqua" w:hAnsi="Book Antiqua" w:cs="Book Antiqua"/>
          <w:color w:val="000000"/>
        </w:rPr>
        <w:t>https://dx.doi.org/10.3748/wjg.v27.i20.</w:t>
      </w:r>
      <w:r w:rsidR="00725DA2" w:rsidRPr="00725DA2">
        <w:rPr>
          <w:rFonts w:ascii="Book Antiqua" w:eastAsia="Book Antiqua" w:hAnsi="Book Antiqua" w:cs="Book Antiqua"/>
          <w:color w:val="000000"/>
        </w:rPr>
        <w:t>2657</w:t>
      </w:r>
    </w:p>
    <w:p w14:paraId="420206E1" w14:textId="77777777" w:rsidR="00A77B3E" w:rsidRPr="00B75401" w:rsidRDefault="00A77B3E" w:rsidP="00B75401">
      <w:pPr>
        <w:adjustRightInd w:val="0"/>
        <w:snapToGrid w:val="0"/>
        <w:spacing w:line="360" w:lineRule="auto"/>
        <w:jc w:val="both"/>
        <w:rPr>
          <w:rFonts w:ascii="Book Antiqua" w:hAnsi="Book Antiqua"/>
        </w:rPr>
      </w:pPr>
    </w:p>
    <w:p w14:paraId="62CECF03"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bCs/>
          <w:color w:val="000000"/>
        </w:rPr>
        <w:t xml:space="preserve">Core Tip: </w:t>
      </w:r>
      <w:bookmarkStart w:id="6" w:name="OLE_LINK9"/>
      <w:bookmarkStart w:id="7" w:name="OLE_LINK10"/>
      <w:r w:rsidRPr="00B75401">
        <w:rPr>
          <w:rFonts w:ascii="Book Antiqua" w:eastAsia="Book Antiqua" w:hAnsi="Book Antiqua" w:cs="Book Antiqua"/>
          <w:color w:val="000000"/>
        </w:rPr>
        <w:t>Cyclophosphamide-associated enteritis is rare, but a fatal complication of the treatment for the vasculitides. This is the first successful report of the treatment for the severe cyclophosphamide-associated enteritis, and indicates the importance of immediate discontinuation of cyclophosphamide and intensive supportive therapy.</w:t>
      </w:r>
    </w:p>
    <w:p w14:paraId="5491A248" w14:textId="77777777" w:rsidR="00B8487C" w:rsidRPr="00B75401" w:rsidRDefault="00B8487C" w:rsidP="00B75401">
      <w:pPr>
        <w:adjustRightInd w:val="0"/>
        <w:snapToGrid w:val="0"/>
        <w:spacing w:line="360" w:lineRule="auto"/>
        <w:jc w:val="both"/>
        <w:rPr>
          <w:rFonts w:ascii="Book Antiqua" w:hAnsi="Book Antiqua"/>
        </w:rPr>
      </w:pPr>
      <w:r w:rsidRPr="00B75401">
        <w:rPr>
          <w:rFonts w:ascii="Book Antiqua" w:hAnsi="Book Antiqua"/>
        </w:rPr>
        <w:br w:type="page"/>
      </w:r>
    </w:p>
    <w:bookmarkEnd w:id="6"/>
    <w:bookmarkEnd w:id="7"/>
    <w:p w14:paraId="1DAE718E" w14:textId="3D3C7CEF"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aps/>
          <w:color w:val="000000"/>
          <w:u w:val="single"/>
        </w:rPr>
        <w:t>INTRODUCTION</w:t>
      </w:r>
    </w:p>
    <w:p w14:paraId="48472343" w14:textId="645CDF82"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Cyclophosphamide (CPA) is an alkylating agent that is frequently used in vasculitides as an induction therapy. Particularly in antineutrophil cytoplasmic antibody (ANCA)-associated vasculitis, the addition of immunosuppressants is recommended for patients with a higher five-factor score</w:t>
      </w:r>
      <w:r w:rsidRPr="00B75401">
        <w:rPr>
          <w:rFonts w:ascii="Book Antiqua" w:eastAsia="Book Antiqua" w:hAnsi="Book Antiqua" w:cs="Book Antiqua"/>
          <w:color w:val="000000"/>
          <w:vertAlign w:val="superscript"/>
        </w:rPr>
        <w:t>[1]</w:t>
      </w:r>
      <w:r w:rsidRPr="00B75401">
        <w:rPr>
          <w:rFonts w:ascii="Book Antiqua" w:eastAsia="Book Antiqua" w:hAnsi="Book Antiqua" w:cs="Book Antiqua"/>
          <w:color w:val="000000"/>
        </w:rPr>
        <w:t>. CPA is metabolized into the active form in the liver and covalently binds to the nucleus</w:t>
      </w:r>
      <w:r w:rsidRPr="00B75401">
        <w:rPr>
          <w:rFonts w:ascii="Book Antiqua" w:eastAsia="Book Antiqua" w:hAnsi="Book Antiqua" w:cs="Book Antiqua"/>
          <w:color w:val="000000"/>
          <w:vertAlign w:val="superscript"/>
        </w:rPr>
        <w:t>[2]</w:t>
      </w:r>
      <w:r w:rsidRPr="00B75401">
        <w:rPr>
          <w:rFonts w:ascii="Book Antiqua" w:eastAsia="Book Antiqua" w:hAnsi="Book Antiqua" w:cs="Book Antiqua"/>
          <w:color w:val="000000"/>
        </w:rPr>
        <w:t xml:space="preserve">. Thereafter, it manifests antiproliferative effects by inhibiting </w:t>
      </w:r>
      <w:r w:rsidR="002238BF" w:rsidRPr="00B75401">
        <w:rPr>
          <w:rFonts w:ascii="Book Antiqua" w:eastAsia="Book Antiqua" w:hAnsi="Book Antiqua" w:cs="Book Antiqua"/>
          <w:color w:val="000000"/>
        </w:rPr>
        <w:t>deoxyribonucleic acid</w:t>
      </w:r>
      <w:r w:rsidRPr="00B75401">
        <w:rPr>
          <w:rFonts w:ascii="Book Antiqua" w:eastAsia="Book Antiqua" w:hAnsi="Book Antiqua" w:cs="Book Antiqua"/>
          <w:color w:val="000000"/>
        </w:rPr>
        <w:t xml:space="preserve"> replication</w:t>
      </w:r>
      <w:r w:rsidRPr="00B75401">
        <w:rPr>
          <w:rFonts w:ascii="Book Antiqua" w:eastAsia="Book Antiqua" w:hAnsi="Book Antiqua" w:cs="Book Antiqua"/>
          <w:color w:val="000000"/>
          <w:vertAlign w:val="superscript"/>
        </w:rPr>
        <w:t>[2]</w:t>
      </w:r>
      <w:r w:rsidRPr="00B75401">
        <w:rPr>
          <w:rFonts w:ascii="Book Antiqua" w:eastAsia="Book Antiqua" w:hAnsi="Book Antiqua" w:cs="Book Antiqua"/>
          <w:color w:val="000000"/>
        </w:rPr>
        <w:t>. Although CPA has an established therapeutic effect in vasculitides, it sometimes results in adverse effects including myelosuppression, hemorrhagic cystitis, increased susceptibility to infection, and infertility</w:t>
      </w:r>
      <w:r w:rsidRPr="00B75401">
        <w:rPr>
          <w:rFonts w:ascii="Book Antiqua" w:eastAsia="Book Antiqua" w:hAnsi="Book Antiqua" w:cs="Book Antiqua"/>
          <w:color w:val="000000"/>
          <w:vertAlign w:val="superscript"/>
        </w:rPr>
        <w:t>[3]</w:t>
      </w:r>
      <w:r w:rsidRPr="00B75401">
        <w:rPr>
          <w:rFonts w:ascii="Book Antiqua" w:eastAsia="Book Antiqua" w:hAnsi="Book Antiqua" w:cs="Book Antiqua"/>
          <w:color w:val="000000"/>
        </w:rPr>
        <w:t xml:space="preserve">. However, the development of enteritis due to CPA use in patients with autoimmune diseases is rare, with only one case report in which Yang </w:t>
      </w:r>
      <w:r w:rsidRPr="00B75401">
        <w:rPr>
          <w:rFonts w:ascii="Book Antiqua" w:eastAsia="Book Antiqua" w:hAnsi="Book Antiqua" w:cs="Book Antiqua"/>
          <w:i/>
          <w:iCs/>
          <w:color w:val="000000"/>
        </w:rPr>
        <w:t>et al</w:t>
      </w:r>
      <w:r w:rsidR="00B8487C" w:rsidRPr="00B75401">
        <w:rPr>
          <w:rFonts w:ascii="Book Antiqua" w:eastAsia="Book Antiqua" w:hAnsi="Book Antiqua" w:cs="Book Antiqua"/>
          <w:color w:val="000000"/>
          <w:vertAlign w:val="superscript"/>
        </w:rPr>
        <w:t>[4]</w:t>
      </w:r>
      <w:r w:rsidRPr="00B75401">
        <w:rPr>
          <w:rFonts w:ascii="Book Antiqua" w:eastAsia="Book Antiqua" w:hAnsi="Book Antiqua" w:cs="Book Antiqua"/>
          <w:color w:val="000000"/>
        </w:rPr>
        <w:t xml:space="preserve"> presented a lethal case of CPA-associated enteritis in a patient with microscopic polyangiitis. Here, we report a severe case of CPA-associated enteritis in a patient who presented with prominent protein-losing enteropathy, who was successfully treated with supportive therapy including plasma exchange</w:t>
      </w:r>
      <w:r w:rsidR="00C15C20" w:rsidRPr="00B75401">
        <w:rPr>
          <w:rFonts w:ascii="Book Antiqua" w:eastAsia="Book Antiqua" w:hAnsi="Book Antiqua" w:cs="Book Antiqua"/>
          <w:color w:val="000000"/>
        </w:rPr>
        <w:t xml:space="preserve"> (PE)</w:t>
      </w:r>
      <w:r w:rsidRPr="00B75401">
        <w:rPr>
          <w:rFonts w:ascii="Book Antiqua" w:eastAsia="Book Antiqua" w:hAnsi="Book Antiqua" w:cs="Book Antiqua"/>
          <w:color w:val="000000"/>
        </w:rPr>
        <w:t>.</w:t>
      </w:r>
    </w:p>
    <w:p w14:paraId="4EF79BFB" w14:textId="77777777" w:rsidR="00B8487C" w:rsidRPr="00B75401" w:rsidRDefault="00B8487C" w:rsidP="00B75401">
      <w:pPr>
        <w:adjustRightInd w:val="0"/>
        <w:snapToGrid w:val="0"/>
        <w:spacing w:line="360" w:lineRule="auto"/>
        <w:jc w:val="both"/>
        <w:rPr>
          <w:rFonts w:ascii="Book Antiqua" w:eastAsia="Book Antiqua" w:hAnsi="Book Antiqua" w:cs="Book Antiqua"/>
          <w:color w:val="000000"/>
          <w:vertAlign w:val="superscript"/>
        </w:rPr>
      </w:pPr>
    </w:p>
    <w:p w14:paraId="3855D7BF" w14:textId="6FF2C189"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aps/>
          <w:color w:val="000000"/>
          <w:u w:val="single"/>
        </w:rPr>
        <w:t>CASE PRESENTATION</w:t>
      </w:r>
    </w:p>
    <w:p w14:paraId="50429D84"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i/>
          <w:color w:val="000000"/>
        </w:rPr>
        <w:t>Chief complaints</w:t>
      </w:r>
    </w:p>
    <w:p w14:paraId="26A1B6B5"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A 61-year-old Japanese woman developed nausea, vomiting, and diarrhea.</w:t>
      </w:r>
    </w:p>
    <w:p w14:paraId="24EB0ADB" w14:textId="77777777" w:rsidR="00A77B3E" w:rsidRPr="00B75401" w:rsidRDefault="00A77B3E" w:rsidP="00B75401">
      <w:pPr>
        <w:adjustRightInd w:val="0"/>
        <w:snapToGrid w:val="0"/>
        <w:spacing w:line="360" w:lineRule="auto"/>
        <w:jc w:val="both"/>
        <w:rPr>
          <w:rFonts w:ascii="Book Antiqua" w:hAnsi="Book Antiqua"/>
        </w:rPr>
      </w:pPr>
    </w:p>
    <w:p w14:paraId="680C49E0"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i/>
          <w:color w:val="000000"/>
        </w:rPr>
        <w:t>History of present illness</w:t>
      </w:r>
    </w:p>
    <w:p w14:paraId="3A7AF9CE" w14:textId="36B92BCB"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Three months before the first admission, she experienced nasal congestion, aural fullness, and auditory disturbance, and was diagnosed with otitis media. Also, two months before presentation, she experienced cough worsening, and chest radiography revealed a pulmonary infiltrative shadow. Two months before presentation, she was referred to our hospital for the evaluation of pulmonary consolidation with positive myeloperoxidase-ANCA (MPO-ANCA). She was admitted to the previous hospital. She had a body temperature of 38</w:t>
      </w:r>
      <w:r w:rsidR="006C48D2">
        <w:rPr>
          <w:rFonts w:ascii="Book Antiqua" w:eastAsia="Book Antiqua" w:hAnsi="Book Antiqua" w:cs="Book Antiqua"/>
          <w:color w:val="000000"/>
        </w:rPr>
        <w:t xml:space="preserve"> </w:t>
      </w:r>
      <w:r w:rsidRPr="00B75401">
        <w:rPr>
          <w:rFonts w:ascii="Book Antiqua" w:eastAsia="Book Antiqua" w:hAnsi="Book Antiqua" w:cs="Book Antiqua"/>
          <w:color w:val="000000"/>
        </w:rPr>
        <w:t>°C and elevated C-reactive protein level (7.7 mg/dL). Although she was treated with antibiotics, her symptoms, inflammatory markers, and chest infiltrates did not improve. Laboratory examination showed a high titer of MPO-ANCA (Table 1), and she was referred to our hospital. After admission, her creatinine level increased with proteinuria, glomerular hematuria, and granular casts, indicating the presence of rapidly progressive glomerulonephritis (RPGN). Granulomatosis with polyangiitis (GPA) was diagnosed on the basis of the presence of otitis media, sinusitis, pulmonary nodule, RPGN, and positive MPO-ANCA. She received pulsed methylprednisolone followed by prednisolone (PSL) 55 mg/d in combination with intravenous CPA at a dose of 500 mg/mo. Her condition significantly improved, and she was discharged 9 d after the second course of intravenous CPA when the PSL dose was 45 mg/d. She developed nausea, vomiting, and diarrhea the day after discharge, and was admitted to our hospital.</w:t>
      </w:r>
    </w:p>
    <w:p w14:paraId="1ACE2F1A" w14:textId="77777777" w:rsidR="00A77B3E" w:rsidRPr="00B75401" w:rsidRDefault="00A77B3E" w:rsidP="00B75401">
      <w:pPr>
        <w:adjustRightInd w:val="0"/>
        <w:snapToGrid w:val="0"/>
        <w:spacing w:line="360" w:lineRule="auto"/>
        <w:jc w:val="both"/>
        <w:rPr>
          <w:rFonts w:ascii="Book Antiqua" w:hAnsi="Book Antiqua"/>
        </w:rPr>
      </w:pPr>
    </w:p>
    <w:p w14:paraId="72F1B50F"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i/>
          <w:color w:val="000000"/>
        </w:rPr>
        <w:t>History of past illness</w:t>
      </w:r>
    </w:p>
    <w:p w14:paraId="3DBBFEA1"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She had been diagnosed with Grave’s disease since the age of 40.</w:t>
      </w:r>
    </w:p>
    <w:p w14:paraId="70243BD4" w14:textId="77777777" w:rsidR="00A77B3E" w:rsidRPr="00B75401" w:rsidRDefault="00A77B3E" w:rsidP="00B75401">
      <w:pPr>
        <w:adjustRightInd w:val="0"/>
        <w:snapToGrid w:val="0"/>
        <w:spacing w:line="360" w:lineRule="auto"/>
        <w:jc w:val="both"/>
        <w:rPr>
          <w:rFonts w:ascii="Book Antiqua" w:hAnsi="Book Antiqua"/>
        </w:rPr>
      </w:pPr>
    </w:p>
    <w:p w14:paraId="39182FF3"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i/>
          <w:color w:val="000000"/>
        </w:rPr>
        <w:t>Personal and family history</w:t>
      </w:r>
    </w:p>
    <w:p w14:paraId="6FF44189"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The patient had no family history.</w:t>
      </w:r>
    </w:p>
    <w:p w14:paraId="088310D2" w14:textId="77777777" w:rsidR="00A77B3E" w:rsidRPr="00B75401" w:rsidRDefault="00A77B3E" w:rsidP="00B75401">
      <w:pPr>
        <w:adjustRightInd w:val="0"/>
        <w:snapToGrid w:val="0"/>
        <w:spacing w:line="360" w:lineRule="auto"/>
        <w:jc w:val="both"/>
        <w:rPr>
          <w:rFonts w:ascii="Book Antiqua" w:hAnsi="Book Antiqua"/>
        </w:rPr>
      </w:pPr>
    </w:p>
    <w:p w14:paraId="2728F912"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i/>
          <w:color w:val="000000"/>
        </w:rPr>
        <w:t>Physical examination</w:t>
      </w:r>
    </w:p>
    <w:p w14:paraId="69E7E487" w14:textId="4F12DDE5"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On admission, her consciousness was clear, body temperature was 36.3</w:t>
      </w:r>
      <w:r w:rsidR="006C48D2">
        <w:rPr>
          <w:rFonts w:ascii="Book Antiqua" w:eastAsia="Book Antiqua" w:hAnsi="Book Antiqua" w:cs="Book Antiqua"/>
          <w:color w:val="000000"/>
        </w:rPr>
        <w:t xml:space="preserve"> </w:t>
      </w:r>
      <w:r w:rsidRPr="00B75401">
        <w:rPr>
          <w:rFonts w:ascii="Book Antiqua" w:eastAsia="Book Antiqua" w:hAnsi="Book Antiqua" w:cs="Book Antiqua"/>
          <w:color w:val="000000"/>
        </w:rPr>
        <w:t>°C, and body pressure was 106/75 mmHg. Her abdomen was soft and flat, with pain in the left lower quadrant without defense or rebound tenderness.</w:t>
      </w:r>
    </w:p>
    <w:p w14:paraId="003709B4" w14:textId="77777777" w:rsidR="00A77B3E" w:rsidRPr="00B75401" w:rsidRDefault="00A77B3E" w:rsidP="00B75401">
      <w:pPr>
        <w:adjustRightInd w:val="0"/>
        <w:snapToGrid w:val="0"/>
        <w:spacing w:line="360" w:lineRule="auto"/>
        <w:jc w:val="both"/>
        <w:rPr>
          <w:rFonts w:ascii="Book Antiqua" w:hAnsi="Book Antiqua"/>
        </w:rPr>
      </w:pPr>
    </w:p>
    <w:p w14:paraId="5A7BFF21"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i/>
          <w:color w:val="000000"/>
        </w:rPr>
        <w:t>Laboratory examinations</w:t>
      </w:r>
    </w:p>
    <w:p w14:paraId="61F76C6E"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Laboratory testing indicated hypoalbuminemia and hypogammaglobulinemia, suggesting protein-losing enteropathy that resulted in the leakage of proteins from the gastrointestinal tract (Table 1).</w:t>
      </w:r>
    </w:p>
    <w:p w14:paraId="6C079F36" w14:textId="77777777" w:rsidR="00A77B3E" w:rsidRPr="00B75401" w:rsidRDefault="00A77B3E" w:rsidP="00B75401">
      <w:pPr>
        <w:adjustRightInd w:val="0"/>
        <w:snapToGrid w:val="0"/>
        <w:spacing w:line="360" w:lineRule="auto"/>
        <w:jc w:val="both"/>
        <w:rPr>
          <w:rFonts w:ascii="Book Antiqua" w:hAnsi="Book Antiqua"/>
        </w:rPr>
      </w:pPr>
    </w:p>
    <w:p w14:paraId="7B73BFFE"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i/>
          <w:color w:val="000000"/>
        </w:rPr>
        <w:t>Imaging examinations</w:t>
      </w:r>
    </w:p>
    <w:p w14:paraId="22996A56" w14:textId="5D63F211"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 xml:space="preserve">Abdominal radiography did not show niveau or free air. </w:t>
      </w:r>
      <w:r w:rsidR="00C15C20" w:rsidRPr="00B75401">
        <w:rPr>
          <w:rFonts w:ascii="Book Antiqua" w:eastAsia="Book Antiqua" w:hAnsi="Book Antiqua" w:cs="Book Antiqua"/>
          <w:color w:val="000000"/>
        </w:rPr>
        <w:t>Computed tomography (CT)</w:t>
      </w:r>
      <w:r w:rsidRPr="00B75401">
        <w:rPr>
          <w:rFonts w:ascii="Book Antiqua" w:eastAsia="Book Antiqua" w:hAnsi="Book Antiqua" w:cs="Book Antiqua"/>
          <w:color w:val="000000"/>
        </w:rPr>
        <w:t xml:space="preserve"> revealed wall thickening of the stomach, small intestine, and colon with contrast enhancement on the lumen side (Figure 1A). The contrast enhancement of the outer layer of the intestine was poor, indicating edematous change. Upper gastrointestinal endoscopy showed edematous thickening of the stomach and diffusely distributed erosion throughout the descending duodenum (Figure 1B). Colonoscopy showed generalized edema and depression with erythema, mainly at the end of the ileum. The depression had no ulcerated surface. </w:t>
      </w:r>
    </w:p>
    <w:p w14:paraId="2C27D15D" w14:textId="77777777" w:rsidR="00B8487C" w:rsidRPr="00B75401" w:rsidRDefault="00B8487C" w:rsidP="00B75401">
      <w:pPr>
        <w:adjustRightInd w:val="0"/>
        <w:snapToGrid w:val="0"/>
        <w:spacing w:line="360" w:lineRule="auto"/>
        <w:jc w:val="both"/>
        <w:rPr>
          <w:rFonts w:ascii="Book Antiqua" w:hAnsi="Book Antiqua"/>
        </w:rPr>
      </w:pPr>
    </w:p>
    <w:p w14:paraId="470BB2DF" w14:textId="4CDBED34"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i/>
          <w:color w:val="000000"/>
        </w:rPr>
        <w:t>Further diagnostic work-up</w:t>
      </w:r>
    </w:p>
    <w:p w14:paraId="26D9FE23" w14:textId="6E181ECF"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 xml:space="preserve">Biopsy showed the absence of malignancy and vasculitis, as well as neoplastic changes including hyperplasia. Mild inflammatory cellular infiltration and some granulation tissues and ulcers were present. Cytomegalovirus staining was negative. Because the differential diagnoses included infectious enteritis, GPA-associated gastroenteritis, and drug-induced enteritis, the patient was initially treated with antibiotics including meropenem. However, hypoalbuminemia progressed. Therefore, we replenished albumin and gamma globulin and performed </w:t>
      </w:r>
      <w:r w:rsidR="00C15C20" w:rsidRPr="00B75401">
        <w:rPr>
          <w:rFonts w:ascii="Book Antiqua" w:eastAsia="Book Antiqua" w:hAnsi="Book Antiqua" w:cs="Book Antiqua"/>
          <w:color w:val="000000"/>
        </w:rPr>
        <w:t>PE</w:t>
      </w:r>
      <w:r w:rsidRPr="00B75401">
        <w:rPr>
          <w:rFonts w:ascii="Book Antiqua" w:eastAsia="Book Antiqua" w:hAnsi="Book Antiqua" w:cs="Book Antiqua"/>
          <w:color w:val="000000"/>
        </w:rPr>
        <w:t>. Her condition did not improve, and her serum albumin levels remained approximately 1.5 mg/dL for &gt; 1 mo. This clinical course ruled out the presence of an infectious etiology. Therefore, we decided to augment immunosuppression, and increased the PSL dose to 60 mg/d and added tacrolimus. Nevertheless, the enteritis did not respond to these treatments, which was contradictory to the autoimmune phenomenon, including GPA-associated enteritis. At this point, infectious and vasculitic etiologies were unlikely.</w:t>
      </w:r>
    </w:p>
    <w:p w14:paraId="13F7587D" w14:textId="77777777" w:rsidR="00A77B3E" w:rsidRPr="00B75401" w:rsidRDefault="00A77B3E" w:rsidP="00B75401">
      <w:pPr>
        <w:adjustRightInd w:val="0"/>
        <w:snapToGrid w:val="0"/>
        <w:spacing w:line="360" w:lineRule="auto"/>
        <w:jc w:val="both"/>
        <w:rPr>
          <w:rFonts w:ascii="Book Antiqua" w:hAnsi="Book Antiqua"/>
        </w:rPr>
      </w:pPr>
    </w:p>
    <w:p w14:paraId="130A69BC"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aps/>
          <w:color w:val="000000"/>
          <w:u w:val="single"/>
        </w:rPr>
        <w:t>FINAL DIAGNOSIS</w:t>
      </w:r>
    </w:p>
    <w:p w14:paraId="11871F3A"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 xml:space="preserve">The CPA-associated enteropathy was considered, as previously reported by Yang </w:t>
      </w:r>
      <w:r w:rsidRPr="00B75401">
        <w:rPr>
          <w:rFonts w:ascii="Book Antiqua" w:eastAsia="Book Antiqua" w:hAnsi="Book Antiqua" w:cs="Book Antiqua"/>
          <w:i/>
          <w:iCs/>
          <w:color w:val="000000"/>
        </w:rPr>
        <w:t>et al</w:t>
      </w:r>
      <w:r w:rsidRPr="00B75401">
        <w:rPr>
          <w:rFonts w:ascii="Book Antiqua" w:eastAsia="Book Antiqua" w:hAnsi="Book Antiqua" w:cs="Book Antiqua"/>
          <w:color w:val="000000"/>
          <w:vertAlign w:val="superscript"/>
        </w:rPr>
        <w:t>[4]</w:t>
      </w:r>
      <w:r w:rsidRPr="00B75401">
        <w:rPr>
          <w:rFonts w:ascii="Book Antiqua" w:eastAsia="Book Antiqua" w:hAnsi="Book Antiqua" w:cs="Book Antiqua"/>
          <w:color w:val="000000"/>
        </w:rPr>
        <w:t xml:space="preserve">. </w:t>
      </w:r>
    </w:p>
    <w:p w14:paraId="07C5A3F4" w14:textId="77777777" w:rsidR="00A77B3E" w:rsidRPr="00B75401" w:rsidRDefault="00A77B3E" w:rsidP="00B75401">
      <w:pPr>
        <w:adjustRightInd w:val="0"/>
        <w:snapToGrid w:val="0"/>
        <w:spacing w:line="360" w:lineRule="auto"/>
        <w:jc w:val="both"/>
        <w:rPr>
          <w:rFonts w:ascii="Book Antiqua" w:hAnsi="Book Antiqua"/>
        </w:rPr>
      </w:pPr>
    </w:p>
    <w:p w14:paraId="442F7DBD"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aps/>
          <w:color w:val="000000"/>
          <w:u w:val="single"/>
        </w:rPr>
        <w:t>TREATMENT</w:t>
      </w:r>
    </w:p>
    <w:p w14:paraId="6CF79B0B" w14:textId="20BA651A"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 xml:space="preserve">Because her condition became seriously exhausted, we tapered the steroid dose and continued supportive therapy including intravenous hyperalimentation, albumin supplementation, </w:t>
      </w:r>
      <w:r w:rsidR="00C15C20" w:rsidRPr="00B75401">
        <w:rPr>
          <w:rFonts w:ascii="Book Antiqua" w:eastAsia="Book Antiqua" w:hAnsi="Book Antiqua" w:cs="Book Antiqua"/>
          <w:color w:val="000000"/>
        </w:rPr>
        <w:t>PE</w:t>
      </w:r>
      <w:r w:rsidRPr="00B75401">
        <w:rPr>
          <w:rFonts w:ascii="Book Antiqua" w:eastAsia="Book Antiqua" w:hAnsi="Book Antiqua" w:cs="Book Antiqua"/>
          <w:color w:val="000000"/>
        </w:rPr>
        <w:t xml:space="preserve">, and infection control (Figure 2). </w:t>
      </w:r>
    </w:p>
    <w:p w14:paraId="7203D799" w14:textId="77777777" w:rsidR="00A77B3E" w:rsidRPr="00B75401" w:rsidRDefault="00A77B3E" w:rsidP="00B75401">
      <w:pPr>
        <w:adjustRightInd w:val="0"/>
        <w:snapToGrid w:val="0"/>
        <w:spacing w:line="360" w:lineRule="auto"/>
        <w:jc w:val="both"/>
        <w:rPr>
          <w:rFonts w:ascii="Book Antiqua" w:hAnsi="Book Antiqua"/>
        </w:rPr>
      </w:pPr>
    </w:p>
    <w:p w14:paraId="18730A49"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aps/>
          <w:color w:val="000000"/>
          <w:u w:val="single"/>
        </w:rPr>
        <w:t>OUTCOME AND FOLLOW-UP</w:t>
      </w:r>
    </w:p>
    <w:p w14:paraId="105E562F"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The supportive therapies improved the patient’s condition, and her enteritis gradually regressed (Figure 3). She was finally discharged 7 mo after the second admission and underwent rehabilitation. At 2 years from discharge, she is now in complete remission and has returned to her previous work.</w:t>
      </w:r>
    </w:p>
    <w:p w14:paraId="0E1CFD61" w14:textId="77777777" w:rsidR="00A77B3E" w:rsidRPr="00B75401" w:rsidRDefault="00A77B3E" w:rsidP="00B75401">
      <w:pPr>
        <w:adjustRightInd w:val="0"/>
        <w:snapToGrid w:val="0"/>
        <w:spacing w:line="360" w:lineRule="auto"/>
        <w:jc w:val="both"/>
        <w:rPr>
          <w:rFonts w:ascii="Book Antiqua" w:hAnsi="Book Antiqua"/>
        </w:rPr>
      </w:pPr>
    </w:p>
    <w:p w14:paraId="09311D7A"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aps/>
          <w:color w:val="000000"/>
          <w:u w:val="single"/>
        </w:rPr>
        <w:t>DISCUSSION</w:t>
      </w:r>
    </w:p>
    <w:p w14:paraId="3C447D61" w14:textId="46A87298"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 xml:space="preserve">The present case was complicated with severe enteritis, which was considered to be an adverse effect of CPA. Although the patient had severe protein-losing </w:t>
      </w:r>
      <w:r w:rsidRPr="00CD62AB">
        <w:rPr>
          <w:rFonts w:ascii="Book Antiqua" w:eastAsia="Book Antiqua" w:hAnsi="Book Antiqua" w:cs="Book Antiqua"/>
          <w:color w:val="000000"/>
        </w:rPr>
        <w:t>enteropathy,</w:t>
      </w:r>
      <w:r w:rsidRPr="00B75401">
        <w:rPr>
          <w:rFonts w:ascii="Book Antiqua" w:eastAsia="Book Antiqua" w:hAnsi="Book Antiqua" w:cs="Book Antiqua"/>
          <w:color w:val="000000"/>
        </w:rPr>
        <w:t xml:space="preserve"> her condition was improved by aggressive supportive therapies with repeated administrations of albumin and globulin for several months.</w:t>
      </w:r>
    </w:p>
    <w:p w14:paraId="2A8AC496" w14:textId="7B8CC638" w:rsidR="00A77B3E" w:rsidRPr="00B75401" w:rsidRDefault="004B3E4B" w:rsidP="00B75401">
      <w:pPr>
        <w:adjustRightInd w:val="0"/>
        <w:snapToGrid w:val="0"/>
        <w:spacing w:line="360" w:lineRule="auto"/>
        <w:ind w:firstLineChars="100" w:firstLine="240"/>
        <w:jc w:val="both"/>
        <w:rPr>
          <w:rFonts w:ascii="Book Antiqua" w:hAnsi="Book Antiqua"/>
        </w:rPr>
      </w:pPr>
      <w:r w:rsidRPr="00B75401">
        <w:rPr>
          <w:rFonts w:ascii="Book Antiqua" w:eastAsia="Book Antiqua" w:hAnsi="Book Antiqua" w:cs="Book Antiqua"/>
          <w:color w:val="000000"/>
        </w:rPr>
        <w:t>CPA is one of the frequently used immunosuppressant drugs for vasculitidis. Gastrointestinal involvement of GPA is one of the conditions requiring CPA</w:t>
      </w:r>
      <w:r w:rsidRPr="00B75401">
        <w:rPr>
          <w:rFonts w:ascii="Book Antiqua" w:eastAsia="Book Antiqua" w:hAnsi="Book Antiqua" w:cs="Book Antiqua"/>
          <w:color w:val="000000"/>
          <w:vertAlign w:val="superscript"/>
        </w:rPr>
        <w:t>[5]</w:t>
      </w:r>
      <w:r w:rsidRPr="00B75401">
        <w:rPr>
          <w:rFonts w:ascii="Book Antiqua" w:eastAsia="Book Antiqua" w:hAnsi="Book Antiqua" w:cs="Book Antiqua"/>
          <w:color w:val="000000"/>
        </w:rPr>
        <w:t>. However, CPA-associated enteritis is very rare, and there exists only one case describing a lethal course in a patient with GPA</w:t>
      </w:r>
      <w:r w:rsidRPr="00B75401">
        <w:rPr>
          <w:rFonts w:ascii="Book Antiqua" w:eastAsia="Book Antiqua" w:hAnsi="Book Antiqua" w:cs="Book Antiqua"/>
          <w:color w:val="000000"/>
          <w:vertAlign w:val="superscript"/>
        </w:rPr>
        <w:t>[4]</w:t>
      </w:r>
      <w:r w:rsidRPr="00B75401">
        <w:rPr>
          <w:rFonts w:ascii="Book Antiqua" w:eastAsia="Book Antiqua" w:hAnsi="Book Antiqua" w:cs="Book Antiqua"/>
          <w:color w:val="000000"/>
        </w:rPr>
        <w:t>.</w:t>
      </w:r>
    </w:p>
    <w:p w14:paraId="28A479DF" w14:textId="6D38F03A" w:rsidR="00A77B3E" w:rsidRPr="00B75401" w:rsidRDefault="004B3E4B" w:rsidP="00B75401">
      <w:pPr>
        <w:adjustRightInd w:val="0"/>
        <w:snapToGrid w:val="0"/>
        <w:spacing w:line="360" w:lineRule="auto"/>
        <w:ind w:firstLineChars="100" w:firstLine="240"/>
        <w:jc w:val="both"/>
        <w:rPr>
          <w:rFonts w:ascii="Book Antiqua" w:hAnsi="Book Antiqua"/>
        </w:rPr>
      </w:pPr>
      <w:r w:rsidRPr="00B75401">
        <w:rPr>
          <w:rFonts w:ascii="Book Antiqua" w:eastAsia="Book Antiqua" w:hAnsi="Book Antiqua" w:cs="Book Antiqua"/>
          <w:color w:val="000000"/>
        </w:rPr>
        <w:t>When the present patient manifested abdominal symptoms, her vasculitis was in remission, which was supported by the absence of ear symptoms, normal urinalysis, normal inflammatory marker levels, and negative MPO-ANCA. In addition, there were no histologic signs of vasculitis, granulomatous colitis, or gastritis in biopsy tissues. Further, treatment with immunosuppressants did not improve her condition, which was similar to the previously described case</w:t>
      </w:r>
      <w:r w:rsidRPr="00B75401">
        <w:rPr>
          <w:rFonts w:ascii="Book Antiqua" w:eastAsia="Book Antiqua" w:hAnsi="Book Antiqua" w:cs="Book Antiqua"/>
          <w:color w:val="000000"/>
          <w:vertAlign w:val="superscript"/>
        </w:rPr>
        <w:t>[4</w:t>
      </w:r>
      <w:r w:rsidR="00B8487C" w:rsidRPr="00B75401">
        <w:rPr>
          <w:rFonts w:ascii="Book Antiqua" w:eastAsia="Book Antiqua" w:hAnsi="Book Antiqua" w:cs="Book Antiqua"/>
          <w:color w:val="000000"/>
          <w:vertAlign w:val="superscript"/>
        </w:rPr>
        <w:t>,</w:t>
      </w:r>
      <w:r w:rsidRPr="00B75401">
        <w:rPr>
          <w:rFonts w:ascii="Book Antiqua" w:eastAsia="Book Antiqua" w:hAnsi="Book Antiqua" w:cs="Book Antiqua"/>
          <w:color w:val="000000"/>
          <w:vertAlign w:val="superscript"/>
        </w:rPr>
        <w:t>6</w:t>
      </w:r>
      <w:r w:rsidR="00B8487C" w:rsidRPr="00B75401">
        <w:rPr>
          <w:rFonts w:ascii="Book Antiqua" w:eastAsia="Book Antiqua" w:hAnsi="Book Antiqua" w:cs="Book Antiqua"/>
          <w:color w:val="000000"/>
          <w:vertAlign w:val="superscript"/>
        </w:rPr>
        <w:t>-</w:t>
      </w:r>
      <w:r w:rsidRPr="00B75401">
        <w:rPr>
          <w:rFonts w:ascii="Book Antiqua" w:eastAsia="Book Antiqua" w:hAnsi="Book Antiqua" w:cs="Book Antiqua"/>
          <w:color w:val="000000"/>
          <w:vertAlign w:val="superscript"/>
        </w:rPr>
        <w:t>8]</w:t>
      </w:r>
      <w:r w:rsidRPr="00B75401">
        <w:rPr>
          <w:rFonts w:ascii="Book Antiqua" w:eastAsia="Book Antiqua" w:hAnsi="Book Antiqua" w:cs="Book Antiqua"/>
          <w:color w:val="000000"/>
        </w:rPr>
        <w:t xml:space="preserve">. In addition, the blood culture, fecal culture, </w:t>
      </w:r>
      <w:r w:rsidRPr="00B75401">
        <w:rPr>
          <w:rFonts w:ascii="Book Antiqua" w:eastAsia="Book Antiqua" w:hAnsi="Book Antiqua" w:cs="Book Antiqua"/>
          <w:i/>
          <w:iCs/>
          <w:color w:val="000000"/>
        </w:rPr>
        <w:t>Clostridium difficile</w:t>
      </w:r>
      <w:r w:rsidRPr="00B75401">
        <w:rPr>
          <w:rFonts w:ascii="Book Antiqua" w:eastAsia="Book Antiqua" w:hAnsi="Book Antiqua" w:cs="Book Antiqua"/>
          <w:color w:val="000000"/>
        </w:rPr>
        <w:t xml:space="preserve"> toxin, and cytomegalovirus tests were all negative. Because it was possible that these test results were false negative, antibiotics were administered, which did not improve the enteritis.</w:t>
      </w:r>
    </w:p>
    <w:p w14:paraId="48E42F83" w14:textId="3B300037" w:rsidR="00A77B3E" w:rsidRPr="00B75401" w:rsidRDefault="004B3E4B" w:rsidP="00B75401">
      <w:pPr>
        <w:adjustRightInd w:val="0"/>
        <w:snapToGrid w:val="0"/>
        <w:spacing w:line="360" w:lineRule="auto"/>
        <w:ind w:firstLineChars="100" w:firstLine="240"/>
        <w:jc w:val="both"/>
        <w:rPr>
          <w:rFonts w:ascii="Book Antiqua" w:hAnsi="Book Antiqua"/>
        </w:rPr>
      </w:pPr>
      <w:r w:rsidRPr="00B75401">
        <w:rPr>
          <w:rFonts w:ascii="Book Antiqua" w:eastAsia="Book Antiqua" w:hAnsi="Book Antiqua" w:cs="Book Antiqua"/>
          <w:color w:val="000000"/>
        </w:rPr>
        <w:t>The mechanisms by which CPA causes enteritis are not well defined. In the field of oncology, CPA is likely to be associated with gastrointestinal involvement and mucositis, which may be related to the gut microbiota</w:t>
      </w:r>
      <w:r w:rsidRPr="00B75401">
        <w:rPr>
          <w:rFonts w:ascii="Book Antiqua" w:eastAsia="Book Antiqua" w:hAnsi="Book Antiqua" w:cs="Book Antiqua"/>
          <w:color w:val="000000"/>
          <w:vertAlign w:val="superscript"/>
        </w:rPr>
        <w:t>[9]</w:t>
      </w:r>
      <w:r w:rsidRPr="00B75401">
        <w:rPr>
          <w:rFonts w:ascii="Book Antiqua" w:eastAsia="Book Antiqua" w:hAnsi="Book Antiqua" w:cs="Book Antiqua"/>
          <w:color w:val="000000"/>
        </w:rPr>
        <w:t xml:space="preserve">. In a mouse model, Viaud </w:t>
      </w:r>
      <w:r w:rsidRPr="00B75401">
        <w:rPr>
          <w:rFonts w:ascii="Book Antiqua" w:eastAsia="Book Antiqua" w:hAnsi="Book Antiqua" w:cs="Book Antiqua"/>
          <w:i/>
          <w:iCs/>
          <w:color w:val="000000"/>
        </w:rPr>
        <w:t>et al</w:t>
      </w:r>
      <w:r w:rsidR="00B8487C" w:rsidRPr="00B75401">
        <w:rPr>
          <w:rFonts w:ascii="Book Antiqua" w:eastAsia="Book Antiqua" w:hAnsi="Book Antiqua" w:cs="Book Antiqua"/>
          <w:color w:val="000000"/>
          <w:vertAlign w:val="superscript"/>
        </w:rPr>
        <w:t>[10]</w:t>
      </w:r>
      <w:r w:rsidRPr="00B75401">
        <w:rPr>
          <w:rFonts w:ascii="Book Antiqua" w:eastAsia="Book Antiqua" w:hAnsi="Book Antiqua" w:cs="Book Antiqua"/>
          <w:color w:val="000000"/>
        </w:rPr>
        <w:t xml:space="preserve"> reported that CPA altered the microbiota composition in the small intestine and induced the translocation of selected species of gram-positive bacteria into secondary lymphoid organs.</w:t>
      </w:r>
    </w:p>
    <w:p w14:paraId="74FF83B6" w14:textId="5E4A62BF" w:rsidR="00A77B3E" w:rsidRPr="00B75401" w:rsidRDefault="004B3E4B" w:rsidP="00B75401">
      <w:pPr>
        <w:adjustRightInd w:val="0"/>
        <w:snapToGrid w:val="0"/>
        <w:spacing w:line="360" w:lineRule="auto"/>
        <w:ind w:firstLineChars="100" w:firstLine="240"/>
        <w:jc w:val="both"/>
        <w:rPr>
          <w:rFonts w:ascii="Book Antiqua" w:hAnsi="Book Antiqua"/>
        </w:rPr>
      </w:pPr>
      <w:r w:rsidRPr="00B75401">
        <w:rPr>
          <w:rFonts w:ascii="Book Antiqua" w:eastAsia="Book Antiqua" w:hAnsi="Book Antiqua" w:cs="Book Antiqua"/>
          <w:color w:val="000000"/>
        </w:rPr>
        <w:t>We compared the clinical characteristics between the present case and the previous case. In the present case, symptoms appeared 38 d after the first intravenous CPA (500 mg/mo), whereas the previous case showed symptoms 2 wk after the start of oral CPA (100 mg/d). Therefore, the cumulative dose of CPA at the onset of symptoms was 1 g in the present case and 1.4 g in the previous case. Gastrointestinal lesions were distributed in the stomach, duodenum, small bowel, and colon in the present case, whereas they were limited to the small bowel and colon in the previous case. In the present case, CT showed massive wall thickening with prominent contrast enhancement in the mucosa. The outer layer showed edematous thickening. Upper gastrointestinal endoscopy showed edematous thickening of the stomach and diffusely distributed erosion throughout the descending duodenum. Colonoscopy showed generalized edema from the transverse colon to the rectum. The clinical imaging findings in the previous case were similar to the diffuse mural thickening on CT and denuded and erythematous mucosa on endoscopy in the present case.</w:t>
      </w:r>
    </w:p>
    <w:p w14:paraId="07CA2729" w14:textId="29EAF529" w:rsidR="00B8487C" w:rsidRPr="00B75401" w:rsidRDefault="004B3E4B" w:rsidP="00B75401">
      <w:pPr>
        <w:adjustRightInd w:val="0"/>
        <w:snapToGrid w:val="0"/>
        <w:spacing w:line="360" w:lineRule="auto"/>
        <w:ind w:firstLineChars="100" w:firstLine="240"/>
        <w:jc w:val="both"/>
        <w:rPr>
          <w:rFonts w:ascii="Book Antiqua" w:eastAsia="Book Antiqua" w:hAnsi="Book Antiqua" w:cs="Book Antiqua"/>
          <w:color w:val="000000"/>
        </w:rPr>
      </w:pPr>
      <w:r w:rsidRPr="00B75401">
        <w:rPr>
          <w:rFonts w:ascii="Book Antiqua" w:eastAsia="Book Antiqua" w:hAnsi="Book Antiqua" w:cs="Book Antiqua"/>
          <w:color w:val="000000"/>
        </w:rPr>
        <w:t>The difference from the previous report was that the present patient survived with intensive supportive therapy. In the previous case, CPA was continued for 1 mo with reduction to 50 mg/d after the complication of enteritis appeared, and then stopped. Therefore, the patient received 2.1 g CPA in total. In the present case, intravenous CPA was immediately stopped after the development of abdominal symptoms and the patient received 1 g CPA in total. Whether the cumulative dose of CPA influences the length of enteritis is uncertain, but the lower total CPA dose may be one of the reasons for the survival of the present patient. Nonetheless, this case confirmed that enteritis could develop not only with oral administration but also with intravenous injection of CPA.</w:t>
      </w:r>
    </w:p>
    <w:p w14:paraId="096CD621" w14:textId="1080D69C" w:rsidR="00A77B3E" w:rsidRPr="00B75401" w:rsidRDefault="004B3E4B" w:rsidP="00B75401">
      <w:pPr>
        <w:adjustRightInd w:val="0"/>
        <w:snapToGrid w:val="0"/>
        <w:spacing w:line="360" w:lineRule="auto"/>
        <w:ind w:firstLineChars="100" w:firstLine="240"/>
        <w:jc w:val="both"/>
        <w:rPr>
          <w:rFonts w:ascii="Book Antiqua" w:hAnsi="Book Antiqua"/>
        </w:rPr>
      </w:pPr>
      <w:r w:rsidRPr="00B75401">
        <w:rPr>
          <w:rFonts w:ascii="Book Antiqua" w:eastAsia="Book Antiqua" w:hAnsi="Book Antiqua" w:cs="Book Antiqua"/>
          <w:color w:val="000000"/>
        </w:rPr>
        <w:t xml:space="preserve">With respect to treatment, no specific therapy exists for CPA-induced enteritis. However, the associated tissue injury is severe and can last for months, resulting in the loss of serum proteins including albumin and gamma globulin. Therefore, aggressive supportive therapies including hyperalimentation, replenishment of albumin and gamma globulin, and </w:t>
      </w:r>
      <w:r w:rsidR="00C15C20" w:rsidRPr="00B75401">
        <w:rPr>
          <w:rFonts w:ascii="Book Antiqua" w:eastAsia="Book Antiqua" w:hAnsi="Book Antiqua" w:cs="Book Antiqua"/>
          <w:color w:val="000000"/>
        </w:rPr>
        <w:t>PE</w:t>
      </w:r>
      <w:r w:rsidRPr="00B75401">
        <w:rPr>
          <w:rFonts w:ascii="Book Antiqua" w:eastAsia="Book Antiqua" w:hAnsi="Book Antiqua" w:cs="Book Antiqua"/>
          <w:color w:val="000000"/>
        </w:rPr>
        <w:t xml:space="preserve"> in severe cases are important. Because continuation of CPA is difficult in patients who experienced CPA-induced enteritis, rituximab or azathioprine can be the alternative treatment for GPA. </w:t>
      </w:r>
    </w:p>
    <w:p w14:paraId="2F5F70F4" w14:textId="77777777" w:rsidR="00A77B3E" w:rsidRPr="00B75401" w:rsidRDefault="00A77B3E" w:rsidP="00B75401">
      <w:pPr>
        <w:adjustRightInd w:val="0"/>
        <w:snapToGrid w:val="0"/>
        <w:spacing w:line="360" w:lineRule="auto"/>
        <w:jc w:val="both"/>
        <w:rPr>
          <w:rFonts w:ascii="Book Antiqua" w:hAnsi="Book Antiqua"/>
        </w:rPr>
      </w:pPr>
    </w:p>
    <w:p w14:paraId="7B7D069F"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aps/>
          <w:color w:val="000000"/>
          <w:u w:val="single"/>
        </w:rPr>
        <w:t>CONCLUSION</w:t>
      </w:r>
    </w:p>
    <w:p w14:paraId="0673F4A1"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In conclusion, severe enteritis is a rare but life-threatening adverse effect of CPA. Immediate discontinuation of CPA and persistent supportive treatment are crucial for survival.</w:t>
      </w:r>
    </w:p>
    <w:p w14:paraId="297C8980" w14:textId="77777777" w:rsidR="00A77B3E" w:rsidRPr="00B75401" w:rsidRDefault="00A77B3E" w:rsidP="00B75401">
      <w:pPr>
        <w:adjustRightInd w:val="0"/>
        <w:snapToGrid w:val="0"/>
        <w:spacing w:line="360" w:lineRule="auto"/>
        <w:jc w:val="both"/>
        <w:rPr>
          <w:rFonts w:ascii="Book Antiqua" w:hAnsi="Book Antiqua"/>
        </w:rPr>
      </w:pPr>
    </w:p>
    <w:p w14:paraId="29B3B224"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aps/>
          <w:color w:val="000000"/>
          <w:u w:val="single"/>
        </w:rPr>
        <w:t>ACKNOWLEDGEMENTS</w:t>
      </w:r>
    </w:p>
    <w:p w14:paraId="6DC5E338" w14:textId="26AE2A5E" w:rsidR="00A77B3E" w:rsidRPr="00B75401" w:rsidRDefault="004B3E4B" w:rsidP="00B75401">
      <w:pPr>
        <w:adjustRightInd w:val="0"/>
        <w:snapToGrid w:val="0"/>
        <w:spacing w:line="360" w:lineRule="auto"/>
        <w:jc w:val="both"/>
        <w:rPr>
          <w:rFonts w:ascii="Book Antiqua" w:hAnsi="Book Antiqua"/>
        </w:rPr>
      </w:pPr>
      <w:bookmarkStart w:id="8" w:name="OLE_LINK11"/>
      <w:bookmarkStart w:id="9" w:name="OLE_LINK12"/>
      <w:r w:rsidRPr="00B75401">
        <w:rPr>
          <w:rFonts w:ascii="Book Antiqua" w:eastAsia="Book Antiqua" w:hAnsi="Book Antiqua" w:cs="Book Antiqua"/>
          <w:color w:val="000000"/>
        </w:rPr>
        <w:t xml:space="preserve">The authors thank the staff of the </w:t>
      </w:r>
      <w:r w:rsidR="00C009BA">
        <w:rPr>
          <w:rFonts w:ascii="Book Antiqua" w:eastAsia="Book Antiqua" w:hAnsi="Book Antiqua" w:cs="Book Antiqua"/>
          <w:color w:val="000000"/>
        </w:rPr>
        <w:t>d</w:t>
      </w:r>
      <w:r w:rsidRPr="00B75401">
        <w:rPr>
          <w:rFonts w:ascii="Book Antiqua" w:eastAsia="Book Antiqua" w:hAnsi="Book Antiqua" w:cs="Book Antiqua"/>
          <w:color w:val="000000"/>
        </w:rPr>
        <w:t xml:space="preserve">epartment of </w:t>
      </w:r>
      <w:r w:rsidR="00C009BA">
        <w:rPr>
          <w:rFonts w:ascii="Book Antiqua" w:eastAsia="Book Antiqua" w:hAnsi="Book Antiqua" w:cs="Book Antiqua"/>
          <w:color w:val="000000"/>
        </w:rPr>
        <w:t>h</w:t>
      </w:r>
      <w:r w:rsidRPr="00B75401">
        <w:rPr>
          <w:rFonts w:ascii="Book Antiqua" w:eastAsia="Book Antiqua" w:hAnsi="Book Antiqua" w:cs="Book Antiqua"/>
          <w:color w:val="000000"/>
        </w:rPr>
        <w:t xml:space="preserve">ematology </w:t>
      </w:r>
      <w:r w:rsidR="00B8487C" w:rsidRPr="00B75401">
        <w:rPr>
          <w:rFonts w:ascii="Book Antiqua" w:eastAsia="Book Antiqua" w:hAnsi="Book Antiqua" w:cs="Book Antiqua"/>
          <w:color w:val="000000"/>
        </w:rPr>
        <w:t>and</w:t>
      </w:r>
      <w:r w:rsidRPr="00B75401">
        <w:rPr>
          <w:rFonts w:ascii="Book Antiqua" w:eastAsia="Book Antiqua" w:hAnsi="Book Antiqua" w:cs="Book Antiqua"/>
          <w:color w:val="000000"/>
        </w:rPr>
        <w:t xml:space="preserve"> </w:t>
      </w:r>
      <w:r w:rsidR="00C009BA">
        <w:rPr>
          <w:rFonts w:ascii="Book Antiqua" w:eastAsia="Book Antiqua" w:hAnsi="Book Antiqua" w:cs="Book Antiqua"/>
          <w:color w:val="000000"/>
        </w:rPr>
        <w:t>r</w:t>
      </w:r>
      <w:r w:rsidRPr="00B75401">
        <w:rPr>
          <w:rFonts w:ascii="Book Antiqua" w:eastAsia="Book Antiqua" w:hAnsi="Book Antiqua" w:cs="Book Antiqua"/>
          <w:color w:val="000000"/>
        </w:rPr>
        <w:t>heumatology, Tohoku University, for helpful discussions.</w:t>
      </w:r>
    </w:p>
    <w:bookmarkEnd w:id="8"/>
    <w:bookmarkEnd w:id="9"/>
    <w:p w14:paraId="5BAADADF" w14:textId="77777777" w:rsidR="00A77B3E" w:rsidRPr="00B75401" w:rsidRDefault="00A77B3E" w:rsidP="00B75401">
      <w:pPr>
        <w:adjustRightInd w:val="0"/>
        <w:snapToGrid w:val="0"/>
        <w:spacing w:line="360" w:lineRule="auto"/>
        <w:jc w:val="both"/>
        <w:rPr>
          <w:rFonts w:ascii="Book Antiqua" w:hAnsi="Book Antiqua"/>
        </w:rPr>
      </w:pPr>
    </w:p>
    <w:p w14:paraId="449B7CD8"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olor w:val="000000"/>
        </w:rPr>
        <w:t>REFERENCES</w:t>
      </w:r>
    </w:p>
    <w:p w14:paraId="1C115086" w14:textId="77777777" w:rsidR="00A77B3E" w:rsidRPr="00B75401" w:rsidRDefault="004B3E4B" w:rsidP="00B75401">
      <w:pPr>
        <w:adjustRightInd w:val="0"/>
        <w:snapToGrid w:val="0"/>
        <w:spacing w:line="360" w:lineRule="auto"/>
        <w:jc w:val="both"/>
        <w:rPr>
          <w:rFonts w:ascii="Book Antiqua" w:hAnsi="Book Antiqua"/>
        </w:rPr>
      </w:pPr>
      <w:bookmarkStart w:id="10" w:name="OLE_LINK13"/>
      <w:bookmarkStart w:id="11" w:name="OLE_LINK14"/>
      <w:r w:rsidRPr="00B75401">
        <w:rPr>
          <w:rFonts w:ascii="Book Antiqua" w:eastAsia="Book Antiqua" w:hAnsi="Book Antiqua" w:cs="Book Antiqua"/>
          <w:color w:val="000000"/>
        </w:rPr>
        <w:t xml:space="preserve">1 </w:t>
      </w:r>
      <w:r w:rsidRPr="00B75401">
        <w:rPr>
          <w:rFonts w:ascii="Book Antiqua" w:eastAsia="Book Antiqua" w:hAnsi="Book Antiqua" w:cs="Book Antiqua"/>
          <w:b/>
          <w:bCs/>
          <w:color w:val="000000"/>
        </w:rPr>
        <w:t>Guillevin L</w:t>
      </w:r>
      <w:r w:rsidRPr="00B75401">
        <w:rPr>
          <w:rFonts w:ascii="Book Antiqua" w:eastAsia="Book Antiqua" w:hAnsi="Book Antiqua" w:cs="Book Antiqua"/>
          <w:color w:val="000000"/>
        </w:rPr>
        <w:t xml:space="preserve">, Pagnoux C, Seror R, Mahr A, Mouthon L, Toumelin PL; French Vasculitis Study Group (FVSG). The Five-Factor Score revisited: assessment of prognoses of systemic necrotizing vasculitides based on the French Vasculitis Study Group (FVSG) cohort. </w:t>
      </w:r>
      <w:r w:rsidRPr="00B75401">
        <w:rPr>
          <w:rFonts w:ascii="Book Antiqua" w:eastAsia="Book Antiqua" w:hAnsi="Book Antiqua" w:cs="Book Antiqua"/>
          <w:i/>
          <w:iCs/>
          <w:color w:val="000000"/>
        </w:rPr>
        <w:t>Medicine (Baltimore)</w:t>
      </w:r>
      <w:r w:rsidRPr="00B75401">
        <w:rPr>
          <w:rFonts w:ascii="Book Antiqua" w:eastAsia="Book Antiqua" w:hAnsi="Book Antiqua" w:cs="Book Antiqua"/>
          <w:color w:val="000000"/>
        </w:rPr>
        <w:t xml:space="preserve"> 2011; </w:t>
      </w:r>
      <w:r w:rsidRPr="00B75401">
        <w:rPr>
          <w:rFonts w:ascii="Book Antiqua" w:eastAsia="Book Antiqua" w:hAnsi="Book Antiqua" w:cs="Book Antiqua"/>
          <w:b/>
          <w:bCs/>
          <w:color w:val="000000"/>
        </w:rPr>
        <w:t>90</w:t>
      </w:r>
      <w:r w:rsidRPr="00B75401">
        <w:rPr>
          <w:rFonts w:ascii="Book Antiqua" w:eastAsia="Book Antiqua" w:hAnsi="Book Antiqua" w:cs="Book Antiqua"/>
          <w:color w:val="000000"/>
        </w:rPr>
        <w:t>: 19-27 [</w:t>
      </w:r>
      <w:bookmarkStart w:id="12" w:name="OLE_LINK1"/>
      <w:bookmarkStart w:id="13" w:name="OLE_LINK2"/>
      <w:r w:rsidRPr="00B75401">
        <w:rPr>
          <w:rFonts w:ascii="Book Antiqua" w:eastAsia="Book Antiqua" w:hAnsi="Book Antiqua" w:cs="Book Antiqua"/>
          <w:color w:val="000000"/>
        </w:rPr>
        <w:t>PMID</w:t>
      </w:r>
      <w:bookmarkEnd w:id="12"/>
      <w:bookmarkEnd w:id="13"/>
      <w:r w:rsidRPr="00B75401">
        <w:rPr>
          <w:rFonts w:ascii="Book Antiqua" w:eastAsia="Book Antiqua" w:hAnsi="Book Antiqua" w:cs="Book Antiqua"/>
          <w:color w:val="000000"/>
        </w:rPr>
        <w:t>: 21200183 DOI: 10.1097/MD.0b013e318205a4c6]</w:t>
      </w:r>
    </w:p>
    <w:p w14:paraId="5F4AE74A"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 xml:space="preserve">2 </w:t>
      </w:r>
      <w:r w:rsidRPr="00B75401">
        <w:rPr>
          <w:rFonts w:ascii="Book Antiqua" w:eastAsia="Book Antiqua" w:hAnsi="Book Antiqua" w:cs="Book Antiqua"/>
          <w:b/>
          <w:bCs/>
          <w:color w:val="000000"/>
        </w:rPr>
        <w:t>de Jonge ME</w:t>
      </w:r>
      <w:r w:rsidRPr="00B75401">
        <w:rPr>
          <w:rFonts w:ascii="Book Antiqua" w:eastAsia="Book Antiqua" w:hAnsi="Book Antiqua" w:cs="Book Antiqua"/>
          <w:color w:val="000000"/>
        </w:rPr>
        <w:t xml:space="preserve">, Huitema AD, Rodenhuis S, Beijnen JH. Clinical pharmacokinetics of cyclophosphamide. </w:t>
      </w:r>
      <w:r w:rsidRPr="00B75401">
        <w:rPr>
          <w:rFonts w:ascii="Book Antiqua" w:eastAsia="Book Antiqua" w:hAnsi="Book Antiqua" w:cs="Book Antiqua"/>
          <w:i/>
          <w:iCs/>
          <w:color w:val="000000"/>
        </w:rPr>
        <w:t>Clin Pharmacokinet</w:t>
      </w:r>
      <w:r w:rsidRPr="00B75401">
        <w:rPr>
          <w:rFonts w:ascii="Book Antiqua" w:eastAsia="Book Antiqua" w:hAnsi="Book Antiqua" w:cs="Book Antiqua"/>
          <w:color w:val="000000"/>
        </w:rPr>
        <w:t xml:space="preserve"> 2005; </w:t>
      </w:r>
      <w:r w:rsidRPr="00B75401">
        <w:rPr>
          <w:rFonts w:ascii="Book Antiqua" w:eastAsia="Book Antiqua" w:hAnsi="Book Antiqua" w:cs="Book Antiqua"/>
          <w:b/>
          <w:bCs/>
          <w:color w:val="000000"/>
        </w:rPr>
        <w:t>44</w:t>
      </w:r>
      <w:r w:rsidRPr="00B75401">
        <w:rPr>
          <w:rFonts w:ascii="Book Antiqua" w:eastAsia="Book Antiqua" w:hAnsi="Book Antiqua" w:cs="Book Antiqua"/>
          <w:color w:val="000000"/>
        </w:rPr>
        <w:t>: 1135-1164 [PMID: 16231966 DOI: 10.2165/00003088-200544110-00003]</w:t>
      </w:r>
    </w:p>
    <w:p w14:paraId="5797EE14"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 xml:space="preserve">3 </w:t>
      </w:r>
      <w:r w:rsidRPr="00B75401">
        <w:rPr>
          <w:rFonts w:ascii="Book Antiqua" w:eastAsia="Book Antiqua" w:hAnsi="Book Antiqua" w:cs="Book Antiqua"/>
          <w:b/>
          <w:bCs/>
          <w:color w:val="000000"/>
        </w:rPr>
        <w:t>Ahmed AR</w:t>
      </w:r>
      <w:r w:rsidRPr="00B75401">
        <w:rPr>
          <w:rFonts w:ascii="Book Antiqua" w:eastAsia="Book Antiqua" w:hAnsi="Book Antiqua" w:cs="Book Antiqua"/>
          <w:color w:val="000000"/>
        </w:rPr>
        <w:t xml:space="preserve">, Hombal SM. Cyclophosphamide (Cytoxan). A review on relevant pharmacology and clinical uses. </w:t>
      </w:r>
      <w:r w:rsidRPr="00B75401">
        <w:rPr>
          <w:rFonts w:ascii="Book Antiqua" w:eastAsia="Book Antiqua" w:hAnsi="Book Antiqua" w:cs="Book Antiqua"/>
          <w:i/>
          <w:iCs/>
          <w:color w:val="000000"/>
        </w:rPr>
        <w:t>J Am Acad Dermatol</w:t>
      </w:r>
      <w:r w:rsidRPr="00B75401">
        <w:rPr>
          <w:rFonts w:ascii="Book Antiqua" w:eastAsia="Book Antiqua" w:hAnsi="Book Antiqua" w:cs="Book Antiqua"/>
          <w:color w:val="000000"/>
        </w:rPr>
        <w:t xml:space="preserve"> 1984; </w:t>
      </w:r>
      <w:r w:rsidRPr="00B75401">
        <w:rPr>
          <w:rFonts w:ascii="Book Antiqua" w:eastAsia="Book Antiqua" w:hAnsi="Book Antiqua" w:cs="Book Antiqua"/>
          <w:b/>
          <w:bCs/>
          <w:color w:val="000000"/>
        </w:rPr>
        <w:t>11</w:t>
      </w:r>
      <w:r w:rsidRPr="00B75401">
        <w:rPr>
          <w:rFonts w:ascii="Book Antiqua" w:eastAsia="Book Antiqua" w:hAnsi="Book Antiqua" w:cs="Book Antiqua"/>
          <w:color w:val="000000"/>
        </w:rPr>
        <w:t>: 1115-1126 [PMID: 6392368 DOI: 10.1016/s0190-9622(84)80193-0]</w:t>
      </w:r>
    </w:p>
    <w:p w14:paraId="7A955A31"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 xml:space="preserve">4 </w:t>
      </w:r>
      <w:r w:rsidRPr="00B75401">
        <w:rPr>
          <w:rFonts w:ascii="Book Antiqua" w:eastAsia="Book Antiqua" w:hAnsi="Book Antiqua" w:cs="Book Antiqua"/>
          <w:b/>
          <w:bCs/>
          <w:color w:val="000000"/>
        </w:rPr>
        <w:t>Yang LS</w:t>
      </w:r>
      <w:r w:rsidRPr="00B75401">
        <w:rPr>
          <w:rFonts w:ascii="Book Antiqua" w:eastAsia="Book Antiqua" w:hAnsi="Book Antiqua" w:cs="Book Antiqua"/>
          <w:color w:val="000000"/>
        </w:rPr>
        <w:t xml:space="preserve">, Cameron K, Papaluca T, Basnayake C, Jackett L, McKelvie P, Goodman D, Demediuk B, Bell SJ, Thompson AJ. Cyclophosphamide-associated enteritis: A rare association with severe enteritis. </w:t>
      </w:r>
      <w:r w:rsidRPr="00B75401">
        <w:rPr>
          <w:rFonts w:ascii="Book Antiqua" w:eastAsia="Book Antiqua" w:hAnsi="Book Antiqua" w:cs="Book Antiqua"/>
          <w:i/>
          <w:iCs/>
          <w:color w:val="000000"/>
        </w:rPr>
        <w:t>World J Gastroenterol</w:t>
      </w:r>
      <w:r w:rsidRPr="00B75401">
        <w:rPr>
          <w:rFonts w:ascii="Book Antiqua" w:eastAsia="Book Antiqua" w:hAnsi="Book Antiqua" w:cs="Book Antiqua"/>
          <w:color w:val="000000"/>
        </w:rPr>
        <w:t xml:space="preserve"> 2016; </w:t>
      </w:r>
      <w:r w:rsidRPr="00B75401">
        <w:rPr>
          <w:rFonts w:ascii="Book Antiqua" w:eastAsia="Book Antiqua" w:hAnsi="Book Antiqua" w:cs="Book Antiqua"/>
          <w:b/>
          <w:bCs/>
          <w:color w:val="000000"/>
        </w:rPr>
        <w:t>22</w:t>
      </w:r>
      <w:r w:rsidRPr="00B75401">
        <w:rPr>
          <w:rFonts w:ascii="Book Antiqua" w:eastAsia="Book Antiqua" w:hAnsi="Book Antiqua" w:cs="Book Antiqua"/>
          <w:color w:val="000000"/>
        </w:rPr>
        <w:t>: 8844-8848 [PMID: 27818600 DOI: 10.3748/wjg.v22.i39.8844]</w:t>
      </w:r>
    </w:p>
    <w:p w14:paraId="4EB1FD57"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 xml:space="preserve">5 </w:t>
      </w:r>
      <w:r w:rsidRPr="00B75401">
        <w:rPr>
          <w:rFonts w:ascii="Book Antiqua" w:eastAsia="Book Antiqua" w:hAnsi="Book Antiqua" w:cs="Book Antiqua"/>
          <w:b/>
          <w:bCs/>
          <w:color w:val="000000"/>
        </w:rPr>
        <w:t>Haworth SJ</w:t>
      </w:r>
      <w:r w:rsidRPr="00B75401">
        <w:rPr>
          <w:rFonts w:ascii="Book Antiqua" w:eastAsia="Book Antiqua" w:hAnsi="Book Antiqua" w:cs="Book Antiqua"/>
          <w:color w:val="000000"/>
        </w:rPr>
        <w:t xml:space="preserve">, Pusey CD. Severe intestinal involvement in Wegener's granulomatosis. </w:t>
      </w:r>
      <w:r w:rsidRPr="00B75401">
        <w:rPr>
          <w:rFonts w:ascii="Book Antiqua" w:eastAsia="Book Antiqua" w:hAnsi="Book Antiqua" w:cs="Book Antiqua"/>
          <w:i/>
          <w:iCs/>
          <w:color w:val="000000"/>
        </w:rPr>
        <w:t>Gut</w:t>
      </w:r>
      <w:r w:rsidRPr="00B75401">
        <w:rPr>
          <w:rFonts w:ascii="Book Antiqua" w:eastAsia="Book Antiqua" w:hAnsi="Book Antiqua" w:cs="Book Antiqua"/>
          <w:color w:val="000000"/>
        </w:rPr>
        <w:t xml:space="preserve"> 1984; </w:t>
      </w:r>
      <w:r w:rsidRPr="00B75401">
        <w:rPr>
          <w:rFonts w:ascii="Book Antiqua" w:eastAsia="Book Antiqua" w:hAnsi="Book Antiqua" w:cs="Book Antiqua"/>
          <w:b/>
          <w:bCs/>
          <w:color w:val="000000"/>
        </w:rPr>
        <w:t>25</w:t>
      </w:r>
      <w:r w:rsidRPr="00B75401">
        <w:rPr>
          <w:rFonts w:ascii="Book Antiqua" w:eastAsia="Book Antiqua" w:hAnsi="Book Antiqua" w:cs="Book Antiqua"/>
          <w:color w:val="000000"/>
        </w:rPr>
        <w:t>: 1296-1300 [PMID: 6500368 DOI: 10.1136/gut.25.11.1296]</w:t>
      </w:r>
    </w:p>
    <w:p w14:paraId="1D50D00B"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 xml:space="preserve">6 </w:t>
      </w:r>
      <w:r w:rsidRPr="00B75401">
        <w:rPr>
          <w:rFonts w:ascii="Book Antiqua" w:eastAsia="Book Antiqua" w:hAnsi="Book Antiqua" w:cs="Book Antiqua"/>
          <w:b/>
          <w:bCs/>
          <w:color w:val="000000"/>
        </w:rPr>
        <w:t>Eriksson P</w:t>
      </w:r>
      <w:r w:rsidRPr="00B75401">
        <w:rPr>
          <w:rFonts w:ascii="Book Antiqua" w:eastAsia="Book Antiqua" w:hAnsi="Book Antiqua" w:cs="Book Antiqua"/>
          <w:color w:val="000000"/>
        </w:rPr>
        <w:t xml:space="preserve">, Segelmark M, Hallböök O. Frequency, Diagnosis, Treatment, and Outcome of Gastrointestinal Disease in Granulomatosis with Polyangiitis and Microscopic Polyangiitis. </w:t>
      </w:r>
      <w:r w:rsidRPr="00B75401">
        <w:rPr>
          <w:rFonts w:ascii="Book Antiqua" w:eastAsia="Book Antiqua" w:hAnsi="Book Antiqua" w:cs="Book Antiqua"/>
          <w:i/>
          <w:iCs/>
          <w:color w:val="000000"/>
        </w:rPr>
        <w:t>J Rheumatol</w:t>
      </w:r>
      <w:r w:rsidRPr="00B75401">
        <w:rPr>
          <w:rFonts w:ascii="Book Antiqua" w:eastAsia="Book Antiqua" w:hAnsi="Book Antiqua" w:cs="Book Antiqua"/>
          <w:color w:val="000000"/>
        </w:rPr>
        <w:t xml:space="preserve"> 2018; </w:t>
      </w:r>
      <w:r w:rsidRPr="00B75401">
        <w:rPr>
          <w:rFonts w:ascii="Book Antiqua" w:eastAsia="Book Antiqua" w:hAnsi="Book Antiqua" w:cs="Book Antiqua"/>
          <w:b/>
          <w:bCs/>
          <w:color w:val="000000"/>
        </w:rPr>
        <w:t>45</w:t>
      </w:r>
      <w:r w:rsidRPr="00B75401">
        <w:rPr>
          <w:rFonts w:ascii="Book Antiqua" w:eastAsia="Book Antiqua" w:hAnsi="Book Antiqua" w:cs="Book Antiqua"/>
          <w:color w:val="000000"/>
        </w:rPr>
        <w:t>: 529-537 [PMID: 29419474 DOI: 10.3899/jrheum.170249]</w:t>
      </w:r>
    </w:p>
    <w:p w14:paraId="4049FCE1"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 xml:space="preserve">7 </w:t>
      </w:r>
      <w:r w:rsidRPr="00B75401">
        <w:rPr>
          <w:rFonts w:ascii="Book Antiqua" w:eastAsia="Book Antiqua" w:hAnsi="Book Antiqua" w:cs="Book Antiqua"/>
          <w:b/>
          <w:bCs/>
          <w:color w:val="000000"/>
        </w:rPr>
        <w:t>Chow FY</w:t>
      </w:r>
      <w:r w:rsidRPr="00B75401">
        <w:rPr>
          <w:rFonts w:ascii="Book Antiqua" w:eastAsia="Book Antiqua" w:hAnsi="Book Antiqua" w:cs="Book Antiqua"/>
          <w:color w:val="000000"/>
        </w:rPr>
        <w:t xml:space="preserve">, Hooke D, Kerr PG. Severe intestinal involvement in Wegener's granulomatosis. </w:t>
      </w:r>
      <w:r w:rsidRPr="00B75401">
        <w:rPr>
          <w:rFonts w:ascii="Book Antiqua" w:eastAsia="Book Antiqua" w:hAnsi="Book Antiqua" w:cs="Book Antiqua"/>
          <w:i/>
          <w:iCs/>
          <w:color w:val="000000"/>
        </w:rPr>
        <w:t>J Gastroenterol Hepatol</w:t>
      </w:r>
      <w:r w:rsidRPr="00B75401">
        <w:rPr>
          <w:rFonts w:ascii="Book Antiqua" w:eastAsia="Book Antiqua" w:hAnsi="Book Antiqua" w:cs="Book Antiqua"/>
          <w:color w:val="000000"/>
        </w:rPr>
        <w:t xml:space="preserve"> 2003; </w:t>
      </w:r>
      <w:r w:rsidRPr="00B75401">
        <w:rPr>
          <w:rFonts w:ascii="Book Antiqua" w:eastAsia="Book Antiqua" w:hAnsi="Book Antiqua" w:cs="Book Antiqua"/>
          <w:b/>
          <w:bCs/>
          <w:color w:val="000000"/>
        </w:rPr>
        <w:t>18</w:t>
      </w:r>
      <w:r w:rsidRPr="00B75401">
        <w:rPr>
          <w:rFonts w:ascii="Book Antiqua" w:eastAsia="Book Antiqua" w:hAnsi="Book Antiqua" w:cs="Book Antiqua"/>
          <w:color w:val="000000"/>
        </w:rPr>
        <w:t>: 749-750 [PMID: 12753164 DOI: 10.1046/j.1440-1746.2003.30472.x]</w:t>
      </w:r>
    </w:p>
    <w:p w14:paraId="71771721"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 xml:space="preserve">8 </w:t>
      </w:r>
      <w:r w:rsidRPr="00B75401">
        <w:rPr>
          <w:rFonts w:ascii="Book Antiqua" w:eastAsia="Book Antiqua" w:hAnsi="Book Antiqua" w:cs="Book Antiqua"/>
          <w:b/>
          <w:bCs/>
          <w:color w:val="000000"/>
        </w:rPr>
        <w:t>Müller-Ladner U</w:t>
      </w:r>
      <w:r w:rsidRPr="00B75401">
        <w:rPr>
          <w:rFonts w:ascii="Book Antiqua" w:eastAsia="Book Antiqua" w:hAnsi="Book Antiqua" w:cs="Book Antiqua"/>
          <w:color w:val="000000"/>
        </w:rPr>
        <w:t xml:space="preserve">. Vasculitides of the gastrointestinal tract. </w:t>
      </w:r>
      <w:r w:rsidRPr="00B75401">
        <w:rPr>
          <w:rFonts w:ascii="Book Antiqua" w:eastAsia="Book Antiqua" w:hAnsi="Book Antiqua" w:cs="Book Antiqua"/>
          <w:i/>
          <w:iCs/>
          <w:color w:val="000000"/>
        </w:rPr>
        <w:t>Best Pract Res Clin Gastroenterol</w:t>
      </w:r>
      <w:r w:rsidRPr="00B75401">
        <w:rPr>
          <w:rFonts w:ascii="Book Antiqua" w:eastAsia="Book Antiqua" w:hAnsi="Book Antiqua" w:cs="Book Antiqua"/>
          <w:color w:val="000000"/>
        </w:rPr>
        <w:t xml:space="preserve"> 2001; </w:t>
      </w:r>
      <w:r w:rsidRPr="00B75401">
        <w:rPr>
          <w:rFonts w:ascii="Book Antiqua" w:eastAsia="Book Antiqua" w:hAnsi="Book Antiqua" w:cs="Book Antiqua"/>
          <w:b/>
          <w:bCs/>
          <w:color w:val="000000"/>
        </w:rPr>
        <w:t>15</w:t>
      </w:r>
      <w:r w:rsidRPr="00B75401">
        <w:rPr>
          <w:rFonts w:ascii="Book Antiqua" w:eastAsia="Book Antiqua" w:hAnsi="Book Antiqua" w:cs="Book Antiqua"/>
          <w:color w:val="000000"/>
        </w:rPr>
        <w:t>: 59-82 [PMID: 11355901 DOI: 10.1053/bega.2000.0156]</w:t>
      </w:r>
    </w:p>
    <w:p w14:paraId="00BF5390" w14:textId="2ABAFA9E"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 xml:space="preserve">9 </w:t>
      </w:r>
      <w:r w:rsidRPr="00B75401">
        <w:rPr>
          <w:rFonts w:ascii="Book Antiqua" w:eastAsia="Book Antiqua" w:hAnsi="Book Antiqua" w:cs="Book Antiqua"/>
          <w:b/>
          <w:bCs/>
          <w:color w:val="000000"/>
        </w:rPr>
        <w:t>Liu T</w:t>
      </w:r>
      <w:r w:rsidRPr="00B75401">
        <w:rPr>
          <w:rFonts w:ascii="Book Antiqua" w:eastAsia="Book Antiqua" w:hAnsi="Book Antiqua" w:cs="Book Antiqua"/>
          <w:color w:val="000000"/>
        </w:rPr>
        <w:t xml:space="preserve">, Wu Y, Wang L, Pang X, Zhao L, Yuan H, Zhang C. </w:t>
      </w:r>
      <w:bookmarkStart w:id="14" w:name="OLE_LINK3"/>
      <w:bookmarkStart w:id="15" w:name="OLE_LINK4"/>
      <w:r w:rsidRPr="00B75401">
        <w:rPr>
          <w:rFonts w:ascii="Book Antiqua" w:eastAsia="Book Antiqua" w:hAnsi="Book Antiqua" w:cs="Book Antiqua"/>
          <w:color w:val="000000"/>
        </w:rPr>
        <w:t>A More Robust Gut Microbiota in Calorie-Restricted Mice Is Associated with Attenuated Intestinal Injury Caused by the Chemotherapy Drug Cyclophosphamide.</w:t>
      </w:r>
      <w:bookmarkEnd w:id="14"/>
      <w:bookmarkEnd w:id="15"/>
      <w:r w:rsidRPr="00B75401">
        <w:rPr>
          <w:rFonts w:ascii="Book Antiqua" w:eastAsia="Book Antiqua" w:hAnsi="Book Antiqua" w:cs="Book Antiqua"/>
          <w:color w:val="000000"/>
        </w:rPr>
        <w:t xml:space="preserve"> </w:t>
      </w:r>
      <w:r w:rsidRPr="00B75401">
        <w:rPr>
          <w:rFonts w:ascii="Book Antiqua" w:eastAsia="Book Antiqua" w:hAnsi="Book Antiqua" w:cs="Book Antiqua"/>
          <w:i/>
          <w:iCs/>
          <w:color w:val="000000"/>
        </w:rPr>
        <w:t>mBio</w:t>
      </w:r>
      <w:r w:rsidRPr="00B75401">
        <w:rPr>
          <w:rFonts w:ascii="Book Antiqua" w:eastAsia="Book Antiqua" w:hAnsi="Book Antiqua" w:cs="Book Antiqua"/>
          <w:color w:val="000000"/>
        </w:rPr>
        <w:t xml:space="preserve"> 2019; </w:t>
      </w:r>
      <w:r w:rsidRPr="00B75401">
        <w:rPr>
          <w:rFonts w:ascii="Book Antiqua" w:eastAsia="Book Antiqua" w:hAnsi="Book Antiqua" w:cs="Book Antiqua"/>
          <w:b/>
          <w:bCs/>
          <w:color w:val="000000"/>
        </w:rPr>
        <w:t>10</w:t>
      </w:r>
      <w:r w:rsidR="00B8487C" w:rsidRPr="00B75401">
        <w:rPr>
          <w:rFonts w:ascii="Book Antiqua" w:eastAsia="Book Antiqua" w:hAnsi="Book Antiqua" w:cs="Book Antiqua"/>
          <w:color w:val="000000"/>
        </w:rPr>
        <w:t>: e02903-18</w:t>
      </w:r>
      <w:r w:rsidRPr="00B75401">
        <w:rPr>
          <w:rFonts w:ascii="Book Antiqua" w:eastAsia="Book Antiqua" w:hAnsi="Book Antiqua" w:cs="Book Antiqua"/>
          <w:color w:val="000000"/>
        </w:rPr>
        <w:t xml:space="preserve"> [PMID: 30862756 DOI: 10.1128/mBio.02903-18]</w:t>
      </w:r>
    </w:p>
    <w:p w14:paraId="46F5777B"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 xml:space="preserve">10 </w:t>
      </w:r>
      <w:r w:rsidRPr="00B75401">
        <w:rPr>
          <w:rFonts w:ascii="Book Antiqua" w:eastAsia="Book Antiqua" w:hAnsi="Book Antiqua" w:cs="Book Antiqua"/>
          <w:b/>
          <w:bCs/>
          <w:color w:val="000000"/>
        </w:rPr>
        <w:t>Viaud S</w:t>
      </w:r>
      <w:r w:rsidRPr="00B75401">
        <w:rPr>
          <w:rFonts w:ascii="Book Antiqua" w:eastAsia="Book Antiqua" w:hAnsi="Book Antiqua" w:cs="Book Antiqua"/>
          <w:color w:val="000000"/>
        </w:rPr>
        <w:t xml:space="preserve">, Saccheri F, Mignot G, Yamazaki T, Daillère R, Hannani D, Enot DP, Pfirschke C, Engblom C, Pittet MJ, Schlitzer A, Ginhoux F, Apetoh L, Chachaty E, Woerther PL, Eberl G, Bérard M, Ecobichon C, Clermont D, Bizet C, Gaboriau-Routhiau V, Cerf-Bensussan N, Opolon P, Yessaad N, Vivier E, Ryffel B, Elson CO, Doré J, Kroemer G, Lepage P, Boneca IG, Ghiringhelli F, Zitvogel L. The intestinal microbiota modulates the anticancer immune effects of cyclophosphamide. </w:t>
      </w:r>
      <w:r w:rsidRPr="00B75401">
        <w:rPr>
          <w:rFonts w:ascii="Book Antiqua" w:eastAsia="Book Antiqua" w:hAnsi="Book Antiqua" w:cs="Book Antiqua"/>
          <w:i/>
          <w:iCs/>
          <w:color w:val="000000"/>
        </w:rPr>
        <w:t>Science</w:t>
      </w:r>
      <w:r w:rsidRPr="00B75401">
        <w:rPr>
          <w:rFonts w:ascii="Book Antiqua" w:eastAsia="Book Antiqua" w:hAnsi="Book Antiqua" w:cs="Book Antiqua"/>
          <w:color w:val="000000"/>
        </w:rPr>
        <w:t xml:space="preserve"> 2013; </w:t>
      </w:r>
      <w:r w:rsidRPr="00B75401">
        <w:rPr>
          <w:rFonts w:ascii="Book Antiqua" w:eastAsia="Book Antiqua" w:hAnsi="Book Antiqua" w:cs="Book Antiqua"/>
          <w:b/>
          <w:bCs/>
          <w:color w:val="000000"/>
        </w:rPr>
        <w:t>342</w:t>
      </w:r>
      <w:r w:rsidRPr="00B75401">
        <w:rPr>
          <w:rFonts w:ascii="Book Antiqua" w:eastAsia="Book Antiqua" w:hAnsi="Book Antiqua" w:cs="Book Antiqua"/>
          <w:color w:val="000000"/>
        </w:rPr>
        <w:t>: 971-976 [PMID: 24264990 DOI: 10.1126/science.1240537]</w:t>
      </w:r>
    </w:p>
    <w:bookmarkEnd w:id="10"/>
    <w:bookmarkEnd w:id="11"/>
    <w:p w14:paraId="51F57E0E" w14:textId="77777777" w:rsidR="00A77B3E" w:rsidRPr="00B75401" w:rsidRDefault="00A77B3E" w:rsidP="00B75401">
      <w:pPr>
        <w:adjustRightInd w:val="0"/>
        <w:snapToGrid w:val="0"/>
        <w:spacing w:line="360" w:lineRule="auto"/>
        <w:jc w:val="both"/>
        <w:rPr>
          <w:rFonts w:ascii="Book Antiqua" w:hAnsi="Book Antiqua"/>
        </w:rPr>
        <w:sectPr w:rsidR="00A77B3E" w:rsidRPr="00B75401" w:rsidSect="006C48D2">
          <w:type w:val="continuous"/>
          <w:pgSz w:w="12240" w:h="15840"/>
          <w:pgMar w:top="1440" w:right="1800" w:bottom="1440" w:left="1800" w:header="720" w:footer="720" w:gutter="0"/>
          <w:cols w:space="720"/>
          <w:docGrid w:linePitch="360"/>
        </w:sectPr>
      </w:pPr>
    </w:p>
    <w:p w14:paraId="04F6153A" w14:textId="77777777" w:rsidR="006C48D2" w:rsidRDefault="006C48D2">
      <w:pPr>
        <w:rPr>
          <w:rFonts w:ascii="Book Antiqua" w:eastAsia="Book Antiqua" w:hAnsi="Book Antiqua" w:cs="Book Antiqua"/>
          <w:b/>
          <w:color w:val="000000"/>
        </w:rPr>
      </w:pPr>
      <w:r>
        <w:rPr>
          <w:rFonts w:ascii="Book Antiqua" w:eastAsia="Book Antiqua" w:hAnsi="Book Antiqua" w:cs="Book Antiqua"/>
          <w:b/>
          <w:color w:val="000000"/>
        </w:rPr>
        <w:br w:type="page"/>
      </w:r>
    </w:p>
    <w:p w14:paraId="51F1B241" w14:textId="55BB13DE"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olor w:val="000000"/>
        </w:rPr>
        <w:t>Footnotes</w:t>
      </w:r>
    </w:p>
    <w:p w14:paraId="40505948"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bCs/>
          <w:color w:val="000000"/>
        </w:rPr>
        <w:t xml:space="preserve">Informed consent statement: </w:t>
      </w:r>
      <w:bookmarkStart w:id="16" w:name="OLE_LINK22"/>
      <w:bookmarkStart w:id="17" w:name="OLE_LINK23"/>
      <w:r w:rsidRPr="00B75401">
        <w:rPr>
          <w:rFonts w:ascii="Book Antiqua" w:eastAsia="Book Antiqua" w:hAnsi="Book Antiqua" w:cs="Book Antiqua"/>
          <w:color w:val="000000"/>
        </w:rPr>
        <w:t>Written informed consent for the publication of this case report was obtained from the patient.</w:t>
      </w:r>
    </w:p>
    <w:bookmarkEnd w:id="16"/>
    <w:bookmarkEnd w:id="17"/>
    <w:p w14:paraId="657DE7AF" w14:textId="77777777" w:rsidR="00A77B3E" w:rsidRPr="00B75401" w:rsidRDefault="00A77B3E" w:rsidP="00B75401">
      <w:pPr>
        <w:adjustRightInd w:val="0"/>
        <w:snapToGrid w:val="0"/>
        <w:spacing w:line="360" w:lineRule="auto"/>
        <w:jc w:val="both"/>
        <w:rPr>
          <w:rFonts w:ascii="Book Antiqua" w:hAnsi="Book Antiqua"/>
        </w:rPr>
      </w:pPr>
    </w:p>
    <w:p w14:paraId="2A2E1E2F"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bCs/>
          <w:color w:val="000000"/>
        </w:rPr>
        <w:t xml:space="preserve">Conflict-of-interest statement: </w:t>
      </w:r>
      <w:bookmarkStart w:id="18" w:name="OLE_LINK24"/>
      <w:bookmarkStart w:id="19" w:name="OLE_LINK25"/>
      <w:r w:rsidRPr="00B75401">
        <w:rPr>
          <w:rFonts w:ascii="Book Antiqua" w:eastAsia="Book Antiqua" w:hAnsi="Book Antiqua" w:cs="Book Antiqua"/>
          <w:color w:val="000000"/>
        </w:rPr>
        <w:t>The authors declare that they have no conflict of interest.</w:t>
      </w:r>
    </w:p>
    <w:bookmarkEnd w:id="18"/>
    <w:bookmarkEnd w:id="19"/>
    <w:p w14:paraId="4648C358" w14:textId="77777777" w:rsidR="00A77B3E" w:rsidRPr="00B75401" w:rsidRDefault="00A77B3E" w:rsidP="00B75401">
      <w:pPr>
        <w:adjustRightInd w:val="0"/>
        <w:snapToGrid w:val="0"/>
        <w:spacing w:line="360" w:lineRule="auto"/>
        <w:jc w:val="both"/>
        <w:rPr>
          <w:rFonts w:ascii="Book Antiqua" w:hAnsi="Book Antiqua"/>
        </w:rPr>
      </w:pPr>
    </w:p>
    <w:p w14:paraId="707AF1BD"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bCs/>
          <w:color w:val="000000"/>
        </w:rPr>
        <w:t xml:space="preserve">CARE Checklist (2016) statement: </w:t>
      </w:r>
      <w:bookmarkStart w:id="20" w:name="OLE_LINK26"/>
      <w:bookmarkStart w:id="21" w:name="OLE_LINK27"/>
      <w:r w:rsidRPr="00B75401">
        <w:rPr>
          <w:rFonts w:ascii="Book Antiqua" w:eastAsia="Book Antiqua" w:hAnsi="Book Antiqua" w:cs="Book Antiqua"/>
          <w:color w:val="000000"/>
        </w:rPr>
        <w:t>The authors have read the CARE Checklist (2016), and the manuscript was prepared and revised according to the CARE Checklist (2016).</w:t>
      </w:r>
    </w:p>
    <w:bookmarkEnd w:id="20"/>
    <w:bookmarkEnd w:id="21"/>
    <w:p w14:paraId="3798D9A5" w14:textId="77777777" w:rsidR="00A77B3E" w:rsidRPr="00B75401" w:rsidRDefault="00A77B3E" w:rsidP="00B75401">
      <w:pPr>
        <w:adjustRightInd w:val="0"/>
        <w:snapToGrid w:val="0"/>
        <w:spacing w:line="360" w:lineRule="auto"/>
        <w:jc w:val="both"/>
        <w:rPr>
          <w:rFonts w:ascii="Book Antiqua" w:hAnsi="Book Antiqua"/>
        </w:rPr>
      </w:pPr>
    </w:p>
    <w:p w14:paraId="7DE25DB0"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bCs/>
          <w:color w:val="000000"/>
        </w:rPr>
        <w:t xml:space="preserve">Open-Access: </w:t>
      </w:r>
      <w:r w:rsidRPr="00B7540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0312577" w14:textId="77777777" w:rsidR="00A77B3E" w:rsidRPr="00B75401" w:rsidRDefault="00A77B3E" w:rsidP="00B75401">
      <w:pPr>
        <w:adjustRightInd w:val="0"/>
        <w:snapToGrid w:val="0"/>
        <w:spacing w:line="360" w:lineRule="auto"/>
        <w:jc w:val="both"/>
        <w:rPr>
          <w:rFonts w:ascii="Book Antiqua" w:hAnsi="Book Antiqua"/>
        </w:rPr>
      </w:pPr>
    </w:p>
    <w:p w14:paraId="2877423D" w14:textId="6B4621F8" w:rsidR="00A77B3E" w:rsidRDefault="004B3E4B" w:rsidP="00B75401">
      <w:pPr>
        <w:adjustRightInd w:val="0"/>
        <w:snapToGrid w:val="0"/>
        <w:spacing w:line="360" w:lineRule="auto"/>
        <w:jc w:val="both"/>
        <w:rPr>
          <w:rFonts w:ascii="Book Antiqua" w:eastAsia="Book Antiqua" w:hAnsi="Book Antiqua" w:cs="Book Antiqua"/>
          <w:color w:val="000000"/>
        </w:rPr>
      </w:pPr>
      <w:r w:rsidRPr="00B75401">
        <w:rPr>
          <w:rFonts w:ascii="Book Antiqua" w:eastAsia="Book Antiqua" w:hAnsi="Book Antiqua" w:cs="Book Antiqua"/>
          <w:b/>
          <w:color w:val="000000"/>
        </w:rPr>
        <w:t xml:space="preserve">Manuscript source: </w:t>
      </w:r>
      <w:r w:rsidRPr="00B75401">
        <w:rPr>
          <w:rFonts w:ascii="Book Antiqua" w:eastAsia="Book Antiqua" w:hAnsi="Book Antiqua" w:cs="Book Antiqua"/>
          <w:color w:val="000000"/>
        </w:rPr>
        <w:t xml:space="preserve">Unsolicited </w:t>
      </w:r>
      <w:r w:rsidR="006C48D2" w:rsidRPr="00B75401">
        <w:rPr>
          <w:rFonts w:ascii="Book Antiqua" w:eastAsia="Book Antiqua" w:hAnsi="Book Antiqua" w:cs="Book Antiqua"/>
          <w:color w:val="000000"/>
        </w:rPr>
        <w:t>manuscript</w:t>
      </w:r>
    </w:p>
    <w:p w14:paraId="42E78305" w14:textId="77777777" w:rsidR="00A77B3E" w:rsidRPr="00B75401" w:rsidRDefault="00A77B3E" w:rsidP="00B75401">
      <w:pPr>
        <w:adjustRightInd w:val="0"/>
        <w:snapToGrid w:val="0"/>
        <w:spacing w:line="360" w:lineRule="auto"/>
        <w:jc w:val="both"/>
        <w:rPr>
          <w:rFonts w:ascii="Book Antiqua" w:hAnsi="Book Antiqua"/>
        </w:rPr>
      </w:pPr>
    </w:p>
    <w:p w14:paraId="469A324E"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olor w:val="000000"/>
        </w:rPr>
        <w:t xml:space="preserve">Peer-review started: </w:t>
      </w:r>
      <w:r w:rsidRPr="00B75401">
        <w:rPr>
          <w:rFonts w:ascii="Book Antiqua" w:eastAsia="Book Antiqua" w:hAnsi="Book Antiqua" w:cs="Book Antiqua"/>
          <w:color w:val="000000"/>
        </w:rPr>
        <w:t>January 25, 2021</w:t>
      </w:r>
    </w:p>
    <w:p w14:paraId="2488C2DD"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olor w:val="000000"/>
        </w:rPr>
        <w:t xml:space="preserve">First decision: </w:t>
      </w:r>
      <w:r w:rsidRPr="00B75401">
        <w:rPr>
          <w:rFonts w:ascii="Book Antiqua" w:eastAsia="Book Antiqua" w:hAnsi="Book Antiqua" w:cs="Book Antiqua"/>
          <w:color w:val="000000"/>
        </w:rPr>
        <w:t>February 27, 2021</w:t>
      </w:r>
    </w:p>
    <w:p w14:paraId="2DA85AAC" w14:textId="459E94CB"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olor w:val="000000"/>
        </w:rPr>
        <w:t xml:space="preserve">Article in press: </w:t>
      </w:r>
      <w:r w:rsidR="001B760C" w:rsidRPr="006225DE">
        <w:rPr>
          <w:rFonts w:ascii="Book Antiqua" w:eastAsia="Book Antiqua" w:hAnsi="Book Antiqua" w:cs="Book Antiqua"/>
          <w:bCs/>
          <w:color w:val="000000"/>
        </w:rPr>
        <w:t>May 7, 2021</w:t>
      </w:r>
    </w:p>
    <w:p w14:paraId="2EAB4FC7" w14:textId="77777777" w:rsidR="00A77B3E" w:rsidRPr="00B75401" w:rsidRDefault="00A77B3E" w:rsidP="00B75401">
      <w:pPr>
        <w:adjustRightInd w:val="0"/>
        <w:snapToGrid w:val="0"/>
        <w:spacing w:line="360" w:lineRule="auto"/>
        <w:jc w:val="both"/>
        <w:rPr>
          <w:rFonts w:ascii="Book Antiqua" w:hAnsi="Book Antiqua"/>
        </w:rPr>
      </w:pPr>
    </w:p>
    <w:p w14:paraId="7D205038" w14:textId="52BE5475"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olor w:val="000000"/>
        </w:rPr>
        <w:t xml:space="preserve">Specialty type: </w:t>
      </w:r>
      <w:r w:rsidRPr="00B75401">
        <w:rPr>
          <w:rFonts w:ascii="Book Antiqua" w:eastAsia="Book Antiqua" w:hAnsi="Book Antiqua" w:cs="Book Antiqua"/>
          <w:color w:val="000000"/>
        </w:rPr>
        <w:t xml:space="preserve">Gastroenterology and </w:t>
      </w:r>
      <w:r w:rsidR="006C48D2" w:rsidRPr="00B75401">
        <w:rPr>
          <w:rFonts w:ascii="Book Antiqua" w:eastAsia="Book Antiqua" w:hAnsi="Book Antiqua" w:cs="Book Antiqua"/>
          <w:color w:val="000000"/>
        </w:rPr>
        <w:t>hepatology</w:t>
      </w:r>
    </w:p>
    <w:p w14:paraId="5BB266C2"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olor w:val="000000"/>
        </w:rPr>
        <w:t xml:space="preserve">Country/Territory of origin: </w:t>
      </w:r>
      <w:r w:rsidRPr="00B75401">
        <w:rPr>
          <w:rFonts w:ascii="Book Antiqua" w:eastAsia="Book Antiqua" w:hAnsi="Book Antiqua" w:cs="Book Antiqua"/>
          <w:color w:val="000000"/>
        </w:rPr>
        <w:t>Japan</w:t>
      </w:r>
    </w:p>
    <w:p w14:paraId="661D0866"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color w:val="000000"/>
        </w:rPr>
        <w:t>Peer-review report’s scientific quality classification</w:t>
      </w:r>
    </w:p>
    <w:p w14:paraId="02D82ECA"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Grade A (Excellent): A</w:t>
      </w:r>
    </w:p>
    <w:p w14:paraId="3A87A6EB" w14:textId="0DC6AFCC" w:rsidR="00A77B3E" w:rsidRPr="006C48D2" w:rsidRDefault="004B3E4B" w:rsidP="00B75401">
      <w:pPr>
        <w:adjustRightInd w:val="0"/>
        <w:snapToGrid w:val="0"/>
        <w:spacing w:line="360" w:lineRule="auto"/>
        <w:jc w:val="both"/>
        <w:rPr>
          <w:rFonts w:ascii="Book Antiqua" w:hAnsi="Book Antiqua"/>
          <w:lang w:eastAsia="zh-CN"/>
        </w:rPr>
      </w:pPr>
      <w:r w:rsidRPr="00B75401">
        <w:rPr>
          <w:rFonts w:ascii="Book Antiqua" w:eastAsia="Book Antiqua" w:hAnsi="Book Antiqua" w:cs="Book Antiqua"/>
          <w:color w:val="000000"/>
        </w:rPr>
        <w:t xml:space="preserve">Grade B (Very good): </w:t>
      </w:r>
      <w:r w:rsidRPr="006C48D2">
        <w:rPr>
          <w:rFonts w:ascii="Book Antiqua" w:eastAsia="Book Antiqua" w:hAnsi="Book Antiqua" w:cs="Book Antiqua"/>
          <w:color w:val="000000"/>
        </w:rPr>
        <w:t>B</w:t>
      </w:r>
      <w:r w:rsidR="006C48D2" w:rsidRPr="006C48D2">
        <w:rPr>
          <w:rFonts w:ascii="Book Antiqua" w:hAnsi="Book Antiqua" w:cs="Book Antiqua"/>
          <w:color w:val="000000"/>
          <w:lang w:eastAsia="zh-CN"/>
        </w:rPr>
        <w:t>,</w:t>
      </w:r>
      <w:r w:rsidR="006C48D2">
        <w:rPr>
          <w:rFonts w:ascii="Book Antiqua" w:hAnsi="Book Antiqua" w:cs="Book Antiqua"/>
          <w:color w:val="000000"/>
          <w:lang w:eastAsia="zh-CN"/>
        </w:rPr>
        <w:t xml:space="preserve"> </w:t>
      </w:r>
      <w:r w:rsidR="006C48D2" w:rsidRPr="006C48D2">
        <w:rPr>
          <w:rFonts w:ascii="Book Antiqua" w:hAnsi="Book Antiqua" w:cs="Book Antiqua"/>
          <w:color w:val="000000"/>
          <w:lang w:eastAsia="zh-CN"/>
        </w:rPr>
        <w:t>B</w:t>
      </w:r>
    </w:p>
    <w:p w14:paraId="011B4D4F" w14:textId="17E06440"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Grade C (Good): C</w:t>
      </w:r>
      <w:r w:rsidR="006C48D2">
        <w:rPr>
          <w:rFonts w:ascii="Book Antiqua" w:eastAsia="Book Antiqua" w:hAnsi="Book Antiqua" w:cs="Book Antiqua"/>
          <w:color w:val="000000"/>
        </w:rPr>
        <w:t>, C</w:t>
      </w:r>
    </w:p>
    <w:p w14:paraId="0F718234"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Grade D (Fair): 0</w:t>
      </w:r>
    </w:p>
    <w:p w14:paraId="109CC8B5" w14:textId="77777777"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color w:val="000000"/>
        </w:rPr>
        <w:t>Grade E (Poor): 0</w:t>
      </w:r>
    </w:p>
    <w:p w14:paraId="69CC6F20" w14:textId="77777777" w:rsidR="00A77B3E" w:rsidRPr="00B75401" w:rsidRDefault="00A77B3E" w:rsidP="00B75401">
      <w:pPr>
        <w:adjustRightInd w:val="0"/>
        <w:snapToGrid w:val="0"/>
        <w:spacing w:line="360" w:lineRule="auto"/>
        <w:jc w:val="both"/>
        <w:rPr>
          <w:rFonts w:ascii="Book Antiqua" w:hAnsi="Book Antiqua"/>
        </w:rPr>
      </w:pPr>
    </w:p>
    <w:p w14:paraId="55D2C398" w14:textId="5A8DD8AB" w:rsidR="00625909" w:rsidRPr="00625909" w:rsidRDefault="004B3E4B" w:rsidP="00B75401">
      <w:pPr>
        <w:adjustRightInd w:val="0"/>
        <w:snapToGrid w:val="0"/>
        <w:spacing w:line="360" w:lineRule="auto"/>
        <w:jc w:val="both"/>
        <w:rPr>
          <w:rFonts w:ascii="Book Antiqua" w:eastAsia="Book Antiqua" w:hAnsi="Book Antiqua" w:cs="Book Antiqua"/>
          <w:bCs/>
          <w:color w:val="000000"/>
        </w:rPr>
      </w:pPr>
      <w:r w:rsidRPr="00B75401">
        <w:rPr>
          <w:rFonts w:ascii="Book Antiqua" w:eastAsia="Book Antiqua" w:hAnsi="Book Antiqua" w:cs="Book Antiqua"/>
          <w:b/>
          <w:color w:val="000000"/>
        </w:rPr>
        <w:t xml:space="preserve">P-Reviewer: </w:t>
      </w:r>
      <w:r w:rsidRPr="00B75401">
        <w:rPr>
          <w:rFonts w:ascii="Book Antiqua" w:eastAsia="Book Antiqua" w:hAnsi="Book Antiqua" w:cs="Book Antiqua"/>
          <w:color w:val="000000"/>
        </w:rPr>
        <w:t>Abe Y, Mattar MC, Rawat K</w:t>
      </w:r>
      <w:r w:rsidRPr="00B75401">
        <w:rPr>
          <w:rFonts w:ascii="Book Antiqua" w:eastAsia="Book Antiqua" w:hAnsi="Book Antiqua" w:cs="Book Antiqua"/>
          <w:b/>
          <w:color w:val="000000"/>
        </w:rPr>
        <w:t xml:space="preserve"> S-Editor: </w:t>
      </w:r>
      <w:r w:rsidRPr="00B75401">
        <w:rPr>
          <w:rFonts w:ascii="Book Antiqua" w:eastAsia="Book Antiqua" w:hAnsi="Book Antiqua" w:cs="Book Antiqua"/>
          <w:color w:val="000000"/>
        </w:rPr>
        <w:t>Zhang L</w:t>
      </w:r>
      <w:r w:rsidRPr="00B75401">
        <w:rPr>
          <w:rFonts w:ascii="Book Antiqua" w:eastAsia="Book Antiqua" w:hAnsi="Book Antiqua" w:cs="Book Antiqua"/>
          <w:b/>
          <w:color w:val="000000"/>
        </w:rPr>
        <w:t xml:space="preserve"> L-Editor: </w:t>
      </w:r>
      <w:r w:rsidR="00625909" w:rsidRPr="00625909">
        <w:rPr>
          <w:rFonts w:ascii="Book Antiqua" w:eastAsia="Book Antiqua" w:hAnsi="Book Antiqua" w:cs="Book Antiqua"/>
          <w:bCs/>
          <w:color w:val="000000"/>
        </w:rPr>
        <w:t>A</w:t>
      </w:r>
      <w:r w:rsidR="00625909">
        <w:rPr>
          <w:rFonts w:ascii="Book Antiqua" w:eastAsia="Book Antiqua" w:hAnsi="Book Antiqua" w:cs="Book Antiqua"/>
          <w:b/>
          <w:color w:val="000000"/>
        </w:rPr>
        <w:t xml:space="preserve"> </w:t>
      </w:r>
      <w:r w:rsidRPr="00B75401">
        <w:rPr>
          <w:rFonts w:ascii="Book Antiqua" w:eastAsia="Book Antiqua" w:hAnsi="Book Antiqua" w:cs="Book Antiqua"/>
          <w:b/>
          <w:color w:val="000000"/>
        </w:rPr>
        <w:t>P-Editor:</w:t>
      </w:r>
      <w:r w:rsidR="00625909">
        <w:rPr>
          <w:rFonts w:ascii="Book Antiqua" w:eastAsia="Book Antiqua" w:hAnsi="Book Antiqua" w:cs="Book Antiqua"/>
          <w:b/>
          <w:color w:val="000000"/>
        </w:rPr>
        <w:t xml:space="preserve"> </w:t>
      </w:r>
      <w:r w:rsidR="00625909" w:rsidRPr="00625909">
        <w:rPr>
          <w:rFonts w:ascii="Book Antiqua" w:eastAsia="Book Antiqua" w:hAnsi="Book Antiqua" w:cs="Book Antiqua"/>
          <w:bCs/>
          <w:color w:val="000000"/>
        </w:rPr>
        <w:t>Li JH</w:t>
      </w:r>
    </w:p>
    <w:p w14:paraId="62D01CFD" w14:textId="7997F65A" w:rsidR="00A77B3E" w:rsidRPr="00B75401" w:rsidRDefault="004B3E4B" w:rsidP="00B75401">
      <w:pPr>
        <w:adjustRightInd w:val="0"/>
        <w:snapToGrid w:val="0"/>
        <w:spacing w:line="360" w:lineRule="auto"/>
        <w:jc w:val="both"/>
        <w:rPr>
          <w:rFonts w:ascii="Book Antiqua" w:hAnsi="Book Antiqua"/>
        </w:rPr>
        <w:sectPr w:rsidR="00A77B3E" w:rsidRPr="00B75401" w:rsidSect="006C48D2">
          <w:type w:val="continuous"/>
          <w:pgSz w:w="12240" w:h="15840"/>
          <w:pgMar w:top="1440" w:right="1800" w:bottom="1440" w:left="1800" w:header="720" w:footer="720" w:gutter="0"/>
          <w:cols w:space="720"/>
          <w:docGrid w:linePitch="360"/>
        </w:sectPr>
      </w:pPr>
      <w:r w:rsidRPr="00B75401">
        <w:rPr>
          <w:rFonts w:ascii="Book Antiqua" w:eastAsia="Book Antiqua" w:hAnsi="Book Antiqua" w:cs="Book Antiqua"/>
          <w:b/>
          <w:color w:val="000000"/>
        </w:rPr>
        <w:t xml:space="preserve"> </w:t>
      </w:r>
    </w:p>
    <w:p w14:paraId="1E46399A" w14:textId="77777777" w:rsidR="006C48D2" w:rsidRDefault="006C48D2">
      <w:pPr>
        <w:rPr>
          <w:rFonts w:ascii="Book Antiqua" w:eastAsia="Book Antiqua" w:hAnsi="Book Antiqua" w:cs="Book Antiqua"/>
          <w:b/>
          <w:color w:val="000000"/>
        </w:rPr>
      </w:pPr>
      <w:r>
        <w:rPr>
          <w:rFonts w:ascii="Book Antiqua" w:eastAsia="Book Antiqua" w:hAnsi="Book Antiqua" w:cs="Book Antiqua"/>
          <w:b/>
          <w:color w:val="000000"/>
        </w:rPr>
        <w:br w:type="page"/>
      </w:r>
    </w:p>
    <w:p w14:paraId="64F50FE4" w14:textId="6ABAE092" w:rsidR="00A77B3E" w:rsidRPr="00B75401" w:rsidRDefault="004B3E4B" w:rsidP="00B75401">
      <w:pPr>
        <w:adjustRightInd w:val="0"/>
        <w:snapToGrid w:val="0"/>
        <w:spacing w:line="360" w:lineRule="auto"/>
        <w:jc w:val="both"/>
        <w:rPr>
          <w:rFonts w:ascii="Book Antiqua" w:eastAsia="Book Antiqua" w:hAnsi="Book Antiqua" w:cs="Book Antiqua"/>
          <w:b/>
          <w:color w:val="000000"/>
        </w:rPr>
      </w:pPr>
      <w:r w:rsidRPr="00B75401">
        <w:rPr>
          <w:rFonts w:ascii="Book Antiqua" w:eastAsia="Book Antiqua" w:hAnsi="Book Antiqua" w:cs="Book Antiqua"/>
          <w:b/>
          <w:color w:val="000000"/>
        </w:rPr>
        <w:t>Figure Legends</w:t>
      </w:r>
    </w:p>
    <w:p w14:paraId="16A64ECC" w14:textId="2962631D" w:rsidR="002238BF" w:rsidRPr="00B75401" w:rsidRDefault="002238BF" w:rsidP="00B75401">
      <w:pPr>
        <w:adjustRightInd w:val="0"/>
        <w:snapToGrid w:val="0"/>
        <w:spacing w:line="360" w:lineRule="auto"/>
        <w:jc w:val="both"/>
        <w:rPr>
          <w:rFonts w:ascii="Book Antiqua" w:hAnsi="Book Antiqua"/>
        </w:rPr>
      </w:pPr>
      <w:r w:rsidRPr="00B75401">
        <w:rPr>
          <w:rFonts w:ascii="Book Antiqua" w:hAnsi="Book Antiqua"/>
          <w:noProof/>
          <w:lang w:eastAsia="zh-CN"/>
        </w:rPr>
        <w:drawing>
          <wp:inline distT="0" distB="0" distL="0" distR="0" wp14:anchorId="3E812567" wp14:editId="5A4E27B0">
            <wp:extent cx="5470496" cy="3077154"/>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76588" cy="3080581"/>
                    </a:xfrm>
                    <a:prstGeom prst="rect">
                      <a:avLst/>
                    </a:prstGeom>
                  </pic:spPr>
                </pic:pic>
              </a:graphicData>
            </a:graphic>
          </wp:inline>
        </w:drawing>
      </w:r>
    </w:p>
    <w:p w14:paraId="286F92F1" w14:textId="5D1D6D14" w:rsidR="00A77B3E" w:rsidRPr="00B75401" w:rsidRDefault="004B3E4B" w:rsidP="00B75401">
      <w:pPr>
        <w:adjustRightInd w:val="0"/>
        <w:snapToGrid w:val="0"/>
        <w:spacing w:line="360" w:lineRule="auto"/>
        <w:jc w:val="both"/>
        <w:rPr>
          <w:rFonts w:ascii="Book Antiqua" w:hAnsi="Book Antiqua"/>
        </w:rPr>
      </w:pPr>
      <w:bookmarkStart w:id="22" w:name="OLE_LINK28"/>
      <w:bookmarkStart w:id="23" w:name="OLE_LINK29"/>
      <w:r w:rsidRPr="00B75401">
        <w:rPr>
          <w:rFonts w:ascii="Book Antiqua" w:eastAsia="Book Antiqua" w:hAnsi="Book Antiqua" w:cs="Book Antiqua"/>
          <w:b/>
          <w:bCs/>
          <w:color w:val="000000"/>
        </w:rPr>
        <w:t xml:space="preserve">Figure 1 Clinical images on admission. </w:t>
      </w:r>
      <w:r w:rsidRPr="00B75401">
        <w:rPr>
          <w:rFonts w:ascii="Book Antiqua" w:eastAsia="Book Antiqua" w:hAnsi="Book Antiqua" w:cs="Book Antiqua"/>
          <w:color w:val="000000"/>
        </w:rPr>
        <w:t>A</w:t>
      </w:r>
      <w:r w:rsidR="002238BF" w:rsidRPr="00B75401">
        <w:rPr>
          <w:rFonts w:ascii="Book Antiqua" w:eastAsia="Book Antiqua" w:hAnsi="Book Antiqua" w:cs="Book Antiqua"/>
          <w:color w:val="000000"/>
        </w:rPr>
        <w:t xml:space="preserve"> and</w:t>
      </w:r>
      <w:r w:rsidRPr="00B75401">
        <w:rPr>
          <w:rFonts w:ascii="Book Antiqua" w:eastAsia="Book Antiqua" w:hAnsi="Book Antiqua" w:cs="Book Antiqua"/>
          <w:color w:val="000000"/>
        </w:rPr>
        <w:t xml:space="preserve"> B: </w:t>
      </w:r>
      <w:r w:rsidR="002238BF" w:rsidRPr="00B75401">
        <w:rPr>
          <w:rFonts w:ascii="Book Antiqua" w:eastAsia="Book Antiqua" w:hAnsi="Book Antiqua" w:cs="Book Antiqua"/>
          <w:color w:val="000000"/>
        </w:rPr>
        <w:t>Computed tomography</w:t>
      </w:r>
      <w:r w:rsidRPr="00B75401">
        <w:rPr>
          <w:rFonts w:ascii="Book Antiqua" w:eastAsia="Book Antiqua" w:hAnsi="Book Antiqua" w:cs="Book Antiqua"/>
          <w:color w:val="000000"/>
        </w:rPr>
        <w:t xml:space="preserve"> scans of the abdomen showing diffuse wall thickening of the stomach, small intestine, and colon</w:t>
      </w:r>
      <w:r w:rsidR="002238BF" w:rsidRPr="00B75401">
        <w:rPr>
          <w:rFonts w:ascii="Book Antiqua" w:eastAsia="Book Antiqua" w:hAnsi="Book Antiqua" w:cs="Book Antiqua"/>
          <w:color w:val="000000"/>
        </w:rPr>
        <w:t>;</w:t>
      </w:r>
      <w:r w:rsidRPr="00B75401">
        <w:rPr>
          <w:rFonts w:ascii="Book Antiqua" w:eastAsia="Book Antiqua" w:hAnsi="Book Antiqua" w:cs="Book Antiqua"/>
          <w:color w:val="000000"/>
        </w:rPr>
        <w:t xml:space="preserve"> C</w:t>
      </w:r>
      <w:r w:rsidR="002238BF" w:rsidRPr="00B75401">
        <w:rPr>
          <w:rFonts w:ascii="Book Antiqua" w:eastAsia="Book Antiqua" w:hAnsi="Book Antiqua" w:cs="Book Antiqua"/>
          <w:color w:val="000000"/>
        </w:rPr>
        <w:t xml:space="preserve"> and </w:t>
      </w:r>
      <w:r w:rsidRPr="00B75401">
        <w:rPr>
          <w:rFonts w:ascii="Book Antiqua" w:eastAsia="Book Antiqua" w:hAnsi="Book Antiqua" w:cs="Book Antiqua"/>
          <w:color w:val="000000"/>
        </w:rPr>
        <w:t>D: Upper gastrointestinal endoscopy images showing diffuse erosion throughout the descending duodenum</w:t>
      </w:r>
      <w:r w:rsidR="002238BF" w:rsidRPr="00B75401">
        <w:rPr>
          <w:rFonts w:ascii="Book Antiqua" w:eastAsia="Book Antiqua" w:hAnsi="Book Antiqua" w:cs="Book Antiqua"/>
          <w:color w:val="000000"/>
        </w:rPr>
        <w:t>;</w:t>
      </w:r>
      <w:r w:rsidRPr="00B75401">
        <w:rPr>
          <w:rFonts w:ascii="Book Antiqua" w:eastAsia="Book Antiqua" w:hAnsi="Book Antiqua" w:cs="Book Antiqua"/>
          <w:color w:val="000000"/>
        </w:rPr>
        <w:t xml:space="preserve"> E</w:t>
      </w:r>
      <w:r w:rsidR="002238BF" w:rsidRPr="00B75401">
        <w:rPr>
          <w:rFonts w:ascii="Book Antiqua" w:eastAsia="Book Antiqua" w:hAnsi="Book Antiqua" w:cs="Book Antiqua"/>
          <w:color w:val="000000"/>
        </w:rPr>
        <w:t xml:space="preserve"> and</w:t>
      </w:r>
      <w:r w:rsidRPr="00B75401">
        <w:rPr>
          <w:rFonts w:ascii="Book Antiqua" w:eastAsia="Book Antiqua" w:hAnsi="Book Antiqua" w:cs="Book Antiqua"/>
          <w:color w:val="000000"/>
        </w:rPr>
        <w:t xml:space="preserve"> F: Colonoscopy images showing generalized edema and depression with erythema mainly at the end of the ileum.</w:t>
      </w:r>
    </w:p>
    <w:bookmarkEnd w:id="22"/>
    <w:bookmarkEnd w:id="23"/>
    <w:p w14:paraId="265F335B" w14:textId="77777777" w:rsidR="002238BF" w:rsidRPr="00B75401" w:rsidRDefault="002238BF" w:rsidP="00B75401">
      <w:pPr>
        <w:adjustRightInd w:val="0"/>
        <w:snapToGrid w:val="0"/>
        <w:spacing w:line="360" w:lineRule="auto"/>
        <w:jc w:val="both"/>
        <w:rPr>
          <w:rFonts w:ascii="Book Antiqua" w:hAnsi="Book Antiqua"/>
        </w:rPr>
      </w:pPr>
      <w:r w:rsidRPr="00B75401">
        <w:rPr>
          <w:rFonts w:ascii="Book Antiqua" w:hAnsi="Book Antiqua"/>
        </w:rPr>
        <w:br w:type="page"/>
      </w:r>
    </w:p>
    <w:p w14:paraId="5682D869" w14:textId="283BFCA5" w:rsidR="002238BF" w:rsidRPr="00B75401" w:rsidRDefault="006C48D2" w:rsidP="00B75401">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14:anchorId="20581598" wp14:editId="7469D2AB">
            <wp:extent cx="5486400" cy="31121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3112135"/>
                    </a:xfrm>
                    <a:prstGeom prst="rect">
                      <a:avLst/>
                    </a:prstGeom>
                  </pic:spPr>
                </pic:pic>
              </a:graphicData>
            </a:graphic>
          </wp:inline>
        </w:drawing>
      </w:r>
    </w:p>
    <w:p w14:paraId="4C665156" w14:textId="14A02EAB" w:rsidR="00A77B3E" w:rsidRPr="00B75401" w:rsidRDefault="004B3E4B" w:rsidP="00B75401">
      <w:pPr>
        <w:adjustRightInd w:val="0"/>
        <w:snapToGrid w:val="0"/>
        <w:spacing w:line="360" w:lineRule="auto"/>
        <w:jc w:val="both"/>
        <w:rPr>
          <w:rFonts w:ascii="Book Antiqua" w:hAnsi="Book Antiqua"/>
        </w:rPr>
      </w:pPr>
      <w:r w:rsidRPr="00B75401">
        <w:rPr>
          <w:rFonts w:ascii="Book Antiqua" w:eastAsia="Book Antiqua" w:hAnsi="Book Antiqua" w:cs="Book Antiqua"/>
          <w:b/>
          <w:bCs/>
          <w:color w:val="000000"/>
        </w:rPr>
        <w:t xml:space="preserve">Figure 2 Clinical course. </w:t>
      </w:r>
      <w:r w:rsidRPr="00B75401">
        <w:rPr>
          <w:rFonts w:ascii="Book Antiqua" w:eastAsia="Book Antiqua" w:hAnsi="Book Antiqua" w:cs="Book Antiqua"/>
          <w:color w:val="000000"/>
        </w:rPr>
        <w:t>Alb</w:t>
      </w:r>
      <w:r w:rsidR="002238BF" w:rsidRPr="00B75401">
        <w:rPr>
          <w:rFonts w:ascii="Book Antiqua" w:eastAsia="Book Antiqua" w:hAnsi="Book Antiqua" w:cs="Book Antiqua"/>
          <w:color w:val="000000"/>
        </w:rPr>
        <w:t>:</w:t>
      </w:r>
      <w:r w:rsidRPr="00B75401">
        <w:rPr>
          <w:rFonts w:ascii="Book Antiqua" w:eastAsia="Book Antiqua" w:hAnsi="Book Antiqua" w:cs="Book Antiqua"/>
          <w:color w:val="000000"/>
        </w:rPr>
        <w:t xml:space="preserve"> </w:t>
      </w:r>
      <w:r w:rsidR="002238BF" w:rsidRPr="00B75401">
        <w:rPr>
          <w:rFonts w:ascii="Book Antiqua" w:eastAsia="Book Antiqua" w:hAnsi="Book Antiqua" w:cs="Book Antiqua"/>
          <w:color w:val="000000"/>
        </w:rPr>
        <w:t>A</w:t>
      </w:r>
      <w:r w:rsidRPr="00B75401">
        <w:rPr>
          <w:rFonts w:ascii="Book Antiqua" w:eastAsia="Book Antiqua" w:hAnsi="Book Antiqua" w:cs="Book Antiqua"/>
          <w:color w:val="000000"/>
        </w:rPr>
        <w:t>lbumin; IV CPA</w:t>
      </w:r>
      <w:r w:rsidR="002238BF" w:rsidRPr="00B75401">
        <w:rPr>
          <w:rFonts w:ascii="Book Antiqua" w:eastAsia="Book Antiqua" w:hAnsi="Book Antiqua" w:cs="Book Antiqua"/>
          <w:color w:val="000000"/>
        </w:rPr>
        <w:t>:</w:t>
      </w:r>
      <w:r w:rsidRPr="00B75401">
        <w:rPr>
          <w:rFonts w:ascii="Book Antiqua" w:eastAsia="Book Antiqua" w:hAnsi="Book Antiqua" w:cs="Book Antiqua"/>
          <w:color w:val="000000"/>
        </w:rPr>
        <w:t xml:space="preserve"> </w:t>
      </w:r>
      <w:r w:rsidR="002238BF" w:rsidRPr="00B75401">
        <w:rPr>
          <w:rFonts w:ascii="Book Antiqua" w:eastAsia="Book Antiqua" w:hAnsi="Book Antiqua" w:cs="Book Antiqua"/>
          <w:color w:val="000000"/>
        </w:rPr>
        <w:t>I</w:t>
      </w:r>
      <w:r w:rsidRPr="00B75401">
        <w:rPr>
          <w:rFonts w:ascii="Book Antiqua" w:eastAsia="Book Antiqua" w:hAnsi="Book Antiqua" w:cs="Book Antiqua"/>
          <w:color w:val="000000"/>
        </w:rPr>
        <w:t>ntravenous cyclophosphamide; mPSL</w:t>
      </w:r>
      <w:r w:rsidR="002238BF" w:rsidRPr="00B75401">
        <w:rPr>
          <w:rFonts w:ascii="Book Antiqua" w:eastAsia="Book Antiqua" w:hAnsi="Book Antiqua" w:cs="Book Antiqua"/>
          <w:color w:val="000000"/>
        </w:rPr>
        <w:t>:</w:t>
      </w:r>
      <w:r w:rsidRPr="00B75401">
        <w:rPr>
          <w:rFonts w:ascii="Book Antiqua" w:eastAsia="Book Antiqua" w:hAnsi="Book Antiqua" w:cs="Book Antiqua"/>
          <w:color w:val="000000"/>
        </w:rPr>
        <w:t xml:space="preserve"> </w:t>
      </w:r>
      <w:r w:rsidR="002238BF" w:rsidRPr="00B75401">
        <w:rPr>
          <w:rFonts w:ascii="Book Antiqua" w:eastAsia="Book Antiqua" w:hAnsi="Book Antiqua" w:cs="Book Antiqua"/>
          <w:color w:val="000000"/>
        </w:rPr>
        <w:t>M</w:t>
      </w:r>
      <w:r w:rsidRPr="00B75401">
        <w:rPr>
          <w:rFonts w:ascii="Book Antiqua" w:eastAsia="Book Antiqua" w:hAnsi="Book Antiqua" w:cs="Book Antiqua"/>
          <w:color w:val="000000"/>
        </w:rPr>
        <w:t>ethylprednisolone; PE</w:t>
      </w:r>
      <w:r w:rsidR="002238BF" w:rsidRPr="00B75401">
        <w:rPr>
          <w:rFonts w:ascii="Book Antiqua" w:eastAsia="Book Antiqua" w:hAnsi="Book Antiqua" w:cs="Book Antiqua"/>
          <w:color w:val="000000"/>
        </w:rPr>
        <w:t>:</w:t>
      </w:r>
      <w:r w:rsidRPr="00B75401">
        <w:rPr>
          <w:rFonts w:ascii="Book Antiqua" w:eastAsia="Book Antiqua" w:hAnsi="Book Antiqua" w:cs="Book Antiqua"/>
          <w:color w:val="000000"/>
        </w:rPr>
        <w:t xml:space="preserve"> </w:t>
      </w:r>
      <w:r w:rsidR="002238BF" w:rsidRPr="00B75401">
        <w:rPr>
          <w:rFonts w:ascii="Book Antiqua" w:eastAsia="Book Antiqua" w:hAnsi="Book Antiqua" w:cs="Book Antiqua"/>
          <w:color w:val="000000"/>
        </w:rPr>
        <w:t>P</w:t>
      </w:r>
      <w:r w:rsidRPr="00B75401">
        <w:rPr>
          <w:rFonts w:ascii="Book Antiqua" w:eastAsia="Book Antiqua" w:hAnsi="Book Antiqua" w:cs="Book Antiqua"/>
          <w:color w:val="000000"/>
        </w:rPr>
        <w:t>lasma exchange; PSL</w:t>
      </w:r>
      <w:r w:rsidR="002238BF" w:rsidRPr="00B75401">
        <w:rPr>
          <w:rFonts w:ascii="Book Antiqua" w:eastAsia="Book Antiqua" w:hAnsi="Book Antiqua" w:cs="Book Antiqua"/>
          <w:color w:val="000000"/>
        </w:rPr>
        <w:t>:</w:t>
      </w:r>
      <w:r w:rsidRPr="00B75401">
        <w:rPr>
          <w:rFonts w:ascii="Book Antiqua" w:eastAsia="Book Antiqua" w:hAnsi="Book Antiqua" w:cs="Book Antiqua"/>
          <w:color w:val="000000"/>
        </w:rPr>
        <w:t xml:space="preserve"> </w:t>
      </w:r>
      <w:r w:rsidR="002238BF" w:rsidRPr="00B75401">
        <w:rPr>
          <w:rFonts w:ascii="Book Antiqua" w:eastAsia="Book Antiqua" w:hAnsi="Book Antiqua" w:cs="Book Antiqua"/>
          <w:color w:val="000000"/>
        </w:rPr>
        <w:t>P</w:t>
      </w:r>
      <w:r w:rsidRPr="00B75401">
        <w:rPr>
          <w:rFonts w:ascii="Book Antiqua" w:eastAsia="Book Antiqua" w:hAnsi="Book Antiqua" w:cs="Book Antiqua"/>
          <w:color w:val="000000"/>
        </w:rPr>
        <w:t>rednisolone; TAC</w:t>
      </w:r>
      <w:r w:rsidR="002238BF" w:rsidRPr="00B75401">
        <w:rPr>
          <w:rFonts w:ascii="Book Antiqua" w:eastAsia="Book Antiqua" w:hAnsi="Book Antiqua" w:cs="Book Antiqua"/>
          <w:color w:val="000000"/>
        </w:rPr>
        <w:t>:</w:t>
      </w:r>
      <w:r w:rsidRPr="00B75401">
        <w:rPr>
          <w:rFonts w:ascii="Book Antiqua" w:eastAsia="Book Antiqua" w:hAnsi="Book Antiqua" w:cs="Book Antiqua"/>
          <w:color w:val="000000"/>
        </w:rPr>
        <w:t xml:space="preserve"> </w:t>
      </w:r>
      <w:r w:rsidR="002238BF" w:rsidRPr="00B75401">
        <w:rPr>
          <w:rFonts w:ascii="Book Antiqua" w:eastAsia="Book Antiqua" w:hAnsi="Book Antiqua" w:cs="Book Antiqua"/>
          <w:color w:val="000000"/>
        </w:rPr>
        <w:t>T</w:t>
      </w:r>
      <w:r w:rsidRPr="00B75401">
        <w:rPr>
          <w:rFonts w:ascii="Book Antiqua" w:eastAsia="Book Antiqua" w:hAnsi="Book Antiqua" w:cs="Book Antiqua"/>
          <w:color w:val="000000"/>
        </w:rPr>
        <w:t>acrolimus</w:t>
      </w:r>
      <w:r w:rsidR="006C48D2">
        <w:rPr>
          <w:rFonts w:ascii="Book Antiqua" w:eastAsia="Book Antiqua" w:hAnsi="Book Antiqua" w:cs="Book Antiqua"/>
          <w:color w:val="000000"/>
        </w:rPr>
        <w:t>.</w:t>
      </w:r>
    </w:p>
    <w:p w14:paraId="49B23488" w14:textId="77777777" w:rsidR="002238BF" w:rsidRPr="00B75401" w:rsidRDefault="002238BF" w:rsidP="00B75401">
      <w:pPr>
        <w:adjustRightInd w:val="0"/>
        <w:snapToGrid w:val="0"/>
        <w:spacing w:line="360" w:lineRule="auto"/>
        <w:jc w:val="both"/>
        <w:rPr>
          <w:rFonts w:ascii="Book Antiqua" w:hAnsi="Book Antiqua"/>
        </w:rPr>
      </w:pPr>
      <w:r w:rsidRPr="00B75401">
        <w:rPr>
          <w:rFonts w:ascii="Book Antiqua" w:hAnsi="Book Antiqua"/>
        </w:rPr>
        <w:br w:type="page"/>
      </w:r>
    </w:p>
    <w:p w14:paraId="1BE3A076" w14:textId="4A8E978C" w:rsidR="002238BF" w:rsidRPr="00B75401" w:rsidRDefault="002238BF" w:rsidP="00B75401">
      <w:pPr>
        <w:adjustRightInd w:val="0"/>
        <w:snapToGrid w:val="0"/>
        <w:spacing w:line="360" w:lineRule="auto"/>
        <w:jc w:val="both"/>
        <w:rPr>
          <w:rFonts w:ascii="Book Antiqua" w:eastAsia="Book Antiqua" w:hAnsi="Book Antiqua" w:cs="Book Antiqua"/>
          <w:b/>
          <w:bCs/>
          <w:color w:val="000000"/>
        </w:rPr>
      </w:pPr>
      <w:r w:rsidRPr="00B75401">
        <w:rPr>
          <w:rFonts w:ascii="Book Antiqua" w:eastAsia="Book Antiqua" w:hAnsi="Book Antiqua" w:cs="Book Antiqua"/>
          <w:b/>
          <w:bCs/>
          <w:noProof/>
          <w:color w:val="000000"/>
          <w:lang w:eastAsia="zh-CN"/>
        </w:rPr>
        <w:drawing>
          <wp:inline distT="0" distB="0" distL="0" distR="0" wp14:anchorId="5B58C234" wp14:editId="651DE4EA">
            <wp:extent cx="5442226" cy="3061252"/>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52541" cy="3067054"/>
                    </a:xfrm>
                    <a:prstGeom prst="rect">
                      <a:avLst/>
                    </a:prstGeom>
                  </pic:spPr>
                </pic:pic>
              </a:graphicData>
            </a:graphic>
          </wp:inline>
        </w:drawing>
      </w:r>
    </w:p>
    <w:p w14:paraId="534206E0" w14:textId="389F6E13" w:rsidR="002238BF" w:rsidRPr="00B75401" w:rsidRDefault="004B3E4B" w:rsidP="00B75401">
      <w:pPr>
        <w:adjustRightInd w:val="0"/>
        <w:snapToGrid w:val="0"/>
        <w:spacing w:line="360" w:lineRule="auto"/>
        <w:jc w:val="both"/>
        <w:rPr>
          <w:rFonts w:ascii="Book Antiqua" w:eastAsia="Book Antiqua" w:hAnsi="Book Antiqua" w:cs="Book Antiqua"/>
          <w:color w:val="000000"/>
        </w:rPr>
        <w:sectPr w:rsidR="002238BF" w:rsidRPr="00B75401" w:rsidSect="006C48D2">
          <w:type w:val="continuous"/>
          <w:pgSz w:w="12240" w:h="15840"/>
          <w:pgMar w:top="1440" w:right="1800" w:bottom="1440" w:left="1800" w:header="720" w:footer="720" w:gutter="0"/>
          <w:cols w:space="720"/>
          <w:docGrid w:linePitch="360"/>
        </w:sectPr>
      </w:pPr>
      <w:bookmarkStart w:id="24" w:name="OLE_LINK15"/>
      <w:bookmarkStart w:id="25" w:name="OLE_LINK16"/>
      <w:bookmarkStart w:id="26" w:name="OLE_LINK17"/>
      <w:r w:rsidRPr="00B75401">
        <w:rPr>
          <w:rFonts w:ascii="Book Antiqua" w:eastAsia="Book Antiqua" w:hAnsi="Book Antiqua" w:cs="Book Antiqua"/>
          <w:b/>
          <w:bCs/>
          <w:color w:val="000000"/>
        </w:rPr>
        <w:t>Figure 3 Improvement of</w:t>
      </w:r>
      <w:r w:rsidRPr="00B75401">
        <w:rPr>
          <w:rFonts w:ascii="Book Antiqua" w:eastAsia="Book Antiqua" w:hAnsi="Book Antiqua" w:cs="Book Antiqua"/>
          <w:color w:val="000000"/>
        </w:rPr>
        <w:t xml:space="preserve"> </w:t>
      </w:r>
      <w:r w:rsidR="002238BF" w:rsidRPr="00B75401">
        <w:rPr>
          <w:rFonts w:ascii="Book Antiqua" w:eastAsia="Book Antiqua" w:hAnsi="Book Antiqua" w:cs="Book Antiqua"/>
          <w:b/>
          <w:bCs/>
          <w:color w:val="000000"/>
        </w:rPr>
        <w:t>computed tomography</w:t>
      </w:r>
      <w:r w:rsidRPr="00110E00">
        <w:rPr>
          <w:rFonts w:ascii="Book Antiqua" w:eastAsia="Book Antiqua" w:hAnsi="Book Antiqua" w:cs="Book Antiqua"/>
          <w:b/>
          <w:bCs/>
          <w:color w:val="000000"/>
        </w:rPr>
        <w:t xml:space="preserve"> </w:t>
      </w:r>
      <w:bookmarkStart w:id="27" w:name="OLE_LINK18"/>
      <w:bookmarkStart w:id="28" w:name="OLE_LINK19"/>
      <w:r w:rsidR="00110E00" w:rsidRPr="00110E00">
        <w:rPr>
          <w:rFonts w:ascii="Book Antiqua" w:eastAsia="Book Antiqua" w:hAnsi="Book Antiqua" w:cs="Book Antiqua"/>
          <w:b/>
          <w:bCs/>
          <w:color w:val="000000"/>
        </w:rPr>
        <w:t>findings</w:t>
      </w:r>
      <w:r w:rsidRPr="00110E00">
        <w:rPr>
          <w:rFonts w:ascii="Book Antiqua" w:eastAsia="Book Antiqua" w:hAnsi="Book Antiqua" w:cs="Book Antiqua"/>
          <w:b/>
          <w:bCs/>
          <w:color w:val="000000"/>
        </w:rPr>
        <w:t>.</w:t>
      </w:r>
      <w:bookmarkEnd w:id="27"/>
      <w:bookmarkEnd w:id="28"/>
      <w:r w:rsidRPr="00110E00">
        <w:rPr>
          <w:rFonts w:ascii="Book Antiqua" w:eastAsia="Book Antiqua" w:hAnsi="Book Antiqua" w:cs="Book Antiqua"/>
          <w:b/>
          <w:bCs/>
          <w:color w:val="000000"/>
        </w:rPr>
        <w:t xml:space="preserve"> </w:t>
      </w:r>
      <w:r w:rsidRPr="00B75401">
        <w:rPr>
          <w:rFonts w:ascii="Book Antiqua" w:eastAsia="Book Antiqua" w:hAnsi="Book Antiqua" w:cs="Book Antiqua"/>
          <w:color w:val="000000"/>
        </w:rPr>
        <w:t xml:space="preserve">The </w:t>
      </w:r>
      <w:r w:rsidR="002238BF" w:rsidRPr="00B75401">
        <w:rPr>
          <w:rFonts w:ascii="Book Antiqua" w:eastAsia="Book Antiqua" w:hAnsi="Book Antiqua" w:cs="Book Antiqua"/>
          <w:color w:val="000000"/>
        </w:rPr>
        <w:t>computed tomography</w:t>
      </w:r>
      <w:r w:rsidRPr="00B75401">
        <w:rPr>
          <w:rFonts w:ascii="Book Antiqua" w:eastAsia="Book Antiqua" w:hAnsi="Book Antiqua" w:cs="Book Antiqua"/>
          <w:color w:val="000000"/>
        </w:rPr>
        <w:t xml:space="preserve"> images were taken at different time points after the second hospitalization, as indicated.</w:t>
      </w:r>
    </w:p>
    <w:bookmarkEnd w:id="24"/>
    <w:bookmarkEnd w:id="25"/>
    <w:bookmarkEnd w:id="26"/>
    <w:p w14:paraId="4675CD77" w14:textId="77777777" w:rsidR="006C48D2" w:rsidRDefault="006C48D2">
      <w:pPr>
        <w:rPr>
          <w:rFonts w:ascii="Book Antiqua" w:eastAsia="Yu Mincho" w:hAnsi="Book Antiqua"/>
          <w:b/>
        </w:rPr>
      </w:pPr>
      <w:r>
        <w:rPr>
          <w:rFonts w:ascii="Book Antiqua" w:eastAsia="Yu Mincho" w:hAnsi="Book Antiqua"/>
          <w:b/>
        </w:rPr>
        <w:br w:type="page"/>
      </w:r>
    </w:p>
    <w:p w14:paraId="11EDCE83" w14:textId="3D10BED5" w:rsidR="002238BF" w:rsidRPr="00B75401" w:rsidRDefault="002238BF" w:rsidP="00B75401">
      <w:pPr>
        <w:autoSpaceDE w:val="0"/>
        <w:adjustRightInd w:val="0"/>
        <w:snapToGrid w:val="0"/>
        <w:spacing w:line="360" w:lineRule="auto"/>
        <w:jc w:val="both"/>
        <w:rPr>
          <w:rFonts w:ascii="Book Antiqua" w:eastAsia="Yu Mincho" w:hAnsi="Book Antiqua"/>
          <w:bCs/>
        </w:rPr>
      </w:pPr>
      <w:r w:rsidRPr="00B75401">
        <w:rPr>
          <w:rFonts w:ascii="Book Antiqua" w:eastAsia="Yu Mincho" w:hAnsi="Book Antiqua"/>
          <w:b/>
        </w:rPr>
        <w:t>Table 1 Laboratory findings</w:t>
      </w:r>
    </w:p>
    <w:tbl>
      <w:tblPr>
        <w:tblStyle w:val="21"/>
        <w:tblW w:w="0" w:type="auto"/>
        <w:tblInd w:w="0" w:type="dxa"/>
        <w:tblBorders>
          <w:top w:val="single" w:sz="4" w:space="0" w:color="auto"/>
          <w:bottom w:val="single" w:sz="4" w:space="0" w:color="auto"/>
        </w:tblBorders>
        <w:tblLook w:val="04A0" w:firstRow="1" w:lastRow="0" w:firstColumn="1" w:lastColumn="0" w:noHBand="0" w:noVBand="1"/>
      </w:tblPr>
      <w:tblGrid>
        <w:gridCol w:w="4248"/>
        <w:gridCol w:w="2095"/>
        <w:gridCol w:w="2287"/>
      </w:tblGrid>
      <w:tr w:rsidR="002238BF" w:rsidRPr="00B75401" w14:paraId="58FB2EA7" w14:textId="77777777" w:rsidTr="006C4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bottom w:val="single" w:sz="4" w:space="0" w:color="auto"/>
            </w:tcBorders>
          </w:tcPr>
          <w:p w14:paraId="6B182C7D" w14:textId="77777777" w:rsidR="002238BF" w:rsidRPr="006C48D2" w:rsidRDefault="002238BF" w:rsidP="00B75401">
            <w:pPr>
              <w:autoSpaceDE w:val="0"/>
              <w:adjustRightInd w:val="0"/>
              <w:snapToGrid w:val="0"/>
              <w:spacing w:line="360" w:lineRule="auto"/>
              <w:jc w:val="both"/>
              <w:rPr>
                <w:rFonts w:ascii="Book Antiqua" w:eastAsia="Yu Mincho" w:hAnsi="Book Antiqua"/>
                <w:bCs w:val="0"/>
              </w:rPr>
            </w:pPr>
          </w:p>
        </w:tc>
        <w:tc>
          <w:tcPr>
            <w:tcW w:w="2095" w:type="dxa"/>
            <w:tcBorders>
              <w:top w:val="single" w:sz="4" w:space="0" w:color="auto"/>
              <w:bottom w:val="single" w:sz="4" w:space="0" w:color="auto"/>
            </w:tcBorders>
            <w:hideMark/>
          </w:tcPr>
          <w:p w14:paraId="196F9A65" w14:textId="77777777" w:rsidR="002238BF" w:rsidRPr="006C48D2" w:rsidRDefault="002238BF" w:rsidP="00B75401">
            <w:pPr>
              <w:autoSpaceDE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Yu Mincho" w:hAnsi="Book Antiqua"/>
                <w:bCs w:val="0"/>
              </w:rPr>
            </w:pPr>
            <w:r w:rsidRPr="006C48D2">
              <w:rPr>
                <w:rFonts w:ascii="Book Antiqua" w:eastAsia="Yu Mincho" w:hAnsi="Book Antiqua"/>
                <w:bCs w:val="0"/>
              </w:rPr>
              <w:t>First admission</w:t>
            </w:r>
          </w:p>
        </w:tc>
        <w:tc>
          <w:tcPr>
            <w:tcW w:w="2287" w:type="dxa"/>
            <w:tcBorders>
              <w:top w:val="single" w:sz="4" w:space="0" w:color="auto"/>
              <w:bottom w:val="single" w:sz="4" w:space="0" w:color="auto"/>
            </w:tcBorders>
            <w:hideMark/>
          </w:tcPr>
          <w:p w14:paraId="6982C638" w14:textId="77777777" w:rsidR="002238BF" w:rsidRPr="006C48D2" w:rsidRDefault="002238BF" w:rsidP="00B75401">
            <w:pPr>
              <w:autoSpaceDE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Yu Mincho" w:hAnsi="Book Antiqua"/>
                <w:bCs w:val="0"/>
              </w:rPr>
            </w:pPr>
            <w:r w:rsidRPr="006C48D2">
              <w:rPr>
                <w:rFonts w:ascii="Book Antiqua" w:eastAsia="Yu Mincho" w:hAnsi="Book Antiqua"/>
                <w:bCs w:val="0"/>
              </w:rPr>
              <w:t>Second admission</w:t>
            </w:r>
          </w:p>
        </w:tc>
      </w:tr>
      <w:tr w:rsidR="002238BF" w:rsidRPr="00B75401" w14:paraId="34460D3F" w14:textId="77777777" w:rsidTr="006C48D2">
        <w:tc>
          <w:tcPr>
            <w:cnfStyle w:val="001000000000" w:firstRow="0" w:lastRow="0" w:firstColumn="1" w:lastColumn="0" w:oddVBand="0" w:evenVBand="0" w:oddHBand="0" w:evenHBand="0" w:firstRowFirstColumn="0" w:firstRowLastColumn="0" w:lastRowFirstColumn="0" w:lastRowLastColumn="0"/>
            <w:tcW w:w="4248" w:type="dxa"/>
            <w:tcBorders>
              <w:top w:val="single" w:sz="4" w:space="0" w:color="auto"/>
            </w:tcBorders>
            <w:hideMark/>
          </w:tcPr>
          <w:p w14:paraId="3739B47B"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Urinalysis</w:t>
            </w:r>
          </w:p>
        </w:tc>
        <w:tc>
          <w:tcPr>
            <w:tcW w:w="2095" w:type="dxa"/>
            <w:tcBorders>
              <w:top w:val="single" w:sz="4" w:space="0" w:color="auto"/>
            </w:tcBorders>
          </w:tcPr>
          <w:p w14:paraId="3BCD972B"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p>
        </w:tc>
        <w:tc>
          <w:tcPr>
            <w:tcW w:w="2287" w:type="dxa"/>
            <w:tcBorders>
              <w:top w:val="single" w:sz="4" w:space="0" w:color="auto"/>
            </w:tcBorders>
          </w:tcPr>
          <w:p w14:paraId="592D2735"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p>
        </w:tc>
      </w:tr>
      <w:tr w:rsidR="002238BF" w:rsidRPr="00B75401" w14:paraId="029F950F"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7E77006D" w14:textId="03C1F9DA"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 xml:space="preserve"> Protein</w:t>
            </w:r>
          </w:p>
        </w:tc>
        <w:tc>
          <w:tcPr>
            <w:tcW w:w="2095" w:type="dxa"/>
            <w:hideMark/>
          </w:tcPr>
          <w:p w14:paraId="36584DEF"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1+</w:t>
            </w:r>
          </w:p>
        </w:tc>
        <w:tc>
          <w:tcPr>
            <w:tcW w:w="2287" w:type="dxa"/>
            <w:hideMark/>
          </w:tcPr>
          <w:p w14:paraId="74B298DF"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2+</w:t>
            </w:r>
          </w:p>
        </w:tc>
      </w:tr>
      <w:tr w:rsidR="002238BF" w:rsidRPr="00B75401" w14:paraId="4EFFC790"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3F25FF3F"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 xml:space="preserve"> Occult blood</w:t>
            </w:r>
          </w:p>
        </w:tc>
        <w:tc>
          <w:tcPr>
            <w:tcW w:w="2095" w:type="dxa"/>
            <w:hideMark/>
          </w:tcPr>
          <w:p w14:paraId="2FBDE078"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1+</w:t>
            </w:r>
          </w:p>
        </w:tc>
        <w:tc>
          <w:tcPr>
            <w:tcW w:w="2287" w:type="dxa"/>
            <w:hideMark/>
          </w:tcPr>
          <w:p w14:paraId="22591823"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w:t>
            </w:r>
          </w:p>
        </w:tc>
      </w:tr>
      <w:tr w:rsidR="002238BF" w:rsidRPr="00B75401" w14:paraId="1971C05A"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4597B8C7"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 xml:space="preserve"> Red blood cell</w:t>
            </w:r>
          </w:p>
        </w:tc>
        <w:tc>
          <w:tcPr>
            <w:tcW w:w="2095" w:type="dxa"/>
            <w:hideMark/>
          </w:tcPr>
          <w:p w14:paraId="68987F7C"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rPr>
            </w:pPr>
            <w:r w:rsidRPr="00B75401">
              <w:rPr>
                <w:rFonts w:ascii="Book Antiqua" w:eastAsia="Yu Mincho" w:hAnsi="Book Antiqua"/>
              </w:rPr>
              <w:t>10-29/HPF</w:t>
            </w:r>
            <w:r w:rsidRPr="00B75401">
              <w:rPr>
                <w:rFonts w:ascii="Book Antiqua" w:hAnsi="Book Antiqua" w:cs="Book Antiqua"/>
                <w:vertAlign w:val="superscript"/>
              </w:rPr>
              <w:t>1</w:t>
            </w:r>
          </w:p>
        </w:tc>
        <w:tc>
          <w:tcPr>
            <w:tcW w:w="2287" w:type="dxa"/>
            <w:hideMark/>
          </w:tcPr>
          <w:p w14:paraId="3D5FA60B"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&lt; 4/HPF</w:t>
            </w:r>
          </w:p>
        </w:tc>
      </w:tr>
      <w:tr w:rsidR="002238BF" w:rsidRPr="00B75401" w14:paraId="3CB705FD"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3BECF3B1"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 xml:space="preserve"> Casts</w:t>
            </w:r>
          </w:p>
        </w:tc>
        <w:tc>
          <w:tcPr>
            <w:tcW w:w="2095" w:type="dxa"/>
            <w:hideMark/>
          </w:tcPr>
          <w:p w14:paraId="0C4DB395"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Book Antiqua"/>
              </w:rPr>
            </w:pPr>
            <w:r w:rsidRPr="00B75401">
              <w:rPr>
                <w:rFonts w:ascii="Book Antiqua" w:eastAsia="Yu Mincho" w:hAnsi="Book Antiqua"/>
              </w:rPr>
              <w:t>+</w:t>
            </w:r>
            <w:r w:rsidRPr="00B75401">
              <w:rPr>
                <w:rFonts w:ascii="Book Antiqua" w:hAnsi="Book Antiqua" w:cs="Book Antiqua"/>
                <w:vertAlign w:val="superscript"/>
              </w:rPr>
              <w:t>2</w:t>
            </w:r>
          </w:p>
        </w:tc>
        <w:tc>
          <w:tcPr>
            <w:tcW w:w="2287" w:type="dxa"/>
            <w:hideMark/>
          </w:tcPr>
          <w:p w14:paraId="1BEF0C49"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B75401">
              <w:rPr>
                <w:rFonts w:ascii="Book Antiqua" w:eastAsia="Yu Mincho" w:hAnsi="Book Antiqua"/>
              </w:rPr>
              <w:t>+</w:t>
            </w:r>
            <w:r w:rsidRPr="00B75401">
              <w:rPr>
                <w:rFonts w:ascii="Book Antiqua" w:hAnsi="Book Antiqua" w:cs="Book Antiqua"/>
                <w:vertAlign w:val="superscript"/>
              </w:rPr>
              <w:t>3</w:t>
            </w:r>
          </w:p>
        </w:tc>
      </w:tr>
      <w:tr w:rsidR="002238BF" w:rsidRPr="00B75401" w14:paraId="4C5E3467"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546DA0F6"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Spot protein-creatinine ratio (g/g Cr)</w:t>
            </w:r>
          </w:p>
        </w:tc>
        <w:tc>
          <w:tcPr>
            <w:tcW w:w="2095" w:type="dxa"/>
            <w:hideMark/>
          </w:tcPr>
          <w:p w14:paraId="0CC4E658"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0.38</w:t>
            </w:r>
          </w:p>
        </w:tc>
        <w:tc>
          <w:tcPr>
            <w:tcW w:w="2287" w:type="dxa"/>
            <w:hideMark/>
          </w:tcPr>
          <w:p w14:paraId="78C583CC"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0.20</w:t>
            </w:r>
          </w:p>
        </w:tc>
      </w:tr>
      <w:tr w:rsidR="002238BF" w:rsidRPr="00B75401" w14:paraId="061C0BE7"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550D20AB"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WBC (/µL)</w:t>
            </w:r>
          </w:p>
        </w:tc>
        <w:tc>
          <w:tcPr>
            <w:tcW w:w="2095" w:type="dxa"/>
            <w:hideMark/>
          </w:tcPr>
          <w:p w14:paraId="73AB245F"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14500</w:t>
            </w:r>
          </w:p>
        </w:tc>
        <w:tc>
          <w:tcPr>
            <w:tcW w:w="2287" w:type="dxa"/>
            <w:hideMark/>
          </w:tcPr>
          <w:p w14:paraId="079F5211"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6100</w:t>
            </w:r>
          </w:p>
        </w:tc>
      </w:tr>
      <w:tr w:rsidR="002238BF" w:rsidRPr="00B75401" w14:paraId="5C567DFA"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7D015975"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Hb (g/dL)</w:t>
            </w:r>
          </w:p>
        </w:tc>
        <w:tc>
          <w:tcPr>
            <w:tcW w:w="2095" w:type="dxa"/>
            <w:hideMark/>
          </w:tcPr>
          <w:p w14:paraId="37D1D4B7"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10.9</w:t>
            </w:r>
          </w:p>
        </w:tc>
        <w:tc>
          <w:tcPr>
            <w:tcW w:w="2287" w:type="dxa"/>
            <w:hideMark/>
          </w:tcPr>
          <w:p w14:paraId="07DA4A06"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14.9</w:t>
            </w:r>
          </w:p>
        </w:tc>
      </w:tr>
      <w:tr w:rsidR="002238BF" w:rsidRPr="00B75401" w14:paraId="2529EF4B"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7D2BC9B1" w14:textId="77777777" w:rsidR="002238BF" w:rsidRPr="006C48D2" w:rsidRDefault="002238BF" w:rsidP="00B75401">
            <w:pPr>
              <w:autoSpaceDE w:val="0"/>
              <w:adjustRightInd w:val="0"/>
              <w:snapToGrid w:val="0"/>
              <w:spacing w:line="360" w:lineRule="auto"/>
              <w:jc w:val="both"/>
              <w:rPr>
                <w:rFonts w:ascii="Book Antiqua" w:eastAsia="Yu Mincho" w:hAnsi="Book Antiqua"/>
                <w:b w:val="0"/>
                <w:bCs w:val="0"/>
              </w:rPr>
            </w:pPr>
            <w:r w:rsidRPr="006C48D2">
              <w:rPr>
                <w:rFonts w:ascii="Book Antiqua" w:eastAsia="Yu Mincho" w:hAnsi="Book Antiqua"/>
                <w:b w:val="0"/>
                <w:bCs w:val="0"/>
              </w:rPr>
              <w:t>Plt (10</w:t>
            </w:r>
            <w:r w:rsidRPr="006C48D2">
              <w:rPr>
                <w:rFonts w:eastAsia="微软雅黑"/>
                <w:b w:val="0"/>
                <w:bCs w:val="0"/>
              </w:rPr>
              <w:t>⁴</w:t>
            </w:r>
            <w:r w:rsidRPr="006C48D2">
              <w:rPr>
                <w:rFonts w:ascii="Book Antiqua" w:eastAsia="Yu Mincho" w:hAnsi="Book Antiqua"/>
                <w:b w:val="0"/>
                <w:bCs w:val="0"/>
              </w:rPr>
              <w:t>/µL)</w:t>
            </w:r>
          </w:p>
        </w:tc>
        <w:tc>
          <w:tcPr>
            <w:tcW w:w="2095" w:type="dxa"/>
            <w:hideMark/>
          </w:tcPr>
          <w:p w14:paraId="13E57E65"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43.4</w:t>
            </w:r>
          </w:p>
        </w:tc>
        <w:tc>
          <w:tcPr>
            <w:tcW w:w="2287" w:type="dxa"/>
            <w:hideMark/>
          </w:tcPr>
          <w:p w14:paraId="662E9C2A"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35.1</w:t>
            </w:r>
          </w:p>
        </w:tc>
      </w:tr>
      <w:tr w:rsidR="002238BF" w:rsidRPr="00B75401" w14:paraId="416C1CE3"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54CDE9A2"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T-Bil (mg/dL)</w:t>
            </w:r>
          </w:p>
        </w:tc>
        <w:tc>
          <w:tcPr>
            <w:tcW w:w="2095" w:type="dxa"/>
            <w:hideMark/>
          </w:tcPr>
          <w:p w14:paraId="7A88E070"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0.3</w:t>
            </w:r>
          </w:p>
        </w:tc>
        <w:tc>
          <w:tcPr>
            <w:tcW w:w="2287" w:type="dxa"/>
            <w:hideMark/>
          </w:tcPr>
          <w:p w14:paraId="70171ACD"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0.8</w:t>
            </w:r>
          </w:p>
        </w:tc>
      </w:tr>
      <w:tr w:rsidR="002238BF" w:rsidRPr="00B75401" w14:paraId="32A604FC"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6B9D1863"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AST (U/L)</w:t>
            </w:r>
          </w:p>
        </w:tc>
        <w:tc>
          <w:tcPr>
            <w:tcW w:w="2095" w:type="dxa"/>
            <w:hideMark/>
          </w:tcPr>
          <w:p w14:paraId="04BD8BB3"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25</w:t>
            </w:r>
          </w:p>
        </w:tc>
        <w:tc>
          <w:tcPr>
            <w:tcW w:w="2287" w:type="dxa"/>
            <w:hideMark/>
          </w:tcPr>
          <w:p w14:paraId="76A4FDB5"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20</w:t>
            </w:r>
          </w:p>
        </w:tc>
      </w:tr>
      <w:tr w:rsidR="002238BF" w:rsidRPr="00B75401" w14:paraId="7FE83B90"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261A17AF"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ALT (U/L)</w:t>
            </w:r>
          </w:p>
        </w:tc>
        <w:tc>
          <w:tcPr>
            <w:tcW w:w="2095" w:type="dxa"/>
            <w:hideMark/>
          </w:tcPr>
          <w:p w14:paraId="520B49C6"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30</w:t>
            </w:r>
          </w:p>
        </w:tc>
        <w:tc>
          <w:tcPr>
            <w:tcW w:w="2287" w:type="dxa"/>
            <w:hideMark/>
          </w:tcPr>
          <w:p w14:paraId="161A096C"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18</w:t>
            </w:r>
          </w:p>
        </w:tc>
      </w:tr>
      <w:tr w:rsidR="002238BF" w:rsidRPr="00B75401" w14:paraId="215C4F1C"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0B420085"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γ-GTP (U/L)</w:t>
            </w:r>
          </w:p>
        </w:tc>
        <w:tc>
          <w:tcPr>
            <w:tcW w:w="2095" w:type="dxa"/>
            <w:hideMark/>
          </w:tcPr>
          <w:p w14:paraId="7E1AB5DF"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24</w:t>
            </w:r>
          </w:p>
        </w:tc>
        <w:tc>
          <w:tcPr>
            <w:tcW w:w="2287" w:type="dxa"/>
            <w:hideMark/>
          </w:tcPr>
          <w:p w14:paraId="61C017C2"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18</w:t>
            </w:r>
          </w:p>
        </w:tc>
      </w:tr>
      <w:tr w:rsidR="002238BF" w:rsidRPr="00B75401" w14:paraId="59567D12"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6D53B2A5"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ALP (U/L)</w:t>
            </w:r>
          </w:p>
        </w:tc>
        <w:tc>
          <w:tcPr>
            <w:tcW w:w="2095" w:type="dxa"/>
            <w:hideMark/>
          </w:tcPr>
          <w:p w14:paraId="3EF95D1A"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239</w:t>
            </w:r>
          </w:p>
        </w:tc>
        <w:tc>
          <w:tcPr>
            <w:tcW w:w="2287" w:type="dxa"/>
            <w:hideMark/>
          </w:tcPr>
          <w:p w14:paraId="7F757D57"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102</w:t>
            </w:r>
          </w:p>
        </w:tc>
      </w:tr>
      <w:tr w:rsidR="002238BF" w:rsidRPr="00B75401" w14:paraId="0D8C9440"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66090F27"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LDH (U/L)</w:t>
            </w:r>
          </w:p>
        </w:tc>
        <w:tc>
          <w:tcPr>
            <w:tcW w:w="2095" w:type="dxa"/>
            <w:hideMark/>
          </w:tcPr>
          <w:p w14:paraId="04972F6D"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207</w:t>
            </w:r>
          </w:p>
        </w:tc>
        <w:tc>
          <w:tcPr>
            <w:tcW w:w="2287" w:type="dxa"/>
            <w:hideMark/>
          </w:tcPr>
          <w:p w14:paraId="37031D6C"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200</w:t>
            </w:r>
          </w:p>
        </w:tc>
      </w:tr>
      <w:tr w:rsidR="002238BF" w:rsidRPr="00B75401" w14:paraId="12F59AEA"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652010D2"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CK (U/L)</w:t>
            </w:r>
          </w:p>
        </w:tc>
        <w:tc>
          <w:tcPr>
            <w:tcW w:w="2095" w:type="dxa"/>
            <w:hideMark/>
          </w:tcPr>
          <w:p w14:paraId="1A3243A0"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58</w:t>
            </w:r>
          </w:p>
        </w:tc>
        <w:tc>
          <w:tcPr>
            <w:tcW w:w="2287" w:type="dxa"/>
            <w:hideMark/>
          </w:tcPr>
          <w:p w14:paraId="155903DB"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37</w:t>
            </w:r>
          </w:p>
        </w:tc>
      </w:tr>
      <w:tr w:rsidR="002238BF" w:rsidRPr="00B75401" w14:paraId="66D97240"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7344B8E1"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TP (g/dL)</w:t>
            </w:r>
          </w:p>
        </w:tc>
        <w:tc>
          <w:tcPr>
            <w:tcW w:w="2095" w:type="dxa"/>
            <w:hideMark/>
          </w:tcPr>
          <w:p w14:paraId="2E758095"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7.1</w:t>
            </w:r>
          </w:p>
        </w:tc>
        <w:tc>
          <w:tcPr>
            <w:tcW w:w="2287" w:type="dxa"/>
            <w:hideMark/>
          </w:tcPr>
          <w:p w14:paraId="6CD29CE2"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4.3</w:t>
            </w:r>
          </w:p>
        </w:tc>
      </w:tr>
      <w:tr w:rsidR="002238BF" w:rsidRPr="00B75401" w14:paraId="163E2D57"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3F00EDAC"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Alb (g/dL)</w:t>
            </w:r>
          </w:p>
        </w:tc>
        <w:tc>
          <w:tcPr>
            <w:tcW w:w="2095" w:type="dxa"/>
            <w:hideMark/>
          </w:tcPr>
          <w:p w14:paraId="21AAB2F5"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2.6</w:t>
            </w:r>
          </w:p>
        </w:tc>
        <w:tc>
          <w:tcPr>
            <w:tcW w:w="2287" w:type="dxa"/>
            <w:hideMark/>
          </w:tcPr>
          <w:p w14:paraId="2CA021D2"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2.5</w:t>
            </w:r>
          </w:p>
        </w:tc>
      </w:tr>
      <w:tr w:rsidR="002238BF" w:rsidRPr="00B75401" w14:paraId="3A4DC439"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6A5E10FC"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BUN (mg/dL)</w:t>
            </w:r>
          </w:p>
        </w:tc>
        <w:tc>
          <w:tcPr>
            <w:tcW w:w="2095" w:type="dxa"/>
            <w:hideMark/>
          </w:tcPr>
          <w:p w14:paraId="35BE7E19"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11</w:t>
            </w:r>
          </w:p>
        </w:tc>
        <w:tc>
          <w:tcPr>
            <w:tcW w:w="2287" w:type="dxa"/>
            <w:hideMark/>
          </w:tcPr>
          <w:p w14:paraId="67F843CB"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35</w:t>
            </w:r>
          </w:p>
        </w:tc>
      </w:tr>
      <w:tr w:rsidR="002238BF" w:rsidRPr="00B75401" w14:paraId="13CE895C"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546D93C0"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Cr (mg/dL)</w:t>
            </w:r>
          </w:p>
        </w:tc>
        <w:tc>
          <w:tcPr>
            <w:tcW w:w="2095" w:type="dxa"/>
            <w:hideMark/>
          </w:tcPr>
          <w:p w14:paraId="0ACA0CD0"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0.5</w:t>
            </w:r>
          </w:p>
        </w:tc>
        <w:tc>
          <w:tcPr>
            <w:tcW w:w="2287" w:type="dxa"/>
            <w:hideMark/>
          </w:tcPr>
          <w:p w14:paraId="045A35CC"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0.7</w:t>
            </w:r>
          </w:p>
        </w:tc>
      </w:tr>
      <w:tr w:rsidR="002238BF" w:rsidRPr="00B75401" w14:paraId="071B698F"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75785560"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CRP (mg/dL)</w:t>
            </w:r>
          </w:p>
        </w:tc>
        <w:tc>
          <w:tcPr>
            <w:tcW w:w="2095" w:type="dxa"/>
            <w:hideMark/>
          </w:tcPr>
          <w:p w14:paraId="2470449B"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14.2</w:t>
            </w:r>
          </w:p>
        </w:tc>
        <w:tc>
          <w:tcPr>
            <w:tcW w:w="2287" w:type="dxa"/>
            <w:hideMark/>
          </w:tcPr>
          <w:p w14:paraId="0204A430"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0.2</w:t>
            </w:r>
          </w:p>
        </w:tc>
      </w:tr>
      <w:tr w:rsidR="002238BF" w:rsidRPr="00B75401" w14:paraId="5F82D056" w14:textId="77777777" w:rsidTr="006C48D2">
        <w:tc>
          <w:tcPr>
            <w:cnfStyle w:val="001000000000" w:firstRow="0" w:lastRow="0" w:firstColumn="1" w:lastColumn="0" w:oddVBand="0" w:evenVBand="0" w:oddHBand="0" w:evenHBand="0" w:firstRowFirstColumn="0" w:firstRowLastColumn="0" w:lastRowFirstColumn="0" w:lastRowLastColumn="0"/>
            <w:tcW w:w="4248" w:type="dxa"/>
            <w:hideMark/>
          </w:tcPr>
          <w:p w14:paraId="41AD3532" w14:textId="77777777" w:rsidR="002238BF" w:rsidRPr="00B75401" w:rsidRDefault="002238BF" w:rsidP="00B75401">
            <w:pPr>
              <w:autoSpaceDE w:val="0"/>
              <w:adjustRightInd w:val="0"/>
              <w:snapToGrid w:val="0"/>
              <w:spacing w:line="360" w:lineRule="auto"/>
              <w:jc w:val="both"/>
              <w:rPr>
                <w:rFonts w:ascii="Book Antiqua" w:eastAsia="Yu Mincho" w:hAnsi="Book Antiqua"/>
                <w:b w:val="0"/>
                <w:bCs w:val="0"/>
              </w:rPr>
            </w:pPr>
            <w:r w:rsidRPr="00B75401">
              <w:rPr>
                <w:rFonts w:ascii="Book Antiqua" w:eastAsia="Yu Mincho" w:hAnsi="Book Antiqua"/>
                <w:b w:val="0"/>
                <w:bCs w:val="0"/>
              </w:rPr>
              <w:t>MPO-ANCA (U/mL)</w:t>
            </w:r>
          </w:p>
        </w:tc>
        <w:tc>
          <w:tcPr>
            <w:tcW w:w="2095" w:type="dxa"/>
            <w:hideMark/>
          </w:tcPr>
          <w:p w14:paraId="2CDE8A02"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194.0</w:t>
            </w:r>
          </w:p>
        </w:tc>
        <w:tc>
          <w:tcPr>
            <w:tcW w:w="2287" w:type="dxa"/>
            <w:hideMark/>
          </w:tcPr>
          <w:p w14:paraId="70614AE3" w14:textId="77777777" w:rsidR="002238BF" w:rsidRPr="00B75401" w:rsidRDefault="002238BF" w:rsidP="00B75401">
            <w:pPr>
              <w:autoSpaceDE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Yu Mincho" w:hAnsi="Book Antiqua"/>
              </w:rPr>
            </w:pPr>
            <w:r w:rsidRPr="00B75401">
              <w:rPr>
                <w:rFonts w:ascii="Book Antiqua" w:eastAsia="Yu Mincho" w:hAnsi="Book Antiqua"/>
              </w:rPr>
              <w:t>1.0</w:t>
            </w:r>
          </w:p>
        </w:tc>
      </w:tr>
    </w:tbl>
    <w:p w14:paraId="4BCDFED4" w14:textId="77777777" w:rsidR="009C6495" w:rsidRDefault="006C48D2" w:rsidP="006C48D2">
      <w:pPr>
        <w:autoSpaceDE w:val="0"/>
        <w:adjustRightInd w:val="0"/>
        <w:snapToGrid w:val="0"/>
        <w:spacing w:line="360" w:lineRule="auto"/>
        <w:jc w:val="both"/>
        <w:rPr>
          <w:rFonts w:ascii="Book Antiqua" w:hAnsi="Book Antiqua" w:cs="Book Antiqua"/>
        </w:rPr>
      </w:pPr>
      <w:r w:rsidRPr="00B75401">
        <w:rPr>
          <w:rFonts w:ascii="Book Antiqua" w:hAnsi="Book Antiqua" w:cs="Book Antiqua"/>
          <w:vertAlign w:val="superscript"/>
        </w:rPr>
        <w:t>1</w:t>
      </w:r>
      <w:r w:rsidRPr="00B75401">
        <w:rPr>
          <w:rFonts w:ascii="Book Antiqua" w:eastAsia="Yu Mincho" w:hAnsi="Book Antiqua"/>
        </w:rPr>
        <w:t>Deformed erythrocytes</w:t>
      </w:r>
      <w:r w:rsidR="009C6495">
        <w:rPr>
          <w:rFonts w:ascii="Book Antiqua" w:hAnsi="Book Antiqua" w:cs="Book Antiqua"/>
        </w:rPr>
        <w:t>.</w:t>
      </w:r>
    </w:p>
    <w:p w14:paraId="7A204BE9" w14:textId="77777777" w:rsidR="009C6495" w:rsidRDefault="006C48D2" w:rsidP="006C48D2">
      <w:pPr>
        <w:autoSpaceDE w:val="0"/>
        <w:adjustRightInd w:val="0"/>
        <w:snapToGrid w:val="0"/>
        <w:spacing w:line="360" w:lineRule="auto"/>
        <w:jc w:val="both"/>
        <w:rPr>
          <w:rFonts w:ascii="Book Antiqua" w:hAnsi="Book Antiqua" w:cs="Book Antiqua"/>
        </w:rPr>
      </w:pPr>
      <w:r w:rsidRPr="00B75401">
        <w:rPr>
          <w:rFonts w:ascii="Book Antiqua" w:hAnsi="Book Antiqua" w:cs="Book Antiqua"/>
          <w:vertAlign w:val="superscript"/>
        </w:rPr>
        <w:t>2</w:t>
      </w:r>
      <w:r w:rsidRPr="00B75401">
        <w:rPr>
          <w:rFonts w:ascii="Book Antiqua" w:eastAsia="Yu Mincho" w:hAnsi="Book Antiqua"/>
        </w:rPr>
        <w:t>Casts: waxy casts, leukocyte casts</w:t>
      </w:r>
      <w:r w:rsidR="009C6495">
        <w:rPr>
          <w:rFonts w:ascii="Book Antiqua" w:hAnsi="Book Antiqua" w:cs="Book Antiqua"/>
        </w:rPr>
        <w:t>.</w:t>
      </w:r>
    </w:p>
    <w:p w14:paraId="0B41ADCA" w14:textId="3C75468C" w:rsidR="006C48D2" w:rsidRPr="00B75401" w:rsidRDefault="006C48D2" w:rsidP="006C48D2">
      <w:pPr>
        <w:autoSpaceDE w:val="0"/>
        <w:adjustRightInd w:val="0"/>
        <w:snapToGrid w:val="0"/>
        <w:spacing w:line="360" w:lineRule="auto"/>
        <w:jc w:val="both"/>
        <w:rPr>
          <w:rFonts w:ascii="Book Antiqua" w:eastAsia="Yu Mincho" w:hAnsi="Book Antiqua"/>
          <w:kern w:val="2"/>
        </w:rPr>
      </w:pPr>
      <w:r w:rsidRPr="00B75401">
        <w:rPr>
          <w:rFonts w:ascii="Book Antiqua" w:hAnsi="Book Antiqua" w:cs="Book Antiqua"/>
          <w:vertAlign w:val="superscript"/>
        </w:rPr>
        <w:t>3</w:t>
      </w:r>
      <w:r w:rsidRPr="00B75401">
        <w:rPr>
          <w:rFonts w:ascii="Book Antiqua" w:eastAsia="Yu Mincho" w:hAnsi="Book Antiqua"/>
        </w:rPr>
        <w:t>Casts: granular casts.</w:t>
      </w:r>
    </w:p>
    <w:p w14:paraId="3C0D089E" w14:textId="6477A366" w:rsidR="00E91DAC" w:rsidRDefault="002238BF" w:rsidP="00B75401">
      <w:pPr>
        <w:autoSpaceDE w:val="0"/>
        <w:adjustRightInd w:val="0"/>
        <w:snapToGrid w:val="0"/>
        <w:spacing w:line="360" w:lineRule="auto"/>
        <w:jc w:val="both"/>
        <w:rPr>
          <w:rFonts w:ascii="Book Antiqua" w:hAnsi="Book Antiqua" w:cs="Book Antiqua"/>
        </w:rPr>
      </w:pPr>
      <w:r w:rsidRPr="00B75401">
        <w:rPr>
          <w:rFonts w:ascii="Book Antiqua" w:eastAsia="Yu Mincho" w:hAnsi="Book Antiqua"/>
        </w:rPr>
        <w:t>Alb:</w:t>
      </w:r>
      <w:r w:rsidRPr="00B75401">
        <w:rPr>
          <w:rFonts w:ascii="Book Antiqua" w:hAnsi="Book Antiqua" w:cs="Book Antiqua"/>
        </w:rPr>
        <w:t xml:space="preserve"> A</w:t>
      </w:r>
      <w:r w:rsidRPr="00B75401">
        <w:rPr>
          <w:rFonts w:ascii="Book Antiqua" w:eastAsia="Yu Mincho" w:hAnsi="Book Antiqua"/>
        </w:rPr>
        <w:t xml:space="preserve">lbumin; ANCA: </w:t>
      </w:r>
      <w:r w:rsidRPr="00B75401">
        <w:rPr>
          <w:rFonts w:ascii="Book Antiqua" w:hAnsi="Book Antiqua" w:cs="Book Antiqua"/>
        </w:rPr>
        <w:t>A</w:t>
      </w:r>
      <w:r w:rsidRPr="00B75401">
        <w:rPr>
          <w:rFonts w:ascii="Book Antiqua" w:eastAsia="Yu Mincho" w:hAnsi="Book Antiqua"/>
        </w:rPr>
        <w:t xml:space="preserve">ntineutrophil cytoplasmic antibody; ALP: </w:t>
      </w:r>
      <w:r w:rsidRPr="00B75401">
        <w:rPr>
          <w:rFonts w:ascii="Book Antiqua" w:hAnsi="Book Antiqua" w:cs="Book Antiqua"/>
        </w:rPr>
        <w:t>A</w:t>
      </w:r>
      <w:r w:rsidRPr="00B75401">
        <w:rPr>
          <w:rFonts w:ascii="Book Antiqua" w:eastAsia="Yu Mincho" w:hAnsi="Book Antiqua"/>
        </w:rPr>
        <w:t xml:space="preserve">lkaline phosphatase; ALT: </w:t>
      </w:r>
      <w:r w:rsidRPr="00B75401">
        <w:rPr>
          <w:rFonts w:ascii="Book Antiqua" w:hAnsi="Book Antiqua" w:cs="Book Antiqua"/>
        </w:rPr>
        <w:t>A</w:t>
      </w:r>
      <w:r w:rsidRPr="00B75401">
        <w:rPr>
          <w:rFonts w:ascii="Book Antiqua" w:eastAsia="Yu Mincho" w:hAnsi="Book Antiqua"/>
        </w:rPr>
        <w:t xml:space="preserve">lanine aminotransferase; AST: </w:t>
      </w:r>
      <w:r w:rsidRPr="00B75401">
        <w:rPr>
          <w:rFonts w:ascii="Book Antiqua" w:hAnsi="Book Antiqua" w:cs="Book Antiqua"/>
        </w:rPr>
        <w:t>A</w:t>
      </w:r>
      <w:r w:rsidRPr="00B75401">
        <w:rPr>
          <w:rFonts w:ascii="Book Antiqua" w:eastAsia="Yu Mincho" w:hAnsi="Book Antiqua"/>
        </w:rPr>
        <w:t xml:space="preserve">spartate aminotransferase; BUN: </w:t>
      </w:r>
      <w:r w:rsidRPr="00B75401">
        <w:rPr>
          <w:rFonts w:ascii="Book Antiqua" w:hAnsi="Book Antiqua" w:cs="Book Antiqua"/>
        </w:rPr>
        <w:t>B</w:t>
      </w:r>
      <w:r w:rsidRPr="00B75401">
        <w:rPr>
          <w:rFonts w:ascii="Book Antiqua" w:eastAsia="Yu Mincho" w:hAnsi="Book Antiqua"/>
        </w:rPr>
        <w:t xml:space="preserve">lood urea nitrogen; CK: </w:t>
      </w:r>
      <w:r w:rsidRPr="00B75401">
        <w:rPr>
          <w:rFonts w:ascii="Book Antiqua" w:hAnsi="Book Antiqua" w:cs="Book Antiqua"/>
        </w:rPr>
        <w:t>C</w:t>
      </w:r>
      <w:r w:rsidRPr="00B75401">
        <w:rPr>
          <w:rFonts w:ascii="Book Antiqua" w:eastAsia="Yu Mincho" w:hAnsi="Book Antiqua"/>
        </w:rPr>
        <w:t xml:space="preserve">reatine kinase; Cr: </w:t>
      </w:r>
      <w:r w:rsidRPr="00B75401">
        <w:rPr>
          <w:rFonts w:ascii="Book Antiqua" w:hAnsi="Book Antiqua" w:cs="Book Antiqua"/>
        </w:rPr>
        <w:t>C</w:t>
      </w:r>
      <w:r w:rsidRPr="00B75401">
        <w:rPr>
          <w:rFonts w:ascii="Book Antiqua" w:eastAsia="Yu Mincho" w:hAnsi="Book Antiqua"/>
        </w:rPr>
        <w:t xml:space="preserve">reatinine; CRP: C-reactive protein; Hb: </w:t>
      </w:r>
      <w:r w:rsidRPr="00B75401">
        <w:rPr>
          <w:rFonts w:ascii="Book Antiqua" w:hAnsi="Book Antiqua" w:cs="Book Antiqua"/>
        </w:rPr>
        <w:t>H</w:t>
      </w:r>
      <w:r w:rsidRPr="00B75401">
        <w:rPr>
          <w:rFonts w:ascii="Book Antiqua" w:eastAsia="Yu Mincho" w:hAnsi="Book Antiqua"/>
        </w:rPr>
        <w:t xml:space="preserve">emoglobin; HPF: </w:t>
      </w:r>
      <w:r w:rsidRPr="00B75401">
        <w:rPr>
          <w:rFonts w:ascii="Book Antiqua" w:hAnsi="Book Antiqua" w:cs="Book Antiqua"/>
        </w:rPr>
        <w:t>H</w:t>
      </w:r>
      <w:r w:rsidRPr="00B75401">
        <w:rPr>
          <w:rFonts w:ascii="Book Antiqua" w:eastAsia="Yu Mincho" w:hAnsi="Book Antiqua"/>
        </w:rPr>
        <w:t xml:space="preserve">igh-power field; LDH: </w:t>
      </w:r>
      <w:r w:rsidRPr="00B75401">
        <w:rPr>
          <w:rFonts w:ascii="Book Antiqua" w:hAnsi="Book Antiqua" w:cs="Book Antiqua"/>
        </w:rPr>
        <w:t>L</w:t>
      </w:r>
      <w:r w:rsidRPr="00B75401">
        <w:rPr>
          <w:rFonts w:ascii="Book Antiqua" w:eastAsia="Yu Mincho" w:hAnsi="Book Antiqua"/>
        </w:rPr>
        <w:t xml:space="preserve">actate dehydrogenase; MPO: </w:t>
      </w:r>
      <w:r w:rsidRPr="00B75401">
        <w:rPr>
          <w:rFonts w:ascii="Book Antiqua" w:hAnsi="Book Antiqua" w:cs="Book Antiqua"/>
        </w:rPr>
        <w:t>M</w:t>
      </w:r>
      <w:r w:rsidRPr="00B75401">
        <w:rPr>
          <w:rFonts w:ascii="Book Antiqua" w:eastAsia="Yu Mincho" w:hAnsi="Book Antiqua"/>
        </w:rPr>
        <w:t xml:space="preserve">yeloperoxidase; Plt: </w:t>
      </w:r>
      <w:r w:rsidRPr="00B75401">
        <w:rPr>
          <w:rFonts w:ascii="Book Antiqua" w:hAnsi="Book Antiqua" w:cs="Book Antiqua"/>
        </w:rPr>
        <w:t>P</w:t>
      </w:r>
      <w:r w:rsidRPr="00B75401">
        <w:rPr>
          <w:rFonts w:ascii="Book Antiqua" w:eastAsia="Yu Mincho" w:hAnsi="Book Antiqua"/>
        </w:rPr>
        <w:t xml:space="preserve">latelets; T-Bil: </w:t>
      </w:r>
      <w:r w:rsidRPr="00B75401">
        <w:rPr>
          <w:rFonts w:ascii="Book Antiqua" w:hAnsi="Book Antiqua" w:cs="Book Antiqua"/>
        </w:rPr>
        <w:t>T</w:t>
      </w:r>
      <w:r w:rsidRPr="00B75401">
        <w:rPr>
          <w:rFonts w:ascii="Book Antiqua" w:eastAsia="Yu Mincho" w:hAnsi="Book Antiqua"/>
        </w:rPr>
        <w:t xml:space="preserve">otal bilirubin; TP: </w:t>
      </w:r>
      <w:r w:rsidRPr="00B75401">
        <w:rPr>
          <w:rFonts w:ascii="Book Antiqua" w:hAnsi="Book Antiqua" w:cs="Book Antiqua"/>
        </w:rPr>
        <w:t>T</w:t>
      </w:r>
      <w:r w:rsidRPr="00B75401">
        <w:rPr>
          <w:rFonts w:ascii="Book Antiqua" w:eastAsia="Yu Mincho" w:hAnsi="Book Antiqua"/>
        </w:rPr>
        <w:t xml:space="preserve">otal protein; WBC: </w:t>
      </w:r>
      <w:r w:rsidRPr="00B75401">
        <w:rPr>
          <w:rFonts w:ascii="Book Antiqua" w:hAnsi="Book Antiqua" w:cs="Book Antiqua"/>
        </w:rPr>
        <w:t>W</w:t>
      </w:r>
      <w:r w:rsidRPr="00B75401">
        <w:rPr>
          <w:rFonts w:ascii="Book Antiqua" w:eastAsia="Yu Mincho" w:hAnsi="Book Antiqua"/>
        </w:rPr>
        <w:t>hite blood cells</w:t>
      </w:r>
      <w:r w:rsidR="006C48D2">
        <w:rPr>
          <w:rFonts w:ascii="Book Antiqua" w:hAnsi="Book Antiqua" w:cs="Book Antiqua"/>
        </w:rPr>
        <w:t>.</w:t>
      </w:r>
      <w:r w:rsidRPr="00B75401">
        <w:rPr>
          <w:rFonts w:ascii="Book Antiqua" w:hAnsi="Book Antiqua" w:cs="Book Antiqua"/>
        </w:rPr>
        <w:t xml:space="preserve"> </w:t>
      </w:r>
    </w:p>
    <w:p w14:paraId="5CC45A01" w14:textId="77777777" w:rsidR="00E91DAC" w:rsidRDefault="00E91DAC">
      <w:pPr>
        <w:rPr>
          <w:rFonts w:ascii="Book Antiqua" w:hAnsi="Book Antiqua" w:cs="Book Antiqua"/>
        </w:rPr>
      </w:pPr>
      <w:r>
        <w:rPr>
          <w:rFonts w:ascii="Book Antiqua" w:hAnsi="Book Antiqua" w:cs="Book Antiqua"/>
        </w:rPr>
        <w:br w:type="page"/>
      </w:r>
    </w:p>
    <w:p w14:paraId="78813943" w14:textId="77777777" w:rsidR="00E91DAC" w:rsidRDefault="00E91DAC" w:rsidP="00E91DAC">
      <w:pPr>
        <w:jc w:val="center"/>
        <w:rPr>
          <w:rFonts w:ascii="Book Antiqua" w:hAnsi="Book Antiqua"/>
          <w:lang w:eastAsia="zh-CN"/>
        </w:rPr>
      </w:pPr>
    </w:p>
    <w:p w14:paraId="107EBB59" w14:textId="77777777" w:rsidR="00E91DAC" w:rsidRDefault="00E91DAC" w:rsidP="00E91DAC">
      <w:pPr>
        <w:jc w:val="center"/>
        <w:rPr>
          <w:rFonts w:ascii="Book Antiqua" w:hAnsi="Book Antiqua"/>
          <w:lang w:eastAsia="zh-CN"/>
        </w:rPr>
      </w:pPr>
    </w:p>
    <w:p w14:paraId="68E6107C" w14:textId="77777777" w:rsidR="00E91DAC" w:rsidRDefault="00E91DAC" w:rsidP="00E91DAC">
      <w:pPr>
        <w:jc w:val="center"/>
        <w:rPr>
          <w:rFonts w:ascii="Book Antiqua" w:hAnsi="Book Antiqua"/>
          <w:lang w:eastAsia="zh-CN"/>
        </w:rPr>
      </w:pPr>
    </w:p>
    <w:p w14:paraId="5D134601" w14:textId="77777777" w:rsidR="00E91DAC" w:rsidRDefault="00E91DAC" w:rsidP="00E91DAC">
      <w:pPr>
        <w:jc w:val="center"/>
        <w:rPr>
          <w:rFonts w:ascii="Book Antiqua" w:hAnsi="Book Antiqua"/>
          <w:lang w:eastAsia="zh-CN"/>
        </w:rPr>
      </w:pPr>
    </w:p>
    <w:p w14:paraId="47716FDA" w14:textId="77777777" w:rsidR="00E91DAC" w:rsidRDefault="00E91DAC" w:rsidP="00E91DAC">
      <w:pPr>
        <w:jc w:val="center"/>
        <w:rPr>
          <w:rFonts w:ascii="Book Antiqua" w:hAnsi="Book Antiqua"/>
          <w:lang w:eastAsia="zh-CN"/>
        </w:rPr>
      </w:pPr>
    </w:p>
    <w:p w14:paraId="65DCCFB7" w14:textId="77777777" w:rsidR="00E91DAC" w:rsidRDefault="00E91DAC" w:rsidP="00E91DAC">
      <w:pPr>
        <w:jc w:val="center"/>
        <w:rPr>
          <w:rFonts w:ascii="Book Antiqua" w:hAnsi="Book Antiqua"/>
          <w:lang w:eastAsia="zh-CN"/>
        </w:rPr>
      </w:pPr>
      <w:r>
        <w:rPr>
          <w:rFonts w:ascii="Book Antiqua" w:hAnsi="Book Antiqua"/>
          <w:noProof/>
          <w:lang w:eastAsia="zh-CN"/>
        </w:rPr>
        <w:drawing>
          <wp:inline distT="0" distB="0" distL="0" distR="0" wp14:anchorId="6C1B5923" wp14:editId="70378A7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319914B" w14:textId="77777777" w:rsidR="00E91DAC" w:rsidRDefault="00E91DAC" w:rsidP="00E91DAC">
      <w:pPr>
        <w:jc w:val="center"/>
        <w:rPr>
          <w:rFonts w:ascii="Book Antiqua" w:hAnsi="Book Antiqua"/>
          <w:lang w:eastAsia="zh-CN"/>
        </w:rPr>
      </w:pPr>
    </w:p>
    <w:p w14:paraId="66E7E713" w14:textId="77777777" w:rsidR="00E91DAC" w:rsidRPr="00763D22" w:rsidRDefault="00E91DAC" w:rsidP="00E91DA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998B544" w14:textId="77777777" w:rsidR="00E91DAC" w:rsidRPr="00763D22" w:rsidRDefault="00E91DAC" w:rsidP="00E91DA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26EEB17" w14:textId="77777777" w:rsidR="00E91DAC" w:rsidRPr="00763D22" w:rsidRDefault="00E91DAC" w:rsidP="00E91DA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43D8EBA" w14:textId="77777777" w:rsidR="00E91DAC" w:rsidRPr="00763D22" w:rsidRDefault="00E91DAC" w:rsidP="00E91DA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8991FFC" w14:textId="77777777" w:rsidR="00E91DAC" w:rsidRPr="00763D22" w:rsidRDefault="00E91DAC" w:rsidP="00E91DA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56CB2AE" w14:textId="77777777" w:rsidR="00E91DAC" w:rsidRPr="00763D22" w:rsidRDefault="00E91DAC" w:rsidP="00E91DA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60F9686" w14:textId="77777777" w:rsidR="00E91DAC" w:rsidRDefault="00E91DAC" w:rsidP="00E91DAC">
      <w:pPr>
        <w:jc w:val="center"/>
        <w:rPr>
          <w:rFonts w:ascii="Book Antiqua" w:hAnsi="Book Antiqua"/>
          <w:lang w:eastAsia="zh-CN"/>
        </w:rPr>
      </w:pPr>
    </w:p>
    <w:p w14:paraId="4F0E804D" w14:textId="77777777" w:rsidR="00E91DAC" w:rsidRDefault="00E91DAC" w:rsidP="00E91DAC">
      <w:pPr>
        <w:jc w:val="center"/>
        <w:rPr>
          <w:rFonts w:ascii="Book Antiqua" w:hAnsi="Book Antiqua"/>
          <w:lang w:eastAsia="zh-CN"/>
        </w:rPr>
      </w:pPr>
    </w:p>
    <w:p w14:paraId="7A5CD9EB" w14:textId="77777777" w:rsidR="00E91DAC" w:rsidRDefault="00E91DAC" w:rsidP="00E91DAC">
      <w:pPr>
        <w:jc w:val="center"/>
        <w:rPr>
          <w:rFonts w:ascii="Book Antiqua" w:hAnsi="Book Antiqua"/>
          <w:lang w:eastAsia="zh-CN"/>
        </w:rPr>
      </w:pPr>
    </w:p>
    <w:p w14:paraId="5721054E" w14:textId="77777777" w:rsidR="00E91DAC" w:rsidRDefault="00E91DAC" w:rsidP="00E91DAC">
      <w:pPr>
        <w:jc w:val="center"/>
        <w:rPr>
          <w:rFonts w:ascii="Book Antiqua" w:hAnsi="Book Antiqua"/>
          <w:lang w:eastAsia="zh-CN"/>
        </w:rPr>
      </w:pPr>
      <w:r>
        <w:rPr>
          <w:rFonts w:ascii="Book Antiqua" w:hAnsi="Book Antiqua"/>
          <w:noProof/>
          <w:lang w:eastAsia="zh-CN"/>
        </w:rPr>
        <w:drawing>
          <wp:inline distT="0" distB="0" distL="0" distR="0" wp14:anchorId="1DC8406A" wp14:editId="265BF11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8D5619F" w14:textId="77777777" w:rsidR="00E91DAC" w:rsidRDefault="00E91DAC" w:rsidP="00E91DAC">
      <w:pPr>
        <w:jc w:val="center"/>
        <w:rPr>
          <w:rFonts w:ascii="Book Antiqua" w:hAnsi="Book Antiqua"/>
          <w:lang w:eastAsia="zh-CN"/>
        </w:rPr>
      </w:pPr>
    </w:p>
    <w:p w14:paraId="1D0ED3E6" w14:textId="77777777" w:rsidR="00E91DAC" w:rsidRDefault="00E91DAC" w:rsidP="00E91DAC">
      <w:pPr>
        <w:jc w:val="center"/>
        <w:rPr>
          <w:rFonts w:ascii="Book Antiqua" w:hAnsi="Book Antiqua"/>
          <w:lang w:eastAsia="zh-CN"/>
        </w:rPr>
      </w:pPr>
    </w:p>
    <w:p w14:paraId="5CE3EECD" w14:textId="77777777" w:rsidR="00E91DAC" w:rsidRDefault="00E91DAC" w:rsidP="00E91DAC">
      <w:pPr>
        <w:jc w:val="center"/>
        <w:rPr>
          <w:rFonts w:ascii="Book Antiqua" w:hAnsi="Book Antiqua"/>
          <w:lang w:eastAsia="zh-CN"/>
        </w:rPr>
      </w:pPr>
    </w:p>
    <w:p w14:paraId="2F4D1CEB" w14:textId="77777777" w:rsidR="00E91DAC" w:rsidRDefault="00E91DAC" w:rsidP="00E91DAC">
      <w:pPr>
        <w:jc w:val="center"/>
        <w:rPr>
          <w:rFonts w:ascii="Book Antiqua" w:hAnsi="Book Antiqua"/>
          <w:lang w:eastAsia="zh-CN"/>
        </w:rPr>
      </w:pPr>
    </w:p>
    <w:p w14:paraId="3C5B332C" w14:textId="77777777" w:rsidR="00E91DAC" w:rsidRDefault="00E91DAC" w:rsidP="00E91DAC">
      <w:pPr>
        <w:jc w:val="center"/>
        <w:rPr>
          <w:rFonts w:ascii="Book Antiqua" w:hAnsi="Book Antiqua"/>
          <w:lang w:eastAsia="zh-CN"/>
        </w:rPr>
      </w:pPr>
    </w:p>
    <w:p w14:paraId="11C6E39F" w14:textId="77777777" w:rsidR="00E91DAC" w:rsidRDefault="00E91DAC" w:rsidP="00E91DAC">
      <w:pPr>
        <w:jc w:val="center"/>
        <w:rPr>
          <w:rFonts w:ascii="Book Antiqua" w:hAnsi="Book Antiqua"/>
          <w:lang w:eastAsia="zh-CN"/>
        </w:rPr>
      </w:pPr>
    </w:p>
    <w:p w14:paraId="16170CED" w14:textId="77777777" w:rsidR="00E91DAC" w:rsidRDefault="00E91DAC" w:rsidP="00E91DAC">
      <w:pPr>
        <w:jc w:val="center"/>
        <w:rPr>
          <w:rFonts w:ascii="Book Antiqua" w:hAnsi="Book Antiqua"/>
          <w:lang w:eastAsia="zh-CN"/>
        </w:rPr>
      </w:pPr>
    </w:p>
    <w:p w14:paraId="0D57A27D" w14:textId="77777777" w:rsidR="00E91DAC" w:rsidRDefault="00E91DAC" w:rsidP="00E91DAC">
      <w:pPr>
        <w:jc w:val="center"/>
        <w:rPr>
          <w:rFonts w:ascii="Book Antiqua" w:hAnsi="Book Antiqua"/>
          <w:lang w:eastAsia="zh-CN"/>
        </w:rPr>
      </w:pPr>
    </w:p>
    <w:p w14:paraId="76014656" w14:textId="77777777" w:rsidR="00E91DAC" w:rsidRDefault="00E91DAC" w:rsidP="00E91DAC">
      <w:pPr>
        <w:jc w:val="center"/>
        <w:rPr>
          <w:rFonts w:ascii="Book Antiqua" w:hAnsi="Book Antiqua"/>
          <w:lang w:eastAsia="zh-CN"/>
        </w:rPr>
      </w:pPr>
    </w:p>
    <w:p w14:paraId="29F44289" w14:textId="77777777" w:rsidR="00E91DAC" w:rsidRPr="00763D22" w:rsidRDefault="00E91DAC" w:rsidP="00E91DAC">
      <w:pPr>
        <w:jc w:val="right"/>
        <w:rPr>
          <w:rFonts w:ascii="Book Antiqua" w:hAnsi="Book Antiqua"/>
          <w:color w:val="000000" w:themeColor="text1"/>
          <w:lang w:eastAsia="zh-CN"/>
        </w:rPr>
      </w:pPr>
    </w:p>
    <w:p w14:paraId="1AA94DD3" w14:textId="77777777" w:rsidR="00E91DAC" w:rsidRPr="00763D22" w:rsidRDefault="00E91DAC" w:rsidP="00E91DA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ED6E0B8" w14:textId="77777777" w:rsidR="00A77B3E" w:rsidRPr="00B75401" w:rsidRDefault="00A77B3E" w:rsidP="00B75401">
      <w:pPr>
        <w:autoSpaceDE w:val="0"/>
        <w:adjustRightInd w:val="0"/>
        <w:snapToGrid w:val="0"/>
        <w:spacing w:line="360" w:lineRule="auto"/>
        <w:jc w:val="both"/>
        <w:rPr>
          <w:rFonts w:ascii="Book Antiqua" w:eastAsia="Yu Mincho" w:hAnsi="Book Antiqua"/>
          <w:kern w:val="2"/>
        </w:rPr>
      </w:pPr>
      <w:bookmarkStart w:id="29" w:name="_GoBack"/>
      <w:bookmarkEnd w:id="29"/>
    </w:p>
    <w:sectPr w:rsidR="00A77B3E" w:rsidRPr="00B75401" w:rsidSect="006C48D2">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CA31B3" w14:textId="77777777" w:rsidR="00680FEB" w:rsidRDefault="00680FEB" w:rsidP="002238BF">
      <w:r>
        <w:separator/>
      </w:r>
    </w:p>
  </w:endnote>
  <w:endnote w:type="continuationSeparator" w:id="0">
    <w:p w14:paraId="6F2FB547" w14:textId="77777777" w:rsidR="00680FEB" w:rsidRDefault="00680FEB" w:rsidP="00223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Yu Mincho">
    <w:altName w:val="MS Mincho"/>
    <w:charset w:val="80"/>
    <w:family w:val="roman"/>
    <w:pitch w:val="variable"/>
    <w:sig w:usb0="00000000" w:usb1="2AC7FCFF" w:usb2="00000012" w:usb3="00000000" w:csb0="0002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990828"/>
      <w:docPartObj>
        <w:docPartGallery w:val="Page Numbers (Bottom of Page)"/>
        <w:docPartUnique/>
      </w:docPartObj>
    </w:sdtPr>
    <w:sdtEndPr/>
    <w:sdtContent>
      <w:sdt>
        <w:sdtPr>
          <w:id w:val="-1769616900"/>
          <w:docPartObj>
            <w:docPartGallery w:val="Page Numbers (Top of Page)"/>
            <w:docPartUnique/>
          </w:docPartObj>
        </w:sdtPr>
        <w:sdtEndPr/>
        <w:sdtContent>
          <w:p w14:paraId="3CAABD80" w14:textId="3437E485" w:rsidR="002238BF" w:rsidRDefault="002238BF">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80FEB">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80FEB">
              <w:rPr>
                <w:b/>
                <w:bCs/>
                <w:noProof/>
              </w:rPr>
              <w:t>1</w:t>
            </w:r>
            <w:r>
              <w:rPr>
                <w:b/>
                <w:bCs/>
                <w:sz w:val="24"/>
                <w:szCs w:val="24"/>
              </w:rPr>
              <w:fldChar w:fldCharType="end"/>
            </w:r>
          </w:p>
        </w:sdtContent>
      </w:sdt>
    </w:sdtContent>
  </w:sdt>
  <w:p w14:paraId="31CBDC06" w14:textId="77777777" w:rsidR="002238BF" w:rsidRDefault="002238B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AC053D" w14:textId="77777777" w:rsidR="00680FEB" w:rsidRDefault="00680FEB" w:rsidP="002238BF">
      <w:r>
        <w:separator/>
      </w:r>
    </w:p>
  </w:footnote>
  <w:footnote w:type="continuationSeparator" w:id="0">
    <w:p w14:paraId="6FA694D2" w14:textId="77777777" w:rsidR="00680FEB" w:rsidRDefault="00680FEB" w:rsidP="002238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110E00"/>
    <w:rsid w:val="001A1708"/>
    <w:rsid w:val="001B760C"/>
    <w:rsid w:val="0020688A"/>
    <w:rsid w:val="002238BF"/>
    <w:rsid w:val="00303C14"/>
    <w:rsid w:val="003519A1"/>
    <w:rsid w:val="00397EAB"/>
    <w:rsid w:val="003C5A10"/>
    <w:rsid w:val="003D3768"/>
    <w:rsid w:val="004B3E4B"/>
    <w:rsid w:val="006225DE"/>
    <w:rsid w:val="00625909"/>
    <w:rsid w:val="00680FEB"/>
    <w:rsid w:val="006C48D2"/>
    <w:rsid w:val="006C5243"/>
    <w:rsid w:val="00725DA2"/>
    <w:rsid w:val="00770FD5"/>
    <w:rsid w:val="007802C1"/>
    <w:rsid w:val="007A2D91"/>
    <w:rsid w:val="0081704C"/>
    <w:rsid w:val="00834B89"/>
    <w:rsid w:val="009C6495"/>
    <w:rsid w:val="00A77B3E"/>
    <w:rsid w:val="00AF7A65"/>
    <w:rsid w:val="00B75401"/>
    <w:rsid w:val="00B8487C"/>
    <w:rsid w:val="00B964E5"/>
    <w:rsid w:val="00BB3C44"/>
    <w:rsid w:val="00C009BA"/>
    <w:rsid w:val="00C15C20"/>
    <w:rsid w:val="00C731D2"/>
    <w:rsid w:val="00CA2A55"/>
    <w:rsid w:val="00CD62AB"/>
    <w:rsid w:val="00DC1296"/>
    <w:rsid w:val="00E069AD"/>
    <w:rsid w:val="00E12B7A"/>
    <w:rsid w:val="00E2699C"/>
    <w:rsid w:val="00E91DAC"/>
    <w:rsid w:val="00F54AC3"/>
    <w:rsid w:val="00F573DC"/>
    <w:rsid w:val="00F661B8"/>
    <w:rsid w:val="00FE3D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148E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it">
    <w:name w:val="cit"/>
    <w:basedOn w:val="a0"/>
    <w:rsid w:val="00B8487C"/>
  </w:style>
  <w:style w:type="table" w:customStyle="1" w:styleId="21">
    <w:name w:val="无格式表格 21"/>
    <w:basedOn w:val="a1"/>
    <w:rsid w:val="002238BF"/>
    <w:rPr>
      <w:rFonts w:eastAsia="Times New Roman"/>
      <w:lang w:eastAsia="zh-CN"/>
    </w:rPr>
    <w:tblPr>
      <w:tblInd w:w="0" w:type="nil"/>
      <w:tblBorders>
        <w:top w:val="single" w:sz="4" w:space="0" w:color="7E7E7E"/>
        <w:bottom w:val="single" w:sz="4" w:space="0" w:color="7E7E7E"/>
      </w:tblBorders>
    </w:tblPr>
    <w:tblStylePr w:type="firstRow">
      <w:rPr>
        <w:rFonts w:ascii="Times New Roman" w:hAnsi="Times New Roman" w:cs="Times New Roman" w:hint="default"/>
        <w:b/>
        <w:bCs/>
      </w:rPr>
      <w:tblPr/>
      <w:tcPr>
        <w:tcBorders>
          <w:bottom w:val="single" w:sz="4" w:space="0" w:color="7E7E7E"/>
        </w:tcBorders>
      </w:tcPr>
    </w:tblStylePr>
    <w:tblStylePr w:type="lastRow">
      <w:rPr>
        <w:rFonts w:ascii="Times New Roman" w:hAnsi="Times New Roman" w:cs="Times New Roman" w:hint="default"/>
        <w:b/>
        <w:bCs/>
      </w:rPr>
      <w:tblPr/>
      <w:tcPr>
        <w:tcBorders>
          <w:top w:val="single" w:sz="4" w:space="0" w:color="7E7E7E"/>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single" w:sz="4" w:space="0" w:color="7E7E7E"/>
          <w:right w:val="single" w:sz="4" w:space="0" w:color="7E7E7E"/>
        </w:tcBorders>
      </w:tcPr>
    </w:tblStylePr>
    <w:tblStylePr w:type="band2Vert">
      <w:tblPr/>
      <w:tcPr>
        <w:tcBorders>
          <w:left w:val="single" w:sz="4" w:space="0" w:color="7E7E7E"/>
          <w:right w:val="single" w:sz="4" w:space="0" w:color="7E7E7E"/>
        </w:tcBorders>
      </w:tcPr>
    </w:tblStylePr>
    <w:tblStylePr w:type="band1Horz">
      <w:tblPr/>
      <w:tcPr>
        <w:tcBorders>
          <w:top w:val="single" w:sz="4" w:space="0" w:color="7E7E7E"/>
          <w:bottom w:val="single" w:sz="4" w:space="0" w:color="7E7E7E"/>
        </w:tcBorders>
      </w:tcPr>
    </w:tblStylePr>
  </w:style>
  <w:style w:type="paragraph" w:styleId="a3">
    <w:name w:val="header"/>
    <w:basedOn w:val="a"/>
    <w:link w:val="Char"/>
    <w:unhideWhenUsed/>
    <w:rsid w:val="002238B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238BF"/>
    <w:rPr>
      <w:sz w:val="18"/>
      <w:szCs w:val="18"/>
    </w:rPr>
  </w:style>
  <w:style w:type="paragraph" w:styleId="a4">
    <w:name w:val="footer"/>
    <w:basedOn w:val="a"/>
    <w:link w:val="Char0"/>
    <w:uiPriority w:val="99"/>
    <w:unhideWhenUsed/>
    <w:rsid w:val="002238BF"/>
    <w:pPr>
      <w:tabs>
        <w:tab w:val="center" w:pos="4153"/>
        <w:tab w:val="right" w:pos="8306"/>
      </w:tabs>
      <w:snapToGrid w:val="0"/>
    </w:pPr>
    <w:rPr>
      <w:sz w:val="18"/>
      <w:szCs w:val="18"/>
    </w:rPr>
  </w:style>
  <w:style w:type="character" w:customStyle="1" w:styleId="Char0">
    <w:name w:val="页脚 Char"/>
    <w:basedOn w:val="a0"/>
    <w:link w:val="a4"/>
    <w:uiPriority w:val="99"/>
    <w:rsid w:val="002238BF"/>
    <w:rPr>
      <w:sz w:val="18"/>
      <w:szCs w:val="18"/>
    </w:rPr>
  </w:style>
  <w:style w:type="character" w:customStyle="1" w:styleId="apple-converted-space">
    <w:name w:val="apple-converted-space"/>
    <w:basedOn w:val="a0"/>
    <w:rsid w:val="002238BF"/>
  </w:style>
  <w:style w:type="character" w:customStyle="1" w:styleId="dxdefaultcursor">
    <w:name w:val="dxdefaultcursor"/>
    <w:basedOn w:val="a0"/>
    <w:rsid w:val="003C5A10"/>
  </w:style>
  <w:style w:type="paragraph" w:styleId="a5">
    <w:name w:val="Balloon Text"/>
    <w:basedOn w:val="a"/>
    <w:link w:val="Char1"/>
    <w:rsid w:val="00CD62AB"/>
    <w:rPr>
      <w:sz w:val="18"/>
      <w:szCs w:val="18"/>
    </w:rPr>
  </w:style>
  <w:style w:type="character" w:customStyle="1" w:styleId="Char1">
    <w:name w:val="批注框文本 Char"/>
    <w:basedOn w:val="a0"/>
    <w:link w:val="a5"/>
    <w:rsid w:val="00CD62A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it">
    <w:name w:val="cit"/>
    <w:basedOn w:val="a0"/>
    <w:rsid w:val="00B8487C"/>
  </w:style>
  <w:style w:type="table" w:customStyle="1" w:styleId="21">
    <w:name w:val="无格式表格 21"/>
    <w:basedOn w:val="a1"/>
    <w:rsid w:val="002238BF"/>
    <w:rPr>
      <w:rFonts w:eastAsia="Times New Roman"/>
      <w:lang w:eastAsia="zh-CN"/>
    </w:rPr>
    <w:tblPr>
      <w:tblInd w:w="0" w:type="nil"/>
      <w:tblBorders>
        <w:top w:val="single" w:sz="4" w:space="0" w:color="7E7E7E"/>
        <w:bottom w:val="single" w:sz="4" w:space="0" w:color="7E7E7E"/>
      </w:tblBorders>
    </w:tblPr>
    <w:tblStylePr w:type="firstRow">
      <w:rPr>
        <w:rFonts w:ascii="Times New Roman" w:hAnsi="Times New Roman" w:cs="Times New Roman" w:hint="default"/>
        <w:b/>
        <w:bCs/>
      </w:rPr>
      <w:tblPr/>
      <w:tcPr>
        <w:tcBorders>
          <w:bottom w:val="single" w:sz="4" w:space="0" w:color="7E7E7E"/>
        </w:tcBorders>
      </w:tcPr>
    </w:tblStylePr>
    <w:tblStylePr w:type="lastRow">
      <w:rPr>
        <w:rFonts w:ascii="Times New Roman" w:hAnsi="Times New Roman" w:cs="Times New Roman" w:hint="default"/>
        <w:b/>
        <w:bCs/>
      </w:rPr>
      <w:tblPr/>
      <w:tcPr>
        <w:tcBorders>
          <w:top w:val="single" w:sz="4" w:space="0" w:color="7E7E7E"/>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single" w:sz="4" w:space="0" w:color="7E7E7E"/>
          <w:right w:val="single" w:sz="4" w:space="0" w:color="7E7E7E"/>
        </w:tcBorders>
      </w:tcPr>
    </w:tblStylePr>
    <w:tblStylePr w:type="band2Vert">
      <w:tblPr/>
      <w:tcPr>
        <w:tcBorders>
          <w:left w:val="single" w:sz="4" w:space="0" w:color="7E7E7E"/>
          <w:right w:val="single" w:sz="4" w:space="0" w:color="7E7E7E"/>
        </w:tcBorders>
      </w:tcPr>
    </w:tblStylePr>
    <w:tblStylePr w:type="band1Horz">
      <w:tblPr/>
      <w:tcPr>
        <w:tcBorders>
          <w:top w:val="single" w:sz="4" w:space="0" w:color="7E7E7E"/>
          <w:bottom w:val="single" w:sz="4" w:space="0" w:color="7E7E7E"/>
        </w:tcBorders>
      </w:tcPr>
    </w:tblStylePr>
  </w:style>
  <w:style w:type="paragraph" w:styleId="a3">
    <w:name w:val="header"/>
    <w:basedOn w:val="a"/>
    <w:link w:val="Char"/>
    <w:unhideWhenUsed/>
    <w:rsid w:val="002238B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238BF"/>
    <w:rPr>
      <w:sz w:val="18"/>
      <w:szCs w:val="18"/>
    </w:rPr>
  </w:style>
  <w:style w:type="paragraph" w:styleId="a4">
    <w:name w:val="footer"/>
    <w:basedOn w:val="a"/>
    <w:link w:val="Char0"/>
    <w:uiPriority w:val="99"/>
    <w:unhideWhenUsed/>
    <w:rsid w:val="002238BF"/>
    <w:pPr>
      <w:tabs>
        <w:tab w:val="center" w:pos="4153"/>
        <w:tab w:val="right" w:pos="8306"/>
      </w:tabs>
      <w:snapToGrid w:val="0"/>
    </w:pPr>
    <w:rPr>
      <w:sz w:val="18"/>
      <w:szCs w:val="18"/>
    </w:rPr>
  </w:style>
  <w:style w:type="character" w:customStyle="1" w:styleId="Char0">
    <w:name w:val="页脚 Char"/>
    <w:basedOn w:val="a0"/>
    <w:link w:val="a4"/>
    <w:uiPriority w:val="99"/>
    <w:rsid w:val="002238BF"/>
    <w:rPr>
      <w:sz w:val="18"/>
      <w:szCs w:val="18"/>
    </w:rPr>
  </w:style>
  <w:style w:type="character" w:customStyle="1" w:styleId="apple-converted-space">
    <w:name w:val="apple-converted-space"/>
    <w:basedOn w:val="a0"/>
    <w:rsid w:val="002238BF"/>
  </w:style>
  <w:style w:type="character" w:customStyle="1" w:styleId="dxdefaultcursor">
    <w:name w:val="dxdefaultcursor"/>
    <w:basedOn w:val="a0"/>
    <w:rsid w:val="003C5A10"/>
  </w:style>
  <w:style w:type="paragraph" w:styleId="a5">
    <w:name w:val="Balloon Text"/>
    <w:basedOn w:val="a"/>
    <w:link w:val="Char1"/>
    <w:rsid w:val="00CD62AB"/>
    <w:rPr>
      <w:sz w:val="18"/>
      <w:szCs w:val="18"/>
    </w:rPr>
  </w:style>
  <w:style w:type="character" w:customStyle="1" w:styleId="Char1">
    <w:name w:val="批注框文本 Char"/>
    <w:basedOn w:val="a0"/>
    <w:link w:val="a5"/>
    <w:rsid w:val="00CD62A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194839">
      <w:bodyDiv w:val="1"/>
      <w:marLeft w:val="0"/>
      <w:marRight w:val="0"/>
      <w:marTop w:val="0"/>
      <w:marBottom w:val="0"/>
      <w:divBdr>
        <w:top w:val="none" w:sz="0" w:space="0" w:color="auto"/>
        <w:left w:val="none" w:sz="0" w:space="0" w:color="auto"/>
        <w:bottom w:val="none" w:sz="0" w:space="0" w:color="auto"/>
        <w:right w:val="none" w:sz="0" w:space="0" w:color="auto"/>
      </w:divBdr>
      <w:divsChild>
        <w:div w:id="925960212">
          <w:marLeft w:val="0"/>
          <w:marRight w:val="0"/>
          <w:marTop w:val="0"/>
          <w:marBottom w:val="0"/>
          <w:divBdr>
            <w:top w:val="none" w:sz="0" w:space="0" w:color="auto"/>
            <w:left w:val="none" w:sz="0" w:space="0" w:color="auto"/>
            <w:bottom w:val="none" w:sz="0" w:space="0" w:color="auto"/>
            <w:right w:val="none" w:sz="0" w:space="0" w:color="auto"/>
          </w:divBdr>
        </w:div>
        <w:div w:id="1832257850">
          <w:marLeft w:val="0"/>
          <w:marRight w:val="0"/>
          <w:marTop w:val="0"/>
          <w:marBottom w:val="0"/>
          <w:divBdr>
            <w:top w:val="none" w:sz="0" w:space="0" w:color="auto"/>
            <w:left w:val="none" w:sz="0" w:space="0" w:color="auto"/>
            <w:bottom w:val="none" w:sz="0" w:space="0" w:color="auto"/>
            <w:right w:val="none" w:sz="0" w:space="0" w:color="auto"/>
          </w:divBdr>
        </w:div>
      </w:divsChild>
    </w:div>
    <w:div w:id="8760434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20</Pages>
  <Words>3053</Words>
  <Characters>17406</Characters>
  <Application>Microsoft Office Word</Application>
  <DocSecurity>0</DocSecurity>
  <Lines>145</Lines>
  <Paragraphs>40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liujihong2008@qq.con</cp:lastModifiedBy>
  <cp:revision>22</cp:revision>
  <dcterms:created xsi:type="dcterms:W3CDTF">2021-04-24T01:21:00Z</dcterms:created>
  <dcterms:modified xsi:type="dcterms:W3CDTF">2021-05-19T04:30:00Z</dcterms:modified>
</cp:coreProperties>
</file>