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900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Name of Journal: </w:t>
      </w:r>
      <w:r w:rsidRPr="00B75401">
        <w:rPr>
          <w:rFonts w:ascii="Book Antiqua" w:eastAsia="Book Antiqua" w:hAnsi="Book Antiqua" w:cs="Book Antiqua"/>
          <w:i/>
          <w:color w:val="000000"/>
        </w:rPr>
        <w:t>World Journal of Gastroenterology</w:t>
      </w:r>
    </w:p>
    <w:p w14:paraId="30FA350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Manuscript NO: </w:t>
      </w:r>
      <w:r w:rsidRPr="00B75401">
        <w:rPr>
          <w:rFonts w:ascii="Book Antiqua" w:eastAsia="Book Antiqua" w:hAnsi="Book Antiqua" w:cs="Book Antiqua"/>
          <w:color w:val="000000"/>
        </w:rPr>
        <w:t>63129</w:t>
      </w:r>
    </w:p>
    <w:p w14:paraId="09D1AB7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Manuscript Type: </w:t>
      </w:r>
      <w:r w:rsidRPr="00B75401">
        <w:rPr>
          <w:rFonts w:ascii="Book Antiqua" w:eastAsia="Book Antiqua" w:hAnsi="Book Antiqua" w:cs="Book Antiqua"/>
          <w:color w:val="000000"/>
        </w:rPr>
        <w:t>CASE REPORT</w:t>
      </w:r>
    </w:p>
    <w:p w14:paraId="4BAAF856" w14:textId="77777777" w:rsidR="00A77B3E" w:rsidRPr="00B75401" w:rsidRDefault="00A77B3E" w:rsidP="00B75401">
      <w:pPr>
        <w:adjustRightInd w:val="0"/>
        <w:snapToGrid w:val="0"/>
        <w:spacing w:line="360" w:lineRule="auto"/>
        <w:jc w:val="both"/>
        <w:rPr>
          <w:rFonts w:ascii="Book Antiqua" w:hAnsi="Book Antiqua"/>
        </w:rPr>
      </w:pPr>
    </w:p>
    <w:p w14:paraId="7905DB1C"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Cyclophosphamide-associated enteritis presenting with severe protein-losing enteropathy in granulomatosis with polyangiitis: A case report</w:t>
      </w:r>
    </w:p>
    <w:p w14:paraId="70B3BDDA" w14:textId="77777777" w:rsidR="00A77B3E" w:rsidRPr="00B75401" w:rsidRDefault="00A77B3E" w:rsidP="00B75401">
      <w:pPr>
        <w:adjustRightInd w:val="0"/>
        <w:snapToGrid w:val="0"/>
        <w:spacing w:line="360" w:lineRule="auto"/>
        <w:jc w:val="both"/>
        <w:rPr>
          <w:rFonts w:ascii="Book Antiqua" w:hAnsi="Book Antiqua"/>
        </w:rPr>
      </w:pPr>
    </w:p>
    <w:p w14:paraId="3A8737A0" w14:textId="4729C1D3" w:rsidR="00A77B3E" w:rsidRPr="00B75401" w:rsidRDefault="00B8487C"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Sato H </w:t>
      </w:r>
      <w:r w:rsidRPr="00B75401">
        <w:rPr>
          <w:rFonts w:ascii="Book Antiqua" w:eastAsia="Book Antiqua" w:hAnsi="Book Antiqua" w:cs="Book Antiqua"/>
          <w:i/>
          <w:iCs/>
          <w:color w:val="000000"/>
        </w:rPr>
        <w:t>et al.</w:t>
      </w:r>
      <w:r w:rsidRPr="00B75401">
        <w:rPr>
          <w:rFonts w:ascii="Book Antiqua" w:eastAsia="Book Antiqua" w:hAnsi="Book Antiqua" w:cs="Book Antiqua"/>
          <w:color w:val="000000"/>
        </w:rPr>
        <w:t xml:space="preserve"> </w:t>
      </w:r>
      <w:r w:rsidR="004B3E4B" w:rsidRPr="00B75401">
        <w:rPr>
          <w:rFonts w:ascii="Book Antiqua" w:eastAsia="Book Antiqua" w:hAnsi="Book Antiqua" w:cs="Book Antiqua"/>
          <w:color w:val="000000"/>
        </w:rPr>
        <w:t>Cyclophosphamide-associated enteritis in granulomatosis with polyangiitis</w:t>
      </w:r>
    </w:p>
    <w:p w14:paraId="706DD076" w14:textId="77777777" w:rsidR="00A77B3E" w:rsidRPr="00B75401" w:rsidRDefault="00A77B3E" w:rsidP="00B75401">
      <w:pPr>
        <w:adjustRightInd w:val="0"/>
        <w:snapToGrid w:val="0"/>
        <w:spacing w:line="360" w:lineRule="auto"/>
        <w:jc w:val="both"/>
        <w:rPr>
          <w:rFonts w:ascii="Book Antiqua" w:hAnsi="Book Antiqua"/>
          <w:lang w:eastAsia="zh-CN"/>
        </w:rPr>
      </w:pPr>
    </w:p>
    <w:p w14:paraId="3FE328D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Hiroko Sato, Tsuyoshi Shirai, Hiroshi Fujii, Tomonori Ishii, Hideo Harigae</w:t>
      </w:r>
    </w:p>
    <w:p w14:paraId="08A1ADC6" w14:textId="77777777" w:rsidR="00A77B3E" w:rsidRPr="00B75401" w:rsidRDefault="00A77B3E" w:rsidP="00B75401">
      <w:pPr>
        <w:adjustRightInd w:val="0"/>
        <w:snapToGrid w:val="0"/>
        <w:spacing w:line="360" w:lineRule="auto"/>
        <w:jc w:val="both"/>
        <w:rPr>
          <w:rFonts w:ascii="Book Antiqua" w:hAnsi="Book Antiqua"/>
        </w:rPr>
      </w:pPr>
    </w:p>
    <w:p w14:paraId="3D94423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Hiroko Sato, Tsuyoshi Shirai, Hiroshi Fujii, Tomonori Ishii, Hideo Harigae, </w:t>
      </w:r>
      <w:r w:rsidRPr="00B75401">
        <w:rPr>
          <w:rFonts w:ascii="Book Antiqua" w:eastAsia="Book Antiqua" w:hAnsi="Book Antiqua" w:cs="Book Antiqua"/>
          <w:color w:val="000000"/>
        </w:rPr>
        <w:t>Department of Hematology and Rheumatology, Tohoku University Graduate School of Medicine, Sendai 9808574, Japan</w:t>
      </w:r>
    </w:p>
    <w:p w14:paraId="7BBD4E82" w14:textId="5100E4DD" w:rsidR="00A77B3E" w:rsidRPr="00B75401" w:rsidRDefault="00A77B3E" w:rsidP="00B75401">
      <w:pPr>
        <w:adjustRightInd w:val="0"/>
        <w:snapToGrid w:val="0"/>
        <w:spacing w:line="360" w:lineRule="auto"/>
        <w:jc w:val="both"/>
        <w:rPr>
          <w:rFonts w:ascii="Book Antiqua" w:hAnsi="Book Antiqua"/>
        </w:rPr>
      </w:pPr>
    </w:p>
    <w:p w14:paraId="2879CE35" w14:textId="1C01DC0C"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Author contributions: </w:t>
      </w:r>
      <w:r w:rsidR="00B8487C" w:rsidRPr="00B75401">
        <w:rPr>
          <w:rFonts w:ascii="Book Antiqua" w:eastAsia="Book Antiqua" w:hAnsi="Book Antiqua" w:cs="Book Antiqua"/>
          <w:color w:val="000000"/>
        </w:rPr>
        <w:t>Sato H</w:t>
      </w:r>
      <w:r w:rsidRPr="00B75401">
        <w:rPr>
          <w:rFonts w:ascii="Book Antiqua" w:eastAsia="Book Antiqua" w:hAnsi="Book Antiqua" w:cs="Book Antiqua"/>
          <w:color w:val="000000"/>
        </w:rPr>
        <w:t xml:space="preserve"> and </w:t>
      </w:r>
      <w:r w:rsidR="00B8487C" w:rsidRPr="00B75401">
        <w:rPr>
          <w:rFonts w:ascii="Book Antiqua" w:eastAsia="Book Antiqua" w:hAnsi="Book Antiqua" w:cs="Book Antiqua"/>
          <w:color w:val="000000"/>
        </w:rPr>
        <w:t>Shirai T</w:t>
      </w:r>
      <w:r w:rsidRPr="00B75401">
        <w:rPr>
          <w:rFonts w:ascii="Book Antiqua" w:eastAsia="Book Antiqua" w:hAnsi="Book Antiqua" w:cs="Book Antiqua"/>
          <w:color w:val="000000"/>
        </w:rPr>
        <w:t xml:space="preserve"> performed the literature review, and wrote the manuscript</w:t>
      </w:r>
      <w:r w:rsidR="00B8487C"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Shirai T</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Fujii H</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Ishii T</w:t>
      </w:r>
      <w:r w:rsidRPr="00B75401">
        <w:rPr>
          <w:rFonts w:ascii="Book Antiqua" w:eastAsia="Book Antiqua" w:hAnsi="Book Antiqua" w:cs="Book Antiqua"/>
          <w:color w:val="000000"/>
        </w:rPr>
        <w:t xml:space="preserve">, and </w:t>
      </w:r>
      <w:r w:rsidR="00B8487C" w:rsidRPr="00B75401">
        <w:rPr>
          <w:rFonts w:ascii="Book Antiqua" w:eastAsia="Book Antiqua" w:hAnsi="Book Antiqua" w:cs="Book Antiqua"/>
          <w:color w:val="000000"/>
        </w:rPr>
        <w:t>Harigae H</w:t>
      </w:r>
      <w:r w:rsidRPr="00B75401">
        <w:rPr>
          <w:rFonts w:ascii="Book Antiqua" w:eastAsia="Book Antiqua" w:hAnsi="Book Antiqua" w:cs="Book Antiqua"/>
          <w:color w:val="000000"/>
        </w:rPr>
        <w:t xml:space="preserve"> were involved in the clinical management. </w:t>
      </w:r>
    </w:p>
    <w:p w14:paraId="63E8A031" w14:textId="785EF59E" w:rsidR="00A77B3E" w:rsidRPr="00B75401" w:rsidRDefault="00A77B3E" w:rsidP="00B75401">
      <w:pPr>
        <w:adjustRightInd w:val="0"/>
        <w:snapToGrid w:val="0"/>
        <w:spacing w:line="360" w:lineRule="auto"/>
        <w:jc w:val="both"/>
        <w:rPr>
          <w:rFonts w:ascii="Book Antiqua" w:hAnsi="Book Antiqua"/>
        </w:rPr>
      </w:pPr>
    </w:p>
    <w:p w14:paraId="6E01A130" w14:textId="07A5468D" w:rsidR="003C5A10" w:rsidRPr="00B75401" w:rsidRDefault="003C5A10" w:rsidP="00B75401">
      <w:pPr>
        <w:adjustRightInd w:val="0"/>
        <w:snapToGrid w:val="0"/>
        <w:spacing w:line="360" w:lineRule="auto"/>
        <w:jc w:val="both"/>
        <w:rPr>
          <w:rFonts w:ascii="Book Antiqua" w:eastAsia="Book Antiqua" w:hAnsi="Book Antiqua" w:cs="Book Antiqua"/>
          <w:color w:val="000000"/>
        </w:rPr>
      </w:pPr>
      <w:r w:rsidRPr="00E2699C">
        <w:rPr>
          <w:rFonts w:ascii="Book Antiqua" w:eastAsia="Book Antiqua" w:hAnsi="Book Antiqua" w:cs="Book Antiqua"/>
          <w:b/>
          <w:bCs/>
          <w:color w:val="000000"/>
        </w:rPr>
        <w:t xml:space="preserve">Supported by </w:t>
      </w:r>
      <w:bookmarkStart w:id="0" w:name="OLE_LINK7"/>
      <w:bookmarkStart w:id="1" w:name="OLE_LINK8"/>
      <w:r w:rsidRPr="00E2699C">
        <w:rPr>
          <w:rFonts w:ascii="Book Antiqua" w:eastAsia="Book Antiqua" w:hAnsi="Book Antiqua" w:cs="Book Antiqua"/>
          <w:color w:val="000000"/>
        </w:rPr>
        <w:t xml:space="preserve">Funding for </w:t>
      </w:r>
      <w:r w:rsidR="00C009BA" w:rsidRPr="00397EAB">
        <w:rPr>
          <w:rFonts w:ascii="Book Antiqua" w:eastAsia="Book Antiqua" w:hAnsi="Book Antiqua" w:cs="Book Antiqua"/>
          <w:caps/>
          <w:color w:val="000000"/>
        </w:rPr>
        <w:t>s</w:t>
      </w:r>
      <w:r w:rsidRPr="00E2699C">
        <w:rPr>
          <w:rFonts w:ascii="Book Antiqua" w:eastAsia="Book Antiqua" w:hAnsi="Book Antiqua" w:cs="Book Antiqua"/>
          <w:color w:val="000000"/>
        </w:rPr>
        <w:t xml:space="preserve">cientific </w:t>
      </w:r>
      <w:r w:rsidR="00C009BA" w:rsidRPr="00397EAB">
        <w:rPr>
          <w:rFonts w:ascii="Book Antiqua" w:eastAsia="Book Antiqua" w:hAnsi="Book Antiqua" w:cs="Book Antiqua"/>
          <w:caps/>
          <w:color w:val="000000"/>
        </w:rPr>
        <w:t>r</w:t>
      </w:r>
      <w:r w:rsidRPr="00E2699C">
        <w:rPr>
          <w:rFonts w:ascii="Book Antiqua" w:eastAsia="Book Antiqua" w:hAnsi="Book Antiqua" w:cs="Book Antiqua"/>
          <w:color w:val="000000"/>
        </w:rPr>
        <w:t xml:space="preserve">esearch (Funding for </w:t>
      </w:r>
      <w:r w:rsidR="00C009BA" w:rsidRPr="00397EAB">
        <w:rPr>
          <w:rFonts w:ascii="Book Antiqua" w:eastAsia="Book Antiqua" w:hAnsi="Book Antiqua" w:cs="Book Antiqua"/>
          <w:caps/>
          <w:color w:val="000000"/>
        </w:rPr>
        <w:t>a</w:t>
      </w:r>
      <w:r w:rsidRPr="00E2699C">
        <w:rPr>
          <w:rFonts w:ascii="Book Antiqua" w:eastAsia="Book Antiqua" w:hAnsi="Book Antiqua" w:cs="Book Antiqua"/>
          <w:color w:val="000000"/>
        </w:rPr>
        <w:t xml:space="preserve">cademic </w:t>
      </w:r>
      <w:r w:rsidR="00C009BA" w:rsidRPr="00397EAB">
        <w:rPr>
          <w:rFonts w:ascii="Book Antiqua" w:eastAsia="Book Antiqua" w:hAnsi="Book Antiqua" w:cs="Book Antiqua"/>
          <w:caps/>
          <w:color w:val="000000"/>
        </w:rPr>
        <w:t>r</w:t>
      </w:r>
      <w:r w:rsidRPr="00E2699C">
        <w:rPr>
          <w:rFonts w:ascii="Book Antiqua" w:eastAsia="Book Antiqua" w:hAnsi="Book Antiqua" w:cs="Book Antiqua"/>
          <w:color w:val="000000"/>
        </w:rPr>
        <w:t>esearch)</w:t>
      </w:r>
      <w:r w:rsidR="00C009BA" w:rsidRPr="00E2699C">
        <w:rPr>
          <w:rFonts w:ascii="Book Antiqua" w:eastAsia="Book Antiqua" w:hAnsi="Book Antiqua" w:cs="Book Antiqua"/>
          <w:color w:val="000000"/>
        </w:rPr>
        <w:t>,</w:t>
      </w:r>
      <w:r w:rsidRPr="00E2699C">
        <w:rPr>
          <w:rFonts w:ascii="Book Antiqua" w:eastAsia="Book Antiqua" w:hAnsi="Book Antiqua" w:cs="Book Antiqua"/>
          <w:color w:val="000000"/>
        </w:rPr>
        <w:t xml:space="preserve"> No. 18K16136</w:t>
      </w:r>
      <w:r w:rsidR="00B75401" w:rsidRPr="00E2699C">
        <w:rPr>
          <w:rFonts w:ascii="Book Antiqua" w:eastAsia="Book Antiqua" w:hAnsi="Book Antiqua" w:cs="Book Antiqua"/>
          <w:color w:val="000000"/>
        </w:rPr>
        <w:t>.</w:t>
      </w:r>
    </w:p>
    <w:bookmarkEnd w:id="0"/>
    <w:bookmarkEnd w:id="1"/>
    <w:p w14:paraId="405E04A7" w14:textId="77777777" w:rsidR="003C5A10" w:rsidRPr="00B75401" w:rsidRDefault="003C5A10" w:rsidP="00B75401">
      <w:pPr>
        <w:adjustRightInd w:val="0"/>
        <w:snapToGrid w:val="0"/>
        <w:spacing w:line="360" w:lineRule="auto"/>
        <w:jc w:val="both"/>
        <w:rPr>
          <w:rFonts w:ascii="Book Antiqua" w:eastAsia="Book Antiqua" w:hAnsi="Book Antiqua" w:cs="Book Antiqua"/>
          <w:b/>
          <w:bCs/>
          <w:color w:val="000000"/>
        </w:rPr>
      </w:pPr>
    </w:p>
    <w:p w14:paraId="6E5668F1" w14:textId="4B596AAB" w:rsidR="00A77B3E" w:rsidRPr="007802C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Corresponding author: Tsuyoshi Shirai, MD, PhD, Assistant Professor, Doctor, </w:t>
      </w:r>
      <w:r w:rsidRPr="00B75401">
        <w:rPr>
          <w:rFonts w:ascii="Book Antiqua" w:eastAsia="Book Antiqua" w:hAnsi="Book Antiqua" w:cs="Book Antiqua"/>
          <w:color w:val="000000"/>
        </w:rPr>
        <w:t xml:space="preserve">Department of Hematology and Rheumatology, Tohoku University Graduate School of Medicine, 1-1 Seiryo-machi, Aoba-ku, Sendai 9808574, Japan. </w:t>
      </w:r>
      <w:r w:rsidRPr="007802C1">
        <w:rPr>
          <w:rFonts w:ascii="Book Antiqua" w:eastAsia="Book Antiqua" w:hAnsi="Book Antiqua" w:cs="Book Antiqua"/>
          <w:color w:val="000000"/>
        </w:rPr>
        <w:t>tsuyoshirajp@med.tohoku.ac.jp</w:t>
      </w:r>
    </w:p>
    <w:p w14:paraId="0404CA09" w14:textId="77777777" w:rsidR="00A77B3E" w:rsidRPr="00B75401" w:rsidRDefault="00A77B3E" w:rsidP="00B75401">
      <w:pPr>
        <w:adjustRightInd w:val="0"/>
        <w:snapToGrid w:val="0"/>
        <w:spacing w:line="360" w:lineRule="auto"/>
        <w:jc w:val="both"/>
        <w:rPr>
          <w:rFonts w:ascii="Book Antiqua" w:hAnsi="Book Antiqua"/>
        </w:rPr>
      </w:pPr>
    </w:p>
    <w:p w14:paraId="46C75EB6"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Received: </w:t>
      </w:r>
      <w:r w:rsidRPr="00B75401">
        <w:rPr>
          <w:rFonts w:ascii="Book Antiqua" w:eastAsia="Book Antiqua" w:hAnsi="Book Antiqua" w:cs="Book Antiqua"/>
          <w:color w:val="000000"/>
        </w:rPr>
        <w:t>January 25, 2021</w:t>
      </w:r>
    </w:p>
    <w:p w14:paraId="698942B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lastRenderedPageBreak/>
        <w:t xml:space="preserve">Revised: </w:t>
      </w:r>
      <w:r w:rsidRPr="00B75401">
        <w:rPr>
          <w:rFonts w:ascii="Book Antiqua" w:eastAsia="Book Antiqua" w:hAnsi="Book Antiqua" w:cs="Book Antiqua"/>
          <w:color w:val="000000"/>
        </w:rPr>
        <w:t>March 9, 2021</w:t>
      </w:r>
    </w:p>
    <w:p w14:paraId="51D1FF3C" w14:textId="20E4B4C4"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Accepted: </w:t>
      </w:r>
      <w:r w:rsidR="006225DE" w:rsidRPr="006225DE">
        <w:rPr>
          <w:rFonts w:ascii="Book Antiqua" w:eastAsia="Book Antiqua" w:hAnsi="Book Antiqua" w:cs="Book Antiqua"/>
          <w:bCs/>
          <w:color w:val="000000"/>
        </w:rPr>
        <w:t>May 7, 2021</w:t>
      </w:r>
    </w:p>
    <w:p w14:paraId="003991F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Published online: </w:t>
      </w:r>
    </w:p>
    <w:p w14:paraId="3BA088AB" w14:textId="77777777" w:rsidR="00A77B3E" w:rsidRPr="00B75401" w:rsidRDefault="00A77B3E" w:rsidP="00B75401">
      <w:pPr>
        <w:adjustRightInd w:val="0"/>
        <w:snapToGrid w:val="0"/>
        <w:spacing w:line="360" w:lineRule="auto"/>
        <w:jc w:val="both"/>
        <w:rPr>
          <w:rFonts w:ascii="Book Antiqua" w:hAnsi="Book Antiqua"/>
        </w:rPr>
        <w:sectPr w:rsidR="00A77B3E" w:rsidRPr="00B75401" w:rsidSect="006C48D2">
          <w:footerReference w:type="default" r:id="rId6"/>
          <w:type w:val="continuous"/>
          <w:pgSz w:w="12240" w:h="15840"/>
          <w:pgMar w:top="1440" w:right="1800" w:bottom="1440" w:left="1800" w:header="720" w:footer="720" w:gutter="0"/>
          <w:cols w:space="720"/>
          <w:docGrid w:linePitch="360"/>
        </w:sectPr>
      </w:pPr>
    </w:p>
    <w:p w14:paraId="4B0A02F5" w14:textId="77777777" w:rsidR="007802C1" w:rsidRDefault="007802C1">
      <w:pPr>
        <w:rPr>
          <w:rFonts w:ascii="Book Antiqua" w:eastAsia="Book Antiqua" w:hAnsi="Book Antiqua" w:cs="Book Antiqua"/>
          <w:b/>
          <w:color w:val="000000"/>
        </w:rPr>
      </w:pPr>
      <w:r>
        <w:rPr>
          <w:rFonts w:ascii="Book Antiqua" w:eastAsia="Book Antiqua" w:hAnsi="Book Antiqua" w:cs="Book Antiqua"/>
          <w:b/>
          <w:color w:val="000000"/>
        </w:rPr>
        <w:br w:type="page"/>
      </w:r>
    </w:p>
    <w:p w14:paraId="18A7D1DB" w14:textId="2B4D2ED2"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lastRenderedPageBreak/>
        <w:t>Abstract</w:t>
      </w:r>
    </w:p>
    <w:p w14:paraId="792A763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BACKGROUND</w:t>
      </w:r>
    </w:p>
    <w:p w14:paraId="6D068DB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Although cyclophosphamide (CPA) is the key drug for the treatment of autoimmune diseases including vasculitides, it has some well-known adverse effects, such as myelosuppression, hemorrhagic cystitis, infertility, and infection. However, CPA-associated severe enteritis is a rare adverse effect, and only one case with a lethal clinical course has been reported. Therefore, the appropriate management of patients with CPA-associated severe enteritis is unclear.</w:t>
      </w:r>
    </w:p>
    <w:p w14:paraId="2F76E4F8" w14:textId="77777777" w:rsidR="00A77B3E" w:rsidRPr="00B75401" w:rsidRDefault="00A77B3E" w:rsidP="00B75401">
      <w:pPr>
        <w:adjustRightInd w:val="0"/>
        <w:snapToGrid w:val="0"/>
        <w:spacing w:line="360" w:lineRule="auto"/>
        <w:jc w:val="both"/>
        <w:rPr>
          <w:rFonts w:ascii="Book Antiqua" w:hAnsi="Book Antiqua"/>
        </w:rPr>
      </w:pPr>
    </w:p>
    <w:p w14:paraId="7F3AC8F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CASE SUMMARY</w:t>
      </w:r>
    </w:p>
    <w:p w14:paraId="0D3BD75D" w14:textId="5B72D7F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We present the case of a 61-year-old woman diagnosed with granulomatosis with polyangiitis based on the presence of symptoms in ear, lung, and, kidney with positive myeloperoxidase-antineutrophil cytoplasmic antibody. She received pulsed methylprednisolone followed by prednisolone 55 mg/d and intravenous CPA at a dose of 500 mg/mo. Ten days after the second course of intravenous CPA, she developed nausea, vomiting, and diarrhea, and was admitted to the hospital. Laboratory testing revealed hypoalbuminemia, suggesting protein-losing enteropathy.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revealed wall thickening of the stomach, small intestine, and colon with contrast enhancement on the lumen side. Antibiotics and immunosuppressive therapy were not effective, and the patient’s enteritis did not improve for &gt; 4 mo. Because her condition became seriously exhausted, corticosteroids were tapered and supportive therapies including intravenous hyperalimentation, replenishment of albumin and gamma globulin, plasma exchange, and infection control were continued. These supportive therapies improved her condition, and her enteritis gradually regressed. She was finally discharged 7 mo later.</w:t>
      </w:r>
    </w:p>
    <w:p w14:paraId="4BC1D08B" w14:textId="77777777" w:rsidR="00A77B3E" w:rsidRPr="00B75401" w:rsidRDefault="00A77B3E" w:rsidP="00B75401">
      <w:pPr>
        <w:adjustRightInd w:val="0"/>
        <w:snapToGrid w:val="0"/>
        <w:spacing w:line="360" w:lineRule="auto"/>
        <w:jc w:val="both"/>
        <w:rPr>
          <w:rFonts w:ascii="Book Antiqua" w:hAnsi="Book Antiqua"/>
        </w:rPr>
      </w:pPr>
    </w:p>
    <w:p w14:paraId="656A427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CONCLUSION</w:t>
      </w:r>
    </w:p>
    <w:p w14:paraId="388453C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lastRenderedPageBreak/>
        <w:t>Immediate discontinuation of CPA and intensive supportive therapy are crucial for the survival of patients with CPA-associated severe enteritis.</w:t>
      </w:r>
    </w:p>
    <w:p w14:paraId="478FBC62" w14:textId="77777777" w:rsidR="00A77B3E" w:rsidRPr="00B75401" w:rsidRDefault="00A77B3E" w:rsidP="00B75401">
      <w:pPr>
        <w:adjustRightInd w:val="0"/>
        <w:snapToGrid w:val="0"/>
        <w:spacing w:line="360" w:lineRule="auto"/>
        <w:jc w:val="both"/>
        <w:rPr>
          <w:rFonts w:ascii="Book Antiqua" w:hAnsi="Book Antiqua"/>
        </w:rPr>
      </w:pPr>
    </w:p>
    <w:p w14:paraId="703ADE6E" w14:textId="7D91B4EC"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Key Words: </w:t>
      </w:r>
      <w:bookmarkStart w:id="2" w:name="OLE_LINK20"/>
      <w:bookmarkStart w:id="3" w:name="OLE_LINK21"/>
      <w:bookmarkStart w:id="4" w:name="OLE_LINK5"/>
      <w:bookmarkStart w:id="5" w:name="OLE_LINK6"/>
      <w:r w:rsidRPr="00B75401">
        <w:rPr>
          <w:rFonts w:ascii="Book Antiqua" w:eastAsia="Book Antiqua" w:hAnsi="Book Antiqua" w:cs="Book Antiqua"/>
          <w:color w:val="000000"/>
        </w:rPr>
        <w:t>Antineutrophil cytoplasmic antibody; Cyclophosphamide; Enteritis; Granulomatosis with polyangiitis; Plasma exchange; Vasculitis</w:t>
      </w:r>
      <w:r w:rsidR="00834B89">
        <w:rPr>
          <w:rFonts w:ascii="Book Antiqua" w:eastAsia="Book Antiqua" w:hAnsi="Book Antiqua" w:cs="Book Antiqua"/>
          <w:color w:val="000000"/>
        </w:rPr>
        <w:t>; Case report</w:t>
      </w:r>
      <w:bookmarkEnd w:id="2"/>
      <w:bookmarkEnd w:id="3"/>
    </w:p>
    <w:bookmarkEnd w:id="4"/>
    <w:bookmarkEnd w:id="5"/>
    <w:p w14:paraId="1D741235" w14:textId="77777777" w:rsidR="00A77B3E" w:rsidRPr="00B75401" w:rsidRDefault="00A77B3E" w:rsidP="00B75401">
      <w:pPr>
        <w:adjustRightInd w:val="0"/>
        <w:snapToGrid w:val="0"/>
        <w:spacing w:line="360" w:lineRule="auto"/>
        <w:jc w:val="both"/>
        <w:rPr>
          <w:rFonts w:ascii="Book Antiqua" w:hAnsi="Book Antiqua"/>
        </w:rPr>
      </w:pPr>
    </w:p>
    <w:p w14:paraId="08EB32A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Sato H, Shirai T, Fujii H, Ishii T, Harigae H. Cyclophosphamide-associated enteritis presenting with severe protein-losing enteropathy in granulomatosis with polyangiitis: A case report. </w:t>
      </w:r>
      <w:r w:rsidRPr="00B75401">
        <w:rPr>
          <w:rFonts w:ascii="Book Antiqua" w:eastAsia="Book Antiqua" w:hAnsi="Book Antiqua" w:cs="Book Antiqua"/>
          <w:i/>
          <w:iCs/>
          <w:color w:val="000000"/>
        </w:rPr>
        <w:t>World J Gastroenterol</w:t>
      </w:r>
      <w:r w:rsidRPr="00B75401">
        <w:rPr>
          <w:rFonts w:ascii="Book Antiqua" w:eastAsia="Book Antiqua" w:hAnsi="Book Antiqua" w:cs="Book Antiqua"/>
          <w:color w:val="000000"/>
        </w:rPr>
        <w:t xml:space="preserve"> 2021; In press</w:t>
      </w:r>
    </w:p>
    <w:p w14:paraId="420206E1" w14:textId="77777777" w:rsidR="00A77B3E" w:rsidRPr="00B75401" w:rsidRDefault="00A77B3E" w:rsidP="00B75401">
      <w:pPr>
        <w:adjustRightInd w:val="0"/>
        <w:snapToGrid w:val="0"/>
        <w:spacing w:line="360" w:lineRule="auto"/>
        <w:jc w:val="both"/>
        <w:rPr>
          <w:rFonts w:ascii="Book Antiqua" w:hAnsi="Book Antiqua"/>
        </w:rPr>
      </w:pPr>
    </w:p>
    <w:p w14:paraId="62CECF03"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Core Tip: </w:t>
      </w:r>
      <w:bookmarkStart w:id="6" w:name="OLE_LINK9"/>
      <w:bookmarkStart w:id="7" w:name="OLE_LINK10"/>
      <w:r w:rsidRPr="00B75401">
        <w:rPr>
          <w:rFonts w:ascii="Book Antiqua" w:eastAsia="Book Antiqua" w:hAnsi="Book Antiqua" w:cs="Book Antiqua"/>
          <w:color w:val="000000"/>
        </w:rPr>
        <w:t>Cyclophosphamide-associated enteritis is rare, but a fatal complication of the treatment for the vasculitides. This is the first successful report of the treatment for the severe cyclophosphamide-associated enteritis, and indicates the importance of immediate discontinuation of cyclophosphamide and intensive supportive therapy.</w:t>
      </w:r>
    </w:p>
    <w:p w14:paraId="5491A248" w14:textId="77777777" w:rsidR="00B8487C" w:rsidRPr="00B75401" w:rsidRDefault="00B8487C" w:rsidP="00B75401">
      <w:pPr>
        <w:adjustRightInd w:val="0"/>
        <w:snapToGrid w:val="0"/>
        <w:spacing w:line="360" w:lineRule="auto"/>
        <w:jc w:val="both"/>
        <w:rPr>
          <w:rFonts w:ascii="Book Antiqua" w:hAnsi="Book Antiqua"/>
        </w:rPr>
      </w:pPr>
      <w:r w:rsidRPr="00B75401">
        <w:rPr>
          <w:rFonts w:ascii="Book Antiqua" w:hAnsi="Book Antiqua"/>
        </w:rPr>
        <w:br w:type="page"/>
      </w:r>
    </w:p>
    <w:bookmarkEnd w:id="6"/>
    <w:bookmarkEnd w:id="7"/>
    <w:p w14:paraId="1DAE718E" w14:textId="3D3C7CEF"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lastRenderedPageBreak/>
        <w:t>INTRODUCTION</w:t>
      </w:r>
    </w:p>
    <w:p w14:paraId="48472343" w14:textId="645CDF82"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Cyclophosphamide (CPA) is an alkylating agent that is frequently used in vasculitides as an induction therapy. Particularly in antineutrophil cytoplasmic antibody (ANCA)-associated vasculitis, the addition of immunosuppressants is recommended for patients with a higher five-factor score</w:t>
      </w:r>
      <w:r w:rsidRPr="00B75401">
        <w:rPr>
          <w:rFonts w:ascii="Book Antiqua" w:eastAsia="Book Antiqua" w:hAnsi="Book Antiqua" w:cs="Book Antiqua"/>
          <w:color w:val="000000"/>
          <w:vertAlign w:val="superscript"/>
        </w:rPr>
        <w:t>[1]</w:t>
      </w:r>
      <w:r w:rsidRPr="00B75401">
        <w:rPr>
          <w:rFonts w:ascii="Book Antiqua" w:eastAsia="Book Antiqua" w:hAnsi="Book Antiqua" w:cs="Book Antiqua"/>
          <w:color w:val="000000"/>
        </w:rPr>
        <w:t>. CPA is metabolized into the active form in the liver and covalently binds to the nucleus</w:t>
      </w:r>
      <w:r w:rsidRPr="00B75401">
        <w:rPr>
          <w:rFonts w:ascii="Book Antiqua" w:eastAsia="Book Antiqua" w:hAnsi="Book Antiqua" w:cs="Book Antiqua"/>
          <w:color w:val="000000"/>
          <w:vertAlign w:val="superscript"/>
        </w:rPr>
        <w:t>[2]</w:t>
      </w:r>
      <w:r w:rsidRPr="00B75401">
        <w:rPr>
          <w:rFonts w:ascii="Book Antiqua" w:eastAsia="Book Antiqua" w:hAnsi="Book Antiqua" w:cs="Book Antiqua"/>
          <w:color w:val="000000"/>
        </w:rPr>
        <w:t xml:space="preserve">. Thereafter, it manifests antiproliferative effects by inhibiting </w:t>
      </w:r>
      <w:r w:rsidR="002238BF" w:rsidRPr="00B75401">
        <w:rPr>
          <w:rFonts w:ascii="Book Antiqua" w:eastAsia="Book Antiqua" w:hAnsi="Book Antiqua" w:cs="Book Antiqua"/>
          <w:color w:val="000000"/>
        </w:rPr>
        <w:t>deoxyribonucleic acid</w:t>
      </w:r>
      <w:r w:rsidRPr="00B75401">
        <w:rPr>
          <w:rFonts w:ascii="Book Antiqua" w:eastAsia="Book Antiqua" w:hAnsi="Book Antiqua" w:cs="Book Antiqua"/>
          <w:color w:val="000000"/>
        </w:rPr>
        <w:t xml:space="preserve"> replication</w:t>
      </w:r>
      <w:r w:rsidRPr="00B75401">
        <w:rPr>
          <w:rFonts w:ascii="Book Antiqua" w:eastAsia="Book Antiqua" w:hAnsi="Book Antiqua" w:cs="Book Antiqua"/>
          <w:color w:val="000000"/>
          <w:vertAlign w:val="superscript"/>
        </w:rPr>
        <w:t>[2]</w:t>
      </w:r>
      <w:r w:rsidRPr="00B75401">
        <w:rPr>
          <w:rFonts w:ascii="Book Antiqua" w:eastAsia="Book Antiqua" w:hAnsi="Book Antiqua" w:cs="Book Antiqua"/>
          <w:color w:val="000000"/>
        </w:rPr>
        <w:t>. Although CPA has an established therapeutic effect in vasculitides, it sometimes results in adverse effects including myelosuppression, hemorrhagic cystitis, increased susceptibility to infection, and infertility</w:t>
      </w:r>
      <w:r w:rsidRPr="00B75401">
        <w:rPr>
          <w:rFonts w:ascii="Book Antiqua" w:eastAsia="Book Antiqua" w:hAnsi="Book Antiqua" w:cs="Book Antiqua"/>
          <w:color w:val="000000"/>
          <w:vertAlign w:val="superscript"/>
        </w:rPr>
        <w:t>[3]</w:t>
      </w:r>
      <w:r w:rsidRPr="00B75401">
        <w:rPr>
          <w:rFonts w:ascii="Book Antiqua" w:eastAsia="Book Antiqua" w:hAnsi="Book Antiqua" w:cs="Book Antiqua"/>
          <w:color w:val="000000"/>
        </w:rPr>
        <w:t xml:space="preserve">. However, the development of enteritis due to CPA use in patients with autoimmune diseases is rare, with only one case report in which Yang </w:t>
      </w:r>
      <w:r w:rsidRPr="00B75401">
        <w:rPr>
          <w:rFonts w:ascii="Book Antiqua" w:eastAsia="Book Antiqua" w:hAnsi="Book Antiqua" w:cs="Book Antiqua"/>
          <w:i/>
          <w:iCs/>
          <w:color w:val="000000"/>
        </w:rPr>
        <w:t>et al</w:t>
      </w:r>
      <w:r w:rsidR="00B8487C"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 xml:space="preserve"> presented a lethal case of CPA-associated enteritis in a patient with microscopic polyangiitis. Here, we report a severe case of CPA-associated enteritis in a patient who presented with prominent protein-losing enteropathy, who was successfully treated with supportive therapy including plasma exchange</w:t>
      </w:r>
      <w:r w:rsidR="00C15C20" w:rsidRPr="00B75401">
        <w:rPr>
          <w:rFonts w:ascii="Book Antiqua" w:eastAsia="Book Antiqua" w:hAnsi="Book Antiqua" w:cs="Book Antiqua"/>
          <w:color w:val="000000"/>
        </w:rPr>
        <w:t xml:space="preserve"> (PE)</w:t>
      </w:r>
      <w:r w:rsidRPr="00B75401">
        <w:rPr>
          <w:rFonts w:ascii="Book Antiqua" w:eastAsia="Book Antiqua" w:hAnsi="Book Antiqua" w:cs="Book Antiqua"/>
          <w:color w:val="000000"/>
        </w:rPr>
        <w:t>.</w:t>
      </w:r>
    </w:p>
    <w:p w14:paraId="4EF79BFB" w14:textId="77777777" w:rsidR="00B8487C" w:rsidRPr="00B75401" w:rsidRDefault="00B8487C" w:rsidP="00B75401">
      <w:pPr>
        <w:adjustRightInd w:val="0"/>
        <w:snapToGrid w:val="0"/>
        <w:spacing w:line="360" w:lineRule="auto"/>
        <w:jc w:val="both"/>
        <w:rPr>
          <w:rFonts w:ascii="Book Antiqua" w:eastAsia="Book Antiqua" w:hAnsi="Book Antiqua" w:cs="Book Antiqua"/>
          <w:color w:val="000000"/>
          <w:vertAlign w:val="superscript"/>
        </w:rPr>
      </w:pPr>
    </w:p>
    <w:p w14:paraId="3855D7BF" w14:textId="6FF2C189"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CASE PRESENTATION</w:t>
      </w:r>
    </w:p>
    <w:p w14:paraId="50429D8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Chief complaints</w:t>
      </w:r>
    </w:p>
    <w:p w14:paraId="26A1B6B5"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A 61-year-old Japanese woman developed nausea, vomiting, and diarrhea.</w:t>
      </w:r>
    </w:p>
    <w:p w14:paraId="24EB0ADB" w14:textId="77777777" w:rsidR="00A77B3E" w:rsidRPr="00B75401" w:rsidRDefault="00A77B3E" w:rsidP="00B75401">
      <w:pPr>
        <w:adjustRightInd w:val="0"/>
        <w:snapToGrid w:val="0"/>
        <w:spacing w:line="360" w:lineRule="auto"/>
        <w:jc w:val="both"/>
        <w:rPr>
          <w:rFonts w:ascii="Book Antiqua" w:hAnsi="Book Antiqua"/>
        </w:rPr>
      </w:pPr>
    </w:p>
    <w:p w14:paraId="680C49E0"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History of present illness</w:t>
      </w:r>
    </w:p>
    <w:p w14:paraId="3A7AF9CE" w14:textId="36B92BCB"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Three months before the first admission, she experienced nasal congestion, aural fullness, and auditory disturbance, and was diagnosed with otitis media. Also, two months before presentation, she experienced cough worsening, and chest radiography revealed a pulmonary infiltrative shadow. Two months before presentation, she was referred to our hospital for the evaluation of pulmonary consolidation with positive myeloperoxidase-ANCA (MPO-ANCA). She was admitted to the previous hospital. She had a body temperature of 38</w:t>
      </w:r>
      <w:r w:rsidR="006C48D2">
        <w:rPr>
          <w:rFonts w:ascii="Book Antiqua" w:eastAsia="Book Antiqua" w:hAnsi="Book Antiqua" w:cs="Book Antiqua"/>
          <w:color w:val="000000"/>
        </w:rPr>
        <w:t xml:space="preserve"> </w:t>
      </w:r>
      <w:r w:rsidRPr="00B75401">
        <w:rPr>
          <w:rFonts w:ascii="Book Antiqua" w:eastAsia="Book Antiqua" w:hAnsi="Book Antiqua" w:cs="Book Antiqua"/>
          <w:color w:val="000000"/>
        </w:rPr>
        <w:t xml:space="preserve">°C and </w:t>
      </w:r>
      <w:r w:rsidRPr="00B75401">
        <w:rPr>
          <w:rFonts w:ascii="Book Antiqua" w:eastAsia="Book Antiqua" w:hAnsi="Book Antiqua" w:cs="Book Antiqua"/>
          <w:color w:val="000000"/>
        </w:rPr>
        <w:lastRenderedPageBreak/>
        <w:t>elevated C-reactive protein level (7.7 mg/dL). Although she was treated with antibiotics, her symptoms, inflammatory markers, and chest infiltrates did not improve. Laboratory examination showed a high titer of MPO-ANCA (Table 1), and she was referred to our hospital. After admission, her creatinine level increased with proteinuria, glomerular hematuria, and granular casts, indicating the presence of rapidly progressive glomerulonephritis (RPGN). Granulomatosis with polyangiitis (GPA) was diagnosed on the basis of the presence of otitis media, sinusitis, pulmonary nodule, RPGN, and positive MPO-ANCA. She received pulsed methylprednisolone followed by prednisolone (PSL) 55 mg/d in combination with intravenous CPA at a dose of 500 mg/mo. Her condition significantly improved, and she was discharged 9 d after the second course of intravenous CPA when the PSL dose was 45 mg/d. She developed nausea, vomiting, and diarrhea the day after discharge, and was admitted to our hospital.</w:t>
      </w:r>
    </w:p>
    <w:p w14:paraId="1ACE2F1A" w14:textId="77777777" w:rsidR="00A77B3E" w:rsidRPr="00B75401" w:rsidRDefault="00A77B3E" w:rsidP="00B75401">
      <w:pPr>
        <w:adjustRightInd w:val="0"/>
        <w:snapToGrid w:val="0"/>
        <w:spacing w:line="360" w:lineRule="auto"/>
        <w:jc w:val="both"/>
        <w:rPr>
          <w:rFonts w:ascii="Book Antiqua" w:hAnsi="Book Antiqua"/>
        </w:rPr>
      </w:pPr>
    </w:p>
    <w:p w14:paraId="72F1B50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History of past illness</w:t>
      </w:r>
    </w:p>
    <w:p w14:paraId="3DBBFEA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She had been diagnosed with Grave’s disease since the age of 40.</w:t>
      </w:r>
    </w:p>
    <w:p w14:paraId="70243BD4" w14:textId="77777777" w:rsidR="00A77B3E" w:rsidRPr="00B75401" w:rsidRDefault="00A77B3E" w:rsidP="00B75401">
      <w:pPr>
        <w:adjustRightInd w:val="0"/>
        <w:snapToGrid w:val="0"/>
        <w:spacing w:line="360" w:lineRule="auto"/>
        <w:jc w:val="both"/>
        <w:rPr>
          <w:rFonts w:ascii="Book Antiqua" w:hAnsi="Book Antiqua"/>
        </w:rPr>
      </w:pPr>
    </w:p>
    <w:p w14:paraId="39182FF3"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Personal and family history</w:t>
      </w:r>
    </w:p>
    <w:p w14:paraId="6FF4418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The patient had no family history.</w:t>
      </w:r>
    </w:p>
    <w:p w14:paraId="088310D2" w14:textId="77777777" w:rsidR="00A77B3E" w:rsidRPr="00B75401" w:rsidRDefault="00A77B3E" w:rsidP="00B75401">
      <w:pPr>
        <w:adjustRightInd w:val="0"/>
        <w:snapToGrid w:val="0"/>
        <w:spacing w:line="360" w:lineRule="auto"/>
        <w:jc w:val="both"/>
        <w:rPr>
          <w:rFonts w:ascii="Book Antiqua" w:hAnsi="Book Antiqua"/>
        </w:rPr>
      </w:pPr>
    </w:p>
    <w:p w14:paraId="2728F91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Physical examination</w:t>
      </w:r>
    </w:p>
    <w:p w14:paraId="69E7E487" w14:textId="4F12DDE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On admission, her consciousness was clear, body temperature was 36.3</w:t>
      </w:r>
      <w:r w:rsidR="006C48D2">
        <w:rPr>
          <w:rFonts w:ascii="Book Antiqua" w:eastAsia="Book Antiqua" w:hAnsi="Book Antiqua" w:cs="Book Antiqua"/>
          <w:color w:val="000000"/>
        </w:rPr>
        <w:t xml:space="preserve"> </w:t>
      </w:r>
      <w:r w:rsidRPr="00B75401">
        <w:rPr>
          <w:rFonts w:ascii="Book Antiqua" w:eastAsia="Book Antiqua" w:hAnsi="Book Antiqua" w:cs="Book Antiqua"/>
          <w:color w:val="000000"/>
        </w:rPr>
        <w:t>°C, and body pressure was 106/75 mmHg. Her abdomen was soft and flat, with pain in the left lower quadrant without defense or rebound tenderness.</w:t>
      </w:r>
    </w:p>
    <w:p w14:paraId="003709B4" w14:textId="77777777" w:rsidR="00A77B3E" w:rsidRPr="00B75401" w:rsidRDefault="00A77B3E" w:rsidP="00B75401">
      <w:pPr>
        <w:adjustRightInd w:val="0"/>
        <w:snapToGrid w:val="0"/>
        <w:spacing w:line="360" w:lineRule="auto"/>
        <w:jc w:val="both"/>
        <w:rPr>
          <w:rFonts w:ascii="Book Antiqua" w:hAnsi="Book Antiqua"/>
        </w:rPr>
      </w:pPr>
    </w:p>
    <w:p w14:paraId="5A7BFF2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Laboratory examinations</w:t>
      </w:r>
    </w:p>
    <w:p w14:paraId="61F76C6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Laboratory testing indicated hypoalbuminemia and hypogammaglobulinemia, suggesting protein-losing enteropathy that resulted in the leakage of proteins from the gastrointestinal tract (Table 1).</w:t>
      </w:r>
    </w:p>
    <w:p w14:paraId="6C079F36" w14:textId="77777777" w:rsidR="00A77B3E" w:rsidRPr="00B75401" w:rsidRDefault="00A77B3E" w:rsidP="00B75401">
      <w:pPr>
        <w:adjustRightInd w:val="0"/>
        <w:snapToGrid w:val="0"/>
        <w:spacing w:line="360" w:lineRule="auto"/>
        <w:jc w:val="both"/>
        <w:rPr>
          <w:rFonts w:ascii="Book Antiqua" w:hAnsi="Book Antiqua"/>
        </w:rPr>
      </w:pPr>
    </w:p>
    <w:p w14:paraId="7B73BFF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Imaging examinations</w:t>
      </w:r>
    </w:p>
    <w:p w14:paraId="22996A56" w14:textId="5D63F211"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Abdominal radiography did not show niveau or free air. </w:t>
      </w:r>
      <w:r w:rsidR="00C15C20" w:rsidRPr="00B75401">
        <w:rPr>
          <w:rFonts w:ascii="Book Antiqua" w:eastAsia="Book Antiqua" w:hAnsi="Book Antiqua" w:cs="Book Antiqua"/>
          <w:color w:val="000000"/>
        </w:rPr>
        <w:t>Computed tomography (CT)</w:t>
      </w:r>
      <w:r w:rsidRPr="00B75401">
        <w:rPr>
          <w:rFonts w:ascii="Book Antiqua" w:eastAsia="Book Antiqua" w:hAnsi="Book Antiqua" w:cs="Book Antiqua"/>
          <w:color w:val="000000"/>
        </w:rPr>
        <w:t xml:space="preserve"> revealed wall thickening of the stomach, small intestine, and colon with contrast enhancement on the lumen side (Figure 1A). The contrast enhancement of the outer layer of the intestine was poor, indicating edematous change. Upper gastrointestinal endoscopy showed edematous thickening of the stomach and diffusely distributed erosion throughout the descending duodenum (Figure 1B). Colonoscopy showed generalized edema and depression with erythema, mainly at the end of the ileum. The depression had no ulcerated surface. </w:t>
      </w:r>
    </w:p>
    <w:p w14:paraId="2C27D15D" w14:textId="77777777" w:rsidR="00B8487C" w:rsidRPr="00B75401" w:rsidRDefault="00B8487C" w:rsidP="00B75401">
      <w:pPr>
        <w:adjustRightInd w:val="0"/>
        <w:snapToGrid w:val="0"/>
        <w:spacing w:line="360" w:lineRule="auto"/>
        <w:jc w:val="both"/>
        <w:rPr>
          <w:rFonts w:ascii="Book Antiqua" w:hAnsi="Book Antiqua"/>
        </w:rPr>
      </w:pPr>
    </w:p>
    <w:p w14:paraId="470BB2DF" w14:textId="4CDBED34"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Further diagnostic work-up</w:t>
      </w:r>
    </w:p>
    <w:p w14:paraId="26D9FE23" w14:textId="6E181ECF"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Biopsy showed the absence of malignancy and vasculitis, as well as neoplastic changes including hyperplasia. Mild inflammatory cellular infiltration and some granulation tissues and ulcers were present. Cytomegalovirus staining was negative. Because the differential diagnoses included infectious enteritis, GPA-associated gastroenteritis, and drug-induced enteritis, the patient was initially treated with antibiotics including meropenem. However, hypoalbuminemia progressed. Therefore, we replenished albumin and gamma globulin and performed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Her condition did not improve, and her serum albumin levels remained approximately 1.5 mg/dL for &gt; 1 mo. This clinical course ruled out the presence of an infectious etiology. Therefore, we decided to augment immunosuppression, and increased the PSL dose to 60 mg/d and added tacrolimus. Nevertheless, the enteritis did not respond to these treatments, which was contradictory to the autoimmune phenomenon, including GPA-associated enteritis. At this point, infectious and vasculitic etiologies were unlikely.</w:t>
      </w:r>
    </w:p>
    <w:p w14:paraId="13F7587D" w14:textId="77777777" w:rsidR="00A77B3E" w:rsidRPr="00B75401" w:rsidRDefault="00A77B3E" w:rsidP="00B75401">
      <w:pPr>
        <w:adjustRightInd w:val="0"/>
        <w:snapToGrid w:val="0"/>
        <w:spacing w:line="360" w:lineRule="auto"/>
        <w:jc w:val="both"/>
        <w:rPr>
          <w:rFonts w:ascii="Book Antiqua" w:hAnsi="Book Antiqua"/>
        </w:rPr>
      </w:pPr>
    </w:p>
    <w:p w14:paraId="130A69BC"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FINAL DIAGNOSIS</w:t>
      </w:r>
    </w:p>
    <w:p w14:paraId="11871F3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lastRenderedPageBreak/>
        <w:t xml:space="preserve">The CPA-associated enteropathy was considered, as previously reported by Yang </w:t>
      </w:r>
      <w:r w:rsidRPr="00B75401">
        <w:rPr>
          <w:rFonts w:ascii="Book Antiqua" w:eastAsia="Book Antiqua" w:hAnsi="Book Antiqua" w:cs="Book Antiqua"/>
          <w:i/>
          <w:iCs/>
          <w:color w:val="000000"/>
        </w:rPr>
        <w:t>et al</w:t>
      </w:r>
      <w:r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 xml:space="preserve">. </w:t>
      </w:r>
    </w:p>
    <w:p w14:paraId="07C5A3F4" w14:textId="77777777" w:rsidR="00A77B3E" w:rsidRPr="00B75401" w:rsidRDefault="00A77B3E" w:rsidP="00B75401">
      <w:pPr>
        <w:adjustRightInd w:val="0"/>
        <w:snapToGrid w:val="0"/>
        <w:spacing w:line="360" w:lineRule="auto"/>
        <w:jc w:val="both"/>
        <w:rPr>
          <w:rFonts w:ascii="Book Antiqua" w:hAnsi="Book Antiqua"/>
        </w:rPr>
      </w:pPr>
    </w:p>
    <w:p w14:paraId="442F7DB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TREATMENT</w:t>
      </w:r>
    </w:p>
    <w:p w14:paraId="6CF79B0B" w14:textId="20BA651A"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Because her condition became seriously exhausted, we tapered the steroid dose and continued supportive therapy including intravenous hyperalimentation, albumin supplementation,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xml:space="preserve">, and infection control (Figure 2). </w:t>
      </w:r>
    </w:p>
    <w:p w14:paraId="7203D799" w14:textId="77777777" w:rsidR="00A77B3E" w:rsidRPr="00B75401" w:rsidRDefault="00A77B3E" w:rsidP="00B75401">
      <w:pPr>
        <w:adjustRightInd w:val="0"/>
        <w:snapToGrid w:val="0"/>
        <w:spacing w:line="360" w:lineRule="auto"/>
        <w:jc w:val="both"/>
        <w:rPr>
          <w:rFonts w:ascii="Book Antiqua" w:hAnsi="Book Antiqua"/>
        </w:rPr>
      </w:pPr>
    </w:p>
    <w:p w14:paraId="18730A4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OUTCOME AND FOLLOW-UP</w:t>
      </w:r>
    </w:p>
    <w:p w14:paraId="105E562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The supportive therapies improved the patient’s condition, and her enteritis gradually regressed (Figure 3). She was finally discharged 7 mo after the second admission and underwent rehabilitation. At 2 years from discharge, she is now in complete remission and has returned to her previous work.</w:t>
      </w:r>
    </w:p>
    <w:p w14:paraId="0E1CFD61" w14:textId="77777777" w:rsidR="00A77B3E" w:rsidRPr="00B75401" w:rsidRDefault="00A77B3E" w:rsidP="00B75401">
      <w:pPr>
        <w:adjustRightInd w:val="0"/>
        <w:snapToGrid w:val="0"/>
        <w:spacing w:line="360" w:lineRule="auto"/>
        <w:jc w:val="both"/>
        <w:rPr>
          <w:rFonts w:ascii="Book Antiqua" w:hAnsi="Book Antiqua"/>
        </w:rPr>
      </w:pPr>
    </w:p>
    <w:p w14:paraId="09311D7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DISCUSSION</w:t>
      </w:r>
    </w:p>
    <w:p w14:paraId="3C447D61" w14:textId="46A87298"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The present case was complicated with severe enteritis, which was considered to be an adverse effect of CPA. Although the patient had severe protein-losing </w:t>
      </w:r>
      <w:r w:rsidRPr="00CD62AB">
        <w:rPr>
          <w:rFonts w:ascii="Book Antiqua" w:eastAsia="Book Antiqua" w:hAnsi="Book Antiqua" w:cs="Book Antiqua"/>
          <w:color w:val="000000"/>
        </w:rPr>
        <w:t>enteropathy,</w:t>
      </w:r>
      <w:r w:rsidRPr="00B75401">
        <w:rPr>
          <w:rFonts w:ascii="Book Antiqua" w:eastAsia="Book Antiqua" w:hAnsi="Book Antiqua" w:cs="Book Antiqua"/>
          <w:color w:val="000000"/>
        </w:rPr>
        <w:t xml:space="preserve"> her condition was improved by aggressive supportive therapies with repeated administrations of albumin and globulin for several months.</w:t>
      </w:r>
    </w:p>
    <w:p w14:paraId="2A8AC496" w14:textId="7B8CC638"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CPA is one of the frequently used immunosuppressant drugs for vasculitidis. Gastrointestinal involvement of GPA is one of the conditions requiring CPA</w:t>
      </w:r>
      <w:r w:rsidRPr="00B75401">
        <w:rPr>
          <w:rFonts w:ascii="Book Antiqua" w:eastAsia="Book Antiqua" w:hAnsi="Book Antiqua" w:cs="Book Antiqua"/>
          <w:color w:val="000000"/>
          <w:vertAlign w:val="superscript"/>
        </w:rPr>
        <w:t>[5]</w:t>
      </w:r>
      <w:r w:rsidRPr="00B75401">
        <w:rPr>
          <w:rFonts w:ascii="Book Antiqua" w:eastAsia="Book Antiqua" w:hAnsi="Book Antiqua" w:cs="Book Antiqua"/>
          <w:color w:val="000000"/>
        </w:rPr>
        <w:t>. However, CPA-associated enteritis is very rare, and there exists only one case describing a lethal course in a patient with GPA</w:t>
      </w:r>
      <w:r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w:t>
      </w:r>
    </w:p>
    <w:p w14:paraId="28A479DF" w14:textId="6D38F03A"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When the present patient manifested abdominal symptoms, her vasculitis was in remission, which was supported by the absence of ear symptoms, normal urinalysis, normal inflammatory marker levels, and negative MPO-ANCA. In addition, there were no histologic signs of vasculitis, granulomatous colitis, or gastritis in biopsy tissues. Further, treatment with immunosuppressants did not improve her condition, which was similar to the previously described case</w:t>
      </w:r>
      <w:r w:rsidRPr="00B75401">
        <w:rPr>
          <w:rFonts w:ascii="Book Antiqua" w:eastAsia="Book Antiqua" w:hAnsi="Book Antiqua" w:cs="Book Antiqua"/>
          <w:color w:val="000000"/>
          <w:vertAlign w:val="superscript"/>
        </w:rPr>
        <w:t>[4</w:t>
      </w:r>
      <w:r w:rsidR="00B8487C" w:rsidRPr="00B75401">
        <w:rPr>
          <w:rFonts w:ascii="Book Antiqua" w:eastAsia="Book Antiqua" w:hAnsi="Book Antiqua" w:cs="Book Antiqua"/>
          <w:color w:val="000000"/>
          <w:vertAlign w:val="superscript"/>
        </w:rPr>
        <w:t>,</w:t>
      </w:r>
      <w:r w:rsidRPr="00B75401">
        <w:rPr>
          <w:rFonts w:ascii="Book Antiqua" w:eastAsia="Book Antiqua" w:hAnsi="Book Antiqua" w:cs="Book Antiqua"/>
          <w:color w:val="000000"/>
          <w:vertAlign w:val="superscript"/>
        </w:rPr>
        <w:t>6</w:t>
      </w:r>
      <w:r w:rsidR="00B8487C" w:rsidRPr="00B75401">
        <w:rPr>
          <w:rFonts w:ascii="Book Antiqua" w:eastAsia="Book Antiqua" w:hAnsi="Book Antiqua" w:cs="Book Antiqua"/>
          <w:color w:val="000000"/>
          <w:vertAlign w:val="superscript"/>
        </w:rPr>
        <w:t>-</w:t>
      </w:r>
      <w:r w:rsidRPr="00B75401">
        <w:rPr>
          <w:rFonts w:ascii="Book Antiqua" w:eastAsia="Book Antiqua" w:hAnsi="Book Antiqua" w:cs="Book Antiqua"/>
          <w:color w:val="000000"/>
          <w:vertAlign w:val="superscript"/>
        </w:rPr>
        <w:t>8]</w:t>
      </w:r>
      <w:r w:rsidRPr="00B75401">
        <w:rPr>
          <w:rFonts w:ascii="Book Antiqua" w:eastAsia="Book Antiqua" w:hAnsi="Book Antiqua" w:cs="Book Antiqua"/>
          <w:color w:val="000000"/>
        </w:rPr>
        <w:t xml:space="preserve">. In </w:t>
      </w:r>
      <w:r w:rsidRPr="00B75401">
        <w:rPr>
          <w:rFonts w:ascii="Book Antiqua" w:eastAsia="Book Antiqua" w:hAnsi="Book Antiqua" w:cs="Book Antiqua"/>
          <w:color w:val="000000"/>
        </w:rPr>
        <w:lastRenderedPageBreak/>
        <w:t xml:space="preserve">addition, the blood culture, fecal culture, </w:t>
      </w:r>
      <w:r w:rsidRPr="00B75401">
        <w:rPr>
          <w:rFonts w:ascii="Book Antiqua" w:eastAsia="Book Antiqua" w:hAnsi="Book Antiqua" w:cs="Book Antiqua"/>
          <w:i/>
          <w:iCs/>
          <w:color w:val="000000"/>
        </w:rPr>
        <w:t>Clostridium difficile</w:t>
      </w:r>
      <w:r w:rsidRPr="00B75401">
        <w:rPr>
          <w:rFonts w:ascii="Book Antiqua" w:eastAsia="Book Antiqua" w:hAnsi="Book Antiqua" w:cs="Book Antiqua"/>
          <w:color w:val="000000"/>
        </w:rPr>
        <w:t xml:space="preserve"> toxin, and cytomegalovirus tests were all negative. Because it was possible that these test results were false negative, antibiotics were administered, which did not improve the enteritis.</w:t>
      </w:r>
    </w:p>
    <w:p w14:paraId="48E42F83" w14:textId="3B300037"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The mechanisms by which CPA causes enteritis are not well defined. In the field of oncology, CPA is likely to be associated with gastrointestinal involvement and mucositis, which may be related to the gut microbiota</w:t>
      </w:r>
      <w:r w:rsidRPr="00B75401">
        <w:rPr>
          <w:rFonts w:ascii="Book Antiqua" w:eastAsia="Book Antiqua" w:hAnsi="Book Antiqua" w:cs="Book Antiqua"/>
          <w:color w:val="000000"/>
          <w:vertAlign w:val="superscript"/>
        </w:rPr>
        <w:t>[9]</w:t>
      </w:r>
      <w:r w:rsidRPr="00B75401">
        <w:rPr>
          <w:rFonts w:ascii="Book Antiqua" w:eastAsia="Book Antiqua" w:hAnsi="Book Antiqua" w:cs="Book Antiqua"/>
          <w:color w:val="000000"/>
        </w:rPr>
        <w:t xml:space="preserve">. In a mouse model, Viaud </w:t>
      </w:r>
      <w:r w:rsidRPr="00B75401">
        <w:rPr>
          <w:rFonts w:ascii="Book Antiqua" w:eastAsia="Book Antiqua" w:hAnsi="Book Antiqua" w:cs="Book Antiqua"/>
          <w:i/>
          <w:iCs/>
          <w:color w:val="000000"/>
        </w:rPr>
        <w:t>et al</w:t>
      </w:r>
      <w:r w:rsidR="00B8487C" w:rsidRPr="00B75401">
        <w:rPr>
          <w:rFonts w:ascii="Book Antiqua" w:eastAsia="Book Antiqua" w:hAnsi="Book Antiqua" w:cs="Book Antiqua"/>
          <w:color w:val="000000"/>
          <w:vertAlign w:val="superscript"/>
        </w:rPr>
        <w:t>[10]</w:t>
      </w:r>
      <w:r w:rsidRPr="00B75401">
        <w:rPr>
          <w:rFonts w:ascii="Book Antiqua" w:eastAsia="Book Antiqua" w:hAnsi="Book Antiqua" w:cs="Book Antiqua"/>
          <w:color w:val="000000"/>
        </w:rPr>
        <w:t xml:space="preserve"> reported that CPA altered the microbiota composition in the small intestine and induced the translocation of selected species of gram-positive bacteria into secondary lymphoid organs.</w:t>
      </w:r>
    </w:p>
    <w:p w14:paraId="74FF83B6" w14:textId="5E4A62BF"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We compared the clinical characteristics between the present case and the previous case. In the present case, symptoms appeared 38 d after the first intravenous CPA (500 mg/mo), whereas the previous case showed symptoms 2 wk after the start of oral CPA (100 mg/d). Therefore, the cumulative dose of CPA at the onset of symptoms was 1 g in the present case and 1.4 g in the previous case. Gastrointestinal lesions were distributed in the stomach, duodenum, small bowel, and colon in the present case, whereas they were limited to the small bowel and colon in the previous case. In the present case, CT showed massive wall thickening with prominent contrast enhancement in the mucosa. The outer layer showed edematous thickening. Upper gastrointestinal endoscopy showed edematous thickening of the stomach and diffusely distributed erosion throughout the descending duodenum. Colonoscopy showed generalized edema from the transverse colon to the rectum. The clinical imaging findings in the previous case were similar to the diffuse mural thickening on CT and denuded and erythematous mucosa on endoscopy in the present case.</w:t>
      </w:r>
    </w:p>
    <w:p w14:paraId="07CA2729" w14:textId="29EAF529" w:rsidR="00B8487C" w:rsidRPr="00B75401" w:rsidRDefault="004B3E4B" w:rsidP="00B75401">
      <w:pPr>
        <w:adjustRightInd w:val="0"/>
        <w:snapToGrid w:val="0"/>
        <w:spacing w:line="360" w:lineRule="auto"/>
        <w:ind w:firstLineChars="100" w:firstLine="240"/>
        <w:jc w:val="both"/>
        <w:rPr>
          <w:rFonts w:ascii="Book Antiqua" w:eastAsia="Book Antiqua" w:hAnsi="Book Antiqua" w:cs="Book Antiqua"/>
          <w:color w:val="000000"/>
        </w:rPr>
      </w:pPr>
      <w:r w:rsidRPr="00B75401">
        <w:rPr>
          <w:rFonts w:ascii="Book Antiqua" w:eastAsia="Book Antiqua" w:hAnsi="Book Antiqua" w:cs="Book Antiqua"/>
          <w:color w:val="000000"/>
        </w:rPr>
        <w:t xml:space="preserve">The difference from the previous report was that the present patient survived with intensive supportive therapy. In the previous case, CPA was continued for 1 mo with reduction to 50 mg/d after the complication of enteritis appeared, and then stopped. Therefore, the patient received 2.1 g CPA in total. In the present case, </w:t>
      </w:r>
      <w:r w:rsidRPr="00B75401">
        <w:rPr>
          <w:rFonts w:ascii="Book Antiqua" w:eastAsia="Book Antiqua" w:hAnsi="Book Antiqua" w:cs="Book Antiqua"/>
          <w:color w:val="000000"/>
        </w:rPr>
        <w:lastRenderedPageBreak/>
        <w:t>intravenous CPA was immediately stopped after the development of abdominal symptoms and the patient received 1 g CPA in total. Whether the cumulative dose of CPA influences the length of enteritis is uncertain, but the lower total CPA dose may be one of the reasons for the survival of the present patient. Nonetheless, this case confirmed that enteritis could develop not only with oral administration but also with intravenous injection of CPA.</w:t>
      </w:r>
    </w:p>
    <w:p w14:paraId="096CD621" w14:textId="1080D69C"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 xml:space="preserve">With respect to treatment, no specific therapy exists for CPA-induced enteritis. However, the associated tissue injury is severe and can last for months, resulting in the loss of serum proteins including albumin and gamma globulin. Therefore, aggressive supportive therapies including hyperalimentation, replenishment of albumin and gamma globulin, and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xml:space="preserve"> in severe cases are important. Because continuation of CPA is difficult in patients who experienced CPA-induced enteritis, rituximab or azathioprine can be the alternative treatment for GPA. </w:t>
      </w:r>
    </w:p>
    <w:p w14:paraId="2F5F70F4" w14:textId="77777777" w:rsidR="00A77B3E" w:rsidRPr="00B75401" w:rsidRDefault="00A77B3E" w:rsidP="00B75401">
      <w:pPr>
        <w:adjustRightInd w:val="0"/>
        <w:snapToGrid w:val="0"/>
        <w:spacing w:line="360" w:lineRule="auto"/>
        <w:jc w:val="both"/>
        <w:rPr>
          <w:rFonts w:ascii="Book Antiqua" w:hAnsi="Book Antiqua"/>
        </w:rPr>
      </w:pPr>
    </w:p>
    <w:p w14:paraId="7B7D069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CONCLUSION</w:t>
      </w:r>
    </w:p>
    <w:p w14:paraId="0673F4A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In conclusion, severe enteritis is a rare but life-threatening adverse effect of CPA. Immediate discontinuation of CPA and persistent supportive treatment are crucial for survival.</w:t>
      </w:r>
    </w:p>
    <w:p w14:paraId="297C8980" w14:textId="77777777" w:rsidR="00A77B3E" w:rsidRPr="00B75401" w:rsidRDefault="00A77B3E" w:rsidP="00B75401">
      <w:pPr>
        <w:adjustRightInd w:val="0"/>
        <w:snapToGrid w:val="0"/>
        <w:spacing w:line="360" w:lineRule="auto"/>
        <w:jc w:val="both"/>
        <w:rPr>
          <w:rFonts w:ascii="Book Antiqua" w:hAnsi="Book Antiqua"/>
        </w:rPr>
      </w:pPr>
    </w:p>
    <w:p w14:paraId="29B3B22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ACKNOWLEDGEMENTS</w:t>
      </w:r>
    </w:p>
    <w:p w14:paraId="6DC5E338" w14:textId="26AE2A5E" w:rsidR="00A77B3E" w:rsidRPr="00B75401" w:rsidRDefault="004B3E4B" w:rsidP="00B75401">
      <w:pPr>
        <w:adjustRightInd w:val="0"/>
        <w:snapToGrid w:val="0"/>
        <w:spacing w:line="360" w:lineRule="auto"/>
        <w:jc w:val="both"/>
        <w:rPr>
          <w:rFonts w:ascii="Book Antiqua" w:hAnsi="Book Antiqua"/>
        </w:rPr>
      </w:pPr>
      <w:bookmarkStart w:id="8" w:name="OLE_LINK11"/>
      <w:bookmarkStart w:id="9" w:name="OLE_LINK12"/>
      <w:r w:rsidRPr="00B75401">
        <w:rPr>
          <w:rFonts w:ascii="Book Antiqua" w:eastAsia="Book Antiqua" w:hAnsi="Book Antiqua" w:cs="Book Antiqua"/>
          <w:color w:val="000000"/>
        </w:rPr>
        <w:t xml:space="preserve">The authors thank the staff of the </w:t>
      </w:r>
      <w:r w:rsidR="00C009BA">
        <w:rPr>
          <w:rFonts w:ascii="Book Antiqua" w:eastAsia="Book Antiqua" w:hAnsi="Book Antiqua" w:cs="Book Antiqua"/>
          <w:color w:val="000000"/>
        </w:rPr>
        <w:t>d</w:t>
      </w:r>
      <w:r w:rsidRPr="00B75401">
        <w:rPr>
          <w:rFonts w:ascii="Book Antiqua" w:eastAsia="Book Antiqua" w:hAnsi="Book Antiqua" w:cs="Book Antiqua"/>
          <w:color w:val="000000"/>
        </w:rPr>
        <w:t xml:space="preserve">epartment of </w:t>
      </w:r>
      <w:r w:rsidR="00C009BA">
        <w:rPr>
          <w:rFonts w:ascii="Book Antiqua" w:eastAsia="Book Antiqua" w:hAnsi="Book Antiqua" w:cs="Book Antiqua"/>
          <w:color w:val="000000"/>
        </w:rPr>
        <w:t>h</w:t>
      </w:r>
      <w:r w:rsidRPr="00B75401">
        <w:rPr>
          <w:rFonts w:ascii="Book Antiqua" w:eastAsia="Book Antiqua" w:hAnsi="Book Antiqua" w:cs="Book Antiqua"/>
          <w:color w:val="000000"/>
        </w:rPr>
        <w:t xml:space="preserve">ematology </w:t>
      </w:r>
      <w:r w:rsidR="00B8487C" w:rsidRPr="00B75401">
        <w:rPr>
          <w:rFonts w:ascii="Book Antiqua" w:eastAsia="Book Antiqua" w:hAnsi="Book Antiqua" w:cs="Book Antiqua"/>
          <w:color w:val="000000"/>
        </w:rPr>
        <w:t>and</w:t>
      </w:r>
      <w:r w:rsidRPr="00B75401">
        <w:rPr>
          <w:rFonts w:ascii="Book Antiqua" w:eastAsia="Book Antiqua" w:hAnsi="Book Antiqua" w:cs="Book Antiqua"/>
          <w:color w:val="000000"/>
        </w:rPr>
        <w:t xml:space="preserve"> </w:t>
      </w:r>
      <w:r w:rsidR="00C009BA">
        <w:rPr>
          <w:rFonts w:ascii="Book Antiqua" w:eastAsia="Book Antiqua" w:hAnsi="Book Antiqua" w:cs="Book Antiqua"/>
          <w:color w:val="000000"/>
        </w:rPr>
        <w:t>r</w:t>
      </w:r>
      <w:r w:rsidRPr="00B75401">
        <w:rPr>
          <w:rFonts w:ascii="Book Antiqua" w:eastAsia="Book Antiqua" w:hAnsi="Book Antiqua" w:cs="Book Antiqua"/>
          <w:color w:val="000000"/>
        </w:rPr>
        <w:t>heumatology, Tohoku University, for helpful discussions.</w:t>
      </w:r>
    </w:p>
    <w:bookmarkEnd w:id="8"/>
    <w:bookmarkEnd w:id="9"/>
    <w:p w14:paraId="5BAADADF" w14:textId="77777777" w:rsidR="00A77B3E" w:rsidRPr="00B75401" w:rsidRDefault="00A77B3E" w:rsidP="00B75401">
      <w:pPr>
        <w:adjustRightInd w:val="0"/>
        <w:snapToGrid w:val="0"/>
        <w:spacing w:line="360" w:lineRule="auto"/>
        <w:jc w:val="both"/>
        <w:rPr>
          <w:rFonts w:ascii="Book Antiqua" w:hAnsi="Book Antiqua"/>
        </w:rPr>
      </w:pPr>
    </w:p>
    <w:p w14:paraId="449B7CD8"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REFERENCES</w:t>
      </w:r>
    </w:p>
    <w:p w14:paraId="1C115086" w14:textId="77777777" w:rsidR="00A77B3E" w:rsidRPr="00B75401" w:rsidRDefault="004B3E4B" w:rsidP="00B75401">
      <w:pPr>
        <w:adjustRightInd w:val="0"/>
        <w:snapToGrid w:val="0"/>
        <w:spacing w:line="360" w:lineRule="auto"/>
        <w:jc w:val="both"/>
        <w:rPr>
          <w:rFonts w:ascii="Book Antiqua" w:hAnsi="Book Antiqua"/>
        </w:rPr>
      </w:pPr>
      <w:bookmarkStart w:id="10" w:name="OLE_LINK13"/>
      <w:bookmarkStart w:id="11" w:name="OLE_LINK14"/>
      <w:r w:rsidRPr="00B75401">
        <w:rPr>
          <w:rFonts w:ascii="Book Antiqua" w:eastAsia="Book Antiqua" w:hAnsi="Book Antiqua" w:cs="Book Antiqua"/>
          <w:color w:val="000000"/>
        </w:rPr>
        <w:t xml:space="preserve">1 </w:t>
      </w:r>
      <w:r w:rsidRPr="00B75401">
        <w:rPr>
          <w:rFonts w:ascii="Book Antiqua" w:eastAsia="Book Antiqua" w:hAnsi="Book Antiqua" w:cs="Book Antiqua"/>
          <w:b/>
          <w:bCs/>
          <w:color w:val="000000"/>
        </w:rPr>
        <w:t>Guillevin L</w:t>
      </w:r>
      <w:r w:rsidRPr="00B75401">
        <w:rPr>
          <w:rFonts w:ascii="Book Antiqua" w:eastAsia="Book Antiqua" w:hAnsi="Book Antiqua" w:cs="Book Antiqua"/>
          <w:color w:val="000000"/>
        </w:rPr>
        <w:t xml:space="preserve">, Pagnoux C, Seror R, Mahr A, Mouthon L, Toumelin PL; French Vasculitis Study Group (FVSG). The Five-Factor Score revisited: assessment of prognoses of systemic necrotizing vasculitides based on the French Vasculitis Study Group (FVSG) cohort. </w:t>
      </w:r>
      <w:r w:rsidRPr="00B75401">
        <w:rPr>
          <w:rFonts w:ascii="Book Antiqua" w:eastAsia="Book Antiqua" w:hAnsi="Book Antiqua" w:cs="Book Antiqua"/>
          <w:i/>
          <w:iCs/>
          <w:color w:val="000000"/>
        </w:rPr>
        <w:t>Medicine (Baltimore)</w:t>
      </w:r>
      <w:r w:rsidRPr="00B75401">
        <w:rPr>
          <w:rFonts w:ascii="Book Antiqua" w:eastAsia="Book Antiqua" w:hAnsi="Book Antiqua" w:cs="Book Antiqua"/>
          <w:color w:val="000000"/>
        </w:rPr>
        <w:t xml:space="preserve"> 2011; </w:t>
      </w:r>
      <w:r w:rsidRPr="00B75401">
        <w:rPr>
          <w:rFonts w:ascii="Book Antiqua" w:eastAsia="Book Antiqua" w:hAnsi="Book Antiqua" w:cs="Book Antiqua"/>
          <w:b/>
          <w:bCs/>
          <w:color w:val="000000"/>
        </w:rPr>
        <w:t>90</w:t>
      </w:r>
      <w:r w:rsidRPr="00B75401">
        <w:rPr>
          <w:rFonts w:ascii="Book Antiqua" w:eastAsia="Book Antiqua" w:hAnsi="Book Antiqua" w:cs="Book Antiqua"/>
          <w:color w:val="000000"/>
        </w:rPr>
        <w:t>: 19-27 [</w:t>
      </w:r>
      <w:bookmarkStart w:id="12" w:name="OLE_LINK1"/>
      <w:bookmarkStart w:id="13" w:name="OLE_LINK2"/>
      <w:r w:rsidRPr="00B75401">
        <w:rPr>
          <w:rFonts w:ascii="Book Antiqua" w:eastAsia="Book Antiqua" w:hAnsi="Book Antiqua" w:cs="Book Antiqua"/>
          <w:color w:val="000000"/>
        </w:rPr>
        <w:t>PMID</w:t>
      </w:r>
      <w:bookmarkEnd w:id="12"/>
      <w:bookmarkEnd w:id="13"/>
      <w:r w:rsidRPr="00B75401">
        <w:rPr>
          <w:rFonts w:ascii="Book Antiqua" w:eastAsia="Book Antiqua" w:hAnsi="Book Antiqua" w:cs="Book Antiqua"/>
          <w:color w:val="000000"/>
        </w:rPr>
        <w:t>: 21200183 DOI: 10.1097/MD.0b013e318205a4c6]</w:t>
      </w:r>
    </w:p>
    <w:p w14:paraId="5F4AE74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lastRenderedPageBreak/>
        <w:t xml:space="preserve">2 </w:t>
      </w:r>
      <w:r w:rsidRPr="00B75401">
        <w:rPr>
          <w:rFonts w:ascii="Book Antiqua" w:eastAsia="Book Antiqua" w:hAnsi="Book Antiqua" w:cs="Book Antiqua"/>
          <w:b/>
          <w:bCs/>
          <w:color w:val="000000"/>
        </w:rPr>
        <w:t>de Jonge ME</w:t>
      </w:r>
      <w:r w:rsidRPr="00B75401">
        <w:rPr>
          <w:rFonts w:ascii="Book Antiqua" w:eastAsia="Book Antiqua" w:hAnsi="Book Antiqua" w:cs="Book Antiqua"/>
          <w:color w:val="000000"/>
        </w:rPr>
        <w:t xml:space="preserve">, Huitema AD, Rodenhuis S, Beijnen JH. Clinical pharmacokinetics of cyclophosphamide. </w:t>
      </w:r>
      <w:r w:rsidRPr="00B75401">
        <w:rPr>
          <w:rFonts w:ascii="Book Antiqua" w:eastAsia="Book Antiqua" w:hAnsi="Book Antiqua" w:cs="Book Antiqua"/>
          <w:i/>
          <w:iCs/>
          <w:color w:val="000000"/>
        </w:rPr>
        <w:t>Clin Pharmacokinet</w:t>
      </w:r>
      <w:r w:rsidRPr="00B75401">
        <w:rPr>
          <w:rFonts w:ascii="Book Antiqua" w:eastAsia="Book Antiqua" w:hAnsi="Book Antiqua" w:cs="Book Antiqua"/>
          <w:color w:val="000000"/>
        </w:rPr>
        <w:t xml:space="preserve"> 2005; </w:t>
      </w:r>
      <w:r w:rsidRPr="00B75401">
        <w:rPr>
          <w:rFonts w:ascii="Book Antiqua" w:eastAsia="Book Antiqua" w:hAnsi="Book Antiqua" w:cs="Book Antiqua"/>
          <w:b/>
          <w:bCs/>
          <w:color w:val="000000"/>
        </w:rPr>
        <w:t>44</w:t>
      </w:r>
      <w:r w:rsidRPr="00B75401">
        <w:rPr>
          <w:rFonts w:ascii="Book Antiqua" w:eastAsia="Book Antiqua" w:hAnsi="Book Antiqua" w:cs="Book Antiqua"/>
          <w:color w:val="000000"/>
        </w:rPr>
        <w:t>: 1135-1164 [PMID: 16231966 DOI: 10.2165/00003088-200544110-00003]</w:t>
      </w:r>
    </w:p>
    <w:p w14:paraId="5797EE1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3 </w:t>
      </w:r>
      <w:r w:rsidRPr="00B75401">
        <w:rPr>
          <w:rFonts w:ascii="Book Antiqua" w:eastAsia="Book Antiqua" w:hAnsi="Book Antiqua" w:cs="Book Antiqua"/>
          <w:b/>
          <w:bCs/>
          <w:color w:val="000000"/>
        </w:rPr>
        <w:t>Ahmed AR</w:t>
      </w:r>
      <w:r w:rsidRPr="00B75401">
        <w:rPr>
          <w:rFonts w:ascii="Book Antiqua" w:eastAsia="Book Antiqua" w:hAnsi="Book Antiqua" w:cs="Book Antiqua"/>
          <w:color w:val="000000"/>
        </w:rPr>
        <w:t xml:space="preserve">, Hombal SM. Cyclophosphamide (Cytoxan). A review on relevant pharmacology and clinical uses. </w:t>
      </w:r>
      <w:r w:rsidRPr="00B75401">
        <w:rPr>
          <w:rFonts w:ascii="Book Antiqua" w:eastAsia="Book Antiqua" w:hAnsi="Book Antiqua" w:cs="Book Antiqua"/>
          <w:i/>
          <w:iCs/>
          <w:color w:val="000000"/>
        </w:rPr>
        <w:t>J Am Acad Dermatol</w:t>
      </w:r>
      <w:r w:rsidRPr="00B75401">
        <w:rPr>
          <w:rFonts w:ascii="Book Antiqua" w:eastAsia="Book Antiqua" w:hAnsi="Book Antiqua" w:cs="Book Antiqua"/>
          <w:color w:val="000000"/>
        </w:rPr>
        <w:t xml:space="preserve"> 1984; </w:t>
      </w:r>
      <w:r w:rsidRPr="00B75401">
        <w:rPr>
          <w:rFonts w:ascii="Book Antiqua" w:eastAsia="Book Antiqua" w:hAnsi="Book Antiqua" w:cs="Book Antiqua"/>
          <w:b/>
          <w:bCs/>
          <w:color w:val="000000"/>
        </w:rPr>
        <w:t>11</w:t>
      </w:r>
      <w:r w:rsidRPr="00B75401">
        <w:rPr>
          <w:rFonts w:ascii="Book Antiqua" w:eastAsia="Book Antiqua" w:hAnsi="Book Antiqua" w:cs="Book Antiqua"/>
          <w:color w:val="000000"/>
        </w:rPr>
        <w:t>: 1115-1126 [PMID: 6392368 DOI: 10.1016/s0190-9622(84)80193-0]</w:t>
      </w:r>
    </w:p>
    <w:p w14:paraId="7A955A3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4 </w:t>
      </w:r>
      <w:r w:rsidRPr="00B75401">
        <w:rPr>
          <w:rFonts w:ascii="Book Antiqua" w:eastAsia="Book Antiqua" w:hAnsi="Book Antiqua" w:cs="Book Antiqua"/>
          <w:b/>
          <w:bCs/>
          <w:color w:val="000000"/>
        </w:rPr>
        <w:t>Yang LS</w:t>
      </w:r>
      <w:r w:rsidRPr="00B75401">
        <w:rPr>
          <w:rFonts w:ascii="Book Antiqua" w:eastAsia="Book Antiqua" w:hAnsi="Book Antiqua" w:cs="Book Antiqua"/>
          <w:color w:val="000000"/>
        </w:rPr>
        <w:t xml:space="preserve">, Cameron K, Papaluca T, Basnayake C, Jackett L, McKelvie P, Goodman D, Demediuk B, Bell SJ, Thompson AJ. Cyclophosphamide-associated enteritis: A rare association with severe enteritis. </w:t>
      </w:r>
      <w:r w:rsidRPr="00B75401">
        <w:rPr>
          <w:rFonts w:ascii="Book Antiqua" w:eastAsia="Book Antiqua" w:hAnsi="Book Antiqua" w:cs="Book Antiqua"/>
          <w:i/>
          <w:iCs/>
          <w:color w:val="000000"/>
        </w:rPr>
        <w:t>World J Gastroenterol</w:t>
      </w:r>
      <w:r w:rsidRPr="00B75401">
        <w:rPr>
          <w:rFonts w:ascii="Book Antiqua" w:eastAsia="Book Antiqua" w:hAnsi="Book Antiqua" w:cs="Book Antiqua"/>
          <w:color w:val="000000"/>
        </w:rPr>
        <w:t xml:space="preserve"> 2016; </w:t>
      </w:r>
      <w:r w:rsidRPr="00B75401">
        <w:rPr>
          <w:rFonts w:ascii="Book Antiqua" w:eastAsia="Book Antiqua" w:hAnsi="Book Antiqua" w:cs="Book Antiqua"/>
          <w:b/>
          <w:bCs/>
          <w:color w:val="000000"/>
        </w:rPr>
        <w:t>22</w:t>
      </w:r>
      <w:r w:rsidRPr="00B75401">
        <w:rPr>
          <w:rFonts w:ascii="Book Antiqua" w:eastAsia="Book Antiqua" w:hAnsi="Book Antiqua" w:cs="Book Antiqua"/>
          <w:color w:val="000000"/>
        </w:rPr>
        <w:t>: 8844-8848 [PMID: 27818600 DOI: 10.3748/wjg.v22.i39.8844]</w:t>
      </w:r>
    </w:p>
    <w:p w14:paraId="4EB1FD57"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5 </w:t>
      </w:r>
      <w:r w:rsidRPr="00B75401">
        <w:rPr>
          <w:rFonts w:ascii="Book Antiqua" w:eastAsia="Book Antiqua" w:hAnsi="Book Antiqua" w:cs="Book Antiqua"/>
          <w:b/>
          <w:bCs/>
          <w:color w:val="000000"/>
        </w:rPr>
        <w:t>Haworth SJ</w:t>
      </w:r>
      <w:r w:rsidRPr="00B75401">
        <w:rPr>
          <w:rFonts w:ascii="Book Antiqua" w:eastAsia="Book Antiqua" w:hAnsi="Book Antiqua" w:cs="Book Antiqua"/>
          <w:color w:val="000000"/>
        </w:rPr>
        <w:t xml:space="preserve">, Pusey CD. Severe intestinal involvement in Wegener's granulomatosis. </w:t>
      </w:r>
      <w:r w:rsidRPr="00B75401">
        <w:rPr>
          <w:rFonts w:ascii="Book Antiqua" w:eastAsia="Book Antiqua" w:hAnsi="Book Antiqua" w:cs="Book Antiqua"/>
          <w:i/>
          <w:iCs/>
          <w:color w:val="000000"/>
        </w:rPr>
        <w:t>Gut</w:t>
      </w:r>
      <w:r w:rsidRPr="00B75401">
        <w:rPr>
          <w:rFonts w:ascii="Book Antiqua" w:eastAsia="Book Antiqua" w:hAnsi="Book Antiqua" w:cs="Book Antiqua"/>
          <w:color w:val="000000"/>
        </w:rPr>
        <w:t xml:space="preserve"> 1984; </w:t>
      </w:r>
      <w:r w:rsidRPr="00B75401">
        <w:rPr>
          <w:rFonts w:ascii="Book Antiqua" w:eastAsia="Book Antiqua" w:hAnsi="Book Antiqua" w:cs="Book Antiqua"/>
          <w:b/>
          <w:bCs/>
          <w:color w:val="000000"/>
        </w:rPr>
        <w:t>25</w:t>
      </w:r>
      <w:r w:rsidRPr="00B75401">
        <w:rPr>
          <w:rFonts w:ascii="Book Antiqua" w:eastAsia="Book Antiqua" w:hAnsi="Book Antiqua" w:cs="Book Antiqua"/>
          <w:color w:val="000000"/>
        </w:rPr>
        <w:t>: 1296-1300 [PMID: 6500368 DOI: 10.1136/gut.25.11.1296]</w:t>
      </w:r>
    </w:p>
    <w:p w14:paraId="1D50D00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6 </w:t>
      </w:r>
      <w:r w:rsidRPr="00B75401">
        <w:rPr>
          <w:rFonts w:ascii="Book Antiqua" w:eastAsia="Book Antiqua" w:hAnsi="Book Antiqua" w:cs="Book Antiqua"/>
          <w:b/>
          <w:bCs/>
          <w:color w:val="000000"/>
        </w:rPr>
        <w:t>Eriksson P</w:t>
      </w:r>
      <w:r w:rsidRPr="00B75401">
        <w:rPr>
          <w:rFonts w:ascii="Book Antiqua" w:eastAsia="Book Antiqua" w:hAnsi="Book Antiqua" w:cs="Book Antiqua"/>
          <w:color w:val="000000"/>
        </w:rPr>
        <w:t xml:space="preserve">, Segelmark M, Hallböök O. Frequency, Diagnosis, Treatment, and Outcome of Gastrointestinal Disease in Granulomatosis with Polyangiitis and Microscopic Polyangiitis. </w:t>
      </w:r>
      <w:r w:rsidRPr="00B75401">
        <w:rPr>
          <w:rFonts w:ascii="Book Antiqua" w:eastAsia="Book Antiqua" w:hAnsi="Book Antiqua" w:cs="Book Antiqua"/>
          <w:i/>
          <w:iCs/>
          <w:color w:val="000000"/>
        </w:rPr>
        <w:t>J Rheumatol</w:t>
      </w:r>
      <w:r w:rsidRPr="00B75401">
        <w:rPr>
          <w:rFonts w:ascii="Book Antiqua" w:eastAsia="Book Antiqua" w:hAnsi="Book Antiqua" w:cs="Book Antiqua"/>
          <w:color w:val="000000"/>
        </w:rPr>
        <w:t xml:space="preserve"> 2018; </w:t>
      </w:r>
      <w:r w:rsidRPr="00B75401">
        <w:rPr>
          <w:rFonts w:ascii="Book Antiqua" w:eastAsia="Book Antiqua" w:hAnsi="Book Antiqua" w:cs="Book Antiqua"/>
          <w:b/>
          <w:bCs/>
          <w:color w:val="000000"/>
        </w:rPr>
        <w:t>45</w:t>
      </w:r>
      <w:r w:rsidRPr="00B75401">
        <w:rPr>
          <w:rFonts w:ascii="Book Antiqua" w:eastAsia="Book Antiqua" w:hAnsi="Book Antiqua" w:cs="Book Antiqua"/>
          <w:color w:val="000000"/>
        </w:rPr>
        <w:t>: 529-537 [PMID: 29419474 DOI: 10.3899/jrheum.170249]</w:t>
      </w:r>
    </w:p>
    <w:p w14:paraId="4049FCE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7 </w:t>
      </w:r>
      <w:r w:rsidRPr="00B75401">
        <w:rPr>
          <w:rFonts w:ascii="Book Antiqua" w:eastAsia="Book Antiqua" w:hAnsi="Book Antiqua" w:cs="Book Antiqua"/>
          <w:b/>
          <w:bCs/>
          <w:color w:val="000000"/>
        </w:rPr>
        <w:t>Chow FY</w:t>
      </w:r>
      <w:r w:rsidRPr="00B75401">
        <w:rPr>
          <w:rFonts w:ascii="Book Antiqua" w:eastAsia="Book Antiqua" w:hAnsi="Book Antiqua" w:cs="Book Antiqua"/>
          <w:color w:val="000000"/>
        </w:rPr>
        <w:t xml:space="preserve">, Hooke D, Kerr PG. Severe intestinal involvement in Wegener's granulomatosis. </w:t>
      </w:r>
      <w:r w:rsidRPr="00B75401">
        <w:rPr>
          <w:rFonts w:ascii="Book Antiqua" w:eastAsia="Book Antiqua" w:hAnsi="Book Antiqua" w:cs="Book Antiqua"/>
          <w:i/>
          <w:iCs/>
          <w:color w:val="000000"/>
        </w:rPr>
        <w:t>J Gastroenterol Hepatol</w:t>
      </w:r>
      <w:r w:rsidRPr="00B75401">
        <w:rPr>
          <w:rFonts w:ascii="Book Antiqua" w:eastAsia="Book Antiqua" w:hAnsi="Book Antiqua" w:cs="Book Antiqua"/>
          <w:color w:val="000000"/>
        </w:rPr>
        <w:t xml:space="preserve"> 2003; </w:t>
      </w:r>
      <w:r w:rsidRPr="00B75401">
        <w:rPr>
          <w:rFonts w:ascii="Book Antiqua" w:eastAsia="Book Antiqua" w:hAnsi="Book Antiqua" w:cs="Book Antiqua"/>
          <w:b/>
          <w:bCs/>
          <w:color w:val="000000"/>
        </w:rPr>
        <w:t>18</w:t>
      </w:r>
      <w:r w:rsidRPr="00B75401">
        <w:rPr>
          <w:rFonts w:ascii="Book Antiqua" w:eastAsia="Book Antiqua" w:hAnsi="Book Antiqua" w:cs="Book Antiqua"/>
          <w:color w:val="000000"/>
        </w:rPr>
        <w:t>: 749-750 [PMID: 12753164 DOI: 10.1046/j.1440-1746.2003.30472.x]</w:t>
      </w:r>
    </w:p>
    <w:p w14:paraId="7177172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8 </w:t>
      </w:r>
      <w:r w:rsidRPr="00B75401">
        <w:rPr>
          <w:rFonts w:ascii="Book Antiqua" w:eastAsia="Book Antiqua" w:hAnsi="Book Antiqua" w:cs="Book Antiqua"/>
          <w:b/>
          <w:bCs/>
          <w:color w:val="000000"/>
        </w:rPr>
        <w:t>Müller-Ladner U</w:t>
      </w:r>
      <w:r w:rsidRPr="00B75401">
        <w:rPr>
          <w:rFonts w:ascii="Book Antiqua" w:eastAsia="Book Antiqua" w:hAnsi="Book Antiqua" w:cs="Book Antiqua"/>
          <w:color w:val="000000"/>
        </w:rPr>
        <w:t xml:space="preserve">. Vasculitides of the gastrointestinal tract. </w:t>
      </w:r>
      <w:r w:rsidRPr="00B75401">
        <w:rPr>
          <w:rFonts w:ascii="Book Antiqua" w:eastAsia="Book Antiqua" w:hAnsi="Book Antiqua" w:cs="Book Antiqua"/>
          <w:i/>
          <w:iCs/>
          <w:color w:val="000000"/>
        </w:rPr>
        <w:t>Best Pract Res Clin Gastroenterol</w:t>
      </w:r>
      <w:r w:rsidRPr="00B75401">
        <w:rPr>
          <w:rFonts w:ascii="Book Antiqua" w:eastAsia="Book Antiqua" w:hAnsi="Book Antiqua" w:cs="Book Antiqua"/>
          <w:color w:val="000000"/>
        </w:rPr>
        <w:t xml:space="preserve"> 2001; </w:t>
      </w:r>
      <w:r w:rsidRPr="00B75401">
        <w:rPr>
          <w:rFonts w:ascii="Book Antiqua" w:eastAsia="Book Antiqua" w:hAnsi="Book Antiqua" w:cs="Book Antiqua"/>
          <w:b/>
          <w:bCs/>
          <w:color w:val="000000"/>
        </w:rPr>
        <w:t>15</w:t>
      </w:r>
      <w:r w:rsidRPr="00B75401">
        <w:rPr>
          <w:rFonts w:ascii="Book Antiqua" w:eastAsia="Book Antiqua" w:hAnsi="Book Antiqua" w:cs="Book Antiqua"/>
          <w:color w:val="000000"/>
        </w:rPr>
        <w:t>: 59-82 [PMID: 11355901 DOI: 10.1053/bega.2000.0156]</w:t>
      </w:r>
    </w:p>
    <w:p w14:paraId="00BF5390" w14:textId="2ABAFA9E"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9 </w:t>
      </w:r>
      <w:r w:rsidRPr="00B75401">
        <w:rPr>
          <w:rFonts w:ascii="Book Antiqua" w:eastAsia="Book Antiqua" w:hAnsi="Book Antiqua" w:cs="Book Antiqua"/>
          <w:b/>
          <w:bCs/>
          <w:color w:val="000000"/>
        </w:rPr>
        <w:t>Liu T</w:t>
      </w:r>
      <w:r w:rsidRPr="00B75401">
        <w:rPr>
          <w:rFonts w:ascii="Book Antiqua" w:eastAsia="Book Antiqua" w:hAnsi="Book Antiqua" w:cs="Book Antiqua"/>
          <w:color w:val="000000"/>
        </w:rPr>
        <w:t xml:space="preserve">, Wu Y, Wang L, Pang X, Zhao L, Yuan H, Zhang C. </w:t>
      </w:r>
      <w:bookmarkStart w:id="14" w:name="OLE_LINK3"/>
      <w:bookmarkStart w:id="15" w:name="OLE_LINK4"/>
      <w:r w:rsidRPr="00B75401">
        <w:rPr>
          <w:rFonts w:ascii="Book Antiqua" w:eastAsia="Book Antiqua" w:hAnsi="Book Antiqua" w:cs="Book Antiqua"/>
          <w:color w:val="000000"/>
        </w:rPr>
        <w:t>A More Robust Gut Microbiota in Calorie-Restricted Mice Is Associated with Attenuated Intestinal Injury Caused by the Chemotherapy Drug Cyclophosphamide.</w:t>
      </w:r>
      <w:bookmarkEnd w:id="14"/>
      <w:bookmarkEnd w:id="15"/>
      <w:r w:rsidRPr="00B75401">
        <w:rPr>
          <w:rFonts w:ascii="Book Antiqua" w:eastAsia="Book Antiqua" w:hAnsi="Book Antiqua" w:cs="Book Antiqua"/>
          <w:color w:val="000000"/>
        </w:rPr>
        <w:t xml:space="preserve"> </w:t>
      </w:r>
      <w:r w:rsidRPr="00B75401">
        <w:rPr>
          <w:rFonts w:ascii="Book Antiqua" w:eastAsia="Book Antiqua" w:hAnsi="Book Antiqua" w:cs="Book Antiqua"/>
          <w:i/>
          <w:iCs/>
          <w:color w:val="000000"/>
        </w:rPr>
        <w:t>mBio</w:t>
      </w:r>
      <w:r w:rsidRPr="00B75401">
        <w:rPr>
          <w:rFonts w:ascii="Book Antiqua" w:eastAsia="Book Antiqua" w:hAnsi="Book Antiqua" w:cs="Book Antiqua"/>
          <w:color w:val="000000"/>
        </w:rPr>
        <w:t xml:space="preserve"> 2019; </w:t>
      </w:r>
      <w:r w:rsidRPr="00B75401">
        <w:rPr>
          <w:rFonts w:ascii="Book Antiqua" w:eastAsia="Book Antiqua" w:hAnsi="Book Antiqua" w:cs="Book Antiqua"/>
          <w:b/>
          <w:bCs/>
          <w:color w:val="000000"/>
        </w:rPr>
        <w:t>10</w:t>
      </w:r>
      <w:r w:rsidR="00B8487C" w:rsidRPr="00B75401">
        <w:rPr>
          <w:rFonts w:ascii="Book Antiqua" w:eastAsia="Book Antiqua" w:hAnsi="Book Antiqua" w:cs="Book Antiqua"/>
          <w:color w:val="000000"/>
        </w:rPr>
        <w:t>: e02903-18</w:t>
      </w:r>
      <w:r w:rsidRPr="00B75401">
        <w:rPr>
          <w:rFonts w:ascii="Book Antiqua" w:eastAsia="Book Antiqua" w:hAnsi="Book Antiqua" w:cs="Book Antiqua"/>
          <w:color w:val="000000"/>
        </w:rPr>
        <w:t xml:space="preserve"> [PMID: 30862756 DOI: 10.1128/mBio.02903-18]</w:t>
      </w:r>
    </w:p>
    <w:p w14:paraId="46F5777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10 </w:t>
      </w:r>
      <w:r w:rsidRPr="00B75401">
        <w:rPr>
          <w:rFonts w:ascii="Book Antiqua" w:eastAsia="Book Antiqua" w:hAnsi="Book Antiqua" w:cs="Book Antiqua"/>
          <w:b/>
          <w:bCs/>
          <w:color w:val="000000"/>
        </w:rPr>
        <w:t>Viaud S</w:t>
      </w:r>
      <w:r w:rsidRPr="00B75401">
        <w:rPr>
          <w:rFonts w:ascii="Book Antiqua" w:eastAsia="Book Antiqua" w:hAnsi="Book Antiqua" w:cs="Book Antiqua"/>
          <w:color w:val="000000"/>
        </w:rPr>
        <w:t>, Saccheri F, Mignot G, Yamazaki T, Daillère R, Hannani D, Enot DP, Pfirschke C, Engblom C, Pittet MJ, Schlitzer A, Ginhoux F, Apetoh L, Chachaty E, Woerther PL, Eberl G, Bérard M, Ecobichon C, Clermont D, Bizet C, Gaboriau-</w:t>
      </w:r>
      <w:r w:rsidRPr="00B75401">
        <w:rPr>
          <w:rFonts w:ascii="Book Antiqua" w:eastAsia="Book Antiqua" w:hAnsi="Book Antiqua" w:cs="Book Antiqua"/>
          <w:color w:val="000000"/>
        </w:rPr>
        <w:lastRenderedPageBreak/>
        <w:t xml:space="preserve">Routhiau V, Cerf-Bensussan N, Opolon P, Yessaad N, Vivier E, Ryffel B, Elson CO, Doré J, Kroemer G, Lepage P, Boneca IG, Ghiringhelli F, Zitvogel L. The intestinal microbiota modulates the anticancer immune effects of cyclophosphamide. </w:t>
      </w:r>
      <w:r w:rsidRPr="00B75401">
        <w:rPr>
          <w:rFonts w:ascii="Book Antiqua" w:eastAsia="Book Antiqua" w:hAnsi="Book Antiqua" w:cs="Book Antiqua"/>
          <w:i/>
          <w:iCs/>
          <w:color w:val="000000"/>
        </w:rPr>
        <w:t>Science</w:t>
      </w:r>
      <w:r w:rsidRPr="00B75401">
        <w:rPr>
          <w:rFonts w:ascii="Book Antiqua" w:eastAsia="Book Antiqua" w:hAnsi="Book Antiqua" w:cs="Book Antiqua"/>
          <w:color w:val="000000"/>
        </w:rPr>
        <w:t xml:space="preserve"> 2013; </w:t>
      </w:r>
      <w:r w:rsidRPr="00B75401">
        <w:rPr>
          <w:rFonts w:ascii="Book Antiqua" w:eastAsia="Book Antiqua" w:hAnsi="Book Antiqua" w:cs="Book Antiqua"/>
          <w:b/>
          <w:bCs/>
          <w:color w:val="000000"/>
        </w:rPr>
        <w:t>342</w:t>
      </w:r>
      <w:r w:rsidRPr="00B75401">
        <w:rPr>
          <w:rFonts w:ascii="Book Antiqua" w:eastAsia="Book Antiqua" w:hAnsi="Book Antiqua" w:cs="Book Antiqua"/>
          <w:color w:val="000000"/>
        </w:rPr>
        <w:t>: 971-976 [PMID: 24264990 DOI: 10.1126/science.1240537]</w:t>
      </w:r>
    </w:p>
    <w:bookmarkEnd w:id="10"/>
    <w:bookmarkEnd w:id="11"/>
    <w:p w14:paraId="51F57E0E" w14:textId="77777777" w:rsidR="00A77B3E" w:rsidRPr="00B75401" w:rsidRDefault="00A77B3E" w:rsidP="00B75401">
      <w:pPr>
        <w:adjustRightInd w:val="0"/>
        <w:snapToGrid w:val="0"/>
        <w:spacing w:line="360" w:lineRule="auto"/>
        <w:jc w:val="both"/>
        <w:rPr>
          <w:rFonts w:ascii="Book Antiqua" w:hAnsi="Book Antiqua"/>
        </w:rPr>
        <w:sectPr w:rsidR="00A77B3E" w:rsidRPr="00B75401" w:rsidSect="006C48D2">
          <w:type w:val="continuous"/>
          <w:pgSz w:w="12240" w:h="15840"/>
          <w:pgMar w:top="1440" w:right="1800" w:bottom="1440" w:left="1800" w:header="720" w:footer="720" w:gutter="0"/>
          <w:cols w:space="720"/>
          <w:docGrid w:linePitch="360"/>
        </w:sectPr>
      </w:pPr>
    </w:p>
    <w:p w14:paraId="04F6153A" w14:textId="77777777" w:rsidR="006C48D2" w:rsidRDefault="006C48D2">
      <w:pPr>
        <w:rPr>
          <w:rFonts w:ascii="Book Antiqua" w:eastAsia="Book Antiqua" w:hAnsi="Book Antiqua" w:cs="Book Antiqua"/>
          <w:b/>
          <w:color w:val="000000"/>
        </w:rPr>
      </w:pPr>
      <w:r>
        <w:rPr>
          <w:rFonts w:ascii="Book Antiqua" w:eastAsia="Book Antiqua" w:hAnsi="Book Antiqua" w:cs="Book Antiqua"/>
          <w:b/>
          <w:color w:val="000000"/>
        </w:rPr>
        <w:br w:type="page"/>
      </w:r>
    </w:p>
    <w:p w14:paraId="51F1B241" w14:textId="55BB13DE"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lastRenderedPageBreak/>
        <w:t>Footnotes</w:t>
      </w:r>
    </w:p>
    <w:p w14:paraId="40505948"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Informed consent statement: </w:t>
      </w:r>
      <w:bookmarkStart w:id="16" w:name="OLE_LINK22"/>
      <w:bookmarkStart w:id="17" w:name="OLE_LINK23"/>
      <w:r w:rsidRPr="00B75401">
        <w:rPr>
          <w:rFonts w:ascii="Book Antiqua" w:eastAsia="Book Antiqua" w:hAnsi="Book Antiqua" w:cs="Book Antiqua"/>
          <w:color w:val="000000"/>
        </w:rPr>
        <w:t>Written informed consent for the publication of this case report was obtained from the patient.</w:t>
      </w:r>
    </w:p>
    <w:bookmarkEnd w:id="16"/>
    <w:bookmarkEnd w:id="17"/>
    <w:p w14:paraId="657DE7AF" w14:textId="77777777" w:rsidR="00A77B3E" w:rsidRPr="00B75401" w:rsidRDefault="00A77B3E" w:rsidP="00B75401">
      <w:pPr>
        <w:adjustRightInd w:val="0"/>
        <w:snapToGrid w:val="0"/>
        <w:spacing w:line="360" w:lineRule="auto"/>
        <w:jc w:val="both"/>
        <w:rPr>
          <w:rFonts w:ascii="Book Antiqua" w:hAnsi="Book Antiqua"/>
        </w:rPr>
      </w:pPr>
    </w:p>
    <w:p w14:paraId="2A2E1E2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Conflict-of-interest statement: </w:t>
      </w:r>
      <w:bookmarkStart w:id="18" w:name="OLE_LINK24"/>
      <w:bookmarkStart w:id="19" w:name="OLE_LINK25"/>
      <w:r w:rsidRPr="00B75401">
        <w:rPr>
          <w:rFonts w:ascii="Book Antiqua" w:eastAsia="Book Antiqua" w:hAnsi="Book Antiqua" w:cs="Book Antiqua"/>
          <w:color w:val="000000"/>
        </w:rPr>
        <w:t>The authors declare that they have no conflict of interest.</w:t>
      </w:r>
    </w:p>
    <w:bookmarkEnd w:id="18"/>
    <w:bookmarkEnd w:id="19"/>
    <w:p w14:paraId="4648C358" w14:textId="77777777" w:rsidR="00A77B3E" w:rsidRPr="00B75401" w:rsidRDefault="00A77B3E" w:rsidP="00B75401">
      <w:pPr>
        <w:adjustRightInd w:val="0"/>
        <w:snapToGrid w:val="0"/>
        <w:spacing w:line="360" w:lineRule="auto"/>
        <w:jc w:val="both"/>
        <w:rPr>
          <w:rFonts w:ascii="Book Antiqua" w:hAnsi="Book Antiqua"/>
        </w:rPr>
      </w:pPr>
    </w:p>
    <w:p w14:paraId="707AF1B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CARE Checklist (2016) statement: </w:t>
      </w:r>
      <w:bookmarkStart w:id="20" w:name="OLE_LINK26"/>
      <w:bookmarkStart w:id="21" w:name="OLE_LINK27"/>
      <w:r w:rsidRPr="00B75401">
        <w:rPr>
          <w:rFonts w:ascii="Book Antiqua" w:eastAsia="Book Antiqua" w:hAnsi="Book Antiqua" w:cs="Book Antiqua"/>
          <w:color w:val="000000"/>
        </w:rPr>
        <w:t>The authors have read the CARE Checklist (2016), and the manuscript was prepared and revised according to the CARE Checklist (2016).</w:t>
      </w:r>
    </w:p>
    <w:bookmarkEnd w:id="20"/>
    <w:bookmarkEnd w:id="21"/>
    <w:p w14:paraId="3798D9A5" w14:textId="77777777" w:rsidR="00A77B3E" w:rsidRPr="00B75401" w:rsidRDefault="00A77B3E" w:rsidP="00B75401">
      <w:pPr>
        <w:adjustRightInd w:val="0"/>
        <w:snapToGrid w:val="0"/>
        <w:spacing w:line="360" w:lineRule="auto"/>
        <w:jc w:val="both"/>
        <w:rPr>
          <w:rFonts w:ascii="Book Antiqua" w:hAnsi="Book Antiqua"/>
        </w:rPr>
      </w:pPr>
    </w:p>
    <w:p w14:paraId="7DE25DB0"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Open-Access: </w:t>
      </w:r>
      <w:r w:rsidRPr="00B754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312577" w14:textId="77777777" w:rsidR="00A77B3E" w:rsidRPr="00B75401" w:rsidRDefault="00A77B3E" w:rsidP="00B75401">
      <w:pPr>
        <w:adjustRightInd w:val="0"/>
        <w:snapToGrid w:val="0"/>
        <w:spacing w:line="360" w:lineRule="auto"/>
        <w:jc w:val="both"/>
        <w:rPr>
          <w:rFonts w:ascii="Book Antiqua" w:hAnsi="Book Antiqua"/>
        </w:rPr>
      </w:pPr>
    </w:p>
    <w:p w14:paraId="2877423D" w14:textId="6B4621F8" w:rsidR="00A77B3E" w:rsidRDefault="004B3E4B" w:rsidP="00B75401">
      <w:pPr>
        <w:adjustRightInd w:val="0"/>
        <w:snapToGrid w:val="0"/>
        <w:spacing w:line="360" w:lineRule="auto"/>
        <w:jc w:val="both"/>
        <w:rPr>
          <w:rFonts w:ascii="Book Antiqua" w:eastAsia="Book Antiqua" w:hAnsi="Book Antiqua" w:cs="Book Antiqua"/>
          <w:color w:val="000000"/>
        </w:rPr>
      </w:pPr>
      <w:r w:rsidRPr="00B75401">
        <w:rPr>
          <w:rFonts w:ascii="Book Antiqua" w:eastAsia="Book Antiqua" w:hAnsi="Book Antiqua" w:cs="Book Antiqua"/>
          <w:b/>
          <w:color w:val="000000"/>
        </w:rPr>
        <w:t xml:space="preserve">Manuscript source: </w:t>
      </w:r>
      <w:r w:rsidRPr="00B75401">
        <w:rPr>
          <w:rFonts w:ascii="Book Antiqua" w:eastAsia="Book Antiqua" w:hAnsi="Book Antiqua" w:cs="Book Antiqua"/>
          <w:color w:val="000000"/>
        </w:rPr>
        <w:t xml:space="preserve">Unsolicited </w:t>
      </w:r>
      <w:r w:rsidR="006C48D2" w:rsidRPr="00B75401">
        <w:rPr>
          <w:rFonts w:ascii="Book Antiqua" w:eastAsia="Book Antiqua" w:hAnsi="Book Antiqua" w:cs="Book Antiqua"/>
          <w:color w:val="000000"/>
        </w:rPr>
        <w:t>manuscript</w:t>
      </w:r>
    </w:p>
    <w:p w14:paraId="42E78305" w14:textId="77777777" w:rsidR="00A77B3E" w:rsidRPr="00B75401" w:rsidRDefault="00A77B3E" w:rsidP="00B75401">
      <w:pPr>
        <w:adjustRightInd w:val="0"/>
        <w:snapToGrid w:val="0"/>
        <w:spacing w:line="360" w:lineRule="auto"/>
        <w:jc w:val="both"/>
        <w:rPr>
          <w:rFonts w:ascii="Book Antiqua" w:hAnsi="Book Antiqua"/>
        </w:rPr>
      </w:pPr>
    </w:p>
    <w:p w14:paraId="469A324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Peer-review started: </w:t>
      </w:r>
      <w:r w:rsidRPr="00B75401">
        <w:rPr>
          <w:rFonts w:ascii="Book Antiqua" w:eastAsia="Book Antiqua" w:hAnsi="Book Antiqua" w:cs="Book Antiqua"/>
          <w:color w:val="000000"/>
        </w:rPr>
        <w:t>January 25, 2021</w:t>
      </w:r>
    </w:p>
    <w:p w14:paraId="2488C2D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First decision: </w:t>
      </w:r>
      <w:r w:rsidRPr="00B75401">
        <w:rPr>
          <w:rFonts w:ascii="Book Antiqua" w:eastAsia="Book Antiqua" w:hAnsi="Book Antiqua" w:cs="Book Antiqua"/>
          <w:color w:val="000000"/>
        </w:rPr>
        <w:t>February 27, 2021</w:t>
      </w:r>
    </w:p>
    <w:p w14:paraId="2DA85AAC"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Article in press: </w:t>
      </w:r>
    </w:p>
    <w:p w14:paraId="2EAB4FC7" w14:textId="77777777" w:rsidR="00A77B3E" w:rsidRPr="00B75401" w:rsidRDefault="00A77B3E" w:rsidP="00B75401">
      <w:pPr>
        <w:adjustRightInd w:val="0"/>
        <w:snapToGrid w:val="0"/>
        <w:spacing w:line="360" w:lineRule="auto"/>
        <w:jc w:val="both"/>
        <w:rPr>
          <w:rFonts w:ascii="Book Antiqua" w:hAnsi="Book Antiqua"/>
        </w:rPr>
      </w:pPr>
    </w:p>
    <w:p w14:paraId="7D205038" w14:textId="52BE547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Specialty type: </w:t>
      </w:r>
      <w:r w:rsidRPr="00B75401">
        <w:rPr>
          <w:rFonts w:ascii="Book Antiqua" w:eastAsia="Book Antiqua" w:hAnsi="Book Antiqua" w:cs="Book Antiqua"/>
          <w:color w:val="000000"/>
        </w:rPr>
        <w:t xml:space="preserve">Gastroenterology and </w:t>
      </w:r>
      <w:r w:rsidR="006C48D2" w:rsidRPr="00B75401">
        <w:rPr>
          <w:rFonts w:ascii="Book Antiqua" w:eastAsia="Book Antiqua" w:hAnsi="Book Antiqua" w:cs="Book Antiqua"/>
          <w:color w:val="000000"/>
        </w:rPr>
        <w:t>hepatology</w:t>
      </w:r>
    </w:p>
    <w:p w14:paraId="5BB266C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Country/Territory of origin: </w:t>
      </w:r>
      <w:r w:rsidRPr="00B75401">
        <w:rPr>
          <w:rFonts w:ascii="Book Antiqua" w:eastAsia="Book Antiqua" w:hAnsi="Book Antiqua" w:cs="Book Antiqua"/>
          <w:color w:val="000000"/>
        </w:rPr>
        <w:t>Japan</w:t>
      </w:r>
    </w:p>
    <w:p w14:paraId="661D0866"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Peer-review report’s scientific quality classification</w:t>
      </w:r>
    </w:p>
    <w:p w14:paraId="02D82EC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A (Excellent): A</w:t>
      </w:r>
    </w:p>
    <w:p w14:paraId="3A87A6EB" w14:textId="0DC6AFCC" w:rsidR="00A77B3E" w:rsidRPr="006C48D2" w:rsidRDefault="004B3E4B" w:rsidP="00B75401">
      <w:pPr>
        <w:adjustRightInd w:val="0"/>
        <w:snapToGrid w:val="0"/>
        <w:spacing w:line="360" w:lineRule="auto"/>
        <w:jc w:val="both"/>
        <w:rPr>
          <w:rFonts w:ascii="Book Antiqua" w:hAnsi="Book Antiqua"/>
          <w:lang w:eastAsia="zh-CN"/>
        </w:rPr>
      </w:pPr>
      <w:r w:rsidRPr="00B75401">
        <w:rPr>
          <w:rFonts w:ascii="Book Antiqua" w:eastAsia="Book Antiqua" w:hAnsi="Book Antiqua" w:cs="Book Antiqua"/>
          <w:color w:val="000000"/>
        </w:rPr>
        <w:lastRenderedPageBreak/>
        <w:t xml:space="preserve">Grade B (Very good): </w:t>
      </w:r>
      <w:r w:rsidRPr="006C48D2">
        <w:rPr>
          <w:rFonts w:ascii="Book Antiqua" w:eastAsia="Book Antiqua" w:hAnsi="Book Antiqua" w:cs="Book Antiqua"/>
          <w:color w:val="000000"/>
        </w:rPr>
        <w:t>B</w:t>
      </w:r>
      <w:r w:rsidR="006C48D2" w:rsidRPr="006C48D2">
        <w:rPr>
          <w:rFonts w:ascii="Book Antiqua" w:hAnsi="Book Antiqua" w:cs="Book Antiqua"/>
          <w:color w:val="000000"/>
          <w:lang w:eastAsia="zh-CN"/>
        </w:rPr>
        <w:t>,</w:t>
      </w:r>
      <w:r w:rsidR="006C48D2">
        <w:rPr>
          <w:rFonts w:ascii="Book Antiqua" w:hAnsi="Book Antiqua" w:cs="Book Antiqua"/>
          <w:color w:val="000000"/>
          <w:lang w:eastAsia="zh-CN"/>
        </w:rPr>
        <w:t xml:space="preserve"> </w:t>
      </w:r>
      <w:r w:rsidR="006C48D2" w:rsidRPr="006C48D2">
        <w:rPr>
          <w:rFonts w:ascii="Book Antiqua" w:hAnsi="Book Antiqua" w:cs="Book Antiqua"/>
          <w:color w:val="000000"/>
          <w:lang w:eastAsia="zh-CN"/>
        </w:rPr>
        <w:t>B</w:t>
      </w:r>
    </w:p>
    <w:p w14:paraId="011B4D4F" w14:textId="17E06440"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C (Good): C</w:t>
      </w:r>
      <w:r w:rsidR="006C48D2">
        <w:rPr>
          <w:rFonts w:ascii="Book Antiqua" w:eastAsia="Book Antiqua" w:hAnsi="Book Antiqua" w:cs="Book Antiqua"/>
          <w:color w:val="000000"/>
        </w:rPr>
        <w:t>, C</w:t>
      </w:r>
    </w:p>
    <w:p w14:paraId="0F71823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D (Fair): 0</w:t>
      </w:r>
    </w:p>
    <w:p w14:paraId="109CC8B5"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E (Poor): 0</w:t>
      </w:r>
    </w:p>
    <w:p w14:paraId="69CC6F20" w14:textId="77777777" w:rsidR="00A77B3E" w:rsidRPr="00B75401" w:rsidRDefault="00A77B3E" w:rsidP="00B75401">
      <w:pPr>
        <w:adjustRightInd w:val="0"/>
        <w:snapToGrid w:val="0"/>
        <w:spacing w:line="360" w:lineRule="auto"/>
        <w:jc w:val="both"/>
        <w:rPr>
          <w:rFonts w:ascii="Book Antiqua" w:hAnsi="Book Antiqua"/>
        </w:rPr>
      </w:pPr>
    </w:p>
    <w:p w14:paraId="62D01CFD" w14:textId="35CBE0DD" w:rsidR="00A77B3E" w:rsidRPr="00B75401" w:rsidRDefault="004B3E4B" w:rsidP="00B75401">
      <w:pPr>
        <w:adjustRightInd w:val="0"/>
        <w:snapToGrid w:val="0"/>
        <w:spacing w:line="360" w:lineRule="auto"/>
        <w:jc w:val="both"/>
        <w:rPr>
          <w:rFonts w:ascii="Book Antiqua" w:hAnsi="Book Antiqua"/>
        </w:rPr>
        <w:sectPr w:rsidR="00A77B3E" w:rsidRPr="00B75401" w:rsidSect="006C48D2">
          <w:type w:val="continuous"/>
          <w:pgSz w:w="12240" w:h="15840"/>
          <w:pgMar w:top="1440" w:right="1800" w:bottom="1440" w:left="1800" w:header="720" w:footer="720" w:gutter="0"/>
          <w:cols w:space="720"/>
          <w:docGrid w:linePitch="360"/>
        </w:sectPr>
      </w:pPr>
      <w:r w:rsidRPr="00B75401">
        <w:rPr>
          <w:rFonts w:ascii="Book Antiqua" w:eastAsia="Book Antiqua" w:hAnsi="Book Antiqua" w:cs="Book Antiqua"/>
          <w:b/>
          <w:color w:val="000000"/>
        </w:rPr>
        <w:t xml:space="preserve">P-Reviewer: </w:t>
      </w:r>
      <w:r w:rsidRPr="00B75401">
        <w:rPr>
          <w:rFonts w:ascii="Book Antiqua" w:eastAsia="Book Antiqua" w:hAnsi="Book Antiqua" w:cs="Book Antiqua"/>
          <w:color w:val="000000"/>
        </w:rPr>
        <w:t>Abe Y, Mattar MC, Rawat K</w:t>
      </w:r>
      <w:r w:rsidRPr="00B75401">
        <w:rPr>
          <w:rFonts w:ascii="Book Antiqua" w:eastAsia="Book Antiqua" w:hAnsi="Book Antiqua" w:cs="Book Antiqua"/>
          <w:b/>
          <w:color w:val="000000"/>
        </w:rPr>
        <w:t xml:space="preserve"> S-Editor: </w:t>
      </w:r>
      <w:r w:rsidRPr="00B75401">
        <w:rPr>
          <w:rFonts w:ascii="Book Antiqua" w:eastAsia="Book Antiqua" w:hAnsi="Book Antiqua" w:cs="Book Antiqua"/>
          <w:color w:val="000000"/>
        </w:rPr>
        <w:t>Zhang L</w:t>
      </w:r>
      <w:r w:rsidRPr="00B75401">
        <w:rPr>
          <w:rFonts w:ascii="Book Antiqua" w:eastAsia="Book Antiqua" w:hAnsi="Book Antiqua" w:cs="Book Antiqua"/>
          <w:b/>
          <w:color w:val="000000"/>
        </w:rPr>
        <w:t xml:space="preserve"> L-Editor: P-Editor: </w:t>
      </w:r>
    </w:p>
    <w:p w14:paraId="1E46399A" w14:textId="77777777" w:rsidR="006C48D2" w:rsidRDefault="006C48D2">
      <w:pPr>
        <w:rPr>
          <w:rFonts w:ascii="Book Antiqua" w:eastAsia="Book Antiqua" w:hAnsi="Book Antiqua" w:cs="Book Antiqua"/>
          <w:b/>
          <w:color w:val="000000"/>
        </w:rPr>
      </w:pPr>
      <w:r>
        <w:rPr>
          <w:rFonts w:ascii="Book Antiqua" w:eastAsia="Book Antiqua" w:hAnsi="Book Antiqua" w:cs="Book Antiqua"/>
          <w:b/>
          <w:color w:val="000000"/>
        </w:rPr>
        <w:br w:type="page"/>
      </w:r>
    </w:p>
    <w:p w14:paraId="64F50FE4" w14:textId="6ABAE092" w:rsidR="00A77B3E" w:rsidRPr="00B75401" w:rsidRDefault="004B3E4B" w:rsidP="00B75401">
      <w:pPr>
        <w:adjustRightInd w:val="0"/>
        <w:snapToGrid w:val="0"/>
        <w:spacing w:line="360" w:lineRule="auto"/>
        <w:jc w:val="both"/>
        <w:rPr>
          <w:rFonts w:ascii="Book Antiqua" w:eastAsia="Book Antiqua" w:hAnsi="Book Antiqua" w:cs="Book Antiqua"/>
          <w:b/>
          <w:color w:val="000000"/>
        </w:rPr>
      </w:pPr>
      <w:r w:rsidRPr="00B75401">
        <w:rPr>
          <w:rFonts w:ascii="Book Antiqua" w:eastAsia="Book Antiqua" w:hAnsi="Book Antiqua" w:cs="Book Antiqua"/>
          <w:b/>
          <w:color w:val="000000"/>
        </w:rPr>
        <w:lastRenderedPageBreak/>
        <w:t>Figure Legends</w:t>
      </w:r>
    </w:p>
    <w:p w14:paraId="16A64ECC" w14:textId="2962631D"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noProof/>
          <w:lang w:eastAsia="zh-CN"/>
        </w:rPr>
        <w:drawing>
          <wp:inline distT="0" distB="0" distL="0" distR="0" wp14:anchorId="3E812567" wp14:editId="5A4E27B0">
            <wp:extent cx="5470496" cy="3077154"/>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6588" cy="3080581"/>
                    </a:xfrm>
                    <a:prstGeom prst="rect">
                      <a:avLst/>
                    </a:prstGeom>
                  </pic:spPr>
                </pic:pic>
              </a:graphicData>
            </a:graphic>
          </wp:inline>
        </w:drawing>
      </w:r>
    </w:p>
    <w:p w14:paraId="286F92F1" w14:textId="5D1D6D14" w:rsidR="00A77B3E" w:rsidRPr="00B75401" w:rsidRDefault="004B3E4B" w:rsidP="00B75401">
      <w:pPr>
        <w:adjustRightInd w:val="0"/>
        <w:snapToGrid w:val="0"/>
        <w:spacing w:line="360" w:lineRule="auto"/>
        <w:jc w:val="both"/>
        <w:rPr>
          <w:rFonts w:ascii="Book Antiqua" w:hAnsi="Book Antiqua"/>
        </w:rPr>
      </w:pPr>
      <w:bookmarkStart w:id="22" w:name="OLE_LINK28"/>
      <w:bookmarkStart w:id="23" w:name="OLE_LINK29"/>
      <w:r w:rsidRPr="00B75401">
        <w:rPr>
          <w:rFonts w:ascii="Book Antiqua" w:eastAsia="Book Antiqua" w:hAnsi="Book Antiqua" w:cs="Book Antiqua"/>
          <w:b/>
          <w:bCs/>
          <w:color w:val="000000"/>
        </w:rPr>
        <w:t xml:space="preserve">Figure 1 Clinical images on admission. </w:t>
      </w:r>
      <w:r w:rsidRPr="00B75401">
        <w:rPr>
          <w:rFonts w:ascii="Book Antiqua" w:eastAsia="Book Antiqua" w:hAnsi="Book Antiqua" w:cs="Book Antiqua"/>
          <w:color w:val="000000"/>
        </w:rPr>
        <w:t>A</w:t>
      </w:r>
      <w:r w:rsidR="002238BF" w:rsidRPr="00B75401">
        <w:rPr>
          <w:rFonts w:ascii="Book Antiqua" w:eastAsia="Book Antiqua" w:hAnsi="Book Antiqua" w:cs="Book Antiqua"/>
          <w:color w:val="000000"/>
        </w:rPr>
        <w:t xml:space="preserve"> and</w:t>
      </w:r>
      <w:r w:rsidRPr="00B75401">
        <w:rPr>
          <w:rFonts w:ascii="Book Antiqua" w:eastAsia="Book Antiqua" w:hAnsi="Book Antiqua" w:cs="Book Antiqua"/>
          <w:color w:val="000000"/>
        </w:rPr>
        <w:t xml:space="preserve"> B: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scans of the abdomen showing diffuse wall thickening of the stomach, small intestine, and colon</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C</w:t>
      </w:r>
      <w:r w:rsidR="002238BF" w:rsidRPr="00B75401">
        <w:rPr>
          <w:rFonts w:ascii="Book Antiqua" w:eastAsia="Book Antiqua" w:hAnsi="Book Antiqua" w:cs="Book Antiqua"/>
          <w:color w:val="000000"/>
        </w:rPr>
        <w:t xml:space="preserve"> and </w:t>
      </w:r>
      <w:r w:rsidRPr="00B75401">
        <w:rPr>
          <w:rFonts w:ascii="Book Antiqua" w:eastAsia="Book Antiqua" w:hAnsi="Book Antiqua" w:cs="Book Antiqua"/>
          <w:color w:val="000000"/>
        </w:rPr>
        <w:t>D: Upper gastrointestinal endoscopy images showing diffuse erosion throughout the descending duodenum</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E</w:t>
      </w:r>
      <w:r w:rsidR="002238BF" w:rsidRPr="00B75401">
        <w:rPr>
          <w:rFonts w:ascii="Book Antiqua" w:eastAsia="Book Antiqua" w:hAnsi="Book Antiqua" w:cs="Book Antiqua"/>
          <w:color w:val="000000"/>
        </w:rPr>
        <w:t xml:space="preserve"> and</w:t>
      </w:r>
      <w:r w:rsidRPr="00B75401">
        <w:rPr>
          <w:rFonts w:ascii="Book Antiqua" w:eastAsia="Book Antiqua" w:hAnsi="Book Antiqua" w:cs="Book Antiqua"/>
          <w:color w:val="000000"/>
        </w:rPr>
        <w:t xml:space="preserve"> F: Colonoscopy images showing generalized edema and depression with erythema mainly at the end of the ileum.</w:t>
      </w:r>
    </w:p>
    <w:bookmarkEnd w:id="22"/>
    <w:bookmarkEnd w:id="23"/>
    <w:p w14:paraId="265F335B" w14:textId="77777777"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rPr>
        <w:br w:type="page"/>
      </w:r>
    </w:p>
    <w:p w14:paraId="5682D869" w14:textId="283BFCA5" w:rsidR="002238BF" w:rsidRPr="00B75401" w:rsidRDefault="006C48D2" w:rsidP="00B75401">
      <w:pPr>
        <w:adjustRightInd w:val="0"/>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20581598" wp14:editId="7469D2AB">
            <wp:extent cx="5486400" cy="3112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112135"/>
                    </a:xfrm>
                    <a:prstGeom prst="rect">
                      <a:avLst/>
                    </a:prstGeom>
                  </pic:spPr>
                </pic:pic>
              </a:graphicData>
            </a:graphic>
          </wp:inline>
        </w:drawing>
      </w:r>
    </w:p>
    <w:p w14:paraId="4C665156" w14:textId="14A02EAB"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Figure 2 Clinical course. </w:t>
      </w:r>
      <w:r w:rsidRPr="00B75401">
        <w:rPr>
          <w:rFonts w:ascii="Book Antiqua" w:eastAsia="Book Antiqua" w:hAnsi="Book Antiqua" w:cs="Book Antiqua"/>
          <w:color w:val="000000"/>
        </w:rPr>
        <w:t>Alb</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A</w:t>
      </w:r>
      <w:r w:rsidRPr="00B75401">
        <w:rPr>
          <w:rFonts w:ascii="Book Antiqua" w:eastAsia="Book Antiqua" w:hAnsi="Book Antiqua" w:cs="Book Antiqua"/>
          <w:color w:val="000000"/>
        </w:rPr>
        <w:t>lbumin; IV CPA</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I</w:t>
      </w:r>
      <w:r w:rsidRPr="00B75401">
        <w:rPr>
          <w:rFonts w:ascii="Book Antiqua" w:eastAsia="Book Antiqua" w:hAnsi="Book Antiqua" w:cs="Book Antiqua"/>
          <w:color w:val="000000"/>
        </w:rPr>
        <w:t>ntravenous cyclophosphamide; mPSL</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M</w:t>
      </w:r>
      <w:r w:rsidRPr="00B75401">
        <w:rPr>
          <w:rFonts w:ascii="Book Antiqua" w:eastAsia="Book Antiqua" w:hAnsi="Book Antiqua" w:cs="Book Antiqua"/>
          <w:color w:val="000000"/>
        </w:rPr>
        <w:t>ethylprednisolone; PE</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P</w:t>
      </w:r>
      <w:r w:rsidRPr="00B75401">
        <w:rPr>
          <w:rFonts w:ascii="Book Antiqua" w:eastAsia="Book Antiqua" w:hAnsi="Book Antiqua" w:cs="Book Antiqua"/>
          <w:color w:val="000000"/>
        </w:rPr>
        <w:t>lasma exchange; PSL</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P</w:t>
      </w:r>
      <w:r w:rsidRPr="00B75401">
        <w:rPr>
          <w:rFonts w:ascii="Book Antiqua" w:eastAsia="Book Antiqua" w:hAnsi="Book Antiqua" w:cs="Book Antiqua"/>
          <w:color w:val="000000"/>
        </w:rPr>
        <w:t>rednisolone; TAC</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T</w:t>
      </w:r>
      <w:r w:rsidRPr="00B75401">
        <w:rPr>
          <w:rFonts w:ascii="Book Antiqua" w:eastAsia="Book Antiqua" w:hAnsi="Book Antiqua" w:cs="Book Antiqua"/>
          <w:color w:val="000000"/>
        </w:rPr>
        <w:t>acrolimus</w:t>
      </w:r>
      <w:r w:rsidR="006C48D2">
        <w:rPr>
          <w:rFonts w:ascii="Book Antiqua" w:eastAsia="Book Antiqua" w:hAnsi="Book Antiqua" w:cs="Book Antiqua"/>
          <w:color w:val="000000"/>
        </w:rPr>
        <w:t>.</w:t>
      </w:r>
    </w:p>
    <w:p w14:paraId="49B23488" w14:textId="77777777"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rPr>
        <w:br w:type="page"/>
      </w:r>
    </w:p>
    <w:p w14:paraId="1BE3A076" w14:textId="4A8E978C" w:rsidR="002238BF" w:rsidRPr="00B75401" w:rsidRDefault="002238BF" w:rsidP="00B75401">
      <w:pPr>
        <w:adjustRightInd w:val="0"/>
        <w:snapToGrid w:val="0"/>
        <w:spacing w:line="360" w:lineRule="auto"/>
        <w:jc w:val="both"/>
        <w:rPr>
          <w:rFonts w:ascii="Book Antiqua" w:eastAsia="Book Antiqua" w:hAnsi="Book Antiqua" w:cs="Book Antiqua"/>
          <w:b/>
          <w:bCs/>
          <w:color w:val="000000"/>
        </w:rPr>
      </w:pPr>
      <w:r w:rsidRPr="00B75401">
        <w:rPr>
          <w:rFonts w:ascii="Book Antiqua" w:eastAsia="Book Antiqua" w:hAnsi="Book Antiqua" w:cs="Book Antiqua"/>
          <w:b/>
          <w:bCs/>
          <w:noProof/>
          <w:color w:val="000000"/>
          <w:lang w:eastAsia="zh-CN"/>
        </w:rPr>
        <w:lastRenderedPageBreak/>
        <w:drawing>
          <wp:inline distT="0" distB="0" distL="0" distR="0" wp14:anchorId="5B58C234" wp14:editId="651DE4EA">
            <wp:extent cx="5442226" cy="3061252"/>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2541" cy="3067054"/>
                    </a:xfrm>
                    <a:prstGeom prst="rect">
                      <a:avLst/>
                    </a:prstGeom>
                  </pic:spPr>
                </pic:pic>
              </a:graphicData>
            </a:graphic>
          </wp:inline>
        </w:drawing>
      </w:r>
    </w:p>
    <w:p w14:paraId="534206E0" w14:textId="389F6E13" w:rsidR="002238BF" w:rsidRPr="00B75401" w:rsidRDefault="004B3E4B" w:rsidP="00B75401">
      <w:pPr>
        <w:adjustRightInd w:val="0"/>
        <w:snapToGrid w:val="0"/>
        <w:spacing w:line="360" w:lineRule="auto"/>
        <w:jc w:val="both"/>
        <w:rPr>
          <w:rFonts w:ascii="Book Antiqua" w:eastAsia="Book Antiqua" w:hAnsi="Book Antiqua" w:cs="Book Antiqua"/>
          <w:color w:val="000000"/>
        </w:rPr>
        <w:sectPr w:rsidR="002238BF" w:rsidRPr="00B75401" w:rsidSect="006C48D2">
          <w:type w:val="continuous"/>
          <w:pgSz w:w="12240" w:h="15840"/>
          <w:pgMar w:top="1440" w:right="1800" w:bottom="1440" w:left="1800" w:header="720" w:footer="720" w:gutter="0"/>
          <w:cols w:space="720"/>
          <w:docGrid w:linePitch="360"/>
        </w:sectPr>
      </w:pPr>
      <w:bookmarkStart w:id="24" w:name="OLE_LINK15"/>
      <w:bookmarkStart w:id="25" w:name="OLE_LINK16"/>
      <w:bookmarkStart w:id="26" w:name="OLE_LINK17"/>
      <w:r w:rsidRPr="00B75401">
        <w:rPr>
          <w:rFonts w:ascii="Book Antiqua" w:eastAsia="Book Antiqua" w:hAnsi="Book Antiqua" w:cs="Book Antiqua"/>
          <w:b/>
          <w:bCs/>
          <w:color w:val="000000"/>
        </w:rPr>
        <w:t>Figure 3 Improvement of</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b/>
          <w:bCs/>
          <w:color w:val="000000"/>
        </w:rPr>
        <w:t>computed tomography</w:t>
      </w:r>
      <w:r w:rsidRPr="00110E00">
        <w:rPr>
          <w:rFonts w:ascii="Book Antiqua" w:eastAsia="Book Antiqua" w:hAnsi="Book Antiqua" w:cs="Book Antiqua"/>
          <w:b/>
          <w:bCs/>
          <w:color w:val="000000"/>
        </w:rPr>
        <w:t xml:space="preserve"> </w:t>
      </w:r>
      <w:bookmarkStart w:id="27" w:name="OLE_LINK18"/>
      <w:bookmarkStart w:id="28" w:name="OLE_LINK19"/>
      <w:r w:rsidR="00110E00" w:rsidRPr="00110E00">
        <w:rPr>
          <w:rFonts w:ascii="Book Antiqua" w:eastAsia="Book Antiqua" w:hAnsi="Book Antiqua" w:cs="Book Antiqua"/>
          <w:b/>
          <w:bCs/>
          <w:color w:val="000000"/>
        </w:rPr>
        <w:t>findings</w:t>
      </w:r>
      <w:r w:rsidRPr="00110E00">
        <w:rPr>
          <w:rFonts w:ascii="Book Antiqua" w:eastAsia="Book Antiqua" w:hAnsi="Book Antiqua" w:cs="Book Antiqua"/>
          <w:b/>
          <w:bCs/>
          <w:color w:val="000000"/>
        </w:rPr>
        <w:t>.</w:t>
      </w:r>
      <w:bookmarkEnd w:id="27"/>
      <w:bookmarkEnd w:id="28"/>
      <w:r w:rsidRPr="00110E00">
        <w:rPr>
          <w:rFonts w:ascii="Book Antiqua" w:eastAsia="Book Antiqua" w:hAnsi="Book Antiqua" w:cs="Book Antiqua"/>
          <w:b/>
          <w:bCs/>
          <w:color w:val="000000"/>
        </w:rPr>
        <w:t xml:space="preserve"> </w:t>
      </w:r>
      <w:r w:rsidRPr="00B75401">
        <w:rPr>
          <w:rFonts w:ascii="Book Antiqua" w:eastAsia="Book Antiqua" w:hAnsi="Book Antiqua" w:cs="Book Antiqua"/>
          <w:color w:val="000000"/>
        </w:rPr>
        <w:t xml:space="preserve">The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images were taken at different time points after the second </w:t>
      </w:r>
      <w:bookmarkStart w:id="29" w:name="_GoBack"/>
      <w:bookmarkEnd w:id="29"/>
      <w:r w:rsidRPr="00B75401">
        <w:rPr>
          <w:rFonts w:ascii="Book Antiqua" w:eastAsia="Book Antiqua" w:hAnsi="Book Antiqua" w:cs="Book Antiqua"/>
          <w:color w:val="000000"/>
        </w:rPr>
        <w:t>hospitalization, as indicated.</w:t>
      </w:r>
    </w:p>
    <w:bookmarkEnd w:id="24"/>
    <w:bookmarkEnd w:id="25"/>
    <w:bookmarkEnd w:id="26"/>
    <w:p w14:paraId="4675CD77" w14:textId="77777777" w:rsidR="006C48D2" w:rsidRDefault="006C48D2">
      <w:pPr>
        <w:rPr>
          <w:rFonts w:ascii="Book Antiqua" w:eastAsia="Yu Mincho" w:hAnsi="Book Antiqua"/>
          <w:b/>
        </w:rPr>
      </w:pPr>
      <w:r>
        <w:rPr>
          <w:rFonts w:ascii="Book Antiqua" w:eastAsia="Yu Mincho" w:hAnsi="Book Antiqua"/>
          <w:b/>
        </w:rPr>
        <w:br w:type="page"/>
      </w:r>
    </w:p>
    <w:p w14:paraId="11EDCE83" w14:textId="3D10BED5" w:rsidR="002238BF" w:rsidRPr="00B75401" w:rsidRDefault="002238BF" w:rsidP="00B75401">
      <w:pPr>
        <w:autoSpaceDE w:val="0"/>
        <w:adjustRightInd w:val="0"/>
        <w:snapToGrid w:val="0"/>
        <w:spacing w:line="360" w:lineRule="auto"/>
        <w:jc w:val="both"/>
        <w:rPr>
          <w:rFonts w:ascii="Book Antiqua" w:eastAsia="Yu Mincho" w:hAnsi="Book Antiqua"/>
          <w:bCs/>
        </w:rPr>
      </w:pPr>
      <w:r w:rsidRPr="00B75401">
        <w:rPr>
          <w:rFonts w:ascii="Book Antiqua" w:eastAsia="Yu Mincho" w:hAnsi="Book Antiqua"/>
          <w:b/>
        </w:rPr>
        <w:lastRenderedPageBreak/>
        <w:t>Table 1 Laboratory findings</w:t>
      </w:r>
    </w:p>
    <w:tbl>
      <w:tblPr>
        <w:tblStyle w:val="21"/>
        <w:tblW w:w="0" w:type="auto"/>
        <w:tblInd w:w="0" w:type="dxa"/>
        <w:tblBorders>
          <w:top w:val="single" w:sz="4" w:space="0" w:color="auto"/>
          <w:bottom w:val="single" w:sz="4" w:space="0" w:color="auto"/>
        </w:tblBorders>
        <w:tblLook w:val="04A0" w:firstRow="1" w:lastRow="0" w:firstColumn="1" w:lastColumn="0" w:noHBand="0" w:noVBand="1"/>
      </w:tblPr>
      <w:tblGrid>
        <w:gridCol w:w="4248"/>
        <w:gridCol w:w="2095"/>
        <w:gridCol w:w="2287"/>
      </w:tblGrid>
      <w:tr w:rsidR="002238BF" w:rsidRPr="00B75401" w14:paraId="58FB2EA7" w14:textId="77777777" w:rsidTr="006C4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single" w:sz="4" w:space="0" w:color="auto"/>
            </w:tcBorders>
          </w:tcPr>
          <w:p w14:paraId="6B182C7D" w14:textId="77777777" w:rsidR="002238BF" w:rsidRPr="006C48D2" w:rsidRDefault="002238BF" w:rsidP="00B75401">
            <w:pPr>
              <w:autoSpaceDE w:val="0"/>
              <w:adjustRightInd w:val="0"/>
              <w:snapToGrid w:val="0"/>
              <w:spacing w:line="360" w:lineRule="auto"/>
              <w:jc w:val="both"/>
              <w:rPr>
                <w:rFonts w:ascii="Book Antiqua" w:eastAsia="Yu Mincho" w:hAnsi="Book Antiqua"/>
                <w:bCs w:val="0"/>
              </w:rPr>
            </w:pPr>
          </w:p>
        </w:tc>
        <w:tc>
          <w:tcPr>
            <w:tcW w:w="2095" w:type="dxa"/>
            <w:tcBorders>
              <w:top w:val="single" w:sz="4" w:space="0" w:color="auto"/>
              <w:bottom w:val="single" w:sz="4" w:space="0" w:color="auto"/>
            </w:tcBorders>
            <w:hideMark/>
          </w:tcPr>
          <w:p w14:paraId="196F9A65" w14:textId="77777777" w:rsidR="002238BF" w:rsidRPr="006C48D2" w:rsidRDefault="002238BF" w:rsidP="00B75401">
            <w:pPr>
              <w:autoSpaceDE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Mincho" w:hAnsi="Book Antiqua"/>
                <w:bCs w:val="0"/>
              </w:rPr>
            </w:pPr>
            <w:r w:rsidRPr="006C48D2">
              <w:rPr>
                <w:rFonts w:ascii="Book Antiqua" w:eastAsia="Yu Mincho" w:hAnsi="Book Antiqua"/>
                <w:bCs w:val="0"/>
              </w:rPr>
              <w:t>First admission</w:t>
            </w:r>
          </w:p>
        </w:tc>
        <w:tc>
          <w:tcPr>
            <w:tcW w:w="2287" w:type="dxa"/>
            <w:tcBorders>
              <w:top w:val="single" w:sz="4" w:space="0" w:color="auto"/>
              <w:bottom w:val="single" w:sz="4" w:space="0" w:color="auto"/>
            </w:tcBorders>
            <w:hideMark/>
          </w:tcPr>
          <w:p w14:paraId="6982C638" w14:textId="77777777" w:rsidR="002238BF" w:rsidRPr="006C48D2" w:rsidRDefault="002238BF" w:rsidP="00B75401">
            <w:pPr>
              <w:autoSpaceDE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Mincho" w:hAnsi="Book Antiqua"/>
                <w:bCs w:val="0"/>
              </w:rPr>
            </w:pPr>
            <w:r w:rsidRPr="006C48D2">
              <w:rPr>
                <w:rFonts w:ascii="Book Antiqua" w:eastAsia="Yu Mincho" w:hAnsi="Book Antiqua"/>
                <w:bCs w:val="0"/>
              </w:rPr>
              <w:t>Second admission</w:t>
            </w:r>
          </w:p>
        </w:tc>
      </w:tr>
      <w:tr w:rsidR="002238BF" w:rsidRPr="00B75401" w14:paraId="34460D3F" w14:textId="77777777" w:rsidTr="006C48D2">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tcBorders>
            <w:hideMark/>
          </w:tcPr>
          <w:p w14:paraId="3739B47B"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Urinalysis</w:t>
            </w:r>
          </w:p>
        </w:tc>
        <w:tc>
          <w:tcPr>
            <w:tcW w:w="2095" w:type="dxa"/>
            <w:tcBorders>
              <w:top w:val="single" w:sz="4" w:space="0" w:color="auto"/>
            </w:tcBorders>
          </w:tcPr>
          <w:p w14:paraId="3BCD972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p>
        </w:tc>
        <w:tc>
          <w:tcPr>
            <w:tcW w:w="2287" w:type="dxa"/>
            <w:tcBorders>
              <w:top w:val="single" w:sz="4" w:space="0" w:color="auto"/>
            </w:tcBorders>
          </w:tcPr>
          <w:p w14:paraId="592D273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p>
        </w:tc>
      </w:tr>
      <w:tr w:rsidR="002238BF" w:rsidRPr="00B75401" w14:paraId="029F950F"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E77006D" w14:textId="03C1F9DA"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Protein</w:t>
            </w:r>
          </w:p>
        </w:tc>
        <w:tc>
          <w:tcPr>
            <w:tcW w:w="2095" w:type="dxa"/>
            <w:hideMark/>
          </w:tcPr>
          <w:p w14:paraId="36584DE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w:t>
            </w:r>
          </w:p>
        </w:tc>
        <w:tc>
          <w:tcPr>
            <w:tcW w:w="2287" w:type="dxa"/>
            <w:hideMark/>
          </w:tcPr>
          <w:p w14:paraId="74B298D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w:t>
            </w:r>
          </w:p>
        </w:tc>
      </w:tr>
      <w:tr w:rsidR="002238BF" w:rsidRPr="00B75401" w14:paraId="4EFFC79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F25FF3F"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Occult blood</w:t>
            </w:r>
          </w:p>
        </w:tc>
        <w:tc>
          <w:tcPr>
            <w:tcW w:w="2095" w:type="dxa"/>
            <w:hideMark/>
          </w:tcPr>
          <w:p w14:paraId="2FBDE078"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w:t>
            </w:r>
          </w:p>
        </w:tc>
        <w:tc>
          <w:tcPr>
            <w:tcW w:w="2287" w:type="dxa"/>
            <w:hideMark/>
          </w:tcPr>
          <w:p w14:paraId="2259182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w:t>
            </w:r>
          </w:p>
        </w:tc>
      </w:tr>
      <w:tr w:rsidR="002238BF" w:rsidRPr="00B75401" w14:paraId="1971C05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4597B8C7"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Red blood cell</w:t>
            </w:r>
          </w:p>
        </w:tc>
        <w:tc>
          <w:tcPr>
            <w:tcW w:w="2095" w:type="dxa"/>
            <w:hideMark/>
          </w:tcPr>
          <w:p w14:paraId="68987F7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B75401">
              <w:rPr>
                <w:rFonts w:ascii="Book Antiqua" w:eastAsia="Yu Mincho" w:hAnsi="Book Antiqua"/>
              </w:rPr>
              <w:t>10-29/HPF</w:t>
            </w:r>
            <w:r w:rsidRPr="00B75401">
              <w:rPr>
                <w:rFonts w:ascii="Book Antiqua" w:hAnsi="Book Antiqua" w:cs="Book Antiqua"/>
                <w:vertAlign w:val="superscript"/>
              </w:rPr>
              <w:t>1</w:t>
            </w:r>
          </w:p>
        </w:tc>
        <w:tc>
          <w:tcPr>
            <w:tcW w:w="2287" w:type="dxa"/>
            <w:hideMark/>
          </w:tcPr>
          <w:p w14:paraId="3D5FA60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&lt; 4/HPF</w:t>
            </w:r>
          </w:p>
        </w:tc>
      </w:tr>
      <w:tr w:rsidR="002238BF" w:rsidRPr="00B75401" w14:paraId="3CB705FD"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BECF3B1"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Casts</w:t>
            </w:r>
          </w:p>
        </w:tc>
        <w:tc>
          <w:tcPr>
            <w:tcW w:w="2095" w:type="dxa"/>
            <w:hideMark/>
          </w:tcPr>
          <w:p w14:paraId="0C4DB39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B75401">
              <w:rPr>
                <w:rFonts w:ascii="Book Antiqua" w:eastAsia="Yu Mincho" w:hAnsi="Book Antiqua"/>
              </w:rPr>
              <w:t>+</w:t>
            </w:r>
            <w:r w:rsidRPr="00B75401">
              <w:rPr>
                <w:rFonts w:ascii="Book Antiqua" w:hAnsi="Book Antiqua" w:cs="Book Antiqua"/>
                <w:vertAlign w:val="superscript"/>
              </w:rPr>
              <w:t>2</w:t>
            </w:r>
          </w:p>
        </w:tc>
        <w:tc>
          <w:tcPr>
            <w:tcW w:w="2287" w:type="dxa"/>
            <w:hideMark/>
          </w:tcPr>
          <w:p w14:paraId="1BEF0C49"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B75401">
              <w:rPr>
                <w:rFonts w:ascii="Book Antiqua" w:eastAsia="Yu Mincho" w:hAnsi="Book Antiqua"/>
              </w:rPr>
              <w:t>+</w:t>
            </w:r>
            <w:r w:rsidRPr="00B75401">
              <w:rPr>
                <w:rFonts w:ascii="Book Antiqua" w:hAnsi="Book Antiqua" w:cs="Book Antiqua"/>
                <w:vertAlign w:val="superscript"/>
              </w:rPr>
              <w:t>3</w:t>
            </w:r>
          </w:p>
        </w:tc>
      </w:tr>
      <w:tr w:rsidR="002238BF" w:rsidRPr="00B75401" w14:paraId="4C5E346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6DA0F6"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Spot protein-creatinine ratio (g/g Cr)</w:t>
            </w:r>
          </w:p>
        </w:tc>
        <w:tc>
          <w:tcPr>
            <w:tcW w:w="2095" w:type="dxa"/>
            <w:hideMark/>
          </w:tcPr>
          <w:p w14:paraId="0CC4E658"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0.38</w:t>
            </w:r>
          </w:p>
        </w:tc>
        <w:tc>
          <w:tcPr>
            <w:tcW w:w="2287" w:type="dxa"/>
            <w:hideMark/>
          </w:tcPr>
          <w:p w14:paraId="78C583C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0.20</w:t>
            </w:r>
          </w:p>
        </w:tc>
      </w:tr>
      <w:tr w:rsidR="002238BF" w:rsidRPr="00B75401" w14:paraId="061C0BE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50D20AB"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WBC (/µL)</w:t>
            </w:r>
          </w:p>
        </w:tc>
        <w:tc>
          <w:tcPr>
            <w:tcW w:w="2095" w:type="dxa"/>
            <w:hideMark/>
          </w:tcPr>
          <w:p w14:paraId="73AB245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14500</w:t>
            </w:r>
          </w:p>
        </w:tc>
        <w:tc>
          <w:tcPr>
            <w:tcW w:w="2287" w:type="dxa"/>
            <w:hideMark/>
          </w:tcPr>
          <w:p w14:paraId="079F5211"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6100</w:t>
            </w:r>
          </w:p>
        </w:tc>
      </w:tr>
      <w:tr w:rsidR="002238BF" w:rsidRPr="00B75401" w14:paraId="5C567DF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D01597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Hb (g/dL)</w:t>
            </w:r>
          </w:p>
        </w:tc>
        <w:tc>
          <w:tcPr>
            <w:tcW w:w="2095" w:type="dxa"/>
            <w:hideMark/>
          </w:tcPr>
          <w:p w14:paraId="37D1D4B7"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10.9</w:t>
            </w:r>
          </w:p>
        </w:tc>
        <w:tc>
          <w:tcPr>
            <w:tcW w:w="2287" w:type="dxa"/>
            <w:hideMark/>
          </w:tcPr>
          <w:p w14:paraId="07DA4A06"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14.9</w:t>
            </w:r>
          </w:p>
        </w:tc>
      </w:tr>
      <w:tr w:rsidR="002238BF" w:rsidRPr="00B75401" w14:paraId="2529EF4B"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D2BC9B1" w14:textId="77777777" w:rsidR="002238BF" w:rsidRPr="006C48D2" w:rsidRDefault="002238BF" w:rsidP="00B75401">
            <w:pPr>
              <w:autoSpaceDE w:val="0"/>
              <w:adjustRightInd w:val="0"/>
              <w:snapToGrid w:val="0"/>
              <w:spacing w:line="360" w:lineRule="auto"/>
              <w:jc w:val="both"/>
              <w:rPr>
                <w:rFonts w:ascii="Book Antiqua" w:eastAsia="Yu Mincho" w:hAnsi="Book Antiqua"/>
                <w:b w:val="0"/>
                <w:bCs w:val="0"/>
              </w:rPr>
            </w:pPr>
            <w:r w:rsidRPr="006C48D2">
              <w:rPr>
                <w:rFonts w:ascii="Book Antiqua" w:eastAsia="Yu Mincho" w:hAnsi="Book Antiqua"/>
                <w:b w:val="0"/>
                <w:bCs w:val="0"/>
              </w:rPr>
              <w:t>Plt (10</w:t>
            </w:r>
            <w:r w:rsidRPr="006C48D2">
              <w:rPr>
                <w:rFonts w:eastAsia="微软雅黑"/>
                <w:b w:val="0"/>
                <w:bCs w:val="0"/>
              </w:rPr>
              <w:t>⁴</w:t>
            </w:r>
            <w:r w:rsidRPr="006C48D2">
              <w:rPr>
                <w:rFonts w:ascii="Book Antiqua" w:eastAsia="Yu Mincho" w:hAnsi="Book Antiqua"/>
                <w:b w:val="0"/>
                <w:bCs w:val="0"/>
              </w:rPr>
              <w:t>/µL)</w:t>
            </w:r>
          </w:p>
        </w:tc>
        <w:tc>
          <w:tcPr>
            <w:tcW w:w="2095" w:type="dxa"/>
            <w:hideMark/>
          </w:tcPr>
          <w:p w14:paraId="13E57E6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43.4</w:t>
            </w:r>
          </w:p>
        </w:tc>
        <w:tc>
          <w:tcPr>
            <w:tcW w:w="2287" w:type="dxa"/>
            <w:hideMark/>
          </w:tcPr>
          <w:p w14:paraId="662E9C2A"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35.1</w:t>
            </w:r>
          </w:p>
        </w:tc>
      </w:tr>
      <w:tr w:rsidR="002238BF" w:rsidRPr="00B75401" w14:paraId="416C1CE3"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CDE9A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T-Bil (mg/dL)</w:t>
            </w:r>
          </w:p>
        </w:tc>
        <w:tc>
          <w:tcPr>
            <w:tcW w:w="2095" w:type="dxa"/>
            <w:hideMark/>
          </w:tcPr>
          <w:p w14:paraId="7A88E07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0.3</w:t>
            </w:r>
          </w:p>
        </w:tc>
        <w:tc>
          <w:tcPr>
            <w:tcW w:w="2287" w:type="dxa"/>
            <w:hideMark/>
          </w:tcPr>
          <w:p w14:paraId="70171ACD"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0.8</w:t>
            </w:r>
          </w:p>
        </w:tc>
      </w:tr>
      <w:tr w:rsidR="002238BF" w:rsidRPr="00B75401" w14:paraId="32A604F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B9D1863"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AST (U/L)</w:t>
            </w:r>
          </w:p>
        </w:tc>
        <w:tc>
          <w:tcPr>
            <w:tcW w:w="2095" w:type="dxa"/>
            <w:hideMark/>
          </w:tcPr>
          <w:p w14:paraId="04BD8BB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25</w:t>
            </w:r>
          </w:p>
        </w:tc>
        <w:tc>
          <w:tcPr>
            <w:tcW w:w="2287" w:type="dxa"/>
            <w:hideMark/>
          </w:tcPr>
          <w:p w14:paraId="76A4FDB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w:t>
            </w:r>
          </w:p>
        </w:tc>
      </w:tr>
      <w:tr w:rsidR="002238BF" w:rsidRPr="00B75401" w14:paraId="7FE83B9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261A17AF"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ALT (U/L)</w:t>
            </w:r>
          </w:p>
        </w:tc>
        <w:tc>
          <w:tcPr>
            <w:tcW w:w="2095" w:type="dxa"/>
            <w:hideMark/>
          </w:tcPr>
          <w:p w14:paraId="520B49C6"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30</w:t>
            </w:r>
          </w:p>
        </w:tc>
        <w:tc>
          <w:tcPr>
            <w:tcW w:w="2287" w:type="dxa"/>
            <w:hideMark/>
          </w:tcPr>
          <w:p w14:paraId="161A096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18</w:t>
            </w:r>
          </w:p>
        </w:tc>
      </w:tr>
      <w:tr w:rsidR="002238BF" w:rsidRPr="00B75401" w14:paraId="215C4F1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0B42008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γ-GTP (U/L)</w:t>
            </w:r>
          </w:p>
        </w:tc>
        <w:tc>
          <w:tcPr>
            <w:tcW w:w="2095" w:type="dxa"/>
            <w:hideMark/>
          </w:tcPr>
          <w:p w14:paraId="7E1AB5D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24</w:t>
            </w:r>
          </w:p>
        </w:tc>
        <w:tc>
          <w:tcPr>
            <w:tcW w:w="2287" w:type="dxa"/>
            <w:hideMark/>
          </w:tcPr>
          <w:p w14:paraId="61C017C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18</w:t>
            </w:r>
          </w:p>
        </w:tc>
      </w:tr>
      <w:tr w:rsidR="002238BF" w:rsidRPr="00B75401" w14:paraId="59567D12"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D53B2A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ALP (U/L)</w:t>
            </w:r>
          </w:p>
        </w:tc>
        <w:tc>
          <w:tcPr>
            <w:tcW w:w="2095" w:type="dxa"/>
            <w:hideMark/>
          </w:tcPr>
          <w:p w14:paraId="3EF95D1A"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239</w:t>
            </w:r>
          </w:p>
        </w:tc>
        <w:tc>
          <w:tcPr>
            <w:tcW w:w="2287" w:type="dxa"/>
            <w:hideMark/>
          </w:tcPr>
          <w:p w14:paraId="7F757D57"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102</w:t>
            </w:r>
          </w:p>
        </w:tc>
      </w:tr>
      <w:tr w:rsidR="002238BF" w:rsidRPr="00B75401" w14:paraId="0D8C944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6090F27"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LDH (U/L)</w:t>
            </w:r>
          </w:p>
        </w:tc>
        <w:tc>
          <w:tcPr>
            <w:tcW w:w="2095" w:type="dxa"/>
            <w:hideMark/>
          </w:tcPr>
          <w:p w14:paraId="04972F6D"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207</w:t>
            </w:r>
          </w:p>
        </w:tc>
        <w:tc>
          <w:tcPr>
            <w:tcW w:w="2287" w:type="dxa"/>
            <w:hideMark/>
          </w:tcPr>
          <w:p w14:paraId="37031D6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200</w:t>
            </w:r>
          </w:p>
        </w:tc>
      </w:tr>
      <w:tr w:rsidR="002238BF" w:rsidRPr="00B75401" w14:paraId="12F59AE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52010D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CK (U/L)</w:t>
            </w:r>
          </w:p>
        </w:tc>
        <w:tc>
          <w:tcPr>
            <w:tcW w:w="2095" w:type="dxa"/>
            <w:hideMark/>
          </w:tcPr>
          <w:p w14:paraId="1A3243A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58</w:t>
            </w:r>
          </w:p>
        </w:tc>
        <w:tc>
          <w:tcPr>
            <w:tcW w:w="2287" w:type="dxa"/>
            <w:hideMark/>
          </w:tcPr>
          <w:p w14:paraId="155903D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37</w:t>
            </w:r>
          </w:p>
        </w:tc>
      </w:tr>
      <w:tr w:rsidR="002238BF" w:rsidRPr="00B75401" w14:paraId="66D9724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344B8E1"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TP (g/dL)</w:t>
            </w:r>
          </w:p>
        </w:tc>
        <w:tc>
          <w:tcPr>
            <w:tcW w:w="2095" w:type="dxa"/>
            <w:hideMark/>
          </w:tcPr>
          <w:p w14:paraId="2E75809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7.1</w:t>
            </w:r>
          </w:p>
        </w:tc>
        <w:tc>
          <w:tcPr>
            <w:tcW w:w="2287" w:type="dxa"/>
            <w:hideMark/>
          </w:tcPr>
          <w:p w14:paraId="6CD29CE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4.3</w:t>
            </w:r>
          </w:p>
        </w:tc>
      </w:tr>
      <w:tr w:rsidR="002238BF" w:rsidRPr="00B75401" w14:paraId="163E2D5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F00EDAC"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Alb (g/dL)</w:t>
            </w:r>
          </w:p>
        </w:tc>
        <w:tc>
          <w:tcPr>
            <w:tcW w:w="2095" w:type="dxa"/>
            <w:hideMark/>
          </w:tcPr>
          <w:p w14:paraId="21AAB2F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2.6</w:t>
            </w:r>
          </w:p>
        </w:tc>
        <w:tc>
          <w:tcPr>
            <w:tcW w:w="2287" w:type="dxa"/>
            <w:hideMark/>
          </w:tcPr>
          <w:p w14:paraId="2CA021D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2.5</w:t>
            </w:r>
          </w:p>
        </w:tc>
      </w:tr>
      <w:tr w:rsidR="002238BF" w:rsidRPr="00B75401" w14:paraId="3A4DC439"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A5E10FC"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BUN (mg/dL)</w:t>
            </w:r>
          </w:p>
        </w:tc>
        <w:tc>
          <w:tcPr>
            <w:tcW w:w="2095" w:type="dxa"/>
            <w:hideMark/>
          </w:tcPr>
          <w:p w14:paraId="35BE7E19"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11</w:t>
            </w:r>
          </w:p>
        </w:tc>
        <w:tc>
          <w:tcPr>
            <w:tcW w:w="2287" w:type="dxa"/>
            <w:hideMark/>
          </w:tcPr>
          <w:p w14:paraId="67F843C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35</w:t>
            </w:r>
          </w:p>
        </w:tc>
      </w:tr>
      <w:tr w:rsidR="002238BF" w:rsidRPr="00B75401" w14:paraId="13CE895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6D93C0"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Cr (mg/dL)</w:t>
            </w:r>
          </w:p>
        </w:tc>
        <w:tc>
          <w:tcPr>
            <w:tcW w:w="2095" w:type="dxa"/>
            <w:hideMark/>
          </w:tcPr>
          <w:p w14:paraId="0ACA0CD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0.5</w:t>
            </w:r>
          </w:p>
        </w:tc>
        <w:tc>
          <w:tcPr>
            <w:tcW w:w="2287" w:type="dxa"/>
            <w:hideMark/>
          </w:tcPr>
          <w:p w14:paraId="045A35C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0.7</w:t>
            </w:r>
          </w:p>
        </w:tc>
      </w:tr>
      <w:tr w:rsidR="002238BF" w:rsidRPr="00B75401" w14:paraId="071B698F"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5785560"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CRP (mg/dL)</w:t>
            </w:r>
          </w:p>
        </w:tc>
        <w:tc>
          <w:tcPr>
            <w:tcW w:w="2095" w:type="dxa"/>
            <w:hideMark/>
          </w:tcPr>
          <w:p w14:paraId="2470449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14.2</w:t>
            </w:r>
          </w:p>
        </w:tc>
        <w:tc>
          <w:tcPr>
            <w:tcW w:w="2287" w:type="dxa"/>
            <w:hideMark/>
          </w:tcPr>
          <w:p w14:paraId="0204A43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0.2</w:t>
            </w:r>
          </w:p>
        </w:tc>
      </w:tr>
      <w:tr w:rsidR="002238BF" w:rsidRPr="00B75401" w14:paraId="5F82D056"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41AD353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MPO-ANCA (U/mL)</w:t>
            </w:r>
          </w:p>
        </w:tc>
        <w:tc>
          <w:tcPr>
            <w:tcW w:w="2095" w:type="dxa"/>
            <w:hideMark/>
          </w:tcPr>
          <w:p w14:paraId="2CDE8A0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194.0</w:t>
            </w:r>
          </w:p>
        </w:tc>
        <w:tc>
          <w:tcPr>
            <w:tcW w:w="2287" w:type="dxa"/>
            <w:hideMark/>
          </w:tcPr>
          <w:p w14:paraId="70614AE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w:t>
            </w:r>
          </w:p>
        </w:tc>
      </w:tr>
    </w:tbl>
    <w:p w14:paraId="0B41ADCA" w14:textId="77777777" w:rsidR="006C48D2" w:rsidRPr="00B75401" w:rsidRDefault="006C48D2" w:rsidP="006C48D2">
      <w:pPr>
        <w:autoSpaceDE w:val="0"/>
        <w:adjustRightInd w:val="0"/>
        <w:snapToGrid w:val="0"/>
        <w:spacing w:line="360" w:lineRule="auto"/>
        <w:jc w:val="both"/>
        <w:rPr>
          <w:rFonts w:ascii="Book Antiqua" w:eastAsia="Yu Mincho" w:hAnsi="Book Antiqua"/>
          <w:kern w:val="2"/>
        </w:rPr>
      </w:pPr>
      <w:r w:rsidRPr="00B75401">
        <w:rPr>
          <w:rFonts w:ascii="Book Antiqua" w:hAnsi="Book Antiqua" w:cs="Book Antiqua"/>
          <w:vertAlign w:val="superscript"/>
        </w:rPr>
        <w:t>1</w:t>
      </w:r>
      <w:r w:rsidRPr="00B75401">
        <w:rPr>
          <w:rFonts w:ascii="Book Antiqua" w:eastAsia="Yu Mincho" w:hAnsi="Book Antiqua"/>
        </w:rPr>
        <w:t>Deformed erythrocytes</w:t>
      </w:r>
      <w:r w:rsidRPr="00B75401">
        <w:rPr>
          <w:rFonts w:ascii="Book Antiqua" w:hAnsi="Book Antiqua" w:cs="Book Antiqua"/>
        </w:rPr>
        <w:t xml:space="preserve">; </w:t>
      </w:r>
      <w:r w:rsidRPr="00B75401">
        <w:rPr>
          <w:rFonts w:ascii="Book Antiqua" w:hAnsi="Book Antiqua" w:cs="Book Antiqua"/>
          <w:vertAlign w:val="superscript"/>
        </w:rPr>
        <w:t>2</w:t>
      </w:r>
      <w:r w:rsidRPr="00B75401">
        <w:rPr>
          <w:rFonts w:ascii="Book Antiqua" w:eastAsia="Yu Mincho" w:hAnsi="Book Antiqua"/>
        </w:rPr>
        <w:t>Casts: waxy casts, leukocyte casts</w:t>
      </w:r>
      <w:r w:rsidRPr="00B75401">
        <w:rPr>
          <w:rFonts w:ascii="Book Antiqua" w:hAnsi="Book Antiqua" w:cs="Book Antiqua"/>
        </w:rPr>
        <w:t xml:space="preserve">; </w:t>
      </w:r>
      <w:r w:rsidRPr="00B75401">
        <w:rPr>
          <w:rFonts w:ascii="Book Antiqua" w:hAnsi="Book Antiqua" w:cs="Book Antiqua"/>
          <w:vertAlign w:val="superscript"/>
        </w:rPr>
        <w:t>3</w:t>
      </w:r>
      <w:r w:rsidRPr="00B75401">
        <w:rPr>
          <w:rFonts w:ascii="Book Antiqua" w:eastAsia="Yu Mincho" w:hAnsi="Book Antiqua"/>
        </w:rPr>
        <w:t>Casts: granular casts.</w:t>
      </w:r>
    </w:p>
    <w:p w14:paraId="3C0D089E" w14:textId="08B10CB8" w:rsidR="00A77B3E" w:rsidRPr="00B75401" w:rsidRDefault="002238BF" w:rsidP="00B75401">
      <w:pPr>
        <w:autoSpaceDE w:val="0"/>
        <w:adjustRightInd w:val="0"/>
        <w:snapToGrid w:val="0"/>
        <w:spacing w:line="360" w:lineRule="auto"/>
        <w:jc w:val="both"/>
        <w:rPr>
          <w:rFonts w:ascii="Book Antiqua" w:eastAsia="Yu Mincho" w:hAnsi="Book Antiqua"/>
          <w:kern w:val="2"/>
        </w:rPr>
      </w:pPr>
      <w:r w:rsidRPr="00B75401">
        <w:rPr>
          <w:rFonts w:ascii="Book Antiqua" w:eastAsia="Yu Mincho" w:hAnsi="Book Antiqua"/>
        </w:rPr>
        <w:t>Alb:</w:t>
      </w:r>
      <w:r w:rsidRPr="00B75401">
        <w:rPr>
          <w:rFonts w:ascii="Book Antiqua" w:hAnsi="Book Antiqua" w:cs="Book Antiqua"/>
        </w:rPr>
        <w:t xml:space="preserve"> A</w:t>
      </w:r>
      <w:r w:rsidRPr="00B75401">
        <w:rPr>
          <w:rFonts w:ascii="Book Antiqua" w:eastAsia="Yu Mincho" w:hAnsi="Book Antiqua"/>
        </w:rPr>
        <w:t xml:space="preserve">lbumin; ANCA: </w:t>
      </w:r>
      <w:r w:rsidRPr="00B75401">
        <w:rPr>
          <w:rFonts w:ascii="Book Antiqua" w:hAnsi="Book Antiqua" w:cs="Book Antiqua"/>
        </w:rPr>
        <w:t>A</w:t>
      </w:r>
      <w:r w:rsidRPr="00B75401">
        <w:rPr>
          <w:rFonts w:ascii="Book Antiqua" w:eastAsia="Yu Mincho" w:hAnsi="Book Antiqua"/>
        </w:rPr>
        <w:t xml:space="preserve">ntineutrophil cytoplasmic antibody; ALP: </w:t>
      </w:r>
      <w:r w:rsidRPr="00B75401">
        <w:rPr>
          <w:rFonts w:ascii="Book Antiqua" w:hAnsi="Book Antiqua" w:cs="Book Antiqua"/>
        </w:rPr>
        <w:t>A</w:t>
      </w:r>
      <w:r w:rsidRPr="00B75401">
        <w:rPr>
          <w:rFonts w:ascii="Book Antiqua" w:eastAsia="Yu Mincho" w:hAnsi="Book Antiqua"/>
        </w:rPr>
        <w:t xml:space="preserve">lkaline phosphatase; ALT: </w:t>
      </w:r>
      <w:r w:rsidRPr="00B75401">
        <w:rPr>
          <w:rFonts w:ascii="Book Antiqua" w:hAnsi="Book Antiqua" w:cs="Book Antiqua"/>
        </w:rPr>
        <w:t>A</w:t>
      </w:r>
      <w:r w:rsidRPr="00B75401">
        <w:rPr>
          <w:rFonts w:ascii="Book Antiqua" w:eastAsia="Yu Mincho" w:hAnsi="Book Antiqua"/>
        </w:rPr>
        <w:t xml:space="preserve">lanine aminotransferase; AST: </w:t>
      </w:r>
      <w:r w:rsidRPr="00B75401">
        <w:rPr>
          <w:rFonts w:ascii="Book Antiqua" w:hAnsi="Book Antiqua" w:cs="Book Antiqua"/>
        </w:rPr>
        <w:t>A</w:t>
      </w:r>
      <w:r w:rsidRPr="00B75401">
        <w:rPr>
          <w:rFonts w:ascii="Book Antiqua" w:eastAsia="Yu Mincho" w:hAnsi="Book Antiqua"/>
        </w:rPr>
        <w:t xml:space="preserve">spartate aminotransferase; BUN: </w:t>
      </w:r>
      <w:r w:rsidRPr="00B75401">
        <w:rPr>
          <w:rFonts w:ascii="Book Antiqua" w:hAnsi="Book Antiqua" w:cs="Book Antiqua"/>
        </w:rPr>
        <w:t>B</w:t>
      </w:r>
      <w:r w:rsidRPr="00B75401">
        <w:rPr>
          <w:rFonts w:ascii="Book Antiqua" w:eastAsia="Yu Mincho" w:hAnsi="Book Antiqua"/>
        </w:rPr>
        <w:t xml:space="preserve">lood urea nitrogen; CK: </w:t>
      </w:r>
      <w:r w:rsidRPr="00B75401">
        <w:rPr>
          <w:rFonts w:ascii="Book Antiqua" w:hAnsi="Book Antiqua" w:cs="Book Antiqua"/>
        </w:rPr>
        <w:t>C</w:t>
      </w:r>
      <w:r w:rsidRPr="00B75401">
        <w:rPr>
          <w:rFonts w:ascii="Book Antiqua" w:eastAsia="Yu Mincho" w:hAnsi="Book Antiqua"/>
        </w:rPr>
        <w:t xml:space="preserve">reatine kinase; Cr: </w:t>
      </w:r>
      <w:r w:rsidRPr="00B75401">
        <w:rPr>
          <w:rFonts w:ascii="Book Antiqua" w:hAnsi="Book Antiqua" w:cs="Book Antiqua"/>
        </w:rPr>
        <w:t>C</w:t>
      </w:r>
      <w:r w:rsidRPr="00B75401">
        <w:rPr>
          <w:rFonts w:ascii="Book Antiqua" w:eastAsia="Yu Mincho" w:hAnsi="Book Antiqua"/>
        </w:rPr>
        <w:t xml:space="preserve">reatinine; CRP: C-reactive protein; Hb: </w:t>
      </w:r>
      <w:r w:rsidRPr="00B75401">
        <w:rPr>
          <w:rFonts w:ascii="Book Antiqua" w:hAnsi="Book Antiqua" w:cs="Book Antiqua"/>
        </w:rPr>
        <w:t>H</w:t>
      </w:r>
      <w:r w:rsidRPr="00B75401">
        <w:rPr>
          <w:rFonts w:ascii="Book Antiqua" w:eastAsia="Yu Mincho" w:hAnsi="Book Antiqua"/>
        </w:rPr>
        <w:t xml:space="preserve">emoglobin; HPF: </w:t>
      </w:r>
      <w:r w:rsidRPr="00B75401">
        <w:rPr>
          <w:rFonts w:ascii="Book Antiqua" w:hAnsi="Book Antiqua" w:cs="Book Antiqua"/>
        </w:rPr>
        <w:t>H</w:t>
      </w:r>
      <w:r w:rsidRPr="00B75401">
        <w:rPr>
          <w:rFonts w:ascii="Book Antiqua" w:eastAsia="Yu Mincho" w:hAnsi="Book Antiqua"/>
        </w:rPr>
        <w:t xml:space="preserve">igh-power field; LDH: </w:t>
      </w:r>
      <w:r w:rsidRPr="00B75401">
        <w:rPr>
          <w:rFonts w:ascii="Book Antiqua" w:hAnsi="Book Antiqua" w:cs="Book Antiqua"/>
        </w:rPr>
        <w:t>L</w:t>
      </w:r>
      <w:r w:rsidRPr="00B75401">
        <w:rPr>
          <w:rFonts w:ascii="Book Antiqua" w:eastAsia="Yu Mincho" w:hAnsi="Book Antiqua"/>
        </w:rPr>
        <w:t xml:space="preserve">actate dehydrogenase; </w:t>
      </w:r>
      <w:r w:rsidRPr="00B75401">
        <w:rPr>
          <w:rFonts w:ascii="Book Antiqua" w:eastAsia="Yu Mincho" w:hAnsi="Book Antiqua"/>
        </w:rPr>
        <w:lastRenderedPageBreak/>
        <w:t xml:space="preserve">MPO: </w:t>
      </w:r>
      <w:r w:rsidRPr="00B75401">
        <w:rPr>
          <w:rFonts w:ascii="Book Antiqua" w:hAnsi="Book Antiqua" w:cs="Book Antiqua"/>
        </w:rPr>
        <w:t>M</w:t>
      </w:r>
      <w:r w:rsidRPr="00B75401">
        <w:rPr>
          <w:rFonts w:ascii="Book Antiqua" w:eastAsia="Yu Mincho" w:hAnsi="Book Antiqua"/>
        </w:rPr>
        <w:t xml:space="preserve">yeloperoxidase; Plt: </w:t>
      </w:r>
      <w:r w:rsidRPr="00B75401">
        <w:rPr>
          <w:rFonts w:ascii="Book Antiqua" w:hAnsi="Book Antiqua" w:cs="Book Antiqua"/>
        </w:rPr>
        <w:t>P</w:t>
      </w:r>
      <w:r w:rsidRPr="00B75401">
        <w:rPr>
          <w:rFonts w:ascii="Book Antiqua" w:eastAsia="Yu Mincho" w:hAnsi="Book Antiqua"/>
        </w:rPr>
        <w:t xml:space="preserve">latelets; T-Bil: </w:t>
      </w:r>
      <w:r w:rsidRPr="00B75401">
        <w:rPr>
          <w:rFonts w:ascii="Book Antiqua" w:hAnsi="Book Antiqua" w:cs="Book Antiqua"/>
        </w:rPr>
        <w:t>T</w:t>
      </w:r>
      <w:r w:rsidRPr="00B75401">
        <w:rPr>
          <w:rFonts w:ascii="Book Antiqua" w:eastAsia="Yu Mincho" w:hAnsi="Book Antiqua"/>
        </w:rPr>
        <w:t xml:space="preserve">otal bilirubin; TP: </w:t>
      </w:r>
      <w:r w:rsidRPr="00B75401">
        <w:rPr>
          <w:rFonts w:ascii="Book Antiqua" w:hAnsi="Book Antiqua" w:cs="Book Antiqua"/>
        </w:rPr>
        <w:t>T</w:t>
      </w:r>
      <w:r w:rsidRPr="00B75401">
        <w:rPr>
          <w:rFonts w:ascii="Book Antiqua" w:eastAsia="Yu Mincho" w:hAnsi="Book Antiqua"/>
        </w:rPr>
        <w:t xml:space="preserve">otal protein; WBC: </w:t>
      </w:r>
      <w:r w:rsidRPr="00B75401">
        <w:rPr>
          <w:rFonts w:ascii="Book Antiqua" w:hAnsi="Book Antiqua" w:cs="Book Antiqua"/>
        </w:rPr>
        <w:t>W</w:t>
      </w:r>
      <w:r w:rsidRPr="00B75401">
        <w:rPr>
          <w:rFonts w:ascii="Book Antiqua" w:eastAsia="Yu Mincho" w:hAnsi="Book Antiqua"/>
        </w:rPr>
        <w:t>hite blood cells</w:t>
      </w:r>
      <w:r w:rsidR="006C48D2">
        <w:rPr>
          <w:rFonts w:ascii="Book Antiqua" w:hAnsi="Book Antiqua" w:cs="Book Antiqua"/>
        </w:rPr>
        <w:t>.</w:t>
      </w:r>
      <w:r w:rsidRPr="00B75401">
        <w:rPr>
          <w:rFonts w:ascii="Book Antiqua" w:hAnsi="Book Antiqua" w:cs="Book Antiqua"/>
        </w:rPr>
        <w:t xml:space="preserve"> </w:t>
      </w:r>
    </w:p>
    <w:sectPr w:rsidR="00A77B3E" w:rsidRPr="00B75401" w:rsidSect="006C48D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CBDC7" w14:textId="77777777" w:rsidR="00FE3DC9" w:rsidRDefault="00FE3DC9" w:rsidP="002238BF">
      <w:r>
        <w:separator/>
      </w:r>
    </w:p>
  </w:endnote>
  <w:endnote w:type="continuationSeparator" w:id="0">
    <w:p w14:paraId="48C07F54" w14:textId="77777777" w:rsidR="00FE3DC9" w:rsidRDefault="00FE3DC9" w:rsidP="0022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Mincho">
    <w:altName w:val="MS Gothic"/>
    <w:charset w:val="80"/>
    <w:family w:val="roman"/>
    <w:pitch w:val="variable"/>
    <w:sig w:usb0="00000000"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990828"/>
      <w:docPartObj>
        <w:docPartGallery w:val="Page Numbers (Bottom of Page)"/>
        <w:docPartUnique/>
      </w:docPartObj>
    </w:sdtPr>
    <w:sdtEndPr/>
    <w:sdtContent>
      <w:sdt>
        <w:sdtPr>
          <w:id w:val="-1769616900"/>
          <w:docPartObj>
            <w:docPartGallery w:val="Page Numbers (Top of Page)"/>
            <w:docPartUnique/>
          </w:docPartObj>
        </w:sdtPr>
        <w:sdtEndPr/>
        <w:sdtContent>
          <w:p w14:paraId="3CAABD80" w14:textId="3437E485" w:rsidR="002238BF" w:rsidRDefault="002238B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A2D91">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A2D91">
              <w:rPr>
                <w:b/>
                <w:bCs/>
                <w:noProof/>
              </w:rPr>
              <w:t>19</w:t>
            </w:r>
            <w:r>
              <w:rPr>
                <w:b/>
                <w:bCs/>
                <w:sz w:val="24"/>
                <w:szCs w:val="24"/>
              </w:rPr>
              <w:fldChar w:fldCharType="end"/>
            </w:r>
          </w:p>
        </w:sdtContent>
      </w:sdt>
    </w:sdtContent>
  </w:sdt>
  <w:p w14:paraId="31CBDC06" w14:textId="77777777" w:rsidR="002238BF" w:rsidRDefault="002238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CC545" w14:textId="77777777" w:rsidR="00FE3DC9" w:rsidRDefault="00FE3DC9" w:rsidP="002238BF">
      <w:r>
        <w:separator/>
      </w:r>
    </w:p>
  </w:footnote>
  <w:footnote w:type="continuationSeparator" w:id="0">
    <w:p w14:paraId="4A32F642" w14:textId="77777777" w:rsidR="00FE3DC9" w:rsidRDefault="00FE3DC9" w:rsidP="002238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10E00"/>
    <w:rsid w:val="001A1708"/>
    <w:rsid w:val="0020688A"/>
    <w:rsid w:val="002238BF"/>
    <w:rsid w:val="00303C14"/>
    <w:rsid w:val="003519A1"/>
    <w:rsid w:val="00397EAB"/>
    <w:rsid w:val="003C5A10"/>
    <w:rsid w:val="003D3768"/>
    <w:rsid w:val="004B3E4B"/>
    <w:rsid w:val="006225DE"/>
    <w:rsid w:val="006C48D2"/>
    <w:rsid w:val="00770FD5"/>
    <w:rsid w:val="007802C1"/>
    <w:rsid w:val="007A2D91"/>
    <w:rsid w:val="0081704C"/>
    <w:rsid w:val="00834B89"/>
    <w:rsid w:val="00A77B3E"/>
    <w:rsid w:val="00AF7A65"/>
    <w:rsid w:val="00B75401"/>
    <w:rsid w:val="00B8487C"/>
    <w:rsid w:val="00BB3C44"/>
    <w:rsid w:val="00C009BA"/>
    <w:rsid w:val="00C15C20"/>
    <w:rsid w:val="00C731D2"/>
    <w:rsid w:val="00CA2A55"/>
    <w:rsid w:val="00CD62AB"/>
    <w:rsid w:val="00DC1296"/>
    <w:rsid w:val="00E069AD"/>
    <w:rsid w:val="00E12B7A"/>
    <w:rsid w:val="00E2699C"/>
    <w:rsid w:val="00F54AC3"/>
    <w:rsid w:val="00F573DC"/>
    <w:rsid w:val="00F661B8"/>
    <w:rsid w:val="00FE3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48E02B"/>
  <w15:docId w15:val="{54CCB338-0018-4C6E-B039-5BC797CC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t">
    <w:name w:val="cit"/>
    <w:basedOn w:val="a0"/>
    <w:rsid w:val="00B8487C"/>
  </w:style>
  <w:style w:type="table" w:customStyle="1" w:styleId="21">
    <w:name w:val="无格式表格 21"/>
    <w:basedOn w:val="a1"/>
    <w:rsid w:val="002238BF"/>
    <w:rPr>
      <w:rFonts w:eastAsia="Times New Roman"/>
      <w:lang w:eastAsia="zh-CN"/>
    </w:rPr>
    <w:tblPr>
      <w:tblInd w:w="0" w:type="nil"/>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a3">
    <w:name w:val="header"/>
    <w:basedOn w:val="a"/>
    <w:link w:val="Char"/>
    <w:unhideWhenUsed/>
    <w:rsid w:val="002238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38BF"/>
    <w:rPr>
      <w:sz w:val="18"/>
      <w:szCs w:val="18"/>
    </w:rPr>
  </w:style>
  <w:style w:type="paragraph" w:styleId="a4">
    <w:name w:val="footer"/>
    <w:basedOn w:val="a"/>
    <w:link w:val="Char0"/>
    <w:uiPriority w:val="99"/>
    <w:unhideWhenUsed/>
    <w:rsid w:val="002238BF"/>
    <w:pPr>
      <w:tabs>
        <w:tab w:val="center" w:pos="4153"/>
        <w:tab w:val="right" w:pos="8306"/>
      </w:tabs>
      <w:snapToGrid w:val="0"/>
    </w:pPr>
    <w:rPr>
      <w:sz w:val="18"/>
      <w:szCs w:val="18"/>
    </w:rPr>
  </w:style>
  <w:style w:type="character" w:customStyle="1" w:styleId="Char0">
    <w:name w:val="页脚 Char"/>
    <w:basedOn w:val="a0"/>
    <w:link w:val="a4"/>
    <w:uiPriority w:val="99"/>
    <w:rsid w:val="002238BF"/>
    <w:rPr>
      <w:sz w:val="18"/>
      <w:szCs w:val="18"/>
    </w:rPr>
  </w:style>
  <w:style w:type="character" w:customStyle="1" w:styleId="apple-converted-space">
    <w:name w:val="apple-converted-space"/>
    <w:basedOn w:val="a0"/>
    <w:rsid w:val="002238BF"/>
  </w:style>
  <w:style w:type="character" w:customStyle="1" w:styleId="dxdefaultcursor">
    <w:name w:val="dxdefaultcursor"/>
    <w:basedOn w:val="a0"/>
    <w:rsid w:val="003C5A10"/>
  </w:style>
  <w:style w:type="paragraph" w:styleId="a5">
    <w:name w:val="Balloon Text"/>
    <w:basedOn w:val="a"/>
    <w:link w:val="Char1"/>
    <w:rsid w:val="00CD62AB"/>
    <w:rPr>
      <w:sz w:val="18"/>
      <w:szCs w:val="18"/>
    </w:rPr>
  </w:style>
  <w:style w:type="character" w:customStyle="1" w:styleId="Char1">
    <w:name w:val="批注框文本 Char"/>
    <w:basedOn w:val="a0"/>
    <w:link w:val="a5"/>
    <w:rsid w:val="00CD62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94839">
      <w:bodyDiv w:val="1"/>
      <w:marLeft w:val="0"/>
      <w:marRight w:val="0"/>
      <w:marTop w:val="0"/>
      <w:marBottom w:val="0"/>
      <w:divBdr>
        <w:top w:val="none" w:sz="0" w:space="0" w:color="auto"/>
        <w:left w:val="none" w:sz="0" w:space="0" w:color="auto"/>
        <w:bottom w:val="none" w:sz="0" w:space="0" w:color="auto"/>
        <w:right w:val="none" w:sz="0" w:space="0" w:color="auto"/>
      </w:divBdr>
      <w:divsChild>
        <w:div w:id="925960212">
          <w:marLeft w:val="0"/>
          <w:marRight w:val="0"/>
          <w:marTop w:val="0"/>
          <w:marBottom w:val="0"/>
          <w:divBdr>
            <w:top w:val="none" w:sz="0" w:space="0" w:color="auto"/>
            <w:left w:val="none" w:sz="0" w:space="0" w:color="auto"/>
            <w:bottom w:val="none" w:sz="0" w:space="0" w:color="auto"/>
            <w:right w:val="none" w:sz="0" w:space="0" w:color="auto"/>
          </w:divBdr>
        </w:div>
        <w:div w:id="1832257850">
          <w:marLeft w:val="0"/>
          <w:marRight w:val="0"/>
          <w:marTop w:val="0"/>
          <w:marBottom w:val="0"/>
          <w:divBdr>
            <w:top w:val="none" w:sz="0" w:space="0" w:color="auto"/>
            <w:left w:val="none" w:sz="0" w:space="0" w:color="auto"/>
            <w:bottom w:val="none" w:sz="0" w:space="0" w:color="auto"/>
            <w:right w:val="none" w:sz="0" w:space="0" w:color="auto"/>
          </w:divBdr>
        </w:div>
      </w:divsChild>
    </w:div>
    <w:div w:id="876043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2964</Words>
  <Characters>16900</Characters>
  <Application>Microsoft Office Word</Application>
  <DocSecurity>0</DocSecurity>
  <Lines>140</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Admin</cp:lastModifiedBy>
  <cp:revision>14</cp:revision>
  <dcterms:created xsi:type="dcterms:W3CDTF">2021-04-24T01:21:00Z</dcterms:created>
  <dcterms:modified xsi:type="dcterms:W3CDTF">2021-05-07T08:22:00Z</dcterms:modified>
</cp:coreProperties>
</file>