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8B598" w14:textId="77777777" w:rsidR="00500304" w:rsidRDefault="0003450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18B29DD" w14:textId="77777777" w:rsidR="00500304" w:rsidRDefault="0003450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63168</w:t>
      </w:r>
    </w:p>
    <w:p w14:paraId="22D1CC1E" w14:textId="77777777" w:rsidR="00500304" w:rsidRDefault="0003450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59063A7" w14:textId="77777777" w:rsidR="00500304" w:rsidRDefault="00500304">
      <w:pPr>
        <w:spacing w:line="360" w:lineRule="auto"/>
        <w:jc w:val="both"/>
      </w:pPr>
    </w:p>
    <w:p w14:paraId="6F4BE5D1" w14:textId="48594E43" w:rsidR="00500304" w:rsidRDefault="00034505">
      <w:pPr>
        <w:spacing w:line="360" w:lineRule="auto"/>
        <w:jc w:val="both"/>
      </w:pPr>
      <w:bookmarkStart w:id="0" w:name="30j0zll" w:colFirst="0" w:colLast="0"/>
      <w:bookmarkStart w:id="1" w:name="gjdgxs" w:colFirst="0" w:colLast="0"/>
      <w:bookmarkStart w:id="2" w:name="_1fob9te" w:colFirst="0" w:colLast="0"/>
      <w:bookmarkStart w:id="3" w:name="OLE_LINK2725"/>
      <w:bookmarkStart w:id="4" w:name="OLE_LINK2726"/>
      <w:bookmarkEnd w:id="0"/>
      <w:bookmarkEnd w:id="1"/>
      <w:bookmarkEnd w:id="2"/>
      <w:r>
        <w:rPr>
          <w:rFonts w:ascii="Book Antiqua" w:eastAsia="Book Antiqua" w:hAnsi="Book Antiqua" w:cs="Book Antiqua"/>
          <w:b/>
          <w:color w:val="000000"/>
        </w:rPr>
        <w:t>Bilateral cerebral infarction in diabetic ketoacidosis and bilateral internal carotid artery occlusion: A case report and review of literature</w:t>
      </w:r>
    </w:p>
    <w:bookmarkEnd w:id="3"/>
    <w:bookmarkEnd w:id="4"/>
    <w:p w14:paraId="4DBC6F32" w14:textId="77777777" w:rsidR="00500304" w:rsidRDefault="00500304">
      <w:pPr>
        <w:spacing w:line="360" w:lineRule="auto"/>
        <w:jc w:val="both"/>
      </w:pPr>
    </w:p>
    <w:p w14:paraId="5102BD23" w14:textId="77777777" w:rsidR="00500304" w:rsidRDefault="00034505">
      <w:pPr>
        <w:spacing w:line="360" w:lineRule="auto"/>
        <w:jc w:val="both"/>
      </w:pPr>
      <w:r>
        <w:rPr>
          <w:rFonts w:ascii="Book Antiqua" w:eastAsia="Book Antiqua" w:hAnsi="Book Antiqua" w:cs="Book Antiqua"/>
          <w:color w:val="000000"/>
        </w:rPr>
        <w:t xml:space="preserve">Chen YC </w:t>
      </w:r>
      <w:r>
        <w:rPr>
          <w:rFonts w:ascii="Book Antiqua" w:eastAsia="Book Antiqua" w:hAnsi="Book Antiqua" w:cs="Book Antiqua"/>
          <w:i/>
          <w:color w:val="000000"/>
        </w:rPr>
        <w:t>et al</w:t>
      </w:r>
      <w:r>
        <w:rPr>
          <w:rFonts w:ascii="Book Antiqua" w:eastAsia="Book Antiqua" w:hAnsi="Book Antiqua" w:cs="Book Antiqua"/>
          <w:color w:val="000000"/>
        </w:rPr>
        <w:t>. Stroke in DKA &amp; BICAO</w:t>
      </w:r>
    </w:p>
    <w:p w14:paraId="711EB7BC" w14:textId="77777777" w:rsidR="00500304" w:rsidRDefault="00500304">
      <w:pPr>
        <w:spacing w:line="360" w:lineRule="auto"/>
        <w:jc w:val="both"/>
      </w:pPr>
    </w:p>
    <w:p w14:paraId="427BA733" w14:textId="77777777" w:rsidR="00500304" w:rsidRDefault="00034505">
      <w:pPr>
        <w:spacing w:line="360" w:lineRule="auto"/>
        <w:jc w:val="both"/>
      </w:pPr>
      <w:r>
        <w:rPr>
          <w:rFonts w:ascii="Book Antiqua" w:eastAsia="Book Antiqua" w:hAnsi="Book Antiqua" w:cs="Book Antiqua"/>
          <w:color w:val="000000"/>
        </w:rPr>
        <w:t xml:space="preserve">Yi-Chung </w:t>
      </w:r>
      <w:bookmarkStart w:id="5" w:name="2et92p0" w:colFirst="0" w:colLast="0"/>
      <w:bookmarkStart w:id="6" w:name="3znysh7" w:colFirst="0" w:colLast="0"/>
      <w:bookmarkEnd w:id="5"/>
      <w:bookmarkEnd w:id="6"/>
      <w:r>
        <w:rPr>
          <w:rFonts w:ascii="Book Antiqua" w:eastAsia="Book Antiqua" w:hAnsi="Book Antiqua" w:cs="Book Antiqua"/>
          <w:color w:val="000000"/>
        </w:rPr>
        <w:t>Chen, Su-Ju Tsai</w:t>
      </w:r>
    </w:p>
    <w:p w14:paraId="1CCA2BC4" w14:textId="77777777" w:rsidR="00500304" w:rsidRDefault="00500304">
      <w:pPr>
        <w:spacing w:line="360" w:lineRule="auto"/>
        <w:jc w:val="both"/>
      </w:pPr>
    </w:p>
    <w:p w14:paraId="12FDC8AF" w14:textId="77777777" w:rsidR="00500304" w:rsidRDefault="00034505">
      <w:pPr>
        <w:spacing w:line="360" w:lineRule="auto"/>
        <w:jc w:val="both"/>
      </w:pPr>
      <w:r>
        <w:rPr>
          <w:rFonts w:ascii="Book Antiqua" w:eastAsia="Book Antiqua" w:hAnsi="Book Antiqua" w:cs="Book Antiqua"/>
          <w:b/>
          <w:color w:val="000000"/>
        </w:rPr>
        <w:t xml:space="preserve">Yi-Chung Chen, </w:t>
      </w:r>
      <w:r w:rsidR="00EA054D">
        <w:rPr>
          <w:rFonts w:ascii="Book Antiqua" w:eastAsia="Book Antiqua" w:hAnsi="Book Antiqua" w:cs="Book Antiqua"/>
          <w:b/>
          <w:color w:val="000000"/>
        </w:rPr>
        <w:t xml:space="preserve">Su-Ju Tsai, </w:t>
      </w:r>
      <w:r>
        <w:rPr>
          <w:rFonts w:ascii="Book Antiqua" w:eastAsia="Book Antiqua" w:hAnsi="Book Antiqua" w:cs="Book Antiqua"/>
          <w:color w:val="000000"/>
        </w:rPr>
        <w:t>Department of Physical Medicine and Rehabilitation, Chung Shan Medical University Hospital, Taichung 40201, Taiwan</w:t>
      </w:r>
    </w:p>
    <w:p w14:paraId="2D08AA2E" w14:textId="77777777" w:rsidR="00EA054D" w:rsidRDefault="00EA054D">
      <w:pPr>
        <w:spacing w:line="360" w:lineRule="auto"/>
        <w:jc w:val="both"/>
        <w:rPr>
          <w:rFonts w:ascii="Book Antiqua" w:eastAsia="宋体" w:hAnsi="Book Antiqua" w:cs="Book Antiqua"/>
          <w:color w:val="000000"/>
          <w:lang w:eastAsia="zh-CN"/>
        </w:rPr>
      </w:pPr>
    </w:p>
    <w:p w14:paraId="407580ED" w14:textId="77777777" w:rsidR="00500304" w:rsidRDefault="00034505">
      <w:pPr>
        <w:spacing w:line="360" w:lineRule="auto"/>
        <w:jc w:val="both"/>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Chen YC is the first author</w:t>
      </w:r>
      <w:r w:rsidR="00F43446">
        <w:rPr>
          <w:rFonts w:ascii="Book Antiqua" w:eastAsia="Book Antiqua" w:hAnsi="Book Antiqua" w:cs="Book Antiqua"/>
          <w:color w:val="000000"/>
        </w:rPr>
        <w:t xml:space="preserve"> and</w:t>
      </w:r>
      <w:r>
        <w:rPr>
          <w:rFonts w:ascii="Book Antiqua" w:eastAsia="Book Antiqua" w:hAnsi="Book Antiqua" w:cs="Book Antiqua"/>
          <w:color w:val="000000"/>
        </w:rPr>
        <w:t xml:space="preserve"> wrote the case report and completed the literature review; Tsai SJ performed the final editing and prepared the paper for approval by the author</w:t>
      </w:r>
      <w:r w:rsidR="00A548FC">
        <w:rPr>
          <w:rFonts w:ascii="Book Antiqua" w:eastAsia="Book Antiqua" w:hAnsi="Book Antiqua" w:cs="Book Antiqua"/>
          <w:color w:val="000000"/>
        </w:rPr>
        <w:t xml:space="preserve">s; </w:t>
      </w:r>
      <w:r w:rsidR="00A548FC">
        <w:rPr>
          <w:rFonts w:ascii="Book Antiqua" w:eastAsia="宋体"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14:paraId="76DFD23F" w14:textId="77777777" w:rsidR="00500304" w:rsidRDefault="00500304">
      <w:pPr>
        <w:spacing w:line="360" w:lineRule="auto"/>
        <w:jc w:val="both"/>
      </w:pPr>
    </w:p>
    <w:p w14:paraId="0391A60A" w14:textId="34E82197" w:rsidR="00500304" w:rsidRDefault="00034505">
      <w:pPr>
        <w:spacing w:line="360" w:lineRule="auto"/>
        <w:jc w:val="both"/>
      </w:pPr>
      <w:r>
        <w:rPr>
          <w:rFonts w:ascii="Book Antiqua" w:eastAsia="Book Antiqua" w:hAnsi="Book Antiqua" w:cs="Book Antiqua"/>
          <w:b/>
          <w:color w:val="000000"/>
        </w:rPr>
        <w:t xml:space="preserve">Corresponding author: Su-Ju Tsai, MD, MS, </w:t>
      </w:r>
      <w:r w:rsidRPr="0044771B">
        <w:rPr>
          <w:rFonts w:ascii="Book Antiqua" w:eastAsia="Book Antiqua" w:hAnsi="Book Antiqua" w:cs="Book Antiqua"/>
          <w:b/>
          <w:bCs/>
          <w:color w:val="000000"/>
        </w:rPr>
        <w:t>Associate Professor,</w:t>
      </w:r>
      <w:r>
        <w:rPr>
          <w:rFonts w:ascii="Book Antiqua" w:eastAsia="Book Antiqua" w:hAnsi="Book Antiqua" w:cs="Book Antiqua"/>
          <w:b/>
          <w:color w:val="000000"/>
        </w:rPr>
        <w:t xml:space="preserve"> </w:t>
      </w:r>
      <w:r w:rsidR="0044771B" w:rsidRPr="0044771B">
        <w:rPr>
          <w:rFonts w:ascii="Book Antiqua" w:eastAsia="Book Antiqua" w:hAnsi="Book Antiqua" w:cs="Book Antiqua"/>
          <w:b/>
          <w:color w:val="000000"/>
        </w:rPr>
        <w:t>Director</w:t>
      </w:r>
      <w:r w:rsidR="0044771B">
        <w:rPr>
          <w:rFonts w:ascii="Book Antiqua" w:eastAsia="Book Antiqua" w:hAnsi="Book Antiqua" w:cs="Book Antiqua"/>
          <w:b/>
          <w:color w:val="000000"/>
        </w:rPr>
        <w:t xml:space="preserve">, </w:t>
      </w:r>
      <w:r>
        <w:rPr>
          <w:rFonts w:ascii="Book Antiqua" w:eastAsia="Book Antiqua" w:hAnsi="Book Antiqua" w:cs="Book Antiqua"/>
          <w:color w:val="000000"/>
        </w:rPr>
        <w:t>Department of Physical Medicine and Rehabilitation, Chung Shan Medical University</w:t>
      </w:r>
      <w:r w:rsidR="00F43446">
        <w:rPr>
          <w:rFonts w:ascii="Book Antiqua" w:eastAsia="Book Antiqua" w:hAnsi="Book Antiqua" w:cs="Book Antiqua"/>
          <w:color w:val="000000"/>
        </w:rPr>
        <w:t xml:space="preserve">; </w:t>
      </w:r>
      <w:r w:rsidR="00F43446" w:rsidRPr="00F43446">
        <w:rPr>
          <w:rFonts w:ascii="Book Antiqua" w:eastAsia="Book Antiqua" w:hAnsi="Book Antiqua" w:cs="Book Antiqua"/>
          <w:color w:val="000000"/>
        </w:rPr>
        <w:t>Director, Department of Physical Medicine and Rehabilitation, Chung Shan Medical University Hospital</w:t>
      </w:r>
      <w:r w:rsidR="00F43446">
        <w:rPr>
          <w:rFonts w:ascii="Book Antiqua" w:eastAsia="Book Antiqua" w:hAnsi="Book Antiqua" w:cs="Book Antiqua"/>
          <w:color w:val="000000"/>
        </w:rPr>
        <w:t>,</w:t>
      </w:r>
      <w:r>
        <w:rPr>
          <w:rFonts w:ascii="Book Antiqua" w:eastAsia="Book Antiqua" w:hAnsi="Book Antiqua" w:cs="Book Antiqua"/>
          <w:color w:val="000000"/>
        </w:rPr>
        <w:t xml:space="preserve"> No. 110 Sec.1, Jianguo N.</w:t>
      </w:r>
      <w:r w:rsidR="0036315A">
        <w:rPr>
          <w:rFonts w:ascii="Book Antiqua" w:eastAsia="Book Antiqua" w:hAnsi="Book Antiqua" w:cs="Book Antiqua"/>
          <w:color w:val="000000"/>
        </w:rPr>
        <w:t xml:space="preserve"> </w:t>
      </w:r>
      <w:r>
        <w:rPr>
          <w:rFonts w:ascii="Book Antiqua" w:eastAsia="Book Antiqua" w:hAnsi="Book Antiqua" w:cs="Book Antiqua"/>
          <w:color w:val="000000"/>
        </w:rPr>
        <w:t>Rd., Taichung 40201, Taiwan. sujutsai@gmail.com</w:t>
      </w:r>
    </w:p>
    <w:p w14:paraId="059B7786" w14:textId="77777777" w:rsidR="00500304" w:rsidRDefault="00500304">
      <w:pPr>
        <w:spacing w:line="360" w:lineRule="auto"/>
        <w:jc w:val="both"/>
      </w:pPr>
    </w:p>
    <w:p w14:paraId="3844F166" w14:textId="77777777" w:rsidR="00500304" w:rsidRDefault="00034505">
      <w:pPr>
        <w:spacing w:line="360" w:lineRule="auto"/>
        <w:jc w:val="both"/>
      </w:pPr>
      <w:r>
        <w:rPr>
          <w:rFonts w:ascii="Book Antiqua" w:eastAsia="Book Antiqua" w:hAnsi="Book Antiqua" w:cs="Book Antiqua"/>
          <w:b/>
          <w:color w:val="000000"/>
        </w:rPr>
        <w:t xml:space="preserve">Received: </w:t>
      </w:r>
      <w:r>
        <w:rPr>
          <w:rFonts w:ascii="Book Antiqua" w:eastAsia="Book Antiqua" w:hAnsi="Book Antiqua" w:cs="Book Antiqua"/>
          <w:color w:val="000000"/>
        </w:rPr>
        <w:t>January 30, 2021</w:t>
      </w:r>
    </w:p>
    <w:p w14:paraId="47EDA5DA" w14:textId="77777777" w:rsidR="00500304" w:rsidRDefault="00034505">
      <w:pPr>
        <w:spacing w:line="360" w:lineRule="auto"/>
        <w:jc w:val="both"/>
      </w:pPr>
      <w:r>
        <w:rPr>
          <w:rFonts w:ascii="Book Antiqua" w:eastAsia="Book Antiqua" w:hAnsi="Book Antiqua" w:cs="Book Antiqua"/>
          <w:b/>
          <w:color w:val="000000"/>
        </w:rPr>
        <w:t xml:space="preserve">Revised: </w:t>
      </w:r>
      <w:r>
        <w:rPr>
          <w:rFonts w:ascii="Book Antiqua" w:eastAsia="Book Antiqua" w:hAnsi="Book Antiqua" w:cs="Book Antiqua"/>
          <w:color w:val="000000"/>
        </w:rPr>
        <w:t>March 2, 2021</w:t>
      </w:r>
    </w:p>
    <w:p w14:paraId="03008732" w14:textId="7BDA62CE" w:rsidR="00500304" w:rsidRDefault="00034505">
      <w:pPr>
        <w:spacing w:line="360" w:lineRule="auto"/>
        <w:jc w:val="both"/>
      </w:pPr>
      <w:r>
        <w:rPr>
          <w:rFonts w:ascii="Book Antiqua" w:eastAsia="Book Antiqua" w:hAnsi="Book Antiqua" w:cs="Book Antiqua"/>
          <w:b/>
          <w:color w:val="000000"/>
        </w:rPr>
        <w:t xml:space="preserve">Accepted: </w:t>
      </w:r>
      <w:r w:rsidR="004412FE" w:rsidRPr="004412FE">
        <w:rPr>
          <w:rFonts w:ascii="Book Antiqua" w:eastAsia="Book Antiqua" w:hAnsi="Book Antiqua" w:cs="Book Antiqua"/>
          <w:bCs/>
          <w:color w:val="000000"/>
        </w:rPr>
        <w:t>March 29, 2021</w:t>
      </w:r>
    </w:p>
    <w:p w14:paraId="464F4B53" w14:textId="42F2F096" w:rsidR="00500304" w:rsidRDefault="00034505">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Published online: </w:t>
      </w:r>
      <w:r w:rsidR="00BB4561" w:rsidRPr="00156D49">
        <w:rPr>
          <w:rFonts w:ascii="Book Antiqua" w:eastAsia="Book Antiqua" w:hAnsi="Book Antiqua" w:cs="Book Antiqua"/>
          <w:bCs/>
          <w:color w:val="000000"/>
        </w:rPr>
        <w:t xml:space="preserve">May </w:t>
      </w:r>
      <w:r w:rsidR="00BB4561">
        <w:rPr>
          <w:rFonts w:ascii="Book Antiqua" w:hAnsi="Book Antiqua" w:cs="Book Antiqua" w:hint="eastAsia"/>
          <w:bCs/>
          <w:color w:val="000000"/>
          <w:lang w:eastAsia="zh-CN"/>
        </w:rPr>
        <w:t>2</w:t>
      </w:r>
      <w:r w:rsidR="00BB4561" w:rsidRPr="00C04B8E">
        <w:rPr>
          <w:rFonts w:ascii="Book Antiqua" w:hAnsi="Book Antiqua" w:cs="Book Antiqua" w:hint="eastAsia"/>
          <w:bCs/>
          <w:color w:val="000000"/>
          <w:lang w:eastAsia="zh-CN"/>
        </w:rPr>
        <w:t>6, 2021</w:t>
      </w:r>
    </w:p>
    <w:p w14:paraId="6B0997E7" w14:textId="77777777" w:rsidR="00C445C8" w:rsidRPr="00C445C8" w:rsidRDefault="00C445C8">
      <w:pPr>
        <w:spacing w:line="360" w:lineRule="auto"/>
        <w:jc w:val="both"/>
        <w:rPr>
          <w:rFonts w:eastAsia="宋体"/>
          <w:lang w:eastAsia="zh-CN"/>
        </w:rPr>
        <w:sectPr w:rsidR="00C445C8" w:rsidRPr="00C445C8">
          <w:footerReference w:type="default" r:id="rId7"/>
          <w:pgSz w:w="12240" w:h="15840"/>
          <w:pgMar w:top="1440" w:right="1440" w:bottom="1440" w:left="1440" w:header="720" w:footer="720" w:gutter="0"/>
          <w:pgNumType w:start="1"/>
          <w:cols w:space="720"/>
        </w:sectPr>
      </w:pPr>
    </w:p>
    <w:p w14:paraId="6A156736" w14:textId="77777777" w:rsidR="00500304" w:rsidRDefault="00034505">
      <w:pPr>
        <w:spacing w:line="360" w:lineRule="auto"/>
        <w:jc w:val="both"/>
      </w:pPr>
      <w:r>
        <w:rPr>
          <w:rFonts w:ascii="Book Antiqua" w:eastAsia="Book Antiqua" w:hAnsi="Book Antiqua" w:cs="Book Antiqua"/>
          <w:b/>
          <w:color w:val="000000"/>
        </w:rPr>
        <w:lastRenderedPageBreak/>
        <w:t>Abstract</w:t>
      </w:r>
    </w:p>
    <w:p w14:paraId="52256AD7" w14:textId="77777777" w:rsidR="00500304" w:rsidRDefault="00034505">
      <w:pPr>
        <w:spacing w:line="360" w:lineRule="auto"/>
        <w:jc w:val="both"/>
      </w:pPr>
      <w:r>
        <w:rPr>
          <w:rFonts w:ascii="Book Antiqua" w:eastAsia="Book Antiqua" w:hAnsi="Book Antiqua" w:cs="Book Antiqua"/>
          <w:color w:val="000000"/>
        </w:rPr>
        <w:t>BACKGROUND</w:t>
      </w:r>
    </w:p>
    <w:p w14:paraId="0080AD59" w14:textId="77777777" w:rsidR="00500304" w:rsidRDefault="00034505">
      <w:pPr>
        <w:spacing w:line="360" w:lineRule="auto"/>
        <w:jc w:val="both"/>
      </w:pPr>
      <w:bookmarkStart w:id="7" w:name="2s8eyo1" w:colFirst="0" w:colLast="0"/>
      <w:bookmarkStart w:id="8" w:name="3dy6vkm" w:colFirst="0" w:colLast="0"/>
      <w:bookmarkStart w:id="9" w:name="tyjcwt" w:colFirst="0" w:colLast="0"/>
      <w:bookmarkStart w:id="10" w:name="4d34og8" w:colFirst="0" w:colLast="0"/>
      <w:bookmarkStart w:id="11" w:name="1t3h5sf" w:colFirst="0" w:colLast="0"/>
      <w:bookmarkEnd w:id="7"/>
      <w:bookmarkEnd w:id="8"/>
      <w:bookmarkEnd w:id="9"/>
      <w:bookmarkEnd w:id="10"/>
      <w:bookmarkEnd w:id="11"/>
      <w:r>
        <w:rPr>
          <w:rFonts w:ascii="Book Antiqua" w:eastAsia="Book Antiqua" w:hAnsi="Book Antiqua" w:cs="Book Antiqua"/>
          <w:color w:val="000000"/>
        </w:rPr>
        <w:t xml:space="preserve">Diabetic ketoacidosis (DKA) is a serious complication of </w:t>
      </w:r>
      <w:bookmarkStart w:id="12" w:name="17dp8vu" w:colFirst="0" w:colLast="0"/>
      <w:bookmarkEnd w:id="12"/>
      <w:r>
        <w:rPr>
          <w:rFonts w:ascii="Book Antiqua" w:eastAsia="Book Antiqua" w:hAnsi="Book Antiqua" w:cs="Book Antiqua"/>
          <w:color w:val="000000"/>
        </w:rPr>
        <w:t xml:space="preserve">type 1 diabetes mellitus (T1DM). Very rarely does DKA lead to cerebral edema, and it is even rarer for it to result in cerebral infarction. </w:t>
      </w:r>
      <w:bookmarkStart w:id="13" w:name="26in1rg" w:colFirst="0" w:colLast="0"/>
      <w:bookmarkStart w:id="14" w:name="3rdcrjn" w:colFirst="0" w:colLast="0"/>
      <w:bookmarkEnd w:id="13"/>
      <w:bookmarkEnd w:id="14"/>
      <w:r>
        <w:rPr>
          <w:rFonts w:ascii="Book Antiqua" w:eastAsia="Book Antiqua" w:hAnsi="Book Antiqua" w:cs="Book Antiqua"/>
          <w:color w:val="000000"/>
        </w:rPr>
        <w:t xml:space="preserve">Bilateral </w:t>
      </w:r>
      <w:bookmarkStart w:id="15" w:name="35nkun2" w:colFirst="0" w:colLast="0"/>
      <w:bookmarkStart w:id="16" w:name="lnxbz9" w:colFirst="0" w:colLast="0"/>
      <w:bookmarkEnd w:id="15"/>
      <w:bookmarkEnd w:id="16"/>
      <w:r>
        <w:rPr>
          <w:rFonts w:ascii="Book Antiqua" w:eastAsia="Book Antiqua" w:hAnsi="Book Antiqua" w:cs="Book Antiqua"/>
          <w:color w:val="000000"/>
        </w:rPr>
        <w:t>internal carotid artery occlusion (BICAO) is also rare and can cause fatal stroke. Moreover, case report</w:t>
      </w:r>
      <w:r w:rsidR="00F43446">
        <w:rPr>
          <w:rFonts w:ascii="Book Antiqua" w:eastAsia="Book Antiqua" w:hAnsi="Book Antiqua" w:cs="Book Antiqua"/>
          <w:color w:val="000000"/>
        </w:rPr>
        <w:t>s</w:t>
      </w:r>
      <w:r>
        <w:rPr>
          <w:rFonts w:ascii="Book Antiqua" w:eastAsia="Book Antiqua" w:hAnsi="Book Antiqua" w:cs="Book Antiqua"/>
          <w:color w:val="000000"/>
        </w:rPr>
        <w:t xml:space="preserve"> about acute cerebral infarction throughout both </w:t>
      </w:r>
      <w:bookmarkStart w:id="17" w:name="2jxsxqh" w:colFirst="0" w:colLast="0"/>
      <w:bookmarkStart w:id="18" w:name="1ksv4uv" w:colFirst="0" w:colLast="0"/>
      <w:bookmarkStart w:id="19" w:name="44sinio" w:colFirst="0" w:colLast="0"/>
      <w:bookmarkEnd w:id="17"/>
      <w:bookmarkEnd w:id="18"/>
      <w:bookmarkEnd w:id="19"/>
      <w:r>
        <w:rPr>
          <w:rFonts w:ascii="Book Antiqua" w:eastAsia="Book Antiqua" w:hAnsi="Book Antiqua" w:cs="Book Antiqua"/>
          <w:color w:val="000000"/>
        </w:rPr>
        <w:t xml:space="preserve">internal carotid arteries with simultaneous BICAO </w:t>
      </w:r>
      <w:r w:rsidR="00F43446">
        <w:rPr>
          <w:rFonts w:ascii="Book Antiqua" w:eastAsia="Book Antiqua" w:hAnsi="Book Antiqua" w:cs="Book Antiqua"/>
          <w:color w:val="000000"/>
        </w:rPr>
        <w:t xml:space="preserve">are </w:t>
      </w:r>
      <w:r>
        <w:rPr>
          <w:rFonts w:ascii="Book Antiqua" w:eastAsia="Book Antiqua" w:hAnsi="Book Antiqua" w:cs="Book Antiqua"/>
          <w:color w:val="000000"/>
        </w:rPr>
        <w:t xml:space="preserve">very </w:t>
      </w:r>
      <w:r w:rsidR="00F43446">
        <w:rPr>
          <w:rFonts w:ascii="Book Antiqua" w:eastAsia="Book Antiqua" w:hAnsi="Book Antiqua" w:cs="Book Antiqua"/>
          <w:color w:val="000000"/>
        </w:rPr>
        <w:t>scarce</w:t>
      </w:r>
      <w:r>
        <w:rPr>
          <w:rFonts w:ascii="Book Antiqua" w:eastAsia="Book Antiqua" w:hAnsi="Book Antiqua" w:cs="Book Antiqua"/>
          <w:color w:val="000000"/>
        </w:rPr>
        <w:t xml:space="preserve">. </w:t>
      </w:r>
      <w:r w:rsidR="00F43446">
        <w:rPr>
          <w:rFonts w:ascii="Book Antiqua" w:eastAsia="Book Antiqua" w:hAnsi="Book Antiqua" w:cs="Book Antiqua"/>
          <w:color w:val="000000"/>
        </w:rPr>
        <w:t>In this study, w</w:t>
      </w:r>
      <w:r>
        <w:rPr>
          <w:rFonts w:ascii="Book Antiqua" w:eastAsia="Book Antiqua" w:hAnsi="Book Antiqua" w:cs="Book Antiqua"/>
          <w:color w:val="000000"/>
        </w:rPr>
        <w:t xml:space="preserve">e present a patient with BICAO, T1DM, hypertension, </w:t>
      </w:r>
      <w:r w:rsidR="00F43446">
        <w:rPr>
          <w:rFonts w:ascii="Book Antiqua" w:eastAsia="Book Antiqua" w:hAnsi="Book Antiqua" w:cs="Book Antiqua"/>
          <w:color w:val="000000"/>
        </w:rPr>
        <w:t xml:space="preserve">and </w:t>
      </w:r>
      <w:r>
        <w:rPr>
          <w:rFonts w:ascii="Book Antiqua" w:eastAsia="Book Antiqua" w:hAnsi="Book Antiqua" w:cs="Book Antiqua"/>
          <w:color w:val="000000"/>
        </w:rPr>
        <w:t>hyperlipidemia</w:t>
      </w:r>
      <w:r w:rsidR="00F43446">
        <w:rPr>
          <w:rFonts w:ascii="Book Antiqua" w:eastAsia="Book Antiqua" w:hAnsi="Book Antiqua" w:cs="Book Antiqua"/>
          <w:color w:val="000000"/>
        </w:rPr>
        <w:t>, who</w:t>
      </w:r>
      <w:r>
        <w:rPr>
          <w:rFonts w:ascii="Book Antiqua" w:eastAsia="Book Antiqua" w:hAnsi="Book Antiqua" w:cs="Book Antiqua"/>
          <w:color w:val="000000"/>
        </w:rPr>
        <w:t xml:space="preserve"> had a catastrophic bilateral cerebral infarction after a DKA episode. We briefly introduce BICAO and the mechanisms </w:t>
      </w:r>
      <w:r w:rsidR="00F43446">
        <w:rPr>
          <w:rFonts w:ascii="Book Antiqua" w:eastAsia="Book Antiqua" w:hAnsi="Book Antiqua" w:cs="Book Antiqua"/>
          <w:color w:val="000000"/>
        </w:rPr>
        <w:t>by which</w:t>
      </w:r>
      <w:r>
        <w:rPr>
          <w:rFonts w:ascii="Book Antiqua" w:eastAsia="Book Antiqua" w:hAnsi="Book Antiqua" w:cs="Book Antiqua"/>
          <w:color w:val="000000"/>
        </w:rPr>
        <w:t xml:space="preserve"> DKA </w:t>
      </w:r>
      <w:r w:rsidR="00F43446">
        <w:rPr>
          <w:rFonts w:ascii="Book Antiqua" w:eastAsia="Book Antiqua" w:hAnsi="Book Antiqua" w:cs="Book Antiqua"/>
          <w:color w:val="000000"/>
        </w:rPr>
        <w:t xml:space="preserve">results </w:t>
      </w:r>
      <w:r>
        <w:rPr>
          <w:rFonts w:ascii="Book Antiqua" w:eastAsia="Book Antiqua" w:hAnsi="Book Antiqua" w:cs="Book Antiqua"/>
          <w:color w:val="000000"/>
        </w:rPr>
        <w:t xml:space="preserve">in cerebral infarction. </w:t>
      </w:r>
    </w:p>
    <w:p w14:paraId="6386F0BE" w14:textId="77777777" w:rsidR="00500304" w:rsidRDefault="00500304">
      <w:pPr>
        <w:spacing w:line="360" w:lineRule="auto"/>
        <w:jc w:val="both"/>
      </w:pPr>
    </w:p>
    <w:p w14:paraId="4ACE98D1" w14:textId="77777777" w:rsidR="00500304" w:rsidRDefault="00034505">
      <w:pPr>
        <w:spacing w:line="360" w:lineRule="auto"/>
        <w:jc w:val="both"/>
      </w:pPr>
      <w:r>
        <w:rPr>
          <w:rFonts w:ascii="Book Antiqua" w:eastAsia="Book Antiqua" w:hAnsi="Book Antiqua" w:cs="Book Antiqua"/>
          <w:color w:val="000000"/>
        </w:rPr>
        <w:t>CASE SUMMARY</w:t>
      </w:r>
    </w:p>
    <w:p w14:paraId="72C96F87" w14:textId="77777777" w:rsidR="00500304" w:rsidRDefault="00034505">
      <w:pPr>
        <w:spacing w:line="360" w:lineRule="auto"/>
        <w:jc w:val="both"/>
      </w:pPr>
      <w:r>
        <w:rPr>
          <w:rFonts w:ascii="Book Antiqua" w:eastAsia="Book Antiqua" w:hAnsi="Book Antiqua" w:cs="Book Antiqua"/>
          <w:color w:val="000000"/>
        </w:rPr>
        <w:t xml:space="preserve">A 41-year-old woman presented with ischemic stroke that took place 3 mo prior over the left corona radiata, bilateral frontal lobe, and parietal lobe with right hemiplegia and Broca’s aphasia. She had a history of hypertension for 5 years, hyperlipidemia for 4 years, hyperthyroidism for 3 years, and T1DM for 31 years. The first brain </w:t>
      </w:r>
      <w:bookmarkStart w:id="20" w:name="z337ya" w:colFirst="0" w:colLast="0"/>
      <w:bookmarkStart w:id="21" w:name="3j2qqm3" w:colFirst="0" w:colLast="0"/>
      <w:bookmarkEnd w:id="20"/>
      <w:bookmarkEnd w:id="21"/>
      <w:r>
        <w:rPr>
          <w:rFonts w:ascii="Book Antiqua" w:eastAsia="Book Antiqua" w:hAnsi="Book Antiqua" w:cs="Book Antiqua"/>
          <w:color w:val="000000"/>
        </w:rPr>
        <w:t xml:space="preserve">magnetic resonance imaging not only revealed the aforementioned ischemic lesions but also bilateral internal carotid artery occlusion. She was admitted to our ward for rehabilitation due to prior stroke sequalae. DKA took place on hospital day 2. On hospital day 6, she had a new massive infarction over the bilateral </w:t>
      </w:r>
      <w:bookmarkStart w:id="22" w:name="1y810tw" w:colFirst="0" w:colLast="0"/>
      <w:bookmarkStart w:id="23" w:name="4i7ojhp" w:colFirst="0" w:colLast="0"/>
      <w:bookmarkEnd w:id="22"/>
      <w:bookmarkEnd w:id="23"/>
      <w:r>
        <w:rPr>
          <w:rFonts w:ascii="Book Antiqua" w:eastAsia="Book Antiqua" w:hAnsi="Book Antiqua" w:cs="Book Antiqua"/>
          <w:color w:val="000000"/>
        </w:rPr>
        <w:t xml:space="preserve">anterior cerebral artery and middle cerebral artery territory. After weeks of aggressive treatment, she remained in a coma and on mechanical ventilation due to respiratory failure. After discussion with her family, compassionate extubation was performed on hospital day 29 and she </w:t>
      </w:r>
      <w:r w:rsidR="009662AF">
        <w:rPr>
          <w:rFonts w:ascii="Book Antiqua" w:eastAsia="Book Antiqua" w:hAnsi="Book Antiqua" w:cs="Book Antiqua"/>
          <w:color w:val="000000"/>
        </w:rPr>
        <w:t>died</w:t>
      </w:r>
      <w:r>
        <w:rPr>
          <w:rFonts w:ascii="Book Antiqua" w:eastAsia="Book Antiqua" w:hAnsi="Book Antiqua" w:cs="Book Antiqua"/>
          <w:color w:val="000000"/>
        </w:rPr>
        <w:t>.</w:t>
      </w:r>
    </w:p>
    <w:p w14:paraId="34C87392" w14:textId="77777777" w:rsidR="00500304" w:rsidRDefault="00500304">
      <w:pPr>
        <w:spacing w:line="360" w:lineRule="auto"/>
        <w:jc w:val="both"/>
      </w:pPr>
    </w:p>
    <w:p w14:paraId="090686AD" w14:textId="77777777" w:rsidR="00500304" w:rsidRDefault="00034505">
      <w:pPr>
        <w:spacing w:line="360" w:lineRule="auto"/>
        <w:jc w:val="both"/>
      </w:pPr>
      <w:r>
        <w:rPr>
          <w:rFonts w:ascii="Book Antiqua" w:eastAsia="Book Antiqua" w:hAnsi="Book Antiqua" w:cs="Book Antiqua"/>
          <w:color w:val="000000"/>
        </w:rPr>
        <w:t>CONCLUSION</w:t>
      </w:r>
    </w:p>
    <w:p w14:paraId="5A695E22" w14:textId="77777777" w:rsidR="00500304" w:rsidRDefault="00034505">
      <w:pPr>
        <w:spacing w:line="360" w:lineRule="auto"/>
        <w:jc w:val="both"/>
      </w:pPr>
      <w:r>
        <w:rPr>
          <w:rFonts w:ascii="Book Antiqua" w:eastAsia="Book Antiqua" w:hAnsi="Book Antiqua" w:cs="Book Antiqua"/>
          <w:color w:val="000000"/>
        </w:rPr>
        <w:t>DKA can lead to cerebral infarction due to several mechanisms. In people with existing BICAO and several stroke risk factors such as hypertension, T1DM, hyperlipidemia, DKA has the potential to cause more serious ischemic strokes.</w:t>
      </w:r>
    </w:p>
    <w:p w14:paraId="174D1C8A" w14:textId="77777777" w:rsidR="00500304" w:rsidRDefault="00500304">
      <w:pPr>
        <w:spacing w:line="360" w:lineRule="auto"/>
        <w:jc w:val="both"/>
      </w:pPr>
    </w:p>
    <w:p w14:paraId="044C99FA" w14:textId="77777777" w:rsidR="00500304" w:rsidRDefault="00034505">
      <w:pPr>
        <w:spacing w:line="360" w:lineRule="auto"/>
        <w:jc w:val="both"/>
      </w:pPr>
      <w:r>
        <w:rPr>
          <w:rFonts w:ascii="Book Antiqua" w:eastAsia="Book Antiqua" w:hAnsi="Book Antiqua" w:cs="Book Antiqua"/>
          <w:b/>
          <w:color w:val="000000"/>
        </w:rPr>
        <w:t xml:space="preserve">Key Words: </w:t>
      </w:r>
      <w:r>
        <w:rPr>
          <w:rFonts w:ascii="Book Antiqua" w:eastAsia="Book Antiqua" w:hAnsi="Book Antiqua" w:cs="Book Antiqua"/>
          <w:color w:val="000000"/>
        </w:rPr>
        <w:t>Type 1 diabetes mellitus; Diabetic ketoacidosis; Bilateral internal carotid artery occlusion; Cerebral infarction; Case report</w:t>
      </w:r>
    </w:p>
    <w:p w14:paraId="1B8BF19F" w14:textId="77777777" w:rsidR="00EC1E46" w:rsidRDefault="00EC1E46" w:rsidP="00EC1E46">
      <w:pPr>
        <w:spacing w:line="360" w:lineRule="auto"/>
        <w:jc w:val="both"/>
        <w:rPr>
          <w:lang w:eastAsia="zh-CN"/>
        </w:rPr>
      </w:pPr>
    </w:p>
    <w:p w14:paraId="62C122D9" w14:textId="77777777" w:rsidR="00EC1E46" w:rsidRPr="00026CB8" w:rsidRDefault="00EC1E46" w:rsidP="00EC1E4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9BBB602" w14:textId="77777777" w:rsidR="00500304" w:rsidRDefault="00500304">
      <w:pPr>
        <w:spacing w:line="360" w:lineRule="auto"/>
        <w:jc w:val="both"/>
      </w:pPr>
    </w:p>
    <w:p w14:paraId="27D7C98B" w14:textId="3F566B22" w:rsidR="00527F7D" w:rsidRDefault="00527F7D">
      <w:pPr>
        <w:spacing w:line="360" w:lineRule="auto"/>
        <w:jc w:val="both"/>
        <w:rPr>
          <w:rFonts w:ascii="Book Antiqua" w:eastAsia="宋体" w:hAnsi="Book Antiqua" w:hint="eastAsia"/>
          <w:lang w:eastAsia="zh-CN"/>
        </w:rPr>
      </w:pPr>
      <w:r w:rsidRPr="00527F7D">
        <w:rPr>
          <w:rFonts w:ascii="Book Antiqua" w:eastAsia="宋体" w:hAnsi="Book Antiqua" w:cs="Book Antiqua" w:hint="eastAsia"/>
          <w:b/>
          <w:color w:val="000000"/>
          <w:lang w:eastAsia="zh-CN"/>
        </w:rPr>
        <w:t xml:space="preserve">Citation: </w:t>
      </w:r>
      <w:r w:rsidR="00034505">
        <w:rPr>
          <w:rFonts w:ascii="Book Antiqua" w:eastAsia="Book Antiqua" w:hAnsi="Book Antiqua" w:cs="Book Antiqua"/>
          <w:color w:val="000000"/>
        </w:rPr>
        <w:t xml:space="preserve">Chen YC, Tsai SJ. Bilateral cerebral infarction in diabetic ketoacidosis and bilateral internal carotid artery occlusion: A case report and review of literature. </w:t>
      </w:r>
      <w:r w:rsidR="00034505">
        <w:rPr>
          <w:rFonts w:ascii="Book Antiqua" w:eastAsia="Book Antiqua" w:hAnsi="Book Antiqua" w:cs="Book Antiqua"/>
          <w:i/>
          <w:color w:val="000000"/>
        </w:rPr>
        <w:t>World J Clin Cases</w:t>
      </w:r>
      <w:r w:rsidR="00034505">
        <w:rPr>
          <w:rFonts w:ascii="Book Antiqua" w:eastAsia="Book Antiqua" w:hAnsi="Book Antiqua" w:cs="Book Antiqua"/>
          <w:color w:val="000000"/>
        </w:rPr>
        <w:t xml:space="preserve"> </w:t>
      </w:r>
      <w:r w:rsidR="00C91DAF" w:rsidRPr="00EE6A3B">
        <w:rPr>
          <w:rFonts w:ascii="Book Antiqua" w:hAnsi="Book Antiqua"/>
        </w:rPr>
        <w:t>202</w:t>
      </w:r>
      <w:r w:rsidR="00C91DAF">
        <w:rPr>
          <w:rFonts w:ascii="Book Antiqua" w:hAnsi="Book Antiqua" w:hint="eastAsia"/>
          <w:lang w:eastAsia="zh-CN"/>
        </w:rPr>
        <w:t>1</w:t>
      </w:r>
      <w:r w:rsidR="00C91DAF" w:rsidRPr="00EE6A3B">
        <w:rPr>
          <w:rFonts w:ascii="Book Antiqua" w:hAnsi="Book Antiqua"/>
        </w:rPr>
        <w:t xml:space="preserve">; </w:t>
      </w:r>
      <w:r w:rsidR="00C91DAF">
        <w:rPr>
          <w:rFonts w:ascii="Book Antiqua" w:hAnsi="Book Antiqua" w:hint="eastAsia"/>
          <w:lang w:eastAsia="zh-CN"/>
        </w:rPr>
        <w:t>9</w:t>
      </w:r>
      <w:r w:rsidR="00C91DAF" w:rsidRPr="00EE6A3B">
        <w:rPr>
          <w:rFonts w:ascii="Book Antiqua" w:hAnsi="Book Antiqua"/>
        </w:rPr>
        <w:t>(</w:t>
      </w:r>
      <w:r w:rsidR="00C91DAF">
        <w:rPr>
          <w:rFonts w:ascii="Book Antiqua" w:hAnsi="Book Antiqua" w:hint="eastAsia"/>
          <w:lang w:eastAsia="zh-CN"/>
        </w:rPr>
        <w:t>15</w:t>
      </w:r>
      <w:r w:rsidR="00C91DAF" w:rsidRPr="00EE6A3B">
        <w:rPr>
          <w:rFonts w:ascii="Book Antiqua" w:hAnsi="Book Antiqua"/>
        </w:rPr>
        <w:t xml:space="preserve">): </w:t>
      </w:r>
      <w:r w:rsidR="00475232" w:rsidRPr="00475232">
        <w:rPr>
          <w:rFonts w:ascii="Book Antiqua" w:hAnsi="Book Antiqua"/>
        </w:rPr>
        <w:t>3787-3795</w:t>
      </w:r>
      <w:r w:rsidR="00C91DAF" w:rsidRPr="00EE6A3B">
        <w:rPr>
          <w:rFonts w:ascii="Book Antiqua" w:hAnsi="Book Antiqua"/>
        </w:rPr>
        <w:t xml:space="preserve">  </w:t>
      </w:r>
    </w:p>
    <w:p w14:paraId="0289181C" w14:textId="77777777" w:rsidR="00527F7D" w:rsidRDefault="00C91DAF">
      <w:pPr>
        <w:spacing w:line="360" w:lineRule="auto"/>
        <w:jc w:val="both"/>
        <w:rPr>
          <w:rFonts w:ascii="Book Antiqua" w:eastAsia="宋体" w:hAnsi="Book Antiqua" w:hint="eastAsia"/>
          <w:lang w:eastAsia="zh-CN"/>
        </w:rPr>
      </w:pPr>
      <w:r w:rsidRPr="00527F7D">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15</w:t>
      </w:r>
      <w:r w:rsidRPr="00EE6A3B">
        <w:rPr>
          <w:rFonts w:ascii="Book Antiqua" w:hAnsi="Book Antiqua"/>
        </w:rPr>
        <w:t>/</w:t>
      </w:r>
      <w:r w:rsidR="00475232" w:rsidRPr="00475232">
        <w:rPr>
          <w:rFonts w:ascii="Book Antiqua" w:hAnsi="Book Antiqua"/>
        </w:rPr>
        <w:t>3787</w:t>
      </w:r>
      <w:r w:rsidRPr="00EE6A3B">
        <w:rPr>
          <w:rFonts w:ascii="Book Antiqua" w:hAnsi="Book Antiqua"/>
        </w:rPr>
        <w:t xml:space="preserve">.htm  </w:t>
      </w:r>
    </w:p>
    <w:p w14:paraId="01422852" w14:textId="606EAD3B" w:rsidR="00500304" w:rsidRDefault="00C91DAF">
      <w:pPr>
        <w:spacing w:line="360" w:lineRule="auto"/>
        <w:jc w:val="both"/>
      </w:pPr>
      <w:r w:rsidRPr="00527F7D">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15</w:t>
      </w:r>
      <w:r w:rsidRPr="00EE6A3B">
        <w:rPr>
          <w:rFonts w:ascii="Book Antiqua" w:hAnsi="Book Antiqua"/>
        </w:rPr>
        <w:t>.</w:t>
      </w:r>
      <w:r w:rsidR="00475232" w:rsidRPr="00475232">
        <w:rPr>
          <w:rFonts w:ascii="Book Antiqua" w:hAnsi="Book Antiqua"/>
        </w:rPr>
        <w:t>3787</w:t>
      </w:r>
    </w:p>
    <w:p w14:paraId="6211911A" w14:textId="77777777" w:rsidR="00500304" w:rsidRDefault="00500304">
      <w:pPr>
        <w:spacing w:line="360" w:lineRule="auto"/>
        <w:jc w:val="both"/>
      </w:pPr>
    </w:p>
    <w:p w14:paraId="56F87EF1" w14:textId="77777777" w:rsidR="00500304" w:rsidRDefault="00034505">
      <w:pPr>
        <w:spacing w:line="360" w:lineRule="auto"/>
        <w:jc w:val="both"/>
      </w:pPr>
      <w:r>
        <w:rPr>
          <w:rFonts w:ascii="Book Antiqua" w:eastAsia="Book Antiqua" w:hAnsi="Book Antiqua" w:cs="Book Antiqua"/>
          <w:b/>
          <w:color w:val="000000"/>
        </w:rPr>
        <w:t xml:space="preserve">Core Tip: </w:t>
      </w:r>
      <w:r>
        <w:rPr>
          <w:rFonts w:ascii="Book Antiqua" w:eastAsia="Book Antiqua" w:hAnsi="Book Antiqua" w:cs="Book Antiqua"/>
          <w:color w:val="000000"/>
        </w:rPr>
        <w:t>Diabetic ketoacidosis (DKA) causes vascular endothelial injury, systemic inflammation, vasoconstriction, abnormal coagulation cascade, increased platelet aggregation, and increased blood viscosity</w:t>
      </w:r>
      <w:r w:rsidR="009662AF">
        <w:rPr>
          <w:rFonts w:ascii="Book Antiqua" w:eastAsia="Book Antiqua" w:hAnsi="Book Antiqua" w:cs="Book Antiqua"/>
          <w:color w:val="000000"/>
        </w:rPr>
        <w:t xml:space="preserve">, </w:t>
      </w:r>
      <w:r>
        <w:rPr>
          <w:rFonts w:ascii="Book Antiqua" w:eastAsia="Book Antiqua" w:hAnsi="Book Antiqua" w:cs="Book Antiqua"/>
          <w:color w:val="000000"/>
        </w:rPr>
        <w:t xml:space="preserve">all of which are associated with cerebral infarction. Bilateral internal carotid artery occlusion (BICAO) is a rare condition </w:t>
      </w:r>
      <w:r w:rsidR="009662AF">
        <w:rPr>
          <w:rFonts w:ascii="Book Antiqua" w:eastAsia="Book Antiqua" w:hAnsi="Book Antiqua" w:cs="Book Antiqua"/>
          <w:color w:val="000000"/>
        </w:rPr>
        <w:t xml:space="preserve">that </w:t>
      </w:r>
      <w:r>
        <w:rPr>
          <w:rFonts w:ascii="Book Antiqua" w:eastAsia="Book Antiqua" w:hAnsi="Book Antiqua" w:cs="Book Antiqua"/>
          <w:color w:val="000000"/>
        </w:rPr>
        <w:t>can give rise to devastating ischemic strokes. DKA acts as an additional risk factor for ischemic stroke in a high-risk patient with BICAO, hypertension, hyperlipidemia, and type 1 diabetes mellitus.</w:t>
      </w:r>
    </w:p>
    <w:p w14:paraId="162AC975" w14:textId="77777777" w:rsidR="00500304" w:rsidRDefault="00034505">
      <w:pPr>
        <w:spacing w:line="360" w:lineRule="auto"/>
        <w:jc w:val="both"/>
      </w:pPr>
      <w:r>
        <w:br w:type="page"/>
      </w:r>
      <w:r>
        <w:rPr>
          <w:rFonts w:ascii="Book Antiqua" w:eastAsia="Book Antiqua" w:hAnsi="Book Antiqua" w:cs="Book Antiqua"/>
          <w:b/>
          <w:smallCaps/>
          <w:color w:val="000000"/>
          <w:u w:val="single"/>
        </w:rPr>
        <w:t>INTRODUCTION</w:t>
      </w:r>
    </w:p>
    <w:p w14:paraId="027F422F" w14:textId="35107F64" w:rsidR="00500304" w:rsidRDefault="00034505">
      <w:pPr>
        <w:spacing w:line="360" w:lineRule="auto"/>
        <w:jc w:val="both"/>
      </w:pPr>
      <w:r>
        <w:rPr>
          <w:rFonts w:ascii="Book Antiqua" w:eastAsia="Book Antiqua" w:hAnsi="Book Antiqua" w:cs="Book Antiqua"/>
          <w:color w:val="000000"/>
        </w:rPr>
        <w:t>Hypertension</w:t>
      </w:r>
      <w:r>
        <w:rPr>
          <w:rFonts w:ascii="Book Antiqua" w:eastAsia="Book Antiqua" w:hAnsi="Book Antiqua" w:cs="Book Antiqua"/>
          <w:color w:val="000000"/>
          <w:highlight w:val="white"/>
          <w:vertAlign w:val="superscript"/>
        </w:rPr>
        <w:t>[1]</w:t>
      </w:r>
      <w:r>
        <w:rPr>
          <w:rFonts w:ascii="Book Antiqua" w:eastAsia="Book Antiqua" w:hAnsi="Book Antiqua" w:cs="Book Antiqua"/>
          <w:color w:val="000000"/>
        </w:rPr>
        <w:t>, hyperlipidemia</w:t>
      </w:r>
      <w:r>
        <w:rPr>
          <w:rFonts w:ascii="Book Antiqua" w:eastAsia="Book Antiqua" w:hAnsi="Book Antiqua" w:cs="Book Antiqua"/>
          <w:color w:val="000000"/>
          <w:highlight w:val="white"/>
          <w:vertAlign w:val="superscript"/>
        </w:rPr>
        <w:t>[2]</w:t>
      </w:r>
      <w:r>
        <w:rPr>
          <w:rFonts w:ascii="Book Antiqua" w:eastAsia="Book Antiqua" w:hAnsi="Book Antiqua" w:cs="Book Antiqua"/>
          <w:color w:val="000000"/>
        </w:rPr>
        <w:t xml:space="preserve"> and diabetes mellitus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are risk factors for ischemic stroke. People with diabetes have more than double the risk of ischemic stroke </w:t>
      </w:r>
      <w:r>
        <w:rPr>
          <w:rFonts w:ascii="Book Antiqua" w:eastAsia="Book Antiqua" w:hAnsi="Book Antiqua" w:cs="Book Antiqua"/>
          <w:color w:val="000000"/>
          <w:highlight w:val="white"/>
        </w:rPr>
        <w:t>in comparison with individuals without diabetes</w:t>
      </w:r>
      <w:r>
        <w:rPr>
          <w:rFonts w:ascii="Book Antiqua" w:eastAsia="Book Antiqua" w:hAnsi="Book Antiqua" w:cs="Book Antiqua"/>
          <w:color w:val="000000"/>
          <w:highlight w:val="white"/>
          <w:vertAlign w:val="superscript"/>
        </w:rPr>
        <w:t>[3]</w:t>
      </w:r>
      <w:r>
        <w:rPr>
          <w:rFonts w:ascii="Book Antiqua" w:eastAsia="Book Antiqua" w:hAnsi="Book Antiqua" w:cs="Book Antiqua"/>
          <w:color w:val="000000"/>
          <w:highlight w:val="white"/>
        </w:rPr>
        <w:t>.</w:t>
      </w:r>
      <w:r>
        <w:rPr>
          <w:rFonts w:ascii="Book Antiqua" w:eastAsia="Book Antiqua" w:hAnsi="Book Antiqua" w:cs="Book Antiqua"/>
          <w:color w:val="000000"/>
        </w:rPr>
        <w:t xml:space="preserve"> The recurrent stroke incidence in people with prior stroke in 5 years has been reported </w:t>
      </w:r>
      <w:r w:rsidR="00304DAF">
        <w:rPr>
          <w:rFonts w:ascii="Book Antiqua" w:eastAsia="Book Antiqua" w:hAnsi="Book Antiqua" w:cs="Book Antiqua"/>
          <w:color w:val="000000"/>
        </w:rPr>
        <w:t xml:space="preserve">to range </w:t>
      </w:r>
      <w:r>
        <w:rPr>
          <w:rFonts w:ascii="Book Antiqua" w:eastAsia="Book Antiqua" w:hAnsi="Book Antiqua" w:cs="Book Antiqua"/>
          <w:color w:val="000000"/>
        </w:rPr>
        <w:t>from 19% to 32%</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Diabetic ketoacidosis (DKA) often occurs in people with </w:t>
      </w:r>
      <w:r w:rsidR="00884441">
        <w:rPr>
          <w:rFonts w:ascii="Book Antiqua" w:eastAsia="Book Antiqua" w:hAnsi="Book Antiqua" w:cs="Book Antiqua"/>
          <w:color w:val="000000"/>
        </w:rPr>
        <w:t>type 1 diabetes mellitus (</w:t>
      </w:r>
      <w:r>
        <w:rPr>
          <w:rFonts w:ascii="Book Antiqua" w:eastAsia="Book Antiqua" w:hAnsi="Book Antiqua" w:cs="Book Antiqua"/>
          <w:color w:val="000000"/>
        </w:rPr>
        <w:t>T1DM</w:t>
      </w:r>
      <w:r w:rsidR="00884441">
        <w:rPr>
          <w:rFonts w:ascii="Book Antiqua" w:eastAsia="Book Antiqua" w:hAnsi="Book Antiqua" w:cs="Book Antiqua"/>
          <w:color w:val="000000"/>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whose neurological complications include cerebral edema. However, literature about the link between ischemic stroke and DKA is not very common in adults. Bilateral internal carotid artery occlusion (BICAO) can lead to fatal stroke</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only accounts for 0.4% of people with cerebral vascular accident</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Moreover, acute cerebral infarction throughout both </w:t>
      </w:r>
      <w:bookmarkStart w:id="24" w:name="2xcytpi" w:colFirst="0" w:colLast="0"/>
      <w:bookmarkEnd w:id="24"/>
      <w:r>
        <w:rPr>
          <w:rFonts w:ascii="Book Antiqua" w:eastAsia="Book Antiqua" w:hAnsi="Book Antiqua" w:cs="Book Antiqua"/>
          <w:color w:val="000000"/>
        </w:rPr>
        <w:t>internal carotid arteries (ICAs) with simultaneous BICAO is also rare</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This article presents a 41-year-old woman with T1DM for 31 years, </w:t>
      </w:r>
      <w:r w:rsidR="00304DAF">
        <w:rPr>
          <w:rFonts w:ascii="Book Antiqua" w:eastAsia="Book Antiqua" w:hAnsi="Book Antiqua" w:cs="Book Antiqua"/>
          <w:color w:val="000000"/>
        </w:rPr>
        <w:t xml:space="preserve">as well as </w:t>
      </w:r>
      <w:r>
        <w:rPr>
          <w:rFonts w:ascii="Book Antiqua" w:eastAsia="Book Antiqua" w:hAnsi="Book Antiqua" w:cs="Book Antiqua"/>
          <w:color w:val="000000"/>
        </w:rPr>
        <w:t xml:space="preserve">hypertension and hyperlipidemia for several years, and who suffered from BICAO and ischemic stroke over the left corona radiata, bilateral frontal lobe, and parietal lobe 3 mo prior. She had a DKA episode and a massive infarction in the bilateral </w:t>
      </w:r>
      <w:bookmarkStart w:id="25" w:name="qsh70q" w:colFirst="0" w:colLast="0"/>
      <w:bookmarkStart w:id="26" w:name="2bn6wsx" w:colFirst="0" w:colLast="0"/>
      <w:bookmarkStart w:id="27" w:name="1ci93xb" w:colFirst="0" w:colLast="0"/>
      <w:bookmarkStart w:id="28" w:name="3whwml4" w:colFirst="0" w:colLast="0"/>
      <w:bookmarkEnd w:id="25"/>
      <w:bookmarkEnd w:id="26"/>
      <w:bookmarkEnd w:id="27"/>
      <w:bookmarkEnd w:id="28"/>
      <w:r>
        <w:rPr>
          <w:rFonts w:ascii="Book Antiqua" w:eastAsia="Book Antiqua" w:hAnsi="Book Antiqua" w:cs="Book Antiqua"/>
          <w:color w:val="000000"/>
        </w:rPr>
        <w:t xml:space="preserve">anterior cerebral artery (ACA) and </w:t>
      </w:r>
      <w:bookmarkStart w:id="29" w:name="3as4poj" w:colFirst="0" w:colLast="0"/>
      <w:bookmarkStart w:id="30" w:name="1pxezwc" w:colFirst="0" w:colLast="0"/>
      <w:bookmarkEnd w:id="29"/>
      <w:bookmarkEnd w:id="30"/>
      <w:r>
        <w:rPr>
          <w:rFonts w:ascii="Book Antiqua" w:eastAsia="Book Antiqua" w:hAnsi="Book Antiqua" w:cs="Book Antiqua"/>
          <w:color w:val="000000"/>
        </w:rPr>
        <w:t xml:space="preserve">middle cerebral artery (MCA) territories afterward. We will discuss the mechanisms of DKA and BICAO that may </w:t>
      </w:r>
      <w:r w:rsidR="00304DAF">
        <w:rPr>
          <w:rFonts w:ascii="Book Antiqua" w:eastAsia="Book Antiqua" w:hAnsi="Book Antiqua" w:cs="Book Antiqua"/>
          <w:color w:val="000000"/>
        </w:rPr>
        <w:t xml:space="preserve">be </w:t>
      </w:r>
      <w:r>
        <w:rPr>
          <w:rFonts w:ascii="Book Antiqua" w:eastAsia="Book Antiqua" w:hAnsi="Book Antiqua" w:cs="Book Antiqua"/>
          <w:color w:val="000000"/>
        </w:rPr>
        <w:t>involve</w:t>
      </w:r>
      <w:r w:rsidR="00304DAF">
        <w:rPr>
          <w:rFonts w:ascii="Book Antiqua" w:eastAsia="Book Antiqua" w:hAnsi="Book Antiqua" w:cs="Book Antiqua"/>
          <w:color w:val="000000"/>
        </w:rPr>
        <w:t>d</w:t>
      </w:r>
      <w:r>
        <w:rPr>
          <w:rFonts w:ascii="Book Antiqua" w:eastAsia="Book Antiqua" w:hAnsi="Book Antiqua" w:cs="Book Antiqua"/>
          <w:color w:val="000000"/>
        </w:rPr>
        <w:t xml:space="preserve"> in such massive brain infarction.</w:t>
      </w:r>
    </w:p>
    <w:p w14:paraId="671AACC9" w14:textId="77777777" w:rsidR="00500304" w:rsidRDefault="00500304">
      <w:pPr>
        <w:spacing w:line="360" w:lineRule="auto"/>
        <w:jc w:val="both"/>
      </w:pPr>
    </w:p>
    <w:p w14:paraId="05637F34" w14:textId="77777777" w:rsidR="00500304" w:rsidRDefault="00034505">
      <w:pPr>
        <w:spacing w:line="360" w:lineRule="auto"/>
        <w:jc w:val="both"/>
      </w:pPr>
      <w:r>
        <w:rPr>
          <w:rFonts w:ascii="Book Antiqua" w:eastAsia="Book Antiqua" w:hAnsi="Book Antiqua" w:cs="Book Antiqua"/>
          <w:b/>
          <w:smallCaps/>
          <w:color w:val="000000"/>
          <w:u w:val="single"/>
        </w:rPr>
        <w:t>CASE PRESENTATION</w:t>
      </w:r>
    </w:p>
    <w:p w14:paraId="5513B2C0" w14:textId="77777777" w:rsidR="00500304" w:rsidRDefault="00034505">
      <w:pPr>
        <w:spacing w:line="360" w:lineRule="auto"/>
        <w:jc w:val="both"/>
      </w:pPr>
      <w:r>
        <w:rPr>
          <w:rFonts w:ascii="Book Antiqua" w:eastAsia="Book Antiqua" w:hAnsi="Book Antiqua" w:cs="Book Antiqua"/>
          <w:b/>
          <w:i/>
          <w:color w:val="000000"/>
        </w:rPr>
        <w:t>Chief complaints</w:t>
      </w:r>
    </w:p>
    <w:p w14:paraId="6FBD46D0" w14:textId="77777777" w:rsidR="00500304" w:rsidRDefault="00034505">
      <w:pPr>
        <w:spacing w:line="360" w:lineRule="auto"/>
        <w:jc w:val="both"/>
      </w:pPr>
      <w:r>
        <w:rPr>
          <w:rFonts w:ascii="Book Antiqua" w:eastAsia="Book Antiqua" w:hAnsi="Book Antiqua" w:cs="Book Antiqua"/>
          <w:color w:val="000000"/>
        </w:rPr>
        <w:t>A 41-year-old woman was admitted to our ward for rehabilitation due to ischemic stroke 3 mo prior.</w:t>
      </w:r>
    </w:p>
    <w:p w14:paraId="4B529C50" w14:textId="77777777" w:rsidR="00500304" w:rsidRDefault="00500304">
      <w:pPr>
        <w:spacing w:line="360" w:lineRule="auto"/>
        <w:jc w:val="both"/>
      </w:pPr>
    </w:p>
    <w:p w14:paraId="3B43818E" w14:textId="77777777" w:rsidR="00500304" w:rsidRDefault="00034505">
      <w:pPr>
        <w:spacing w:line="360" w:lineRule="auto"/>
        <w:jc w:val="both"/>
      </w:pPr>
      <w:r>
        <w:rPr>
          <w:rFonts w:ascii="Book Antiqua" w:eastAsia="Book Antiqua" w:hAnsi="Book Antiqua" w:cs="Book Antiqua"/>
          <w:b/>
          <w:i/>
          <w:color w:val="000000"/>
        </w:rPr>
        <w:t>History of present illness</w:t>
      </w:r>
    </w:p>
    <w:p w14:paraId="27CDEBEB" w14:textId="4A4A385C" w:rsidR="00500304" w:rsidRDefault="00034505">
      <w:pPr>
        <w:spacing w:line="360" w:lineRule="auto"/>
        <w:jc w:val="both"/>
      </w:pPr>
      <w:r>
        <w:rPr>
          <w:rFonts w:ascii="Book Antiqua" w:eastAsia="Book Antiqua" w:hAnsi="Book Antiqua" w:cs="Book Antiqua"/>
          <w:color w:val="000000"/>
        </w:rPr>
        <w:t xml:space="preserve">The patient had ischemic stroke over the left corona radiata, bilateral frontal lobe, and parietal lobe 3 mo prior with right hemiplegia and Broca’s aphasia (Figure 1) and received inpatient rehabilitation programs in other hospitals. There </w:t>
      </w:r>
      <w:r w:rsidR="00304DAF">
        <w:rPr>
          <w:rFonts w:ascii="Book Antiqua" w:eastAsia="Book Antiqua" w:hAnsi="Book Antiqua" w:cs="Book Antiqua"/>
          <w:color w:val="000000"/>
        </w:rPr>
        <w:t xml:space="preserve">were </w:t>
      </w:r>
      <w:r>
        <w:rPr>
          <w:rFonts w:ascii="Book Antiqua" w:eastAsia="Book Antiqua" w:hAnsi="Book Antiqua" w:cs="Book Antiqua"/>
          <w:color w:val="000000"/>
        </w:rPr>
        <w:t>no major accident</w:t>
      </w:r>
      <w:r w:rsidR="00304DAF">
        <w:rPr>
          <w:rFonts w:ascii="Book Antiqua" w:eastAsia="Book Antiqua" w:hAnsi="Book Antiqua" w:cs="Book Antiqua"/>
          <w:color w:val="000000"/>
        </w:rPr>
        <w:t>s</w:t>
      </w:r>
      <w:r>
        <w:rPr>
          <w:rFonts w:ascii="Book Antiqua" w:eastAsia="Book Antiqua" w:hAnsi="Book Antiqua" w:cs="Book Antiqua"/>
          <w:color w:val="000000"/>
        </w:rPr>
        <w:t xml:space="preserve"> such as recurrent stroke, urinary tract infection, </w:t>
      </w:r>
      <w:r w:rsidR="00304DAF">
        <w:rPr>
          <w:rFonts w:ascii="Book Antiqua" w:eastAsia="Book Antiqua" w:hAnsi="Book Antiqua" w:cs="Book Antiqua"/>
          <w:color w:val="000000"/>
        </w:rPr>
        <w:t xml:space="preserve">or </w:t>
      </w:r>
      <w:r>
        <w:rPr>
          <w:rFonts w:ascii="Book Antiqua" w:eastAsia="Book Antiqua" w:hAnsi="Book Antiqua" w:cs="Book Antiqua"/>
          <w:color w:val="000000"/>
        </w:rPr>
        <w:t xml:space="preserve">pneumonia during the </w:t>
      </w:r>
      <w:r w:rsidR="00304DAF">
        <w:rPr>
          <w:rFonts w:ascii="Book Antiqua" w:eastAsia="Book Antiqua" w:hAnsi="Book Antiqua" w:cs="Book Antiqua"/>
          <w:color w:val="000000"/>
        </w:rPr>
        <w:t xml:space="preserve">3 </w:t>
      </w:r>
      <w:r>
        <w:rPr>
          <w:rFonts w:ascii="Book Antiqua" w:eastAsia="Book Antiqua" w:hAnsi="Book Antiqua" w:cs="Book Antiqua"/>
          <w:color w:val="000000"/>
        </w:rPr>
        <w:t xml:space="preserve">mo. This time she was transferred to our ward for further rehabilitation. Upon admission, she had significant right hemiplegia but she still could ambulate with use of a quad cane for short distances. Her consciousness was alert but Broca’s aphasia was presented. Her symptoms included dizziness, vomiting, Kussmaul breathing, and </w:t>
      </w:r>
      <w:r w:rsidR="00304DAF">
        <w:rPr>
          <w:rFonts w:ascii="Book Antiqua" w:eastAsia="Book Antiqua" w:hAnsi="Book Antiqua" w:cs="Book Antiqua"/>
          <w:color w:val="000000"/>
        </w:rPr>
        <w:t>lowered</w:t>
      </w:r>
      <w:r>
        <w:rPr>
          <w:rFonts w:ascii="Book Antiqua" w:eastAsia="Book Antiqua" w:hAnsi="Book Antiqua" w:cs="Book Antiqua"/>
          <w:color w:val="000000"/>
        </w:rPr>
        <w:t xml:space="preserve"> response to verbal commands </w:t>
      </w:r>
      <w:r w:rsidR="00304DAF">
        <w:rPr>
          <w:rFonts w:ascii="Book Antiqua" w:eastAsia="Book Antiqua" w:hAnsi="Book Antiqua" w:cs="Book Antiqua"/>
          <w:color w:val="000000"/>
        </w:rPr>
        <w:t xml:space="preserve">on </w:t>
      </w:r>
      <w:r>
        <w:rPr>
          <w:rFonts w:ascii="Book Antiqua" w:eastAsia="Book Antiqua" w:hAnsi="Book Antiqua" w:cs="Book Antiqua"/>
          <w:color w:val="000000"/>
        </w:rPr>
        <w:t>the morning of hospital day 2. There were no new appearances of limb weakness. Hyperglycemia persisted despite sequential subcutaneous rapid-acting insulin injections. Arterial blood gas analysis showed metabolic acidosis (pH 7.255, PCO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15.9 </w:t>
      </w:r>
      <w:bookmarkStart w:id="31" w:name="49x2ik5" w:colFirst="0" w:colLast="0"/>
      <w:bookmarkEnd w:id="31"/>
      <w:r>
        <w:rPr>
          <w:rFonts w:ascii="Book Antiqua" w:eastAsia="Book Antiqua" w:hAnsi="Book Antiqua" w:cs="Book Antiqua"/>
          <w:color w:val="000000"/>
        </w:rPr>
        <w:t>mmHg, HCO</w:t>
      </w:r>
      <w:r>
        <w:rPr>
          <w:rFonts w:ascii="Book Antiqua" w:eastAsia="Book Antiqua" w:hAnsi="Book Antiqua" w:cs="Book Antiqua"/>
          <w:color w:val="000000"/>
          <w:vertAlign w:val="subscript"/>
        </w:rPr>
        <w:t>3</w:t>
      </w:r>
      <w:r w:rsidRPr="0088444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7.1 mmol/L, base excess -16.8 mmol/L). Urine analysis disclosed ketone 3+. DKA was suspected, and she was transferred to the intensive care unit for further care, which included aggressive hydration, insulin pump, bicarbonate infusion, and electrolyte correction. Serum ketone body on hospital day 3 was 5.5 mmol/L. After DKA, the patient was still conscious and alert, but her arterial blood gas had revealed metabolic acidosis with respiratory compensation from day 2 to day 5 (Table </w:t>
      </w:r>
      <w:r w:rsidR="00AA5A63">
        <w:rPr>
          <w:rFonts w:ascii="Book Antiqua" w:eastAsia="Book Antiqua" w:hAnsi="Book Antiqua" w:cs="Book Antiqua"/>
          <w:color w:val="000000"/>
        </w:rPr>
        <w:t>1</w:t>
      </w:r>
      <w:r>
        <w:rPr>
          <w:rFonts w:ascii="Book Antiqua" w:eastAsia="Book Antiqua" w:hAnsi="Book Antiqua" w:cs="Book Antiqua"/>
          <w:color w:val="000000"/>
        </w:rPr>
        <w:t xml:space="preserve">). However, on the morning of hospital day 6, she became comatose and hemodynamic instability was also noted. The brain magnetic resonance imaging (MRI) disclosed: (1) </w:t>
      </w:r>
      <w:r w:rsidR="00884441">
        <w:rPr>
          <w:rFonts w:ascii="Book Antiqua" w:eastAsia="Book Antiqua" w:hAnsi="Book Antiqua" w:cs="Book Antiqua"/>
          <w:color w:val="000000"/>
        </w:rPr>
        <w:t>A</w:t>
      </w:r>
      <w:r>
        <w:rPr>
          <w:rFonts w:ascii="Book Antiqua" w:eastAsia="Book Antiqua" w:hAnsi="Book Antiqua" w:cs="Book Antiqua"/>
          <w:color w:val="000000"/>
        </w:rPr>
        <w:t xml:space="preserve">cute infarction lesions over the bilateral MCA and bilateral ACA territory with brain swelling of infarction lesions and midline shift; and (2) </w:t>
      </w:r>
      <w:r w:rsidR="00884441">
        <w:rPr>
          <w:rFonts w:ascii="Book Antiqua" w:eastAsia="Book Antiqua" w:hAnsi="Book Antiqua" w:cs="Book Antiqua"/>
          <w:color w:val="000000"/>
        </w:rPr>
        <w:t>O</w:t>
      </w:r>
      <w:r>
        <w:rPr>
          <w:rFonts w:ascii="Book Antiqua" w:eastAsia="Book Antiqua" w:hAnsi="Book Antiqua" w:cs="Book Antiqua"/>
          <w:color w:val="000000"/>
        </w:rPr>
        <w:t>cclusion of bilateral ICA (Figure 2). Glycerol was administered for increased intracranial pressure, and endotracheal intubation was performed. Echocardiograms revealed normal left ventricle contractility and no evidence of thrombus or vegetation formation. Hemodynamic instability, respiratory failure, and severe hyperglycemia persisted. The patient was in a coma from hospital day 6 to day 29, and mechanical ventilation was needed. After discussion with her family about her poor prognosis, compassionate extubation was performed, and she expired on hospital day 29. The timeline of the patient is presented in Figure 3.</w:t>
      </w:r>
    </w:p>
    <w:p w14:paraId="21E06D37" w14:textId="77777777" w:rsidR="00500304" w:rsidRDefault="00500304">
      <w:pPr>
        <w:spacing w:line="360" w:lineRule="auto"/>
        <w:jc w:val="both"/>
      </w:pPr>
    </w:p>
    <w:p w14:paraId="39CA9E76" w14:textId="77777777" w:rsidR="00500304" w:rsidRDefault="00034505">
      <w:pPr>
        <w:spacing w:line="360" w:lineRule="auto"/>
        <w:jc w:val="both"/>
      </w:pPr>
      <w:r>
        <w:rPr>
          <w:rFonts w:ascii="Book Antiqua" w:eastAsia="Book Antiqua" w:hAnsi="Book Antiqua" w:cs="Book Antiqua"/>
          <w:b/>
          <w:i/>
          <w:color w:val="000000"/>
        </w:rPr>
        <w:t>History of past illness</w:t>
      </w:r>
    </w:p>
    <w:p w14:paraId="2D2DF9A6" w14:textId="77777777" w:rsidR="00500304" w:rsidRDefault="00034505">
      <w:pPr>
        <w:spacing w:line="360" w:lineRule="auto"/>
        <w:jc w:val="both"/>
      </w:pPr>
      <w:r>
        <w:rPr>
          <w:rFonts w:ascii="Book Antiqua" w:eastAsia="Book Antiqua" w:hAnsi="Book Antiqua" w:cs="Book Antiqua"/>
          <w:color w:val="000000"/>
        </w:rPr>
        <w:t xml:space="preserve">Three months prior, the patient had an ischemic stroke in the left corona radiata, bilateral frontal lobe, and parietal lobe as well as </w:t>
      </w:r>
      <w:r w:rsidR="00304DAF">
        <w:rPr>
          <w:rFonts w:ascii="Book Antiqua" w:eastAsia="Book Antiqua" w:hAnsi="Book Antiqua" w:cs="Book Antiqua"/>
          <w:color w:val="000000"/>
        </w:rPr>
        <w:t>BICAO</w:t>
      </w:r>
      <w:r>
        <w:rPr>
          <w:rFonts w:ascii="Book Antiqua" w:eastAsia="Book Antiqua" w:hAnsi="Book Antiqua" w:cs="Book Antiqua"/>
          <w:color w:val="000000"/>
        </w:rPr>
        <w:t xml:space="preserve"> (Figure 1). There was no major accident in the </w:t>
      </w:r>
      <w:r w:rsidR="00304DAF">
        <w:rPr>
          <w:rFonts w:ascii="Book Antiqua" w:eastAsia="Book Antiqua" w:hAnsi="Book Antiqua" w:cs="Book Antiqua"/>
          <w:color w:val="000000"/>
        </w:rPr>
        <w:t xml:space="preserve">3 </w:t>
      </w:r>
      <w:r>
        <w:rPr>
          <w:rFonts w:ascii="Book Antiqua" w:eastAsia="Book Antiqua" w:hAnsi="Book Antiqua" w:cs="Book Antiqua"/>
          <w:color w:val="000000"/>
        </w:rPr>
        <w:t>mo before this admission. The patient also had T1DM for 31 years, hypertension for 5 years, hyperlipidemia for 4 years, and hyperthyroidism for 3 years. She had regular subcutaneous insulin injections and medical control for the above diseases. The medications being taken were methimazole 5 mg once daily, aspirin 100 mg once daily, and atorvastatin 20 mg once daily.</w:t>
      </w:r>
    </w:p>
    <w:p w14:paraId="57CF148B" w14:textId="77777777" w:rsidR="00500304" w:rsidRDefault="00500304">
      <w:pPr>
        <w:spacing w:line="360" w:lineRule="auto"/>
        <w:jc w:val="both"/>
      </w:pPr>
    </w:p>
    <w:p w14:paraId="3E53FE06" w14:textId="77777777" w:rsidR="00500304" w:rsidRDefault="00034505">
      <w:pPr>
        <w:spacing w:line="360" w:lineRule="auto"/>
        <w:jc w:val="both"/>
      </w:pPr>
      <w:r>
        <w:rPr>
          <w:rFonts w:ascii="Book Antiqua" w:eastAsia="Book Antiqua" w:hAnsi="Book Antiqua" w:cs="Book Antiqua"/>
          <w:b/>
          <w:i/>
          <w:color w:val="000000"/>
        </w:rPr>
        <w:t>Personal and family history</w:t>
      </w:r>
    </w:p>
    <w:p w14:paraId="37450ABD" w14:textId="77777777" w:rsidR="00500304" w:rsidRDefault="00034505">
      <w:pPr>
        <w:spacing w:line="360" w:lineRule="auto"/>
        <w:jc w:val="both"/>
      </w:pPr>
      <w:r>
        <w:rPr>
          <w:rFonts w:ascii="Book Antiqua" w:eastAsia="Book Antiqua" w:hAnsi="Book Antiqua" w:cs="Book Antiqua"/>
          <w:color w:val="000000"/>
        </w:rPr>
        <w:t>The patient did not drink or smoke. The patient’s family history was negative.</w:t>
      </w:r>
    </w:p>
    <w:p w14:paraId="6EB9D757" w14:textId="77777777" w:rsidR="00500304" w:rsidRDefault="00500304">
      <w:pPr>
        <w:spacing w:line="360" w:lineRule="auto"/>
        <w:jc w:val="both"/>
      </w:pPr>
    </w:p>
    <w:p w14:paraId="6A8706E9" w14:textId="77777777" w:rsidR="00500304" w:rsidRDefault="00034505">
      <w:pPr>
        <w:spacing w:line="360" w:lineRule="auto"/>
        <w:jc w:val="both"/>
      </w:pPr>
      <w:r>
        <w:rPr>
          <w:rFonts w:ascii="Book Antiqua" w:eastAsia="Book Antiqua" w:hAnsi="Book Antiqua" w:cs="Book Antiqua"/>
          <w:b/>
          <w:i/>
          <w:color w:val="000000"/>
        </w:rPr>
        <w:t>Physical examination</w:t>
      </w:r>
    </w:p>
    <w:p w14:paraId="5920FE79" w14:textId="59F08DAA" w:rsidR="00500304" w:rsidRDefault="00034505">
      <w:pPr>
        <w:spacing w:line="360" w:lineRule="auto"/>
        <w:jc w:val="both"/>
      </w:pPr>
      <w:r>
        <w:rPr>
          <w:rFonts w:ascii="Book Antiqua" w:eastAsia="Book Antiqua" w:hAnsi="Book Antiqua" w:cs="Book Antiqua"/>
          <w:color w:val="000000"/>
        </w:rPr>
        <w:t>At admission, the patient's body temperature was 36.1</w:t>
      </w:r>
      <w:r w:rsidR="00884441">
        <w:rPr>
          <w:rFonts w:ascii="Book Antiqua" w:eastAsia="Book Antiqua" w:hAnsi="Book Antiqua" w:cs="Book Antiqua"/>
          <w:color w:val="000000"/>
        </w:rPr>
        <w:t xml:space="preserve"> </w:t>
      </w:r>
      <w:r>
        <w:rPr>
          <w:rFonts w:ascii="Book Antiqua" w:eastAsia="Book Antiqua" w:hAnsi="Book Antiqua" w:cs="Book Antiqua"/>
          <w:color w:val="000000"/>
        </w:rPr>
        <w:t>°C, pulse was 84 beats/min, and blood pressure was 125/78 mmHg. Her breathing was steady, averaging 18 breaths per minute. Neurological examinations showed clear consciousness, right central facial palsy and right hemiplegia. The Brunnstrom stage of her right upper limb and right lower limb were III/III (proximal/distal) and IV, respectively. For functional status, she could ambulate with use of a quad cane for short distances. She was able to feed herself. Broca’s aphasia was noted.</w:t>
      </w:r>
    </w:p>
    <w:p w14:paraId="61CF3C06" w14:textId="77777777" w:rsidR="00500304" w:rsidRDefault="00500304">
      <w:pPr>
        <w:spacing w:line="360" w:lineRule="auto"/>
        <w:jc w:val="both"/>
      </w:pPr>
    </w:p>
    <w:p w14:paraId="663EAABD" w14:textId="77777777" w:rsidR="00500304" w:rsidRDefault="00034505">
      <w:pPr>
        <w:spacing w:line="360" w:lineRule="auto"/>
        <w:jc w:val="both"/>
      </w:pPr>
      <w:r>
        <w:rPr>
          <w:rFonts w:ascii="Book Antiqua" w:eastAsia="Book Antiqua" w:hAnsi="Book Antiqua" w:cs="Book Antiqua"/>
          <w:b/>
          <w:i/>
          <w:color w:val="000000"/>
        </w:rPr>
        <w:t>Laboratory examinations</w:t>
      </w:r>
    </w:p>
    <w:p w14:paraId="0D28F878" w14:textId="527CEB4A" w:rsidR="00500304" w:rsidRDefault="00034505">
      <w:pPr>
        <w:spacing w:line="360" w:lineRule="auto"/>
        <w:jc w:val="both"/>
      </w:pPr>
      <w:r>
        <w:rPr>
          <w:rFonts w:ascii="Book Antiqua" w:eastAsia="Book Antiqua" w:hAnsi="Book Antiqua" w:cs="Book Antiqua"/>
          <w:color w:val="000000"/>
        </w:rPr>
        <w:t xml:space="preserve">The blood test on hospital day 2 showed a glycohemoglobin level of 7.8%, hyperglycemia (344 mg/dL), and normal thyroid function. Other levels were within normal range. Urine analysis on hospital day 1 showed neither ketonuria nor pyuria. The detailed blood examinations during hospitalization are listed in Table </w:t>
      </w:r>
      <w:r w:rsidR="00AA5A63">
        <w:rPr>
          <w:rFonts w:ascii="Book Antiqua" w:eastAsia="Book Antiqua" w:hAnsi="Book Antiqua" w:cs="Book Antiqua"/>
          <w:color w:val="000000"/>
        </w:rPr>
        <w:t>2</w:t>
      </w:r>
      <w:r>
        <w:rPr>
          <w:rFonts w:ascii="Book Antiqua" w:eastAsia="Book Antiqua" w:hAnsi="Book Antiqua" w:cs="Book Antiqua"/>
          <w:color w:val="000000"/>
        </w:rPr>
        <w:t xml:space="preserve">. The thyroid function at admission and stroke survey after the second stroke are listed in Table </w:t>
      </w:r>
      <w:r w:rsidR="00AA5A63">
        <w:rPr>
          <w:rFonts w:ascii="Book Antiqua" w:eastAsia="Book Antiqua" w:hAnsi="Book Antiqua" w:cs="Book Antiqua"/>
          <w:color w:val="000000"/>
        </w:rPr>
        <w:t>3</w:t>
      </w:r>
      <w:r>
        <w:rPr>
          <w:rFonts w:ascii="Book Antiqua" w:eastAsia="Book Antiqua" w:hAnsi="Book Antiqua" w:cs="Book Antiqua"/>
          <w:color w:val="000000"/>
        </w:rPr>
        <w:t xml:space="preserve">. The arterial blood gas analyses during hospitalization are listed in Table </w:t>
      </w:r>
      <w:r w:rsidR="00AA5A63">
        <w:rPr>
          <w:rFonts w:ascii="Book Antiqua" w:eastAsia="Book Antiqua" w:hAnsi="Book Antiqua" w:cs="Book Antiqua"/>
          <w:color w:val="000000"/>
        </w:rPr>
        <w:t>1</w:t>
      </w:r>
      <w:r>
        <w:rPr>
          <w:rFonts w:ascii="Book Antiqua" w:eastAsia="Book Antiqua" w:hAnsi="Book Antiqua" w:cs="Book Antiqua"/>
          <w:color w:val="000000"/>
        </w:rPr>
        <w:t xml:space="preserve">. </w:t>
      </w:r>
    </w:p>
    <w:p w14:paraId="77D0C4F8" w14:textId="77777777" w:rsidR="00500304" w:rsidRPr="00AA5A63" w:rsidRDefault="00500304">
      <w:pPr>
        <w:spacing w:line="360" w:lineRule="auto"/>
        <w:jc w:val="both"/>
      </w:pPr>
    </w:p>
    <w:p w14:paraId="1F2152D6" w14:textId="77777777" w:rsidR="00500304" w:rsidRDefault="00034505">
      <w:pPr>
        <w:spacing w:line="360" w:lineRule="auto"/>
        <w:jc w:val="both"/>
      </w:pPr>
      <w:r>
        <w:rPr>
          <w:rFonts w:ascii="Book Antiqua" w:eastAsia="Book Antiqua" w:hAnsi="Book Antiqua" w:cs="Book Antiqua"/>
          <w:b/>
          <w:i/>
          <w:color w:val="000000"/>
        </w:rPr>
        <w:t>Imaging examinations</w:t>
      </w:r>
    </w:p>
    <w:p w14:paraId="5C738F37" w14:textId="54E6C478" w:rsidR="00500304" w:rsidRDefault="00955C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w:t>
      </w:r>
      <w:r w:rsidR="00034505">
        <w:rPr>
          <w:rFonts w:ascii="Book Antiqua" w:eastAsia="Book Antiqua" w:hAnsi="Book Antiqua" w:cs="Book Antiqua"/>
          <w:color w:val="000000"/>
        </w:rPr>
        <w:t xml:space="preserve">rain MRI for the first stroke before this admission revealed left corona radiata, bilateral frontal lobe, and parietal lobe infarction as well as </w:t>
      </w:r>
      <w:r>
        <w:rPr>
          <w:rFonts w:ascii="Book Antiqua" w:eastAsia="Book Antiqua" w:hAnsi="Book Antiqua" w:cs="Book Antiqua"/>
          <w:color w:val="000000"/>
        </w:rPr>
        <w:t>BICAO</w:t>
      </w:r>
      <w:r w:rsidR="00034505">
        <w:rPr>
          <w:rFonts w:ascii="Book Antiqua" w:eastAsia="Book Antiqua" w:hAnsi="Book Antiqua" w:cs="Book Antiqua"/>
          <w:color w:val="000000"/>
        </w:rPr>
        <w:t xml:space="preserve"> (Figure 1). </w:t>
      </w:r>
      <w:r>
        <w:rPr>
          <w:rFonts w:ascii="Book Antiqua" w:eastAsia="Book Antiqua" w:hAnsi="Book Antiqua" w:cs="Book Antiqua"/>
          <w:color w:val="000000"/>
        </w:rPr>
        <w:t>B</w:t>
      </w:r>
      <w:r w:rsidR="00034505">
        <w:rPr>
          <w:rFonts w:ascii="Book Antiqua" w:eastAsia="Book Antiqua" w:hAnsi="Book Antiqua" w:cs="Book Antiqua"/>
          <w:color w:val="000000"/>
        </w:rPr>
        <w:t xml:space="preserve">rain MRI for the second stroke disclosed: (1) </w:t>
      </w:r>
      <w:r w:rsidR="00884441">
        <w:rPr>
          <w:rFonts w:ascii="Book Antiqua" w:eastAsia="Book Antiqua" w:hAnsi="Book Antiqua" w:cs="Book Antiqua"/>
          <w:color w:val="000000"/>
        </w:rPr>
        <w:t>A</w:t>
      </w:r>
      <w:r w:rsidR="00034505">
        <w:rPr>
          <w:rFonts w:ascii="Book Antiqua" w:eastAsia="Book Antiqua" w:hAnsi="Book Antiqua" w:cs="Book Antiqua"/>
          <w:color w:val="000000"/>
        </w:rPr>
        <w:t xml:space="preserve">cute infarction lesions over the bilateral MCA and bilateral ACA territory with brain swelling of infarction lesions and midline shift; and (2) </w:t>
      </w:r>
      <w:r w:rsidR="00884441">
        <w:rPr>
          <w:rFonts w:ascii="Book Antiqua" w:eastAsia="Book Antiqua" w:hAnsi="Book Antiqua" w:cs="Book Antiqua"/>
          <w:color w:val="000000"/>
        </w:rPr>
        <w:t>O</w:t>
      </w:r>
      <w:r w:rsidR="00034505">
        <w:rPr>
          <w:rFonts w:ascii="Book Antiqua" w:eastAsia="Book Antiqua" w:hAnsi="Book Antiqua" w:cs="Book Antiqua"/>
          <w:color w:val="000000"/>
        </w:rPr>
        <w:t xml:space="preserve">cclusion of bilateral ICA (Figure 2). </w:t>
      </w:r>
    </w:p>
    <w:p w14:paraId="584A2904" w14:textId="77777777" w:rsidR="00500304" w:rsidRDefault="00500304">
      <w:pPr>
        <w:spacing w:line="360" w:lineRule="auto"/>
        <w:jc w:val="both"/>
      </w:pPr>
    </w:p>
    <w:p w14:paraId="301457D8" w14:textId="77777777" w:rsidR="00500304" w:rsidRDefault="00034505">
      <w:pPr>
        <w:spacing w:line="360" w:lineRule="auto"/>
        <w:jc w:val="both"/>
      </w:pPr>
      <w:r>
        <w:rPr>
          <w:rFonts w:ascii="Book Antiqua" w:eastAsia="Book Antiqua" w:hAnsi="Book Antiqua" w:cs="Book Antiqua"/>
          <w:b/>
          <w:smallCaps/>
          <w:color w:val="000000"/>
          <w:u w:val="single"/>
        </w:rPr>
        <w:t>FINAL DIAGNOSIS</w:t>
      </w:r>
    </w:p>
    <w:p w14:paraId="177AC7B2" w14:textId="4C03C24F" w:rsidR="00500304" w:rsidRDefault="00034505">
      <w:pPr>
        <w:spacing w:line="360" w:lineRule="auto"/>
        <w:jc w:val="both"/>
      </w:pPr>
      <w:r>
        <w:rPr>
          <w:rFonts w:ascii="Book Antiqua" w:eastAsia="Book Antiqua" w:hAnsi="Book Antiqua" w:cs="Book Antiqua"/>
          <w:color w:val="000000"/>
        </w:rPr>
        <w:t xml:space="preserve">The final diagnosis of the presented case </w:t>
      </w:r>
      <w:r w:rsidR="00955C07">
        <w:rPr>
          <w:rFonts w:ascii="Book Antiqua" w:eastAsia="Book Antiqua" w:hAnsi="Book Antiqua" w:cs="Book Antiqua"/>
          <w:color w:val="000000"/>
        </w:rPr>
        <w:t>was</w:t>
      </w:r>
      <w:r>
        <w:rPr>
          <w:rFonts w:ascii="Book Antiqua" w:eastAsia="Book Antiqua" w:hAnsi="Book Antiqua" w:cs="Book Antiqua"/>
          <w:color w:val="000000"/>
        </w:rPr>
        <w:t xml:space="preserve">: (1) </w:t>
      </w:r>
      <w:r w:rsidR="00884441">
        <w:rPr>
          <w:rFonts w:ascii="Book Antiqua" w:eastAsia="Book Antiqua" w:hAnsi="Book Antiqua" w:cs="Book Antiqua"/>
          <w:color w:val="000000"/>
        </w:rPr>
        <w:t>B</w:t>
      </w:r>
      <w:r>
        <w:rPr>
          <w:rFonts w:ascii="Book Antiqua" w:eastAsia="Book Antiqua" w:hAnsi="Book Antiqua" w:cs="Book Antiqua"/>
          <w:color w:val="000000"/>
        </w:rPr>
        <w:t>ilateral MCA and bilateral ACA territory infarction with brain swelling and midline shift; (2) BICAO; and (3) T1DM with DKA.</w:t>
      </w:r>
    </w:p>
    <w:p w14:paraId="5C4BC36A" w14:textId="77777777" w:rsidR="00500304" w:rsidRDefault="00500304">
      <w:pPr>
        <w:spacing w:line="360" w:lineRule="auto"/>
        <w:jc w:val="both"/>
      </w:pPr>
    </w:p>
    <w:p w14:paraId="6194ABD9" w14:textId="77777777" w:rsidR="00500304" w:rsidRDefault="00034505">
      <w:pPr>
        <w:spacing w:line="360" w:lineRule="auto"/>
        <w:jc w:val="both"/>
      </w:pPr>
      <w:r>
        <w:rPr>
          <w:rFonts w:ascii="Book Antiqua" w:eastAsia="Book Antiqua" w:hAnsi="Book Antiqua" w:cs="Book Antiqua"/>
          <w:b/>
          <w:smallCaps/>
          <w:color w:val="000000"/>
          <w:u w:val="single"/>
        </w:rPr>
        <w:t>TREATMENT</w:t>
      </w:r>
    </w:p>
    <w:p w14:paraId="1F9184B7" w14:textId="77777777" w:rsidR="00500304" w:rsidRDefault="00034505">
      <w:pPr>
        <w:spacing w:line="360" w:lineRule="auto"/>
        <w:jc w:val="both"/>
      </w:pPr>
      <w:r>
        <w:rPr>
          <w:rFonts w:ascii="Book Antiqua" w:eastAsia="Book Antiqua" w:hAnsi="Book Antiqua" w:cs="Book Antiqua"/>
          <w:color w:val="000000"/>
        </w:rPr>
        <w:t>Aggressive hydration, insulin pump</w:t>
      </w:r>
      <w:r w:rsidR="00955C07">
        <w:rPr>
          <w:rFonts w:ascii="Book Antiqua" w:eastAsia="Book Antiqua" w:hAnsi="Book Antiqua" w:cs="Book Antiqua"/>
          <w:color w:val="000000"/>
        </w:rPr>
        <w:t>ing</w:t>
      </w:r>
      <w:r>
        <w:rPr>
          <w:rFonts w:ascii="Book Antiqua" w:eastAsia="Book Antiqua" w:hAnsi="Book Antiqua" w:cs="Book Antiqua"/>
          <w:color w:val="000000"/>
        </w:rPr>
        <w:t>, electrolyte correction, vasopressor</w:t>
      </w:r>
      <w:r w:rsidR="00955C07">
        <w:rPr>
          <w:rFonts w:ascii="Book Antiqua" w:eastAsia="Book Antiqua" w:hAnsi="Book Antiqua" w:cs="Book Antiqua"/>
          <w:color w:val="000000"/>
        </w:rPr>
        <w:t>s</w:t>
      </w:r>
      <w:r>
        <w:rPr>
          <w:rFonts w:ascii="Book Antiqua" w:eastAsia="Book Antiqua" w:hAnsi="Book Antiqua" w:cs="Book Antiqua"/>
          <w:color w:val="000000"/>
        </w:rPr>
        <w:t xml:space="preserve">, glycerol, and mechanical ventilation were applied. </w:t>
      </w:r>
    </w:p>
    <w:p w14:paraId="2C9D3500" w14:textId="77777777" w:rsidR="00500304" w:rsidRDefault="00500304">
      <w:pPr>
        <w:spacing w:line="360" w:lineRule="auto"/>
        <w:jc w:val="both"/>
      </w:pPr>
    </w:p>
    <w:p w14:paraId="260716A5" w14:textId="77777777" w:rsidR="00500304" w:rsidRDefault="00034505">
      <w:pPr>
        <w:spacing w:line="360" w:lineRule="auto"/>
        <w:jc w:val="both"/>
      </w:pPr>
      <w:r>
        <w:rPr>
          <w:rFonts w:ascii="Book Antiqua" w:eastAsia="Book Antiqua" w:hAnsi="Book Antiqua" w:cs="Book Antiqua"/>
          <w:b/>
          <w:smallCaps/>
          <w:color w:val="000000"/>
          <w:u w:val="single"/>
        </w:rPr>
        <w:t>OUTCOME AND FOLLOW-UP</w:t>
      </w:r>
    </w:p>
    <w:p w14:paraId="78FC8304" w14:textId="77777777" w:rsidR="00500304" w:rsidRDefault="00034505">
      <w:pPr>
        <w:spacing w:line="360" w:lineRule="auto"/>
        <w:jc w:val="both"/>
      </w:pPr>
      <w:r>
        <w:rPr>
          <w:rFonts w:ascii="Book Antiqua" w:eastAsia="Book Antiqua" w:hAnsi="Book Antiqua" w:cs="Book Antiqua"/>
          <w:color w:val="000000"/>
        </w:rPr>
        <w:t>On hospital day 6, the patient went into a coma after bilateral MCA and bilateral ACA territory infarction, and mechanical ventilation was necessary due to respiratory failure. On hospital day 29, we discussed about her poor prognosis even with intensive treatment</w:t>
      </w:r>
      <w:r w:rsidR="00955C07" w:rsidRPr="00955C07">
        <w:rPr>
          <w:rFonts w:ascii="Book Antiqua" w:eastAsia="Book Antiqua" w:hAnsi="Book Antiqua" w:cs="Book Antiqua"/>
          <w:color w:val="000000"/>
        </w:rPr>
        <w:t xml:space="preserve"> </w:t>
      </w:r>
      <w:r w:rsidR="00955C07">
        <w:rPr>
          <w:rFonts w:ascii="Book Antiqua" w:eastAsia="Book Antiqua" w:hAnsi="Book Antiqua" w:cs="Book Antiqua"/>
          <w:color w:val="000000"/>
        </w:rPr>
        <w:t>with her family</w:t>
      </w:r>
      <w:r>
        <w:rPr>
          <w:rFonts w:ascii="Book Antiqua" w:eastAsia="Book Antiqua" w:hAnsi="Book Antiqua" w:cs="Book Antiqua"/>
          <w:color w:val="000000"/>
        </w:rPr>
        <w:t>. She expired on hospital day 29 after compassionate extubation.</w:t>
      </w:r>
    </w:p>
    <w:p w14:paraId="0A3B30CF" w14:textId="77777777" w:rsidR="00500304" w:rsidRDefault="00500304">
      <w:pPr>
        <w:spacing w:line="360" w:lineRule="auto"/>
        <w:jc w:val="both"/>
      </w:pPr>
    </w:p>
    <w:p w14:paraId="1BCC2E86" w14:textId="77777777" w:rsidR="00500304" w:rsidRDefault="00034505">
      <w:pPr>
        <w:spacing w:line="360" w:lineRule="auto"/>
        <w:jc w:val="both"/>
      </w:pPr>
      <w:r>
        <w:rPr>
          <w:rFonts w:ascii="Book Antiqua" w:eastAsia="Book Antiqua" w:hAnsi="Book Antiqua" w:cs="Book Antiqua"/>
          <w:b/>
          <w:smallCaps/>
          <w:color w:val="000000"/>
          <w:u w:val="single"/>
        </w:rPr>
        <w:t>DISCUSSION</w:t>
      </w:r>
    </w:p>
    <w:p w14:paraId="03217C70" w14:textId="77777777" w:rsidR="00500304" w:rsidRDefault="00034505">
      <w:pPr>
        <w:spacing w:line="360" w:lineRule="auto"/>
        <w:jc w:val="both"/>
      </w:pPr>
      <w:r>
        <w:rPr>
          <w:rFonts w:ascii="Book Antiqua" w:eastAsia="Book Antiqua" w:hAnsi="Book Antiqua" w:cs="Book Antiqua"/>
          <w:color w:val="000000"/>
        </w:rPr>
        <w:t>Strokes occurring in people under the age of 45 are generally called young strokes</w:t>
      </w:r>
      <w:r>
        <w:rPr>
          <w:rFonts w:ascii="Book Antiqua" w:eastAsia="Book Antiqua" w:hAnsi="Book Antiqua" w:cs="Book Antiqua"/>
          <w:color w:val="000000"/>
          <w:vertAlign w:val="superscript"/>
        </w:rPr>
        <w:t>[9]</w:t>
      </w:r>
      <w:r>
        <w:rPr>
          <w:rFonts w:ascii="Book Antiqua" w:eastAsia="Book Antiqua" w:hAnsi="Book Antiqua" w:cs="Book Antiqua"/>
          <w:color w:val="000000"/>
        </w:rPr>
        <w:t>. Congenital heart disease, hematologic disorders, and metabolic disorders result in young stroke mainly in children and adolescents</w:t>
      </w:r>
      <w:r>
        <w:rPr>
          <w:rFonts w:ascii="Book Antiqua" w:eastAsia="Book Antiqua" w:hAnsi="Book Antiqua" w:cs="Book Antiqua"/>
          <w:color w:val="000000"/>
          <w:vertAlign w:val="superscript"/>
        </w:rPr>
        <w:t>[10]</w:t>
      </w:r>
      <w:r>
        <w:rPr>
          <w:rFonts w:ascii="Book Antiqua" w:eastAsia="Book Antiqua" w:hAnsi="Book Antiqua" w:cs="Book Antiqua"/>
          <w:color w:val="000000"/>
        </w:rPr>
        <w:t>. In young adults, the common reasons for young stroke are smoking, hypertension, diabetes, and hypercholesterolaemia</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formation of advanced glycation end products </w:t>
      </w:r>
      <w:r w:rsidR="00955C07">
        <w:rPr>
          <w:rFonts w:ascii="Book Antiqua" w:eastAsia="Book Antiqua" w:hAnsi="Book Antiqua" w:cs="Book Antiqua"/>
          <w:color w:val="000000"/>
        </w:rPr>
        <w:t xml:space="preserve">plays </w:t>
      </w:r>
      <w:r>
        <w:rPr>
          <w:rFonts w:ascii="Book Antiqua" w:eastAsia="Book Antiqua" w:hAnsi="Book Antiqua" w:cs="Book Antiqua"/>
          <w:color w:val="000000"/>
        </w:rPr>
        <w:t>a crucial role in diabetic vascular complications including atherosclerosis</w:t>
      </w:r>
      <w:r>
        <w:rPr>
          <w:rFonts w:ascii="Book Antiqua" w:eastAsia="Book Antiqua" w:hAnsi="Book Antiqua" w:cs="Book Antiqua"/>
          <w:color w:val="000000"/>
          <w:vertAlign w:val="superscript"/>
        </w:rPr>
        <w:t>[</w:t>
      </w:r>
      <w:r>
        <w:rPr>
          <w:rFonts w:ascii="Book Antiqua" w:eastAsia="Book Antiqua" w:hAnsi="Book Antiqua" w:cs="Book Antiqua"/>
          <w:color w:val="000000"/>
          <w:highlight w:val="white"/>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Other causes for young adult stroke include hypercoagulable states, metabolic disorders, vasculopathy, cardiac defects, drug use, and migraines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36AF792E" w14:textId="77777777" w:rsidR="00500304" w:rsidRDefault="00034505">
      <w:pPr>
        <w:spacing w:line="360" w:lineRule="auto"/>
        <w:ind w:firstLine="240"/>
        <w:jc w:val="both"/>
      </w:pPr>
      <w:r>
        <w:rPr>
          <w:rFonts w:ascii="Book Antiqua" w:eastAsia="Book Antiqua" w:hAnsi="Book Antiqua" w:cs="Book Antiqua"/>
          <w:color w:val="000000"/>
        </w:rPr>
        <w:t>Carotid stenosis is an important risk factor for ischemic stroke and is majorly attributed to atherosclerosis</w:t>
      </w:r>
      <w:r>
        <w:rPr>
          <w:rFonts w:ascii="Book Antiqua" w:eastAsia="Book Antiqua" w:hAnsi="Book Antiqua" w:cs="Book Antiqua"/>
          <w:color w:val="000000"/>
          <w:vertAlign w:val="superscript"/>
        </w:rPr>
        <w:t>[13]</w:t>
      </w:r>
      <w:r>
        <w:rPr>
          <w:rFonts w:ascii="Book Antiqua" w:eastAsia="Book Antiqua" w:hAnsi="Book Antiqua" w:cs="Book Antiqua"/>
          <w:color w:val="000000"/>
        </w:rPr>
        <w:t>, and it is a slow and progressive process, from intima-medial thickening, carotid plaque, asymptomatic carotid stenosis to symptomatic carotid disease. However, in our patient, the brain MRI of the first stroke had disclosed BICAO. BICAO carries can lead to fatal stroke</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only accounts for 0.4% of people with </w:t>
      </w:r>
      <w:r w:rsidR="00F43446">
        <w:rPr>
          <w:rFonts w:ascii="Book Antiqua" w:eastAsia="Book Antiqua" w:hAnsi="Book Antiqua" w:cs="Book Antiqua"/>
          <w:color w:val="000000"/>
        </w:rPr>
        <w:t xml:space="preserve">cerebrovascular </w:t>
      </w:r>
      <w:r>
        <w:rPr>
          <w:rFonts w:ascii="Book Antiqua" w:eastAsia="Book Antiqua" w:hAnsi="Book Antiqua" w:cs="Book Antiqua"/>
          <w:color w:val="000000"/>
        </w:rPr>
        <w:t>accident</w:t>
      </w:r>
      <w:r>
        <w:rPr>
          <w:rFonts w:ascii="Book Antiqua" w:eastAsia="Book Antiqua" w:hAnsi="Book Antiqua" w:cs="Book Antiqua"/>
          <w:color w:val="000000"/>
          <w:vertAlign w:val="superscript"/>
        </w:rPr>
        <w:t>[7]</w:t>
      </w:r>
      <w:r>
        <w:rPr>
          <w:rFonts w:ascii="Book Antiqua" w:eastAsia="Book Antiqua" w:hAnsi="Book Antiqua" w:cs="Book Antiqua"/>
          <w:color w:val="000000"/>
        </w:rPr>
        <w:t>. The clinical course of BICAO is often chronic due to collateral circulation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BICAO, the basilar artery and ophthalmic artery are the main collateral systems to support the ACA and MCA territory. Moreover, acute cerebral infarction throughout both ICAs with simultaneous bilateral carotid artery occlusion is rarer. Ota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summarized previous 9 reports regarding simultaneous BICAO with infarction. Only one survived. The speculated pathogeneses of BICAO for them include cardioembolism, atrial myxoma, atherothrombosis and unknown etiology. Treatment options for carotid stenosis include medical management, carotid stenting, and carotid endarterectomy</w:t>
      </w:r>
      <w:r>
        <w:rPr>
          <w:rFonts w:ascii="Book Antiqua" w:eastAsia="Book Antiqua" w:hAnsi="Book Antiqua" w:cs="Book Antiqua"/>
          <w:color w:val="000000"/>
          <w:vertAlign w:val="superscript"/>
        </w:rPr>
        <w:t>[15]</w:t>
      </w:r>
      <w:r>
        <w:rPr>
          <w:rFonts w:ascii="Book Antiqua" w:eastAsia="Book Antiqua" w:hAnsi="Book Antiqua" w:cs="Book Antiqua"/>
          <w:color w:val="000000"/>
        </w:rPr>
        <w:t>. However, carotid revascularization is not recommended for patients with chronic total occlusion of the carotid artery</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To date, clinical data on medical or surgical bypass management in BICAO </w:t>
      </w:r>
      <w:r w:rsidR="00955C07">
        <w:rPr>
          <w:rFonts w:ascii="Book Antiqua" w:eastAsia="Book Antiqua" w:hAnsi="Book Antiqua" w:cs="Book Antiqua"/>
          <w:color w:val="000000"/>
        </w:rPr>
        <w:t xml:space="preserve">are </w:t>
      </w:r>
      <w:r>
        <w:rPr>
          <w:rFonts w:ascii="Book Antiqua" w:eastAsia="Book Antiqua" w:hAnsi="Book Antiqua" w:cs="Book Antiqua"/>
          <w:color w:val="000000"/>
        </w:rPr>
        <w:t>limited.</w:t>
      </w:r>
    </w:p>
    <w:p w14:paraId="04C89ECD" w14:textId="77777777" w:rsidR="00500304" w:rsidRDefault="00034505">
      <w:pPr>
        <w:spacing w:line="360" w:lineRule="auto"/>
        <w:ind w:firstLine="240"/>
        <w:jc w:val="both"/>
      </w:pPr>
      <w:r>
        <w:rPr>
          <w:rFonts w:ascii="Book Antiqua" w:eastAsia="Book Antiqua" w:hAnsi="Book Antiqua" w:cs="Book Antiqua"/>
          <w:color w:val="000000"/>
        </w:rPr>
        <w:t>DKA, one of the most severe complications of diabetes, is mostly seen in patients with T1DM. The precipitating factors for DKA are infection, surgery, trauma, myocardial ischemia, pancreatitis, psychological stress, stroke and inadequate insulin treatment or noncompliance</w:t>
      </w:r>
      <w:r>
        <w:rPr>
          <w:rFonts w:ascii="Book Antiqua" w:eastAsia="Book Antiqua" w:hAnsi="Book Antiqua" w:cs="Book Antiqua"/>
          <w:color w:val="000000"/>
          <w:vertAlign w:val="superscript"/>
        </w:rPr>
        <w:t>[17]</w:t>
      </w:r>
      <w:r>
        <w:rPr>
          <w:rFonts w:ascii="Book Antiqua" w:eastAsia="Book Antiqua" w:hAnsi="Book Antiqua" w:cs="Book Antiqua"/>
          <w:color w:val="000000"/>
        </w:rPr>
        <w:t>. Clinical manifestations include nausea, vomiting, abdominal pain</w:t>
      </w:r>
      <w:r>
        <w:rPr>
          <w:rFonts w:ascii="Book Antiqua" w:eastAsia="Book Antiqua" w:hAnsi="Book Antiqua" w:cs="Book Antiqua"/>
          <w:color w:val="000000"/>
          <w:vertAlign w:val="superscript"/>
        </w:rPr>
        <w:t>[18]</w:t>
      </w:r>
      <w:r>
        <w:rPr>
          <w:rFonts w:ascii="Book Antiqua" w:eastAsia="Book Antiqua" w:hAnsi="Book Antiqua" w:cs="Book Antiqua"/>
          <w:color w:val="000000"/>
        </w:rPr>
        <w:t>, neurological symptoms</w:t>
      </w:r>
      <w:r>
        <w:rPr>
          <w:rFonts w:ascii="Book Antiqua" w:eastAsia="Book Antiqua" w:hAnsi="Book Antiqua" w:cs="Book Antiqua"/>
          <w:color w:val="000000"/>
          <w:vertAlign w:val="superscript"/>
        </w:rPr>
        <w:t>[19]</w:t>
      </w:r>
      <w:r>
        <w:rPr>
          <w:rFonts w:ascii="Book Antiqua" w:eastAsia="Book Antiqua" w:hAnsi="Book Antiqua" w:cs="Book Antiqua"/>
          <w:color w:val="000000"/>
        </w:rPr>
        <w:t>, decreased skin turgor, dry mucosa, and Kussmaul breathing. Laboratory examinations may reveal ketonemia, ketonuria, hyperglycemia, and anion gap metabolic acidosis. The complications of DKA include cerebral edema</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noncardiogenic pulmonary edema</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1F80D4B9" w14:textId="77777777" w:rsidR="00500304" w:rsidRDefault="00034505">
      <w:pPr>
        <w:spacing w:line="360" w:lineRule="auto"/>
        <w:ind w:firstLine="240"/>
        <w:jc w:val="both"/>
      </w:pPr>
      <w:r>
        <w:rPr>
          <w:rFonts w:ascii="Book Antiqua" w:eastAsia="Book Antiqua" w:hAnsi="Book Antiqua" w:cs="Book Antiqua"/>
          <w:color w:val="000000"/>
        </w:rPr>
        <w:t>Stroke, a form of acute stress, is a precipitating factor for DKA</w:t>
      </w:r>
      <w:r>
        <w:rPr>
          <w:rFonts w:ascii="Book Antiqua" w:eastAsia="Book Antiqua" w:hAnsi="Book Antiqua" w:cs="Book Antiqua"/>
          <w:color w:val="000000"/>
          <w:vertAlign w:val="superscript"/>
        </w:rPr>
        <w:t>[21]</w:t>
      </w:r>
      <w:r>
        <w:rPr>
          <w:rFonts w:ascii="Book Antiqua" w:eastAsia="Book Antiqua" w:hAnsi="Book Antiqua" w:cs="Book Antiqua"/>
          <w:color w:val="000000"/>
        </w:rPr>
        <w:t>. However, DKA rarely causes cerebral infarction and occurs more frequently in children and young adolescents than in adults</w:t>
      </w:r>
      <w:r>
        <w:rPr>
          <w:rFonts w:ascii="Book Antiqua" w:eastAsia="Book Antiqua" w:hAnsi="Book Antiqua" w:cs="Book Antiqua"/>
          <w:color w:val="000000"/>
          <w:vertAlign w:val="superscript"/>
        </w:rPr>
        <w:t>[22]</w:t>
      </w:r>
      <w:r>
        <w:rPr>
          <w:rFonts w:ascii="Book Antiqua" w:eastAsia="Book Antiqua" w:hAnsi="Book Antiqua" w:cs="Book Antiqua"/>
          <w:color w:val="000000"/>
        </w:rPr>
        <w:t>. It has been demonstrated that hyperglycemia and acidosis produce oxidat</w:t>
      </w:r>
      <w:r w:rsidR="00955C07">
        <w:rPr>
          <w:rFonts w:ascii="Book Antiqua" w:eastAsia="Book Antiqua" w:hAnsi="Book Antiqua" w:cs="Book Antiqua"/>
          <w:color w:val="000000"/>
        </w:rPr>
        <w:t>ive</w:t>
      </w:r>
      <w:r>
        <w:rPr>
          <w:rFonts w:ascii="Book Antiqua" w:eastAsia="Book Antiqua" w:hAnsi="Book Antiqua" w:cs="Book Antiqua"/>
          <w:color w:val="000000"/>
        </w:rPr>
        <w:t xml:space="preserve"> stress and cause tissue ischemia</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r w:rsidR="00955C07">
        <w:rPr>
          <w:rFonts w:ascii="Book Antiqua" w:eastAsia="Book Antiqua" w:hAnsi="Book Antiqua" w:cs="Book Antiqua"/>
          <w:color w:val="000000"/>
        </w:rPr>
        <w:t>An i</w:t>
      </w:r>
      <w:r>
        <w:rPr>
          <w:rFonts w:ascii="Book Antiqua" w:eastAsia="Book Antiqua" w:hAnsi="Book Antiqua" w:cs="Book Antiqua"/>
          <w:color w:val="000000"/>
        </w:rPr>
        <w:t>ncrease in oxidative stress brings about diffuse vascular injury</w:t>
      </w:r>
      <w:r>
        <w:rPr>
          <w:rFonts w:ascii="Book Antiqua" w:eastAsia="Book Antiqua" w:hAnsi="Book Antiqua" w:cs="Book Antiqua"/>
          <w:color w:val="000000"/>
          <w:vertAlign w:val="superscript"/>
        </w:rPr>
        <w:t>[24]</w:t>
      </w:r>
      <w:r>
        <w:rPr>
          <w:rFonts w:ascii="Book Antiqua" w:eastAsia="Book Antiqua" w:hAnsi="Book Antiqua" w:cs="Book Antiqua"/>
          <w:color w:val="000000"/>
        </w:rPr>
        <w:t>. DKA results in significant fluid loss and decreased velocity of blood flow</w:t>
      </w:r>
      <w:r>
        <w:rPr>
          <w:rFonts w:ascii="Book Antiqua" w:eastAsia="Book Antiqua" w:hAnsi="Book Antiqua" w:cs="Book Antiqua"/>
          <w:color w:val="000000"/>
          <w:vertAlign w:val="superscript"/>
        </w:rPr>
        <w:t>[25]</w:t>
      </w:r>
      <w:r>
        <w:rPr>
          <w:rFonts w:ascii="Book Antiqua" w:eastAsia="Book Antiqua" w:hAnsi="Book Antiqua" w:cs="Book Antiqua"/>
          <w:color w:val="000000"/>
        </w:rPr>
        <w:t>. Hyperglycemia and acidosis induce red blood cell rigidity (increased blood viscosity)</w:t>
      </w:r>
      <w:r>
        <w:rPr>
          <w:rFonts w:ascii="Book Antiqua" w:eastAsia="Book Antiqua" w:hAnsi="Book Antiqua" w:cs="Book Antiqua"/>
          <w:color w:val="000000"/>
          <w:vertAlign w:val="superscript"/>
        </w:rPr>
        <w:t>[26,27]</w:t>
      </w:r>
      <w:r>
        <w:rPr>
          <w:rFonts w:ascii="Book Antiqua" w:eastAsia="Book Antiqua" w:hAnsi="Book Antiqua" w:cs="Book Antiqua"/>
          <w:color w:val="000000"/>
        </w:rPr>
        <w:t>. The vascular response in hyperglycemia has generally been considered vasoconstrictive, which may be related to decreased availability of nitric oxide</w:t>
      </w:r>
      <w:r>
        <w:rPr>
          <w:rFonts w:ascii="Book Antiqua" w:eastAsia="Book Antiqua" w:hAnsi="Book Antiqua" w:cs="Book Antiqua"/>
          <w:color w:val="000000"/>
          <w:vertAlign w:val="superscript"/>
        </w:rPr>
        <w:t>[28]</w:t>
      </w:r>
      <w:r>
        <w:rPr>
          <w:rFonts w:ascii="Book Antiqua" w:eastAsia="Book Antiqua" w:hAnsi="Book Antiqua" w:cs="Book Antiqua"/>
          <w:color w:val="000000"/>
        </w:rPr>
        <w:t>. The probable reasons for thrombosis formation by DKA are decreased levels of protein C and protein S activity and increased von Willebrand factor</w:t>
      </w:r>
      <w:r>
        <w:rPr>
          <w:rFonts w:ascii="Book Antiqua" w:eastAsia="Book Antiqua" w:hAnsi="Book Antiqua" w:cs="Book Antiqua"/>
          <w:color w:val="000000"/>
          <w:vertAlign w:val="superscript"/>
        </w:rPr>
        <w:t>[29]</w:t>
      </w:r>
      <w:r>
        <w:rPr>
          <w:rFonts w:ascii="Book Antiqua" w:eastAsia="Book Antiqua" w:hAnsi="Book Antiqua" w:cs="Book Antiqua"/>
          <w:color w:val="000000"/>
        </w:rPr>
        <w:t>. DKA also elevates C-reactive protein (CRP) and cytokines (IL-6, IL-1β, TNF-α) and activates complements</w:t>
      </w:r>
      <w:r>
        <w:rPr>
          <w:rFonts w:ascii="Book Antiqua" w:eastAsia="Book Antiqua" w:hAnsi="Book Antiqua" w:cs="Book Antiqua"/>
          <w:color w:val="000000"/>
          <w:vertAlign w:val="superscript"/>
        </w:rPr>
        <w:t>[30-34]</w:t>
      </w:r>
      <w:r>
        <w:rPr>
          <w:rFonts w:ascii="Book Antiqua" w:eastAsia="Book Antiqua" w:hAnsi="Book Antiqua" w:cs="Book Antiqua"/>
          <w:color w:val="000000"/>
        </w:rPr>
        <w:t>. Activation of platelet and coagulation systems are also present in uncomplicated DKA</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short, mechanisms of DKA that can lead to cerebral infarction include systemic inflammation, increased oxidative stress, abnormal coagulation cascade, platelet dysfunction, fluid loss, and increased blood viscosity. </w:t>
      </w:r>
    </w:p>
    <w:p w14:paraId="2C6D842A" w14:textId="37ED920C" w:rsidR="00500304" w:rsidRDefault="00034505">
      <w:pPr>
        <w:spacing w:line="360" w:lineRule="auto"/>
        <w:ind w:firstLine="240"/>
        <w:jc w:val="both"/>
      </w:pPr>
      <w:r>
        <w:rPr>
          <w:rFonts w:ascii="Book Antiqua" w:eastAsia="Book Antiqua" w:hAnsi="Book Antiqua" w:cs="Book Antiqua"/>
          <w:color w:val="000000"/>
        </w:rPr>
        <w:t xml:space="preserve">The precipitating factors for DKA </w:t>
      </w:r>
      <w:r w:rsidR="00955C07">
        <w:rPr>
          <w:rFonts w:ascii="Book Antiqua" w:eastAsia="Book Antiqua" w:hAnsi="Book Antiqua" w:cs="Book Antiqua"/>
          <w:color w:val="000000"/>
        </w:rPr>
        <w:t xml:space="preserve">were </w:t>
      </w:r>
      <w:r>
        <w:rPr>
          <w:rFonts w:ascii="Book Antiqua" w:eastAsia="Book Antiqua" w:hAnsi="Book Antiqua" w:cs="Book Antiqua"/>
          <w:color w:val="000000"/>
        </w:rPr>
        <w:t xml:space="preserve">mentioned previously. In our patient, there was no significant leukocytosis </w:t>
      </w:r>
      <w:r w:rsidR="00955C07">
        <w:rPr>
          <w:rFonts w:ascii="Book Antiqua" w:eastAsia="Book Antiqua" w:hAnsi="Book Antiqua" w:cs="Book Antiqua"/>
          <w:color w:val="000000"/>
        </w:rPr>
        <w:t xml:space="preserve">or </w:t>
      </w:r>
      <w:r>
        <w:rPr>
          <w:rFonts w:ascii="Book Antiqua" w:eastAsia="Book Antiqua" w:hAnsi="Book Antiqua" w:cs="Book Antiqua"/>
          <w:color w:val="000000"/>
        </w:rPr>
        <w:t xml:space="preserve">elevation of CRP in the initial stage of DKA. </w:t>
      </w:r>
      <w:r w:rsidR="00955C07">
        <w:rPr>
          <w:rFonts w:ascii="Book Antiqua" w:eastAsia="Book Antiqua" w:hAnsi="Book Antiqua" w:cs="Book Antiqua"/>
          <w:color w:val="000000"/>
        </w:rPr>
        <w:t>There was also n</w:t>
      </w:r>
      <w:r>
        <w:rPr>
          <w:rFonts w:ascii="Book Antiqua" w:eastAsia="Book Antiqua" w:hAnsi="Book Antiqua" w:cs="Book Antiqua"/>
          <w:color w:val="000000"/>
        </w:rPr>
        <w:t xml:space="preserve">o pyuria in urinary analysis at admission. </w:t>
      </w:r>
      <w:r w:rsidR="00955C07">
        <w:rPr>
          <w:rFonts w:ascii="Book Antiqua" w:eastAsia="Book Antiqua" w:hAnsi="Book Antiqua" w:cs="Book Antiqua"/>
          <w:color w:val="000000"/>
        </w:rPr>
        <w:t>Furthermore, s</w:t>
      </w:r>
      <w:r>
        <w:rPr>
          <w:rFonts w:ascii="Book Antiqua" w:eastAsia="Book Antiqua" w:hAnsi="Book Antiqua" w:cs="Book Antiqua"/>
          <w:color w:val="000000"/>
        </w:rPr>
        <w:t>he had no pneumonia, trauma, myocardial infarction, and pancreatitis. We treated her with the same dosage of subcutaneous insulin as her usual. However, we noticed her hyperglycemia during hospital day 1 to day 2. Insufficient insulin dose might be the predisposing factor for this DKA. The timing of her change in consciousness was after 4 d of DKA. Before this, she was conscious and alert. Thus, we excluded the possibility that the second stroke was prior to DKA. The blood examination on hospital day 4 showed white blood cell (WBC): 16600/μ</w:t>
      </w:r>
      <w:r w:rsidR="00884441">
        <w:rPr>
          <w:rFonts w:ascii="Book Antiqua" w:eastAsia="Book Antiqua" w:hAnsi="Book Antiqua" w:cs="Book Antiqua"/>
          <w:color w:val="000000"/>
        </w:rPr>
        <w:t>L</w:t>
      </w:r>
      <w:r>
        <w:rPr>
          <w:rFonts w:ascii="Book Antiqua" w:eastAsia="Book Antiqua" w:hAnsi="Book Antiqua" w:cs="Book Antiqua"/>
          <w:color w:val="000000"/>
        </w:rPr>
        <w:t>, segment: 89%, no bandemia. The arterial blood gas analysis had revealed metabolic acidosis with respiratory compensation from ho</w:t>
      </w:r>
      <w:r w:rsidR="00884441">
        <w:rPr>
          <w:rFonts w:ascii="Book Antiqua" w:eastAsia="Book Antiqua" w:hAnsi="Book Antiqua" w:cs="Book Antiqua"/>
          <w:color w:val="000000"/>
        </w:rPr>
        <w:t>sp</w:t>
      </w:r>
      <w:r>
        <w:rPr>
          <w:rFonts w:ascii="Book Antiqua" w:eastAsia="Book Antiqua" w:hAnsi="Book Antiqua" w:cs="Book Antiqua"/>
          <w:color w:val="000000"/>
        </w:rPr>
        <w:t xml:space="preserve">ital day 2 (DKA onset) to hospital day 6 (secondary stroke onset) despite aggressive treatment. From admission to hospital day 6, she had no signs </w:t>
      </w:r>
      <w:r w:rsidR="00955C07">
        <w:rPr>
          <w:rFonts w:ascii="Book Antiqua" w:eastAsia="Book Antiqua" w:hAnsi="Book Antiqua" w:cs="Book Antiqua"/>
          <w:color w:val="000000"/>
        </w:rPr>
        <w:t xml:space="preserve">or </w:t>
      </w:r>
      <w:r>
        <w:rPr>
          <w:rFonts w:ascii="Book Antiqua" w:eastAsia="Book Antiqua" w:hAnsi="Book Antiqua" w:cs="Book Antiqua"/>
          <w:color w:val="000000"/>
        </w:rPr>
        <w:t xml:space="preserve">symptoms </w:t>
      </w:r>
      <w:r w:rsidR="00955C07">
        <w:rPr>
          <w:rFonts w:ascii="Book Antiqua" w:eastAsia="Book Antiqua" w:hAnsi="Book Antiqua" w:cs="Book Antiqua"/>
          <w:color w:val="000000"/>
        </w:rPr>
        <w:t xml:space="preserve">of </w:t>
      </w:r>
      <w:r>
        <w:rPr>
          <w:rFonts w:ascii="Book Antiqua" w:eastAsia="Book Antiqua" w:hAnsi="Book Antiqua" w:cs="Book Antiqua"/>
          <w:color w:val="000000"/>
        </w:rPr>
        <w:t xml:space="preserve">potential infection such as bacteremia, urinary tract infection, gastroenteritis, or pneumonia. It is noticed that patients with DKA often present with leukocytosis without infection, and may be related to ketonemia, </w:t>
      </w:r>
      <w:r>
        <w:rPr>
          <w:rFonts w:ascii="Book Antiqua" w:eastAsia="Book Antiqua" w:hAnsi="Book Antiqua" w:cs="Book Antiqua"/>
          <w:color w:val="000000"/>
          <w:highlight w:val="white"/>
        </w:rPr>
        <w:t>increased catecholamine and</w:t>
      </w:r>
      <w:r>
        <w:rPr>
          <w:rFonts w:ascii="Book Antiqua" w:eastAsia="Book Antiqua" w:hAnsi="Book Antiqua" w:cs="Book Antiqua"/>
          <w:color w:val="000000"/>
        </w:rPr>
        <w:t xml:space="preserve"> </w:t>
      </w:r>
      <w:r>
        <w:rPr>
          <w:rFonts w:ascii="Book Antiqua" w:eastAsia="Book Antiqua" w:hAnsi="Book Antiqua" w:cs="Book Antiqua"/>
          <w:color w:val="000000"/>
          <w:highlight w:val="white"/>
        </w:rPr>
        <w:t>hypercortisolemia</w:t>
      </w:r>
      <w:r>
        <w:rPr>
          <w:rFonts w:ascii="Book Antiqua" w:eastAsia="Book Antiqua" w:hAnsi="Book Antiqua" w:cs="Book Antiqua"/>
          <w:color w:val="000000"/>
          <w:vertAlign w:val="superscript"/>
        </w:rPr>
        <w:t>[36]</w:t>
      </w:r>
      <w:r>
        <w:rPr>
          <w:rFonts w:ascii="Book Antiqua" w:eastAsia="Book Antiqua" w:hAnsi="Book Antiqua" w:cs="Book Antiqua"/>
          <w:color w:val="000000"/>
        </w:rPr>
        <w:t>. Nonetheless, it is seldom to see that WBC &gt; 25000 mm</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or the presence of &gt; 10% neutrophil bands in the absence of bacterial infection</w:t>
      </w:r>
      <w:r>
        <w:rPr>
          <w:rFonts w:ascii="Book Antiqua" w:eastAsia="Book Antiqua" w:hAnsi="Book Antiqua" w:cs="Book Antiqua"/>
          <w:color w:val="000000"/>
          <w:vertAlign w:val="superscript"/>
        </w:rPr>
        <w:t>[36]</w:t>
      </w:r>
      <w:r>
        <w:rPr>
          <w:rFonts w:ascii="Book Antiqua" w:eastAsia="Book Antiqua" w:hAnsi="Book Antiqua" w:cs="Book Antiqua"/>
          <w:color w:val="000000"/>
        </w:rPr>
        <w:t>. Therefore, sepsis with persistent metabolic acidosis was considered</w:t>
      </w:r>
      <w:r w:rsidR="007878CA">
        <w:rPr>
          <w:rFonts w:ascii="Book Antiqua" w:eastAsia="Book Antiqua" w:hAnsi="Book Antiqua" w:cs="Book Antiqua"/>
          <w:color w:val="000000"/>
        </w:rPr>
        <w:t xml:space="preserve"> to a lesser extent</w:t>
      </w:r>
      <w:r>
        <w:rPr>
          <w:rFonts w:ascii="Book Antiqua" w:eastAsia="Book Antiqua" w:hAnsi="Book Antiqua" w:cs="Book Antiqua"/>
          <w:color w:val="000000"/>
        </w:rPr>
        <w:t>.</w:t>
      </w:r>
    </w:p>
    <w:p w14:paraId="007419A0" w14:textId="77777777" w:rsidR="00500304" w:rsidRDefault="00034505">
      <w:pPr>
        <w:spacing w:line="360" w:lineRule="auto"/>
        <w:ind w:firstLine="240"/>
        <w:jc w:val="both"/>
      </w:pPr>
      <w:r>
        <w:rPr>
          <w:rFonts w:ascii="Book Antiqua" w:eastAsia="Book Antiqua" w:hAnsi="Book Antiqua" w:cs="Book Antiqua"/>
          <w:color w:val="000000"/>
        </w:rPr>
        <w:t xml:space="preserve">We speculate that the patient developed BICAO </w:t>
      </w:r>
      <w:r w:rsidR="007878CA">
        <w:rPr>
          <w:rFonts w:ascii="Book Antiqua" w:eastAsia="Book Antiqua" w:hAnsi="Book Antiqua" w:cs="Book Antiqua"/>
          <w:color w:val="000000"/>
        </w:rPr>
        <w:t xml:space="preserve">due </w:t>
      </w:r>
      <w:r>
        <w:rPr>
          <w:rFonts w:ascii="Book Antiqua" w:eastAsia="Book Antiqua" w:hAnsi="Book Antiqua" w:cs="Book Antiqua"/>
          <w:color w:val="000000"/>
        </w:rPr>
        <w:t xml:space="preserve">to long-term vasculopathy of T1DM, hypertension, and hyperlipidemia. Computed tomography angiogram and </w:t>
      </w:r>
      <w:bookmarkStart w:id="32" w:name="147n2zr" w:colFirst="0" w:colLast="0"/>
      <w:bookmarkStart w:id="33" w:name="2p2csry" w:colFirst="0" w:colLast="0"/>
      <w:bookmarkEnd w:id="32"/>
      <w:bookmarkEnd w:id="33"/>
      <w:r>
        <w:rPr>
          <w:rFonts w:ascii="Book Antiqua" w:eastAsia="Book Antiqua" w:hAnsi="Book Antiqua" w:cs="Book Antiqua"/>
          <w:color w:val="000000"/>
        </w:rPr>
        <w:t xml:space="preserve">magnetic resonance angiography showed no moyamoya disease. Thus, the diagnosis was unlikely to be congenital carotid stenosis. </w:t>
      </w:r>
      <w:r w:rsidR="007878CA">
        <w:rPr>
          <w:rFonts w:ascii="Book Antiqua" w:eastAsia="Book Antiqua" w:hAnsi="Book Antiqua" w:cs="Book Antiqua"/>
          <w:color w:val="000000"/>
        </w:rPr>
        <w:t>Because</w:t>
      </w:r>
      <w:r>
        <w:rPr>
          <w:rFonts w:ascii="Book Antiqua" w:eastAsia="Book Antiqua" w:hAnsi="Book Antiqua" w:cs="Book Antiqua"/>
          <w:color w:val="000000"/>
        </w:rPr>
        <w:t xml:space="preserve"> of the secondary stroke, we carefully reviewed our patient and her electrocardiogram was sinus rhythm. Echocardiography showed no vegetations. Embolic stroke was less likely. Clinical data did not demonstrate any drop in blood pressure to suggest hypoperfusion before the second stroke. Our stroke survey disclosed no significant</w:t>
      </w:r>
      <w:r w:rsidR="007878CA">
        <w:rPr>
          <w:rFonts w:ascii="Book Antiqua" w:eastAsia="Book Antiqua" w:hAnsi="Book Antiqua" w:cs="Book Antiqua"/>
          <w:color w:val="000000"/>
        </w:rPr>
        <w:t>ly</w:t>
      </w:r>
      <w:r>
        <w:rPr>
          <w:rFonts w:ascii="Book Antiqua" w:eastAsia="Book Antiqua" w:hAnsi="Book Antiqua" w:cs="Book Antiqua"/>
          <w:color w:val="000000"/>
        </w:rPr>
        <w:t xml:space="preserve"> elevated </w:t>
      </w:r>
      <w:bookmarkStart w:id="34" w:name="23ckvvd" w:colFirst="0" w:colLast="0"/>
      <w:bookmarkStart w:id="35" w:name="3o7alnk" w:colFirst="0" w:colLast="0"/>
      <w:bookmarkEnd w:id="34"/>
      <w:bookmarkEnd w:id="35"/>
      <w:r>
        <w:rPr>
          <w:rFonts w:ascii="Book Antiqua" w:eastAsia="Book Antiqua" w:hAnsi="Book Antiqua" w:cs="Book Antiqua"/>
          <w:color w:val="000000"/>
        </w:rPr>
        <w:t xml:space="preserve">antinuclear antibody, antineutrophil autoantibodies, </w:t>
      </w:r>
      <w:r w:rsidR="007878CA">
        <w:rPr>
          <w:rFonts w:ascii="Book Antiqua" w:eastAsia="Book Antiqua" w:hAnsi="Book Antiqua" w:cs="Book Antiqua"/>
          <w:color w:val="000000"/>
        </w:rPr>
        <w:t xml:space="preserve">or </w:t>
      </w:r>
      <w:r>
        <w:rPr>
          <w:rFonts w:ascii="Book Antiqua" w:eastAsia="Book Antiqua" w:hAnsi="Book Antiqua" w:cs="Book Antiqua"/>
          <w:color w:val="000000"/>
        </w:rPr>
        <w:t>anti-dsDNA titer</w:t>
      </w:r>
      <w:r w:rsidR="007878CA">
        <w:rPr>
          <w:rFonts w:ascii="Book Antiqua" w:eastAsia="Book Antiqua" w:hAnsi="Book Antiqua" w:cs="Book Antiqua"/>
          <w:color w:val="000000"/>
        </w:rPr>
        <w:t>s</w:t>
      </w:r>
      <w:r>
        <w:rPr>
          <w:rFonts w:ascii="Book Antiqua" w:eastAsia="Book Antiqua" w:hAnsi="Book Antiqua" w:cs="Book Antiqua"/>
          <w:color w:val="000000"/>
        </w:rPr>
        <w:t>, therefore autoimmune-related stroke was not favored. Because of BICAO, her perfusion in the ACA and MCA territories was frail and relied on collateral circulations. However, she might survive for a long time even with BICAO because the clinical course of BICAO is often chronic due to collateral circulation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We assumed that DKA for several days, with effects of diffuse vascular injury, decreased velocity of blood flow, hyperglycemic vasoconstriction, abnormal coagulation cascade, and platelet dysfunction, acted as an additional risk factor for a high-risk patient with T1DM, BICAO, prior stroke, hypertension, and hyperlipidemia to develop catastrophically bilateral ACA and MCA territory infarctions.</w:t>
      </w:r>
    </w:p>
    <w:p w14:paraId="0107C4DA" w14:textId="77777777" w:rsidR="00500304" w:rsidRDefault="00034505">
      <w:pPr>
        <w:spacing w:line="360" w:lineRule="auto"/>
        <w:ind w:firstLine="240"/>
        <w:jc w:val="both"/>
      </w:pPr>
      <w:r>
        <w:rPr>
          <w:rFonts w:ascii="Book Antiqua" w:eastAsia="Book Antiqua" w:hAnsi="Book Antiqua" w:cs="Book Antiqua"/>
          <w:color w:val="000000"/>
        </w:rPr>
        <w:t>The prognosis of bilateral ACA and MCA territories infarction is poor. For type 1 diabetic patients, diet control and good glycemic control are fundamental to prevent DKA, diabetic vasculopathy, and strokes. Hypertension and hyperlipidemia should be controlled well. Additionally, regular aerobic exercise can benefit type 1 diabetic patients by improving cardiopulmonary fitness and endothelial function, as well as decreasing insulin dose and the risk of cardiovascular events</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22179BBE" w14:textId="77777777" w:rsidR="00500304" w:rsidRDefault="00500304">
      <w:pPr>
        <w:spacing w:line="360" w:lineRule="auto"/>
        <w:ind w:firstLine="480"/>
        <w:jc w:val="both"/>
      </w:pPr>
    </w:p>
    <w:p w14:paraId="7EBE7E01" w14:textId="77777777" w:rsidR="00500304" w:rsidRDefault="00034505">
      <w:pPr>
        <w:spacing w:line="360" w:lineRule="auto"/>
        <w:jc w:val="both"/>
      </w:pPr>
      <w:r>
        <w:rPr>
          <w:rFonts w:ascii="Book Antiqua" w:eastAsia="Book Antiqua" w:hAnsi="Book Antiqua" w:cs="Book Antiqua"/>
          <w:b/>
          <w:smallCaps/>
          <w:color w:val="000000"/>
          <w:u w:val="single"/>
        </w:rPr>
        <w:t>CONCLUSION</w:t>
      </w:r>
    </w:p>
    <w:p w14:paraId="6CF4E3D6" w14:textId="77777777" w:rsidR="00500304" w:rsidRDefault="00034505">
      <w:pPr>
        <w:spacing w:line="360" w:lineRule="auto"/>
        <w:jc w:val="both"/>
      </w:pPr>
      <w:r>
        <w:rPr>
          <w:rFonts w:ascii="Book Antiqua" w:eastAsia="Book Antiqua" w:hAnsi="Book Antiqua" w:cs="Book Antiqua"/>
          <w:color w:val="000000"/>
        </w:rPr>
        <w:t>DKA, which is a complication of T1DM, plays an important role in cerebral infarction by increas</w:t>
      </w:r>
      <w:r w:rsidR="007878CA">
        <w:rPr>
          <w:rFonts w:ascii="Book Antiqua" w:eastAsia="Book Antiqua" w:hAnsi="Book Antiqua" w:cs="Book Antiqua"/>
          <w:color w:val="000000"/>
        </w:rPr>
        <w:t>ing</w:t>
      </w:r>
      <w:r>
        <w:rPr>
          <w:rFonts w:ascii="Book Antiqua" w:eastAsia="Book Antiqua" w:hAnsi="Book Antiqua" w:cs="Book Antiqua"/>
          <w:color w:val="000000"/>
        </w:rPr>
        <w:t xml:space="preserve"> oxidative stress, diffuse endothelial injury, decreas</w:t>
      </w:r>
      <w:r w:rsidR="007878CA">
        <w:rPr>
          <w:rFonts w:ascii="Book Antiqua" w:eastAsia="Book Antiqua" w:hAnsi="Book Antiqua" w:cs="Book Antiqua"/>
          <w:color w:val="000000"/>
        </w:rPr>
        <w:t>ing</w:t>
      </w:r>
      <w:r>
        <w:rPr>
          <w:rFonts w:ascii="Book Antiqua" w:eastAsia="Book Antiqua" w:hAnsi="Book Antiqua" w:cs="Book Antiqua"/>
          <w:color w:val="000000"/>
        </w:rPr>
        <w:t xml:space="preserve"> velocity of blood flow, abnormal coagulation cascade, and platelet dysfunction. BICAO is rare and its outcome is grave. For this patient, long-term T1DM, hypertension, hyperlipidemia, BICAO and this DKA episode contributed to fatal bilateral ACA and MCA infarction. Diet control, glycemic control, and regular aerobic exercise for type 1 diabetic patients are important to prevent diabetic complications.</w:t>
      </w:r>
    </w:p>
    <w:p w14:paraId="09D56788" w14:textId="77777777" w:rsidR="00500304" w:rsidRDefault="00500304">
      <w:pPr>
        <w:spacing w:line="360" w:lineRule="auto"/>
        <w:jc w:val="both"/>
        <w:rPr>
          <w:rFonts w:ascii="Book Antiqua" w:eastAsia="Book Antiqua" w:hAnsi="Book Antiqua" w:cs="Book Antiqua"/>
        </w:rPr>
      </w:pPr>
    </w:p>
    <w:p w14:paraId="5AF17757" w14:textId="77777777" w:rsidR="00500304" w:rsidRDefault="00034505">
      <w:pPr>
        <w:spacing w:line="360" w:lineRule="auto"/>
        <w:jc w:val="both"/>
        <w:rPr>
          <w:rFonts w:ascii="Book Antiqua" w:eastAsia="Book Antiqua" w:hAnsi="Book Antiqua" w:cs="Book Antiqua"/>
        </w:rPr>
      </w:pPr>
      <w:r>
        <w:rPr>
          <w:rFonts w:ascii="Book Antiqua" w:eastAsia="Book Antiqua" w:hAnsi="Book Antiqua" w:cs="Book Antiqua"/>
          <w:b/>
        </w:rPr>
        <w:t>REFERENCES</w:t>
      </w:r>
    </w:p>
    <w:p w14:paraId="7C7C2183"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bookmarkStart w:id="36" w:name="OLE_LINK2724"/>
      <w:r>
        <w:rPr>
          <w:rFonts w:ascii="Book Antiqua" w:eastAsia="Book Antiqua" w:hAnsi="Book Antiqua" w:cs="Book Antiqua"/>
          <w:color w:val="000000"/>
        </w:rPr>
        <w:t>1 </w:t>
      </w:r>
      <w:r>
        <w:rPr>
          <w:rFonts w:ascii="Book Antiqua" w:eastAsia="Book Antiqua" w:hAnsi="Book Antiqua" w:cs="Book Antiqua"/>
          <w:b/>
          <w:color w:val="000000"/>
        </w:rPr>
        <w:t>O'Donnell MJ</w:t>
      </w:r>
      <w:r>
        <w:rPr>
          <w:rFonts w:ascii="Book Antiqua" w:eastAsia="Book Antiqua" w:hAnsi="Book Antiqua" w:cs="Book Antiqua"/>
          <w:color w:val="000000"/>
        </w:rPr>
        <w:t>, Chin SL, Rangarajan S, Xavier D, Liu L, Zhang H, Rao-Melacini P, Zhang X, Pais P, Agapay S, Lopez-Jaramillo P, Damasceno A, Langhorne P, McQueen MJ, Rosengren A, Dehghan M, Hankey GJ, Dans AL, Elsayed A, Avezum A, Mondo C, Diener HC, Ryglewicz D, Czlonkowska A, Pogosova N, Weimar C, Iqbal R, Diaz R, Yusoff K, Yusufali A, Oguz A, Wang X, Penaherrera E, Lanas F, Ogah OS, Ogunniyi A, Iversen HK, Malaga G, Rumboldt Z, Oveisgharan S, Al Hussain F, Magazi D, Nilanont Y, Ferguson J, Pare G, Yusuf S; INTERSTROKE investigators. Global and regional effects of potentially modifiable risk factors associated with acute stroke in 32 countries (INTERSTROKE): a case-control study. </w:t>
      </w:r>
      <w:r>
        <w:rPr>
          <w:rFonts w:ascii="Book Antiqua" w:eastAsia="Book Antiqua" w:hAnsi="Book Antiqua" w:cs="Book Antiqua"/>
          <w:i/>
          <w:color w:val="000000"/>
        </w:rPr>
        <w:t>Lancet</w:t>
      </w:r>
      <w:r>
        <w:rPr>
          <w:rFonts w:ascii="Book Antiqua" w:eastAsia="Book Antiqua" w:hAnsi="Book Antiqua" w:cs="Book Antiqua"/>
          <w:color w:val="000000"/>
        </w:rPr>
        <w:t> 2016; </w:t>
      </w:r>
      <w:r>
        <w:rPr>
          <w:rFonts w:ascii="Book Antiqua" w:eastAsia="Book Antiqua" w:hAnsi="Book Antiqua" w:cs="Book Antiqua"/>
          <w:b/>
          <w:color w:val="000000"/>
        </w:rPr>
        <w:t>388</w:t>
      </w:r>
      <w:r>
        <w:rPr>
          <w:rFonts w:ascii="Book Antiqua" w:eastAsia="Book Antiqua" w:hAnsi="Book Antiqua" w:cs="Book Antiqua"/>
          <w:color w:val="000000"/>
        </w:rPr>
        <w:t>: 761-775 [PMID: 27431356 DOI: 10.1016/S0140-6736(16)30506-2]</w:t>
      </w:r>
    </w:p>
    <w:p w14:paraId="411EA7C9"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w:t>
      </w:r>
      <w:r>
        <w:rPr>
          <w:rFonts w:ascii="Book Antiqua" w:eastAsia="Book Antiqua" w:hAnsi="Book Antiqua" w:cs="Book Antiqua"/>
          <w:b/>
          <w:color w:val="000000"/>
        </w:rPr>
        <w:t>Yaghi S</w:t>
      </w:r>
      <w:r>
        <w:rPr>
          <w:rFonts w:ascii="Book Antiqua" w:eastAsia="Book Antiqua" w:hAnsi="Book Antiqua" w:cs="Book Antiqua"/>
          <w:color w:val="000000"/>
        </w:rPr>
        <w:t>, Elkind MS. Lipids and Cerebrovascular Disease: Research and Practice. </w:t>
      </w:r>
      <w:r>
        <w:rPr>
          <w:rFonts w:ascii="Book Antiqua" w:eastAsia="Book Antiqua" w:hAnsi="Book Antiqua" w:cs="Book Antiqua"/>
          <w:i/>
          <w:color w:val="000000"/>
        </w:rPr>
        <w:t>Stroke</w:t>
      </w:r>
      <w:r>
        <w:rPr>
          <w:rFonts w:ascii="Book Antiqua" w:eastAsia="Book Antiqua" w:hAnsi="Book Antiqua" w:cs="Book Antiqua"/>
          <w:color w:val="000000"/>
        </w:rPr>
        <w:t> 2015; </w:t>
      </w:r>
      <w:r>
        <w:rPr>
          <w:rFonts w:ascii="Book Antiqua" w:eastAsia="Book Antiqua" w:hAnsi="Book Antiqua" w:cs="Book Antiqua"/>
          <w:b/>
          <w:color w:val="000000"/>
        </w:rPr>
        <w:t>46</w:t>
      </w:r>
      <w:r>
        <w:rPr>
          <w:rFonts w:ascii="Book Antiqua" w:eastAsia="Book Antiqua" w:hAnsi="Book Antiqua" w:cs="Book Antiqua"/>
          <w:color w:val="000000"/>
        </w:rPr>
        <w:t>: 3322-3328 [PMID: 26451029 DOI: 10.1161/STROKEAHA.115.011164]</w:t>
      </w:r>
    </w:p>
    <w:p w14:paraId="501793F9"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3 </w:t>
      </w:r>
      <w:r>
        <w:rPr>
          <w:rFonts w:ascii="Book Antiqua" w:eastAsia="Book Antiqua" w:hAnsi="Book Antiqua" w:cs="Book Antiqua"/>
          <w:b/>
          <w:color w:val="000000"/>
        </w:rPr>
        <w:t>Luitse MJ</w:t>
      </w:r>
      <w:r>
        <w:rPr>
          <w:rFonts w:ascii="Book Antiqua" w:eastAsia="Book Antiqua" w:hAnsi="Book Antiqua" w:cs="Book Antiqua"/>
          <w:color w:val="000000"/>
        </w:rPr>
        <w:t>, Biessels GJ, Rutten GE, Kappelle LJ. Diabetes, hyperglycaemia, and acute ischaemic stroke. </w:t>
      </w:r>
      <w:r>
        <w:rPr>
          <w:rFonts w:ascii="Book Antiqua" w:eastAsia="Book Antiqua" w:hAnsi="Book Antiqua" w:cs="Book Antiqua"/>
          <w:i/>
          <w:color w:val="000000"/>
        </w:rPr>
        <w:t>Lancet Neurol</w:t>
      </w:r>
      <w:r>
        <w:rPr>
          <w:rFonts w:ascii="Book Antiqua" w:eastAsia="Book Antiqua" w:hAnsi="Book Antiqua" w:cs="Book Antiqua"/>
          <w:color w:val="000000"/>
        </w:rPr>
        <w:t> 2012; </w:t>
      </w:r>
      <w:r>
        <w:rPr>
          <w:rFonts w:ascii="Book Antiqua" w:eastAsia="Book Antiqua" w:hAnsi="Book Antiqua" w:cs="Book Antiqua"/>
          <w:b/>
          <w:color w:val="000000"/>
        </w:rPr>
        <w:t>11</w:t>
      </w:r>
      <w:r>
        <w:rPr>
          <w:rFonts w:ascii="Book Antiqua" w:eastAsia="Book Antiqua" w:hAnsi="Book Antiqua" w:cs="Book Antiqua"/>
          <w:color w:val="000000"/>
        </w:rPr>
        <w:t>: 261-271 [PMID: 22341034 DOI: 10.1016/S1474-4422(12)70005-4]</w:t>
      </w:r>
    </w:p>
    <w:p w14:paraId="33949C03"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4 </w:t>
      </w:r>
      <w:r>
        <w:rPr>
          <w:rFonts w:ascii="Book Antiqua" w:eastAsia="Book Antiqua" w:hAnsi="Book Antiqua" w:cs="Book Antiqua"/>
          <w:b/>
          <w:color w:val="000000"/>
        </w:rPr>
        <w:t>Mohan KM</w:t>
      </w:r>
      <w:r>
        <w:rPr>
          <w:rFonts w:ascii="Book Antiqua" w:eastAsia="Book Antiqua" w:hAnsi="Book Antiqua" w:cs="Book Antiqua"/>
          <w:color w:val="000000"/>
        </w:rPr>
        <w:t>, Wolfe CD, Rudd AG, Heuschmann PU, Kolominsky-Rabas PL, Grieve AP. Risk and cumulative risk of stroke recurrence: a systematic review and meta-analysis. </w:t>
      </w:r>
      <w:r>
        <w:rPr>
          <w:rFonts w:ascii="Book Antiqua" w:eastAsia="Book Antiqua" w:hAnsi="Book Antiqua" w:cs="Book Antiqua"/>
          <w:i/>
          <w:color w:val="000000"/>
        </w:rPr>
        <w:t>Stroke</w:t>
      </w:r>
      <w:r>
        <w:rPr>
          <w:rFonts w:ascii="Book Antiqua" w:eastAsia="Book Antiqua" w:hAnsi="Book Antiqua" w:cs="Book Antiqua"/>
          <w:color w:val="000000"/>
        </w:rPr>
        <w:t> 2011; </w:t>
      </w:r>
      <w:r>
        <w:rPr>
          <w:rFonts w:ascii="Book Antiqua" w:eastAsia="Book Antiqua" w:hAnsi="Book Antiqua" w:cs="Book Antiqua"/>
          <w:b/>
          <w:color w:val="000000"/>
        </w:rPr>
        <w:t>42</w:t>
      </w:r>
      <w:r>
        <w:rPr>
          <w:rFonts w:ascii="Book Antiqua" w:eastAsia="Book Antiqua" w:hAnsi="Book Antiqua" w:cs="Book Antiqua"/>
          <w:color w:val="000000"/>
        </w:rPr>
        <w:t>: 1489-1494 [PMID: 21454819 DOI: 10.1161/STROKEAHA.110.602615]</w:t>
      </w:r>
    </w:p>
    <w:p w14:paraId="6731EFC9"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5 </w:t>
      </w:r>
      <w:r>
        <w:rPr>
          <w:rFonts w:ascii="Book Antiqua" w:eastAsia="Book Antiqua" w:hAnsi="Book Antiqua" w:cs="Book Antiqua"/>
          <w:b/>
          <w:color w:val="000000"/>
        </w:rPr>
        <w:t>Wolfsdorf J</w:t>
      </w:r>
      <w:r>
        <w:rPr>
          <w:rFonts w:ascii="Book Antiqua" w:eastAsia="Book Antiqua" w:hAnsi="Book Antiqua" w:cs="Book Antiqua"/>
          <w:color w:val="000000"/>
        </w:rPr>
        <w:t>, Glaser N, Sperling MA; American Diabetes Association. Diabetic ketoacidosis in infants, children, and adolescents: A consensus statement from the American Diabetes Association. </w:t>
      </w:r>
      <w:r>
        <w:rPr>
          <w:rFonts w:ascii="Book Antiqua" w:eastAsia="Book Antiqua" w:hAnsi="Book Antiqua" w:cs="Book Antiqua"/>
          <w:i/>
          <w:color w:val="000000"/>
        </w:rPr>
        <w:t>Diabetes Care</w:t>
      </w:r>
      <w:r>
        <w:rPr>
          <w:rFonts w:ascii="Book Antiqua" w:eastAsia="Book Antiqua" w:hAnsi="Book Antiqua" w:cs="Book Antiqua"/>
          <w:color w:val="000000"/>
        </w:rPr>
        <w:t> 2006; </w:t>
      </w:r>
      <w:r>
        <w:rPr>
          <w:rFonts w:ascii="Book Antiqua" w:eastAsia="Book Antiqua" w:hAnsi="Book Antiqua" w:cs="Book Antiqua"/>
          <w:b/>
          <w:color w:val="000000"/>
        </w:rPr>
        <w:t>29</w:t>
      </w:r>
      <w:r>
        <w:rPr>
          <w:rFonts w:ascii="Book Antiqua" w:eastAsia="Book Antiqua" w:hAnsi="Book Antiqua" w:cs="Book Antiqua"/>
          <w:color w:val="000000"/>
        </w:rPr>
        <w:t>: 1150-1159 [PMID: 16644656 DOI: 10.2337/diacare.2951150]</w:t>
      </w:r>
    </w:p>
    <w:p w14:paraId="01C8E3EA"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6 </w:t>
      </w:r>
      <w:r>
        <w:rPr>
          <w:rFonts w:ascii="Book Antiqua" w:eastAsia="Book Antiqua" w:hAnsi="Book Antiqua" w:cs="Book Antiqua"/>
          <w:b/>
          <w:color w:val="000000"/>
        </w:rPr>
        <w:t>Amin OS</w:t>
      </w:r>
      <w:r>
        <w:rPr>
          <w:rFonts w:ascii="Book Antiqua" w:eastAsia="Book Antiqua" w:hAnsi="Book Antiqua" w:cs="Book Antiqua"/>
          <w:color w:val="000000"/>
        </w:rPr>
        <w:t>. Bilateral atherosclerotic internal carotid artery occlusion and recurrent ischaemic stroke. </w:t>
      </w:r>
      <w:r>
        <w:rPr>
          <w:rFonts w:ascii="Book Antiqua" w:eastAsia="Book Antiqua" w:hAnsi="Book Antiqua" w:cs="Book Antiqua"/>
          <w:i/>
          <w:color w:val="000000"/>
        </w:rPr>
        <w:t>BMJ Case Rep</w:t>
      </w:r>
      <w:r>
        <w:rPr>
          <w:rFonts w:ascii="Book Antiqua" w:eastAsia="Book Antiqua" w:hAnsi="Book Antiqua" w:cs="Book Antiqua"/>
          <w:color w:val="000000"/>
        </w:rPr>
        <w:t> 2015; </w:t>
      </w:r>
      <w:r>
        <w:rPr>
          <w:rFonts w:ascii="Book Antiqua" w:eastAsia="Book Antiqua" w:hAnsi="Book Antiqua" w:cs="Book Antiqua"/>
          <w:b/>
          <w:color w:val="000000"/>
        </w:rPr>
        <w:t>2015</w:t>
      </w:r>
      <w:r>
        <w:rPr>
          <w:rFonts w:ascii="Book Antiqua" w:eastAsia="Book Antiqua" w:hAnsi="Book Antiqua" w:cs="Book Antiqua"/>
          <w:color w:val="000000"/>
        </w:rPr>
        <w:t> [PMID: 26055760 DOI: 10.1136/bcr-2014-207341]</w:t>
      </w:r>
    </w:p>
    <w:p w14:paraId="12DC3F15"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7 </w:t>
      </w:r>
      <w:r>
        <w:rPr>
          <w:rFonts w:ascii="Book Antiqua" w:eastAsia="Book Antiqua" w:hAnsi="Book Antiqua" w:cs="Book Antiqua"/>
          <w:b/>
          <w:color w:val="000000"/>
        </w:rPr>
        <w:t>Mead GE</w:t>
      </w:r>
      <w:r>
        <w:rPr>
          <w:rFonts w:ascii="Book Antiqua" w:eastAsia="Book Antiqua" w:hAnsi="Book Antiqua" w:cs="Book Antiqua"/>
          <w:color w:val="000000"/>
        </w:rPr>
        <w:t>, Wardlaw JM, Lewis SC, Dennis MS; Lothian Stroke Registry Study Group. No evidence that severity of stroke in internal carotid occlusion is related to collateral arteries. </w:t>
      </w:r>
      <w:r>
        <w:rPr>
          <w:rFonts w:ascii="Book Antiqua" w:eastAsia="Book Antiqua" w:hAnsi="Book Antiqua" w:cs="Book Antiqua"/>
          <w:i/>
          <w:color w:val="000000"/>
        </w:rPr>
        <w:t>J Neurol Neurosurg Psychiatry</w:t>
      </w:r>
      <w:r>
        <w:rPr>
          <w:rFonts w:ascii="Book Antiqua" w:eastAsia="Book Antiqua" w:hAnsi="Book Antiqua" w:cs="Book Antiqua"/>
          <w:color w:val="000000"/>
        </w:rPr>
        <w:t> 2006; </w:t>
      </w:r>
      <w:r>
        <w:rPr>
          <w:rFonts w:ascii="Book Antiqua" w:eastAsia="Book Antiqua" w:hAnsi="Book Antiqua" w:cs="Book Antiqua"/>
          <w:b/>
          <w:color w:val="000000"/>
        </w:rPr>
        <w:t>77</w:t>
      </w:r>
      <w:r>
        <w:rPr>
          <w:rFonts w:ascii="Book Antiqua" w:eastAsia="Book Antiqua" w:hAnsi="Book Antiqua" w:cs="Book Antiqua"/>
          <w:color w:val="000000"/>
        </w:rPr>
        <w:t>: 729-733 [PMID: 16488923 DOI: 10.1136/jnnp.2005.080978]</w:t>
      </w:r>
    </w:p>
    <w:p w14:paraId="266CCF84" w14:textId="1F97FC3F"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8 </w:t>
      </w:r>
      <w:r>
        <w:rPr>
          <w:rFonts w:ascii="Book Antiqua" w:eastAsia="Book Antiqua" w:hAnsi="Book Antiqua" w:cs="Book Antiqua"/>
          <w:b/>
          <w:color w:val="000000"/>
        </w:rPr>
        <w:t>Ota K,</w:t>
      </w:r>
      <w:r>
        <w:rPr>
          <w:rFonts w:ascii="Book Antiqua" w:eastAsia="Book Antiqua" w:hAnsi="Book Antiqua" w:cs="Book Antiqua"/>
          <w:color w:val="000000"/>
        </w:rPr>
        <w:t xml:space="preserve"> Matsubara N, Takahashi I, Imaoka E, Harada H, Kataoka H, Makino K, Kano T. A Case of Acute Simultaneous Bilateral Internal Carotid artery Occlusion Treated by Thrombectomy. </w:t>
      </w:r>
      <w:r>
        <w:rPr>
          <w:rFonts w:ascii="Book Antiqua" w:eastAsia="Book Antiqua" w:hAnsi="Book Antiqua" w:cs="Book Antiqua"/>
          <w:i/>
          <w:color w:val="000000"/>
        </w:rPr>
        <w:t>J Neuroendovas Thera</w:t>
      </w:r>
      <w:r>
        <w:rPr>
          <w:rFonts w:ascii="Book Antiqua" w:eastAsia="Book Antiqua" w:hAnsi="Book Antiqua" w:cs="Book Antiqua"/>
          <w:color w:val="000000"/>
        </w:rPr>
        <w:t xml:space="preserve"> 2018; </w:t>
      </w:r>
      <w:r>
        <w:rPr>
          <w:rFonts w:ascii="Book Antiqua" w:eastAsia="Book Antiqua" w:hAnsi="Book Antiqua" w:cs="Book Antiqua"/>
          <w:b/>
          <w:color w:val="000000"/>
        </w:rPr>
        <w:t>12</w:t>
      </w:r>
      <w:r>
        <w:rPr>
          <w:rFonts w:ascii="Book Antiqua" w:eastAsia="Book Antiqua" w:hAnsi="Book Antiqua" w:cs="Book Antiqua"/>
          <w:color w:val="000000"/>
        </w:rPr>
        <w:t>: 386</w:t>
      </w:r>
      <w:r w:rsidR="00884441">
        <w:rPr>
          <w:rFonts w:ascii="Book Antiqua" w:eastAsia="Book Antiqua" w:hAnsi="Book Antiqua" w:cs="Book Antiqua"/>
          <w:color w:val="000000"/>
        </w:rPr>
        <w:t>-</w:t>
      </w:r>
      <w:r>
        <w:rPr>
          <w:rFonts w:ascii="Book Antiqua" w:eastAsia="Book Antiqua" w:hAnsi="Book Antiqua" w:cs="Book Antiqua"/>
          <w:color w:val="000000"/>
        </w:rPr>
        <w:t>392 [DOI: 10.5797/jnet.cr.2017-0110]</w:t>
      </w:r>
    </w:p>
    <w:p w14:paraId="3761BEFD"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9 </w:t>
      </w:r>
      <w:r>
        <w:rPr>
          <w:rFonts w:ascii="Book Antiqua" w:eastAsia="Book Antiqua" w:hAnsi="Book Antiqua" w:cs="Book Antiqua"/>
          <w:b/>
          <w:color w:val="000000"/>
        </w:rPr>
        <w:t>Griffiths D</w:t>
      </w:r>
      <w:r>
        <w:rPr>
          <w:rFonts w:ascii="Book Antiqua" w:eastAsia="Book Antiqua" w:hAnsi="Book Antiqua" w:cs="Book Antiqua"/>
          <w:color w:val="000000"/>
        </w:rPr>
        <w:t>, Sturm J. Epidemiology and etiology of young stroke. </w:t>
      </w:r>
      <w:r>
        <w:rPr>
          <w:rFonts w:ascii="Book Antiqua" w:eastAsia="Book Antiqua" w:hAnsi="Book Antiqua" w:cs="Book Antiqua"/>
          <w:i/>
          <w:color w:val="000000"/>
        </w:rPr>
        <w:t>Stroke Res Treat</w:t>
      </w:r>
      <w:r>
        <w:rPr>
          <w:rFonts w:ascii="Book Antiqua" w:eastAsia="Book Antiqua" w:hAnsi="Book Antiqua" w:cs="Book Antiqua"/>
          <w:color w:val="000000"/>
        </w:rPr>
        <w:t> 2011; </w:t>
      </w:r>
      <w:r>
        <w:rPr>
          <w:rFonts w:ascii="Book Antiqua" w:eastAsia="Book Antiqua" w:hAnsi="Book Antiqua" w:cs="Book Antiqua"/>
          <w:b/>
          <w:color w:val="000000"/>
        </w:rPr>
        <w:t>2011</w:t>
      </w:r>
      <w:r>
        <w:rPr>
          <w:rFonts w:ascii="Book Antiqua" w:eastAsia="Book Antiqua" w:hAnsi="Book Antiqua" w:cs="Book Antiqua"/>
          <w:color w:val="000000"/>
        </w:rPr>
        <w:t>: 209370 [PMID: 21789269 DOI: 10.4061/2011/209370]</w:t>
      </w:r>
    </w:p>
    <w:p w14:paraId="3BE8C70D"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10 </w:t>
      </w:r>
      <w:r>
        <w:rPr>
          <w:rFonts w:ascii="Book Antiqua" w:eastAsia="Book Antiqua" w:hAnsi="Book Antiqua" w:cs="Book Antiqua"/>
          <w:b/>
          <w:color w:val="000000"/>
        </w:rPr>
        <w:t>Ji R</w:t>
      </w:r>
      <w:r>
        <w:rPr>
          <w:rFonts w:ascii="Book Antiqua" w:eastAsia="Book Antiqua" w:hAnsi="Book Antiqua" w:cs="Book Antiqua"/>
          <w:color w:val="000000"/>
        </w:rPr>
        <w:t>, Schwamm LH, Pervez MA, Singhal AB. Ischemic stroke and transient ischemic attack in young adults: risk factors, diagnostic yield, neuroimaging, and thrombolysis. </w:t>
      </w:r>
      <w:r>
        <w:rPr>
          <w:rFonts w:ascii="Book Antiqua" w:eastAsia="Book Antiqua" w:hAnsi="Book Antiqua" w:cs="Book Antiqua"/>
          <w:i/>
          <w:color w:val="000000"/>
        </w:rPr>
        <w:t>JAMA Neurol</w:t>
      </w:r>
      <w:r>
        <w:rPr>
          <w:rFonts w:ascii="Book Antiqua" w:eastAsia="Book Antiqua" w:hAnsi="Book Antiqua" w:cs="Book Antiqua"/>
          <w:color w:val="000000"/>
        </w:rPr>
        <w:t> 2013; </w:t>
      </w:r>
      <w:r>
        <w:rPr>
          <w:rFonts w:ascii="Book Antiqua" w:eastAsia="Book Antiqua" w:hAnsi="Book Antiqua" w:cs="Book Antiqua"/>
          <w:b/>
          <w:color w:val="000000"/>
        </w:rPr>
        <w:t>70</w:t>
      </w:r>
      <w:r>
        <w:rPr>
          <w:rFonts w:ascii="Book Antiqua" w:eastAsia="Book Antiqua" w:hAnsi="Book Antiqua" w:cs="Book Antiqua"/>
          <w:color w:val="000000"/>
        </w:rPr>
        <w:t>: 51-57 [PMID: 23108720 DOI: 10.1001/jamaneurol.2013.575]</w:t>
      </w:r>
    </w:p>
    <w:p w14:paraId="6C292113"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11 </w:t>
      </w:r>
      <w:r>
        <w:rPr>
          <w:rFonts w:ascii="Book Antiqua" w:eastAsia="Book Antiqua" w:hAnsi="Book Antiqua" w:cs="Book Antiqua"/>
          <w:b/>
          <w:color w:val="000000"/>
        </w:rPr>
        <w:t>Cooper ME</w:t>
      </w:r>
      <w:r>
        <w:rPr>
          <w:rFonts w:ascii="Book Antiqua" w:eastAsia="Book Antiqua" w:hAnsi="Book Antiqua" w:cs="Book Antiqua"/>
          <w:color w:val="000000"/>
        </w:rPr>
        <w:t>, Bonnet F, Oldfield M, Jandeleit-Dahm K. Mechanisms of diabetic vasculopathy: an overview. </w:t>
      </w:r>
      <w:r>
        <w:rPr>
          <w:rFonts w:ascii="Book Antiqua" w:eastAsia="Book Antiqua" w:hAnsi="Book Antiqua" w:cs="Book Antiqua"/>
          <w:i/>
          <w:color w:val="000000"/>
        </w:rPr>
        <w:t>Am J Hypertens</w:t>
      </w:r>
      <w:r>
        <w:rPr>
          <w:rFonts w:ascii="Book Antiqua" w:eastAsia="Book Antiqua" w:hAnsi="Book Antiqua" w:cs="Book Antiqua"/>
          <w:color w:val="000000"/>
        </w:rPr>
        <w:t> 2001; </w:t>
      </w:r>
      <w:r>
        <w:rPr>
          <w:rFonts w:ascii="Book Antiqua" w:eastAsia="Book Antiqua" w:hAnsi="Book Antiqua" w:cs="Book Antiqua"/>
          <w:b/>
          <w:color w:val="000000"/>
        </w:rPr>
        <w:t>14</w:t>
      </w:r>
      <w:r>
        <w:rPr>
          <w:rFonts w:ascii="Book Antiqua" w:eastAsia="Book Antiqua" w:hAnsi="Book Antiqua" w:cs="Book Antiqua"/>
          <w:color w:val="000000"/>
        </w:rPr>
        <w:t>: 475-486 [PMID: 11368471 DOI: 10.1016/s0895-7061(00)01323-6]</w:t>
      </w:r>
    </w:p>
    <w:p w14:paraId="00E6D090"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12 </w:t>
      </w:r>
      <w:r>
        <w:rPr>
          <w:rFonts w:ascii="Book Antiqua" w:eastAsia="Book Antiqua" w:hAnsi="Book Antiqua" w:cs="Book Antiqua"/>
          <w:b/>
          <w:color w:val="000000"/>
        </w:rPr>
        <w:t>Putaala J</w:t>
      </w:r>
      <w:r>
        <w:rPr>
          <w:rFonts w:ascii="Book Antiqua" w:eastAsia="Book Antiqua" w:hAnsi="Book Antiqua" w:cs="Book Antiqua"/>
          <w:color w:val="000000"/>
        </w:rPr>
        <w:t>, Metso AJ, Metso TM, Konkola N, Kraemer Y, Haapaniemi E, Kaste M, Tatlisumak T. Analysis of 1008 consecutive patients aged 15 to 49 with first-ever ischemic stroke: the Helsinki young stroke registry. </w:t>
      </w:r>
      <w:r>
        <w:rPr>
          <w:rFonts w:ascii="Book Antiqua" w:eastAsia="Book Antiqua" w:hAnsi="Book Antiqua" w:cs="Book Antiqua"/>
          <w:i/>
          <w:color w:val="000000"/>
        </w:rPr>
        <w:t>Stroke</w:t>
      </w:r>
      <w:r>
        <w:rPr>
          <w:rFonts w:ascii="Book Antiqua" w:eastAsia="Book Antiqua" w:hAnsi="Book Antiqua" w:cs="Book Antiqua"/>
          <w:color w:val="000000"/>
        </w:rPr>
        <w:t> 2009; </w:t>
      </w:r>
      <w:r>
        <w:rPr>
          <w:rFonts w:ascii="Book Antiqua" w:eastAsia="Book Antiqua" w:hAnsi="Book Antiqua" w:cs="Book Antiqua"/>
          <w:b/>
          <w:color w:val="000000"/>
        </w:rPr>
        <w:t>40</w:t>
      </w:r>
      <w:r>
        <w:rPr>
          <w:rFonts w:ascii="Book Antiqua" w:eastAsia="Book Antiqua" w:hAnsi="Book Antiqua" w:cs="Book Antiqua"/>
          <w:color w:val="000000"/>
        </w:rPr>
        <w:t>: 1195-1203 [PMID: 19246709 DOI: 10.1161/STROKEAHA.108.529883]</w:t>
      </w:r>
    </w:p>
    <w:p w14:paraId="31DBE520"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13 </w:t>
      </w:r>
      <w:r>
        <w:rPr>
          <w:rFonts w:ascii="Book Antiqua" w:eastAsia="Book Antiqua" w:hAnsi="Book Antiqua" w:cs="Book Antiqua"/>
          <w:b/>
          <w:color w:val="000000"/>
        </w:rPr>
        <w:t>Flaherty ML</w:t>
      </w:r>
      <w:r>
        <w:rPr>
          <w:rFonts w:ascii="Book Antiqua" w:eastAsia="Book Antiqua" w:hAnsi="Book Antiqua" w:cs="Book Antiqua"/>
          <w:color w:val="000000"/>
        </w:rPr>
        <w:t>, Kissela B, Khoury JC, Alwell K, Moomaw CJ, Woo D, Khatri P, Ferioli S, Adeoye O, Broderick JP, Kleindorfer D. Carotid artery stenosis as a cause of stroke. </w:t>
      </w:r>
      <w:r>
        <w:rPr>
          <w:rFonts w:ascii="Book Antiqua" w:eastAsia="Book Antiqua" w:hAnsi="Book Antiqua" w:cs="Book Antiqua"/>
          <w:i/>
          <w:color w:val="000000"/>
        </w:rPr>
        <w:t>Neuroepidemiology</w:t>
      </w:r>
      <w:r>
        <w:rPr>
          <w:rFonts w:ascii="Book Antiqua" w:eastAsia="Book Antiqua" w:hAnsi="Book Antiqua" w:cs="Book Antiqua"/>
          <w:color w:val="000000"/>
        </w:rPr>
        <w:t> 2013; </w:t>
      </w:r>
      <w:r>
        <w:rPr>
          <w:rFonts w:ascii="Book Antiqua" w:eastAsia="Book Antiqua" w:hAnsi="Book Antiqua" w:cs="Book Antiqua"/>
          <w:b/>
          <w:color w:val="000000"/>
        </w:rPr>
        <w:t>40</w:t>
      </w:r>
      <w:r>
        <w:rPr>
          <w:rFonts w:ascii="Book Antiqua" w:eastAsia="Book Antiqua" w:hAnsi="Book Antiqua" w:cs="Book Antiqua"/>
          <w:color w:val="000000"/>
        </w:rPr>
        <w:t>: 36-41 [PMID: 23075828 DOI: 10.1159/000341410]</w:t>
      </w:r>
    </w:p>
    <w:p w14:paraId="5BF1DB09"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14 </w:t>
      </w:r>
      <w:r>
        <w:rPr>
          <w:rFonts w:ascii="Book Antiqua" w:eastAsia="Book Antiqua" w:hAnsi="Book Antiqua" w:cs="Book Antiqua"/>
          <w:b/>
          <w:color w:val="000000"/>
        </w:rPr>
        <w:t>Takahashi K</w:t>
      </w:r>
      <w:r>
        <w:rPr>
          <w:rFonts w:ascii="Book Antiqua" w:eastAsia="Book Antiqua" w:hAnsi="Book Antiqua" w:cs="Book Antiqua"/>
          <w:color w:val="000000"/>
        </w:rPr>
        <w:t>, Matsui R, Yamagata S, Kobayashi S. Cerebral infarction throughout both internal carotid arteries detected by diffusion-weighted MRI. </w:t>
      </w:r>
      <w:r>
        <w:rPr>
          <w:rFonts w:ascii="Book Antiqua" w:eastAsia="Book Antiqua" w:hAnsi="Book Antiqua" w:cs="Book Antiqua"/>
          <w:i/>
          <w:color w:val="000000"/>
        </w:rPr>
        <w:t>Stroke</w:t>
      </w:r>
      <w:r>
        <w:rPr>
          <w:rFonts w:ascii="Book Antiqua" w:eastAsia="Book Antiqua" w:hAnsi="Book Antiqua" w:cs="Book Antiqua"/>
          <w:color w:val="000000"/>
        </w:rPr>
        <w:t> 2001; </w:t>
      </w:r>
      <w:r>
        <w:rPr>
          <w:rFonts w:ascii="Book Antiqua" w:eastAsia="Book Antiqua" w:hAnsi="Book Antiqua" w:cs="Book Antiqua"/>
          <w:b/>
          <w:color w:val="000000"/>
        </w:rPr>
        <w:t>32</w:t>
      </w:r>
      <w:r>
        <w:rPr>
          <w:rFonts w:ascii="Book Antiqua" w:eastAsia="Book Antiqua" w:hAnsi="Book Antiqua" w:cs="Book Antiqua"/>
          <w:color w:val="000000"/>
        </w:rPr>
        <w:t>: 817-818 [PMID: 11239212 DOI: 10.1161/01.str.32.3.817-a]</w:t>
      </w:r>
    </w:p>
    <w:p w14:paraId="686CC883"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15 </w:t>
      </w:r>
      <w:r>
        <w:rPr>
          <w:rFonts w:ascii="Book Antiqua" w:eastAsia="Book Antiqua" w:hAnsi="Book Antiqua" w:cs="Book Antiqua"/>
          <w:b/>
          <w:color w:val="000000"/>
        </w:rPr>
        <w:t>Kernan WN</w:t>
      </w:r>
      <w:r>
        <w:rPr>
          <w:rFonts w:ascii="Book Antiqua" w:eastAsia="Book Antiqua" w:hAnsi="Book Antiqua" w:cs="Book Antiqua"/>
          <w:color w:val="000000"/>
        </w:rPr>
        <w:t>, Ovbiagele B, Black HR, Bravata DM, Chimowitz MI, Ezekowitz MD, Fang MC, Fisher M, Furie KL, Heck DV, Johnston SC, Kasner SE, Kittner SJ, Mitchell PH, Rich MW, Richardson D, Schwamm LH, Wilson JA; American Heart Association Stroke Council, Council on Cardiovascular and Stroke Nursing, Council on Clinical Cardiology, and Council on Peripheral Vascular Disease. Guidelines for the prevention of stroke in patients with stroke and transient ischemic attack: a guideline for healthcare professionals from the American Heart Association/American Stroke Association. </w:t>
      </w:r>
      <w:r>
        <w:rPr>
          <w:rFonts w:ascii="Book Antiqua" w:eastAsia="Book Antiqua" w:hAnsi="Book Antiqua" w:cs="Book Antiqua"/>
          <w:i/>
          <w:color w:val="000000"/>
        </w:rPr>
        <w:t>Stroke</w:t>
      </w:r>
      <w:r>
        <w:rPr>
          <w:rFonts w:ascii="Book Antiqua" w:eastAsia="Book Antiqua" w:hAnsi="Book Antiqua" w:cs="Book Antiqua"/>
          <w:color w:val="000000"/>
        </w:rPr>
        <w:t> 2014; </w:t>
      </w:r>
      <w:r>
        <w:rPr>
          <w:rFonts w:ascii="Book Antiqua" w:eastAsia="Book Antiqua" w:hAnsi="Book Antiqua" w:cs="Book Antiqua"/>
          <w:b/>
          <w:color w:val="000000"/>
        </w:rPr>
        <w:t>45</w:t>
      </w:r>
      <w:r>
        <w:rPr>
          <w:rFonts w:ascii="Book Antiqua" w:eastAsia="Book Antiqua" w:hAnsi="Book Antiqua" w:cs="Book Antiqua"/>
          <w:color w:val="000000"/>
        </w:rPr>
        <w:t>: 2160-2236 [PMID: 24788967 DOI: 10.1161/STR.0000000000000024]</w:t>
      </w:r>
    </w:p>
    <w:p w14:paraId="305542D3"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16 </w:t>
      </w:r>
      <w:r>
        <w:rPr>
          <w:rFonts w:ascii="Book Antiqua" w:eastAsia="Book Antiqua" w:hAnsi="Book Antiqua" w:cs="Book Antiqua"/>
          <w:b/>
          <w:color w:val="000000"/>
        </w:rPr>
        <w:t>Brott TG</w:t>
      </w:r>
      <w:r>
        <w:rPr>
          <w:rFonts w:ascii="Book Antiqua" w:eastAsia="Book Antiqua" w:hAnsi="Book Antiqua" w:cs="Book Antiqua"/>
          <w:color w:val="000000"/>
        </w:rPr>
        <w:t>, Halperin JL, Abbara S, Bacharach JM, Barr JD, Bush RL, Cates CU, Creager MA, Fowler SB, Friday G, Hertzberg VS, McIff EB, Moore WS, Panagos PD, Riles TS, Rosenwasser RH, Taylor AJ; American College of Cardiology Foundation/American Heart Association Task Force on Practice Guidelines; American Stroke Assocation; American Association of Neuroscience Nurses; American Association of Neurological Surgeons; American College of Radiology; American Society of Neuroradiology; Congress of Neurolgocial Surgeons; Society of Atherosclerosis Imaging and Prevention; Society for Cardiovascular Angiography and Interventions; Society of Interventional Radiology; Society of NeuroInterventional Surgery; Society for Vascular Medicine; Society for Vascular Surgery; American Academy of Neurology and Society of Cardiovascular Computed Tomography. 2011 ASA/ACCF/AHA/AANN/AANS/ACR/ASNR/CNS/SAIP/SCAI/SIR/SNIS/SVM/SVS guideline on the management of patients with extracranial carotid and vertebral artery disease. </w:t>
      </w:r>
      <w:r>
        <w:rPr>
          <w:rFonts w:ascii="Book Antiqua" w:eastAsia="Book Antiqua" w:hAnsi="Book Antiqua" w:cs="Book Antiqua"/>
          <w:i/>
          <w:color w:val="000000"/>
        </w:rPr>
        <w:t>Stroke</w:t>
      </w:r>
      <w:r>
        <w:rPr>
          <w:rFonts w:ascii="Book Antiqua" w:eastAsia="Book Antiqua" w:hAnsi="Book Antiqua" w:cs="Book Antiqua"/>
          <w:color w:val="000000"/>
        </w:rPr>
        <w:t> 2011; </w:t>
      </w:r>
      <w:r>
        <w:rPr>
          <w:rFonts w:ascii="Book Antiqua" w:eastAsia="Book Antiqua" w:hAnsi="Book Antiqua" w:cs="Book Antiqua"/>
          <w:b/>
          <w:color w:val="000000"/>
        </w:rPr>
        <w:t>42</w:t>
      </w:r>
      <w:r>
        <w:rPr>
          <w:rFonts w:ascii="Book Antiqua" w:eastAsia="Book Antiqua" w:hAnsi="Book Antiqua" w:cs="Book Antiqua"/>
          <w:color w:val="000000"/>
        </w:rPr>
        <w:t>: e464-e540 [PMID: 21282493 DOI: 10.1161/STR.0b013e3182112cc2]</w:t>
      </w:r>
    </w:p>
    <w:p w14:paraId="51F16E72"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17 </w:t>
      </w:r>
      <w:r>
        <w:rPr>
          <w:rFonts w:ascii="Book Antiqua" w:eastAsia="Book Antiqua" w:hAnsi="Book Antiqua" w:cs="Book Antiqua"/>
          <w:b/>
          <w:color w:val="000000"/>
        </w:rPr>
        <w:t>Umpierrez GE</w:t>
      </w:r>
      <w:r>
        <w:rPr>
          <w:rFonts w:ascii="Book Antiqua" w:eastAsia="Book Antiqua" w:hAnsi="Book Antiqua" w:cs="Book Antiqua"/>
          <w:color w:val="000000"/>
        </w:rPr>
        <w:t>, Kitabchi AE. Diabetic ketoacidosis: risk factors and management strategies. </w:t>
      </w:r>
      <w:r>
        <w:rPr>
          <w:rFonts w:ascii="Book Antiqua" w:eastAsia="Book Antiqua" w:hAnsi="Book Antiqua" w:cs="Book Antiqua"/>
          <w:i/>
          <w:color w:val="000000"/>
        </w:rPr>
        <w:t>Treat Endocrinol</w:t>
      </w:r>
      <w:r>
        <w:rPr>
          <w:rFonts w:ascii="Book Antiqua" w:eastAsia="Book Antiqua" w:hAnsi="Book Antiqua" w:cs="Book Antiqua"/>
          <w:color w:val="000000"/>
        </w:rPr>
        <w:t> 2003; </w:t>
      </w:r>
      <w:r>
        <w:rPr>
          <w:rFonts w:ascii="Book Antiqua" w:eastAsia="Book Antiqua" w:hAnsi="Book Antiqua" w:cs="Book Antiqua"/>
          <w:b/>
          <w:color w:val="000000"/>
        </w:rPr>
        <w:t>2</w:t>
      </w:r>
      <w:r>
        <w:rPr>
          <w:rFonts w:ascii="Book Antiqua" w:eastAsia="Book Antiqua" w:hAnsi="Book Antiqua" w:cs="Book Antiqua"/>
          <w:color w:val="000000"/>
        </w:rPr>
        <w:t>: 95-108 [PMID: 15871546 DOI: 10.2165/00024677-200302020-00003]</w:t>
      </w:r>
    </w:p>
    <w:p w14:paraId="3626E46E"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18 </w:t>
      </w:r>
      <w:r>
        <w:rPr>
          <w:rFonts w:ascii="Book Antiqua" w:eastAsia="Book Antiqua" w:hAnsi="Book Antiqua" w:cs="Book Antiqua"/>
          <w:b/>
          <w:color w:val="000000"/>
        </w:rPr>
        <w:t>Malone ML</w:t>
      </w:r>
      <w:r>
        <w:rPr>
          <w:rFonts w:ascii="Book Antiqua" w:eastAsia="Book Antiqua" w:hAnsi="Book Antiqua" w:cs="Book Antiqua"/>
          <w:color w:val="000000"/>
        </w:rPr>
        <w:t>, Gennis V, Goodwin JS. Characteristics of diabetic ketoacidosis in older versus younger adults. </w:t>
      </w:r>
      <w:r>
        <w:rPr>
          <w:rFonts w:ascii="Book Antiqua" w:eastAsia="Book Antiqua" w:hAnsi="Book Antiqua" w:cs="Book Antiqua"/>
          <w:i/>
          <w:color w:val="000000"/>
        </w:rPr>
        <w:t>J Am Geriatr Soc</w:t>
      </w:r>
      <w:r>
        <w:rPr>
          <w:rFonts w:ascii="Book Antiqua" w:eastAsia="Book Antiqua" w:hAnsi="Book Antiqua" w:cs="Book Antiqua"/>
          <w:color w:val="000000"/>
        </w:rPr>
        <w:t> 1992; </w:t>
      </w:r>
      <w:r>
        <w:rPr>
          <w:rFonts w:ascii="Book Antiqua" w:eastAsia="Book Antiqua" w:hAnsi="Book Antiqua" w:cs="Book Antiqua"/>
          <w:b/>
          <w:color w:val="000000"/>
        </w:rPr>
        <w:t>40</w:t>
      </w:r>
      <w:r>
        <w:rPr>
          <w:rFonts w:ascii="Book Antiqua" w:eastAsia="Book Antiqua" w:hAnsi="Book Antiqua" w:cs="Book Antiqua"/>
          <w:color w:val="000000"/>
        </w:rPr>
        <w:t>: 1100-1104 [PMID: 1401693 DOI: 10.1111/j.1532-5415.1992.tb01797.x]</w:t>
      </w:r>
    </w:p>
    <w:p w14:paraId="0D1621B6"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19 </w:t>
      </w:r>
      <w:r>
        <w:rPr>
          <w:rFonts w:ascii="Book Antiqua" w:eastAsia="Book Antiqua" w:hAnsi="Book Antiqua" w:cs="Book Antiqua"/>
          <w:b/>
          <w:color w:val="000000"/>
        </w:rPr>
        <w:t>Nyenwe EA</w:t>
      </w:r>
      <w:r>
        <w:rPr>
          <w:rFonts w:ascii="Book Antiqua" w:eastAsia="Book Antiqua" w:hAnsi="Book Antiqua" w:cs="Book Antiqua"/>
          <w:color w:val="000000"/>
        </w:rPr>
        <w:t>, Razavi LN, Kitabchi AE, Khan AN, Wan JY. Acidosis: the prime determinant of depressed sensorium in diabetic ketoacidosis. </w:t>
      </w:r>
      <w:r>
        <w:rPr>
          <w:rFonts w:ascii="Book Antiqua" w:eastAsia="Book Antiqua" w:hAnsi="Book Antiqua" w:cs="Book Antiqua"/>
          <w:i/>
          <w:color w:val="000000"/>
        </w:rPr>
        <w:t>Diabetes Care</w:t>
      </w:r>
      <w:r>
        <w:rPr>
          <w:rFonts w:ascii="Book Antiqua" w:eastAsia="Book Antiqua" w:hAnsi="Book Antiqua" w:cs="Book Antiqua"/>
          <w:color w:val="000000"/>
        </w:rPr>
        <w:t> 2010; </w:t>
      </w:r>
      <w:r>
        <w:rPr>
          <w:rFonts w:ascii="Book Antiqua" w:eastAsia="Book Antiqua" w:hAnsi="Book Antiqua" w:cs="Book Antiqua"/>
          <w:b/>
          <w:color w:val="000000"/>
        </w:rPr>
        <w:t>33</w:t>
      </w:r>
      <w:r>
        <w:rPr>
          <w:rFonts w:ascii="Book Antiqua" w:eastAsia="Book Antiqua" w:hAnsi="Book Antiqua" w:cs="Book Antiqua"/>
          <w:color w:val="000000"/>
        </w:rPr>
        <w:t>: 1837-1839 [PMID: 20484127 DOI: 10.2337/dc10-0102]</w:t>
      </w:r>
    </w:p>
    <w:p w14:paraId="2517FD1D"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20 </w:t>
      </w:r>
      <w:r>
        <w:rPr>
          <w:rFonts w:ascii="Book Antiqua" w:eastAsia="Book Antiqua" w:hAnsi="Book Antiqua" w:cs="Book Antiqua"/>
          <w:b/>
          <w:color w:val="000000"/>
        </w:rPr>
        <w:t>Sprung CL</w:t>
      </w:r>
      <w:r>
        <w:rPr>
          <w:rFonts w:ascii="Book Antiqua" w:eastAsia="Book Antiqua" w:hAnsi="Book Antiqua" w:cs="Book Antiqua"/>
          <w:color w:val="000000"/>
        </w:rPr>
        <w:t>, Rackow EC, Fein IA. Pulmonary edema; a complication of diabetic ketoacidosis. </w:t>
      </w:r>
      <w:r>
        <w:rPr>
          <w:rFonts w:ascii="Book Antiqua" w:eastAsia="Book Antiqua" w:hAnsi="Book Antiqua" w:cs="Book Antiqua"/>
          <w:i/>
          <w:color w:val="000000"/>
        </w:rPr>
        <w:t>Chest</w:t>
      </w:r>
      <w:r>
        <w:rPr>
          <w:rFonts w:ascii="Book Antiqua" w:eastAsia="Book Antiqua" w:hAnsi="Book Antiqua" w:cs="Book Antiqua"/>
          <w:color w:val="000000"/>
        </w:rPr>
        <w:t> 1980; </w:t>
      </w:r>
      <w:r>
        <w:rPr>
          <w:rFonts w:ascii="Book Antiqua" w:eastAsia="Book Antiqua" w:hAnsi="Book Antiqua" w:cs="Book Antiqua"/>
          <w:b/>
          <w:color w:val="000000"/>
        </w:rPr>
        <w:t>77</w:t>
      </w:r>
      <w:r>
        <w:rPr>
          <w:rFonts w:ascii="Book Antiqua" w:eastAsia="Book Antiqua" w:hAnsi="Book Antiqua" w:cs="Book Antiqua"/>
          <w:color w:val="000000"/>
        </w:rPr>
        <w:t>: 687-688 [PMID: 6767583 DOI: 10.1378/chest.77.5.687]</w:t>
      </w:r>
    </w:p>
    <w:p w14:paraId="24560BA4"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21 </w:t>
      </w:r>
      <w:r>
        <w:rPr>
          <w:rFonts w:ascii="Book Antiqua" w:eastAsia="Book Antiqua" w:hAnsi="Book Antiqua" w:cs="Book Antiqua"/>
          <w:b/>
          <w:color w:val="000000"/>
        </w:rPr>
        <w:t>Misra S</w:t>
      </w:r>
      <w:r>
        <w:rPr>
          <w:rFonts w:ascii="Book Antiqua" w:eastAsia="Book Antiqua" w:hAnsi="Book Antiqua" w:cs="Book Antiqua"/>
          <w:color w:val="000000"/>
        </w:rPr>
        <w:t>, Oliver NS. Diabetic ketoacidosis in adults. </w:t>
      </w:r>
      <w:r>
        <w:rPr>
          <w:rFonts w:ascii="Book Antiqua" w:eastAsia="Book Antiqua" w:hAnsi="Book Antiqua" w:cs="Book Antiqua"/>
          <w:i/>
          <w:color w:val="000000"/>
        </w:rPr>
        <w:t>BMJ</w:t>
      </w:r>
      <w:r>
        <w:rPr>
          <w:rFonts w:ascii="Book Antiqua" w:eastAsia="Book Antiqua" w:hAnsi="Book Antiqua" w:cs="Book Antiqua"/>
          <w:color w:val="000000"/>
        </w:rPr>
        <w:t> 2015; </w:t>
      </w:r>
      <w:r>
        <w:rPr>
          <w:rFonts w:ascii="Book Antiqua" w:eastAsia="Book Antiqua" w:hAnsi="Book Antiqua" w:cs="Book Antiqua"/>
          <w:b/>
          <w:color w:val="000000"/>
        </w:rPr>
        <w:t>351</w:t>
      </w:r>
      <w:r>
        <w:rPr>
          <w:rFonts w:ascii="Book Antiqua" w:eastAsia="Book Antiqua" w:hAnsi="Book Antiqua" w:cs="Book Antiqua"/>
          <w:color w:val="000000"/>
        </w:rPr>
        <w:t>: h5660 [PMID: 26510442 DOI: 10.1136/bmj.h5660]</w:t>
      </w:r>
    </w:p>
    <w:p w14:paraId="14095EB5"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22 </w:t>
      </w:r>
      <w:r>
        <w:rPr>
          <w:rFonts w:ascii="Book Antiqua" w:eastAsia="Book Antiqua" w:hAnsi="Book Antiqua" w:cs="Book Antiqua"/>
          <w:b/>
          <w:color w:val="000000"/>
        </w:rPr>
        <w:t>Burzynski J</w:t>
      </w:r>
      <w:r>
        <w:rPr>
          <w:rFonts w:ascii="Book Antiqua" w:eastAsia="Book Antiqua" w:hAnsi="Book Antiqua" w:cs="Book Antiqua"/>
          <w:color w:val="000000"/>
        </w:rPr>
        <w:t>. DKA and thrombosis. </w:t>
      </w:r>
      <w:r>
        <w:rPr>
          <w:rFonts w:ascii="Book Antiqua" w:eastAsia="Book Antiqua" w:hAnsi="Book Antiqua" w:cs="Book Antiqua"/>
          <w:i/>
          <w:color w:val="000000"/>
        </w:rPr>
        <w:t>CMAJ</w:t>
      </w:r>
      <w:r>
        <w:rPr>
          <w:rFonts w:ascii="Book Antiqua" w:eastAsia="Book Antiqua" w:hAnsi="Book Antiqua" w:cs="Book Antiqua"/>
          <w:color w:val="000000"/>
        </w:rPr>
        <w:t> 2005; </w:t>
      </w:r>
      <w:r>
        <w:rPr>
          <w:rFonts w:ascii="Book Antiqua" w:eastAsia="Book Antiqua" w:hAnsi="Book Antiqua" w:cs="Book Antiqua"/>
          <w:b/>
          <w:color w:val="000000"/>
        </w:rPr>
        <w:t>173</w:t>
      </w:r>
      <w:r>
        <w:rPr>
          <w:rFonts w:ascii="Book Antiqua" w:eastAsia="Book Antiqua" w:hAnsi="Book Antiqua" w:cs="Book Antiqua"/>
          <w:color w:val="000000"/>
        </w:rPr>
        <w:t>: 132; author reply 132-132; author reply 133 [PMID: 16027420 DOI: 10.1503/cmaj.1050103]</w:t>
      </w:r>
    </w:p>
    <w:p w14:paraId="46830E36"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23 </w:t>
      </w:r>
      <w:r>
        <w:rPr>
          <w:rFonts w:ascii="Book Antiqua" w:eastAsia="Book Antiqua" w:hAnsi="Book Antiqua" w:cs="Book Antiqua"/>
          <w:b/>
          <w:color w:val="000000"/>
        </w:rPr>
        <w:t>Lin JJ</w:t>
      </w:r>
      <w:r>
        <w:rPr>
          <w:rFonts w:ascii="Book Antiqua" w:eastAsia="Book Antiqua" w:hAnsi="Book Antiqua" w:cs="Book Antiqua"/>
          <w:color w:val="000000"/>
        </w:rPr>
        <w:t>, Lin KL, Wang HS, Wong AM, Hsia SH. Occult infarct with acute hemorrhagic stroke in juvenile diabetic ketoacidosis. </w:t>
      </w:r>
      <w:r>
        <w:rPr>
          <w:rFonts w:ascii="Book Antiqua" w:eastAsia="Book Antiqua" w:hAnsi="Book Antiqua" w:cs="Book Antiqua"/>
          <w:i/>
          <w:color w:val="000000"/>
        </w:rPr>
        <w:t>Brain Dev</w:t>
      </w:r>
      <w:r>
        <w:rPr>
          <w:rFonts w:ascii="Book Antiqua" w:eastAsia="Book Antiqua" w:hAnsi="Book Antiqua" w:cs="Book Antiqua"/>
          <w:color w:val="000000"/>
        </w:rPr>
        <w:t> 2008; </w:t>
      </w:r>
      <w:r>
        <w:rPr>
          <w:rFonts w:ascii="Book Antiqua" w:eastAsia="Book Antiqua" w:hAnsi="Book Antiqua" w:cs="Book Antiqua"/>
          <w:b/>
          <w:color w:val="000000"/>
        </w:rPr>
        <w:t>30</w:t>
      </w:r>
      <w:r>
        <w:rPr>
          <w:rFonts w:ascii="Book Antiqua" w:eastAsia="Book Antiqua" w:hAnsi="Book Antiqua" w:cs="Book Antiqua"/>
          <w:color w:val="000000"/>
        </w:rPr>
        <w:t>: 91-93 [PMID: 17629647 DOI: 10.1016/j.braindev.2007.06.001]</w:t>
      </w:r>
    </w:p>
    <w:p w14:paraId="2CC4F9E5"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24 </w:t>
      </w:r>
      <w:r>
        <w:rPr>
          <w:rFonts w:ascii="Book Antiqua" w:eastAsia="Book Antiqua" w:hAnsi="Book Antiqua" w:cs="Book Antiqua"/>
          <w:b/>
          <w:color w:val="000000"/>
        </w:rPr>
        <w:t>Jain SK</w:t>
      </w:r>
      <w:r>
        <w:rPr>
          <w:rFonts w:ascii="Book Antiqua" w:eastAsia="Book Antiqua" w:hAnsi="Book Antiqua" w:cs="Book Antiqua"/>
          <w:color w:val="000000"/>
        </w:rPr>
        <w:t>, McVie R, Bocchini JA Jr. Hyperketonemia (ketosis), oxidative stress and type 1 diabetes. </w:t>
      </w:r>
      <w:r>
        <w:rPr>
          <w:rFonts w:ascii="Book Antiqua" w:eastAsia="Book Antiqua" w:hAnsi="Book Antiqua" w:cs="Book Antiqua"/>
          <w:i/>
          <w:color w:val="000000"/>
        </w:rPr>
        <w:t>Pathophysiology</w:t>
      </w:r>
      <w:r>
        <w:rPr>
          <w:rFonts w:ascii="Book Antiqua" w:eastAsia="Book Antiqua" w:hAnsi="Book Antiqua" w:cs="Book Antiqua"/>
          <w:color w:val="000000"/>
        </w:rPr>
        <w:t> 2006; </w:t>
      </w:r>
      <w:r>
        <w:rPr>
          <w:rFonts w:ascii="Book Antiqua" w:eastAsia="Book Antiqua" w:hAnsi="Book Antiqua" w:cs="Book Antiqua"/>
          <w:b/>
          <w:color w:val="000000"/>
        </w:rPr>
        <w:t>13</w:t>
      </w:r>
      <w:r>
        <w:rPr>
          <w:rFonts w:ascii="Book Antiqua" w:eastAsia="Book Antiqua" w:hAnsi="Book Antiqua" w:cs="Book Antiqua"/>
          <w:color w:val="000000"/>
        </w:rPr>
        <w:t>: 163-170 [PMID: 16782314 DOI: 10.1016/j.pathophys.2006.05.005]</w:t>
      </w:r>
    </w:p>
    <w:p w14:paraId="1BB39C96"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25 </w:t>
      </w:r>
      <w:r>
        <w:rPr>
          <w:rFonts w:ascii="Book Antiqua" w:eastAsia="Book Antiqua" w:hAnsi="Book Antiqua" w:cs="Book Antiqua"/>
          <w:b/>
          <w:color w:val="000000"/>
        </w:rPr>
        <w:t>Glaser NS</w:t>
      </w:r>
      <w:r>
        <w:rPr>
          <w:rFonts w:ascii="Book Antiqua" w:eastAsia="Book Antiqua" w:hAnsi="Book Antiqua" w:cs="Book Antiqua"/>
          <w:color w:val="000000"/>
        </w:rPr>
        <w:t>, Wootton-Gorges SL, Marcin JP, Buonocore MH, Dicarlo J, Neely EK, Barnes P, Bottomly J, Kuppermann N. Mechanism of cerebral edema in children with diabetic ketoacidosis. </w:t>
      </w:r>
      <w:r>
        <w:rPr>
          <w:rFonts w:ascii="Book Antiqua" w:eastAsia="Book Antiqua" w:hAnsi="Book Antiqua" w:cs="Book Antiqua"/>
          <w:i/>
          <w:color w:val="000000"/>
        </w:rPr>
        <w:t>J Pediatr</w:t>
      </w:r>
      <w:r>
        <w:rPr>
          <w:rFonts w:ascii="Book Antiqua" w:eastAsia="Book Antiqua" w:hAnsi="Book Antiqua" w:cs="Book Antiqua"/>
          <w:color w:val="000000"/>
        </w:rPr>
        <w:t> 2004; </w:t>
      </w:r>
      <w:r>
        <w:rPr>
          <w:rFonts w:ascii="Book Antiqua" w:eastAsia="Book Antiqua" w:hAnsi="Book Antiqua" w:cs="Book Antiqua"/>
          <w:b/>
          <w:color w:val="000000"/>
        </w:rPr>
        <w:t>145</w:t>
      </w:r>
      <w:r>
        <w:rPr>
          <w:rFonts w:ascii="Book Antiqua" w:eastAsia="Book Antiqua" w:hAnsi="Book Antiqua" w:cs="Book Antiqua"/>
          <w:color w:val="000000"/>
        </w:rPr>
        <w:t>: 164-171 [PMID: 15289761 DOI: 10.1016/j.jpeds.2004.03.045]</w:t>
      </w:r>
    </w:p>
    <w:p w14:paraId="548AEA87"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26 </w:t>
      </w:r>
      <w:r>
        <w:rPr>
          <w:rFonts w:ascii="Book Antiqua" w:eastAsia="Book Antiqua" w:hAnsi="Book Antiqua" w:cs="Book Antiqua"/>
          <w:b/>
          <w:color w:val="000000"/>
        </w:rPr>
        <w:t>Evan-Wong LA</w:t>
      </w:r>
      <w:r>
        <w:rPr>
          <w:rFonts w:ascii="Book Antiqua" w:eastAsia="Book Antiqua" w:hAnsi="Book Antiqua" w:cs="Book Antiqua"/>
          <w:color w:val="000000"/>
        </w:rPr>
        <w:t>, Davidson RJ, Stowers JM. Alterations in erythrocytes in hyperosmolar diabetic decompensation: a pathophysiological basis for impaired blood flow and for an improved design of fluid therapy. </w:t>
      </w:r>
      <w:r>
        <w:rPr>
          <w:rFonts w:ascii="Book Antiqua" w:eastAsia="Book Antiqua" w:hAnsi="Book Antiqua" w:cs="Book Antiqua"/>
          <w:i/>
          <w:color w:val="000000"/>
        </w:rPr>
        <w:t>Diabetologia</w:t>
      </w:r>
      <w:r>
        <w:rPr>
          <w:rFonts w:ascii="Book Antiqua" w:eastAsia="Book Antiqua" w:hAnsi="Book Antiqua" w:cs="Book Antiqua"/>
          <w:color w:val="000000"/>
        </w:rPr>
        <w:t> 1985; </w:t>
      </w:r>
      <w:r>
        <w:rPr>
          <w:rFonts w:ascii="Book Antiqua" w:eastAsia="Book Antiqua" w:hAnsi="Book Antiqua" w:cs="Book Antiqua"/>
          <w:b/>
          <w:color w:val="000000"/>
        </w:rPr>
        <w:t>28</w:t>
      </w:r>
      <w:r>
        <w:rPr>
          <w:rFonts w:ascii="Book Antiqua" w:eastAsia="Book Antiqua" w:hAnsi="Book Antiqua" w:cs="Book Antiqua"/>
          <w:color w:val="000000"/>
        </w:rPr>
        <w:t>: 739-742 [</w:t>
      </w:r>
      <w:bookmarkStart w:id="37" w:name="ihv636" w:colFirst="0" w:colLast="0"/>
      <w:bookmarkStart w:id="38" w:name="32hioqz" w:colFirst="0" w:colLast="0"/>
      <w:bookmarkEnd w:id="37"/>
      <w:bookmarkEnd w:id="38"/>
      <w:r>
        <w:rPr>
          <w:rFonts w:ascii="Book Antiqua" w:eastAsia="Book Antiqua" w:hAnsi="Book Antiqua" w:cs="Book Antiqua"/>
          <w:color w:val="000000"/>
        </w:rPr>
        <w:t>PMID: 3934018 DOI: 10.1007/BF00265021]</w:t>
      </w:r>
    </w:p>
    <w:p w14:paraId="7054142F"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27 </w:t>
      </w:r>
      <w:r>
        <w:rPr>
          <w:rFonts w:ascii="Book Antiqua" w:eastAsia="Book Antiqua" w:hAnsi="Book Antiqua" w:cs="Book Antiqua"/>
          <w:b/>
          <w:color w:val="000000"/>
        </w:rPr>
        <w:t>Chang HY</w:t>
      </w:r>
      <w:r>
        <w:rPr>
          <w:rFonts w:ascii="Book Antiqua" w:eastAsia="Book Antiqua" w:hAnsi="Book Antiqua" w:cs="Book Antiqua"/>
          <w:color w:val="000000"/>
        </w:rPr>
        <w:t>, Li X, Karniadakis GE. Modeling of Biomechanics and Biorheology of Red Blood Cells in Type 2 Diabetes Mellitus. </w:t>
      </w:r>
      <w:r>
        <w:rPr>
          <w:rFonts w:ascii="Book Antiqua" w:eastAsia="Book Antiqua" w:hAnsi="Book Antiqua" w:cs="Book Antiqua"/>
          <w:i/>
          <w:color w:val="000000"/>
        </w:rPr>
        <w:t>Biophys J</w:t>
      </w:r>
      <w:r>
        <w:rPr>
          <w:rFonts w:ascii="Book Antiqua" w:eastAsia="Book Antiqua" w:hAnsi="Book Antiqua" w:cs="Book Antiqua"/>
          <w:color w:val="000000"/>
        </w:rPr>
        <w:t> 2017; </w:t>
      </w:r>
      <w:r>
        <w:rPr>
          <w:rFonts w:ascii="Book Antiqua" w:eastAsia="Book Antiqua" w:hAnsi="Book Antiqua" w:cs="Book Antiqua"/>
          <w:b/>
          <w:color w:val="000000"/>
        </w:rPr>
        <w:t>113</w:t>
      </w:r>
      <w:r>
        <w:rPr>
          <w:rFonts w:ascii="Book Antiqua" w:eastAsia="Book Antiqua" w:hAnsi="Book Antiqua" w:cs="Book Antiqua"/>
          <w:color w:val="000000"/>
        </w:rPr>
        <w:t>: 481-490 [PMID: 28746858 DOI: 10.1016/j.bpj.2017.06.015]</w:t>
      </w:r>
    </w:p>
    <w:p w14:paraId="6497326D"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28 </w:t>
      </w:r>
      <w:r>
        <w:rPr>
          <w:rFonts w:ascii="Book Antiqua" w:eastAsia="Book Antiqua" w:hAnsi="Book Antiqua" w:cs="Book Antiqua"/>
          <w:b/>
          <w:color w:val="000000"/>
        </w:rPr>
        <w:t>Giugliano D</w:t>
      </w:r>
      <w:r>
        <w:rPr>
          <w:rFonts w:ascii="Book Antiqua" w:eastAsia="Book Antiqua" w:hAnsi="Book Antiqua" w:cs="Book Antiqua"/>
          <w:color w:val="000000"/>
        </w:rPr>
        <w:t>, Marfella R, Coppola L, Verrazzo G, Acampora R, Giunta R, Nappo F, Lucarelli C, D'Onofrio F. Vascular effects of acute hyperglycemia in humans are reversed by L-arginine. Evidence for reduced availability of nitric oxide during hyperglycemia. </w:t>
      </w:r>
      <w:r>
        <w:rPr>
          <w:rFonts w:ascii="Book Antiqua" w:eastAsia="Book Antiqua" w:hAnsi="Book Antiqua" w:cs="Book Antiqua"/>
          <w:i/>
          <w:color w:val="000000"/>
        </w:rPr>
        <w:t>Circulation</w:t>
      </w:r>
      <w:r>
        <w:rPr>
          <w:rFonts w:ascii="Book Antiqua" w:eastAsia="Book Antiqua" w:hAnsi="Book Antiqua" w:cs="Book Antiqua"/>
          <w:color w:val="000000"/>
        </w:rPr>
        <w:t> 1997; </w:t>
      </w:r>
      <w:r>
        <w:rPr>
          <w:rFonts w:ascii="Book Antiqua" w:eastAsia="Book Antiqua" w:hAnsi="Book Antiqua" w:cs="Book Antiqua"/>
          <w:b/>
          <w:color w:val="000000"/>
        </w:rPr>
        <w:t>95</w:t>
      </w:r>
      <w:r>
        <w:rPr>
          <w:rFonts w:ascii="Book Antiqua" w:eastAsia="Book Antiqua" w:hAnsi="Book Antiqua" w:cs="Book Antiqua"/>
          <w:color w:val="000000"/>
        </w:rPr>
        <w:t>: 1783-1790 [PMID: 9107164 DOI: 10.1161/01.cir.95.7.1783]</w:t>
      </w:r>
    </w:p>
    <w:p w14:paraId="17767A68"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29 </w:t>
      </w:r>
      <w:r>
        <w:rPr>
          <w:rFonts w:ascii="Book Antiqua" w:eastAsia="Book Antiqua" w:hAnsi="Book Antiqua" w:cs="Book Antiqua"/>
          <w:b/>
          <w:color w:val="000000"/>
        </w:rPr>
        <w:t>Carl GF</w:t>
      </w:r>
      <w:r>
        <w:rPr>
          <w:rFonts w:ascii="Book Antiqua" w:eastAsia="Book Antiqua" w:hAnsi="Book Antiqua" w:cs="Book Antiqua"/>
          <w:color w:val="000000"/>
        </w:rPr>
        <w:t>, Hoffman WH, Passmore GG, Truemper EJ, Lightsey AL, Cornwell PE, Jonah MH. Diabetic ketoacidosis promotes a prothrombotic state. </w:t>
      </w:r>
      <w:r>
        <w:rPr>
          <w:rFonts w:ascii="Book Antiqua" w:eastAsia="Book Antiqua" w:hAnsi="Book Antiqua" w:cs="Book Antiqua"/>
          <w:i/>
          <w:color w:val="000000"/>
        </w:rPr>
        <w:t>Endocr Res</w:t>
      </w:r>
      <w:r>
        <w:rPr>
          <w:rFonts w:ascii="Book Antiqua" w:eastAsia="Book Antiqua" w:hAnsi="Book Antiqua" w:cs="Book Antiqua"/>
          <w:color w:val="000000"/>
        </w:rPr>
        <w:t> 2003; </w:t>
      </w:r>
      <w:r>
        <w:rPr>
          <w:rFonts w:ascii="Book Antiqua" w:eastAsia="Book Antiqua" w:hAnsi="Book Antiqua" w:cs="Book Antiqua"/>
          <w:b/>
          <w:color w:val="000000"/>
        </w:rPr>
        <w:t>29</w:t>
      </w:r>
      <w:r>
        <w:rPr>
          <w:rFonts w:ascii="Book Antiqua" w:eastAsia="Book Antiqua" w:hAnsi="Book Antiqua" w:cs="Book Antiqua"/>
          <w:color w:val="000000"/>
        </w:rPr>
        <w:t>: 73-82 [PMID: 12665320 DOI: 10.1081/erc-120018678]</w:t>
      </w:r>
    </w:p>
    <w:p w14:paraId="3742B675"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30 </w:t>
      </w:r>
      <w:r>
        <w:rPr>
          <w:rFonts w:ascii="Book Antiqua" w:eastAsia="Book Antiqua" w:hAnsi="Book Antiqua" w:cs="Book Antiqua"/>
          <w:b/>
          <w:color w:val="000000"/>
        </w:rPr>
        <w:t>Hoffman WH</w:t>
      </w:r>
      <w:r>
        <w:rPr>
          <w:rFonts w:ascii="Book Antiqua" w:eastAsia="Book Antiqua" w:hAnsi="Book Antiqua" w:cs="Book Antiqua"/>
          <w:color w:val="000000"/>
        </w:rPr>
        <w:t>, Burek CL, Waller JL, Fisher LE, Khichi M, Mellick LB. Cytokine response to diabetic ketoacidosis and its treatment. </w:t>
      </w:r>
      <w:r>
        <w:rPr>
          <w:rFonts w:ascii="Book Antiqua" w:eastAsia="Book Antiqua" w:hAnsi="Book Antiqua" w:cs="Book Antiqua"/>
          <w:i/>
          <w:color w:val="000000"/>
        </w:rPr>
        <w:t>Clin Immunol</w:t>
      </w:r>
      <w:r>
        <w:rPr>
          <w:rFonts w:ascii="Book Antiqua" w:eastAsia="Book Antiqua" w:hAnsi="Book Antiqua" w:cs="Book Antiqua"/>
          <w:color w:val="000000"/>
        </w:rPr>
        <w:t> 2003; </w:t>
      </w:r>
      <w:r>
        <w:rPr>
          <w:rFonts w:ascii="Book Antiqua" w:eastAsia="Book Antiqua" w:hAnsi="Book Antiqua" w:cs="Book Antiqua"/>
          <w:b/>
          <w:color w:val="000000"/>
        </w:rPr>
        <w:t>108</w:t>
      </w:r>
      <w:r>
        <w:rPr>
          <w:rFonts w:ascii="Book Antiqua" w:eastAsia="Book Antiqua" w:hAnsi="Book Antiqua" w:cs="Book Antiqua"/>
          <w:color w:val="000000"/>
        </w:rPr>
        <w:t>: 175-181 [PMID: 14499240 DOI: 10.1016/s1521-6616(03)00144-x]</w:t>
      </w:r>
    </w:p>
    <w:p w14:paraId="155E75B5"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31 </w:t>
      </w:r>
      <w:r>
        <w:rPr>
          <w:rFonts w:ascii="Book Antiqua" w:eastAsia="Book Antiqua" w:hAnsi="Book Antiqua" w:cs="Book Antiqua"/>
          <w:b/>
          <w:color w:val="000000"/>
        </w:rPr>
        <w:t>Schalkwijk CG</w:t>
      </w:r>
      <w:r>
        <w:rPr>
          <w:rFonts w:ascii="Book Antiqua" w:eastAsia="Book Antiqua" w:hAnsi="Book Antiqua" w:cs="Book Antiqua"/>
          <w:color w:val="000000"/>
        </w:rPr>
        <w:t>, Poland DC, van Dijk W, Kok A, Emeis JJ, Dräger AM, Doni A, van Hinsbergh VW, Stehouwer CD. Plasma concentration of C-reactive protein is increased in type I diabetic patients without clinical macroangiopathy and correlates with markers of endothelial dysfunction: evidence for chronic inflammation. </w:t>
      </w:r>
      <w:r>
        <w:rPr>
          <w:rFonts w:ascii="Book Antiqua" w:eastAsia="Book Antiqua" w:hAnsi="Book Antiqua" w:cs="Book Antiqua"/>
          <w:i/>
          <w:color w:val="000000"/>
        </w:rPr>
        <w:t>Diabetologia</w:t>
      </w:r>
      <w:r>
        <w:rPr>
          <w:rFonts w:ascii="Book Antiqua" w:eastAsia="Book Antiqua" w:hAnsi="Book Antiqua" w:cs="Book Antiqua"/>
          <w:color w:val="000000"/>
        </w:rPr>
        <w:t> 1999; </w:t>
      </w:r>
      <w:r>
        <w:rPr>
          <w:rFonts w:ascii="Book Antiqua" w:eastAsia="Book Antiqua" w:hAnsi="Book Antiqua" w:cs="Book Antiqua"/>
          <w:b/>
          <w:color w:val="000000"/>
        </w:rPr>
        <w:t>42</w:t>
      </w:r>
      <w:r>
        <w:rPr>
          <w:rFonts w:ascii="Book Antiqua" w:eastAsia="Book Antiqua" w:hAnsi="Book Antiqua" w:cs="Book Antiqua"/>
          <w:color w:val="000000"/>
        </w:rPr>
        <w:t>: 351-357 [PMID: 10096789 DOI: 10.1007/s001250051162]</w:t>
      </w:r>
    </w:p>
    <w:p w14:paraId="63D65401"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32 </w:t>
      </w:r>
      <w:r>
        <w:rPr>
          <w:rFonts w:ascii="Book Antiqua" w:eastAsia="Book Antiqua" w:hAnsi="Book Antiqua" w:cs="Book Antiqua"/>
          <w:b/>
          <w:color w:val="000000"/>
        </w:rPr>
        <w:t>Ma SG</w:t>
      </w:r>
      <w:r>
        <w:rPr>
          <w:rFonts w:ascii="Book Antiqua" w:eastAsia="Book Antiqua" w:hAnsi="Book Antiqua" w:cs="Book Antiqua"/>
          <w:color w:val="000000"/>
        </w:rPr>
        <w:t>, Jin Y, Xu W, Hu W, Bai F, Wu XJ. Increased serum levels of ischemia-modified albumin and C-reactive protein in type 1 diabetes patients with ketoacidosis. </w:t>
      </w:r>
      <w:r>
        <w:rPr>
          <w:rFonts w:ascii="Book Antiqua" w:eastAsia="Book Antiqua" w:hAnsi="Book Antiqua" w:cs="Book Antiqua"/>
          <w:i/>
          <w:color w:val="000000"/>
        </w:rPr>
        <w:t>Endocrine</w:t>
      </w:r>
      <w:r>
        <w:rPr>
          <w:rFonts w:ascii="Book Antiqua" w:eastAsia="Book Antiqua" w:hAnsi="Book Antiqua" w:cs="Book Antiqua"/>
          <w:color w:val="000000"/>
        </w:rPr>
        <w:t> 2012; </w:t>
      </w:r>
      <w:r>
        <w:rPr>
          <w:rFonts w:ascii="Book Antiqua" w:eastAsia="Book Antiqua" w:hAnsi="Book Antiqua" w:cs="Book Antiqua"/>
          <w:b/>
          <w:color w:val="000000"/>
        </w:rPr>
        <w:t>42</w:t>
      </w:r>
      <w:r>
        <w:rPr>
          <w:rFonts w:ascii="Book Antiqua" w:eastAsia="Book Antiqua" w:hAnsi="Book Antiqua" w:cs="Book Antiqua"/>
          <w:color w:val="000000"/>
        </w:rPr>
        <w:t>: 570-576 [PMID: 22437883 DOI: 10.1007/s12020-012-9652-9]</w:t>
      </w:r>
    </w:p>
    <w:p w14:paraId="30618D7F"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33 </w:t>
      </w:r>
      <w:r>
        <w:rPr>
          <w:rFonts w:ascii="Book Antiqua" w:eastAsia="Book Antiqua" w:hAnsi="Book Antiqua" w:cs="Book Antiqua"/>
          <w:b/>
          <w:color w:val="000000"/>
        </w:rPr>
        <w:t>Ceriello A</w:t>
      </w:r>
      <w:r>
        <w:rPr>
          <w:rFonts w:ascii="Book Antiqua" w:eastAsia="Book Antiqua" w:hAnsi="Book Antiqua" w:cs="Book Antiqua"/>
          <w:color w:val="000000"/>
        </w:rPr>
        <w:t>, Giugliano D, Quatraro A, Marchi E, Barbanti M, Lefebvre P. Possible role for increased C4b-binding-protein level in acquired protein S deficiency in type I diabetes. </w:t>
      </w:r>
      <w:r>
        <w:rPr>
          <w:rFonts w:ascii="Book Antiqua" w:eastAsia="Book Antiqua" w:hAnsi="Book Antiqua" w:cs="Book Antiqua"/>
          <w:i/>
          <w:color w:val="000000"/>
        </w:rPr>
        <w:t>Diabetes</w:t>
      </w:r>
      <w:r>
        <w:rPr>
          <w:rFonts w:ascii="Book Antiqua" w:eastAsia="Book Antiqua" w:hAnsi="Book Antiqua" w:cs="Book Antiqua"/>
          <w:color w:val="000000"/>
        </w:rPr>
        <w:t> 1990; </w:t>
      </w:r>
      <w:r>
        <w:rPr>
          <w:rFonts w:ascii="Book Antiqua" w:eastAsia="Book Antiqua" w:hAnsi="Book Antiqua" w:cs="Book Antiqua"/>
          <w:b/>
          <w:color w:val="000000"/>
        </w:rPr>
        <w:t>39</w:t>
      </w:r>
      <w:r>
        <w:rPr>
          <w:rFonts w:ascii="Book Antiqua" w:eastAsia="Book Antiqua" w:hAnsi="Book Antiqua" w:cs="Book Antiqua"/>
          <w:color w:val="000000"/>
        </w:rPr>
        <w:t>: 447-449 [PMID: 2138576 DOI: 10.2337/diab.39.4.447]</w:t>
      </w:r>
    </w:p>
    <w:p w14:paraId="297E0087"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34 </w:t>
      </w:r>
      <w:r>
        <w:rPr>
          <w:rFonts w:ascii="Book Antiqua" w:eastAsia="Book Antiqua" w:hAnsi="Book Antiqua" w:cs="Book Antiqua"/>
          <w:b/>
          <w:color w:val="000000"/>
        </w:rPr>
        <w:t>Hoffman WH</w:t>
      </w:r>
      <w:r>
        <w:rPr>
          <w:rFonts w:ascii="Book Antiqua" w:eastAsia="Book Antiqua" w:hAnsi="Book Antiqua" w:cs="Book Antiqua"/>
          <w:color w:val="000000"/>
        </w:rPr>
        <w:t>, Cudrici CD, Zafranskaia E, Rus H. Complement activation in diabetic ketoacidosis brains. </w:t>
      </w:r>
      <w:r>
        <w:rPr>
          <w:rFonts w:ascii="Book Antiqua" w:eastAsia="Book Antiqua" w:hAnsi="Book Antiqua" w:cs="Book Antiqua"/>
          <w:i/>
          <w:color w:val="000000"/>
        </w:rPr>
        <w:t>Exp Mol Pathol</w:t>
      </w:r>
      <w:r>
        <w:rPr>
          <w:rFonts w:ascii="Book Antiqua" w:eastAsia="Book Antiqua" w:hAnsi="Book Antiqua" w:cs="Book Antiqua"/>
          <w:color w:val="000000"/>
        </w:rPr>
        <w:t> 2006; </w:t>
      </w:r>
      <w:r>
        <w:rPr>
          <w:rFonts w:ascii="Book Antiqua" w:eastAsia="Book Antiqua" w:hAnsi="Book Antiqua" w:cs="Book Antiqua"/>
          <w:b/>
          <w:color w:val="000000"/>
        </w:rPr>
        <w:t>80</w:t>
      </w:r>
      <w:r>
        <w:rPr>
          <w:rFonts w:ascii="Book Antiqua" w:eastAsia="Book Antiqua" w:hAnsi="Book Antiqua" w:cs="Book Antiqua"/>
          <w:color w:val="000000"/>
        </w:rPr>
        <w:t>: 283-288 [PMID: 16494864 DOI: 10.1016/j.yexmp.2005.12.007]</w:t>
      </w:r>
    </w:p>
    <w:p w14:paraId="61E70824"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35 </w:t>
      </w:r>
      <w:r>
        <w:rPr>
          <w:rFonts w:ascii="Book Antiqua" w:eastAsia="Book Antiqua" w:hAnsi="Book Antiqua" w:cs="Book Antiqua"/>
          <w:b/>
          <w:color w:val="000000"/>
        </w:rPr>
        <w:t>Ileri NS</w:t>
      </w:r>
      <w:r>
        <w:rPr>
          <w:rFonts w:ascii="Book Antiqua" w:eastAsia="Book Antiqua" w:hAnsi="Book Antiqua" w:cs="Book Antiqua"/>
          <w:color w:val="000000"/>
        </w:rPr>
        <w:t>, Büyükaşik Y, Karaahmetoğlu S, Ozatli D, Sayinalp N, Ozcebe OI, Kirazli S, Müftüoğlu O, Dündar SV. Evaluation of the haemostatic system during ketoacidotic deterioration of diabetes mellitus. </w:t>
      </w:r>
      <w:r>
        <w:rPr>
          <w:rFonts w:ascii="Book Antiqua" w:eastAsia="Book Antiqua" w:hAnsi="Book Antiqua" w:cs="Book Antiqua"/>
          <w:i/>
          <w:color w:val="000000"/>
        </w:rPr>
        <w:t>Haemostasis</w:t>
      </w:r>
      <w:r>
        <w:rPr>
          <w:rFonts w:ascii="Book Antiqua" w:eastAsia="Book Antiqua" w:hAnsi="Book Antiqua" w:cs="Book Antiqua"/>
          <w:color w:val="000000"/>
        </w:rPr>
        <w:t> 1999; </w:t>
      </w:r>
      <w:r>
        <w:rPr>
          <w:rFonts w:ascii="Book Antiqua" w:eastAsia="Book Antiqua" w:hAnsi="Book Antiqua" w:cs="Book Antiqua"/>
          <w:b/>
          <w:color w:val="000000"/>
        </w:rPr>
        <w:t>29</w:t>
      </w:r>
      <w:r>
        <w:rPr>
          <w:rFonts w:ascii="Book Antiqua" w:eastAsia="Book Antiqua" w:hAnsi="Book Antiqua" w:cs="Book Antiqua"/>
          <w:color w:val="000000"/>
        </w:rPr>
        <w:t>: 318-325 [PMID: 10844405 DOI: 10.1159/000022519]</w:t>
      </w:r>
    </w:p>
    <w:p w14:paraId="773049C1"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36 </w:t>
      </w:r>
      <w:r>
        <w:rPr>
          <w:rFonts w:ascii="Book Antiqua" w:eastAsia="Book Antiqua" w:hAnsi="Book Antiqua" w:cs="Book Antiqua"/>
          <w:b/>
          <w:color w:val="000000"/>
        </w:rPr>
        <w:t>Kitabchi AE</w:t>
      </w:r>
      <w:r>
        <w:rPr>
          <w:rFonts w:ascii="Book Antiqua" w:eastAsia="Book Antiqua" w:hAnsi="Book Antiqua" w:cs="Book Antiqua"/>
          <w:color w:val="000000"/>
        </w:rPr>
        <w:t>, Umpierrez GE, Miles JM, Fisher JN. Hyperglycemic crises in adult patients with diabetes. </w:t>
      </w:r>
      <w:r>
        <w:rPr>
          <w:rFonts w:ascii="Book Antiqua" w:eastAsia="Book Antiqua" w:hAnsi="Book Antiqua" w:cs="Book Antiqua"/>
          <w:i/>
          <w:color w:val="000000"/>
        </w:rPr>
        <w:t>Diabetes Care</w:t>
      </w:r>
      <w:r>
        <w:rPr>
          <w:rFonts w:ascii="Book Antiqua" w:eastAsia="Book Antiqua" w:hAnsi="Book Antiqua" w:cs="Book Antiqua"/>
          <w:color w:val="000000"/>
        </w:rPr>
        <w:t> 2009; </w:t>
      </w:r>
      <w:r>
        <w:rPr>
          <w:rFonts w:ascii="Book Antiqua" w:eastAsia="Book Antiqua" w:hAnsi="Book Antiqua" w:cs="Book Antiqua"/>
          <w:b/>
          <w:color w:val="000000"/>
        </w:rPr>
        <w:t>32</w:t>
      </w:r>
      <w:r>
        <w:rPr>
          <w:rFonts w:ascii="Book Antiqua" w:eastAsia="Book Antiqua" w:hAnsi="Book Antiqua" w:cs="Book Antiqua"/>
          <w:color w:val="000000"/>
        </w:rPr>
        <w:t>: 1335-1343 [PMID: 19564476 DOI: 10.2337/dc09-9032]</w:t>
      </w:r>
    </w:p>
    <w:p w14:paraId="128A7AE9" w14:textId="77777777" w:rsidR="00500304" w:rsidRDefault="00034505">
      <w:pPr>
        <w:pBdr>
          <w:top w:val="nil"/>
          <w:left w:val="nil"/>
          <w:bottom w:val="nil"/>
          <w:right w:val="nil"/>
          <w:between w:val="nil"/>
        </w:pBdr>
        <w:shd w:val="clear" w:color="auto" w:fill="FFFFFF"/>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37 </w:t>
      </w:r>
      <w:r>
        <w:rPr>
          <w:rFonts w:ascii="Book Antiqua" w:eastAsia="Book Antiqua" w:hAnsi="Book Antiqua" w:cs="Book Antiqua"/>
          <w:b/>
          <w:color w:val="000000"/>
        </w:rPr>
        <w:t>Chimen M</w:t>
      </w:r>
      <w:r>
        <w:rPr>
          <w:rFonts w:ascii="Book Antiqua" w:eastAsia="Book Antiqua" w:hAnsi="Book Antiqua" w:cs="Book Antiqua"/>
          <w:color w:val="000000"/>
        </w:rPr>
        <w:t>, Kennedy A, Nirantharakumar K, Pang TT, Andrews R, Narendran P. What are the health benefits of physical activity in type 1 diabetes mellitus? A literature review. </w:t>
      </w:r>
      <w:r>
        <w:rPr>
          <w:rFonts w:ascii="Book Antiqua" w:eastAsia="Book Antiqua" w:hAnsi="Book Antiqua" w:cs="Book Antiqua"/>
          <w:i/>
          <w:color w:val="000000"/>
        </w:rPr>
        <w:t>Diabetologia</w:t>
      </w:r>
      <w:r>
        <w:rPr>
          <w:rFonts w:ascii="Book Antiqua" w:eastAsia="Book Antiqua" w:hAnsi="Book Antiqua" w:cs="Book Antiqua"/>
          <w:color w:val="000000"/>
        </w:rPr>
        <w:t> 2012; </w:t>
      </w:r>
      <w:r>
        <w:rPr>
          <w:rFonts w:ascii="Book Antiqua" w:eastAsia="Book Antiqua" w:hAnsi="Book Antiqua" w:cs="Book Antiqua"/>
          <w:b/>
          <w:color w:val="000000"/>
        </w:rPr>
        <w:t>55</w:t>
      </w:r>
      <w:r>
        <w:rPr>
          <w:rFonts w:ascii="Book Antiqua" w:eastAsia="Book Antiqua" w:hAnsi="Book Antiqua" w:cs="Book Antiqua"/>
          <w:color w:val="000000"/>
        </w:rPr>
        <w:t>: 542-551 [PMID: 22189486 DOI: 10.1007/s00125-011-2403-2]</w:t>
      </w:r>
    </w:p>
    <w:bookmarkEnd w:id="36"/>
    <w:p w14:paraId="6599F19E" w14:textId="77777777" w:rsidR="00500304" w:rsidRDefault="00034505">
      <w:pPr>
        <w:spacing w:line="360" w:lineRule="auto"/>
        <w:jc w:val="both"/>
      </w:pPr>
      <w:r>
        <w:br w:type="page"/>
      </w:r>
      <w:r>
        <w:rPr>
          <w:rFonts w:ascii="Book Antiqua" w:eastAsia="Book Antiqua" w:hAnsi="Book Antiqua" w:cs="Book Antiqua"/>
          <w:b/>
          <w:color w:val="000000"/>
        </w:rPr>
        <w:t>Footnotes</w:t>
      </w:r>
    </w:p>
    <w:p w14:paraId="5DD72458" w14:textId="77777777" w:rsidR="00500304" w:rsidRDefault="00034505">
      <w:pPr>
        <w:spacing w:line="360" w:lineRule="auto"/>
        <w:jc w:val="both"/>
      </w:pPr>
      <w:r>
        <w:rPr>
          <w:rFonts w:ascii="Book Antiqua" w:eastAsia="Book Antiqua" w:hAnsi="Book Antiqua" w:cs="Book Antiqua"/>
          <w:b/>
          <w:color w:val="000000"/>
        </w:rPr>
        <w:t xml:space="preserve">Informed consent statement: </w:t>
      </w:r>
      <w:r>
        <w:rPr>
          <w:rFonts w:ascii="Book Antiqua" w:eastAsia="Book Antiqua" w:hAnsi="Book Antiqua" w:cs="Book Antiqua"/>
          <w:color w:val="000000"/>
        </w:rPr>
        <w:t>Informed written consent was obtained from legal representative.</w:t>
      </w:r>
    </w:p>
    <w:p w14:paraId="219A3E07" w14:textId="77777777" w:rsidR="00500304" w:rsidRDefault="00500304">
      <w:pPr>
        <w:spacing w:line="360" w:lineRule="auto"/>
        <w:jc w:val="both"/>
      </w:pPr>
    </w:p>
    <w:p w14:paraId="354A6843" w14:textId="77777777" w:rsidR="00500304" w:rsidRDefault="00034505">
      <w:pPr>
        <w:spacing w:line="360" w:lineRule="auto"/>
        <w:jc w:val="both"/>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The authors declare that they have no conflict of interest.</w:t>
      </w:r>
    </w:p>
    <w:p w14:paraId="028EA464" w14:textId="77777777" w:rsidR="00500304" w:rsidRDefault="00500304">
      <w:pPr>
        <w:spacing w:line="360" w:lineRule="auto"/>
        <w:jc w:val="both"/>
      </w:pPr>
    </w:p>
    <w:p w14:paraId="35453FD5" w14:textId="77777777" w:rsidR="00500304" w:rsidRDefault="00034505">
      <w:pPr>
        <w:spacing w:line="360" w:lineRule="auto"/>
        <w:jc w:val="both"/>
      </w:pPr>
      <w:r>
        <w:rPr>
          <w:rFonts w:ascii="Book Antiqua" w:eastAsia="Book Antiqua" w:hAnsi="Book Antiqua" w:cs="Book Antiqua"/>
          <w:b/>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CAEAE5D" w14:textId="77777777" w:rsidR="00500304" w:rsidRDefault="00500304">
      <w:pPr>
        <w:spacing w:line="360" w:lineRule="auto"/>
        <w:jc w:val="both"/>
      </w:pPr>
    </w:p>
    <w:p w14:paraId="14640A6B" w14:textId="77777777" w:rsidR="00500304" w:rsidRDefault="00034505">
      <w:pPr>
        <w:spacing w:line="360" w:lineRule="auto"/>
        <w:jc w:val="both"/>
      </w:pPr>
      <w:r>
        <w:rPr>
          <w:rFonts w:ascii="Book Antiqua" w:eastAsia="Book Antiqua" w:hAnsi="Book Antiqua" w:cs="Book Antiqua"/>
          <w:b/>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F05C2C" w14:textId="77777777" w:rsidR="00500304" w:rsidRDefault="00500304">
      <w:pPr>
        <w:spacing w:line="360" w:lineRule="auto"/>
        <w:jc w:val="both"/>
      </w:pPr>
    </w:p>
    <w:p w14:paraId="0C0CF1C2" w14:textId="77777777" w:rsidR="00500304" w:rsidRDefault="0003450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7A356EC" w14:textId="77777777" w:rsidR="00500304" w:rsidRDefault="00500304">
      <w:pPr>
        <w:spacing w:line="360" w:lineRule="auto"/>
        <w:jc w:val="both"/>
      </w:pPr>
    </w:p>
    <w:p w14:paraId="004A8576" w14:textId="77777777" w:rsidR="00500304" w:rsidRDefault="0003450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30, 2021</w:t>
      </w:r>
    </w:p>
    <w:p w14:paraId="45EEBEA8" w14:textId="77777777" w:rsidR="00500304" w:rsidRDefault="0003450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7315151C" w14:textId="16F1EC76" w:rsidR="00500304" w:rsidRDefault="00034505">
      <w:pPr>
        <w:spacing w:line="360" w:lineRule="auto"/>
        <w:jc w:val="both"/>
      </w:pPr>
      <w:r>
        <w:rPr>
          <w:rFonts w:ascii="Book Antiqua" w:eastAsia="Book Antiqua" w:hAnsi="Book Antiqua" w:cs="Book Antiqua"/>
          <w:b/>
          <w:color w:val="000000"/>
        </w:rPr>
        <w:t xml:space="preserve">Article in press: </w:t>
      </w:r>
      <w:r w:rsidR="00BB4561" w:rsidRPr="004412FE">
        <w:rPr>
          <w:rFonts w:ascii="Book Antiqua" w:eastAsia="Book Antiqua" w:hAnsi="Book Antiqua" w:cs="Book Antiqua"/>
          <w:bCs/>
          <w:color w:val="000000"/>
        </w:rPr>
        <w:t>March 29, 2021</w:t>
      </w:r>
    </w:p>
    <w:p w14:paraId="0AD7D8D9" w14:textId="77777777" w:rsidR="00500304" w:rsidRDefault="00500304">
      <w:pPr>
        <w:spacing w:line="360" w:lineRule="auto"/>
        <w:jc w:val="both"/>
      </w:pPr>
    </w:p>
    <w:p w14:paraId="15A6B21C" w14:textId="77777777" w:rsidR="00500304" w:rsidRDefault="0003450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370B9545" w14:textId="77777777" w:rsidR="00500304" w:rsidRDefault="0003450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526A3B47" w14:textId="77777777" w:rsidR="00500304" w:rsidRDefault="00034505">
      <w:pPr>
        <w:spacing w:line="360" w:lineRule="auto"/>
        <w:jc w:val="both"/>
      </w:pPr>
      <w:r>
        <w:rPr>
          <w:rFonts w:ascii="Book Antiqua" w:eastAsia="Book Antiqua" w:hAnsi="Book Antiqua" w:cs="Book Antiqua"/>
          <w:b/>
          <w:color w:val="000000"/>
        </w:rPr>
        <w:t>Peer-review report’s scientific quality classification</w:t>
      </w:r>
    </w:p>
    <w:p w14:paraId="5070EA02" w14:textId="77777777" w:rsidR="00500304" w:rsidRDefault="00034505">
      <w:pPr>
        <w:spacing w:line="360" w:lineRule="auto"/>
        <w:jc w:val="both"/>
      </w:pPr>
      <w:r>
        <w:rPr>
          <w:rFonts w:ascii="Book Antiqua" w:eastAsia="Book Antiqua" w:hAnsi="Book Antiqua" w:cs="Book Antiqua"/>
          <w:color w:val="000000"/>
        </w:rPr>
        <w:t>Grade A (Excellent): 0</w:t>
      </w:r>
    </w:p>
    <w:p w14:paraId="16CE390D" w14:textId="77777777" w:rsidR="00500304" w:rsidRDefault="00034505">
      <w:pPr>
        <w:spacing w:line="360" w:lineRule="auto"/>
        <w:jc w:val="both"/>
      </w:pPr>
      <w:r>
        <w:rPr>
          <w:rFonts w:ascii="Book Antiqua" w:eastAsia="Book Antiqua" w:hAnsi="Book Antiqua" w:cs="Book Antiqua"/>
          <w:color w:val="000000"/>
        </w:rPr>
        <w:t>Grade B (Very good): 0</w:t>
      </w:r>
    </w:p>
    <w:p w14:paraId="006F77E6" w14:textId="77777777" w:rsidR="00500304" w:rsidRDefault="00034505">
      <w:pPr>
        <w:spacing w:line="360" w:lineRule="auto"/>
        <w:jc w:val="both"/>
      </w:pPr>
      <w:r>
        <w:rPr>
          <w:rFonts w:ascii="Book Antiqua" w:eastAsia="Book Antiqua" w:hAnsi="Book Antiqua" w:cs="Book Antiqua"/>
          <w:color w:val="000000"/>
        </w:rPr>
        <w:t>Grade C (Good): C</w:t>
      </w:r>
    </w:p>
    <w:p w14:paraId="4F5773AB" w14:textId="77777777" w:rsidR="00500304" w:rsidRDefault="00034505">
      <w:pPr>
        <w:spacing w:line="360" w:lineRule="auto"/>
        <w:jc w:val="both"/>
      </w:pPr>
      <w:r>
        <w:rPr>
          <w:rFonts w:ascii="Book Antiqua" w:eastAsia="Book Antiqua" w:hAnsi="Book Antiqua" w:cs="Book Antiqua"/>
          <w:color w:val="000000"/>
        </w:rPr>
        <w:t>Grade D (Fair): 0</w:t>
      </w:r>
    </w:p>
    <w:p w14:paraId="68FD3B0A" w14:textId="77777777" w:rsidR="00500304" w:rsidRDefault="00034505">
      <w:pPr>
        <w:spacing w:line="360" w:lineRule="auto"/>
        <w:jc w:val="both"/>
      </w:pPr>
      <w:r>
        <w:rPr>
          <w:rFonts w:ascii="Book Antiqua" w:eastAsia="Book Antiqua" w:hAnsi="Book Antiqua" w:cs="Book Antiqua"/>
          <w:color w:val="000000"/>
        </w:rPr>
        <w:t>Grade E (Poor): 0</w:t>
      </w:r>
    </w:p>
    <w:p w14:paraId="55CEE4B8" w14:textId="77777777" w:rsidR="00500304" w:rsidRDefault="00500304">
      <w:pPr>
        <w:spacing w:line="360" w:lineRule="auto"/>
        <w:jc w:val="both"/>
      </w:pPr>
    </w:p>
    <w:p w14:paraId="5A0920F7" w14:textId="41144784" w:rsidR="00BB4561" w:rsidRPr="00BB4561" w:rsidRDefault="00034505">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Perez MM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BB4561" w:rsidRPr="00BB4561">
        <w:rPr>
          <w:rFonts w:ascii="Book Antiqua" w:eastAsia="宋体" w:hAnsi="Book Antiqua" w:cs="Book Antiqua" w:hint="eastAsia"/>
          <w:color w:val="000000"/>
          <w:lang w:eastAsia="zh-CN"/>
        </w:rPr>
        <w:t xml:space="preserve">A </w:t>
      </w:r>
      <w:r>
        <w:rPr>
          <w:rFonts w:ascii="Book Antiqua" w:eastAsia="Book Antiqua" w:hAnsi="Book Antiqua" w:cs="Book Antiqua"/>
          <w:b/>
          <w:color w:val="000000"/>
        </w:rPr>
        <w:t>P-Editor:</w:t>
      </w:r>
      <w:r w:rsidR="00BB4561">
        <w:rPr>
          <w:rFonts w:ascii="Book Antiqua" w:eastAsia="宋体" w:hAnsi="Book Antiqua" w:cs="Book Antiqua" w:hint="eastAsia"/>
          <w:b/>
          <w:color w:val="000000"/>
          <w:lang w:eastAsia="zh-CN"/>
        </w:rPr>
        <w:t xml:space="preserve"> </w:t>
      </w:r>
      <w:r w:rsidR="00BB4561" w:rsidRPr="00BB4561">
        <w:rPr>
          <w:rFonts w:ascii="Book Antiqua" w:eastAsia="宋体" w:hAnsi="Book Antiqua" w:cs="Book Antiqua" w:hint="eastAsia"/>
          <w:color w:val="000000"/>
          <w:lang w:eastAsia="zh-CN"/>
        </w:rPr>
        <w:t>Liu JH</w:t>
      </w:r>
    </w:p>
    <w:p w14:paraId="7D294ADF" w14:textId="2B42831E" w:rsidR="00500304" w:rsidRDefault="00034505">
      <w:pPr>
        <w:spacing w:line="360" w:lineRule="auto"/>
        <w:jc w:val="both"/>
        <w:sectPr w:rsidR="00500304">
          <w:pgSz w:w="12240" w:h="15840"/>
          <w:pgMar w:top="1440" w:right="1440" w:bottom="1440" w:left="1440" w:header="720" w:footer="720" w:gutter="0"/>
          <w:cols w:space="720"/>
        </w:sectPr>
      </w:pPr>
      <w:r>
        <w:rPr>
          <w:rFonts w:ascii="Book Antiqua" w:eastAsia="Book Antiqua" w:hAnsi="Book Antiqua" w:cs="Book Antiqua"/>
          <w:b/>
          <w:color w:val="000000"/>
        </w:rPr>
        <w:t xml:space="preserve"> </w:t>
      </w:r>
    </w:p>
    <w:p w14:paraId="342A39A9" w14:textId="77777777" w:rsidR="00500304" w:rsidRDefault="00034505">
      <w:pPr>
        <w:spacing w:line="360" w:lineRule="auto"/>
        <w:jc w:val="both"/>
      </w:pPr>
      <w:r>
        <w:rPr>
          <w:rFonts w:ascii="Book Antiqua" w:eastAsia="Book Antiqua" w:hAnsi="Book Antiqua" w:cs="Book Antiqua"/>
          <w:b/>
          <w:color w:val="000000"/>
        </w:rPr>
        <w:t>Figure Legends</w:t>
      </w:r>
    </w:p>
    <w:p w14:paraId="52F2CA8E" w14:textId="77777777" w:rsidR="00500304" w:rsidRDefault="00034505">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210B0E81" wp14:editId="40383199">
            <wp:extent cx="5881031" cy="34697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81031" cy="3469756"/>
                    </a:xfrm>
                    <a:prstGeom prst="rect">
                      <a:avLst/>
                    </a:prstGeom>
                    <a:ln/>
                  </pic:spPr>
                </pic:pic>
              </a:graphicData>
            </a:graphic>
          </wp:inline>
        </w:drawing>
      </w:r>
    </w:p>
    <w:p w14:paraId="47519256" w14:textId="0EDBE433" w:rsidR="00500304" w:rsidRDefault="00034505">
      <w:pPr>
        <w:spacing w:line="360" w:lineRule="auto"/>
        <w:jc w:val="both"/>
      </w:pPr>
      <w:r>
        <w:rPr>
          <w:rFonts w:ascii="Book Antiqua" w:eastAsia="Book Antiqua" w:hAnsi="Book Antiqua" w:cs="Book Antiqua"/>
          <w:b/>
          <w:color w:val="000000"/>
        </w:rPr>
        <w:t>Figure 1 Brain magnetic resonance imaging of the first stroke before admission.</w:t>
      </w:r>
      <w:r>
        <w:rPr>
          <w:rFonts w:ascii="Book Antiqua" w:eastAsia="Book Antiqua" w:hAnsi="Book Antiqua" w:cs="Book Antiqua"/>
          <w:color w:val="000000"/>
        </w:rPr>
        <w:t xml:space="preserve"> A: The diffusion weighted imaging shows left corona radiata, bilateral frontal lobe, and parietal lobe infarction (</w:t>
      </w:r>
      <w:bookmarkStart w:id="39" w:name="OLE_LINK1"/>
      <w:bookmarkStart w:id="40" w:name="OLE_LINK2"/>
      <w:r w:rsidR="00734D54" w:rsidRPr="00734D54">
        <w:rPr>
          <w:rFonts w:ascii="Book Antiqua" w:eastAsia="Book Antiqua" w:hAnsi="Book Antiqua" w:cs="Book Antiqua"/>
          <w:color w:val="000000"/>
        </w:rPr>
        <w:t>orange</w:t>
      </w:r>
      <w:r w:rsidR="00734D54">
        <w:rPr>
          <w:rFonts w:ascii="Book Antiqua" w:eastAsia="宋体" w:hAnsi="Book Antiqua" w:cs="Book Antiqua" w:hint="eastAsia"/>
          <w:color w:val="000000"/>
          <w:lang w:eastAsia="zh-CN"/>
        </w:rPr>
        <w:t xml:space="preserve"> </w:t>
      </w:r>
      <w:bookmarkEnd w:id="39"/>
      <w:bookmarkEnd w:id="40"/>
      <w:r>
        <w:rPr>
          <w:rFonts w:ascii="Book Antiqua" w:eastAsia="Book Antiqua" w:hAnsi="Book Antiqua" w:cs="Book Antiqua"/>
          <w:color w:val="000000"/>
        </w:rPr>
        <w:t>arrow); B: The magnetic resonance angiography presents bilateral internal carotid artery occlusion.</w:t>
      </w:r>
    </w:p>
    <w:p w14:paraId="1F67C489" w14:textId="77777777" w:rsidR="00500304" w:rsidRDefault="00034505">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noProof/>
          <w:color w:val="000000"/>
          <w:lang w:eastAsia="zh-CN"/>
        </w:rPr>
        <w:drawing>
          <wp:inline distT="0" distB="0" distL="0" distR="0" wp14:anchorId="46D3800A" wp14:editId="3AE3E815">
            <wp:extent cx="5931145" cy="299683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31145" cy="2996837"/>
                    </a:xfrm>
                    <a:prstGeom prst="rect">
                      <a:avLst/>
                    </a:prstGeom>
                    <a:ln/>
                  </pic:spPr>
                </pic:pic>
              </a:graphicData>
            </a:graphic>
          </wp:inline>
        </w:drawing>
      </w:r>
    </w:p>
    <w:p w14:paraId="6AEB86B2" w14:textId="13D0CBBA" w:rsidR="00500304" w:rsidRDefault="0003450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2 Brain magnetic resonance imaging of the second stroke after diabetic ketoacidosis. </w:t>
      </w:r>
      <w:r>
        <w:rPr>
          <w:rFonts w:ascii="Book Antiqua" w:eastAsia="Book Antiqua" w:hAnsi="Book Antiqua" w:cs="Book Antiqua"/>
          <w:color w:val="000000"/>
        </w:rPr>
        <w:t xml:space="preserve">A: The diffusion weighted imaging shows: (1) </w:t>
      </w:r>
      <w:r w:rsidR="00AA5A63">
        <w:rPr>
          <w:rFonts w:ascii="Book Antiqua" w:eastAsia="Book Antiqua" w:hAnsi="Book Antiqua" w:cs="Book Antiqua"/>
          <w:color w:val="000000"/>
        </w:rPr>
        <w:t>A</w:t>
      </w:r>
      <w:r>
        <w:rPr>
          <w:rFonts w:ascii="Book Antiqua" w:eastAsia="Book Antiqua" w:hAnsi="Book Antiqua" w:cs="Book Antiqua"/>
          <w:color w:val="000000"/>
        </w:rPr>
        <w:t xml:space="preserve">cute infarction over the bilateral middle cerebral artery and bilateral anterior cerebral artery territory with brain swelling of infarction lesions and midline shift; and (2) </w:t>
      </w:r>
      <w:r w:rsidR="00AA5A63">
        <w:rPr>
          <w:rFonts w:ascii="Book Antiqua" w:eastAsia="Book Antiqua" w:hAnsi="Book Antiqua" w:cs="Book Antiqua"/>
          <w:color w:val="000000"/>
        </w:rPr>
        <w:t>O</w:t>
      </w:r>
      <w:r>
        <w:rPr>
          <w:rFonts w:ascii="Book Antiqua" w:eastAsia="Book Antiqua" w:hAnsi="Book Antiqua" w:cs="Book Antiqua"/>
          <w:color w:val="000000"/>
        </w:rPr>
        <w:t xml:space="preserve">cclusion of </w:t>
      </w:r>
      <w:bookmarkStart w:id="41" w:name="1hmsyys" w:colFirst="0" w:colLast="0"/>
      <w:bookmarkStart w:id="42" w:name="41mghml" w:colFirst="0" w:colLast="0"/>
      <w:bookmarkEnd w:id="41"/>
      <w:bookmarkEnd w:id="42"/>
      <w:r>
        <w:rPr>
          <w:rFonts w:ascii="Book Antiqua" w:eastAsia="Book Antiqua" w:hAnsi="Book Antiqua" w:cs="Book Antiqua"/>
          <w:color w:val="000000"/>
        </w:rPr>
        <w:t>bilateral internal carotid artery; B: The magnetic resonance angiography also presents bilateral internal carotid artery occlusion.</w:t>
      </w:r>
    </w:p>
    <w:p w14:paraId="689B4D14" w14:textId="77777777" w:rsidR="00500304" w:rsidRDefault="00034505">
      <w:pPr>
        <w:spacing w:line="360" w:lineRule="auto"/>
        <w:rPr>
          <w:rFonts w:ascii="Book Antiqua" w:eastAsia="Book Antiqua" w:hAnsi="Book Antiqua" w:cs="Book Antiqua"/>
          <w:color w:val="000000"/>
        </w:rPr>
      </w:pPr>
      <w:r>
        <w:br w:type="page"/>
      </w:r>
      <w:r>
        <w:rPr>
          <w:rFonts w:ascii="Book Antiqua" w:eastAsia="Book Antiqua" w:hAnsi="Book Antiqua" w:cs="Book Antiqua"/>
          <w:noProof/>
          <w:color w:val="000000"/>
          <w:lang w:eastAsia="zh-CN"/>
        </w:rPr>
        <w:drawing>
          <wp:inline distT="0" distB="0" distL="0" distR="0" wp14:anchorId="544B4F69" wp14:editId="68324A8E">
            <wp:extent cx="5948294" cy="237015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8294" cy="2370152"/>
                    </a:xfrm>
                    <a:prstGeom prst="rect">
                      <a:avLst/>
                    </a:prstGeom>
                    <a:ln/>
                  </pic:spPr>
                </pic:pic>
              </a:graphicData>
            </a:graphic>
          </wp:inline>
        </w:drawing>
      </w:r>
    </w:p>
    <w:p w14:paraId="28E8E031"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b/>
          <w:color w:val="000000"/>
        </w:rPr>
        <w:t xml:space="preserve">Figure 3 </w:t>
      </w:r>
      <w:r>
        <w:rPr>
          <w:rFonts w:ascii="Book Antiqua" w:eastAsia="Book Antiqua" w:hAnsi="Book Antiqua" w:cs="Book Antiqua"/>
          <w:b/>
        </w:rPr>
        <w:t xml:space="preserve">Timeline of this patient. </w:t>
      </w:r>
      <w:r>
        <w:rPr>
          <w:rFonts w:ascii="Book Antiqua" w:eastAsia="Book Antiqua" w:hAnsi="Book Antiqua" w:cs="Book Antiqua"/>
        </w:rPr>
        <w:t xml:space="preserve">DKA: </w:t>
      </w:r>
      <w:bookmarkStart w:id="43" w:name="vx1227" w:colFirst="0" w:colLast="0"/>
      <w:bookmarkStart w:id="44" w:name="2grqrue" w:colFirst="0" w:colLast="0"/>
      <w:bookmarkEnd w:id="43"/>
      <w:bookmarkEnd w:id="44"/>
      <w:r>
        <w:rPr>
          <w:rFonts w:ascii="Book Antiqua" w:eastAsia="Book Antiqua" w:hAnsi="Book Antiqua" w:cs="Book Antiqua"/>
          <w:color w:val="000000"/>
        </w:rPr>
        <w:t>Diabetic ketoacidosis</w:t>
      </w:r>
      <w:r>
        <w:rPr>
          <w:rFonts w:ascii="Book Antiqua" w:eastAsia="Book Antiqua" w:hAnsi="Book Antiqua" w:cs="Book Antiqua"/>
        </w:rPr>
        <w:t xml:space="preserve">; ACA: </w:t>
      </w:r>
      <w:r>
        <w:rPr>
          <w:rFonts w:ascii="Book Antiqua" w:eastAsia="Book Antiqua" w:hAnsi="Book Antiqua" w:cs="Book Antiqua"/>
          <w:color w:val="000000"/>
        </w:rPr>
        <w:t>Anterior cerebral artery</w:t>
      </w:r>
      <w:r>
        <w:rPr>
          <w:rFonts w:ascii="Book Antiqua" w:eastAsia="Book Antiqua" w:hAnsi="Book Antiqua" w:cs="Book Antiqua"/>
        </w:rPr>
        <w:t xml:space="preserve">; MCA: </w:t>
      </w:r>
      <w:r>
        <w:rPr>
          <w:rFonts w:ascii="Book Antiqua" w:eastAsia="Book Antiqua" w:hAnsi="Book Antiqua" w:cs="Book Antiqua"/>
          <w:color w:val="000000"/>
        </w:rPr>
        <w:t>Middle cerebral artery</w:t>
      </w:r>
      <w:r>
        <w:rPr>
          <w:rFonts w:ascii="Book Antiqua" w:eastAsia="Book Antiqua" w:hAnsi="Book Antiqua" w:cs="Book Antiqua"/>
        </w:rPr>
        <w:t>.</w:t>
      </w:r>
    </w:p>
    <w:p w14:paraId="7D886C31" w14:textId="77777777" w:rsidR="00AA5A63" w:rsidRDefault="00034505">
      <w:pPr>
        <w:spacing w:line="360" w:lineRule="auto"/>
      </w:pPr>
      <w:r>
        <w:br w:type="page"/>
      </w:r>
    </w:p>
    <w:p w14:paraId="55F9C6B9" w14:textId="70682845" w:rsidR="00AA5A63" w:rsidRDefault="00AA5A63" w:rsidP="00AA5A63">
      <w:pPr>
        <w:spacing w:line="360" w:lineRule="auto"/>
        <w:rPr>
          <w:rFonts w:ascii="Book Antiqua" w:eastAsia="Book Antiqua" w:hAnsi="Book Antiqua" w:cs="Book Antiqua"/>
          <w:b/>
        </w:rPr>
      </w:pPr>
      <w:r>
        <w:rPr>
          <w:rFonts w:ascii="Book Antiqua" w:eastAsia="Book Antiqua" w:hAnsi="Book Antiqua" w:cs="Book Antiqua"/>
          <w:b/>
        </w:rPr>
        <w:t>Table 1 Arterial blood gas analysis during hospitalization</w:t>
      </w:r>
    </w:p>
    <w:tbl>
      <w:tblPr>
        <w:tblStyle w:val="a7"/>
        <w:tblW w:w="9575" w:type="dxa"/>
        <w:tblInd w:w="0" w:type="dxa"/>
        <w:tblBorders>
          <w:top w:val="single" w:sz="4" w:space="0" w:color="000000"/>
          <w:bottom w:val="single" w:sz="4" w:space="0" w:color="000000"/>
        </w:tblBorders>
        <w:tblLayout w:type="fixed"/>
        <w:tblLook w:val="0400" w:firstRow="0" w:lastRow="0" w:firstColumn="0" w:lastColumn="0" w:noHBand="0" w:noVBand="1"/>
      </w:tblPr>
      <w:tblGrid>
        <w:gridCol w:w="1393"/>
        <w:gridCol w:w="1364"/>
        <w:gridCol w:w="763"/>
        <w:gridCol w:w="763"/>
        <w:gridCol w:w="684"/>
        <w:gridCol w:w="763"/>
        <w:gridCol w:w="763"/>
        <w:gridCol w:w="763"/>
        <w:gridCol w:w="773"/>
        <w:gridCol w:w="773"/>
        <w:gridCol w:w="773"/>
      </w:tblGrid>
      <w:tr w:rsidR="00AA5A63" w14:paraId="1A7A2A05" w14:textId="77777777" w:rsidTr="003842DD">
        <w:tc>
          <w:tcPr>
            <w:tcW w:w="1394" w:type="dxa"/>
            <w:tcBorders>
              <w:top w:val="single" w:sz="4" w:space="0" w:color="000000"/>
              <w:bottom w:val="single" w:sz="4" w:space="0" w:color="000000"/>
            </w:tcBorders>
            <w:shd w:val="clear" w:color="auto" w:fill="FFFFFF"/>
            <w:vAlign w:val="center"/>
          </w:tcPr>
          <w:p w14:paraId="6A499D84" w14:textId="77777777" w:rsidR="00AA5A63" w:rsidRDefault="00AA5A63" w:rsidP="003842DD">
            <w:pPr>
              <w:pBdr>
                <w:top w:val="nil"/>
                <w:left w:val="nil"/>
                <w:bottom w:val="nil"/>
                <w:right w:val="nil"/>
                <w:between w:val="nil"/>
              </w:pBdr>
              <w:spacing w:line="360" w:lineRule="auto"/>
              <w:rPr>
                <w:rFonts w:ascii="Book Antiqua" w:eastAsia="Book Antiqua" w:hAnsi="Book Antiqua" w:cs="Book Antiqua"/>
                <w:b/>
              </w:rPr>
            </w:pPr>
            <w:r>
              <w:rPr>
                <w:rFonts w:ascii="Book Antiqua" w:eastAsia="Book Antiqua" w:hAnsi="Book Antiqua" w:cs="Book Antiqua"/>
                <w:b/>
              </w:rPr>
              <w:t>Arterial blood gas</w:t>
            </w:r>
          </w:p>
        </w:tc>
        <w:tc>
          <w:tcPr>
            <w:tcW w:w="1364" w:type="dxa"/>
            <w:tcBorders>
              <w:top w:val="single" w:sz="4" w:space="0" w:color="000000"/>
              <w:bottom w:val="single" w:sz="4" w:space="0" w:color="000000"/>
            </w:tcBorders>
            <w:shd w:val="clear" w:color="auto" w:fill="FFFFFF"/>
            <w:vAlign w:val="center"/>
          </w:tcPr>
          <w:p w14:paraId="252CC9E4" w14:textId="77777777" w:rsidR="00AA5A63" w:rsidRDefault="00AA5A63" w:rsidP="003842DD">
            <w:pPr>
              <w:pBdr>
                <w:top w:val="nil"/>
                <w:left w:val="nil"/>
                <w:bottom w:val="nil"/>
                <w:right w:val="nil"/>
                <w:between w:val="nil"/>
              </w:pBdr>
              <w:spacing w:line="360" w:lineRule="auto"/>
              <w:rPr>
                <w:rFonts w:ascii="Book Antiqua" w:eastAsia="Book Antiqua" w:hAnsi="Book Antiqua" w:cs="Book Antiqua"/>
                <w:b/>
              </w:rPr>
            </w:pPr>
            <w:r>
              <w:rPr>
                <w:rFonts w:ascii="Book Antiqua" w:eastAsia="Book Antiqua" w:hAnsi="Book Antiqua" w:cs="Book Antiqua"/>
                <w:b/>
              </w:rPr>
              <w:t>Reference range</w:t>
            </w:r>
          </w:p>
        </w:tc>
        <w:tc>
          <w:tcPr>
            <w:tcW w:w="763" w:type="dxa"/>
            <w:tcBorders>
              <w:top w:val="single" w:sz="4" w:space="0" w:color="000000"/>
              <w:bottom w:val="single" w:sz="4" w:space="0" w:color="000000"/>
            </w:tcBorders>
            <w:shd w:val="clear" w:color="auto" w:fill="FFFFFF"/>
            <w:vAlign w:val="center"/>
          </w:tcPr>
          <w:p w14:paraId="4249E9BF"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2</w:t>
            </w:r>
          </w:p>
        </w:tc>
        <w:tc>
          <w:tcPr>
            <w:tcW w:w="763" w:type="dxa"/>
            <w:tcBorders>
              <w:top w:val="single" w:sz="4" w:space="0" w:color="000000"/>
              <w:bottom w:val="single" w:sz="4" w:space="0" w:color="000000"/>
            </w:tcBorders>
            <w:shd w:val="clear" w:color="auto" w:fill="FFFFFF"/>
            <w:vAlign w:val="center"/>
          </w:tcPr>
          <w:p w14:paraId="28992DE3"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3</w:t>
            </w:r>
          </w:p>
        </w:tc>
        <w:tc>
          <w:tcPr>
            <w:tcW w:w="684" w:type="dxa"/>
            <w:tcBorders>
              <w:top w:val="single" w:sz="4" w:space="0" w:color="000000"/>
              <w:bottom w:val="single" w:sz="4" w:space="0" w:color="000000"/>
            </w:tcBorders>
            <w:shd w:val="clear" w:color="auto" w:fill="FFFFFF"/>
            <w:vAlign w:val="center"/>
          </w:tcPr>
          <w:p w14:paraId="17822DB7"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4</w:t>
            </w:r>
          </w:p>
        </w:tc>
        <w:tc>
          <w:tcPr>
            <w:tcW w:w="763" w:type="dxa"/>
            <w:tcBorders>
              <w:top w:val="single" w:sz="4" w:space="0" w:color="000000"/>
              <w:bottom w:val="single" w:sz="4" w:space="0" w:color="000000"/>
            </w:tcBorders>
            <w:shd w:val="clear" w:color="auto" w:fill="FFFFFF"/>
            <w:vAlign w:val="center"/>
          </w:tcPr>
          <w:p w14:paraId="78208D8F"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5</w:t>
            </w:r>
          </w:p>
        </w:tc>
        <w:tc>
          <w:tcPr>
            <w:tcW w:w="763" w:type="dxa"/>
            <w:tcBorders>
              <w:top w:val="single" w:sz="4" w:space="0" w:color="000000"/>
              <w:bottom w:val="single" w:sz="4" w:space="0" w:color="000000"/>
            </w:tcBorders>
            <w:shd w:val="clear" w:color="auto" w:fill="FFFFFF"/>
            <w:vAlign w:val="center"/>
          </w:tcPr>
          <w:p w14:paraId="13E39D1D"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6</w:t>
            </w:r>
          </w:p>
        </w:tc>
        <w:tc>
          <w:tcPr>
            <w:tcW w:w="763" w:type="dxa"/>
            <w:tcBorders>
              <w:top w:val="single" w:sz="4" w:space="0" w:color="000000"/>
              <w:bottom w:val="single" w:sz="4" w:space="0" w:color="000000"/>
            </w:tcBorders>
            <w:shd w:val="clear" w:color="auto" w:fill="FFFFFF"/>
            <w:vAlign w:val="center"/>
          </w:tcPr>
          <w:p w14:paraId="1E0F263F"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8</w:t>
            </w:r>
          </w:p>
        </w:tc>
        <w:tc>
          <w:tcPr>
            <w:tcW w:w="773" w:type="dxa"/>
            <w:tcBorders>
              <w:top w:val="single" w:sz="4" w:space="0" w:color="000000"/>
              <w:bottom w:val="single" w:sz="4" w:space="0" w:color="000000"/>
            </w:tcBorders>
            <w:shd w:val="clear" w:color="auto" w:fill="FFFFFF"/>
            <w:vAlign w:val="center"/>
          </w:tcPr>
          <w:p w14:paraId="463B0804"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14</w:t>
            </w:r>
          </w:p>
        </w:tc>
        <w:tc>
          <w:tcPr>
            <w:tcW w:w="773" w:type="dxa"/>
            <w:tcBorders>
              <w:top w:val="single" w:sz="4" w:space="0" w:color="000000"/>
              <w:bottom w:val="single" w:sz="4" w:space="0" w:color="000000"/>
            </w:tcBorders>
            <w:shd w:val="clear" w:color="auto" w:fill="FFFFFF"/>
            <w:vAlign w:val="center"/>
          </w:tcPr>
          <w:p w14:paraId="61AF6615"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17</w:t>
            </w:r>
          </w:p>
        </w:tc>
        <w:tc>
          <w:tcPr>
            <w:tcW w:w="773" w:type="dxa"/>
            <w:tcBorders>
              <w:top w:val="single" w:sz="4" w:space="0" w:color="000000"/>
              <w:bottom w:val="single" w:sz="4" w:space="0" w:color="000000"/>
            </w:tcBorders>
            <w:shd w:val="clear" w:color="auto" w:fill="FFFFFF"/>
            <w:vAlign w:val="center"/>
          </w:tcPr>
          <w:p w14:paraId="20EC0B4C" w14:textId="77777777" w:rsidR="00AA5A63" w:rsidRDefault="00AA5A63" w:rsidP="003842DD">
            <w:pPr>
              <w:spacing w:line="360" w:lineRule="auto"/>
              <w:rPr>
                <w:rFonts w:ascii="Book Antiqua" w:eastAsia="Book Antiqua" w:hAnsi="Book Antiqua" w:cs="Book Antiqua"/>
                <w:b/>
              </w:rPr>
            </w:pPr>
            <w:r>
              <w:rPr>
                <w:rFonts w:ascii="Book Antiqua" w:eastAsia="Book Antiqua" w:hAnsi="Book Antiqua" w:cs="Book Antiqua"/>
                <w:b/>
              </w:rPr>
              <w:t>Day 22</w:t>
            </w:r>
          </w:p>
        </w:tc>
      </w:tr>
      <w:tr w:rsidR="00AA5A63" w14:paraId="694BFE01" w14:textId="77777777" w:rsidTr="003842DD">
        <w:tc>
          <w:tcPr>
            <w:tcW w:w="1394" w:type="dxa"/>
            <w:tcBorders>
              <w:top w:val="single" w:sz="4" w:space="0" w:color="000000"/>
            </w:tcBorders>
            <w:vAlign w:val="center"/>
          </w:tcPr>
          <w:p w14:paraId="5BAAB943"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pH</w:t>
            </w:r>
          </w:p>
        </w:tc>
        <w:tc>
          <w:tcPr>
            <w:tcW w:w="1364" w:type="dxa"/>
            <w:tcBorders>
              <w:top w:val="single" w:sz="4" w:space="0" w:color="000000"/>
            </w:tcBorders>
            <w:vAlign w:val="center"/>
          </w:tcPr>
          <w:p w14:paraId="3F922910"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7.35-7.45</w:t>
            </w:r>
          </w:p>
        </w:tc>
        <w:tc>
          <w:tcPr>
            <w:tcW w:w="763" w:type="dxa"/>
            <w:tcBorders>
              <w:top w:val="single" w:sz="4" w:space="0" w:color="000000"/>
            </w:tcBorders>
            <w:vAlign w:val="center"/>
          </w:tcPr>
          <w:p w14:paraId="653E2FF7"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7.255</w:t>
            </w:r>
          </w:p>
        </w:tc>
        <w:tc>
          <w:tcPr>
            <w:tcW w:w="763" w:type="dxa"/>
            <w:tcBorders>
              <w:top w:val="single" w:sz="4" w:space="0" w:color="000000"/>
            </w:tcBorders>
            <w:vAlign w:val="center"/>
          </w:tcPr>
          <w:p w14:paraId="1DC2F8D0"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7.326</w:t>
            </w:r>
          </w:p>
        </w:tc>
        <w:tc>
          <w:tcPr>
            <w:tcW w:w="684" w:type="dxa"/>
            <w:tcBorders>
              <w:top w:val="single" w:sz="4" w:space="0" w:color="000000"/>
            </w:tcBorders>
            <w:vAlign w:val="center"/>
          </w:tcPr>
          <w:p w14:paraId="5BD0147C"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7.39</w:t>
            </w:r>
          </w:p>
        </w:tc>
        <w:tc>
          <w:tcPr>
            <w:tcW w:w="763" w:type="dxa"/>
            <w:tcBorders>
              <w:top w:val="single" w:sz="4" w:space="0" w:color="000000"/>
            </w:tcBorders>
            <w:vAlign w:val="center"/>
          </w:tcPr>
          <w:p w14:paraId="58AEB97A"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7.411</w:t>
            </w:r>
          </w:p>
        </w:tc>
        <w:tc>
          <w:tcPr>
            <w:tcW w:w="763" w:type="dxa"/>
            <w:tcBorders>
              <w:top w:val="single" w:sz="4" w:space="0" w:color="000000"/>
            </w:tcBorders>
            <w:vAlign w:val="center"/>
          </w:tcPr>
          <w:p w14:paraId="420E74C2"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7.211</w:t>
            </w:r>
          </w:p>
        </w:tc>
        <w:tc>
          <w:tcPr>
            <w:tcW w:w="763" w:type="dxa"/>
            <w:tcBorders>
              <w:top w:val="single" w:sz="4" w:space="0" w:color="000000"/>
            </w:tcBorders>
            <w:vAlign w:val="center"/>
          </w:tcPr>
          <w:p w14:paraId="3FA1FE7C"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7.433</w:t>
            </w:r>
          </w:p>
        </w:tc>
        <w:tc>
          <w:tcPr>
            <w:tcW w:w="773" w:type="dxa"/>
            <w:tcBorders>
              <w:top w:val="single" w:sz="4" w:space="0" w:color="000000"/>
            </w:tcBorders>
            <w:vAlign w:val="center"/>
          </w:tcPr>
          <w:p w14:paraId="44ACA3E1"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7.368</w:t>
            </w:r>
          </w:p>
        </w:tc>
        <w:tc>
          <w:tcPr>
            <w:tcW w:w="773" w:type="dxa"/>
            <w:tcBorders>
              <w:top w:val="single" w:sz="4" w:space="0" w:color="000000"/>
            </w:tcBorders>
            <w:vAlign w:val="center"/>
          </w:tcPr>
          <w:p w14:paraId="2E17B77F"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7.258</w:t>
            </w:r>
          </w:p>
        </w:tc>
        <w:tc>
          <w:tcPr>
            <w:tcW w:w="773" w:type="dxa"/>
            <w:tcBorders>
              <w:top w:val="single" w:sz="4" w:space="0" w:color="000000"/>
            </w:tcBorders>
            <w:vAlign w:val="center"/>
          </w:tcPr>
          <w:p w14:paraId="5EE744EC"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7.372</w:t>
            </w:r>
          </w:p>
        </w:tc>
      </w:tr>
      <w:tr w:rsidR="00AA5A63" w14:paraId="7711E69E" w14:textId="77777777" w:rsidTr="003842DD">
        <w:tc>
          <w:tcPr>
            <w:tcW w:w="1394" w:type="dxa"/>
            <w:vAlign w:val="center"/>
          </w:tcPr>
          <w:p w14:paraId="235C5843"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PCO</w:t>
            </w:r>
            <w:r>
              <w:rPr>
                <w:rFonts w:ascii="Book Antiqua" w:eastAsia="Book Antiqua" w:hAnsi="Book Antiqua" w:cs="Book Antiqua"/>
                <w:vertAlign w:val="subscript"/>
              </w:rPr>
              <w:t>2</w:t>
            </w:r>
            <w:r>
              <w:rPr>
                <w:rFonts w:ascii="Book Antiqua" w:eastAsia="Book Antiqua" w:hAnsi="Book Antiqua" w:cs="Book Antiqua"/>
              </w:rPr>
              <w:t xml:space="preserve"> (mmHg)</w:t>
            </w:r>
          </w:p>
        </w:tc>
        <w:tc>
          <w:tcPr>
            <w:tcW w:w="1364" w:type="dxa"/>
            <w:vAlign w:val="center"/>
          </w:tcPr>
          <w:p w14:paraId="28B2CB66"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35-45</w:t>
            </w:r>
          </w:p>
        </w:tc>
        <w:tc>
          <w:tcPr>
            <w:tcW w:w="763" w:type="dxa"/>
            <w:vAlign w:val="center"/>
          </w:tcPr>
          <w:p w14:paraId="6E31BF59"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15.9</w:t>
            </w:r>
          </w:p>
        </w:tc>
        <w:tc>
          <w:tcPr>
            <w:tcW w:w="763" w:type="dxa"/>
            <w:vAlign w:val="center"/>
          </w:tcPr>
          <w:p w14:paraId="0586BB7D"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18.1</w:t>
            </w:r>
          </w:p>
        </w:tc>
        <w:tc>
          <w:tcPr>
            <w:tcW w:w="684" w:type="dxa"/>
            <w:vAlign w:val="center"/>
          </w:tcPr>
          <w:p w14:paraId="1CD34B28"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22.7</w:t>
            </w:r>
          </w:p>
        </w:tc>
        <w:tc>
          <w:tcPr>
            <w:tcW w:w="763" w:type="dxa"/>
            <w:vAlign w:val="center"/>
          </w:tcPr>
          <w:p w14:paraId="70F6FF77"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20.1</w:t>
            </w:r>
          </w:p>
        </w:tc>
        <w:tc>
          <w:tcPr>
            <w:tcW w:w="763" w:type="dxa"/>
            <w:vAlign w:val="center"/>
          </w:tcPr>
          <w:p w14:paraId="4EB37270"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17.4</w:t>
            </w:r>
          </w:p>
        </w:tc>
        <w:tc>
          <w:tcPr>
            <w:tcW w:w="763" w:type="dxa"/>
            <w:vAlign w:val="center"/>
          </w:tcPr>
          <w:p w14:paraId="553A166B"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24.6</w:t>
            </w:r>
          </w:p>
        </w:tc>
        <w:tc>
          <w:tcPr>
            <w:tcW w:w="773" w:type="dxa"/>
            <w:vAlign w:val="center"/>
          </w:tcPr>
          <w:p w14:paraId="307AD7A5"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31</w:t>
            </w:r>
          </w:p>
        </w:tc>
        <w:tc>
          <w:tcPr>
            <w:tcW w:w="773" w:type="dxa"/>
            <w:vAlign w:val="center"/>
          </w:tcPr>
          <w:p w14:paraId="73AFA76F"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51</w:t>
            </w:r>
          </w:p>
        </w:tc>
        <w:tc>
          <w:tcPr>
            <w:tcW w:w="773" w:type="dxa"/>
            <w:vAlign w:val="center"/>
          </w:tcPr>
          <w:p w14:paraId="34B74D01"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34.4</w:t>
            </w:r>
          </w:p>
        </w:tc>
      </w:tr>
      <w:tr w:rsidR="00AA5A63" w14:paraId="6BEDC1A0" w14:textId="77777777" w:rsidTr="003842DD">
        <w:tc>
          <w:tcPr>
            <w:tcW w:w="1394" w:type="dxa"/>
            <w:vAlign w:val="center"/>
          </w:tcPr>
          <w:p w14:paraId="04C931A4"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HCO</w:t>
            </w:r>
            <w:r>
              <w:rPr>
                <w:rFonts w:ascii="Book Antiqua" w:eastAsia="Book Antiqua" w:hAnsi="Book Antiqua" w:cs="Book Antiqua"/>
                <w:vertAlign w:val="subscript"/>
              </w:rPr>
              <w:t>3</w:t>
            </w:r>
            <w:r>
              <w:rPr>
                <w:rFonts w:ascii="Book Antiqua" w:eastAsia="Book Antiqua" w:hAnsi="Book Antiqua" w:cs="Book Antiqua"/>
              </w:rPr>
              <w:t xml:space="preserve"> (mmol/L)</w:t>
            </w:r>
          </w:p>
        </w:tc>
        <w:tc>
          <w:tcPr>
            <w:tcW w:w="1364" w:type="dxa"/>
            <w:vAlign w:val="center"/>
          </w:tcPr>
          <w:p w14:paraId="358205F8"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22-26</w:t>
            </w:r>
          </w:p>
        </w:tc>
        <w:tc>
          <w:tcPr>
            <w:tcW w:w="763" w:type="dxa"/>
            <w:vAlign w:val="center"/>
          </w:tcPr>
          <w:p w14:paraId="582BC712"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7.1</w:t>
            </w:r>
          </w:p>
        </w:tc>
        <w:tc>
          <w:tcPr>
            <w:tcW w:w="763" w:type="dxa"/>
            <w:vAlign w:val="center"/>
          </w:tcPr>
          <w:p w14:paraId="2280DE6C"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9.5</w:t>
            </w:r>
          </w:p>
        </w:tc>
        <w:tc>
          <w:tcPr>
            <w:tcW w:w="684" w:type="dxa"/>
            <w:vAlign w:val="center"/>
          </w:tcPr>
          <w:p w14:paraId="44E1A9C1"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13.9</w:t>
            </w:r>
          </w:p>
        </w:tc>
        <w:tc>
          <w:tcPr>
            <w:tcW w:w="763" w:type="dxa"/>
            <w:vAlign w:val="center"/>
          </w:tcPr>
          <w:p w14:paraId="203A26C2"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12.9</w:t>
            </w:r>
          </w:p>
        </w:tc>
        <w:tc>
          <w:tcPr>
            <w:tcW w:w="763" w:type="dxa"/>
            <w:vAlign w:val="center"/>
          </w:tcPr>
          <w:p w14:paraId="71EDAB8D"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7.0</w:t>
            </w:r>
          </w:p>
        </w:tc>
        <w:tc>
          <w:tcPr>
            <w:tcW w:w="763" w:type="dxa"/>
            <w:vAlign w:val="center"/>
          </w:tcPr>
          <w:p w14:paraId="45DB4093"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16.6</w:t>
            </w:r>
          </w:p>
        </w:tc>
        <w:tc>
          <w:tcPr>
            <w:tcW w:w="773" w:type="dxa"/>
            <w:vAlign w:val="center"/>
          </w:tcPr>
          <w:p w14:paraId="07492717"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18.0</w:t>
            </w:r>
          </w:p>
        </w:tc>
        <w:tc>
          <w:tcPr>
            <w:tcW w:w="773" w:type="dxa"/>
            <w:vAlign w:val="center"/>
          </w:tcPr>
          <w:p w14:paraId="1C6D4F1C"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23.0</w:t>
            </w:r>
          </w:p>
        </w:tc>
        <w:tc>
          <w:tcPr>
            <w:tcW w:w="773" w:type="dxa"/>
            <w:vAlign w:val="center"/>
          </w:tcPr>
          <w:p w14:paraId="2880B007"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20.2</w:t>
            </w:r>
          </w:p>
        </w:tc>
      </w:tr>
      <w:tr w:rsidR="00AA5A63" w14:paraId="1BD7B081" w14:textId="77777777" w:rsidTr="003842DD">
        <w:tc>
          <w:tcPr>
            <w:tcW w:w="1394" w:type="dxa"/>
            <w:vAlign w:val="center"/>
          </w:tcPr>
          <w:p w14:paraId="1B2A0319"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Base excess (mmol/L)</w:t>
            </w:r>
          </w:p>
        </w:tc>
        <w:tc>
          <w:tcPr>
            <w:tcW w:w="1364" w:type="dxa"/>
            <w:vAlign w:val="center"/>
          </w:tcPr>
          <w:p w14:paraId="35C5A62E"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-2 to +2</w:t>
            </w:r>
          </w:p>
        </w:tc>
        <w:tc>
          <w:tcPr>
            <w:tcW w:w="763" w:type="dxa"/>
            <w:vAlign w:val="center"/>
          </w:tcPr>
          <w:p w14:paraId="7A851337"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-16.8</w:t>
            </w:r>
          </w:p>
        </w:tc>
        <w:tc>
          <w:tcPr>
            <w:tcW w:w="763" w:type="dxa"/>
            <w:vAlign w:val="center"/>
          </w:tcPr>
          <w:p w14:paraId="5E3F2362"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-13.4</w:t>
            </w:r>
          </w:p>
        </w:tc>
        <w:tc>
          <w:tcPr>
            <w:tcW w:w="684" w:type="dxa"/>
            <w:vAlign w:val="center"/>
          </w:tcPr>
          <w:p w14:paraId="373D50ED"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-8.6</w:t>
            </w:r>
          </w:p>
        </w:tc>
        <w:tc>
          <w:tcPr>
            <w:tcW w:w="763" w:type="dxa"/>
            <w:vAlign w:val="center"/>
          </w:tcPr>
          <w:p w14:paraId="46566445"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-9.0</w:t>
            </w:r>
          </w:p>
        </w:tc>
        <w:tc>
          <w:tcPr>
            <w:tcW w:w="763" w:type="dxa"/>
            <w:vAlign w:val="center"/>
          </w:tcPr>
          <w:p w14:paraId="7B51928A"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-18.1</w:t>
            </w:r>
          </w:p>
        </w:tc>
        <w:tc>
          <w:tcPr>
            <w:tcW w:w="763" w:type="dxa"/>
            <w:vAlign w:val="center"/>
          </w:tcPr>
          <w:p w14:paraId="036FB26B"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-5.1</w:t>
            </w:r>
          </w:p>
        </w:tc>
        <w:tc>
          <w:tcPr>
            <w:tcW w:w="773" w:type="dxa"/>
            <w:vAlign w:val="center"/>
          </w:tcPr>
          <w:p w14:paraId="6F1C7721"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-5.8</w:t>
            </w:r>
          </w:p>
        </w:tc>
        <w:tc>
          <w:tcPr>
            <w:tcW w:w="773" w:type="dxa"/>
            <w:vAlign w:val="center"/>
          </w:tcPr>
          <w:p w14:paraId="32131909"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-3.9</w:t>
            </w:r>
          </w:p>
        </w:tc>
        <w:tc>
          <w:tcPr>
            <w:tcW w:w="773" w:type="dxa"/>
            <w:vAlign w:val="center"/>
          </w:tcPr>
          <w:p w14:paraId="21B4456A" w14:textId="77777777" w:rsidR="00AA5A63" w:rsidRDefault="00AA5A63" w:rsidP="003842DD">
            <w:pPr>
              <w:spacing w:line="360" w:lineRule="auto"/>
              <w:rPr>
                <w:rFonts w:ascii="Book Antiqua" w:eastAsia="Book Antiqua" w:hAnsi="Book Antiqua" w:cs="Book Antiqua"/>
              </w:rPr>
            </w:pPr>
            <w:r>
              <w:rPr>
                <w:rFonts w:ascii="Book Antiqua" w:eastAsia="Book Antiqua" w:hAnsi="Book Antiqua" w:cs="Book Antiqua"/>
              </w:rPr>
              <w:t>-3.9</w:t>
            </w:r>
          </w:p>
        </w:tc>
      </w:tr>
    </w:tbl>
    <w:p w14:paraId="3C9AF2CB" w14:textId="77777777" w:rsidR="00AA5A63" w:rsidRDefault="00AA5A63" w:rsidP="00AA5A63">
      <w:pPr>
        <w:spacing w:line="360" w:lineRule="auto"/>
        <w:rPr>
          <w:rFonts w:ascii="Book Antiqua" w:eastAsia="Book Antiqua" w:hAnsi="Book Antiqua" w:cs="Book Antiqua"/>
        </w:rPr>
      </w:pPr>
      <w:r>
        <w:rPr>
          <w:rFonts w:ascii="Book Antiqua" w:eastAsia="Book Antiqua" w:hAnsi="Book Antiqua" w:cs="Book Antiqua"/>
        </w:rPr>
        <w:t xml:space="preserve">Day 2: </w:t>
      </w:r>
      <w:r>
        <w:rPr>
          <w:rFonts w:ascii="Book Antiqua" w:eastAsia="Book Antiqua" w:hAnsi="Book Antiqua" w:cs="Book Antiqua"/>
          <w:color w:val="000000"/>
        </w:rPr>
        <w:t>Diabetic ketoacidosis</w:t>
      </w:r>
      <w:r>
        <w:rPr>
          <w:rFonts w:ascii="Book Antiqua" w:eastAsia="Book Antiqua" w:hAnsi="Book Antiqua" w:cs="Book Antiqua"/>
        </w:rPr>
        <w:t xml:space="preserve"> onset; Day 6: Secondary stroke onset.</w:t>
      </w:r>
    </w:p>
    <w:p w14:paraId="5298F944" w14:textId="77777777" w:rsidR="00AA5A63" w:rsidRPr="00AA5A63" w:rsidRDefault="00AA5A63">
      <w:pPr>
        <w:spacing w:line="360" w:lineRule="auto"/>
      </w:pPr>
    </w:p>
    <w:p w14:paraId="3BCC2A37" w14:textId="77777777" w:rsidR="00AA5A63" w:rsidRDefault="00AA5A63">
      <w:pPr>
        <w:spacing w:line="360" w:lineRule="auto"/>
        <w:sectPr w:rsidR="00AA5A63">
          <w:pgSz w:w="12240" w:h="15840"/>
          <w:pgMar w:top="1440" w:right="1440" w:bottom="1440" w:left="1440" w:header="720" w:footer="720" w:gutter="0"/>
          <w:cols w:space="720"/>
        </w:sectPr>
      </w:pPr>
    </w:p>
    <w:p w14:paraId="08ED8F2C" w14:textId="13DA09A4" w:rsidR="00500304" w:rsidRDefault="00034505">
      <w:pPr>
        <w:spacing w:line="360" w:lineRule="auto"/>
        <w:rPr>
          <w:rFonts w:ascii="Book Antiqua" w:eastAsia="Book Antiqua" w:hAnsi="Book Antiqua" w:cs="Book Antiqua"/>
          <w:b/>
        </w:rPr>
      </w:pPr>
      <w:r>
        <w:rPr>
          <w:rFonts w:ascii="Book Antiqua" w:eastAsia="Book Antiqua" w:hAnsi="Book Antiqua" w:cs="Book Antiqua"/>
          <w:b/>
        </w:rPr>
        <w:t xml:space="preserve">Table </w:t>
      </w:r>
      <w:r w:rsidR="00AA5A63">
        <w:rPr>
          <w:rFonts w:ascii="Book Antiqua" w:eastAsia="Book Antiqua" w:hAnsi="Book Antiqua" w:cs="Book Antiqua"/>
          <w:b/>
        </w:rPr>
        <w:t>2</w:t>
      </w:r>
      <w:r>
        <w:rPr>
          <w:rFonts w:ascii="Book Antiqua" w:eastAsia="Book Antiqua" w:hAnsi="Book Antiqua" w:cs="Book Antiqua"/>
          <w:b/>
        </w:rPr>
        <w:t xml:space="preserve"> Blood examinations during hospitalization</w:t>
      </w:r>
    </w:p>
    <w:tbl>
      <w:tblPr>
        <w:tblStyle w:val="a5"/>
        <w:tblW w:w="9735" w:type="dxa"/>
        <w:tblInd w:w="0" w:type="dxa"/>
        <w:tblLayout w:type="fixed"/>
        <w:tblLook w:val="0400" w:firstRow="0" w:lastRow="0" w:firstColumn="0" w:lastColumn="0" w:noHBand="0" w:noVBand="1"/>
      </w:tblPr>
      <w:tblGrid>
        <w:gridCol w:w="1563"/>
        <w:gridCol w:w="1310"/>
        <w:gridCol w:w="936"/>
        <w:gridCol w:w="936"/>
        <w:gridCol w:w="816"/>
        <w:gridCol w:w="670"/>
        <w:gridCol w:w="936"/>
        <w:gridCol w:w="816"/>
        <w:gridCol w:w="936"/>
        <w:gridCol w:w="816"/>
      </w:tblGrid>
      <w:tr w:rsidR="00500304" w14:paraId="35FE1096" w14:textId="77777777">
        <w:tc>
          <w:tcPr>
            <w:tcW w:w="1563" w:type="dxa"/>
            <w:tcBorders>
              <w:top w:val="single" w:sz="4" w:space="0" w:color="000000"/>
              <w:bottom w:val="single" w:sz="4" w:space="0" w:color="000000"/>
            </w:tcBorders>
          </w:tcPr>
          <w:p w14:paraId="1C9A3685" w14:textId="77777777" w:rsidR="00500304" w:rsidRDefault="00034505">
            <w:pPr>
              <w:pBdr>
                <w:top w:val="nil"/>
                <w:left w:val="nil"/>
                <w:bottom w:val="nil"/>
                <w:right w:val="nil"/>
                <w:between w:val="nil"/>
              </w:pBdr>
              <w:spacing w:line="360" w:lineRule="auto"/>
              <w:rPr>
                <w:rFonts w:ascii="Book Antiqua" w:eastAsia="Book Antiqua" w:hAnsi="Book Antiqua" w:cs="Book Antiqua"/>
                <w:b/>
              </w:rPr>
            </w:pPr>
            <w:r>
              <w:rPr>
                <w:rFonts w:ascii="Book Antiqua" w:eastAsia="Book Antiqua" w:hAnsi="Book Antiqua" w:cs="Book Antiqua"/>
                <w:b/>
              </w:rPr>
              <w:t>Biochemical data</w:t>
            </w:r>
          </w:p>
        </w:tc>
        <w:tc>
          <w:tcPr>
            <w:tcW w:w="1310" w:type="dxa"/>
            <w:tcBorders>
              <w:top w:val="single" w:sz="4" w:space="0" w:color="000000"/>
              <w:bottom w:val="single" w:sz="4" w:space="0" w:color="000000"/>
            </w:tcBorders>
          </w:tcPr>
          <w:p w14:paraId="632A543F" w14:textId="77777777" w:rsidR="00500304" w:rsidRDefault="00034505">
            <w:pPr>
              <w:pBdr>
                <w:top w:val="nil"/>
                <w:left w:val="nil"/>
                <w:bottom w:val="nil"/>
                <w:right w:val="nil"/>
                <w:between w:val="nil"/>
              </w:pBdr>
              <w:spacing w:line="360" w:lineRule="auto"/>
              <w:rPr>
                <w:rFonts w:ascii="Book Antiqua" w:eastAsia="Book Antiqua" w:hAnsi="Book Antiqua" w:cs="Book Antiqua"/>
                <w:b/>
              </w:rPr>
            </w:pPr>
            <w:r>
              <w:rPr>
                <w:rFonts w:ascii="Book Antiqua" w:eastAsia="Book Antiqua" w:hAnsi="Book Antiqua" w:cs="Book Antiqua"/>
                <w:b/>
              </w:rPr>
              <w:t>Reference range</w:t>
            </w:r>
          </w:p>
        </w:tc>
        <w:tc>
          <w:tcPr>
            <w:tcW w:w="936" w:type="dxa"/>
            <w:tcBorders>
              <w:top w:val="single" w:sz="4" w:space="0" w:color="000000"/>
              <w:bottom w:val="single" w:sz="4" w:space="0" w:color="000000"/>
            </w:tcBorders>
          </w:tcPr>
          <w:p w14:paraId="69EEDD1C"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2</w:t>
            </w:r>
          </w:p>
        </w:tc>
        <w:tc>
          <w:tcPr>
            <w:tcW w:w="936" w:type="dxa"/>
            <w:tcBorders>
              <w:top w:val="single" w:sz="4" w:space="0" w:color="000000"/>
              <w:bottom w:val="single" w:sz="4" w:space="0" w:color="000000"/>
            </w:tcBorders>
          </w:tcPr>
          <w:p w14:paraId="0BA56E6A"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4</w:t>
            </w:r>
          </w:p>
        </w:tc>
        <w:tc>
          <w:tcPr>
            <w:tcW w:w="816" w:type="dxa"/>
            <w:tcBorders>
              <w:top w:val="single" w:sz="4" w:space="0" w:color="000000"/>
              <w:bottom w:val="single" w:sz="4" w:space="0" w:color="000000"/>
            </w:tcBorders>
          </w:tcPr>
          <w:p w14:paraId="648999EB"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6</w:t>
            </w:r>
          </w:p>
        </w:tc>
        <w:tc>
          <w:tcPr>
            <w:tcW w:w="670" w:type="dxa"/>
            <w:tcBorders>
              <w:top w:val="single" w:sz="4" w:space="0" w:color="000000"/>
              <w:bottom w:val="single" w:sz="4" w:space="0" w:color="000000"/>
            </w:tcBorders>
          </w:tcPr>
          <w:p w14:paraId="0DE2BC2B"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8</w:t>
            </w:r>
          </w:p>
        </w:tc>
        <w:tc>
          <w:tcPr>
            <w:tcW w:w="936" w:type="dxa"/>
            <w:tcBorders>
              <w:top w:val="single" w:sz="4" w:space="0" w:color="000000"/>
              <w:bottom w:val="single" w:sz="4" w:space="0" w:color="000000"/>
            </w:tcBorders>
          </w:tcPr>
          <w:p w14:paraId="4E597165"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10</w:t>
            </w:r>
          </w:p>
        </w:tc>
        <w:tc>
          <w:tcPr>
            <w:tcW w:w="816" w:type="dxa"/>
            <w:tcBorders>
              <w:top w:val="single" w:sz="4" w:space="0" w:color="000000"/>
              <w:bottom w:val="single" w:sz="4" w:space="0" w:color="000000"/>
            </w:tcBorders>
          </w:tcPr>
          <w:p w14:paraId="58601D3C"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14</w:t>
            </w:r>
          </w:p>
        </w:tc>
        <w:tc>
          <w:tcPr>
            <w:tcW w:w="936" w:type="dxa"/>
            <w:tcBorders>
              <w:top w:val="single" w:sz="4" w:space="0" w:color="000000"/>
              <w:bottom w:val="single" w:sz="4" w:space="0" w:color="000000"/>
            </w:tcBorders>
          </w:tcPr>
          <w:p w14:paraId="7A4E7610"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17</w:t>
            </w:r>
          </w:p>
        </w:tc>
        <w:tc>
          <w:tcPr>
            <w:tcW w:w="816" w:type="dxa"/>
            <w:tcBorders>
              <w:top w:val="single" w:sz="4" w:space="0" w:color="000000"/>
              <w:bottom w:val="single" w:sz="4" w:space="0" w:color="000000"/>
            </w:tcBorders>
          </w:tcPr>
          <w:p w14:paraId="2F1439E7"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22</w:t>
            </w:r>
          </w:p>
        </w:tc>
      </w:tr>
      <w:tr w:rsidR="00500304" w14:paraId="6591080B" w14:textId="77777777">
        <w:tc>
          <w:tcPr>
            <w:tcW w:w="1563" w:type="dxa"/>
            <w:tcBorders>
              <w:top w:val="single" w:sz="4" w:space="0" w:color="000000"/>
            </w:tcBorders>
          </w:tcPr>
          <w:p w14:paraId="6ECF10C6" w14:textId="77777777" w:rsidR="00500304" w:rsidRDefault="00034505">
            <w:pPr>
              <w:spacing w:line="360" w:lineRule="auto"/>
              <w:rPr>
                <w:rFonts w:ascii="Book Antiqua" w:eastAsia="Book Antiqua" w:hAnsi="Book Antiqua" w:cs="Book Antiqua"/>
              </w:rPr>
            </w:pPr>
            <w:bookmarkStart w:id="45" w:name="3fwokq0" w:colFirst="0" w:colLast="0"/>
            <w:bookmarkStart w:id="46" w:name="1v1yuxt" w:colFirst="0" w:colLast="0"/>
            <w:bookmarkEnd w:id="45"/>
            <w:bookmarkEnd w:id="46"/>
            <w:r>
              <w:rPr>
                <w:rFonts w:ascii="Book Antiqua" w:eastAsia="Book Antiqua" w:hAnsi="Book Antiqua" w:cs="Book Antiqua"/>
              </w:rPr>
              <w:t>WBC (/μL)</w:t>
            </w:r>
          </w:p>
        </w:tc>
        <w:tc>
          <w:tcPr>
            <w:tcW w:w="1310" w:type="dxa"/>
            <w:tcBorders>
              <w:top w:val="single" w:sz="4" w:space="0" w:color="000000"/>
            </w:tcBorders>
          </w:tcPr>
          <w:p w14:paraId="18C3644F"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4000-11000</w:t>
            </w:r>
          </w:p>
        </w:tc>
        <w:tc>
          <w:tcPr>
            <w:tcW w:w="936" w:type="dxa"/>
            <w:tcBorders>
              <w:top w:val="single" w:sz="4" w:space="0" w:color="000000"/>
            </w:tcBorders>
          </w:tcPr>
          <w:p w14:paraId="1AEBDF3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8600</w:t>
            </w:r>
          </w:p>
        </w:tc>
        <w:tc>
          <w:tcPr>
            <w:tcW w:w="936" w:type="dxa"/>
            <w:tcBorders>
              <w:top w:val="single" w:sz="4" w:space="0" w:color="000000"/>
            </w:tcBorders>
          </w:tcPr>
          <w:p w14:paraId="65DF7435"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16600</w:t>
            </w:r>
          </w:p>
        </w:tc>
        <w:tc>
          <w:tcPr>
            <w:tcW w:w="816" w:type="dxa"/>
            <w:tcBorders>
              <w:top w:val="single" w:sz="4" w:space="0" w:color="000000"/>
            </w:tcBorders>
          </w:tcPr>
          <w:p w14:paraId="487A01AD"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32510</w:t>
            </w:r>
          </w:p>
        </w:tc>
        <w:tc>
          <w:tcPr>
            <w:tcW w:w="670" w:type="dxa"/>
            <w:tcBorders>
              <w:top w:val="single" w:sz="4" w:space="0" w:color="000000"/>
            </w:tcBorders>
          </w:tcPr>
          <w:p w14:paraId="0B9F1D5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936" w:type="dxa"/>
            <w:tcBorders>
              <w:top w:val="single" w:sz="4" w:space="0" w:color="000000"/>
            </w:tcBorders>
          </w:tcPr>
          <w:p w14:paraId="72349399"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19890</w:t>
            </w:r>
          </w:p>
        </w:tc>
        <w:tc>
          <w:tcPr>
            <w:tcW w:w="816" w:type="dxa"/>
            <w:tcBorders>
              <w:top w:val="single" w:sz="4" w:space="0" w:color="000000"/>
            </w:tcBorders>
          </w:tcPr>
          <w:p w14:paraId="660F595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18930</w:t>
            </w:r>
          </w:p>
        </w:tc>
        <w:tc>
          <w:tcPr>
            <w:tcW w:w="936" w:type="dxa"/>
            <w:tcBorders>
              <w:top w:val="single" w:sz="4" w:space="0" w:color="000000"/>
            </w:tcBorders>
          </w:tcPr>
          <w:p w14:paraId="75E3CCCD"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13520</w:t>
            </w:r>
          </w:p>
        </w:tc>
        <w:tc>
          <w:tcPr>
            <w:tcW w:w="816" w:type="dxa"/>
            <w:tcBorders>
              <w:top w:val="single" w:sz="4" w:space="0" w:color="000000"/>
            </w:tcBorders>
          </w:tcPr>
          <w:p w14:paraId="3F34BF05"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13870</w:t>
            </w:r>
          </w:p>
        </w:tc>
      </w:tr>
      <w:tr w:rsidR="00500304" w14:paraId="31901DBF" w14:textId="77777777">
        <w:tc>
          <w:tcPr>
            <w:tcW w:w="1563" w:type="dxa"/>
          </w:tcPr>
          <w:p w14:paraId="07EE770D"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Neutrophil (%)</w:t>
            </w:r>
          </w:p>
        </w:tc>
        <w:tc>
          <w:tcPr>
            <w:tcW w:w="1310" w:type="dxa"/>
          </w:tcPr>
          <w:p w14:paraId="6259D429"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40-75</w:t>
            </w:r>
          </w:p>
        </w:tc>
        <w:tc>
          <w:tcPr>
            <w:tcW w:w="936" w:type="dxa"/>
          </w:tcPr>
          <w:p w14:paraId="2B2D09B4"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61.2</w:t>
            </w:r>
          </w:p>
        </w:tc>
        <w:tc>
          <w:tcPr>
            <w:tcW w:w="936" w:type="dxa"/>
          </w:tcPr>
          <w:p w14:paraId="79DA0BF0"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89</w:t>
            </w:r>
          </w:p>
        </w:tc>
        <w:tc>
          <w:tcPr>
            <w:tcW w:w="816" w:type="dxa"/>
          </w:tcPr>
          <w:p w14:paraId="3D08F651"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87</w:t>
            </w:r>
          </w:p>
        </w:tc>
        <w:tc>
          <w:tcPr>
            <w:tcW w:w="670" w:type="dxa"/>
          </w:tcPr>
          <w:p w14:paraId="1BDE4C4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936" w:type="dxa"/>
          </w:tcPr>
          <w:p w14:paraId="3A212B3E"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70.8</w:t>
            </w:r>
          </w:p>
        </w:tc>
        <w:tc>
          <w:tcPr>
            <w:tcW w:w="816" w:type="dxa"/>
          </w:tcPr>
          <w:p w14:paraId="2584AF2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75</w:t>
            </w:r>
          </w:p>
        </w:tc>
        <w:tc>
          <w:tcPr>
            <w:tcW w:w="936" w:type="dxa"/>
          </w:tcPr>
          <w:p w14:paraId="6E3F7B5F"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81.3</w:t>
            </w:r>
          </w:p>
        </w:tc>
        <w:tc>
          <w:tcPr>
            <w:tcW w:w="816" w:type="dxa"/>
          </w:tcPr>
          <w:p w14:paraId="146CEB6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59.2</w:t>
            </w:r>
          </w:p>
        </w:tc>
      </w:tr>
      <w:tr w:rsidR="00500304" w14:paraId="4DD0B0C7" w14:textId="77777777">
        <w:tc>
          <w:tcPr>
            <w:tcW w:w="1563" w:type="dxa"/>
          </w:tcPr>
          <w:p w14:paraId="00D1F2DF"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Hemoglobin (g/dL)</w:t>
            </w:r>
          </w:p>
        </w:tc>
        <w:tc>
          <w:tcPr>
            <w:tcW w:w="1310" w:type="dxa"/>
          </w:tcPr>
          <w:p w14:paraId="115EF74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12-16</w:t>
            </w:r>
          </w:p>
        </w:tc>
        <w:tc>
          <w:tcPr>
            <w:tcW w:w="936" w:type="dxa"/>
          </w:tcPr>
          <w:p w14:paraId="034052D5"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14.3</w:t>
            </w:r>
          </w:p>
        </w:tc>
        <w:tc>
          <w:tcPr>
            <w:tcW w:w="936" w:type="dxa"/>
          </w:tcPr>
          <w:p w14:paraId="55B668A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13.5</w:t>
            </w:r>
          </w:p>
        </w:tc>
        <w:tc>
          <w:tcPr>
            <w:tcW w:w="816" w:type="dxa"/>
          </w:tcPr>
          <w:p w14:paraId="51DA3B8E"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670" w:type="dxa"/>
          </w:tcPr>
          <w:p w14:paraId="3C2B9E10"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936" w:type="dxa"/>
          </w:tcPr>
          <w:p w14:paraId="705B9FB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13.8</w:t>
            </w:r>
          </w:p>
        </w:tc>
        <w:tc>
          <w:tcPr>
            <w:tcW w:w="816" w:type="dxa"/>
          </w:tcPr>
          <w:p w14:paraId="060BB38F"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11.7</w:t>
            </w:r>
          </w:p>
        </w:tc>
        <w:tc>
          <w:tcPr>
            <w:tcW w:w="936" w:type="dxa"/>
          </w:tcPr>
          <w:p w14:paraId="09F43AB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10.3</w:t>
            </w:r>
          </w:p>
        </w:tc>
        <w:tc>
          <w:tcPr>
            <w:tcW w:w="816" w:type="dxa"/>
          </w:tcPr>
          <w:p w14:paraId="797D0FB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r>
      <w:tr w:rsidR="00500304" w14:paraId="7DD4059F" w14:textId="77777777">
        <w:tc>
          <w:tcPr>
            <w:tcW w:w="1563" w:type="dxa"/>
          </w:tcPr>
          <w:p w14:paraId="5A1A9F47"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Platelet (/μL)</w:t>
            </w:r>
          </w:p>
        </w:tc>
        <w:tc>
          <w:tcPr>
            <w:tcW w:w="1310" w:type="dxa"/>
          </w:tcPr>
          <w:p w14:paraId="4A5D5097"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150000-400000</w:t>
            </w:r>
          </w:p>
        </w:tc>
        <w:tc>
          <w:tcPr>
            <w:tcW w:w="936" w:type="dxa"/>
          </w:tcPr>
          <w:p w14:paraId="78E99CF9"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250000</w:t>
            </w:r>
          </w:p>
        </w:tc>
        <w:tc>
          <w:tcPr>
            <w:tcW w:w="936" w:type="dxa"/>
          </w:tcPr>
          <w:p w14:paraId="353800C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356000</w:t>
            </w:r>
          </w:p>
        </w:tc>
        <w:tc>
          <w:tcPr>
            <w:tcW w:w="816" w:type="dxa"/>
          </w:tcPr>
          <w:p w14:paraId="4082CA1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670" w:type="dxa"/>
          </w:tcPr>
          <w:p w14:paraId="7490324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936" w:type="dxa"/>
          </w:tcPr>
          <w:p w14:paraId="5AE641D5"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181000</w:t>
            </w:r>
          </w:p>
        </w:tc>
        <w:tc>
          <w:tcPr>
            <w:tcW w:w="816" w:type="dxa"/>
          </w:tcPr>
          <w:p w14:paraId="4E78797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936" w:type="dxa"/>
          </w:tcPr>
          <w:p w14:paraId="7ED7E7EC"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472000</w:t>
            </w:r>
          </w:p>
        </w:tc>
        <w:tc>
          <w:tcPr>
            <w:tcW w:w="816" w:type="dxa"/>
          </w:tcPr>
          <w:p w14:paraId="3BE93CF3"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r>
      <w:tr w:rsidR="00500304" w14:paraId="68DEBBCE" w14:textId="77777777">
        <w:tc>
          <w:tcPr>
            <w:tcW w:w="1563" w:type="dxa"/>
          </w:tcPr>
          <w:p w14:paraId="49E8B2AD"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Sodium (mmol/L)</w:t>
            </w:r>
          </w:p>
        </w:tc>
        <w:tc>
          <w:tcPr>
            <w:tcW w:w="1310" w:type="dxa"/>
          </w:tcPr>
          <w:p w14:paraId="7F1B71E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136-144</w:t>
            </w:r>
          </w:p>
        </w:tc>
        <w:tc>
          <w:tcPr>
            <w:tcW w:w="936" w:type="dxa"/>
          </w:tcPr>
          <w:p w14:paraId="5AECDF8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134</w:t>
            </w:r>
          </w:p>
        </w:tc>
        <w:tc>
          <w:tcPr>
            <w:tcW w:w="936" w:type="dxa"/>
          </w:tcPr>
          <w:p w14:paraId="4C48957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148</w:t>
            </w:r>
          </w:p>
        </w:tc>
        <w:tc>
          <w:tcPr>
            <w:tcW w:w="816" w:type="dxa"/>
          </w:tcPr>
          <w:p w14:paraId="179AB207"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146</w:t>
            </w:r>
          </w:p>
        </w:tc>
        <w:tc>
          <w:tcPr>
            <w:tcW w:w="670" w:type="dxa"/>
          </w:tcPr>
          <w:p w14:paraId="24AC6813"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180</w:t>
            </w:r>
          </w:p>
        </w:tc>
        <w:tc>
          <w:tcPr>
            <w:tcW w:w="936" w:type="dxa"/>
          </w:tcPr>
          <w:p w14:paraId="052156D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166</w:t>
            </w:r>
          </w:p>
        </w:tc>
        <w:tc>
          <w:tcPr>
            <w:tcW w:w="816" w:type="dxa"/>
          </w:tcPr>
          <w:p w14:paraId="6B0DBAA4"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152</w:t>
            </w:r>
          </w:p>
        </w:tc>
        <w:tc>
          <w:tcPr>
            <w:tcW w:w="936" w:type="dxa"/>
          </w:tcPr>
          <w:p w14:paraId="08BE106E"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154</w:t>
            </w:r>
          </w:p>
        </w:tc>
        <w:tc>
          <w:tcPr>
            <w:tcW w:w="816" w:type="dxa"/>
          </w:tcPr>
          <w:p w14:paraId="7E890055"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r>
      <w:tr w:rsidR="00500304" w14:paraId="3E2D7201" w14:textId="77777777">
        <w:tc>
          <w:tcPr>
            <w:tcW w:w="1563" w:type="dxa"/>
          </w:tcPr>
          <w:p w14:paraId="43D7C2A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Potassium (mmol/L)</w:t>
            </w:r>
          </w:p>
        </w:tc>
        <w:tc>
          <w:tcPr>
            <w:tcW w:w="1310" w:type="dxa"/>
          </w:tcPr>
          <w:p w14:paraId="47533AF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3.6-5.1</w:t>
            </w:r>
          </w:p>
        </w:tc>
        <w:tc>
          <w:tcPr>
            <w:tcW w:w="936" w:type="dxa"/>
          </w:tcPr>
          <w:p w14:paraId="5F09D55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4.3</w:t>
            </w:r>
          </w:p>
        </w:tc>
        <w:tc>
          <w:tcPr>
            <w:tcW w:w="936" w:type="dxa"/>
          </w:tcPr>
          <w:p w14:paraId="174A72F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3.1</w:t>
            </w:r>
          </w:p>
        </w:tc>
        <w:tc>
          <w:tcPr>
            <w:tcW w:w="816" w:type="dxa"/>
          </w:tcPr>
          <w:p w14:paraId="1E29AAC7"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3.4</w:t>
            </w:r>
          </w:p>
        </w:tc>
        <w:tc>
          <w:tcPr>
            <w:tcW w:w="670" w:type="dxa"/>
          </w:tcPr>
          <w:p w14:paraId="3F89527C"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3.0</w:t>
            </w:r>
          </w:p>
        </w:tc>
        <w:tc>
          <w:tcPr>
            <w:tcW w:w="936" w:type="dxa"/>
          </w:tcPr>
          <w:p w14:paraId="122E2FBF"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3.8</w:t>
            </w:r>
          </w:p>
        </w:tc>
        <w:tc>
          <w:tcPr>
            <w:tcW w:w="816" w:type="dxa"/>
          </w:tcPr>
          <w:p w14:paraId="10EA7DE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4.3</w:t>
            </w:r>
          </w:p>
        </w:tc>
        <w:tc>
          <w:tcPr>
            <w:tcW w:w="936" w:type="dxa"/>
          </w:tcPr>
          <w:p w14:paraId="0EED577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3.6</w:t>
            </w:r>
          </w:p>
        </w:tc>
        <w:tc>
          <w:tcPr>
            <w:tcW w:w="816" w:type="dxa"/>
          </w:tcPr>
          <w:p w14:paraId="4240774C"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r>
      <w:tr w:rsidR="00500304" w14:paraId="58E77D44" w14:textId="77777777">
        <w:tc>
          <w:tcPr>
            <w:tcW w:w="1563" w:type="dxa"/>
          </w:tcPr>
          <w:p w14:paraId="707B709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Creatinine (mg/dL)</w:t>
            </w:r>
          </w:p>
        </w:tc>
        <w:tc>
          <w:tcPr>
            <w:tcW w:w="1310" w:type="dxa"/>
          </w:tcPr>
          <w:p w14:paraId="4A9A739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0.44-1.03</w:t>
            </w:r>
          </w:p>
        </w:tc>
        <w:tc>
          <w:tcPr>
            <w:tcW w:w="936" w:type="dxa"/>
          </w:tcPr>
          <w:p w14:paraId="22507C7C"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0.75</w:t>
            </w:r>
          </w:p>
        </w:tc>
        <w:tc>
          <w:tcPr>
            <w:tcW w:w="936" w:type="dxa"/>
          </w:tcPr>
          <w:p w14:paraId="04C46FB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0.74</w:t>
            </w:r>
          </w:p>
        </w:tc>
        <w:tc>
          <w:tcPr>
            <w:tcW w:w="816" w:type="dxa"/>
          </w:tcPr>
          <w:p w14:paraId="7EFEDB67"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670" w:type="dxa"/>
          </w:tcPr>
          <w:p w14:paraId="1233FE6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936" w:type="dxa"/>
          </w:tcPr>
          <w:p w14:paraId="6FB34BD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1.59</w:t>
            </w:r>
          </w:p>
        </w:tc>
        <w:tc>
          <w:tcPr>
            <w:tcW w:w="816" w:type="dxa"/>
          </w:tcPr>
          <w:p w14:paraId="4C709D0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2.94</w:t>
            </w:r>
          </w:p>
        </w:tc>
        <w:tc>
          <w:tcPr>
            <w:tcW w:w="936" w:type="dxa"/>
          </w:tcPr>
          <w:p w14:paraId="17457C40"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2.49</w:t>
            </w:r>
          </w:p>
        </w:tc>
        <w:tc>
          <w:tcPr>
            <w:tcW w:w="816" w:type="dxa"/>
          </w:tcPr>
          <w:p w14:paraId="5FBC6124"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1.55</w:t>
            </w:r>
          </w:p>
        </w:tc>
      </w:tr>
      <w:tr w:rsidR="00500304" w14:paraId="50A41EEB" w14:textId="77777777">
        <w:tc>
          <w:tcPr>
            <w:tcW w:w="1563" w:type="dxa"/>
            <w:tcBorders>
              <w:bottom w:val="single" w:sz="4" w:space="0" w:color="000000"/>
            </w:tcBorders>
          </w:tcPr>
          <w:p w14:paraId="43BD75B7"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C-reactive protein (mg/dL)</w:t>
            </w:r>
          </w:p>
        </w:tc>
        <w:tc>
          <w:tcPr>
            <w:tcW w:w="1310" w:type="dxa"/>
            <w:tcBorders>
              <w:bottom w:val="single" w:sz="4" w:space="0" w:color="000000"/>
            </w:tcBorders>
          </w:tcPr>
          <w:p w14:paraId="5659C96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&lt; 0.748</w:t>
            </w:r>
          </w:p>
        </w:tc>
        <w:tc>
          <w:tcPr>
            <w:tcW w:w="936" w:type="dxa"/>
            <w:tcBorders>
              <w:bottom w:val="single" w:sz="4" w:space="0" w:color="000000"/>
            </w:tcBorders>
          </w:tcPr>
          <w:p w14:paraId="4D90E2D7"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1.345</w:t>
            </w:r>
          </w:p>
        </w:tc>
        <w:tc>
          <w:tcPr>
            <w:tcW w:w="936" w:type="dxa"/>
            <w:tcBorders>
              <w:bottom w:val="single" w:sz="4" w:space="0" w:color="000000"/>
            </w:tcBorders>
          </w:tcPr>
          <w:p w14:paraId="4A5B2B3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816" w:type="dxa"/>
            <w:tcBorders>
              <w:bottom w:val="single" w:sz="4" w:space="0" w:color="000000"/>
            </w:tcBorders>
          </w:tcPr>
          <w:p w14:paraId="2694F5E2"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670" w:type="dxa"/>
            <w:tcBorders>
              <w:bottom w:val="single" w:sz="4" w:space="0" w:color="000000"/>
            </w:tcBorders>
          </w:tcPr>
          <w:p w14:paraId="3BA994F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936" w:type="dxa"/>
            <w:tcBorders>
              <w:bottom w:val="single" w:sz="4" w:space="0" w:color="000000"/>
            </w:tcBorders>
          </w:tcPr>
          <w:p w14:paraId="73C5054C"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816" w:type="dxa"/>
            <w:tcBorders>
              <w:bottom w:val="single" w:sz="4" w:space="0" w:color="000000"/>
            </w:tcBorders>
          </w:tcPr>
          <w:p w14:paraId="68692393"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936" w:type="dxa"/>
            <w:tcBorders>
              <w:bottom w:val="single" w:sz="4" w:space="0" w:color="000000"/>
            </w:tcBorders>
          </w:tcPr>
          <w:p w14:paraId="2486BF0E"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816" w:type="dxa"/>
            <w:tcBorders>
              <w:bottom w:val="single" w:sz="4" w:space="0" w:color="000000"/>
            </w:tcBorders>
          </w:tcPr>
          <w:p w14:paraId="605C5134"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r>
    </w:tbl>
    <w:p w14:paraId="4342EDD8" w14:textId="01853864" w:rsidR="00500304" w:rsidRDefault="00034505">
      <w:pPr>
        <w:spacing w:line="360" w:lineRule="auto"/>
        <w:rPr>
          <w:rFonts w:ascii="Book Antiqua" w:eastAsia="Book Antiqua" w:hAnsi="Book Antiqua" w:cs="Book Antiqua"/>
        </w:rPr>
      </w:pPr>
      <w:r>
        <w:rPr>
          <w:rFonts w:ascii="Book Antiqua" w:eastAsia="Book Antiqua" w:hAnsi="Book Antiqua" w:cs="Book Antiqua"/>
        </w:rPr>
        <w:t>Day</w:t>
      </w:r>
      <w:r w:rsidR="00AA5A63">
        <w:rPr>
          <w:rFonts w:ascii="Book Antiqua" w:eastAsia="Book Antiqua" w:hAnsi="Book Antiqua" w:cs="Book Antiqua"/>
        </w:rPr>
        <w:t xml:space="preserve"> </w:t>
      </w:r>
      <w:r>
        <w:rPr>
          <w:rFonts w:ascii="Book Antiqua" w:eastAsia="Book Antiqua" w:hAnsi="Book Antiqua" w:cs="Book Antiqua"/>
        </w:rPr>
        <w:t xml:space="preserve">2: </w:t>
      </w:r>
      <w:bookmarkStart w:id="47" w:name="2u6wntf" w:colFirst="0" w:colLast="0"/>
      <w:bookmarkStart w:id="48" w:name="4f1mdlm" w:colFirst="0" w:colLast="0"/>
      <w:bookmarkEnd w:id="47"/>
      <w:bookmarkEnd w:id="48"/>
      <w:r>
        <w:rPr>
          <w:rFonts w:ascii="Book Antiqua" w:eastAsia="Book Antiqua" w:hAnsi="Book Antiqua" w:cs="Book Antiqua"/>
          <w:color w:val="000000"/>
        </w:rPr>
        <w:t>Diabetic ketoacidosis</w:t>
      </w:r>
      <w:r>
        <w:rPr>
          <w:rFonts w:ascii="Book Antiqua" w:eastAsia="Book Antiqua" w:hAnsi="Book Antiqua" w:cs="Book Antiqua"/>
        </w:rPr>
        <w:t xml:space="preserve"> onset</w:t>
      </w:r>
      <w:r w:rsidR="00AA5A63">
        <w:rPr>
          <w:rFonts w:ascii="Book Antiqua" w:eastAsia="Book Antiqua" w:hAnsi="Book Antiqua" w:cs="Book Antiqua"/>
        </w:rPr>
        <w:t>;</w:t>
      </w:r>
      <w:r>
        <w:rPr>
          <w:rFonts w:ascii="Book Antiqua" w:eastAsia="Book Antiqua" w:hAnsi="Book Antiqua" w:cs="Book Antiqua"/>
        </w:rPr>
        <w:t xml:space="preserve"> Day 6: Secondary stroke onset. WBC: White blood cell.</w:t>
      </w:r>
    </w:p>
    <w:p w14:paraId="79AB5474" w14:textId="487DA9CA" w:rsidR="00500304" w:rsidRDefault="00034505">
      <w:pPr>
        <w:spacing w:line="360" w:lineRule="auto"/>
        <w:rPr>
          <w:rFonts w:ascii="Book Antiqua" w:eastAsia="Book Antiqua" w:hAnsi="Book Antiqua" w:cs="Book Antiqua"/>
          <w:b/>
        </w:rPr>
      </w:pPr>
      <w:r>
        <w:br w:type="page"/>
      </w:r>
      <w:r>
        <w:rPr>
          <w:rFonts w:ascii="Book Antiqua" w:eastAsia="Book Antiqua" w:hAnsi="Book Antiqua" w:cs="Book Antiqua"/>
          <w:b/>
        </w:rPr>
        <w:t xml:space="preserve">Table </w:t>
      </w:r>
      <w:r w:rsidR="00AA5A63">
        <w:rPr>
          <w:rFonts w:ascii="Book Antiqua" w:eastAsia="Book Antiqua" w:hAnsi="Book Antiqua" w:cs="Book Antiqua"/>
          <w:b/>
        </w:rPr>
        <w:t>3</w:t>
      </w:r>
      <w:r>
        <w:rPr>
          <w:rFonts w:ascii="Book Antiqua" w:eastAsia="Book Antiqua" w:hAnsi="Book Antiqua" w:cs="Book Antiqua"/>
          <w:b/>
        </w:rPr>
        <w:t xml:space="preserve"> Thyroid function at admission and stroke survey after the second stroke</w:t>
      </w:r>
    </w:p>
    <w:tbl>
      <w:tblPr>
        <w:tblStyle w:val="a6"/>
        <w:tblW w:w="9057" w:type="dxa"/>
        <w:tblInd w:w="0" w:type="dxa"/>
        <w:tblBorders>
          <w:top w:val="single" w:sz="4" w:space="0" w:color="000000"/>
          <w:bottom w:val="single" w:sz="4" w:space="0" w:color="000000"/>
        </w:tblBorders>
        <w:tblLayout w:type="fixed"/>
        <w:tblLook w:val="0400" w:firstRow="0" w:lastRow="0" w:firstColumn="0" w:lastColumn="0" w:noHBand="0" w:noVBand="1"/>
      </w:tblPr>
      <w:tblGrid>
        <w:gridCol w:w="2957"/>
        <w:gridCol w:w="2248"/>
        <w:gridCol w:w="850"/>
        <w:gridCol w:w="3002"/>
      </w:tblGrid>
      <w:tr w:rsidR="00500304" w14:paraId="04253937" w14:textId="77777777">
        <w:tc>
          <w:tcPr>
            <w:tcW w:w="2957" w:type="dxa"/>
            <w:tcBorders>
              <w:top w:val="single" w:sz="4" w:space="0" w:color="000000"/>
              <w:bottom w:val="single" w:sz="4" w:space="0" w:color="000000"/>
            </w:tcBorders>
            <w:shd w:val="clear" w:color="auto" w:fill="FFFFFF"/>
          </w:tcPr>
          <w:p w14:paraId="3CD3CFF1" w14:textId="77777777" w:rsidR="00500304" w:rsidRDefault="00034505">
            <w:pPr>
              <w:pBdr>
                <w:top w:val="nil"/>
                <w:left w:val="nil"/>
                <w:bottom w:val="nil"/>
                <w:right w:val="nil"/>
                <w:between w:val="nil"/>
              </w:pBdr>
              <w:spacing w:line="360" w:lineRule="auto"/>
              <w:rPr>
                <w:rFonts w:ascii="Book Antiqua" w:eastAsia="Book Antiqua" w:hAnsi="Book Antiqua" w:cs="Book Antiqua"/>
                <w:b/>
              </w:rPr>
            </w:pPr>
            <w:bookmarkStart w:id="49" w:name="_19c6y18" w:colFirst="0" w:colLast="0"/>
            <w:bookmarkEnd w:id="49"/>
            <w:r>
              <w:rPr>
                <w:rFonts w:ascii="Book Antiqua" w:eastAsia="Book Antiqua" w:hAnsi="Book Antiqua" w:cs="Book Antiqua"/>
                <w:b/>
              </w:rPr>
              <w:t>Biochemical data</w:t>
            </w:r>
          </w:p>
        </w:tc>
        <w:tc>
          <w:tcPr>
            <w:tcW w:w="2248" w:type="dxa"/>
            <w:tcBorders>
              <w:top w:val="single" w:sz="4" w:space="0" w:color="000000"/>
              <w:bottom w:val="single" w:sz="4" w:space="0" w:color="000000"/>
            </w:tcBorders>
            <w:shd w:val="clear" w:color="auto" w:fill="FFFFFF"/>
          </w:tcPr>
          <w:p w14:paraId="24DD1650" w14:textId="77777777" w:rsidR="00500304" w:rsidRDefault="00034505">
            <w:pPr>
              <w:pBdr>
                <w:top w:val="nil"/>
                <w:left w:val="nil"/>
                <w:bottom w:val="nil"/>
                <w:right w:val="nil"/>
                <w:between w:val="nil"/>
              </w:pBdr>
              <w:spacing w:line="360" w:lineRule="auto"/>
              <w:rPr>
                <w:rFonts w:ascii="Book Antiqua" w:eastAsia="Book Antiqua" w:hAnsi="Book Antiqua" w:cs="Book Antiqua"/>
                <w:b/>
              </w:rPr>
            </w:pPr>
            <w:r>
              <w:rPr>
                <w:rFonts w:ascii="Book Antiqua" w:eastAsia="Book Antiqua" w:hAnsi="Book Antiqua" w:cs="Book Antiqua"/>
                <w:b/>
              </w:rPr>
              <w:t>Reference range</w:t>
            </w:r>
          </w:p>
        </w:tc>
        <w:tc>
          <w:tcPr>
            <w:tcW w:w="850" w:type="dxa"/>
            <w:tcBorders>
              <w:top w:val="single" w:sz="4" w:space="0" w:color="000000"/>
              <w:bottom w:val="single" w:sz="4" w:space="0" w:color="000000"/>
            </w:tcBorders>
            <w:shd w:val="clear" w:color="auto" w:fill="FFFFFF"/>
            <w:vAlign w:val="center"/>
          </w:tcPr>
          <w:p w14:paraId="50ADB2A9"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2</w:t>
            </w:r>
          </w:p>
        </w:tc>
        <w:tc>
          <w:tcPr>
            <w:tcW w:w="3002" w:type="dxa"/>
            <w:tcBorders>
              <w:top w:val="single" w:sz="4" w:space="0" w:color="000000"/>
              <w:bottom w:val="single" w:sz="4" w:space="0" w:color="000000"/>
            </w:tcBorders>
            <w:shd w:val="clear" w:color="auto" w:fill="FFFFFF"/>
            <w:vAlign w:val="center"/>
          </w:tcPr>
          <w:p w14:paraId="32ABCEB1" w14:textId="77777777" w:rsidR="00500304" w:rsidRDefault="00034505">
            <w:pPr>
              <w:spacing w:line="360" w:lineRule="auto"/>
              <w:rPr>
                <w:rFonts w:ascii="Book Antiqua" w:eastAsia="Book Antiqua" w:hAnsi="Book Antiqua" w:cs="Book Antiqua"/>
                <w:b/>
              </w:rPr>
            </w:pPr>
            <w:r>
              <w:rPr>
                <w:rFonts w:ascii="Book Antiqua" w:eastAsia="Book Antiqua" w:hAnsi="Book Antiqua" w:cs="Book Antiqua"/>
                <w:b/>
              </w:rPr>
              <w:t>Day 7</w:t>
            </w:r>
          </w:p>
        </w:tc>
      </w:tr>
      <w:tr w:rsidR="00500304" w14:paraId="106A3B80" w14:textId="77777777">
        <w:tc>
          <w:tcPr>
            <w:tcW w:w="2957" w:type="dxa"/>
            <w:tcBorders>
              <w:top w:val="single" w:sz="4" w:space="0" w:color="000000"/>
            </w:tcBorders>
            <w:vAlign w:val="center"/>
          </w:tcPr>
          <w:p w14:paraId="2310AF73"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Free T4 (ng/dL)</w:t>
            </w:r>
          </w:p>
        </w:tc>
        <w:tc>
          <w:tcPr>
            <w:tcW w:w="2248" w:type="dxa"/>
            <w:tcBorders>
              <w:top w:val="single" w:sz="4" w:space="0" w:color="000000"/>
            </w:tcBorders>
            <w:vAlign w:val="center"/>
          </w:tcPr>
          <w:p w14:paraId="522798A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1.04-1.27</w:t>
            </w:r>
          </w:p>
        </w:tc>
        <w:tc>
          <w:tcPr>
            <w:tcW w:w="850" w:type="dxa"/>
            <w:tcBorders>
              <w:top w:val="single" w:sz="4" w:space="0" w:color="000000"/>
            </w:tcBorders>
            <w:vAlign w:val="center"/>
          </w:tcPr>
          <w:p w14:paraId="5418429E"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1.04</w:t>
            </w:r>
          </w:p>
        </w:tc>
        <w:tc>
          <w:tcPr>
            <w:tcW w:w="3002" w:type="dxa"/>
            <w:tcBorders>
              <w:top w:val="single" w:sz="4" w:space="0" w:color="000000"/>
            </w:tcBorders>
            <w:vAlign w:val="center"/>
          </w:tcPr>
          <w:p w14:paraId="41C07C3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r>
      <w:tr w:rsidR="00500304" w14:paraId="0AE3ECDC" w14:textId="77777777">
        <w:tc>
          <w:tcPr>
            <w:tcW w:w="2957" w:type="dxa"/>
            <w:vAlign w:val="center"/>
          </w:tcPr>
          <w:p w14:paraId="5679581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TSH (μIU/mL)</w:t>
            </w:r>
          </w:p>
        </w:tc>
        <w:tc>
          <w:tcPr>
            <w:tcW w:w="2248" w:type="dxa"/>
            <w:vAlign w:val="center"/>
          </w:tcPr>
          <w:p w14:paraId="08356C3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0.38-5.33</w:t>
            </w:r>
          </w:p>
        </w:tc>
        <w:tc>
          <w:tcPr>
            <w:tcW w:w="850" w:type="dxa"/>
            <w:vAlign w:val="center"/>
          </w:tcPr>
          <w:p w14:paraId="0484FEC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2.58</w:t>
            </w:r>
          </w:p>
        </w:tc>
        <w:tc>
          <w:tcPr>
            <w:tcW w:w="3002" w:type="dxa"/>
            <w:vAlign w:val="center"/>
          </w:tcPr>
          <w:p w14:paraId="7D2EE3BE"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r>
      <w:tr w:rsidR="00500304" w14:paraId="2B7FDEA6" w14:textId="77777777">
        <w:tc>
          <w:tcPr>
            <w:tcW w:w="2957" w:type="dxa"/>
            <w:vAlign w:val="center"/>
          </w:tcPr>
          <w:p w14:paraId="650258B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T3 (ng/dL)</w:t>
            </w:r>
          </w:p>
        </w:tc>
        <w:tc>
          <w:tcPr>
            <w:tcW w:w="2248" w:type="dxa"/>
            <w:vAlign w:val="center"/>
          </w:tcPr>
          <w:p w14:paraId="26121F14"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76-155</w:t>
            </w:r>
          </w:p>
        </w:tc>
        <w:tc>
          <w:tcPr>
            <w:tcW w:w="850" w:type="dxa"/>
            <w:vAlign w:val="center"/>
          </w:tcPr>
          <w:p w14:paraId="203EF764"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53.5</w:t>
            </w:r>
          </w:p>
        </w:tc>
        <w:tc>
          <w:tcPr>
            <w:tcW w:w="3002" w:type="dxa"/>
            <w:vAlign w:val="center"/>
          </w:tcPr>
          <w:p w14:paraId="2AA588D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r>
      <w:tr w:rsidR="00500304" w14:paraId="2D48D460" w14:textId="77777777">
        <w:tc>
          <w:tcPr>
            <w:tcW w:w="2957" w:type="dxa"/>
            <w:vAlign w:val="center"/>
          </w:tcPr>
          <w:p w14:paraId="638D5CC5"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Complement C3 (mg/dL)</w:t>
            </w:r>
          </w:p>
        </w:tc>
        <w:tc>
          <w:tcPr>
            <w:tcW w:w="2248" w:type="dxa"/>
            <w:vAlign w:val="center"/>
          </w:tcPr>
          <w:p w14:paraId="412CE2EF"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79-152</w:t>
            </w:r>
          </w:p>
        </w:tc>
        <w:tc>
          <w:tcPr>
            <w:tcW w:w="850" w:type="dxa"/>
            <w:vAlign w:val="center"/>
          </w:tcPr>
          <w:p w14:paraId="720ABDD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3002" w:type="dxa"/>
            <w:vAlign w:val="center"/>
          </w:tcPr>
          <w:p w14:paraId="2121EB33"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70.9</w:t>
            </w:r>
          </w:p>
        </w:tc>
      </w:tr>
      <w:tr w:rsidR="00500304" w14:paraId="30569055" w14:textId="77777777">
        <w:tc>
          <w:tcPr>
            <w:tcW w:w="2957" w:type="dxa"/>
            <w:vAlign w:val="center"/>
          </w:tcPr>
          <w:p w14:paraId="5E084056"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Complement C4 (mg/dL)</w:t>
            </w:r>
          </w:p>
        </w:tc>
        <w:tc>
          <w:tcPr>
            <w:tcW w:w="2248" w:type="dxa"/>
            <w:vAlign w:val="center"/>
          </w:tcPr>
          <w:p w14:paraId="7D991ECC"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16-38</w:t>
            </w:r>
          </w:p>
        </w:tc>
        <w:tc>
          <w:tcPr>
            <w:tcW w:w="850" w:type="dxa"/>
            <w:vAlign w:val="center"/>
          </w:tcPr>
          <w:p w14:paraId="763F661A"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3002" w:type="dxa"/>
            <w:vAlign w:val="center"/>
          </w:tcPr>
          <w:p w14:paraId="793CE62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21</w:t>
            </w:r>
          </w:p>
        </w:tc>
      </w:tr>
      <w:tr w:rsidR="00500304" w14:paraId="2A6BB1EE" w14:textId="77777777">
        <w:tc>
          <w:tcPr>
            <w:tcW w:w="2957" w:type="dxa"/>
            <w:vAlign w:val="center"/>
          </w:tcPr>
          <w:p w14:paraId="03EBD3D7" w14:textId="77777777" w:rsidR="00500304" w:rsidRDefault="00034505">
            <w:pPr>
              <w:spacing w:line="360" w:lineRule="auto"/>
              <w:rPr>
                <w:rFonts w:ascii="Book Antiqua" w:eastAsia="Book Antiqua" w:hAnsi="Book Antiqua" w:cs="Book Antiqua"/>
              </w:rPr>
            </w:pPr>
            <w:bookmarkStart w:id="50" w:name="3tbugp1" w:colFirst="0" w:colLast="0"/>
            <w:bookmarkEnd w:id="50"/>
            <w:r>
              <w:rPr>
                <w:rFonts w:ascii="Book Antiqua" w:eastAsia="Book Antiqua" w:hAnsi="Book Antiqua" w:cs="Book Antiqua"/>
              </w:rPr>
              <w:t>ANA (titer)</w:t>
            </w:r>
          </w:p>
        </w:tc>
        <w:tc>
          <w:tcPr>
            <w:tcW w:w="2248" w:type="dxa"/>
            <w:vAlign w:val="center"/>
          </w:tcPr>
          <w:p w14:paraId="092A931C"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&lt; 1: 80X</w:t>
            </w:r>
          </w:p>
        </w:tc>
        <w:tc>
          <w:tcPr>
            <w:tcW w:w="850" w:type="dxa"/>
            <w:vAlign w:val="center"/>
          </w:tcPr>
          <w:p w14:paraId="415A4EE5"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3002" w:type="dxa"/>
            <w:vAlign w:val="center"/>
          </w:tcPr>
          <w:p w14:paraId="40918A19"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Homogeneous type 1: 80X</w:t>
            </w:r>
          </w:p>
        </w:tc>
      </w:tr>
      <w:tr w:rsidR="00500304" w14:paraId="4A8F30E7" w14:textId="77777777">
        <w:tc>
          <w:tcPr>
            <w:tcW w:w="2957" w:type="dxa"/>
            <w:vAlign w:val="center"/>
          </w:tcPr>
          <w:p w14:paraId="0095D0EE"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Anti-dsDNA (IU/mL)</w:t>
            </w:r>
          </w:p>
        </w:tc>
        <w:tc>
          <w:tcPr>
            <w:tcW w:w="2248" w:type="dxa"/>
            <w:vAlign w:val="center"/>
          </w:tcPr>
          <w:p w14:paraId="0E7CE94B"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&lt; 200</w:t>
            </w:r>
          </w:p>
        </w:tc>
        <w:tc>
          <w:tcPr>
            <w:tcW w:w="850" w:type="dxa"/>
            <w:vAlign w:val="center"/>
          </w:tcPr>
          <w:p w14:paraId="690EA9E0"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3002" w:type="dxa"/>
            <w:vAlign w:val="center"/>
          </w:tcPr>
          <w:p w14:paraId="7297F497"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62.33</w:t>
            </w:r>
          </w:p>
        </w:tc>
      </w:tr>
      <w:tr w:rsidR="00500304" w14:paraId="30421C94" w14:textId="77777777">
        <w:tc>
          <w:tcPr>
            <w:tcW w:w="2957" w:type="dxa"/>
            <w:vAlign w:val="center"/>
          </w:tcPr>
          <w:p w14:paraId="7253E50F"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ANCA (titer)</w:t>
            </w:r>
          </w:p>
        </w:tc>
        <w:tc>
          <w:tcPr>
            <w:tcW w:w="2248" w:type="dxa"/>
            <w:vAlign w:val="center"/>
          </w:tcPr>
          <w:p w14:paraId="178753CF"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Negative (&lt; 1: 40X)</w:t>
            </w:r>
          </w:p>
        </w:tc>
        <w:tc>
          <w:tcPr>
            <w:tcW w:w="850" w:type="dxa"/>
            <w:vAlign w:val="center"/>
          </w:tcPr>
          <w:p w14:paraId="3DA6DA48"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w:t>
            </w:r>
          </w:p>
        </w:tc>
        <w:tc>
          <w:tcPr>
            <w:tcW w:w="3002" w:type="dxa"/>
            <w:vAlign w:val="center"/>
          </w:tcPr>
          <w:p w14:paraId="4510CAD5" w14:textId="77777777" w:rsidR="00500304" w:rsidRDefault="00034505">
            <w:pPr>
              <w:spacing w:line="360" w:lineRule="auto"/>
              <w:rPr>
                <w:rFonts w:ascii="Book Antiqua" w:eastAsia="Book Antiqua" w:hAnsi="Book Antiqua" w:cs="Book Antiqua"/>
              </w:rPr>
            </w:pPr>
            <w:r>
              <w:rPr>
                <w:rFonts w:ascii="Book Antiqua" w:eastAsia="Book Antiqua" w:hAnsi="Book Antiqua" w:cs="Book Antiqua"/>
              </w:rPr>
              <w:t>Negative</w:t>
            </w:r>
          </w:p>
        </w:tc>
      </w:tr>
    </w:tbl>
    <w:p w14:paraId="093DC068" w14:textId="6463A9F0" w:rsidR="00B32DBE" w:rsidRDefault="00034505" w:rsidP="00AA5A63">
      <w:pPr>
        <w:spacing w:line="360" w:lineRule="auto"/>
        <w:rPr>
          <w:rFonts w:ascii="Book Antiqua" w:eastAsia="Book Antiqua" w:hAnsi="Book Antiqua" w:cs="Book Antiqua"/>
        </w:rPr>
      </w:pPr>
      <w:r>
        <w:rPr>
          <w:rFonts w:ascii="Book Antiqua" w:eastAsia="Book Antiqua" w:hAnsi="Book Antiqua" w:cs="Book Antiqua"/>
        </w:rPr>
        <w:t>Day</w:t>
      </w:r>
      <w:r w:rsidR="00AA5A63">
        <w:rPr>
          <w:rFonts w:ascii="Book Antiqua" w:eastAsia="Book Antiqua" w:hAnsi="Book Antiqua" w:cs="Book Antiqua"/>
        </w:rPr>
        <w:t xml:space="preserve"> </w:t>
      </w:r>
      <w:r>
        <w:rPr>
          <w:rFonts w:ascii="Book Antiqua" w:eastAsia="Book Antiqua" w:hAnsi="Book Antiqua" w:cs="Book Antiqua"/>
        </w:rPr>
        <w:t xml:space="preserve">2: </w:t>
      </w:r>
      <w:bookmarkStart w:id="51" w:name="28h4qwu" w:colFirst="0" w:colLast="0"/>
      <w:bookmarkStart w:id="52" w:name="nmf14n" w:colFirst="0" w:colLast="0"/>
      <w:bookmarkEnd w:id="51"/>
      <w:bookmarkEnd w:id="52"/>
      <w:r>
        <w:rPr>
          <w:rFonts w:ascii="Book Antiqua" w:eastAsia="Book Antiqua" w:hAnsi="Book Antiqua" w:cs="Book Antiqua"/>
          <w:color w:val="000000"/>
        </w:rPr>
        <w:t>Diabetic ketoacidosis</w:t>
      </w:r>
      <w:r>
        <w:rPr>
          <w:rFonts w:ascii="Book Antiqua" w:eastAsia="Book Antiqua" w:hAnsi="Book Antiqua" w:cs="Book Antiqua"/>
        </w:rPr>
        <w:t xml:space="preserve"> onset</w:t>
      </w:r>
      <w:r w:rsidR="00AA5A63">
        <w:rPr>
          <w:rFonts w:ascii="Book Antiqua" w:eastAsia="Book Antiqua" w:hAnsi="Book Antiqua" w:cs="Book Antiqua"/>
        </w:rPr>
        <w:t>;</w:t>
      </w:r>
      <w:r>
        <w:rPr>
          <w:rFonts w:ascii="Book Antiqua" w:eastAsia="Book Antiqua" w:hAnsi="Book Antiqua" w:cs="Book Antiqua"/>
        </w:rPr>
        <w:t xml:space="preserve"> Day 6: Secondary stroke onset. TSH: Thyroid stimulating hormone; ANA: Antinuclear antibodies; ANCA: Anti-neutrophil cytoplasmic antibodies.</w:t>
      </w:r>
    </w:p>
    <w:p w14:paraId="5E7B41DD" w14:textId="77777777" w:rsidR="00B32DBE" w:rsidRDefault="00B32DBE">
      <w:pPr>
        <w:rPr>
          <w:rFonts w:ascii="Book Antiqua" w:eastAsia="Book Antiqua" w:hAnsi="Book Antiqua" w:cs="Book Antiqua"/>
        </w:rPr>
      </w:pPr>
      <w:r>
        <w:rPr>
          <w:rFonts w:ascii="Book Antiqua" w:eastAsia="Book Antiqua" w:hAnsi="Book Antiqua" w:cs="Book Antiqua"/>
        </w:rPr>
        <w:br w:type="page"/>
      </w:r>
    </w:p>
    <w:p w14:paraId="6D9DFCE3" w14:textId="77777777" w:rsidR="00B32DBE" w:rsidRDefault="00B32DBE" w:rsidP="00B32DBE">
      <w:pPr>
        <w:jc w:val="center"/>
        <w:rPr>
          <w:rFonts w:ascii="Book Antiqua" w:hAnsi="Book Antiqua"/>
          <w:lang w:eastAsia="zh-CN"/>
        </w:rPr>
      </w:pPr>
    </w:p>
    <w:p w14:paraId="60FB8B45" w14:textId="77777777" w:rsidR="00B32DBE" w:rsidRDefault="00B32DBE" w:rsidP="00B32DBE">
      <w:pPr>
        <w:jc w:val="center"/>
        <w:rPr>
          <w:rFonts w:ascii="Book Antiqua" w:hAnsi="Book Antiqua"/>
          <w:lang w:eastAsia="zh-CN"/>
        </w:rPr>
      </w:pPr>
    </w:p>
    <w:p w14:paraId="2D1ACB2E" w14:textId="77777777" w:rsidR="00B32DBE" w:rsidRDefault="00B32DBE" w:rsidP="00B32DBE">
      <w:pPr>
        <w:jc w:val="center"/>
        <w:rPr>
          <w:rFonts w:ascii="Book Antiqua" w:hAnsi="Book Antiqua"/>
          <w:lang w:eastAsia="zh-CN"/>
        </w:rPr>
      </w:pPr>
    </w:p>
    <w:p w14:paraId="77F179E0" w14:textId="77777777" w:rsidR="00B32DBE" w:rsidRDefault="00B32DBE" w:rsidP="00B32DBE">
      <w:pPr>
        <w:jc w:val="center"/>
        <w:rPr>
          <w:rFonts w:ascii="Book Antiqua" w:hAnsi="Book Antiqua"/>
          <w:lang w:eastAsia="zh-CN"/>
        </w:rPr>
      </w:pPr>
    </w:p>
    <w:p w14:paraId="05DD823C" w14:textId="77777777" w:rsidR="00B32DBE" w:rsidRDefault="00B32DBE" w:rsidP="00B32DBE">
      <w:pPr>
        <w:jc w:val="center"/>
        <w:rPr>
          <w:rFonts w:ascii="Book Antiqua" w:hAnsi="Book Antiqua"/>
          <w:lang w:eastAsia="zh-CN"/>
        </w:rPr>
      </w:pPr>
    </w:p>
    <w:p w14:paraId="1DD9F504" w14:textId="77777777" w:rsidR="00B32DBE" w:rsidRDefault="00B32DBE" w:rsidP="00B32DBE">
      <w:pPr>
        <w:jc w:val="center"/>
        <w:rPr>
          <w:rFonts w:ascii="Book Antiqua" w:hAnsi="Book Antiqua"/>
          <w:lang w:eastAsia="zh-CN"/>
        </w:rPr>
      </w:pPr>
      <w:r>
        <w:rPr>
          <w:rFonts w:ascii="Book Antiqua" w:hAnsi="Book Antiqua"/>
          <w:noProof/>
          <w:lang w:eastAsia="zh-CN"/>
        </w:rPr>
        <w:drawing>
          <wp:inline distT="0" distB="0" distL="0" distR="0" wp14:anchorId="6B515FF4" wp14:editId="2BDB04D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995D4A" w14:textId="77777777" w:rsidR="00B32DBE" w:rsidRDefault="00B32DBE" w:rsidP="00B32DBE">
      <w:pPr>
        <w:jc w:val="center"/>
        <w:rPr>
          <w:rFonts w:ascii="Book Antiqua" w:hAnsi="Book Antiqua"/>
          <w:lang w:eastAsia="zh-CN"/>
        </w:rPr>
      </w:pPr>
    </w:p>
    <w:p w14:paraId="0F9CBAA0" w14:textId="77777777" w:rsidR="00B32DBE" w:rsidRPr="00763D22" w:rsidRDefault="00B32DBE" w:rsidP="00B32DB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AB03E55" w14:textId="77777777" w:rsidR="00B32DBE" w:rsidRPr="00763D22" w:rsidRDefault="00B32DBE" w:rsidP="00B32DB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653EAD1" w14:textId="77777777" w:rsidR="00B32DBE" w:rsidRPr="00763D22" w:rsidRDefault="00B32DBE" w:rsidP="00B32DB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C6426A5" w14:textId="77777777" w:rsidR="00B32DBE" w:rsidRPr="00763D22" w:rsidRDefault="00B32DBE" w:rsidP="00B32DB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92B762A" w14:textId="77777777" w:rsidR="00B32DBE" w:rsidRPr="00763D22" w:rsidRDefault="00B32DBE" w:rsidP="00B32DB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360E43B" w14:textId="77777777" w:rsidR="00B32DBE" w:rsidRPr="00763D22" w:rsidRDefault="00B32DBE" w:rsidP="00B32DB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7205D09" w14:textId="77777777" w:rsidR="00B32DBE" w:rsidRDefault="00B32DBE" w:rsidP="00B32DBE">
      <w:pPr>
        <w:jc w:val="center"/>
        <w:rPr>
          <w:rFonts w:ascii="Book Antiqua" w:hAnsi="Book Antiqua"/>
          <w:lang w:eastAsia="zh-CN"/>
        </w:rPr>
      </w:pPr>
    </w:p>
    <w:p w14:paraId="6F9E058C" w14:textId="77777777" w:rsidR="00B32DBE" w:rsidRDefault="00B32DBE" w:rsidP="00B32DBE">
      <w:pPr>
        <w:jc w:val="center"/>
        <w:rPr>
          <w:rFonts w:ascii="Book Antiqua" w:hAnsi="Book Antiqua"/>
          <w:lang w:eastAsia="zh-CN"/>
        </w:rPr>
      </w:pPr>
    </w:p>
    <w:p w14:paraId="1C47BF8D" w14:textId="77777777" w:rsidR="00B32DBE" w:rsidRDefault="00B32DBE" w:rsidP="00B32DBE">
      <w:pPr>
        <w:jc w:val="center"/>
        <w:rPr>
          <w:rFonts w:ascii="Book Antiqua" w:hAnsi="Book Antiqua"/>
          <w:lang w:eastAsia="zh-CN"/>
        </w:rPr>
      </w:pPr>
    </w:p>
    <w:p w14:paraId="078C4916" w14:textId="77777777" w:rsidR="00B32DBE" w:rsidRDefault="00B32DBE" w:rsidP="00B32DBE">
      <w:pPr>
        <w:jc w:val="center"/>
        <w:rPr>
          <w:rFonts w:ascii="Book Antiqua" w:hAnsi="Book Antiqua"/>
          <w:lang w:eastAsia="zh-CN"/>
        </w:rPr>
      </w:pPr>
      <w:r>
        <w:rPr>
          <w:rFonts w:ascii="Book Antiqua" w:hAnsi="Book Antiqua"/>
          <w:noProof/>
          <w:lang w:eastAsia="zh-CN"/>
        </w:rPr>
        <w:drawing>
          <wp:inline distT="0" distB="0" distL="0" distR="0" wp14:anchorId="0C563116" wp14:editId="61A5BF3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DC81B2" w14:textId="77777777" w:rsidR="00B32DBE" w:rsidRDefault="00B32DBE" w:rsidP="00B32DBE">
      <w:pPr>
        <w:jc w:val="center"/>
        <w:rPr>
          <w:rFonts w:ascii="Book Antiqua" w:hAnsi="Book Antiqua"/>
          <w:lang w:eastAsia="zh-CN"/>
        </w:rPr>
      </w:pPr>
    </w:p>
    <w:p w14:paraId="4568660D" w14:textId="77777777" w:rsidR="00B32DBE" w:rsidRDefault="00B32DBE" w:rsidP="00B32DBE">
      <w:pPr>
        <w:jc w:val="center"/>
        <w:rPr>
          <w:rFonts w:ascii="Book Antiqua" w:hAnsi="Book Antiqua"/>
          <w:lang w:eastAsia="zh-CN"/>
        </w:rPr>
      </w:pPr>
    </w:p>
    <w:p w14:paraId="511FD923" w14:textId="77777777" w:rsidR="00B32DBE" w:rsidRDefault="00B32DBE" w:rsidP="00B32DBE">
      <w:pPr>
        <w:jc w:val="center"/>
        <w:rPr>
          <w:rFonts w:ascii="Book Antiqua" w:hAnsi="Book Antiqua"/>
          <w:lang w:eastAsia="zh-CN"/>
        </w:rPr>
      </w:pPr>
    </w:p>
    <w:p w14:paraId="4DD9FA71" w14:textId="77777777" w:rsidR="00B32DBE" w:rsidRDefault="00B32DBE" w:rsidP="00B32DBE">
      <w:pPr>
        <w:jc w:val="center"/>
        <w:rPr>
          <w:rFonts w:ascii="Book Antiqua" w:hAnsi="Book Antiqua"/>
          <w:lang w:eastAsia="zh-CN"/>
        </w:rPr>
      </w:pPr>
    </w:p>
    <w:p w14:paraId="3E699C04" w14:textId="77777777" w:rsidR="00B32DBE" w:rsidRDefault="00B32DBE" w:rsidP="00B32DBE">
      <w:pPr>
        <w:jc w:val="center"/>
        <w:rPr>
          <w:rFonts w:ascii="Book Antiqua" w:hAnsi="Book Antiqua"/>
          <w:lang w:eastAsia="zh-CN"/>
        </w:rPr>
      </w:pPr>
    </w:p>
    <w:p w14:paraId="74930C8F" w14:textId="77777777" w:rsidR="00B32DBE" w:rsidRDefault="00B32DBE" w:rsidP="00B32DBE">
      <w:pPr>
        <w:jc w:val="center"/>
        <w:rPr>
          <w:rFonts w:ascii="Book Antiqua" w:hAnsi="Book Antiqua"/>
          <w:lang w:eastAsia="zh-CN"/>
        </w:rPr>
      </w:pPr>
    </w:p>
    <w:p w14:paraId="4855B240" w14:textId="77777777" w:rsidR="00B32DBE" w:rsidRDefault="00B32DBE" w:rsidP="00B32DBE">
      <w:pPr>
        <w:jc w:val="center"/>
        <w:rPr>
          <w:rFonts w:ascii="Book Antiqua" w:hAnsi="Book Antiqua"/>
          <w:lang w:eastAsia="zh-CN"/>
        </w:rPr>
      </w:pPr>
    </w:p>
    <w:p w14:paraId="1AA41519" w14:textId="77777777" w:rsidR="00B32DBE" w:rsidRDefault="00B32DBE" w:rsidP="00B32DBE">
      <w:pPr>
        <w:jc w:val="center"/>
        <w:rPr>
          <w:rFonts w:ascii="Book Antiqua" w:hAnsi="Book Antiqua"/>
          <w:lang w:eastAsia="zh-CN"/>
        </w:rPr>
      </w:pPr>
    </w:p>
    <w:p w14:paraId="23CA1D60" w14:textId="77777777" w:rsidR="00B32DBE" w:rsidRDefault="00B32DBE" w:rsidP="00B32DBE">
      <w:pPr>
        <w:jc w:val="center"/>
        <w:rPr>
          <w:rFonts w:ascii="Book Antiqua" w:hAnsi="Book Antiqua"/>
          <w:lang w:eastAsia="zh-CN"/>
        </w:rPr>
      </w:pPr>
    </w:p>
    <w:p w14:paraId="1BD5B5AF" w14:textId="77777777" w:rsidR="00B32DBE" w:rsidRPr="00763D22" w:rsidRDefault="00B32DBE" w:rsidP="00B32DBE">
      <w:pPr>
        <w:jc w:val="right"/>
        <w:rPr>
          <w:rFonts w:ascii="Book Antiqua" w:hAnsi="Book Antiqua"/>
          <w:color w:val="000000" w:themeColor="text1"/>
          <w:lang w:eastAsia="zh-CN"/>
        </w:rPr>
      </w:pPr>
    </w:p>
    <w:p w14:paraId="70A7AAD3" w14:textId="77777777" w:rsidR="00B32DBE" w:rsidRPr="00763D22" w:rsidRDefault="00B32DBE" w:rsidP="00B32DB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F72062C" w14:textId="77777777" w:rsidR="00500304" w:rsidRPr="00B32DBE" w:rsidRDefault="00500304" w:rsidP="00AA5A63">
      <w:pPr>
        <w:spacing w:line="360" w:lineRule="auto"/>
        <w:rPr>
          <w:rFonts w:ascii="Book Antiqua" w:hAnsi="Book Antiqua" w:cs="Book Antiqua"/>
        </w:rPr>
      </w:pPr>
      <w:bookmarkStart w:id="53" w:name="_GoBack"/>
      <w:bookmarkEnd w:id="53"/>
    </w:p>
    <w:sectPr w:rsidR="00500304" w:rsidRPr="00B32DB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55B00" w14:textId="77777777" w:rsidR="00DD2C24" w:rsidRDefault="00DD2C24">
      <w:r>
        <w:separator/>
      </w:r>
    </w:p>
  </w:endnote>
  <w:endnote w:type="continuationSeparator" w:id="0">
    <w:p w14:paraId="07E130AC" w14:textId="77777777" w:rsidR="00DD2C24" w:rsidRDefault="00DD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6DE2A" w14:textId="77777777" w:rsidR="00500304" w:rsidRDefault="00034505">
    <w:pPr>
      <w:pBdr>
        <w:top w:val="nil"/>
        <w:left w:val="nil"/>
        <w:bottom w:val="nil"/>
        <w:right w:val="nil"/>
        <w:between w:val="nil"/>
      </w:pBdr>
      <w:tabs>
        <w:tab w:val="center" w:pos="4153"/>
        <w:tab w:val="right" w:pos="8306"/>
      </w:tabs>
      <w:jc w:val="right"/>
      <w:rPr>
        <w:color w:val="000000"/>
        <w:sz w:val="18"/>
        <w:szCs w:val="18"/>
      </w:rPr>
    </w:pPr>
    <w:r>
      <w:rPr>
        <w:rFonts w:eastAsia="Times New Roman"/>
        <w:color w:val="000000"/>
        <w:sz w:val="18"/>
        <w:szCs w:val="18"/>
      </w:rPr>
      <w:t xml:space="preserve"> </w:t>
    </w:r>
    <w:r>
      <w:rPr>
        <w:b/>
        <w:color w:val="000000"/>
      </w:rPr>
      <w:fldChar w:fldCharType="begin"/>
    </w:r>
    <w:r>
      <w:rPr>
        <w:rFonts w:eastAsia="Times New Roman"/>
        <w:b/>
        <w:color w:val="000000"/>
      </w:rPr>
      <w:instrText>PAGE</w:instrText>
    </w:r>
    <w:r>
      <w:rPr>
        <w:b/>
        <w:color w:val="000000"/>
      </w:rPr>
      <w:fldChar w:fldCharType="separate"/>
    </w:r>
    <w:r w:rsidR="00DD2C24">
      <w:rPr>
        <w:rFonts w:eastAsia="Times New Roman"/>
        <w:b/>
        <w:noProof/>
        <w:color w:val="000000"/>
      </w:rPr>
      <w:t>1</w:t>
    </w:r>
    <w:r>
      <w:rPr>
        <w:b/>
        <w:color w:val="000000"/>
      </w:rPr>
      <w:fldChar w:fldCharType="end"/>
    </w:r>
    <w:r>
      <w:rPr>
        <w:rFonts w:eastAsia="Times New Roman"/>
        <w:color w:val="000000"/>
        <w:sz w:val="18"/>
        <w:szCs w:val="18"/>
      </w:rPr>
      <w:t xml:space="preserve"> / </w:t>
    </w:r>
    <w:r>
      <w:rPr>
        <w:b/>
        <w:color w:val="000000"/>
      </w:rPr>
      <w:fldChar w:fldCharType="begin"/>
    </w:r>
    <w:r>
      <w:rPr>
        <w:rFonts w:eastAsia="Times New Roman"/>
        <w:b/>
        <w:color w:val="000000"/>
      </w:rPr>
      <w:instrText>NUMPAGES</w:instrText>
    </w:r>
    <w:r>
      <w:rPr>
        <w:b/>
        <w:color w:val="000000"/>
      </w:rPr>
      <w:fldChar w:fldCharType="separate"/>
    </w:r>
    <w:r w:rsidR="00DD2C24">
      <w:rPr>
        <w:rFonts w:eastAsia="Times New Roman"/>
        <w:b/>
        <w:noProof/>
        <w:color w:val="000000"/>
      </w:rPr>
      <w:t>1</w:t>
    </w:r>
    <w:r>
      <w:rPr>
        <w:b/>
        <w:color w:val="000000"/>
      </w:rPr>
      <w:fldChar w:fldCharType="end"/>
    </w:r>
  </w:p>
  <w:p w14:paraId="1B85D4EA" w14:textId="77777777" w:rsidR="00500304" w:rsidRDefault="00500304">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C6BDD" w14:textId="77777777" w:rsidR="00DD2C24" w:rsidRDefault="00DD2C24">
      <w:r>
        <w:separator/>
      </w:r>
    </w:p>
  </w:footnote>
  <w:footnote w:type="continuationSeparator" w:id="0">
    <w:p w14:paraId="5DAA0B1F" w14:textId="77777777" w:rsidR="00DD2C24" w:rsidRDefault="00DD2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04"/>
    <w:rsid w:val="00034505"/>
    <w:rsid w:val="00042DA5"/>
    <w:rsid w:val="001827C2"/>
    <w:rsid w:val="001C6439"/>
    <w:rsid w:val="002079C7"/>
    <w:rsid w:val="00304DAF"/>
    <w:rsid w:val="0036315A"/>
    <w:rsid w:val="0038761C"/>
    <w:rsid w:val="003F61F4"/>
    <w:rsid w:val="004412FE"/>
    <w:rsid w:val="0044771B"/>
    <w:rsid w:val="00475232"/>
    <w:rsid w:val="004F1F60"/>
    <w:rsid w:val="00500304"/>
    <w:rsid w:val="00527F7D"/>
    <w:rsid w:val="00575AF2"/>
    <w:rsid w:val="00631911"/>
    <w:rsid w:val="00734D54"/>
    <w:rsid w:val="007878CA"/>
    <w:rsid w:val="00884441"/>
    <w:rsid w:val="00955C07"/>
    <w:rsid w:val="009662AF"/>
    <w:rsid w:val="009A1BE6"/>
    <w:rsid w:val="00A548FC"/>
    <w:rsid w:val="00AA5A63"/>
    <w:rsid w:val="00B32DBE"/>
    <w:rsid w:val="00BA5E14"/>
    <w:rsid w:val="00BB4561"/>
    <w:rsid w:val="00C445C8"/>
    <w:rsid w:val="00C91DAF"/>
    <w:rsid w:val="00DD2C24"/>
    <w:rsid w:val="00EA054D"/>
    <w:rsid w:val="00EC1E46"/>
    <w:rsid w:val="00F43446"/>
    <w:rsid w:val="00F77113"/>
    <w:rsid w:val="00FF1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6">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7">
    <w:basedOn w:val="TableNormal1"/>
    <w:rPr>
      <w:rFonts w:ascii="Calibri" w:eastAsia="Calibri" w:hAnsi="Calibri" w:cs="Calibri"/>
    </w:rPr>
    <w:tblPr>
      <w:tblStyleRowBandSize w:val="1"/>
      <w:tblStyleColBandSize w:val="1"/>
      <w:tblCellMar>
        <w:left w:w="108" w:type="dxa"/>
        <w:right w:w="108" w:type="dxa"/>
      </w:tblCellMar>
    </w:tblPr>
  </w:style>
  <w:style w:type="paragraph" w:styleId="a8">
    <w:name w:val="Balloon Text"/>
    <w:basedOn w:val="a"/>
    <w:link w:val="Char"/>
    <w:uiPriority w:val="99"/>
    <w:semiHidden/>
    <w:unhideWhenUsed/>
    <w:rsid w:val="003F61F4"/>
    <w:rPr>
      <w:sz w:val="18"/>
      <w:szCs w:val="18"/>
    </w:rPr>
  </w:style>
  <w:style w:type="character" w:customStyle="1" w:styleId="Char">
    <w:name w:val="批注框文本 Char"/>
    <w:basedOn w:val="a0"/>
    <w:link w:val="a8"/>
    <w:uiPriority w:val="99"/>
    <w:semiHidden/>
    <w:rsid w:val="003F61F4"/>
    <w:rPr>
      <w:sz w:val="18"/>
      <w:szCs w:val="18"/>
    </w:rPr>
  </w:style>
  <w:style w:type="paragraph" w:styleId="a9">
    <w:name w:val="header"/>
    <w:basedOn w:val="a"/>
    <w:link w:val="Char0"/>
    <w:uiPriority w:val="99"/>
    <w:unhideWhenUsed/>
    <w:rsid w:val="001827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1827C2"/>
    <w:rPr>
      <w:sz w:val="18"/>
      <w:szCs w:val="18"/>
    </w:rPr>
  </w:style>
  <w:style w:type="paragraph" w:styleId="aa">
    <w:name w:val="footer"/>
    <w:basedOn w:val="a"/>
    <w:link w:val="Char1"/>
    <w:uiPriority w:val="99"/>
    <w:unhideWhenUsed/>
    <w:rsid w:val="001827C2"/>
    <w:pPr>
      <w:tabs>
        <w:tab w:val="center" w:pos="4153"/>
        <w:tab w:val="right" w:pos="8306"/>
      </w:tabs>
      <w:snapToGrid w:val="0"/>
    </w:pPr>
    <w:rPr>
      <w:sz w:val="18"/>
      <w:szCs w:val="18"/>
    </w:rPr>
  </w:style>
  <w:style w:type="character" w:customStyle="1" w:styleId="Char1">
    <w:name w:val="页脚 Char"/>
    <w:basedOn w:val="a0"/>
    <w:link w:val="aa"/>
    <w:uiPriority w:val="99"/>
    <w:rsid w:val="001827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6">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7">
    <w:basedOn w:val="TableNormal1"/>
    <w:rPr>
      <w:rFonts w:ascii="Calibri" w:eastAsia="Calibri" w:hAnsi="Calibri" w:cs="Calibri"/>
    </w:rPr>
    <w:tblPr>
      <w:tblStyleRowBandSize w:val="1"/>
      <w:tblStyleColBandSize w:val="1"/>
      <w:tblCellMar>
        <w:left w:w="108" w:type="dxa"/>
        <w:right w:w="108" w:type="dxa"/>
      </w:tblCellMar>
    </w:tblPr>
  </w:style>
  <w:style w:type="paragraph" w:styleId="a8">
    <w:name w:val="Balloon Text"/>
    <w:basedOn w:val="a"/>
    <w:link w:val="Char"/>
    <w:uiPriority w:val="99"/>
    <w:semiHidden/>
    <w:unhideWhenUsed/>
    <w:rsid w:val="003F61F4"/>
    <w:rPr>
      <w:sz w:val="18"/>
      <w:szCs w:val="18"/>
    </w:rPr>
  </w:style>
  <w:style w:type="character" w:customStyle="1" w:styleId="Char">
    <w:name w:val="批注框文本 Char"/>
    <w:basedOn w:val="a0"/>
    <w:link w:val="a8"/>
    <w:uiPriority w:val="99"/>
    <w:semiHidden/>
    <w:rsid w:val="003F61F4"/>
    <w:rPr>
      <w:sz w:val="18"/>
      <w:szCs w:val="18"/>
    </w:rPr>
  </w:style>
  <w:style w:type="paragraph" w:styleId="a9">
    <w:name w:val="header"/>
    <w:basedOn w:val="a"/>
    <w:link w:val="Char0"/>
    <w:uiPriority w:val="99"/>
    <w:unhideWhenUsed/>
    <w:rsid w:val="001827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1827C2"/>
    <w:rPr>
      <w:sz w:val="18"/>
      <w:szCs w:val="18"/>
    </w:rPr>
  </w:style>
  <w:style w:type="paragraph" w:styleId="aa">
    <w:name w:val="footer"/>
    <w:basedOn w:val="a"/>
    <w:link w:val="Char1"/>
    <w:uiPriority w:val="99"/>
    <w:unhideWhenUsed/>
    <w:rsid w:val="001827C2"/>
    <w:pPr>
      <w:tabs>
        <w:tab w:val="center" w:pos="4153"/>
        <w:tab w:val="right" w:pos="8306"/>
      </w:tabs>
      <w:snapToGrid w:val="0"/>
    </w:pPr>
    <w:rPr>
      <w:sz w:val="18"/>
      <w:szCs w:val="18"/>
    </w:rPr>
  </w:style>
  <w:style w:type="character" w:customStyle="1" w:styleId="Char1">
    <w:name w:val="页脚 Char"/>
    <w:basedOn w:val="a0"/>
    <w:link w:val="aa"/>
    <w:uiPriority w:val="99"/>
    <w:rsid w:val="001827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4986</Words>
  <Characters>28422</Characters>
  <Application>Microsoft Office Word</Application>
  <DocSecurity>0</DocSecurity>
  <Lines>236</Lines>
  <Paragraphs>66</Paragraphs>
  <ScaleCrop>false</ScaleCrop>
  <Company/>
  <LinksUpToDate>false</LinksUpToDate>
  <CharactersWithSpaces>33342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NingXia</dc:creator>
  <cp:lastModifiedBy>liujihong2008@qq.con</cp:lastModifiedBy>
  <cp:revision>11</cp:revision>
  <dcterms:created xsi:type="dcterms:W3CDTF">2021-03-29T16:23:00Z</dcterms:created>
  <dcterms:modified xsi:type="dcterms:W3CDTF">2021-05-07T08:13:00Z</dcterms:modified>
</cp:coreProperties>
</file>